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7C408">
      <w:pPr>
        <w:pStyle w:val="4"/>
        <w:spacing w:after="0" w:line="480" w:lineRule="auto"/>
        <w:jc w:val="both"/>
        <w:rPr>
          <w:rFonts w:ascii="Arial" w:hAnsi="Arial"/>
          <w:smallCaps/>
          <w:sz w:val="24"/>
          <w:szCs w:val="24"/>
        </w:rPr>
      </w:pPr>
    </w:p>
    <w:p w14:paraId="541818E2">
      <w:pPr>
        <w:pStyle w:val="4"/>
        <w:spacing w:after="0" w:line="360" w:lineRule="auto"/>
        <w:jc w:val="center"/>
        <w:rPr>
          <w:rFonts w:ascii="Arial" w:hAnsi="Arial" w:eastAsia="Arial" w:cs="Arial"/>
          <w:b/>
          <w:bCs/>
          <w:smallCaps/>
          <w:spacing w:val="3"/>
          <w:sz w:val="24"/>
          <w:szCs w:val="24"/>
        </w:rPr>
      </w:pPr>
      <w:r>
        <w:rPr>
          <w:rFonts w:ascii="Arial" w:hAnsi="Arial"/>
          <w:b/>
          <w:bCs/>
          <w:smallCaps/>
          <w:spacing w:val="3"/>
          <w:sz w:val="24"/>
          <w:szCs w:val="24"/>
        </w:rPr>
        <w:t>Tax Policy And Tax Legislation In The Nigerian Upstream Oil And Gas Industry:</w:t>
      </w:r>
    </w:p>
    <w:p w14:paraId="3B7F75DC">
      <w:pPr>
        <w:pStyle w:val="4"/>
        <w:spacing w:after="0" w:line="360" w:lineRule="auto"/>
        <w:jc w:val="center"/>
        <w:rPr>
          <w:rFonts w:ascii="Arial" w:hAnsi="Arial" w:eastAsia="Arial" w:cs="Arial"/>
          <w:spacing w:val="3"/>
          <w:sz w:val="24"/>
          <w:szCs w:val="24"/>
        </w:rPr>
      </w:pPr>
      <w:r>
        <w:rPr>
          <w:rFonts w:ascii="Arial" w:hAnsi="Arial"/>
          <w:i/>
          <w:iCs/>
          <w:spacing w:val="3"/>
          <w:sz w:val="24"/>
          <w:szCs w:val="24"/>
        </w:rPr>
        <w:t>Achieving Certainty, Clarity, Consistency and Simplicity in Tax Policy and Law Making, Interpretation and Implementation</w:t>
      </w:r>
    </w:p>
    <w:p w14:paraId="23D95802">
      <w:pPr>
        <w:pStyle w:val="4"/>
        <w:spacing w:after="0" w:line="360" w:lineRule="auto"/>
        <w:jc w:val="both"/>
        <w:rPr>
          <w:rFonts w:ascii="Arial" w:hAnsi="Arial" w:eastAsia="Arial" w:cs="Arial"/>
          <w:spacing w:val="3"/>
          <w:sz w:val="24"/>
          <w:szCs w:val="24"/>
        </w:rPr>
      </w:pPr>
    </w:p>
    <w:p w14:paraId="64120B75">
      <w:pPr>
        <w:pStyle w:val="4"/>
        <w:spacing w:after="0" w:line="360" w:lineRule="auto"/>
        <w:jc w:val="both"/>
        <w:rPr>
          <w:rFonts w:ascii="Arial" w:hAnsi="Arial" w:eastAsia="Arial" w:cs="Arial"/>
          <w:spacing w:val="3"/>
          <w:sz w:val="24"/>
          <w:szCs w:val="24"/>
        </w:rPr>
      </w:pPr>
    </w:p>
    <w:p w14:paraId="234E7354">
      <w:pPr>
        <w:pStyle w:val="4"/>
        <w:spacing w:after="0" w:line="360" w:lineRule="auto"/>
        <w:jc w:val="both"/>
        <w:rPr>
          <w:rFonts w:ascii="Arial" w:hAnsi="Arial" w:eastAsia="Arial" w:cs="Arial"/>
          <w:spacing w:val="3"/>
          <w:sz w:val="24"/>
          <w:szCs w:val="24"/>
        </w:rPr>
      </w:pPr>
    </w:p>
    <w:p w14:paraId="13AB1F9B">
      <w:pPr>
        <w:pStyle w:val="4"/>
        <w:spacing w:after="0" w:line="360" w:lineRule="auto"/>
        <w:jc w:val="center"/>
        <w:rPr>
          <w:rFonts w:ascii="Arial" w:hAnsi="Arial" w:eastAsia="Arial" w:cs="Arial"/>
          <w:spacing w:val="3"/>
          <w:sz w:val="24"/>
          <w:szCs w:val="24"/>
        </w:rPr>
      </w:pPr>
      <w:r>
        <w:rPr>
          <w:rFonts w:ascii="Arial" w:hAnsi="Arial" w:eastAsia="Arial" w:cs="Arial"/>
          <w:spacing w:val="3"/>
          <w:sz w:val="24"/>
          <w:szCs w:val="24"/>
          <w:lang w:val="en-GB" w:eastAsia="en-GB"/>
        </w:rPr>
        <w:drawing>
          <wp:inline distT="0" distB="0" distL="0" distR="0">
            <wp:extent cx="2565400" cy="872490"/>
            <wp:effectExtent l="0" t="0" r="0" b="0"/>
            <wp:docPr id="4" name="officeArt object" descr="Image result for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descr="Image result for university of london"/>
                    <pic:cNvPicPr>
                      <a:picLocks noChangeAspect="1"/>
                    </pic:cNvPicPr>
                  </pic:nvPicPr>
                  <pic:blipFill>
                    <a:blip r:embed="rId32"/>
                    <a:stretch>
                      <a:fillRect/>
                    </a:stretch>
                  </pic:blipFill>
                  <pic:spPr>
                    <a:xfrm>
                      <a:off x="0" y="0"/>
                      <a:ext cx="2565400" cy="872490"/>
                    </a:xfrm>
                    <a:prstGeom prst="rect">
                      <a:avLst/>
                    </a:prstGeom>
                    <a:noFill/>
                    <a:ln w="12700">
                      <a:noFill/>
                    </a:ln>
                  </pic:spPr>
                </pic:pic>
              </a:graphicData>
            </a:graphic>
          </wp:inline>
        </w:drawing>
      </w:r>
    </w:p>
    <w:p w14:paraId="26E838BB">
      <w:pPr>
        <w:pStyle w:val="4"/>
        <w:spacing w:after="0" w:line="360" w:lineRule="auto"/>
        <w:jc w:val="center"/>
        <w:rPr>
          <w:rFonts w:ascii="Arial" w:hAnsi="Arial" w:eastAsia="Arial" w:cs="Arial"/>
          <w:spacing w:val="3"/>
          <w:sz w:val="24"/>
          <w:szCs w:val="24"/>
        </w:rPr>
      </w:pPr>
    </w:p>
    <w:p w14:paraId="35D512FC">
      <w:pPr>
        <w:pStyle w:val="4"/>
        <w:spacing w:after="0" w:line="360" w:lineRule="auto"/>
        <w:jc w:val="center"/>
        <w:rPr>
          <w:rFonts w:ascii="Arial" w:hAnsi="Arial" w:eastAsia="Arial" w:cs="Arial"/>
          <w:spacing w:val="3"/>
          <w:sz w:val="24"/>
          <w:szCs w:val="24"/>
        </w:rPr>
      </w:pPr>
    </w:p>
    <w:p w14:paraId="4A46181A">
      <w:pPr>
        <w:pStyle w:val="4"/>
        <w:spacing w:after="0" w:line="360" w:lineRule="auto"/>
        <w:jc w:val="center"/>
        <w:rPr>
          <w:rFonts w:ascii="Arial" w:hAnsi="Arial" w:eastAsia="Arial" w:cs="Arial"/>
          <w:b/>
          <w:bCs/>
          <w:spacing w:val="3"/>
          <w:sz w:val="24"/>
          <w:szCs w:val="24"/>
        </w:rPr>
      </w:pPr>
      <w:r>
        <w:rPr>
          <w:rFonts w:ascii="Arial" w:hAnsi="Arial"/>
          <w:b/>
          <w:bCs/>
          <w:spacing w:val="3"/>
          <w:sz w:val="24"/>
          <w:szCs w:val="24"/>
        </w:rPr>
        <w:t>Presented by</w:t>
      </w:r>
    </w:p>
    <w:p w14:paraId="7E176D04">
      <w:pPr>
        <w:pStyle w:val="4"/>
        <w:spacing w:after="0" w:line="360" w:lineRule="auto"/>
        <w:jc w:val="center"/>
        <w:rPr>
          <w:rFonts w:ascii="Arial" w:hAnsi="Arial" w:eastAsia="Arial" w:cs="Arial"/>
          <w:b/>
          <w:bCs/>
          <w:spacing w:val="3"/>
          <w:sz w:val="24"/>
          <w:szCs w:val="24"/>
          <w:lang w:val="de-DE"/>
        </w:rPr>
      </w:pPr>
      <w:r>
        <w:rPr>
          <w:rFonts w:ascii="Arial" w:hAnsi="Arial"/>
          <w:b/>
          <w:bCs/>
          <w:spacing w:val="3"/>
          <w:sz w:val="24"/>
          <w:szCs w:val="24"/>
          <w:lang w:val="de-DE"/>
        </w:rPr>
        <w:t>Edem Andah</w:t>
      </w:r>
    </w:p>
    <w:p w14:paraId="63BE2EE8">
      <w:pPr>
        <w:pStyle w:val="4"/>
        <w:spacing w:after="0" w:line="360" w:lineRule="auto"/>
        <w:jc w:val="center"/>
        <w:rPr>
          <w:rFonts w:ascii="Arial" w:hAnsi="Arial" w:eastAsia="Arial" w:cs="Arial"/>
          <w:b/>
          <w:bCs/>
          <w:spacing w:val="3"/>
          <w:sz w:val="24"/>
          <w:szCs w:val="24"/>
        </w:rPr>
      </w:pPr>
      <w:r>
        <w:rPr>
          <w:rFonts w:ascii="Arial" w:hAnsi="Arial"/>
          <w:b/>
          <w:bCs/>
          <w:spacing w:val="3"/>
          <w:sz w:val="24"/>
          <w:szCs w:val="24"/>
        </w:rPr>
        <w:t>Supervisor: Philip Baker</w:t>
      </w:r>
    </w:p>
    <w:p w14:paraId="121A6F3F">
      <w:pPr>
        <w:pStyle w:val="4"/>
        <w:spacing w:after="0" w:line="360" w:lineRule="auto"/>
        <w:jc w:val="center"/>
        <w:rPr>
          <w:rFonts w:ascii="Arial" w:hAnsi="Arial" w:eastAsia="Arial" w:cs="Arial"/>
          <w:b/>
          <w:bCs/>
          <w:spacing w:val="3"/>
          <w:sz w:val="24"/>
          <w:szCs w:val="24"/>
        </w:rPr>
      </w:pPr>
    </w:p>
    <w:p w14:paraId="1B2A8C1F">
      <w:pPr>
        <w:pStyle w:val="4"/>
        <w:spacing w:after="0" w:line="360" w:lineRule="auto"/>
        <w:jc w:val="center"/>
        <w:rPr>
          <w:rFonts w:ascii="Arial" w:hAnsi="Arial" w:eastAsia="Arial" w:cs="Arial"/>
          <w:b/>
          <w:bCs/>
          <w:spacing w:val="3"/>
          <w:sz w:val="24"/>
          <w:szCs w:val="24"/>
        </w:rPr>
      </w:pPr>
    </w:p>
    <w:p w14:paraId="4A4E38A2">
      <w:pPr>
        <w:pStyle w:val="4"/>
        <w:spacing w:after="0" w:line="360" w:lineRule="auto"/>
        <w:jc w:val="center"/>
        <w:rPr>
          <w:rFonts w:ascii="Arial" w:hAnsi="Arial" w:eastAsia="Arial" w:cs="Arial"/>
          <w:b/>
          <w:bCs/>
          <w:spacing w:val="3"/>
          <w:sz w:val="24"/>
          <w:szCs w:val="24"/>
        </w:rPr>
      </w:pPr>
      <w:r>
        <w:rPr>
          <w:rFonts w:ascii="Arial" w:hAnsi="Arial"/>
          <w:b/>
          <w:bCs/>
          <w:spacing w:val="3"/>
          <w:sz w:val="24"/>
          <w:szCs w:val="24"/>
        </w:rPr>
        <w:t>In fulfilment of the requirement for the degree of</w:t>
      </w:r>
    </w:p>
    <w:p w14:paraId="35DF819C">
      <w:pPr>
        <w:pStyle w:val="4"/>
        <w:spacing w:after="0" w:line="360" w:lineRule="auto"/>
        <w:jc w:val="center"/>
        <w:rPr>
          <w:rFonts w:ascii="Arial" w:hAnsi="Arial" w:eastAsia="Arial" w:cs="Arial"/>
          <w:b/>
          <w:bCs/>
          <w:spacing w:val="3"/>
          <w:sz w:val="24"/>
          <w:szCs w:val="24"/>
        </w:rPr>
      </w:pPr>
      <w:r>
        <w:rPr>
          <w:rFonts w:ascii="Arial" w:hAnsi="Arial"/>
          <w:b/>
          <w:bCs/>
          <w:spacing w:val="3"/>
          <w:sz w:val="24"/>
          <w:szCs w:val="24"/>
        </w:rPr>
        <w:t>Doctor of Philosophy</w:t>
      </w:r>
    </w:p>
    <w:p w14:paraId="5A7C0095">
      <w:pPr>
        <w:pStyle w:val="4"/>
        <w:spacing w:after="0" w:line="360" w:lineRule="auto"/>
        <w:jc w:val="center"/>
        <w:rPr>
          <w:rFonts w:ascii="Arial" w:hAnsi="Arial" w:eastAsia="Arial" w:cs="Arial"/>
          <w:b/>
          <w:bCs/>
          <w:spacing w:val="3"/>
          <w:sz w:val="24"/>
          <w:szCs w:val="24"/>
        </w:rPr>
      </w:pPr>
    </w:p>
    <w:p w14:paraId="622F35D5">
      <w:pPr>
        <w:pStyle w:val="4"/>
        <w:spacing w:after="0" w:line="360" w:lineRule="auto"/>
        <w:jc w:val="center"/>
        <w:rPr>
          <w:rFonts w:ascii="Arial" w:hAnsi="Arial" w:eastAsia="Arial" w:cs="Arial"/>
          <w:b/>
          <w:bCs/>
          <w:spacing w:val="3"/>
          <w:sz w:val="24"/>
          <w:szCs w:val="24"/>
        </w:rPr>
      </w:pPr>
      <w:r>
        <w:rPr>
          <w:rFonts w:ascii="Arial" w:hAnsi="Arial"/>
          <w:b/>
          <w:bCs/>
          <w:spacing w:val="3"/>
          <w:sz w:val="24"/>
          <w:szCs w:val="24"/>
        </w:rPr>
        <w:t xml:space="preserve">In the subject of </w:t>
      </w:r>
    </w:p>
    <w:p w14:paraId="48312730">
      <w:pPr>
        <w:pStyle w:val="4"/>
        <w:spacing w:after="0" w:line="360" w:lineRule="auto"/>
        <w:jc w:val="center"/>
        <w:rPr>
          <w:rFonts w:ascii="Arial" w:hAnsi="Arial" w:eastAsia="Arial" w:cs="Arial"/>
          <w:b/>
          <w:bCs/>
          <w:spacing w:val="3"/>
          <w:sz w:val="24"/>
          <w:szCs w:val="24"/>
        </w:rPr>
      </w:pPr>
    </w:p>
    <w:p w14:paraId="20B92B1D">
      <w:pPr>
        <w:pStyle w:val="4"/>
        <w:spacing w:after="0" w:line="360" w:lineRule="auto"/>
        <w:jc w:val="center"/>
        <w:rPr>
          <w:rFonts w:ascii="Arial" w:hAnsi="Arial" w:eastAsia="Arial" w:cs="Arial"/>
          <w:b/>
          <w:bCs/>
          <w:spacing w:val="3"/>
          <w:sz w:val="24"/>
          <w:szCs w:val="24"/>
        </w:rPr>
      </w:pPr>
    </w:p>
    <w:p w14:paraId="7AB7C6BB">
      <w:pPr>
        <w:pStyle w:val="4"/>
        <w:spacing w:after="0" w:line="360" w:lineRule="auto"/>
        <w:jc w:val="center"/>
        <w:rPr>
          <w:rFonts w:ascii="Arial" w:hAnsi="Arial" w:eastAsia="Arial" w:cs="Arial"/>
          <w:b/>
          <w:bCs/>
          <w:spacing w:val="3"/>
          <w:sz w:val="24"/>
          <w:szCs w:val="24"/>
        </w:rPr>
      </w:pPr>
      <w:r>
        <w:rPr>
          <w:rFonts w:ascii="Arial" w:hAnsi="Arial"/>
          <w:b/>
          <w:bCs/>
          <w:spacing w:val="3"/>
          <w:sz w:val="24"/>
          <w:szCs w:val="24"/>
        </w:rPr>
        <w:t>Taxation Law</w:t>
      </w:r>
    </w:p>
    <w:p w14:paraId="774FF3E8">
      <w:pPr>
        <w:pStyle w:val="4"/>
        <w:spacing w:after="0" w:line="360" w:lineRule="auto"/>
        <w:jc w:val="center"/>
        <w:rPr>
          <w:rFonts w:ascii="Arial" w:hAnsi="Arial" w:eastAsia="Arial" w:cs="Arial"/>
          <w:b/>
          <w:bCs/>
          <w:spacing w:val="3"/>
          <w:sz w:val="24"/>
          <w:szCs w:val="24"/>
        </w:rPr>
      </w:pPr>
    </w:p>
    <w:p w14:paraId="514D14C6">
      <w:pPr>
        <w:pStyle w:val="4"/>
        <w:spacing w:after="0" w:line="360" w:lineRule="auto"/>
        <w:jc w:val="center"/>
        <w:rPr>
          <w:rFonts w:ascii="Arial" w:hAnsi="Arial" w:eastAsia="Arial" w:cs="Arial"/>
          <w:b/>
          <w:bCs/>
          <w:spacing w:val="3"/>
          <w:sz w:val="24"/>
          <w:szCs w:val="24"/>
        </w:rPr>
      </w:pPr>
    </w:p>
    <w:p w14:paraId="1522D5C3">
      <w:pPr>
        <w:pStyle w:val="4"/>
        <w:spacing w:after="0" w:line="360" w:lineRule="auto"/>
        <w:jc w:val="center"/>
        <w:rPr>
          <w:rFonts w:ascii="Arial" w:hAnsi="Arial" w:eastAsia="Arial" w:cs="Arial"/>
          <w:b/>
          <w:bCs/>
          <w:color w:val="auto"/>
          <w:spacing w:val="3"/>
          <w:sz w:val="24"/>
          <w:szCs w:val="24"/>
          <w:u w:color="FF0000"/>
          <w:lang w:val="it-IT"/>
        </w:rPr>
      </w:pPr>
      <w:r>
        <w:rPr>
          <w:rFonts w:ascii="Arial" w:hAnsi="Arial"/>
          <w:b/>
          <w:bCs/>
          <w:spacing w:val="3"/>
          <w:sz w:val="24"/>
          <w:szCs w:val="24"/>
          <w:u w:color="FF0000"/>
          <w:lang w:val="it-IT"/>
        </w:rPr>
        <w:t>January</w:t>
      </w:r>
      <w:r>
        <w:rPr>
          <w:rFonts w:ascii="Arial" w:hAnsi="Arial"/>
          <w:b/>
          <w:bCs/>
          <w:color w:val="auto"/>
          <w:spacing w:val="3"/>
          <w:sz w:val="24"/>
          <w:szCs w:val="24"/>
          <w:u w:color="FF0000"/>
          <w:lang w:val="it-IT"/>
        </w:rPr>
        <w:t xml:space="preserve"> 2024</w:t>
      </w:r>
    </w:p>
    <w:p w14:paraId="746F478B">
      <w:pPr>
        <w:pStyle w:val="4"/>
        <w:spacing w:after="0" w:line="360" w:lineRule="auto"/>
        <w:jc w:val="center"/>
        <w:rPr>
          <w:rFonts w:ascii="Arial" w:hAnsi="Arial" w:eastAsia="Arial" w:cs="Arial"/>
          <w:b/>
          <w:bCs/>
          <w:spacing w:val="3"/>
          <w:sz w:val="24"/>
          <w:szCs w:val="24"/>
        </w:rPr>
      </w:pPr>
    </w:p>
    <w:p w14:paraId="6C18980E">
      <w:pPr>
        <w:pStyle w:val="4"/>
        <w:spacing w:after="0" w:line="360" w:lineRule="auto"/>
        <w:jc w:val="center"/>
        <w:rPr>
          <w:rFonts w:ascii="Arial" w:hAnsi="Arial" w:eastAsia="Arial" w:cs="Arial"/>
          <w:b/>
          <w:bCs/>
          <w:spacing w:val="3"/>
          <w:sz w:val="24"/>
          <w:szCs w:val="24"/>
        </w:rPr>
      </w:pPr>
    </w:p>
    <w:p w14:paraId="068E34F8">
      <w:pPr>
        <w:pStyle w:val="4"/>
        <w:spacing w:after="0" w:line="360" w:lineRule="auto"/>
        <w:jc w:val="center"/>
        <w:rPr>
          <w:rFonts w:ascii="Arial" w:hAnsi="Arial" w:eastAsia="Arial" w:cs="Arial"/>
          <w:b/>
          <w:bCs/>
          <w:smallCaps/>
          <w:spacing w:val="3"/>
          <w:sz w:val="24"/>
          <w:szCs w:val="24"/>
        </w:rPr>
      </w:pPr>
      <w:r>
        <w:rPr>
          <w:rFonts w:ascii="Arial" w:hAnsi="Arial"/>
          <w:b/>
          <w:bCs/>
          <w:spacing w:val="3"/>
          <w:sz w:val="24"/>
          <w:szCs w:val="24"/>
        </w:rPr>
        <w:t>London, England.</w:t>
      </w:r>
    </w:p>
    <w:p w14:paraId="1892C684">
      <w:pPr>
        <w:pStyle w:val="4"/>
        <w:spacing w:after="0" w:line="480" w:lineRule="auto"/>
        <w:jc w:val="both"/>
        <w:rPr>
          <w:rFonts w:ascii="Arial" w:hAnsi="Arial" w:eastAsia="Arial" w:cs="Arial"/>
          <w:smallCaps/>
          <w:sz w:val="24"/>
          <w:szCs w:val="24"/>
        </w:rPr>
      </w:pPr>
    </w:p>
    <w:p w14:paraId="51D6872D">
      <w:pPr>
        <w:pStyle w:val="4"/>
        <w:spacing w:after="0" w:line="480" w:lineRule="auto"/>
        <w:jc w:val="both"/>
        <w:rPr>
          <w:rFonts w:ascii="Arial" w:hAnsi="Arial" w:eastAsia="Arial" w:cs="Arial"/>
          <w:b/>
          <w:bCs/>
          <w:smallCaps/>
          <w:sz w:val="24"/>
          <w:szCs w:val="24"/>
        </w:rPr>
      </w:pPr>
      <w:r>
        <w:rPr>
          <w:rFonts w:ascii="Arial" w:hAnsi="Arial"/>
          <w:b/>
          <w:bCs/>
          <w:smallCaps/>
          <w:sz w:val="24"/>
          <w:szCs w:val="24"/>
        </w:rPr>
        <w:t>Sn. 084262100</w:t>
      </w:r>
    </w:p>
    <w:p w14:paraId="2E0C9F4B">
      <w:pPr>
        <w:pStyle w:val="4"/>
        <w:pBdr>
          <w:bottom w:val="single" w:color="000000" w:sz="12" w:space="0"/>
        </w:pBdr>
        <w:spacing w:after="0" w:line="480" w:lineRule="auto"/>
        <w:jc w:val="center"/>
        <w:sectPr>
          <w:headerReference r:id="rId4" w:type="default"/>
          <w:footerReference r:id="rId5" w:type="default"/>
          <w:pgSz w:w="11900" w:h="16840"/>
          <w:pgMar w:top="1440" w:right="1440" w:bottom="720" w:left="1440" w:header="708" w:footer="708" w:gutter="0"/>
          <w:pgNumType w:start="1"/>
          <w:cols w:space="720" w:num="1"/>
          <w:titlePg/>
        </w:sectPr>
      </w:pPr>
    </w:p>
    <w:p w14:paraId="3547C0D6">
      <w:pPr>
        <w:pStyle w:val="4"/>
        <w:pBdr>
          <w:bottom w:val="single" w:color="000000" w:sz="12" w:space="0"/>
        </w:pBdr>
        <w:spacing w:after="0" w:line="240" w:lineRule="auto"/>
        <w:jc w:val="center"/>
        <w:rPr>
          <w:rFonts w:ascii="Times New Roman" w:hAnsi="Times New Roman" w:eastAsia="Arial" w:cs="Times New Roman"/>
          <w:b/>
          <w:bCs/>
          <w:smallCaps/>
          <w:sz w:val="24"/>
          <w:szCs w:val="24"/>
        </w:rPr>
      </w:pPr>
      <w:r>
        <w:rPr>
          <w:rFonts w:ascii="Times New Roman" w:hAnsi="Times New Roman" w:cs="Times New Roman"/>
          <w:b/>
          <w:bCs/>
          <w:smallCaps/>
          <w:sz w:val="24"/>
          <w:szCs w:val="24"/>
        </w:rPr>
        <w:t>Table of Contents</w:t>
      </w:r>
    </w:p>
    <w:p w14:paraId="1CBD9B40">
      <w:pPr>
        <w:pStyle w:val="39"/>
        <w:spacing w:line="240" w:lineRule="auto"/>
        <w:rPr>
          <w:rFonts w:ascii="Times New Roman" w:hAnsi="Times New Roman" w:cs="Times New Roman"/>
        </w:rPr>
      </w:pPr>
    </w:p>
    <w:p w14:paraId="30F9A0FF">
      <w:pPr>
        <w:pStyle w:val="4"/>
        <w:tabs>
          <w:tab w:val="left" w:pos="7836"/>
        </w:tabs>
        <w:spacing w:line="240" w:lineRule="auto"/>
        <w:jc w:val="both"/>
        <w:rPr>
          <w:rFonts w:ascii="Times New Roman" w:hAnsi="Times New Roman" w:cs="Times New Roman"/>
          <w:color w:val="auto"/>
          <w:sz w:val="24"/>
          <w:szCs w:val="24"/>
        </w:rPr>
      </w:pPr>
    </w:p>
    <w:p w14:paraId="73A219B2">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LIST OF ABBREVIATIONS / TERMINOLOGY</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5 - 10</w:t>
      </w:r>
    </w:p>
    <w:p w14:paraId="2CC0B14F">
      <w:pPr>
        <w:pStyle w:val="4"/>
        <w:tabs>
          <w:tab w:val="left" w:pos="7836"/>
        </w:tabs>
        <w:spacing w:line="240" w:lineRule="auto"/>
        <w:jc w:val="both"/>
        <w:rPr>
          <w:rFonts w:ascii="Times New Roman" w:hAnsi="Times New Roman" w:cs="Times New Roman"/>
          <w:color w:val="auto"/>
          <w:sz w:val="24"/>
          <w:szCs w:val="24"/>
        </w:rPr>
      </w:pPr>
    </w:p>
    <w:p w14:paraId="775EF00C">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ABSTRACT</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10-13</w:t>
      </w:r>
    </w:p>
    <w:p w14:paraId="102C0016">
      <w:pPr>
        <w:pStyle w:val="4"/>
        <w:tabs>
          <w:tab w:val="left" w:pos="7836"/>
        </w:tabs>
        <w:spacing w:line="240" w:lineRule="auto"/>
        <w:rPr>
          <w:rFonts w:ascii="Times New Roman" w:hAnsi="Times New Roman" w:cs="Times New Roman"/>
          <w:b/>
          <w:color w:val="auto"/>
          <w:sz w:val="24"/>
          <w:szCs w:val="24"/>
        </w:rPr>
      </w:pPr>
    </w:p>
    <w:p w14:paraId="030C0C0F">
      <w:pPr>
        <w:pStyle w:val="63"/>
        <w:rPr>
          <w:b/>
        </w:rPr>
      </w:pPr>
      <w:r>
        <w:rPr>
          <w:b/>
        </w:rPr>
        <w:t>CHAPTER 1: THE CHALLENGE OF UNCERTAINTY IN UPSTREAM PETROLEUM TAXATION</w:t>
      </w:r>
    </w:p>
    <w:p w14:paraId="00375A8B">
      <w:pPr>
        <w:pStyle w:val="63"/>
        <w:rPr>
          <w:b/>
        </w:rPr>
      </w:pPr>
    </w:p>
    <w:p w14:paraId="669937B9">
      <w:pPr>
        <w:pStyle w:val="63"/>
        <w:jc w:val="both"/>
        <w:rPr>
          <w:b/>
        </w:rPr>
      </w:pPr>
    </w:p>
    <w:p w14:paraId="1EFBB202">
      <w:pPr>
        <w:pStyle w:val="4"/>
        <w:numPr>
          <w:ilvl w:val="0"/>
          <w:numId w:val="7"/>
        </w:numPr>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14-16</w:t>
      </w:r>
    </w:p>
    <w:p w14:paraId="38E8BF55">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1.1 NIGERIA OIL AND GAS INDUSTRY </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16-23</w:t>
      </w:r>
    </w:p>
    <w:p w14:paraId="5400FA17">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1.2 THE CHALLENGE OF UNCERTAINTY IN NIGERIA’S UPSTREAM TAXATION        23-33</w:t>
      </w:r>
    </w:p>
    <w:p w14:paraId="448738DE">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1.3 SCOPE AND RATIONALE OF THE RESEARCH</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33-35</w:t>
      </w:r>
    </w:p>
    <w:p w14:paraId="129D87CD">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1.4 RESEARCH QUESTION AND HYPOTHESIS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36-37</w:t>
      </w:r>
    </w:p>
    <w:p w14:paraId="406F6D35">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1.5 RESEARCH METHODOLOGY</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37-40</w:t>
      </w:r>
    </w:p>
    <w:p w14:paraId="0DBD6AC4">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1.6 CONTEXT AND CONTRIBUTION TO SCHOLARSHIP</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40-41</w:t>
      </w:r>
    </w:p>
    <w:p w14:paraId="36B592E2">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1.7 CHAPTER STRUCTURE</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41-43</w:t>
      </w:r>
    </w:p>
    <w:p w14:paraId="6ED0ABFC">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1.8 RECOMMENDATION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43-45</w:t>
      </w:r>
    </w:p>
    <w:p w14:paraId="5662D21D">
      <w:pPr>
        <w:pStyle w:val="4"/>
        <w:tabs>
          <w:tab w:val="left" w:pos="7836"/>
        </w:tabs>
        <w:spacing w:line="240" w:lineRule="auto"/>
        <w:rPr>
          <w:rFonts w:ascii="Times New Roman" w:hAnsi="Times New Roman" w:cs="Times New Roman"/>
          <w:color w:val="auto"/>
          <w:sz w:val="24"/>
          <w:szCs w:val="24"/>
        </w:rPr>
      </w:pPr>
    </w:p>
    <w:p w14:paraId="28238E35">
      <w:pPr>
        <w:pStyle w:val="4"/>
        <w:tabs>
          <w:tab w:val="left" w:pos="7836"/>
        </w:tabs>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2: NIGERIA’S TAX SYSTEM</w:t>
      </w:r>
    </w:p>
    <w:p w14:paraId="771361C4">
      <w:pPr>
        <w:pStyle w:val="4"/>
        <w:tabs>
          <w:tab w:val="left" w:pos="7836"/>
        </w:tabs>
        <w:spacing w:line="240" w:lineRule="auto"/>
        <w:jc w:val="both"/>
        <w:rPr>
          <w:rFonts w:ascii="Times New Roman" w:hAnsi="Times New Roman" w:cs="Times New Roman"/>
          <w:b/>
          <w:color w:val="auto"/>
          <w:sz w:val="24"/>
          <w:szCs w:val="24"/>
        </w:rPr>
      </w:pPr>
    </w:p>
    <w:p w14:paraId="3D9A863A">
      <w:pPr>
        <w:pStyle w:val="4"/>
        <w:numPr>
          <w:ilvl w:val="0"/>
          <w:numId w:val="7"/>
        </w:numPr>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46-47</w:t>
      </w:r>
    </w:p>
    <w:p w14:paraId="6C1C39CE">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2.1 HISTORY AND EVOLUTION OF NIGERIA’S TAX SYSTEM</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47-51</w:t>
      </w:r>
    </w:p>
    <w:p w14:paraId="11E292C5">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2.2 THE CONSTITUTIONAL FRAMEWORK OF NIGERIA’S TAX SYSTEM</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51-55</w:t>
      </w:r>
    </w:p>
    <w:p w14:paraId="3C2537A7">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 THE STRUCTURE OF NIGERIA’S TAX SYSTEM</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55-56</w:t>
      </w:r>
    </w:p>
    <w:p w14:paraId="7AD4E252">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2.3.1 PRINCIPAL LEGISLATION AND TAXES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56-59</w:t>
      </w:r>
    </w:p>
    <w:p w14:paraId="53FB7021">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2.3.2. TAX ADMINISTRATION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59-61</w:t>
      </w:r>
    </w:p>
    <w:p w14:paraId="70098411">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2.3.3. TAX ADJUDICATION AND APPEAL PROCESS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61-65</w:t>
      </w:r>
    </w:p>
    <w:p w14:paraId="381C7776">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2.4. TAX POLICY AND TAX LAW REFORM</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65-68</w:t>
      </w:r>
    </w:p>
    <w:p w14:paraId="371FCA4D">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CONCLUSION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68-69</w:t>
      </w:r>
    </w:p>
    <w:p w14:paraId="271C07FB">
      <w:pPr>
        <w:pStyle w:val="4"/>
        <w:tabs>
          <w:tab w:val="left" w:pos="7836"/>
        </w:tabs>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3: TAXATION OF PETROLEUM OPERATIONS</w:t>
      </w:r>
    </w:p>
    <w:p w14:paraId="796AF0F0">
      <w:pPr>
        <w:pStyle w:val="4"/>
        <w:tabs>
          <w:tab w:val="left" w:pos="7836"/>
        </w:tabs>
        <w:spacing w:line="240" w:lineRule="auto"/>
        <w:jc w:val="both"/>
        <w:rPr>
          <w:rFonts w:ascii="Times New Roman" w:hAnsi="Times New Roman" w:cs="Times New Roman"/>
          <w:b/>
          <w:color w:val="auto"/>
          <w:sz w:val="24"/>
          <w:szCs w:val="24"/>
        </w:rPr>
      </w:pPr>
    </w:p>
    <w:p w14:paraId="16AA0F57">
      <w:pPr>
        <w:pStyle w:val="4"/>
        <w:numPr>
          <w:ilvl w:val="0"/>
          <w:numId w:val="7"/>
        </w:numPr>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70</w:t>
      </w:r>
    </w:p>
    <w:p w14:paraId="151B42AB">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3.1 BACKGROUND TO PETROLEUM OPERATIONS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70-74</w:t>
      </w:r>
    </w:p>
    <w:p w14:paraId="51D9473A">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3.2 THE NIGERIAN CONSTITUTION AND PETROLEUM TAXATION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74-80</w:t>
      </w:r>
    </w:p>
    <w:p w14:paraId="178E6340">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3.3 THE PETROLEUM ACT AND THE FISCAL REGIME</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80-85</w:t>
      </w:r>
    </w:p>
    <w:p w14:paraId="4C82464C">
      <w:pPr>
        <w:pStyle w:val="4"/>
        <w:tabs>
          <w:tab w:val="left" w:pos="7836"/>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3.4 PETROLEUM TAXATION AND OTHER TAXES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85-87</w:t>
      </w:r>
    </w:p>
    <w:p w14:paraId="3CCFA65B">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CONCLUSION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87-88</w:t>
      </w:r>
    </w:p>
    <w:p w14:paraId="052DB53F">
      <w:pPr>
        <w:pStyle w:val="4"/>
        <w:spacing w:line="240" w:lineRule="auto"/>
        <w:jc w:val="both"/>
        <w:rPr>
          <w:rFonts w:ascii="Times New Roman" w:hAnsi="Times New Roman" w:cs="Times New Roman"/>
          <w:b/>
          <w:color w:val="auto"/>
          <w:sz w:val="24"/>
          <w:szCs w:val="24"/>
        </w:rPr>
      </w:pPr>
    </w:p>
    <w:p w14:paraId="458EF09A">
      <w:pPr>
        <w:pStyle w:val="4"/>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4: UPSTREAM PETROLEUM OPERATIONS AND TAX UNCERTAINTY</w:t>
      </w:r>
    </w:p>
    <w:p w14:paraId="17B11F10">
      <w:pPr>
        <w:pStyle w:val="4"/>
        <w:spacing w:line="240" w:lineRule="auto"/>
        <w:rPr>
          <w:rFonts w:ascii="Times New Roman" w:hAnsi="Times New Roman" w:cs="Times New Roman"/>
          <w:b/>
          <w:color w:val="auto"/>
          <w:sz w:val="24"/>
          <w:szCs w:val="24"/>
        </w:rPr>
      </w:pPr>
    </w:p>
    <w:p w14:paraId="0101577F">
      <w:pPr>
        <w:pStyle w:val="4"/>
        <w:numPr>
          <w:ilvl w:val="0"/>
          <w:numId w:val="8"/>
        </w:numPr>
        <w:tabs>
          <w:tab w:val="left" w:pos="7836"/>
        </w:tabs>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89 -91</w:t>
      </w:r>
    </w:p>
    <w:p w14:paraId="2B865CD5">
      <w:pPr>
        <w:pStyle w:val="4"/>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4.1 UPSTREAM PETROLEUM TAXATION AND TAX POLICY AND LEGISLATION</w:t>
      </w:r>
    </w:p>
    <w:p w14:paraId="5CA42BF9">
      <w:pPr>
        <w:pStyle w:val="4"/>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UNCERTAINTY</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92-106</w:t>
      </w:r>
    </w:p>
    <w:p w14:paraId="2137D792">
      <w:pPr>
        <w:pStyle w:val="4"/>
        <w:spacing w:after="0" w:line="240" w:lineRule="auto"/>
        <w:ind w:firstLine="426"/>
        <w:rPr>
          <w:rFonts w:ascii="Times New Roman" w:hAnsi="Times New Roman" w:cs="Times New Roman"/>
          <w:color w:val="auto"/>
          <w:sz w:val="24"/>
          <w:szCs w:val="24"/>
        </w:rPr>
      </w:pPr>
    </w:p>
    <w:p w14:paraId="05B467BD">
      <w:pPr>
        <w:pStyle w:val="63"/>
      </w:pPr>
      <w:r>
        <w:t xml:space="preserve">4.2 THE PETROLEUM PROFITS TAX ACT AND THE PRODUCTION SHARING </w:t>
      </w:r>
    </w:p>
    <w:p w14:paraId="555711C8">
      <w:pPr>
        <w:pStyle w:val="63"/>
      </w:pPr>
      <w:r>
        <w:t xml:space="preserve">      CONTRACT (PSC) ACT</w:t>
      </w:r>
      <w:r>
        <w:tab/>
      </w:r>
      <w:r>
        <w:t xml:space="preserve">                                                                                                    106-119</w:t>
      </w:r>
      <w:r>
        <w:tab/>
      </w:r>
      <w:r>
        <w:t xml:space="preserve">        </w:t>
      </w:r>
      <w:r>
        <w:tab/>
      </w:r>
      <w:r>
        <w:tab/>
      </w:r>
      <w:r>
        <w:tab/>
      </w:r>
      <w:r>
        <w:tab/>
      </w:r>
      <w:r>
        <w:tab/>
      </w:r>
      <w:r>
        <w:tab/>
      </w:r>
      <w:r>
        <w:tab/>
      </w:r>
      <w:r>
        <w:tab/>
      </w:r>
      <w:r>
        <w:t xml:space="preserve">                     </w:t>
      </w:r>
    </w:p>
    <w:p w14:paraId="085203D8">
      <w:pPr>
        <w:pStyle w:val="63"/>
      </w:pPr>
    </w:p>
    <w:p w14:paraId="4D6A354F">
      <w:pPr>
        <w:pStyle w:val="63"/>
      </w:pPr>
      <w:r>
        <w:t xml:space="preserve">4.3 THE INTERACTION OF PETROLEUM PROFITS TAX ACT WITH OTHER TAX </w:t>
      </w:r>
    </w:p>
    <w:p w14:paraId="7E8BE83E">
      <w:pPr>
        <w:pStyle w:val="63"/>
      </w:pPr>
      <w:r>
        <w:t xml:space="preserve">       STATUTES AND CHALLENGE OF UNCERTAINTY</w:t>
      </w:r>
      <w:r>
        <w:tab/>
      </w:r>
      <w:r>
        <w:tab/>
      </w:r>
      <w:r>
        <w:tab/>
      </w:r>
      <w:r>
        <w:tab/>
      </w:r>
      <w:r>
        <w:t xml:space="preserve">     120-127</w:t>
      </w:r>
    </w:p>
    <w:p w14:paraId="58599CD7">
      <w:pPr>
        <w:pStyle w:val="63"/>
      </w:pPr>
    </w:p>
    <w:p w14:paraId="09F6EBDE">
      <w:pPr>
        <w:spacing w:after="160"/>
        <w:rPr>
          <w:rFonts w:eastAsia="Calibri"/>
        </w:rPr>
      </w:pPr>
      <w:r>
        <w:t xml:space="preserve">4.4 </w:t>
      </w:r>
      <w:r>
        <w:rPr>
          <w:rFonts w:eastAsia="Calibri"/>
        </w:rPr>
        <w:t xml:space="preserve">THE JUDICIAL PROCESS AND THE CHALLENGE OF ACHIEVING CERTAINTY </w:t>
      </w:r>
    </w:p>
    <w:p w14:paraId="1769A9E6">
      <w:pPr>
        <w:spacing w:after="160"/>
        <w:rPr>
          <w:rFonts w:eastAsia="Calibri"/>
        </w:rPr>
      </w:pPr>
      <w:r>
        <w:rPr>
          <w:rFonts w:eastAsia="Calibri"/>
        </w:rPr>
        <w:t xml:space="preserve">IN UPSTREAM PETROLEUM TAXATION                                                                           </w:t>
      </w:r>
      <w:r>
        <w:t>127-134</w:t>
      </w:r>
      <w:r>
        <w:br w:type="textWrapping"/>
      </w:r>
    </w:p>
    <w:p w14:paraId="4BA78863">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CONCLUSION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135-136</w:t>
      </w:r>
    </w:p>
    <w:p w14:paraId="75282D45">
      <w:pPr>
        <w:pStyle w:val="4"/>
        <w:spacing w:line="240" w:lineRule="auto"/>
        <w:jc w:val="both"/>
        <w:rPr>
          <w:rFonts w:ascii="Times New Roman" w:hAnsi="Times New Roman" w:cs="Times New Roman"/>
          <w:color w:val="auto"/>
          <w:sz w:val="24"/>
          <w:szCs w:val="24"/>
        </w:rPr>
      </w:pPr>
    </w:p>
    <w:p w14:paraId="215D966C">
      <w:pPr>
        <w:pStyle w:val="4"/>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5: POLICY AND TAX LAW MAKING IN THE NIGERIAN UPSTREAM PETROLEUM INDUSTRY</w:t>
      </w:r>
    </w:p>
    <w:p w14:paraId="1E606582">
      <w:pPr>
        <w:pStyle w:val="4"/>
        <w:spacing w:after="0" w:line="240" w:lineRule="auto"/>
        <w:rPr>
          <w:rFonts w:ascii="Times New Roman" w:hAnsi="Times New Roman" w:cs="Times New Roman"/>
          <w:b/>
          <w:color w:val="auto"/>
          <w:sz w:val="24"/>
          <w:szCs w:val="24"/>
        </w:rPr>
      </w:pPr>
    </w:p>
    <w:p w14:paraId="7322EF82">
      <w:pPr>
        <w:pStyle w:val="4"/>
        <w:spacing w:after="0" w:line="240" w:lineRule="auto"/>
        <w:ind w:left="720" w:firstLine="720"/>
        <w:rPr>
          <w:rFonts w:ascii="Times New Roman" w:hAnsi="Times New Roman" w:cs="Times New Roman"/>
          <w:b/>
          <w:color w:val="auto"/>
          <w:sz w:val="24"/>
          <w:szCs w:val="24"/>
        </w:rPr>
      </w:pPr>
    </w:p>
    <w:p w14:paraId="1E4B52C7">
      <w:pPr>
        <w:pStyle w:val="4"/>
        <w:numPr>
          <w:ilvl w:val="0"/>
          <w:numId w:val="8"/>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137-139</w:t>
      </w:r>
    </w:p>
    <w:p w14:paraId="4AB35C35">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5.1 FISCAL POLICY EVOLUTION IN THE NIGERIAN UPSTREAM INDUSTRY</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139-143</w:t>
      </w:r>
    </w:p>
    <w:p w14:paraId="5DE534C5">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5.2 POLICY AND TAX LAW MAKING IN THE NIGERIAN PETROLEUM INDUSTRY 143-147</w:t>
      </w:r>
    </w:p>
    <w:p w14:paraId="3D264966">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5.2.1</w:t>
      </w:r>
      <w:r>
        <w:rPr>
          <w:rFonts w:ascii="Times New Roman" w:hAnsi="Times New Roman" w:cs="Times New Roman"/>
          <w:color w:val="auto"/>
          <w:sz w:val="24"/>
          <w:szCs w:val="24"/>
        </w:rPr>
        <w:tab/>
      </w:r>
      <w:r>
        <w:rPr>
          <w:rFonts w:ascii="Times New Roman" w:hAnsi="Times New Roman" w:cs="Times New Roman"/>
          <w:color w:val="auto"/>
          <w:sz w:val="24"/>
          <w:szCs w:val="24"/>
        </w:rPr>
        <w:t>INTRODUCTION OF THE PRODUCTION SHARING CONTRACT 1973</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147-148</w:t>
      </w:r>
    </w:p>
    <w:p w14:paraId="00DAB41C">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5.2.2</w:t>
      </w:r>
      <w:r>
        <w:rPr>
          <w:rFonts w:ascii="Times New Roman" w:hAnsi="Times New Roman" w:cs="Times New Roman"/>
          <w:color w:val="auto"/>
          <w:sz w:val="24"/>
          <w:szCs w:val="24"/>
        </w:rPr>
        <w:tab/>
      </w:r>
      <w:r>
        <w:rPr>
          <w:rFonts w:ascii="Times New Roman" w:hAnsi="Times New Roman" w:cs="Times New Roman"/>
          <w:color w:val="auto"/>
          <w:sz w:val="24"/>
          <w:szCs w:val="24"/>
        </w:rPr>
        <w:t>THE FORMULATION OF THE NATIONAL OIL AND GAS POLICY 2007</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148-149</w:t>
      </w:r>
    </w:p>
    <w:p w14:paraId="613C58C8">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5.2.3</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THE DRAFTING OF THE PETROLEUM INDUSTRY BILL (PIB) 2008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149-150 </w:t>
      </w:r>
    </w:p>
    <w:p w14:paraId="6326DCDA">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5.2.4</w:t>
      </w:r>
      <w:r>
        <w:rPr>
          <w:rFonts w:ascii="Times New Roman" w:hAnsi="Times New Roman" w:cs="Times New Roman"/>
          <w:color w:val="auto"/>
          <w:sz w:val="24"/>
          <w:szCs w:val="24"/>
        </w:rPr>
        <w:tab/>
      </w:r>
      <w:r>
        <w:rPr>
          <w:rFonts w:ascii="Times New Roman" w:hAnsi="Times New Roman" w:cs="Times New Roman"/>
          <w:color w:val="auto"/>
          <w:sz w:val="24"/>
          <w:szCs w:val="24"/>
        </w:rPr>
        <w:t>NATIONAL OIL POLICY(NOP) AND NATIONAL GAS POLICY(NGP)</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150-152</w:t>
      </w:r>
    </w:p>
    <w:p w14:paraId="64F38796">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5.2.5</w:t>
      </w:r>
      <w:r>
        <w:rPr>
          <w:rFonts w:ascii="Times New Roman" w:hAnsi="Times New Roman" w:cs="Times New Roman"/>
          <w:color w:val="auto"/>
          <w:sz w:val="24"/>
          <w:szCs w:val="24"/>
        </w:rPr>
        <w:tab/>
      </w:r>
      <w:r>
        <w:rPr>
          <w:rFonts w:ascii="Times New Roman" w:hAnsi="Times New Roman" w:cs="Times New Roman"/>
          <w:color w:val="auto"/>
          <w:sz w:val="24"/>
          <w:szCs w:val="24"/>
        </w:rPr>
        <w:t>NIGERIA NATIONAL PETROLEUM FISCAL POLICY (NPFP)</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152-154</w:t>
      </w:r>
    </w:p>
    <w:p w14:paraId="6DA57103">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5.3 THE LEGISLATIVE PROCESS AND PETROLEUM TAXATION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154-156</w:t>
      </w:r>
    </w:p>
    <w:p w14:paraId="7EED7307">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CONCLUSION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156-157</w:t>
      </w:r>
    </w:p>
    <w:p w14:paraId="7662C5F5">
      <w:pPr>
        <w:pStyle w:val="4"/>
        <w:spacing w:line="240" w:lineRule="auto"/>
        <w:ind w:firstLine="426"/>
        <w:rPr>
          <w:rFonts w:ascii="Times New Roman" w:hAnsi="Times New Roman" w:cs="Times New Roman"/>
          <w:color w:val="auto"/>
          <w:sz w:val="24"/>
          <w:szCs w:val="24"/>
        </w:rPr>
      </w:pPr>
    </w:p>
    <w:p w14:paraId="46512FEE">
      <w:pPr>
        <w:pStyle w:val="4"/>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6: SURVEY OF THE NIGERIAN UPSTREAM PETROLEUM INDUSTRY</w:t>
      </w:r>
    </w:p>
    <w:p w14:paraId="33A894E7">
      <w:pPr>
        <w:pStyle w:val="4"/>
        <w:spacing w:after="0" w:line="240" w:lineRule="auto"/>
        <w:rPr>
          <w:rFonts w:ascii="Times New Roman" w:hAnsi="Times New Roman" w:cs="Times New Roman"/>
          <w:b/>
          <w:color w:val="auto"/>
          <w:sz w:val="24"/>
          <w:szCs w:val="24"/>
        </w:rPr>
      </w:pPr>
    </w:p>
    <w:p w14:paraId="65653AC8">
      <w:pPr>
        <w:pStyle w:val="4"/>
        <w:spacing w:after="0" w:line="240" w:lineRule="auto"/>
        <w:ind w:left="720" w:firstLine="720"/>
        <w:rPr>
          <w:rFonts w:ascii="Times New Roman" w:hAnsi="Times New Roman" w:cs="Times New Roman"/>
          <w:b/>
          <w:color w:val="auto"/>
          <w:sz w:val="24"/>
          <w:szCs w:val="24"/>
        </w:rPr>
      </w:pPr>
    </w:p>
    <w:p w14:paraId="778CF4D4">
      <w:pPr>
        <w:pStyle w:val="4"/>
        <w:numPr>
          <w:ilvl w:val="0"/>
          <w:numId w:val="8"/>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158-159</w:t>
      </w:r>
    </w:p>
    <w:p w14:paraId="7599519D">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6.1 ADMINISTRATION OF SURVEY QUESTIONNAIRES / METHODOLOGY</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159-160</w:t>
      </w:r>
    </w:p>
    <w:p w14:paraId="15DCE3C2">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6.2 PROFILE OF RESPONDENTS AND SUBJECT MATTERS SURVEYED</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160-161</w:t>
      </w:r>
    </w:p>
    <w:p w14:paraId="561A365C">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6.3 PRESENTATION AND ANALYSIS OF SURVEY RESPONSES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161    </w:t>
      </w:r>
    </w:p>
    <w:p w14:paraId="46A439B1">
      <w:pPr>
        <w:pStyle w:val="4"/>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6.3.1 POLICY DESIGN, ENGAGEMENT AND CONSTITUTIONAL FRAMEWORK     161-163</w:t>
      </w:r>
    </w:p>
    <w:p w14:paraId="25462613">
      <w:pPr>
        <w:pStyle w:val="4"/>
        <w:spacing w:after="0" w:line="240" w:lineRule="auto"/>
        <w:ind w:left="720" w:firstLine="294"/>
        <w:jc w:val="both"/>
        <w:rPr>
          <w:rFonts w:ascii="Times New Roman" w:hAnsi="Times New Roman" w:cs="Times New Roman"/>
          <w:color w:val="auto"/>
          <w:sz w:val="24"/>
          <w:szCs w:val="24"/>
        </w:rPr>
      </w:pPr>
    </w:p>
    <w:p w14:paraId="0F2F7A87">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6.3.2</w:t>
      </w:r>
      <w:r>
        <w:rPr>
          <w:rFonts w:ascii="Times New Roman" w:hAnsi="Times New Roman" w:cs="Times New Roman"/>
          <w:color w:val="auto"/>
          <w:sz w:val="24"/>
          <w:szCs w:val="24"/>
        </w:rPr>
        <w:tab/>
      </w:r>
      <w:r>
        <w:rPr>
          <w:rFonts w:ascii="Times New Roman" w:hAnsi="Times New Roman" w:cs="Times New Roman"/>
          <w:color w:val="auto"/>
          <w:sz w:val="24"/>
          <w:szCs w:val="24"/>
        </w:rPr>
        <w:t>CONSTITUTIONAL AND STATUTORY FRAMEWORK</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163-165</w:t>
      </w:r>
    </w:p>
    <w:p w14:paraId="2B7C356E">
      <w:pPr>
        <w:pStyle w:val="4"/>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6.3.3</w:t>
      </w:r>
      <w:r>
        <w:rPr>
          <w:rFonts w:ascii="Times New Roman" w:hAnsi="Times New Roman" w:cs="Times New Roman"/>
          <w:color w:val="auto"/>
          <w:sz w:val="24"/>
          <w:szCs w:val="24"/>
        </w:rPr>
        <w:tab/>
      </w:r>
      <w:r>
        <w:rPr>
          <w:rFonts w:ascii="Times New Roman" w:hAnsi="Times New Roman" w:cs="Times New Roman"/>
          <w:color w:val="auto"/>
          <w:sz w:val="24"/>
          <w:szCs w:val="24"/>
        </w:rPr>
        <w:t>TAX AUTHORITY AND TAXPAYER UNDERSTANDING OF LEGISLATION  165-167</w:t>
      </w:r>
    </w:p>
    <w:p w14:paraId="571A9321">
      <w:pPr>
        <w:pStyle w:val="4"/>
        <w:spacing w:after="0" w:line="240" w:lineRule="auto"/>
        <w:ind w:left="425"/>
        <w:jc w:val="both"/>
        <w:rPr>
          <w:rFonts w:ascii="Times New Roman" w:hAnsi="Times New Roman" w:cs="Times New Roman"/>
          <w:color w:val="auto"/>
          <w:sz w:val="24"/>
          <w:szCs w:val="24"/>
        </w:rPr>
      </w:pPr>
    </w:p>
    <w:p w14:paraId="318B2E7C">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6.3.4 </w:t>
      </w:r>
      <w:r>
        <w:rPr>
          <w:rFonts w:ascii="Times New Roman" w:hAnsi="Times New Roman" w:cs="Times New Roman"/>
          <w:color w:val="auto"/>
          <w:sz w:val="24"/>
          <w:szCs w:val="24"/>
        </w:rPr>
        <w:tab/>
      </w:r>
      <w:r>
        <w:rPr>
          <w:rFonts w:ascii="Times New Roman" w:hAnsi="Times New Roman" w:cs="Times New Roman"/>
          <w:color w:val="auto"/>
          <w:sz w:val="24"/>
          <w:szCs w:val="24"/>
        </w:rPr>
        <w:t>TAX ADJUDICATION AND DISPUTE RESOLUTION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167-168</w:t>
      </w:r>
    </w:p>
    <w:p w14:paraId="43830830">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6.3.5   POLICY AND TAX LAW REFORM</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168</w:t>
      </w:r>
    </w:p>
    <w:p w14:paraId="14DDFBAC">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6.4</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SUMMARY OF FINDINGS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168-170    </w:t>
      </w:r>
    </w:p>
    <w:p w14:paraId="230CADFB">
      <w:pPr>
        <w:pStyle w:val="4"/>
        <w:spacing w:after="0" w:line="240" w:lineRule="auto"/>
        <w:rPr>
          <w:rFonts w:ascii="Times New Roman" w:hAnsi="Times New Roman" w:cs="Times New Roman"/>
          <w:color w:val="auto"/>
          <w:sz w:val="24"/>
          <w:szCs w:val="24"/>
        </w:rPr>
      </w:pPr>
    </w:p>
    <w:p w14:paraId="6D7A8AB2">
      <w:pPr>
        <w:pStyle w:val="4"/>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7: THE UNITED KINGDOM PETROLEUM INDUSTRY: A BRIEF COMPARATIVE REVIEW AND LESSONS FOR NIGERIA</w:t>
      </w:r>
    </w:p>
    <w:p w14:paraId="1127B5FE">
      <w:pPr>
        <w:pStyle w:val="4"/>
        <w:spacing w:after="0" w:line="240" w:lineRule="auto"/>
        <w:rPr>
          <w:rFonts w:ascii="Times New Roman" w:hAnsi="Times New Roman" w:cs="Times New Roman"/>
          <w:b/>
          <w:color w:val="auto"/>
          <w:sz w:val="24"/>
          <w:szCs w:val="24"/>
        </w:rPr>
      </w:pPr>
    </w:p>
    <w:p w14:paraId="3B7D9755">
      <w:pPr>
        <w:pStyle w:val="4"/>
        <w:spacing w:after="0" w:line="240" w:lineRule="auto"/>
        <w:ind w:left="720" w:firstLine="720"/>
        <w:rPr>
          <w:rFonts w:ascii="Times New Roman" w:hAnsi="Times New Roman" w:cs="Times New Roman"/>
          <w:b/>
          <w:color w:val="auto"/>
          <w:sz w:val="24"/>
          <w:szCs w:val="24"/>
        </w:rPr>
      </w:pPr>
    </w:p>
    <w:p w14:paraId="5C236B59">
      <w:pPr>
        <w:pStyle w:val="4"/>
        <w:numPr>
          <w:ilvl w:val="0"/>
          <w:numId w:val="8"/>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171-173</w:t>
      </w:r>
    </w:p>
    <w:p w14:paraId="55DA1C82">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7.1 TAX POLICY AND REGULATORY FRAMEWORK</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173-180</w:t>
      </w:r>
    </w:p>
    <w:p w14:paraId="49B341AD">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7.2 THE DEVELOPMENT OF THE UK PETROLEUM FISCAL AND TAX LEGISLA-</w:t>
      </w:r>
    </w:p>
    <w:p w14:paraId="2B8485A3">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TIVE REGIME</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180-190</w:t>
      </w:r>
    </w:p>
    <w:p w14:paraId="160792F6">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7.3 THE UNITED KINGDOM LEGISLATIVE PROCESS AND TAX LAW MAKING</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190-192</w:t>
      </w:r>
    </w:p>
    <w:p w14:paraId="5627C942">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7.4 ACHIEVING LEGISLATIVE CERTAINTY IN UNITED KINGDOM PE-</w:t>
      </w:r>
    </w:p>
    <w:p w14:paraId="3B9DAB8D">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TROLEUM REVENUE TAXATION – A COMPARATIVE ASSESSMENT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193-200</w:t>
      </w:r>
    </w:p>
    <w:p w14:paraId="2ACB254D">
      <w:pPr>
        <w:pStyle w:val="4"/>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CONCLUSION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200-201</w:t>
      </w:r>
    </w:p>
    <w:p w14:paraId="4E62D616">
      <w:pPr>
        <w:pStyle w:val="4"/>
        <w:spacing w:line="240" w:lineRule="auto"/>
        <w:rPr>
          <w:rFonts w:ascii="Times New Roman" w:hAnsi="Times New Roman" w:cs="Times New Roman"/>
          <w:b/>
          <w:color w:val="auto"/>
          <w:sz w:val="24"/>
          <w:szCs w:val="24"/>
        </w:rPr>
      </w:pPr>
    </w:p>
    <w:p w14:paraId="40BBDF09">
      <w:pPr>
        <w:pStyle w:val="4"/>
        <w:spacing w:line="240" w:lineRule="auto"/>
        <w:rPr>
          <w:rFonts w:ascii="Times New Roman" w:hAnsi="Times New Roman" w:cs="Times New Roman"/>
          <w:b/>
          <w:color w:val="auto"/>
          <w:sz w:val="24"/>
          <w:szCs w:val="24"/>
        </w:rPr>
      </w:pPr>
    </w:p>
    <w:p w14:paraId="02683C55">
      <w:pPr>
        <w:pStyle w:val="4"/>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8: THE CANADIAN PETROLEUM INDUSTRY: A COMPARATIVE REVIEW AND LESSONS FOR NIGERIA</w:t>
      </w:r>
    </w:p>
    <w:p w14:paraId="73DF371B">
      <w:pPr>
        <w:pStyle w:val="4"/>
        <w:spacing w:line="240" w:lineRule="auto"/>
        <w:jc w:val="both"/>
        <w:rPr>
          <w:rFonts w:ascii="Times New Roman" w:hAnsi="Times New Roman" w:cs="Times New Roman"/>
          <w:b/>
          <w:color w:val="auto"/>
          <w:sz w:val="24"/>
          <w:szCs w:val="24"/>
        </w:rPr>
      </w:pPr>
    </w:p>
    <w:p w14:paraId="555209C9">
      <w:pPr>
        <w:pStyle w:val="4"/>
        <w:numPr>
          <w:ilvl w:val="0"/>
          <w:numId w:val="8"/>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202-206</w:t>
      </w:r>
    </w:p>
    <w:p w14:paraId="474E420E">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8.1 THE ENERGY AND TAX POLICY FRAMEWORK IN CANADA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206-209</w:t>
      </w:r>
    </w:p>
    <w:p w14:paraId="6E8E4108">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8.2 FISCAL POLICY AND TAX LAW MAKING IN THE CANADIAN PETRO-</w:t>
      </w:r>
    </w:p>
    <w:p w14:paraId="2048EB5B">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LEUM INDUSTRY</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209-213</w:t>
      </w:r>
    </w:p>
    <w:p w14:paraId="2669E352">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8.3. PETROLEUM REVENUE TAXATION LEGISLATION AND REGULATION </w:t>
      </w:r>
    </w:p>
    <w:p w14:paraId="2879B47D">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IN CANADA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213-217</w:t>
      </w:r>
    </w:p>
    <w:p w14:paraId="5BC0A879">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 ACHIEVING CERTAINTY IN CANADIAN PETROLEUM TAXATION: A </w:t>
      </w:r>
    </w:p>
    <w:p w14:paraId="600DDC40">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BRIEF COMPARATIVE ANALYSIS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217-222</w:t>
      </w:r>
    </w:p>
    <w:p w14:paraId="0EC76FF9">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CONCLUSION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222-223</w:t>
      </w:r>
    </w:p>
    <w:p w14:paraId="141F6C71">
      <w:pPr>
        <w:pStyle w:val="4"/>
        <w:spacing w:line="240" w:lineRule="auto"/>
        <w:rPr>
          <w:rFonts w:ascii="Times New Roman" w:hAnsi="Times New Roman" w:cs="Times New Roman"/>
          <w:color w:val="auto"/>
          <w:sz w:val="24"/>
          <w:szCs w:val="24"/>
        </w:rPr>
      </w:pPr>
    </w:p>
    <w:p w14:paraId="148FDB62">
      <w:pPr>
        <w:pStyle w:val="4"/>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9: THE NIGERIAN PETROLEUM INDUSTRY ACT (PIA): A NEW FRAMEWORK</w:t>
      </w:r>
    </w:p>
    <w:p w14:paraId="6DDFF825">
      <w:pPr>
        <w:pStyle w:val="4"/>
        <w:spacing w:line="240" w:lineRule="auto"/>
        <w:jc w:val="both"/>
        <w:rPr>
          <w:rFonts w:ascii="Times New Roman" w:hAnsi="Times New Roman" w:cs="Times New Roman"/>
          <w:b/>
          <w:color w:val="auto"/>
          <w:sz w:val="24"/>
          <w:szCs w:val="24"/>
        </w:rPr>
      </w:pPr>
    </w:p>
    <w:p w14:paraId="443F9076">
      <w:pPr>
        <w:pStyle w:val="4"/>
        <w:numPr>
          <w:ilvl w:val="0"/>
          <w:numId w:val="8"/>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INTRODUCTION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224-225</w:t>
      </w:r>
    </w:p>
    <w:p w14:paraId="5595E3CB">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9.1 THE NEW LICENSES AND REGULATORY REGIME UNDER THE P.I.A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225-229</w:t>
      </w:r>
    </w:p>
    <w:p w14:paraId="7250D648">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9.2 THE NEW OIL AND GAS FISCAL REGIME</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229-233</w:t>
      </w:r>
    </w:p>
    <w:p w14:paraId="22398BCF">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9.3 A NEW TAX REGIME – HYDROCARBON AND COMPANY INCOME TAX</w:t>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233-238</w:t>
      </w:r>
    </w:p>
    <w:p w14:paraId="14B53D39">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9.3.1 THE PIA TAX EXPENDITURE FRAMEWORK</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238-240</w:t>
      </w:r>
    </w:p>
    <w:p w14:paraId="07FA6FF4">
      <w:pPr>
        <w:pStyle w:val="4"/>
        <w:tabs>
          <w:tab w:val="left" w:pos="142"/>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9.3.2 DECOMMISSIONING AND ABANDONMENT COST UNDER THE PIA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240-241</w:t>
      </w:r>
    </w:p>
    <w:p w14:paraId="2DA5989E">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9.3.3 GAS TAXATION UNDER THE PIA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241-242</w:t>
      </w:r>
    </w:p>
    <w:p w14:paraId="44DCA8FC">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9.4 THE NEW ROYALTY SYSTEM UNDER THE PIA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243-246</w:t>
      </w:r>
    </w:p>
    <w:p w14:paraId="604B9F3D">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9.5 MARGINAL FIELDS FISCAL REGIME AND TAXATION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246-247</w:t>
      </w:r>
    </w:p>
    <w:p w14:paraId="78E335AA">
      <w:pPr>
        <w:pStyle w:val="4"/>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9.6 TREATMENT OF FEES, FINES AND MULTIPLE LEVIES AND CHARGES </w:t>
      </w:r>
    </w:p>
    <w:p w14:paraId="4BA29392">
      <w:pPr>
        <w:pStyle w:val="4"/>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UNDER THE PIA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247-249</w:t>
      </w:r>
    </w:p>
    <w:p w14:paraId="37041DE8">
      <w:pPr>
        <w:pStyle w:val="4"/>
        <w:spacing w:after="0" w:line="240" w:lineRule="auto"/>
        <w:ind w:firstLine="426"/>
        <w:jc w:val="both"/>
        <w:rPr>
          <w:rFonts w:ascii="Times New Roman" w:hAnsi="Times New Roman" w:cs="Times New Roman"/>
          <w:color w:val="auto"/>
          <w:sz w:val="24"/>
          <w:szCs w:val="24"/>
        </w:rPr>
      </w:pPr>
    </w:p>
    <w:p w14:paraId="33FC2D44">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9.7 PETROLEUM HOST COMMUNITY DEVELOPMENT PROGRAMME</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249</w:t>
      </w:r>
    </w:p>
    <w:p w14:paraId="6C615754">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9.8 TAX ADMINISTRATION AND DISPUTE RESOLUTION PROCESS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249-251</w:t>
      </w:r>
    </w:p>
    <w:p w14:paraId="7FD59435">
      <w:pPr>
        <w:pStyle w:val="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CONCLUSION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 xml:space="preserve">     252-253</w:t>
      </w:r>
    </w:p>
    <w:p w14:paraId="3FA3A8CB">
      <w:pPr>
        <w:pStyle w:val="4"/>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CHAPTER 10: SUMMARY, CONCLUSIONS AND RECOMMENDATIONS </w:t>
      </w:r>
    </w:p>
    <w:p w14:paraId="048F5130">
      <w:pPr>
        <w:pStyle w:val="4"/>
        <w:spacing w:line="240" w:lineRule="auto"/>
        <w:rPr>
          <w:rFonts w:ascii="Times New Roman" w:hAnsi="Times New Roman" w:cs="Times New Roman"/>
          <w:b/>
          <w:color w:val="auto"/>
          <w:sz w:val="24"/>
          <w:szCs w:val="24"/>
        </w:rPr>
      </w:pPr>
    </w:p>
    <w:p w14:paraId="34BE1066">
      <w:pPr>
        <w:pStyle w:val="4"/>
        <w:spacing w:line="240" w:lineRule="auto"/>
        <w:rPr>
          <w:rFonts w:ascii="Times New Roman" w:hAnsi="Times New Roman" w:cs="Times New Roman"/>
          <w:bCs/>
          <w:color w:val="auto"/>
          <w:sz w:val="24"/>
          <w:szCs w:val="24"/>
        </w:rPr>
      </w:pPr>
      <w:r>
        <w:rPr>
          <w:rFonts w:ascii="Times New Roman" w:hAnsi="Times New Roman" w:cs="Times New Roman"/>
          <w:bCs/>
          <w:color w:val="auto"/>
          <w:sz w:val="24"/>
          <w:szCs w:val="24"/>
        </w:rPr>
        <w:t>10.1</w:t>
      </w:r>
      <w:r>
        <w:rPr>
          <w:rFonts w:ascii="Times New Roman" w:hAnsi="Times New Roman" w:cs="Times New Roman"/>
          <w:bCs/>
          <w:color w:val="auto"/>
          <w:sz w:val="24"/>
          <w:szCs w:val="24"/>
        </w:rPr>
        <w:tab/>
      </w:r>
      <w:r>
        <w:rPr>
          <w:rFonts w:ascii="Times New Roman" w:hAnsi="Times New Roman" w:cs="Times New Roman"/>
          <w:bCs/>
          <w:color w:val="auto"/>
          <w:sz w:val="24"/>
          <w:szCs w:val="24"/>
        </w:rPr>
        <w:t>SUMMARY OF RESEARCH</w:t>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 xml:space="preserve">   254 - 257</w:t>
      </w:r>
    </w:p>
    <w:p w14:paraId="7A87F942">
      <w:pPr>
        <w:pStyle w:val="4"/>
        <w:spacing w:line="240" w:lineRule="auto"/>
        <w:rPr>
          <w:rFonts w:ascii="Times New Roman" w:hAnsi="Times New Roman" w:cs="Times New Roman"/>
          <w:bCs/>
          <w:color w:val="auto"/>
          <w:sz w:val="24"/>
          <w:szCs w:val="24"/>
        </w:rPr>
      </w:pPr>
      <w:r>
        <w:rPr>
          <w:rFonts w:ascii="Times New Roman" w:hAnsi="Times New Roman" w:cs="Times New Roman"/>
          <w:bCs/>
          <w:color w:val="auto"/>
          <w:sz w:val="24"/>
          <w:szCs w:val="24"/>
        </w:rPr>
        <w:t>10.2</w:t>
      </w:r>
      <w:r>
        <w:rPr>
          <w:rFonts w:ascii="Times New Roman" w:hAnsi="Times New Roman" w:cs="Times New Roman"/>
          <w:bCs/>
          <w:color w:val="auto"/>
          <w:sz w:val="24"/>
          <w:szCs w:val="24"/>
        </w:rPr>
        <w:tab/>
      </w:r>
      <w:r>
        <w:rPr>
          <w:rFonts w:ascii="Times New Roman" w:hAnsi="Times New Roman" w:cs="Times New Roman"/>
          <w:bCs/>
          <w:color w:val="auto"/>
          <w:sz w:val="24"/>
          <w:szCs w:val="24"/>
        </w:rPr>
        <w:t>CONCLUSIONS AND RECOMMENDATIONS</w:t>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 xml:space="preserve">   257 - 262</w:t>
      </w:r>
    </w:p>
    <w:p w14:paraId="4D7261DF">
      <w:pPr>
        <w:pStyle w:val="4"/>
        <w:spacing w:line="240" w:lineRule="auto"/>
        <w:rPr>
          <w:rFonts w:ascii="Times New Roman" w:hAnsi="Times New Roman" w:cs="Times New Roman"/>
          <w:bCs/>
          <w:color w:val="auto"/>
          <w:sz w:val="24"/>
          <w:szCs w:val="24"/>
        </w:rPr>
      </w:pPr>
    </w:p>
    <w:p w14:paraId="38217C75">
      <w:pPr>
        <w:pStyle w:val="4"/>
        <w:spacing w:line="480" w:lineRule="auto"/>
        <w:rPr>
          <w:rFonts w:ascii="Times New Roman" w:hAnsi="Times New Roman"/>
          <w:b/>
          <w:bCs/>
          <w:sz w:val="24"/>
          <w:szCs w:val="24"/>
        </w:rPr>
      </w:pPr>
    </w:p>
    <w:p w14:paraId="77B0632D">
      <w:pPr>
        <w:pStyle w:val="4"/>
        <w:spacing w:line="480" w:lineRule="auto"/>
        <w:jc w:val="both"/>
        <w:rPr>
          <w:rFonts w:ascii="Times New Roman" w:hAnsi="Times New Roman" w:eastAsia="Times New Roman" w:cs="Times New Roman"/>
          <w:b/>
          <w:bCs/>
          <w:sz w:val="24"/>
          <w:szCs w:val="24"/>
        </w:rPr>
      </w:pPr>
      <w:r>
        <w:rPr>
          <w:rFonts w:ascii="Times New Roman" w:hAnsi="Times New Roman"/>
          <w:b/>
          <w:bCs/>
          <w:sz w:val="24"/>
          <w:szCs w:val="24"/>
        </w:rPr>
        <w:t>GLOSSARY AND TERMINOLOGY</w:t>
      </w:r>
    </w:p>
    <w:p w14:paraId="44D9AAE9">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ADR</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Alternative Dispute Resolution</w:t>
      </w:r>
    </w:p>
    <w:p w14:paraId="6D7E865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AGFA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Associated Gas Framework Agreement</w:t>
      </w:r>
    </w:p>
    <w:p w14:paraId="29F454FB">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APA</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Advance Pricing Agreement</w:t>
      </w:r>
    </w:p>
    <w:p w14:paraId="1D6CDC74">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BEPS</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Base Erosion and Profit Shifting</w:t>
      </w:r>
    </w:p>
    <w:p w14:paraId="74521B9D">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CCA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Cost Contribution Arrangement</w:t>
      </w:r>
    </w:p>
    <w:p w14:paraId="0CFA4F33">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CCC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Certainty, Clarity &amp; Consistency</w:t>
      </w:r>
    </w:p>
    <w:p w14:paraId="79BD000F">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CFC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Controlled Foreign Corporation</w:t>
      </w:r>
    </w:p>
    <w:p w14:paraId="62B849EA">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CGT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Capital Gains Tax</w:t>
      </w:r>
    </w:p>
    <w:p w14:paraId="52F8899F">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CIAT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Inter-American Centre of Tax Administrations</w:t>
      </w:r>
    </w:p>
    <w:p w14:paraId="23C47D0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Cost, Insurance and Freight</w:t>
      </w:r>
    </w:p>
    <w:p w14:paraId="43FCDDA4">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CITA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Company Income Tax Act</w:t>
      </w:r>
    </w:p>
    <w:p w14:paraId="56CFB897">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CIT</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Corporate Income Tax</w:t>
      </w:r>
    </w:p>
    <w:p w14:paraId="79E954CA">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CIV</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Collective Investment Vehicle</w:t>
      </w:r>
    </w:p>
    <w:p w14:paraId="0766C4B8">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Common Reporting Standard</w:t>
      </w:r>
    </w:p>
    <w:p w14:paraId="0C9579B9">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DOIBPSA</w:t>
      </w:r>
      <w:r>
        <w:rPr>
          <w:rFonts w:ascii="Times New Roman" w:hAnsi="Times New Roman" w:cs="Times New Roman"/>
          <w:sz w:val="24"/>
          <w:szCs w:val="24"/>
        </w:rPr>
        <w:tab/>
      </w:r>
      <w:r>
        <w:rPr>
          <w:rFonts w:ascii="Times New Roman" w:hAnsi="Times New Roman" w:cs="Times New Roman"/>
          <w:sz w:val="24"/>
          <w:szCs w:val="24"/>
        </w:rPr>
        <w:t>Deep Offshore and Inland Basin Production Sharing Act / PSA Act</w:t>
      </w:r>
    </w:p>
    <w:p w14:paraId="5D6B6E7E">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DPR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Department of Petroleum Resources</w:t>
      </w:r>
    </w:p>
    <w:p w14:paraId="7D7AD22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DTA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Double Tax Agreement</w:t>
      </w:r>
    </w:p>
    <w:p w14:paraId="6BDC2D94">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DTT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Double Tax Treaty</w:t>
      </w:r>
    </w:p>
    <w:p w14:paraId="78CD6EB0">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E&amp;P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Exploration and Production</w:t>
      </w:r>
    </w:p>
    <w:p w14:paraId="7C1C53BD">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EI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Extractive Industries</w:t>
      </w:r>
    </w:p>
    <w:p w14:paraId="65C578F6">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EIA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Environmental Impact Assessment</w:t>
      </w:r>
    </w:p>
    <w:p w14:paraId="63BE669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EITI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Extractive Industries Transparency Initiative</w:t>
      </w:r>
    </w:p>
    <w:p w14:paraId="1A724D94">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EOI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Exchange of Information</w:t>
      </w:r>
    </w:p>
    <w:p w14:paraId="2E16EC60">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ESHS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Environment, Sustainability, Health, and Security</w:t>
      </w:r>
    </w:p>
    <w:p w14:paraId="4076EEE6">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ESTM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Extractives Sector Transparency Measurement Act (Canada)</w:t>
      </w:r>
    </w:p>
    <w:p w14:paraId="2DB7C718">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Fiscal Analysis of Resource Industries</w:t>
      </w:r>
    </w:p>
    <w:p w14:paraId="7E5DBFE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FOB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Free on Board</w:t>
      </w:r>
    </w:p>
    <w:p w14:paraId="6D97049C">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Federal Government of Nigeria</w:t>
      </w:r>
    </w:p>
    <w:p w14:paraId="5598C7D6">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FG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Federal Government</w:t>
      </w:r>
    </w:p>
    <w:p w14:paraId="61373D9F">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FHC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Federal High Court</w:t>
      </w:r>
    </w:p>
    <w:p w14:paraId="1F43F7A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FIRS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Federal Inland Revenue Service</w:t>
      </w:r>
    </w:p>
    <w:p w14:paraId="0D804A96">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Financial Times</w:t>
      </w:r>
    </w:p>
    <w:p w14:paraId="0DBA2793">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Forum on Tax Administration</w:t>
      </w:r>
    </w:p>
    <w:p w14:paraId="398CE607">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G20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Group of Twenty</w:t>
      </w:r>
    </w:p>
    <w:p w14:paraId="6D617A26">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GAAR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General Anti-Avoidance (Abuse) Rule</w:t>
      </w:r>
    </w:p>
    <w:p w14:paraId="4F97FB5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GDP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Gross Domestic Product</w:t>
      </w:r>
    </w:p>
    <w:p w14:paraId="1491217A">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GST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Goods and Services Tax</w:t>
      </w:r>
    </w:p>
    <w:p w14:paraId="1EBE1100">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HMRC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His Majesty’s Revenue and Customs</w:t>
      </w:r>
    </w:p>
    <w:p w14:paraId="7C9EF201">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HMT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His Majesty’s Treasury</w:t>
      </w:r>
    </w:p>
    <w:p w14:paraId="78B71BBA">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IBFD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International Bureau of Fiscal Documentation</w:t>
      </w:r>
    </w:p>
    <w:p w14:paraId="23AFA91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ICMM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International Council on Mining and Metals</w:t>
      </w:r>
    </w:p>
    <w:p w14:paraId="24F63D82">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INEC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Independent National Electoral Commission</w:t>
      </w:r>
    </w:p>
    <w:p w14:paraId="15A2648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International Energy Agency</w:t>
      </w:r>
    </w:p>
    <w:p w14:paraId="11F6EFF3">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IMF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International Monetary Fund</w:t>
      </w:r>
    </w:p>
    <w:p w14:paraId="4960088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IOC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International Oil Company</w:t>
      </w:r>
    </w:p>
    <w:p w14:paraId="043324CB">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Intellectual Property</w:t>
      </w:r>
    </w:p>
    <w:p w14:paraId="391730C0">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Information Technology</w:t>
      </w:r>
    </w:p>
    <w:p w14:paraId="49B607A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JDA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Joint development area</w:t>
      </w:r>
    </w:p>
    <w:p w14:paraId="6750333C">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JOA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Joint operating agreement</w:t>
      </w:r>
    </w:p>
    <w:p w14:paraId="0ACA6D07">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JTB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Joint Tax Board</w:t>
      </w:r>
    </w:p>
    <w:p w14:paraId="12C54C0F">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JV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Joint venture</w:t>
      </w:r>
    </w:p>
    <w:p w14:paraId="36039CDD">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LIBOR</w:t>
      </w:r>
      <w:r>
        <w:rPr>
          <w:rFonts w:ascii="Times New Roman" w:hAnsi="Times New Roman" w:cs="Times New Roman"/>
          <w:sz w:val="24"/>
          <w:szCs w:val="24"/>
        </w:rPr>
        <w:tab/>
      </w:r>
      <w:r>
        <w:rPr>
          <w:rFonts w:ascii="Times New Roman" w:hAnsi="Times New Roman" w:cs="Times New Roman"/>
          <w:sz w:val="24"/>
          <w:szCs w:val="24"/>
        </w:rPr>
        <w:t xml:space="preserve"> London Interbank Offered Rate</w:t>
      </w:r>
    </w:p>
    <w:p w14:paraId="43A593B7">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LIFO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Last In First Out</w:t>
      </w:r>
    </w:p>
    <w:p w14:paraId="4220AD9F">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LTD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Limited Liability Company</w:t>
      </w:r>
    </w:p>
    <w:p w14:paraId="7AB173F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LNG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Liquefied Natural Gas</w:t>
      </w:r>
    </w:p>
    <w:p w14:paraId="04B9D3D3">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LOB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Limitation on Benefits</w:t>
      </w:r>
    </w:p>
    <w:p w14:paraId="67FFEF16">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MAP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Mutual Agreement Procedure</w:t>
      </w:r>
    </w:p>
    <w:p w14:paraId="608409FD">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MOF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Ministry of Finance</w:t>
      </w:r>
    </w:p>
    <w:p w14:paraId="4480176F">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MOJ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Ministry of Justice</w:t>
      </w:r>
    </w:p>
    <w:p w14:paraId="010FE614">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MPR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Ministry of Petroleum Resources</w:t>
      </w:r>
    </w:p>
    <w:p w14:paraId="59FA3E3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MNE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Multinational Enterprise</w:t>
      </w:r>
    </w:p>
    <w:p w14:paraId="7030CF17">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National Assembly</w:t>
      </w:r>
    </w:p>
    <w:p w14:paraId="1B85A33D">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NGO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Non-Governmental Organization</w:t>
      </w:r>
    </w:p>
    <w:p w14:paraId="70D414A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NPV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Net Present Value</w:t>
      </w:r>
    </w:p>
    <w:p w14:paraId="13284A8B">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NNPC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Nigeria National Petroleum Corporation</w:t>
      </w:r>
    </w:p>
    <w:p w14:paraId="0BC07943">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NOC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National Oil Company</w:t>
      </w:r>
    </w:p>
    <w:p w14:paraId="71F8ACBE">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NMDPRA</w:t>
      </w:r>
      <w:r>
        <w:rPr>
          <w:rFonts w:ascii="Times New Roman" w:hAnsi="Times New Roman" w:cs="Times New Roman"/>
          <w:sz w:val="24"/>
          <w:szCs w:val="24"/>
        </w:rPr>
        <w:tab/>
      </w:r>
      <w:r>
        <w:rPr>
          <w:rFonts w:ascii="Times New Roman" w:hAnsi="Times New Roman" w:cs="Times New Roman"/>
          <w:sz w:val="24"/>
          <w:szCs w:val="24"/>
        </w:rPr>
        <w:t>Nigeria Midstream and Downstream Petroleum Regulatory Authority</w:t>
      </w:r>
    </w:p>
    <w:p w14:paraId="6C07F812">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NUPRC</w:t>
      </w:r>
      <w:r>
        <w:rPr>
          <w:rFonts w:ascii="Times New Roman" w:hAnsi="Times New Roman" w:cs="Times New Roman"/>
          <w:sz w:val="24"/>
          <w:szCs w:val="24"/>
        </w:rPr>
        <w:tab/>
      </w:r>
      <w:r>
        <w:rPr>
          <w:rFonts w:ascii="Times New Roman" w:hAnsi="Times New Roman" w:cs="Times New Roman"/>
          <w:sz w:val="24"/>
          <w:szCs w:val="24"/>
        </w:rPr>
        <w:t>Nigeria Upstream Petroleum Regulatory Commission</w:t>
      </w:r>
    </w:p>
    <w:p w14:paraId="08C4BEE8">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O&amp;G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Oil and Gas</w:t>
      </w:r>
    </w:p>
    <w:p w14:paraId="7EDC8133">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OECD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Organization for Economic Co-operation and Development</w:t>
      </w:r>
    </w:p>
    <w:p w14:paraId="6C558732">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Permanent Establishment</w:t>
      </w:r>
    </w:p>
    <w:p w14:paraId="28308B2B">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PPTA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Petroleum Profits Tax Act</w:t>
      </w:r>
    </w:p>
    <w:p w14:paraId="6957A9CA">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Petroleum Industry Bill</w:t>
      </w:r>
    </w:p>
    <w:p w14:paraId="63199AEC">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PIA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Petroleum Industry Act</w:t>
      </w:r>
    </w:p>
    <w:p w14:paraId="6859493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PSA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Production Sharing Agreement</w:t>
      </w:r>
    </w:p>
    <w:p w14:paraId="4459C780">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PSC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Production Sharing Contract</w:t>
      </w:r>
    </w:p>
    <w:p w14:paraId="43474627">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SAAR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Specific Anti-Avoidance Rule</w:t>
      </w:r>
    </w:p>
    <w:p w14:paraId="205B190A">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SAPETRO</w:t>
      </w:r>
      <w:r>
        <w:rPr>
          <w:rFonts w:ascii="Times New Roman" w:hAnsi="Times New Roman" w:cs="Times New Roman"/>
          <w:sz w:val="24"/>
          <w:szCs w:val="24"/>
        </w:rPr>
        <w:tab/>
      </w:r>
      <w:r>
        <w:rPr>
          <w:rFonts w:ascii="Times New Roman" w:hAnsi="Times New Roman" w:cs="Times New Roman"/>
          <w:sz w:val="24"/>
          <w:szCs w:val="24"/>
        </w:rPr>
        <w:t>South Atlantic Petroleum E&amp;P Company Limited</w:t>
      </w:r>
    </w:p>
    <w:p w14:paraId="61DC6A6D">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SPDC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Shell Petroleum Development Company</w:t>
      </w:r>
    </w:p>
    <w:p w14:paraId="5FEBB09C">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SNEPCO</w:t>
      </w:r>
      <w:r>
        <w:rPr>
          <w:rFonts w:ascii="Times New Roman" w:hAnsi="Times New Roman" w:cs="Times New Roman"/>
          <w:sz w:val="24"/>
          <w:szCs w:val="24"/>
        </w:rPr>
        <w:tab/>
      </w:r>
      <w:r>
        <w:rPr>
          <w:rFonts w:ascii="Times New Roman" w:hAnsi="Times New Roman" w:cs="Times New Roman"/>
          <w:sz w:val="24"/>
          <w:szCs w:val="24"/>
        </w:rPr>
        <w:t>Shell Nigeria Exploration and Production Company</w:t>
      </w:r>
    </w:p>
    <w:p w14:paraId="6FE348C8">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Supreme Court</w:t>
      </w:r>
    </w:p>
    <w:p w14:paraId="7D6C0103">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TAT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Tax Appeal Tribunal</w:t>
      </w:r>
    </w:p>
    <w:p w14:paraId="336FC0B5">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TPB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Tax Policy Branch</w:t>
      </w:r>
    </w:p>
    <w:p w14:paraId="6140B9E4">
      <w:pPr>
        <w:pStyle w:val="4"/>
        <w:spacing w:line="480" w:lineRule="auto"/>
        <w:jc w:val="both"/>
        <w:rPr>
          <w:rFonts w:ascii="Times New Roman" w:hAnsi="Times New Roman"/>
          <w:sz w:val="24"/>
        </w:rPr>
      </w:pPr>
      <w:r>
        <w:rPr>
          <w:rFonts w:ascii="Times New Roman" w:hAnsi="Times New Roman"/>
          <w:sz w:val="24"/>
        </w:rPr>
        <w:t>TPM</w:t>
      </w:r>
      <w:r>
        <w:rPr>
          <w:rFonts w:ascii="Times New Roman" w:hAnsi="Times New Roman"/>
          <w:sz w:val="24"/>
        </w:rPr>
        <w:tab/>
      </w:r>
      <w:r>
        <w:rPr>
          <w:rFonts w:ascii="Times New Roman" w:hAnsi="Times New Roman"/>
          <w:sz w:val="24"/>
        </w:rPr>
        <w:tab/>
      </w:r>
      <w:r>
        <w:rPr>
          <w:rFonts w:ascii="Times New Roman" w:hAnsi="Times New Roman"/>
          <w:sz w:val="24"/>
        </w:rPr>
        <w:t>Tax Policy Making</w:t>
      </w:r>
    </w:p>
    <w:p w14:paraId="0B284D60">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TRACE</w:t>
      </w:r>
      <w:r>
        <w:rPr>
          <w:rFonts w:ascii="Times New Roman" w:hAnsi="Times New Roman" w:cs="Times New Roman"/>
          <w:sz w:val="24"/>
          <w:szCs w:val="24"/>
        </w:rPr>
        <w:tab/>
      </w:r>
      <w:r>
        <w:rPr>
          <w:rFonts w:ascii="Times New Roman" w:hAnsi="Times New Roman" w:cs="Times New Roman"/>
          <w:sz w:val="24"/>
          <w:szCs w:val="24"/>
        </w:rPr>
        <w:t xml:space="preserve"> Treaty Relief and Compliance Enhancement</w:t>
      </w:r>
    </w:p>
    <w:p w14:paraId="242D24C8">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United Nations</w:t>
      </w:r>
    </w:p>
    <w:p w14:paraId="72E8DC6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VAT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Value Added Tax</w:t>
      </w:r>
    </w:p>
    <w:p w14:paraId="6A5B5944">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This study uses various terminologies that are similar in meaning in Nigeria, Canada, and the United Kingdom. These terms are used very commonly in some jurisdictions more than the others. The equivalent terms carry similar meanings in the remaining jurisdictions. The following terms are used interchangeably in the Thesis:</w:t>
      </w:r>
    </w:p>
    <w:p w14:paraId="4D7C726C">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Companies / Corporations.</w:t>
      </w:r>
    </w:p>
    <w:p w14:paraId="3A3E8894">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Oil and Gas/Petroleum.</w:t>
      </w:r>
    </w:p>
    <w:p w14:paraId="0C0A6C76">
      <w:pPr>
        <w:pStyle w:val="31"/>
        <w:spacing w:line="480" w:lineRule="auto"/>
        <w:jc w:val="both"/>
      </w:pPr>
      <w:r>
        <w:rPr>
          <w:lang w:val="de-DE"/>
        </w:rPr>
        <w:t>Shell / SPDC / SNEPCO.</w:t>
      </w:r>
    </w:p>
    <w:p w14:paraId="06EFA46A">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Sector / Industry.</w:t>
      </w:r>
    </w:p>
    <w:p w14:paraId="32833D2B">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Tax Statute / Tax Law.</w:t>
      </w:r>
    </w:p>
    <w:p w14:paraId="6FCE591C">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Company Law/Corporate Law.</w:t>
      </w:r>
    </w:p>
    <w:p w14:paraId="5A3D73BE">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Applicant/Complainant.</w:t>
      </w:r>
    </w:p>
    <w:p w14:paraId="028E2182">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Notice / Demand.</w:t>
      </w:r>
    </w:p>
    <w:p w14:paraId="21A837C5">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Managers / Officers.</w:t>
      </w:r>
    </w:p>
    <w:p w14:paraId="4D70353E">
      <w:pPr>
        <w:pStyle w:val="30"/>
        <w:spacing w:line="480" w:lineRule="auto"/>
        <w:jc w:val="both"/>
        <w:rPr>
          <w:rFonts w:ascii="Times New Roman" w:hAnsi="Times New Roman" w:eastAsia="Times New Roman" w:cs="Times New Roman"/>
          <w:color w:val="000000"/>
          <w:sz w:val="24"/>
          <w:szCs w:val="24"/>
        </w:rPr>
      </w:pPr>
      <w:r>
        <w:rPr>
          <w:rFonts w:ascii="Times New Roman" w:hAnsi="Times New Roman"/>
          <w:color w:val="000000"/>
          <w:sz w:val="24"/>
          <w:szCs w:val="24"/>
        </w:rPr>
        <w:t>Actions / Suits.</w:t>
      </w:r>
    </w:p>
    <w:p w14:paraId="64B7709A">
      <w:pPr>
        <w:pStyle w:val="39"/>
        <w:spacing w:line="480" w:lineRule="auto"/>
        <w:sectPr>
          <w:headerReference r:id="rId7" w:type="first"/>
          <w:headerReference r:id="rId6" w:type="default"/>
          <w:pgSz w:w="11900" w:h="16840"/>
          <w:pgMar w:top="1440" w:right="1080" w:bottom="1276" w:left="1080" w:header="708" w:footer="708" w:gutter="0"/>
          <w:pgNumType w:start="1"/>
          <w:cols w:space="720" w:num="1"/>
          <w:titlePg/>
          <w:docGrid w:linePitch="326" w:charSpace="0"/>
        </w:sectPr>
      </w:pPr>
    </w:p>
    <w:p w14:paraId="6C679F0E">
      <w:pPr>
        <w:pStyle w:val="42"/>
        <w:spacing w:line="480" w:lineRule="auto"/>
        <w:jc w:val="center"/>
        <w:rPr>
          <w:b/>
          <w:bCs/>
          <w:smallCaps/>
        </w:rPr>
      </w:pPr>
      <w:r>
        <w:rPr>
          <w:b/>
          <w:bCs/>
          <w:smallCaps/>
        </w:rPr>
        <w:t>uncertainty is the lack of certainty – it is a state of limited knowledge where it is impossible to exactly describe the existing state, a future outcome, or more than one possible outcome – Wikipedia</w:t>
      </w:r>
    </w:p>
    <w:p w14:paraId="5E4DD77E">
      <w:pPr>
        <w:pStyle w:val="42"/>
        <w:spacing w:line="480" w:lineRule="auto"/>
        <w:jc w:val="center"/>
        <w:rPr>
          <w:smallCaps/>
        </w:rPr>
      </w:pPr>
    </w:p>
    <w:p w14:paraId="6B50DCE7">
      <w:pPr>
        <w:pStyle w:val="42"/>
        <w:spacing w:line="480" w:lineRule="auto"/>
        <w:jc w:val="center"/>
        <w:rPr>
          <w:smallCaps/>
        </w:rPr>
      </w:pPr>
      <w:r>
        <w:rPr>
          <w:smallCaps/>
        </w:rPr>
        <w:t>‘Whoever hopes a faultless tax to see,</w:t>
      </w:r>
      <w:r>
        <w:rPr>
          <w:smallCaps/>
        </w:rPr>
        <w:br w:type="textWrapping"/>
      </w:r>
      <w:r>
        <w:rPr>
          <w:smallCaps/>
        </w:rPr>
        <w:t>Hopes what ne’er was, or is, or e’er shall be’</w:t>
      </w:r>
      <w:r>
        <w:rPr>
          <w:smallCaps/>
          <w:vertAlign w:val="superscript"/>
        </w:rPr>
        <w:footnoteReference w:id="0"/>
      </w:r>
    </w:p>
    <w:p w14:paraId="18378BD9">
      <w:pPr>
        <w:pStyle w:val="39"/>
        <w:spacing w:line="480" w:lineRule="auto"/>
        <w:rPr>
          <w:rFonts w:ascii="Times New Roman" w:hAnsi="Times New Roman" w:eastAsia="Times New Roman" w:cs="Times New Roman"/>
        </w:rPr>
      </w:pPr>
    </w:p>
    <w:p w14:paraId="25FCB61C">
      <w:pPr>
        <w:pStyle w:val="4"/>
        <w:spacing w:after="0" w:line="480" w:lineRule="auto"/>
        <w:jc w:val="both"/>
        <w:rPr>
          <w:rFonts w:ascii="Times New Roman" w:hAnsi="Times New Roman" w:eastAsia="Times New Roman" w:cs="Times New Roman"/>
          <w:b/>
          <w:bCs/>
          <w:sz w:val="24"/>
          <w:szCs w:val="24"/>
        </w:rPr>
      </w:pPr>
      <w:r>
        <w:rPr>
          <w:rFonts w:ascii="Times New Roman" w:hAnsi="Times New Roman"/>
          <w:b/>
          <w:bCs/>
          <w:caps/>
          <w:sz w:val="24"/>
          <w:szCs w:val="24"/>
        </w:rPr>
        <w:t>ABSTRACT</w:t>
      </w:r>
    </w:p>
    <w:p w14:paraId="6AE32570">
      <w:pPr>
        <w:pStyle w:val="4"/>
        <w:spacing w:after="0" w:line="480" w:lineRule="auto"/>
        <w:jc w:val="both"/>
        <w:rPr>
          <w:rFonts w:ascii="Times New Roman" w:hAnsi="Times New Roman" w:eastAsia="Times New Roman" w:cs="Times New Roman"/>
          <w:sz w:val="24"/>
          <w:szCs w:val="24"/>
        </w:rPr>
      </w:pPr>
    </w:p>
    <w:p w14:paraId="27202EA7">
      <w:pPr>
        <w:pStyle w:val="4"/>
        <w:spacing w:line="480" w:lineRule="auto"/>
        <w:jc w:val="both"/>
        <w:rPr>
          <w:rFonts w:ascii="Times New Roman" w:hAnsi="Times New Roman" w:eastAsia="Times New Roman" w:cs="Times New Roman"/>
          <w:sz w:val="24"/>
          <w:szCs w:val="24"/>
        </w:rPr>
      </w:pPr>
      <w:r>
        <w:rPr>
          <w:rFonts w:ascii="Times New Roman" w:hAnsi="Times New Roman"/>
          <w:sz w:val="24"/>
          <w:szCs w:val="24"/>
        </w:rPr>
        <w:t>Certainty as a concept means a firm conviction that something is the case. The Cambridge English dictionary defines certainty as the state of being completely confident or having no doubt about something</w:t>
      </w:r>
      <w:r>
        <w:rPr>
          <w:rFonts w:ascii="Times New Roman" w:hAnsi="Times New Roman" w:eastAsia="Times New Roman" w:cs="Times New Roman"/>
          <w:sz w:val="24"/>
          <w:szCs w:val="24"/>
          <w:vertAlign w:val="superscript"/>
        </w:rPr>
        <w:footnoteReference w:id="1"/>
      </w:r>
      <w:r>
        <w:rPr>
          <w:rFonts w:ascii="Times New Roman" w:hAnsi="Times New Roman"/>
          <w:sz w:val="24"/>
          <w:szCs w:val="24"/>
        </w:rPr>
        <w:t xml:space="preserve">. Whether certainty is achievable in life is debatable, and clearly is outside the scope of this study. Certainty is, however, a key requirement for the proper operation of a ‘good’ legal or tax system.  This is an area in which legal and tax systems in many jurisdictions fall short. For businesses, certainty is key to confident decision making. Plans based on incomplete assumptions introduce risk. Uncertainty about prospective tax receipts is equally concerning for government. Resolving uncertainty is therefore a poor second best to avoiding it in the first place, especially for individuals and small businesses, which may not have the resources to deal with complexities in their tax affairs. </w:t>
      </w:r>
    </w:p>
    <w:p w14:paraId="18AA84FA">
      <w:pPr>
        <w:pStyle w:val="4"/>
        <w:spacing w:after="0" w:line="480" w:lineRule="auto"/>
        <w:jc w:val="both"/>
        <w:rPr>
          <w:rFonts w:ascii="Times New Roman" w:hAnsi="Times New Roman" w:eastAsia="Times New Roman" w:cs="Times New Roman"/>
          <w:sz w:val="24"/>
          <w:szCs w:val="24"/>
        </w:rPr>
      </w:pPr>
      <w:r>
        <w:rPr>
          <w:rFonts w:ascii="Times New Roman" w:hAnsi="Times New Roman"/>
          <w:sz w:val="24"/>
          <w:szCs w:val="24"/>
        </w:rPr>
        <w:t>This thesis examines the subject of certainty in fiscal and tax policy substance and design, tax lawmaking and the role of language in achieving certainty, clarity and consistency in tax law drafting, implementation, and tax administration, as it pertains to the upstream</w:t>
      </w:r>
      <w:r>
        <w:rPr>
          <w:rStyle w:val="23"/>
          <w:sz w:val="24"/>
          <w:szCs w:val="24"/>
        </w:rPr>
        <w:footnoteReference w:id="2"/>
      </w:r>
      <w:r>
        <w:rPr>
          <w:rFonts w:ascii="Times New Roman" w:hAnsi="Times New Roman"/>
          <w:sz w:val="24"/>
          <w:szCs w:val="24"/>
        </w:rPr>
        <w:t xml:space="preserve"> sector of the Nigerian petroleum industry. </w:t>
      </w:r>
    </w:p>
    <w:p w14:paraId="60BC2929">
      <w:pPr>
        <w:pStyle w:val="4"/>
        <w:spacing w:after="0" w:line="480" w:lineRule="auto"/>
        <w:jc w:val="both"/>
        <w:rPr>
          <w:rFonts w:ascii="Times New Roman" w:hAnsi="Times New Roman" w:eastAsia="Times New Roman" w:cs="Times New Roman"/>
          <w:sz w:val="24"/>
          <w:szCs w:val="24"/>
        </w:rPr>
      </w:pPr>
    </w:p>
    <w:p w14:paraId="2D83E888">
      <w:pPr>
        <w:pStyle w:val="4"/>
        <w:spacing w:line="480" w:lineRule="auto"/>
        <w:jc w:val="both"/>
        <w:rPr>
          <w:rFonts w:ascii="Times New Roman" w:hAnsi="Times New Roman" w:eastAsia="Times New Roman" w:cs="Times New Roman"/>
          <w:sz w:val="24"/>
          <w:szCs w:val="24"/>
        </w:rPr>
      </w:pPr>
      <w:r>
        <w:rPr>
          <w:rFonts w:ascii="Times New Roman" w:hAnsi="Times New Roman"/>
          <w:sz w:val="24"/>
          <w:szCs w:val="24"/>
        </w:rPr>
        <w:t xml:space="preserve">Using primarily a combination of fiscal and tax policy reviews, black letter analysis of the law, review of judicial decisions and the comparative analysis of selected jurisdictions, this thesis advances five (5) main claims. First, is that although taxation is statute based, it reflects the social, economic, cultural values and aspirations of a people. Translating these values into an ascertainable fiscal policy, which then gets articulated and drafted into statute to be administered understandably and consistently, presents definite challenges, not helped by the frailties of language. Second, it seeks to establish that the principles and objectives that underpin taxation and tax systems, are not always clear or aligned, and concerning tax policy formulation and lawmaking, may affect or determine the level or degree of clarity, certainty, and consistency (CCC) in tax understanding, interpretation, implementation, and administration. Third, it subscribes to the view or position that language and communication present special challenges to articulating fiscal and tax policy and the drafting of tax statutes. Translating fiscal and tax policy into clear, certain, effective, and enforceable provisions presents peculiar challenges for legislative drafting, given the nature of language. Fourth, in terms of understanding taxing provisions, and the interpretation and implementation of taxation provisions, the tax authority, taxpayer and the courts or tribunals have a significant role to play in ascertaining certainty and clarity of tax provisions, by understanding fiscal policy and taxing principles. Fifth, it submits that to facilitate the consistent understanding, interpretation, and implementation of taxing provisions by all parties, the objective should be to keep statute language simple, and principle-guided, recognizing of course that this is a huge task. In any case, as much as possible, complexity should be avoided, and taxation should be principle guided. </w:t>
      </w:r>
    </w:p>
    <w:p w14:paraId="387C6CB1">
      <w:pPr>
        <w:pStyle w:val="4"/>
        <w:spacing w:line="480" w:lineRule="auto"/>
        <w:jc w:val="both"/>
        <w:rPr>
          <w:rFonts w:ascii="Times New Roman" w:hAnsi="Times New Roman"/>
          <w:sz w:val="24"/>
          <w:szCs w:val="24"/>
        </w:rPr>
      </w:pPr>
      <w:r>
        <w:rPr>
          <w:rFonts w:ascii="Times New Roman" w:hAnsi="Times New Roman"/>
          <w:sz w:val="24"/>
          <w:szCs w:val="24"/>
        </w:rPr>
        <w:t xml:space="preserve">Following the above propositions, some of the questions to be addressed include: </w:t>
      </w:r>
    </w:p>
    <w:p w14:paraId="1862A07D">
      <w:pPr>
        <w:pStyle w:val="4"/>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If certainty is so desirable, how, and why can uncertainty arise? </w:t>
      </w:r>
    </w:p>
    <w:p w14:paraId="1AB39B40">
      <w:pPr>
        <w:pStyle w:val="4"/>
        <w:numPr>
          <w:ilvl w:val="0"/>
          <w:numId w:val="9"/>
        </w:numPr>
        <w:spacing w:line="480" w:lineRule="auto"/>
        <w:jc w:val="both"/>
        <w:rPr>
          <w:rFonts w:ascii="Times New Roman" w:hAnsi="Times New Roman" w:eastAsia="Times New Roman" w:cs="Times New Roman"/>
          <w:sz w:val="24"/>
          <w:szCs w:val="24"/>
        </w:rPr>
      </w:pPr>
      <w:r>
        <w:rPr>
          <w:rFonts w:ascii="Times New Roman" w:hAnsi="Times New Roman"/>
          <w:sz w:val="24"/>
          <w:szCs w:val="24"/>
        </w:rPr>
        <w:t xml:space="preserve">Can it be reduced or avoided, and should it always be reduced or avoided? </w:t>
      </w:r>
    </w:p>
    <w:p w14:paraId="7757B6CB">
      <w:pPr>
        <w:pStyle w:val="4"/>
        <w:numPr>
          <w:ilvl w:val="0"/>
          <w:numId w:val="9"/>
        </w:numPr>
        <w:spacing w:line="480" w:lineRule="auto"/>
        <w:jc w:val="both"/>
        <w:rPr>
          <w:rFonts w:ascii="Times New Roman" w:hAnsi="Times New Roman" w:eastAsia="Times New Roman" w:cs="Times New Roman"/>
          <w:sz w:val="24"/>
          <w:szCs w:val="24"/>
        </w:rPr>
      </w:pPr>
      <w:r>
        <w:rPr>
          <w:rFonts w:ascii="Times New Roman" w:hAnsi="Times New Roman"/>
          <w:sz w:val="24"/>
          <w:szCs w:val="24"/>
        </w:rPr>
        <w:t xml:space="preserve">In a complex economic environment, such as the petroleum industry, is it perhaps unrealistic to expect tax certainty? </w:t>
      </w:r>
    </w:p>
    <w:p w14:paraId="7B0C940F">
      <w:pPr>
        <w:pStyle w:val="4"/>
        <w:numPr>
          <w:ilvl w:val="0"/>
          <w:numId w:val="9"/>
        </w:numPr>
        <w:spacing w:line="480" w:lineRule="auto"/>
        <w:jc w:val="both"/>
        <w:rPr>
          <w:rFonts w:ascii="Times New Roman" w:hAnsi="Times New Roman" w:eastAsia="Times New Roman" w:cs="Times New Roman"/>
          <w:sz w:val="24"/>
          <w:szCs w:val="24"/>
        </w:rPr>
      </w:pPr>
      <w:r>
        <w:rPr>
          <w:rFonts w:ascii="Times New Roman" w:hAnsi="Times New Roman"/>
          <w:sz w:val="24"/>
          <w:szCs w:val="24"/>
        </w:rPr>
        <w:t>As there will always be room for a different understanding of policy objectives and interpretation of tax law provisions, is it feasible or possible to achieve certainty in fiscal and legislative substance and form, or should the objective be to secure clarity and consistency of application, thus indirectly achieving certainty? and</w:t>
      </w:r>
    </w:p>
    <w:p w14:paraId="2C990FA4">
      <w:pPr>
        <w:pStyle w:val="4"/>
        <w:numPr>
          <w:ilvl w:val="0"/>
          <w:numId w:val="9"/>
        </w:numPr>
        <w:spacing w:line="480" w:lineRule="auto"/>
        <w:jc w:val="both"/>
        <w:rPr>
          <w:rFonts w:ascii="Times New Roman" w:hAnsi="Times New Roman" w:eastAsia="Times New Roman" w:cs="Times New Roman"/>
          <w:sz w:val="24"/>
          <w:szCs w:val="24"/>
        </w:rPr>
      </w:pPr>
      <w:r>
        <w:rPr>
          <w:rFonts w:ascii="Times New Roman" w:hAnsi="Times New Roman"/>
          <w:sz w:val="24"/>
          <w:szCs w:val="24"/>
        </w:rPr>
        <w:t xml:space="preserve">What is the significance of drafting competencies in translating policy into black letter law or statute, and how may this facilitate certainty of taxation language and statute, especially in upstream petroleum taxation in Nigeria. </w:t>
      </w:r>
    </w:p>
    <w:p w14:paraId="06F9DABA">
      <w:pPr>
        <w:pStyle w:val="4"/>
        <w:spacing w:line="480" w:lineRule="auto"/>
      </w:pPr>
      <w:r>
        <w:rPr>
          <w:rFonts w:ascii="Arial Unicode MS" w:hAnsi="Arial Unicode MS"/>
        </w:rPr>
        <w:br w:type="page"/>
      </w:r>
    </w:p>
    <w:p w14:paraId="3A48C45F">
      <w:pPr>
        <w:pStyle w:val="63"/>
        <w:jc w:val="center"/>
        <w:rPr>
          <w:b/>
          <w:bCs/>
          <w:caps/>
          <w:lang w:val="de-DE"/>
        </w:rPr>
      </w:pPr>
      <w:bookmarkStart w:id="0" w:name="_Toc1"/>
      <w:r>
        <w:rPr>
          <w:b/>
          <w:bCs/>
          <w:lang w:val="de-DE"/>
        </w:rPr>
        <w:t>CHAPTER 1</w:t>
      </w:r>
      <w:bookmarkEnd w:id="0"/>
    </w:p>
    <w:p w14:paraId="14A25033">
      <w:pPr>
        <w:pStyle w:val="63"/>
        <w:jc w:val="center"/>
        <w:rPr>
          <w:b/>
          <w:bCs/>
          <w:lang w:val="de-DE"/>
        </w:rPr>
      </w:pPr>
    </w:p>
    <w:p w14:paraId="31EB6648">
      <w:pPr>
        <w:pStyle w:val="63"/>
        <w:jc w:val="center"/>
        <w:rPr>
          <w:b/>
          <w:bCs/>
          <w:lang w:val="de-DE"/>
        </w:rPr>
      </w:pPr>
      <w:r>
        <w:rPr>
          <w:b/>
          <w:bCs/>
          <w:lang w:val="de-DE"/>
        </w:rPr>
        <w:t>INTRODUCTION</w:t>
      </w:r>
    </w:p>
    <w:p w14:paraId="2EBFA303">
      <w:pPr>
        <w:pStyle w:val="4"/>
        <w:rPr>
          <w:b/>
          <w:bCs/>
          <w:lang w:val="de-DE"/>
        </w:rPr>
      </w:pPr>
    </w:p>
    <w:p w14:paraId="08DD6F2D">
      <w:pPr>
        <w:pStyle w:val="39"/>
        <w:spacing w:line="480" w:lineRule="auto"/>
        <w:jc w:val="center"/>
        <w:rPr>
          <w:rFonts w:ascii="Times New Roman" w:hAnsi="Times New Roman" w:eastAsia="Times New Roman" w:cs="Times New Roman"/>
          <w:b/>
          <w:bCs/>
          <w:smallCaps/>
        </w:rPr>
      </w:pPr>
      <w:bookmarkStart w:id="1" w:name="_Toc2"/>
      <w:r>
        <w:rPr>
          <w:rFonts w:ascii="Times New Roman" w:hAnsi="Times New Roman"/>
          <w:b/>
          <w:bCs/>
          <w:smallCaps/>
        </w:rPr>
        <w:t>THE CHALLENGE OF UNCERTAINTY IN THE NIGERIA UPSTREAM PETROLEUM TAXATION:  Achieving certainty, clarity, consistency and simplicity, in upstream petroleum fiscal AND TAX policy and taxation laws.</w:t>
      </w:r>
      <w:bookmarkEnd w:id="1"/>
    </w:p>
    <w:p w14:paraId="31FED6F5">
      <w:pPr>
        <w:pStyle w:val="4"/>
        <w:spacing w:after="0" w:line="480" w:lineRule="auto"/>
        <w:jc w:val="both"/>
        <w:rPr>
          <w:rFonts w:ascii="Times New Roman" w:hAnsi="Times New Roman" w:eastAsia="Times New Roman" w:cs="Times New Roman"/>
          <w:sz w:val="24"/>
          <w:szCs w:val="24"/>
        </w:rPr>
      </w:pPr>
    </w:p>
    <w:p w14:paraId="18894508">
      <w:pPr>
        <w:pStyle w:val="4"/>
        <w:spacing w:after="0" w:line="480" w:lineRule="auto"/>
        <w:jc w:val="center"/>
        <w:rPr>
          <w:rFonts w:ascii="Times New Roman" w:hAnsi="Times New Roman" w:eastAsia="Times New Roman" w:cs="Times New Roman"/>
          <w:sz w:val="24"/>
          <w:szCs w:val="24"/>
        </w:rPr>
      </w:pPr>
      <w:r>
        <w:rPr>
          <w:rFonts w:ascii="Times New Roman" w:hAnsi="Times New Roman"/>
          <w:sz w:val="24"/>
          <w:szCs w:val="24"/>
        </w:rPr>
        <w:t>“You cannot be certain about uncertainty”— Frank Knight.</w:t>
      </w:r>
      <w:r>
        <w:rPr>
          <w:rFonts w:ascii="Times New Roman" w:hAnsi="Times New Roman" w:eastAsia="Times New Roman" w:cs="Times New Roman"/>
          <w:sz w:val="24"/>
          <w:szCs w:val="24"/>
          <w:vertAlign w:val="superscript"/>
        </w:rPr>
        <w:footnoteReference w:id="3"/>
      </w:r>
    </w:p>
    <w:p w14:paraId="6529F715">
      <w:pPr>
        <w:pStyle w:val="4"/>
        <w:numPr>
          <w:ilvl w:val="0"/>
          <w:numId w:val="10"/>
        </w:numPr>
        <w:spacing w:after="0" w:line="480" w:lineRule="auto"/>
        <w:jc w:val="both"/>
        <w:rPr>
          <w:rFonts w:ascii="Times New Roman" w:hAnsi="Times New Roman"/>
          <w:sz w:val="24"/>
          <w:szCs w:val="24"/>
        </w:rPr>
      </w:pPr>
      <w:r>
        <w:rPr>
          <w:rStyle w:val="41"/>
          <w:rFonts w:ascii="Times New Roman" w:hAnsi="Times New Roman"/>
          <w:sz w:val="24"/>
          <w:szCs w:val="24"/>
        </w:rPr>
        <w:t>Background</w:t>
      </w:r>
    </w:p>
    <w:p w14:paraId="15F8BCCB">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 xml:space="preserve">This introductory chapter of the thesis presents the outline for the study of the subject of the challenge of certainty in fiscal and tax policy design and tax law-making, interpretation and administration in the Nigeria upstream petroleum taxation. The chapter defines the research objective, research question(s), the scope of research and the proposed methodology of study, as well as the significance of the study. </w:t>
      </w:r>
    </w:p>
    <w:p w14:paraId="026F7B43">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 xml:space="preserve">The chapter is in seven sections. Section 1.1 provides the background to the Nigeria petroleum industry. Section 1.2 discusses the key concepts and the challenge of certainty, clarity, consistency and simplicity in fiscal and tax policy formulation and tax law drafting, and the challenges as they present to Nigerian upstream petroleum taxation. This section also puts forward the argument that the inadequacy or absence of regular, structured, and sustained articulation and formulation of principle-guided fiscal and tax policy contribute to creating uncertainty in tax laws and administration. The role of language in achieving fiscal, tax policy and tax law certainty is examined. Section 1.3, then states the scope and rationale of the research, whilst section 1.4 discusses the research question and the working hypothesis for the study. Section 1.5 identifies and briefly explains the research methodology to be adopted. The significance and contribution of the study is discussed in section 1.6. The proposed chapter structure for the thesis is presented in section 1.7. The working recommendations for the study follow suit immediately. </w:t>
      </w:r>
    </w:p>
    <w:p w14:paraId="09D85FB5">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The unifying theme for this study is the need to identify and interrogate the factors responsible for the uncertainty in upstream petroleum taxation in Nigeria. Also discussed are what actions may be required to achieve certainty, clarity, and consistency (CCC) in upstream petroleum tax administration. The generally accepted definition of the word “Uncertainty”</w:t>
      </w:r>
      <w:r>
        <w:rPr>
          <w:rFonts w:ascii="Times New Roman" w:hAnsi="Times New Roman" w:eastAsia="Times New Roman" w:cs="Times New Roman"/>
          <w:sz w:val="24"/>
          <w:szCs w:val="24"/>
          <w:vertAlign w:val="superscript"/>
        </w:rPr>
        <w:footnoteReference w:id="4"/>
      </w:r>
      <w:r>
        <w:rPr>
          <w:rFonts w:ascii="Times New Roman" w:hAnsi="Times New Roman" w:cs="Times New Roman"/>
          <w:sz w:val="24"/>
          <w:szCs w:val="24"/>
        </w:rPr>
        <w:t xml:space="preserve"> is that it represents the lack of </w:t>
      </w:r>
      <w:r>
        <w:fldChar w:fldCharType="begin"/>
      </w:r>
      <w:r>
        <w:instrText xml:space="preserve"> HYPERLINK "https://en.wikipedia.org/wiki/Certainty" </w:instrText>
      </w:r>
      <w:r>
        <w:fldChar w:fldCharType="separate"/>
      </w:r>
      <w:r>
        <w:rPr>
          <w:rStyle w:val="47"/>
          <w:rFonts w:eastAsia="Arial Unicode MS"/>
          <w:color w:val="000000"/>
        </w:rPr>
        <w:t>certainty</w:t>
      </w:r>
      <w:r>
        <w:rPr>
          <w:rStyle w:val="47"/>
          <w:rFonts w:eastAsia="Arial Unicode MS"/>
          <w:color w:val="000000"/>
        </w:rPr>
        <w:fldChar w:fldCharType="end"/>
      </w:r>
      <w:r>
        <w:rPr>
          <w:rFonts w:ascii="Times New Roman" w:hAnsi="Times New Roman" w:cs="Times New Roman"/>
          <w:sz w:val="24"/>
          <w:szCs w:val="24"/>
        </w:rPr>
        <w:t xml:space="preserve">, i.e. a state of limited knowledge where it is impossible to exactly describe the existing state, a future outcome, or more than one possible outcome. The subject of uncertainty in upstream petroleum taxation in Nigeria is very broad, but for the purpose of this study, we will examine the following factors: </w:t>
      </w:r>
    </w:p>
    <w:p w14:paraId="4CDC563B">
      <w:pPr>
        <w:pStyle w:val="4"/>
        <w:spacing w:line="480" w:lineRule="auto"/>
        <w:ind w:firstLine="360"/>
        <w:jc w:val="both"/>
        <w:rPr>
          <w:rFonts w:ascii="Times New Roman" w:hAnsi="Times New Roman" w:eastAsia="Times New Roman" w:cs="Times New Roman"/>
          <w:sz w:val="24"/>
          <w:szCs w:val="24"/>
        </w:rPr>
      </w:pPr>
      <w:r>
        <w:rPr>
          <w:rFonts w:ascii="Times New Roman" w:hAnsi="Times New Roman" w:cs="Times New Roman"/>
          <w:sz w:val="24"/>
          <w:szCs w:val="24"/>
        </w:rPr>
        <w:t xml:space="preserve">(i) Ineffective or inadequate fiscal and tax policy formulation; </w:t>
      </w:r>
    </w:p>
    <w:p w14:paraId="3BE4FE1A">
      <w:pPr>
        <w:pStyle w:val="4"/>
        <w:spacing w:line="480" w:lineRule="auto"/>
        <w:ind w:firstLine="360"/>
        <w:jc w:val="both"/>
        <w:rPr>
          <w:rFonts w:ascii="Times New Roman" w:hAnsi="Times New Roman" w:eastAsia="Times New Roman" w:cs="Times New Roman"/>
          <w:sz w:val="24"/>
          <w:szCs w:val="24"/>
        </w:rPr>
      </w:pPr>
      <w:r>
        <w:rPr>
          <w:rFonts w:ascii="Times New Roman" w:hAnsi="Times New Roman" w:cs="Times New Roman"/>
          <w:sz w:val="24"/>
          <w:szCs w:val="24"/>
        </w:rPr>
        <w:t>(ii) Ambiguity and gaps in legislation and case law;</w:t>
      </w:r>
    </w:p>
    <w:p w14:paraId="5AF4EC7B">
      <w:pPr>
        <w:pStyle w:val="4"/>
        <w:spacing w:line="480" w:lineRule="auto"/>
        <w:ind w:left="360"/>
        <w:jc w:val="both"/>
        <w:rPr>
          <w:rFonts w:ascii="Times New Roman" w:hAnsi="Times New Roman" w:eastAsia="Times New Roman" w:cs="Times New Roman"/>
          <w:sz w:val="24"/>
          <w:szCs w:val="24"/>
        </w:rPr>
      </w:pPr>
      <w:r>
        <w:rPr>
          <w:rFonts w:ascii="Times New Roman" w:hAnsi="Times New Roman" w:cs="Times New Roman"/>
          <w:sz w:val="24"/>
          <w:szCs w:val="24"/>
        </w:rPr>
        <w:t xml:space="preserve">(iii) Conflicting provisions of law resulting in different interpretation; </w:t>
      </w:r>
    </w:p>
    <w:p w14:paraId="01211E01">
      <w:pPr>
        <w:pStyle w:val="4"/>
        <w:spacing w:line="480" w:lineRule="auto"/>
        <w:ind w:left="360"/>
        <w:jc w:val="both"/>
        <w:rPr>
          <w:rFonts w:ascii="Times New Roman" w:hAnsi="Times New Roman" w:eastAsia="Times New Roman" w:cs="Times New Roman"/>
          <w:sz w:val="24"/>
          <w:szCs w:val="24"/>
        </w:rPr>
      </w:pPr>
      <w:r>
        <w:rPr>
          <w:rFonts w:ascii="Times New Roman" w:hAnsi="Times New Roman" w:cs="Times New Roman"/>
          <w:sz w:val="24"/>
          <w:szCs w:val="24"/>
        </w:rPr>
        <w:t xml:space="preserve">(iv)    Piecemeal amendments of the statute and poor drafting; </w:t>
      </w:r>
    </w:p>
    <w:p w14:paraId="6E88AE61">
      <w:pPr>
        <w:pStyle w:val="4"/>
        <w:numPr>
          <w:ilvl w:val="0"/>
          <w:numId w:val="9"/>
        </w:numPr>
        <w:spacing w:line="480" w:lineRule="auto"/>
        <w:ind w:left="851" w:hanging="425"/>
        <w:jc w:val="both"/>
        <w:rPr>
          <w:rFonts w:ascii="Times New Roman" w:hAnsi="Times New Roman" w:eastAsia="Times New Roman" w:cs="Times New Roman"/>
          <w:sz w:val="24"/>
          <w:szCs w:val="24"/>
        </w:rPr>
      </w:pPr>
      <w:r>
        <w:rPr>
          <w:rFonts w:ascii="Times New Roman" w:hAnsi="Times New Roman" w:cs="Times New Roman"/>
          <w:sz w:val="24"/>
          <w:szCs w:val="24"/>
        </w:rPr>
        <w:t xml:space="preserve">  Lack of, or improper definition of words, concepts and principles in policy and law; </w:t>
      </w:r>
    </w:p>
    <w:p w14:paraId="0C96AAEA">
      <w:pPr>
        <w:pStyle w:val="4"/>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Administrative and judicial interpretation and their inefficiencies; and</w:t>
      </w:r>
    </w:p>
    <w:p w14:paraId="0B2792C6">
      <w:pPr>
        <w:pStyle w:val="4"/>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The effects on business and the taxpayer.</w:t>
      </w:r>
    </w:p>
    <w:p w14:paraId="08367F83">
      <w:pPr>
        <w:pStyle w:val="4"/>
        <w:spacing w:line="480" w:lineRule="auto"/>
        <w:jc w:val="both"/>
        <w:rPr>
          <w:rStyle w:val="41"/>
          <w:b/>
          <w:bCs/>
        </w:rPr>
      </w:pPr>
      <w:r>
        <w:rPr>
          <w:rFonts w:ascii="Times New Roman" w:hAnsi="Times New Roman" w:cs="Times New Roman"/>
          <w:sz w:val="24"/>
          <w:szCs w:val="24"/>
        </w:rPr>
        <w:t>Certainty or uncertainty in fiscal and tax policy, taxation law, tax administration and judicial interpretation, and in the economic system, emphasize and demonstrate the need for robust narratives and the proper application of principles and concepts. Furthermore, hopefully the study will highlight that the limits of certainty perhaps demonstrate the power of human judgment over artificial intelligence, as John Kay and Mervyn King opine in the book entitled ‘Radical Uncertainty-Decision Making Beyond the Numbers’</w:t>
      </w:r>
      <w:r>
        <w:rPr>
          <w:rStyle w:val="23"/>
          <w:sz w:val="24"/>
          <w:szCs w:val="24"/>
        </w:rPr>
        <w:footnoteReference w:id="5"/>
      </w:r>
      <w:r>
        <w:rPr>
          <w:rFonts w:ascii="Times New Roman" w:hAnsi="Times New Roman" w:cs="Times New Roman"/>
          <w:sz w:val="24"/>
          <w:szCs w:val="24"/>
        </w:rPr>
        <w:t xml:space="preserve"> </w:t>
      </w:r>
      <w:r>
        <w:rPr>
          <w:rFonts w:ascii="Times New Roman" w:hAnsi="Times New Roman" w:cs="Times New Roman"/>
          <w:b/>
          <w:sz w:val="24"/>
          <w:szCs w:val="24"/>
        </w:rPr>
        <w:t>.</w:t>
      </w:r>
      <w:r>
        <w:rPr>
          <w:rFonts w:ascii="Times New Roman" w:hAnsi="Times New Roman" w:cs="Times New Roman"/>
          <w:sz w:val="24"/>
          <w:szCs w:val="24"/>
        </w:rPr>
        <w:t xml:space="preserve">  </w:t>
      </w:r>
    </w:p>
    <w:p w14:paraId="2DC6864E">
      <w:pPr>
        <w:pStyle w:val="4"/>
        <w:numPr>
          <w:ilvl w:val="1"/>
          <w:numId w:val="11"/>
        </w:numPr>
        <w:spacing w:line="480" w:lineRule="auto"/>
        <w:jc w:val="both"/>
        <w:rPr>
          <w:rFonts w:ascii="Times New Roman" w:hAnsi="Times New Roman" w:cs="Times New Roman"/>
          <w:b/>
          <w:bCs/>
          <w:sz w:val="24"/>
          <w:szCs w:val="24"/>
        </w:rPr>
      </w:pPr>
      <w:r>
        <w:rPr>
          <w:rStyle w:val="41"/>
          <w:rFonts w:ascii="Times New Roman" w:hAnsi="Times New Roman" w:cs="Times New Roman"/>
          <w:b/>
          <w:bCs/>
          <w:sz w:val="24"/>
          <w:szCs w:val="24"/>
        </w:rPr>
        <w:t xml:space="preserve"> NIGERIA OIL AND GAS INDUSTRY</w:t>
      </w:r>
    </w:p>
    <w:p w14:paraId="341B1D47">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The Nigeria oil and gas industry plays a significant role in the Nigerian economy.</w:t>
      </w:r>
      <w:r>
        <w:rPr>
          <w:rFonts w:ascii="Times New Roman" w:hAnsi="Times New Roman" w:eastAsia="Times New Roman" w:cs="Times New Roman"/>
          <w:sz w:val="24"/>
          <w:szCs w:val="24"/>
          <w:vertAlign w:val="superscript"/>
        </w:rPr>
        <w:footnoteReference w:id="6"/>
      </w:r>
      <w:r>
        <w:rPr>
          <w:rFonts w:ascii="Times New Roman" w:hAnsi="Times New Roman" w:cs="Times New Roman"/>
          <w:sz w:val="24"/>
          <w:szCs w:val="24"/>
        </w:rPr>
        <w:t xml:space="preserve"> Following the commercial discovery of oil in the small riverine village of Oloibiri in the present Bayelsa</w:t>
      </w:r>
      <w:r>
        <w:rPr>
          <w:rStyle w:val="23"/>
          <w:sz w:val="24"/>
          <w:szCs w:val="24"/>
        </w:rPr>
        <w:footnoteReference w:id="7"/>
      </w:r>
      <w:r>
        <w:rPr>
          <w:rFonts w:ascii="Times New Roman" w:hAnsi="Times New Roman" w:cs="Times New Roman"/>
          <w:sz w:val="24"/>
          <w:szCs w:val="24"/>
        </w:rPr>
        <w:t xml:space="preserve"> State of Nigeria, oil and gas operations have been carried out with the participation of major international oil companies (IOC’s), the Nigeria National Petroleum Corporation (NNPC), and more recently, indigenous Nigerian oil and gas companies (INOC’s). These companies operate under licences granted by the Federal government of Nigeria (FGN). </w:t>
      </w:r>
      <w:r>
        <w:rPr>
          <w:rFonts w:ascii="Times New Roman" w:hAnsi="Times New Roman" w:eastAsia="Times New Roman" w:cs="Times New Roman"/>
          <w:sz w:val="24"/>
          <w:szCs w:val="24"/>
          <w:vertAlign w:val="superscript"/>
        </w:rPr>
        <w:footnoteReference w:id="8"/>
      </w:r>
      <w:r>
        <w:rPr>
          <w:rFonts w:ascii="Times New Roman" w:hAnsi="Times New Roman" w:cs="Times New Roman"/>
          <w:sz w:val="24"/>
          <w:szCs w:val="24"/>
        </w:rPr>
        <w:t xml:space="preserve"> As of 2018, Nigeria holds about 3.1% of world proven oil reserves and ranks 10</w:t>
      </w:r>
      <w:r>
        <w:rPr>
          <w:rFonts w:ascii="Times New Roman" w:hAnsi="Times New Roman" w:cs="Times New Roman"/>
          <w:sz w:val="24"/>
          <w:szCs w:val="24"/>
          <w:vertAlign w:val="superscript"/>
        </w:rPr>
        <w:t>th</w:t>
      </w:r>
      <w:r>
        <w:rPr>
          <w:rFonts w:ascii="Times New Roman" w:hAnsi="Times New Roman" w:cs="Times New Roman"/>
          <w:sz w:val="24"/>
          <w:szCs w:val="24"/>
        </w:rPr>
        <w:t>, and holds about 3% of proven gas reserves, and ranks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in the world</w:t>
      </w:r>
      <w:r>
        <w:rPr>
          <w:rStyle w:val="23"/>
          <w:rFonts w:ascii="Times New Roman" w:hAnsi="Times New Roman" w:cs="Times New Roman"/>
          <w:sz w:val="24"/>
          <w:szCs w:val="24"/>
        </w:rPr>
        <w:footnoteReference w:id="9"/>
      </w:r>
      <w:r>
        <w:rPr>
          <w:rFonts w:ascii="Times New Roman" w:hAnsi="Times New Roman" w:cs="Times New Roman"/>
          <w:sz w:val="24"/>
          <w:szCs w:val="24"/>
        </w:rPr>
        <w:t>.</w:t>
      </w:r>
    </w:p>
    <w:p w14:paraId="0F3EF673">
      <w:pPr>
        <w:pStyle w:val="4"/>
        <w:spacing w:line="480" w:lineRule="auto"/>
        <w:jc w:val="both"/>
        <w:rPr>
          <w:rFonts w:ascii="Times New Roman" w:hAnsi="Times New Roman" w:eastAsia="Times New Roman" w:cs="Times New Roman"/>
          <w:b/>
          <w:sz w:val="24"/>
          <w:szCs w:val="24"/>
        </w:rPr>
      </w:pPr>
      <w:r>
        <w:rPr>
          <w:rFonts w:ascii="Times New Roman" w:hAnsi="Times New Roman" w:cs="Times New Roman"/>
          <w:b/>
          <w:sz w:val="24"/>
          <w:szCs w:val="24"/>
        </w:rPr>
        <w:t>Figure 1 – Crude oil reserves.</w:t>
      </w:r>
    </w:p>
    <w:p w14:paraId="7D816274">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lang w:val="en-GB" w:eastAsia="en-GB"/>
        </w:rPr>
        <w:drawing>
          <wp:inline distT="0" distB="0" distL="0" distR="0">
            <wp:extent cx="5725795" cy="2914650"/>
            <wp:effectExtent l="0" t="0" r="0" b="0"/>
            <wp:docPr id="5" name="officeArt object" descr="cid:16566affafaa9426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descr="cid:16566affafaa94265261"/>
                    <pic:cNvPicPr>
                      <a:picLocks noChangeAspect="1"/>
                    </pic:cNvPicPr>
                  </pic:nvPicPr>
                  <pic:blipFill>
                    <a:blip r:embed="rId33"/>
                    <a:stretch>
                      <a:fillRect/>
                    </a:stretch>
                  </pic:blipFill>
                  <pic:spPr>
                    <a:xfrm>
                      <a:off x="0" y="0"/>
                      <a:ext cx="5725795" cy="2914650"/>
                    </a:xfrm>
                    <a:prstGeom prst="rect">
                      <a:avLst/>
                    </a:prstGeom>
                    <a:noFill/>
                    <a:ln w="12700">
                      <a:noFill/>
                    </a:ln>
                  </pic:spPr>
                </pic:pic>
              </a:graphicData>
            </a:graphic>
          </wp:inline>
        </w:drawing>
      </w:r>
    </w:p>
    <w:p w14:paraId="67AB03AF">
      <w:pPr>
        <w:pStyle w:val="4"/>
        <w:spacing w:line="480" w:lineRule="auto"/>
        <w:jc w:val="both"/>
        <w:rPr>
          <w:rFonts w:ascii="Times New Roman" w:hAnsi="Times New Roman" w:cs="Times New Roman"/>
          <w:i/>
          <w:iCs/>
          <w:sz w:val="24"/>
          <w:szCs w:val="24"/>
        </w:rPr>
      </w:pPr>
      <w:r>
        <w:rPr>
          <w:rFonts w:ascii="Times New Roman" w:hAnsi="Times New Roman" w:cs="Times New Roman"/>
          <w:b/>
          <w:bCs/>
          <w:i/>
          <w:iCs/>
          <w:sz w:val="24"/>
          <w:szCs w:val="24"/>
        </w:rPr>
        <w:t xml:space="preserve">Source: </w:t>
      </w:r>
      <w:r>
        <w:rPr>
          <w:rFonts w:ascii="Times New Roman" w:hAnsi="Times New Roman" w:cs="Times New Roman"/>
          <w:b/>
          <w:i/>
          <w:iCs/>
          <w:sz w:val="24"/>
          <w:szCs w:val="24"/>
        </w:rPr>
        <w:t>BP Statistical Review of World Energy, 2016.</w:t>
      </w:r>
    </w:p>
    <w:p w14:paraId="26B9410B">
      <w:pPr>
        <w:pStyle w:val="4"/>
        <w:spacing w:line="480" w:lineRule="auto"/>
        <w:jc w:val="both"/>
        <w:rPr>
          <w:rFonts w:ascii="Times New Roman" w:hAnsi="Times New Roman" w:eastAsia="Times New Roman" w:cs="Times New Roman"/>
          <w:b/>
          <w:sz w:val="24"/>
          <w:szCs w:val="24"/>
        </w:rPr>
      </w:pPr>
      <w:r>
        <w:rPr>
          <w:rFonts w:ascii="Times New Roman" w:hAnsi="Times New Roman" w:cs="Times New Roman"/>
          <w:b/>
          <w:sz w:val="24"/>
          <w:szCs w:val="24"/>
        </w:rPr>
        <w:t>Figure 2 - Gas reserves.</w:t>
      </w:r>
    </w:p>
    <w:p w14:paraId="2C010F20">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lang w:val="en-GB" w:eastAsia="en-GB"/>
        </w:rPr>
        <w:drawing>
          <wp:inline distT="0" distB="0" distL="0" distR="0">
            <wp:extent cx="5727700" cy="3002280"/>
            <wp:effectExtent l="0" t="0" r="0" b="0"/>
            <wp:docPr id="6" name="officeArt object" descr="cid:16566a3cfbe426c3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descr="cid:16566a3cfbe426c3e71"/>
                    <pic:cNvPicPr>
                      <a:picLocks noChangeAspect="1"/>
                    </pic:cNvPicPr>
                  </pic:nvPicPr>
                  <pic:blipFill>
                    <a:blip r:embed="rId34"/>
                    <a:stretch>
                      <a:fillRect/>
                    </a:stretch>
                  </pic:blipFill>
                  <pic:spPr>
                    <a:xfrm>
                      <a:off x="0" y="0"/>
                      <a:ext cx="5727700" cy="3002280"/>
                    </a:xfrm>
                    <a:prstGeom prst="rect">
                      <a:avLst/>
                    </a:prstGeom>
                    <a:noFill/>
                    <a:ln w="12700">
                      <a:noFill/>
                    </a:ln>
                  </pic:spPr>
                </pic:pic>
              </a:graphicData>
            </a:graphic>
          </wp:inline>
        </w:drawing>
      </w:r>
    </w:p>
    <w:p w14:paraId="3FAE0715">
      <w:pPr>
        <w:pStyle w:val="4"/>
        <w:spacing w:line="480" w:lineRule="auto"/>
        <w:jc w:val="both"/>
        <w:rPr>
          <w:rFonts w:ascii="Times New Roman" w:hAnsi="Times New Roman" w:eastAsia="Times New Roman" w:cs="Times New Roman"/>
          <w:i/>
          <w:iCs/>
          <w:sz w:val="24"/>
          <w:szCs w:val="24"/>
        </w:rPr>
      </w:pPr>
      <w:r>
        <w:rPr>
          <w:rFonts w:ascii="Times New Roman" w:hAnsi="Times New Roman" w:cs="Times New Roman"/>
          <w:b/>
          <w:bCs/>
          <w:i/>
          <w:iCs/>
          <w:sz w:val="24"/>
          <w:szCs w:val="24"/>
        </w:rPr>
        <w:t xml:space="preserve">Source: </w:t>
      </w:r>
      <w:r>
        <w:rPr>
          <w:rFonts w:ascii="Times New Roman" w:hAnsi="Times New Roman" w:cs="Times New Roman"/>
          <w:b/>
          <w:i/>
          <w:iCs/>
          <w:sz w:val="24"/>
          <w:szCs w:val="24"/>
        </w:rPr>
        <w:t>BP Statistical Review of World Energy, 2016.</w:t>
      </w:r>
      <w:r>
        <w:rPr>
          <w:rFonts w:ascii="Times New Roman" w:hAnsi="Times New Roman" w:cs="Times New Roman"/>
          <w:i/>
          <w:iCs/>
          <w:sz w:val="24"/>
          <w:szCs w:val="24"/>
        </w:rPr>
        <w:t xml:space="preserve"> </w:t>
      </w:r>
    </w:p>
    <w:p w14:paraId="12527CE9">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The Nigerian oil and gas or petroleum industry has been the pivot on which the Nigerian economy has depended for many decades. It consists of exploration and production (upstream operations), midstream and downstream operations. The petroleum industry contributes significant revenues, including royalty and tax revenues to government finances, and this forms a major component of Nigeria’s gross domestic product (GDP).</w:t>
      </w:r>
      <w:r>
        <w:rPr>
          <w:rFonts w:ascii="Times New Roman" w:hAnsi="Times New Roman" w:eastAsia="Times New Roman" w:cs="Times New Roman"/>
          <w:sz w:val="24"/>
          <w:szCs w:val="24"/>
          <w:vertAlign w:val="superscript"/>
        </w:rPr>
        <w:footnoteReference w:id="10"/>
      </w:r>
      <w:r>
        <w:rPr>
          <w:rFonts w:ascii="Times New Roman" w:hAnsi="Times New Roman" w:cs="Times New Roman"/>
          <w:sz w:val="24"/>
          <w:szCs w:val="24"/>
        </w:rPr>
        <w:t xml:space="preserve">  To date, the Nigerian economy remains highly import-dependent, consumption-driven, and undiversified. Crude Oil from upstream exploration and productions accounts for over 70% of exports,</w:t>
      </w:r>
      <w:r>
        <w:rPr>
          <w:rFonts w:ascii="Times New Roman" w:hAnsi="Times New Roman" w:eastAsia="Times New Roman" w:cs="Times New Roman"/>
          <w:sz w:val="24"/>
          <w:szCs w:val="24"/>
          <w:vertAlign w:val="superscript"/>
        </w:rPr>
        <w:footnoteReference w:id="11"/>
      </w:r>
      <w:r>
        <w:rPr>
          <w:rFonts w:ascii="Times New Roman" w:hAnsi="Times New Roman" w:cs="Times New Roman"/>
          <w:sz w:val="24"/>
          <w:szCs w:val="24"/>
        </w:rPr>
        <w:t xml:space="preserve"> while the manufacturing sector accounts for less than one per cent of total exports.</w:t>
      </w:r>
      <w:r>
        <w:rPr>
          <w:rFonts w:ascii="Times New Roman" w:hAnsi="Times New Roman" w:eastAsia="Times New Roman" w:cs="Times New Roman"/>
          <w:sz w:val="24"/>
          <w:szCs w:val="24"/>
          <w:vertAlign w:val="superscript"/>
        </w:rPr>
        <w:footnoteReference w:id="12"/>
      </w:r>
      <w:r>
        <w:rPr>
          <w:rFonts w:ascii="Times New Roman" w:hAnsi="Times New Roman" w:cs="Times New Roman"/>
          <w:sz w:val="24"/>
          <w:szCs w:val="24"/>
        </w:rPr>
        <w:t xml:space="preserve"> The oil and gas industry in Nigeria is 15% of the Nigerian economy, as compared to trade, which is 17% and the agricultural sector which makes up 41% of the economy.</w:t>
      </w:r>
      <w:r>
        <w:rPr>
          <w:rFonts w:ascii="Times New Roman" w:hAnsi="Times New Roman" w:eastAsia="Times New Roman" w:cs="Times New Roman"/>
          <w:sz w:val="24"/>
          <w:szCs w:val="24"/>
          <w:vertAlign w:val="superscript"/>
        </w:rPr>
        <w:footnoteReference w:id="13"/>
      </w:r>
      <w:r>
        <w:rPr>
          <w:rFonts w:ascii="Times New Roman" w:hAnsi="Times New Roman" w:cs="Times New Roman"/>
          <w:sz w:val="24"/>
          <w:szCs w:val="24"/>
        </w:rPr>
        <w:t xml:space="preserve"> The oil and gas industry presently accounts for 90% of the country’s foreign exchange earnings and over 70% of its revenues.</w:t>
      </w:r>
      <w:r>
        <w:rPr>
          <w:rFonts w:ascii="Times New Roman" w:hAnsi="Times New Roman" w:eastAsia="Times New Roman" w:cs="Times New Roman"/>
          <w:sz w:val="24"/>
          <w:szCs w:val="24"/>
          <w:vertAlign w:val="superscript"/>
        </w:rPr>
        <w:footnoteReference w:id="14"/>
      </w:r>
      <w:r>
        <w:rPr>
          <w:rFonts w:ascii="Times New Roman" w:hAnsi="Times New Roman" w:cs="Times New Roman"/>
          <w:sz w:val="24"/>
          <w:szCs w:val="24"/>
        </w:rPr>
        <w:t xml:space="preserve"> Figure 3 below is a pictorial description of the make-up of the Nigerian economy. </w:t>
      </w:r>
    </w:p>
    <w:p w14:paraId="018EA6AD">
      <w:pPr>
        <w:pStyle w:val="4"/>
        <w:spacing w:line="480" w:lineRule="auto"/>
        <w:jc w:val="both"/>
        <w:rPr>
          <w:rFonts w:ascii="Times New Roman" w:hAnsi="Times New Roman" w:eastAsia="Calibri" w:cs="Times New Roman"/>
          <w:b/>
          <w:bCs/>
          <w:sz w:val="24"/>
          <w:szCs w:val="24"/>
        </w:rPr>
      </w:pPr>
      <w:r>
        <w:rPr>
          <w:rFonts w:ascii="Times New Roman" w:hAnsi="Times New Roman" w:cs="Times New Roman"/>
          <w:b/>
          <w:bCs/>
          <w:sz w:val="24"/>
          <w:szCs w:val="24"/>
        </w:rPr>
        <w:t>Figure 3 - Make-up of the Nigerian economy</w:t>
      </w:r>
    </w:p>
    <w:p w14:paraId="589CFEE2">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lang w:val="en-GB" w:eastAsia="en-GB"/>
        </w:rPr>
        <w:drawing>
          <wp:inline distT="0" distB="0" distL="0" distR="0">
            <wp:extent cx="5645150" cy="3009900"/>
            <wp:effectExtent l="0" t="0" r="0" b="0"/>
            <wp:docPr id="7"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iceArt object" descr="Picture 2"/>
                    <pic:cNvPicPr>
                      <a:picLocks noChangeAspect="1"/>
                    </pic:cNvPicPr>
                  </pic:nvPicPr>
                  <pic:blipFill>
                    <a:blip r:embed="rId35"/>
                    <a:stretch>
                      <a:fillRect/>
                    </a:stretch>
                  </pic:blipFill>
                  <pic:spPr>
                    <a:xfrm>
                      <a:off x="0" y="0"/>
                      <a:ext cx="5645150" cy="3009900"/>
                    </a:xfrm>
                    <a:prstGeom prst="rect">
                      <a:avLst/>
                    </a:prstGeom>
                    <a:noFill/>
                    <a:ln w="12700">
                      <a:noFill/>
                    </a:ln>
                  </pic:spPr>
                </pic:pic>
              </a:graphicData>
            </a:graphic>
          </wp:inline>
        </w:drawing>
      </w:r>
    </w:p>
    <w:p w14:paraId="19EAFB3F">
      <w:pPr>
        <w:pStyle w:val="4"/>
        <w:spacing w:line="480" w:lineRule="auto"/>
        <w:jc w:val="both"/>
        <w:rPr>
          <w:rFonts w:ascii="Times New Roman" w:hAnsi="Times New Roman" w:eastAsia="Times New Roman" w:cs="Times New Roman"/>
          <w:i/>
          <w:iCs/>
          <w:sz w:val="24"/>
          <w:szCs w:val="24"/>
        </w:rPr>
      </w:pPr>
      <w:r>
        <w:rPr>
          <w:rFonts w:ascii="Times New Roman" w:hAnsi="Times New Roman" w:cs="Times New Roman"/>
          <w:b/>
          <w:bCs/>
          <w:i/>
          <w:iCs/>
          <w:sz w:val="24"/>
          <w:szCs w:val="24"/>
        </w:rPr>
        <w:t xml:space="preserve">Source: </w:t>
      </w:r>
      <w:r>
        <w:rPr>
          <w:rFonts w:ascii="Times New Roman" w:hAnsi="Times New Roman" w:cs="Times New Roman"/>
          <w:b/>
          <w:i/>
          <w:iCs/>
          <w:sz w:val="24"/>
          <w:szCs w:val="24"/>
        </w:rPr>
        <w:t>National Bureau of Statistics Analysis: MPR Petroleum Fiscal Policy Team 2016.</w:t>
      </w:r>
      <w:r>
        <w:rPr>
          <w:rFonts w:ascii="Times New Roman" w:hAnsi="Times New Roman" w:cs="Times New Roman"/>
          <w:i/>
          <w:iCs/>
          <w:sz w:val="24"/>
          <w:szCs w:val="24"/>
        </w:rPr>
        <w:t xml:space="preserve"> </w:t>
      </w:r>
    </w:p>
    <w:p w14:paraId="66B56857">
      <w:pPr>
        <w:pStyle w:val="4"/>
        <w:numPr>
          <w:ilvl w:val="2"/>
          <w:numId w:val="10"/>
        </w:numPr>
        <w:spacing w:line="480" w:lineRule="auto"/>
        <w:ind w:left="1080" w:hanging="72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Nigeria’s Petroleum </w:t>
      </w:r>
      <w:r>
        <w:rPr>
          <w:rFonts w:ascii="Times New Roman" w:hAnsi="Times New Roman" w:cs="Times New Roman"/>
          <w:b/>
          <w:bCs/>
          <w:sz w:val="24"/>
          <w:szCs w:val="24"/>
        </w:rPr>
        <w:t>Fiscal</w:t>
      </w:r>
      <w:r>
        <w:rPr>
          <w:rFonts w:ascii="Times New Roman" w:hAnsi="Times New Roman" w:cs="Times New Roman"/>
          <w:b/>
          <w:bCs/>
          <w:sz w:val="24"/>
          <w:szCs w:val="24"/>
          <w:lang w:val="en-GB"/>
        </w:rPr>
        <w:t xml:space="preserve"> </w:t>
      </w:r>
      <w:r>
        <w:rPr>
          <w:rFonts w:ascii="Times New Roman" w:hAnsi="Times New Roman" w:cs="Times New Roman"/>
          <w:b/>
          <w:bCs/>
          <w:sz w:val="24"/>
          <w:szCs w:val="24"/>
        </w:rPr>
        <w:t>Universe</w:t>
      </w:r>
    </w:p>
    <w:p w14:paraId="5870C43F">
      <w:pPr>
        <w:pStyle w:val="4"/>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Notwithstanding the fact that petroleum revenues constitute a significant component of government finances, the fiscal, legislative and taxation framework appears to have only changed minimally in the past 50 years or more. </w:t>
      </w:r>
      <w:r>
        <w:rPr>
          <w:rFonts w:ascii="Times New Roman" w:hAnsi="Times New Roman" w:cs="Times New Roman"/>
          <w:sz w:val="24"/>
          <w:szCs w:val="24"/>
          <w:lang w:val="en-GB"/>
        </w:rPr>
        <w:t>Pre-independence in 1960, Nigeria operated largely</w:t>
      </w:r>
      <w:r>
        <w:rPr>
          <w:lang w:val="en-GB"/>
        </w:rPr>
        <w:t xml:space="preserve"> the </w:t>
      </w:r>
      <w:r>
        <w:rPr>
          <w:rFonts w:ascii="Times New Roman" w:hAnsi="Times New Roman" w:cs="Times New Roman"/>
          <w:sz w:val="24"/>
          <w:szCs w:val="24"/>
          <w:lang w:val="en-GB"/>
        </w:rPr>
        <w:t>production and exportation of agricultural and mineral products such as palm oil, cocoa, groundnut, tin, columbite, gold, and the importation of manufactured goods</w:t>
      </w:r>
      <w:r>
        <w:rPr>
          <w:rFonts w:ascii="Times New Roman" w:hAnsi="Times New Roman" w:cs="Times New Roman"/>
          <w:sz w:val="24"/>
          <w:szCs w:val="24"/>
          <w:vertAlign w:val="superscript"/>
          <w:lang w:val="en-GB"/>
        </w:rPr>
        <w:footnoteReference w:id="15"/>
      </w:r>
      <w:r>
        <w:rPr>
          <w:rFonts w:ascii="Times New Roman" w:hAnsi="Times New Roman" w:cs="Times New Roman"/>
          <w:sz w:val="24"/>
          <w:szCs w:val="24"/>
          <w:lang w:val="en-GB"/>
        </w:rPr>
        <w:t xml:space="preserve">. Post-independence, Nigeria evolved a fixed to- medium-term development planning model (1962-1985), followed by </w:t>
      </w:r>
      <w:r>
        <w:rPr>
          <w:lang w:val="en-GB"/>
        </w:rPr>
        <w:t xml:space="preserve">the </w:t>
      </w:r>
      <w:r>
        <w:rPr>
          <w:rFonts w:ascii="Times New Roman" w:hAnsi="Times New Roman" w:cs="Times New Roman"/>
          <w:sz w:val="24"/>
          <w:szCs w:val="24"/>
          <w:lang w:val="en-GB"/>
        </w:rPr>
        <w:t xml:space="preserve">era of rolling plans (1990-1998). Under the 1999 Constitution, </w:t>
      </w:r>
      <w:r>
        <w:rPr>
          <w:rFonts w:ascii="Times New Roman" w:hAnsi="Times New Roman" w:cs="Times New Roman"/>
          <w:sz w:val="24"/>
          <w:szCs w:val="24"/>
        </w:rPr>
        <w:t>the government’s fiscal power is based on a three-tiered tax structure divided between the federal, state and local governments, each of which has different tax jurisdictions.</w:t>
      </w:r>
      <w:r>
        <w:rPr>
          <w:rFonts w:ascii="Times New Roman" w:hAnsi="Times New Roman" w:cs="Times New Roman"/>
          <w:sz w:val="24"/>
          <w:szCs w:val="24"/>
          <w:lang w:val="en-GB"/>
        </w:rPr>
        <w:t xml:space="preserve"> </w:t>
      </w:r>
      <w:r>
        <w:rPr>
          <w:rFonts w:ascii="Times New Roman" w:hAnsi="Times New Roman"/>
          <w:sz w:val="24"/>
          <w:lang w:val="en-GB"/>
        </w:rPr>
        <w:t xml:space="preserve">The </w:t>
      </w:r>
      <w:r>
        <w:rPr>
          <w:rFonts w:ascii="Times New Roman" w:hAnsi="Times New Roman" w:cs="Times New Roman"/>
          <w:sz w:val="24"/>
          <w:szCs w:val="24"/>
          <w:lang w:val="en-GB"/>
        </w:rPr>
        <w:t xml:space="preserve">FG has exclusive fiscal control of oil and gas, and natural resources matters, but has not </w:t>
      </w:r>
      <w:r>
        <w:rPr>
          <w:rFonts w:hint="default" w:ascii="Times New Roman" w:hAnsi="Times New Roman" w:cs="Times New Roman"/>
          <w:sz w:val="24"/>
          <w:szCs w:val="24"/>
          <w:lang w:val="en-GB"/>
        </w:rPr>
        <w:t xml:space="preserve">articulated and </w:t>
      </w:r>
      <w:r>
        <w:rPr>
          <w:rFonts w:ascii="Times New Roman" w:hAnsi="Times New Roman" w:cs="Times New Roman"/>
          <w:sz w:val="24"/>
          <w:szCs w:val="24"/>
          <w:lang w:val="en-GB"/>
        </w:rPr>
        <w:t xml:space="preserve">carried out in a structured and </w:t>
      </w:r>
      <w:r>
        <w:rPr>
          <w:rFonts w:hint="default" w:ascii="Times New Roman" w:hAnsi="Times New Roman" w:cs="Times New Roman"/>
          <w:sz w:val="24"/>
          <w:szCs w:val="24"/>
          <w:lang w:val="en-GB"/>
        </w:rPr>
        <w:t>consistent</w:t>
      </w:r>
      <w:r>
        <w:rPr>
          <w:rFonts w:ascii="Times New Roman" w:hAnsi="Times New Roman" w:cs="Times New Roman"/>
          <w:sz w:val="24"/>
          <w:szCs w:val="24"/>
          <w:lang w:val="en-GB"/>
        </w:rPr>
        <w:t xml:space="preserve"> manner very clear fiscal and tax policy objectives and </w:t>
      </w:r>
      <w:r>
        <w:rPr>
          <w:rFonts w:hint="default" w:ascii="Times New Roman" w:hAnsi="Times New Roman" w:cs="Times New Roman"/>
          <w:sz w:val="24"/>
          <w:szCs w:val="24"/>
          <w:lang w:val="en-GB"/>
        </w:rPr>
        <w:t>a</w:t>
      </w:r>
      <w:r>
        <w:rPr>
          <w:rFonts w:ascii="Times New Roman" w:hAnsi="Times New Roman" w:cs="Times New Roman"/>
          <w:sz w:val="24"/>
          <w:szCs w:val="24"/>
          <w:lang w:val="en-GB"/>
        </w:rPr>
        <w:t xml:space="preserve"> responsive </w:t>
      </w:r>
      <w:r>
        <w:rPr>
          <w:rFonts w:hint="default" w:ascii="Times New Roman" w:hAnsi="Times New Roman" w:cs="Times New Roman"/>
          <w:sz w:val="24"/>
          <w:szCs w:val="24"/>
          <w:lang w:val="en-GB"/>
        </w:rPr>
        <w:t xml:space="preserve">legislative </w:t>
      </w:r>
      <w:r>
        <w:rPr>
          <w:rFonts w:ascii="Times New Roman" w:hAnsi="Times New Roman" w:cs="Times New Roman"/>
          <w:sz w:val="24"/>
          <w:szCs w:val="24"/>
          <w:lang w:val="en-GB"/>
        </w:rPr>
        <w:t>and regulatory regime for the petroleum and natural resources sector.</w:t>
      </w:r>
      <w:r>
        <w:rPr>
          <w:rFonts w:ascii="Times New Roman" w:hAnsi="Times New Roman" w:cs="Times New Roman"/>
          <w:b/>
          <w:bCs/>
          <w:sz w:val="24"/>
          <w:szCs w:val="24"/>
          <w:lang w:val="en-GB"/>
        </w:rPr>
        <w:t xml:space="preserve"> </w:t>
      </w:r>
    </w:p>
    <w:p w14:paraId="79257B47">
      <w:pPr>
        <w:pStyle w:val="4"/>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 can therefore be said that, in the Nigerian oil and gas fiscal universe, the main discernible policy objective of the FG, all through the years of oil and gas production, has been the maximization of oil revenues</w:t>
      </w:r>
      <w:r>
        <w:rPr>
          <w:rStyle w:val="23"/>
          <w:rFonts w:ascii="Times New Roman" w:hAnsi="Times New Roman" w:cs="Times New Roman"/>
          <w:sz w:val="24"/>
          <w:szCs w:val="24"/>
        </w:rPr>
        <w:footnoteReference w:id="16"/>
      </w:r>
      <w:r>
        <w:rPr>
          <w:rFonts w:ascii="Times New Roman" w:hAnsi="Times New Roman" w:cs="Times New Roman"/>
          <w:sz w:val="24"/>
          <w:szCs w:val="24"/>
          <w:lang w:val="en-GB"/>
        </w:rPr>
        <w:t>. This relied essentially on high government take, with high and multiple petroleum profits tax (PPT) rates and a royalty regime based on terrain and production volumes. The FG’s broad macroeconomic goals were generally characterized by rising government expenditure without a corresponding increase in public revenue, and large accumulation of debt</w:t>
      </w:r>
      <w:r>
        <w:rPr>
          <w:rStyle w:val="23"/>
          <w:rFonts w:ascii="Times New Roman" w:hAnsi="Times New Roman" w:cs="Times New Roman"/>
          <w:sz w:val="24"/>
          <w:szCs w:val="24"/>
        </w:rPr>
        <w:footnoteReference w:id="17"/>
      </w:r>
      <w:r>
        <w:rPr>
          <w:rFonts w:ascii="Times New Roman" w:hAnsi="Times New Roman" w:cs="Times New Roman"/>
          <w:sz w:val="24"/>
          <w:szCs w:val="24"/>
          <w:lang w:val="en-GB"/>
        </w:rPr>
        <w:t xml:space="preserve">. Even with oil production assuming a dominant position in the economy, and the continued flaring of gas, fiscal management merely transited from one primary product-based revenue to another, making the economy susceptible to fluctuations of the international market. The annual budget cycles also failed to address, or safeguard against the volatility of crude oil prices and to promote fiscal clarity, stability and sustainability of the industry. </w:t>
      </w:r>
    </w:p>
    <w:p w14:paraId="2DF73D31">
      <w:pPr>
        <w:pStyle w:val="4"/>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fiscal federalism under the 1999 Constitution was marked by the absence of appropriate fiscal rules, a proper finance management framework, ad-hoc policy intervention and arrangements resulting in policy inconsistencies and unclear fiscal objectives, and the incidence of different forms of taxes by the federating units, interacting with the primary oil and gas PPT and Royalty regime. The general corporate income tax regime which applied to the midstream and downstream petroleum sector also co-existed with the PPT and Royalty regime that applied to upstream petroleum operations. The ill-defined boundaries between the many tax regimes were therefore a source of ambiguity. The Royalty and PPT regime under the PPTA and the PA, was subsequently modified by the Memoranda of Understanding (MOU) which introduced certain fiscal incentives,</w:t>
      </w:r>
      <w:r>
        <w:rPr>
          <w:rFonts w:hint="default" w:ascii="Times New Roman" w:hAnsi="Times New Roman" w:cs="Times New Roman"/>
          <w:sz w:val="24"/>
          <w:szCs w:val="24"/>
          <w:lang w:val="en-GB"/>
        </w:rPr>
        <w:t xml:space="preserve"> guaranteed profits margins for the IOC’s,</w:t>
      </w:r>
      <w:r>
        <w:rPr>
          <w:rFonts w:ascii="Times New Roman" w:hAnsi="Times New Roman" w:cs="Times New Roman"/>
          <w:sz w:val="24"/>
          <w:szCs w:val="24"/>
          <w:lang w:val="en-GB"/>
        </w:rPr>
        <w:t xml:space="preserve"> as well as exploration, and production allowances and bonuses. The MOU, though enforceable, was never enacted as a statute amending the fiscal and legislative regime</w:t>
      </w:r>
      <w:r>
        <w:rPr>
          <w:rFonts w:hint="default" w:ascii="Times New Roman" w:hAnsi="Times New Roman" w:cs="Times New Roman"/>
          <w:sz w:val="24"/>
          <w:szCs w:val="24"/>
          <w:lang w:val="en-GB"/>
        </w:rPr>
        <w:t xml:space="preserve">. </w:t>
      </w:r>
      <w:r>
        <w:rPr>
          <w:rFonts w:ascii="Times New Roman" w:hAnsi="Times New Roman" w:cs="Times New Roman"/>
          <w:sz w:val="24"/>
          <w:szCs w:val="24"/>
          <w:lang w:val="en-GB"/>
        </w:rPr>
        <w:t xml:space="preserve">Also, indirect and transaction taxes, such as VAT etc which applied to the petroleum industry were generally neglected. </w:t>
      </w:r>
    </w:p>
    <w:p w14:paraId="39D5E17E">
      <w:pPr>
        <w:spacing w:line="480" w:lineRule="auto"/>
        <w:jc w:val="both"/>
      </w:pPr>
      <w:r>
        <w:t xml:space="preserve">With the </w:t>
      </w:r>
      <w:r>
        <w:rPr>
          <w:rFonts w:hint="default"/>
          <w:lang w:val="en-GB"/>
        </w:rPr>
        <w:t xml:space="preserve">commencement of commercial production </w:t>
      </w:r>
      <w:r>
        <w:t xml:space="preserve">of petroleum in 1956 in Oloibiri in present day Rivers State of Nigeria, the petroleum fiscal arrangements have ranged from the concessionary regime in use up till 1969, to the Joint Operation Agreement (JOA) effective from 1973 and the Production Sharing contract (PSC) effective from 1993. Variants of the contractual arrangements include the risk service and sole risk contracting arrangements. </w:t>
      </w:r>
    </w:p>
    <w:p w14:paraId="5D3864FB">
      <w:pPr>
        <w:spacing w:line="480" w:lineRule="auto"/>
        <w:jc w:val="both"/>
      </w:pPr>
      <w:r>
        <w:t>The concessionary arrangement require</w:t>
      </w:r>
      <w:r>
        <w:rPr>
          <w:rFonts w:hint="default"/>
          <w:lang w:val="en-GB"/>
        </w:rPr>
        <w:t>d</w:t>
      </w:r>
      <w:r>
        <w:t xml:space="preserve"> private oil companies and IOC’s to pay royalty on production and taxes based on profits. The Joint Operating Arrangement (JOA), otherwise called Joint Ventures (JV), was introduced with the enactment of the Petroleum Act 1969. Although the concessionary arrangement guaranteed revenue to the government through the payment of royalty and taxes, the national government lacked control of this vital national resource. On the other hand, the participation arrangement under the JVs recognised the rights of the national government with the grant of licences to the participating and operating companies. The grant of license, i.e. oil prospecting license (OPL), oil exploration license (OEL) and oil mining lease (OML), enhanced the sovereign proprietary rights of the FG, to exercise control over this vital natural resource since these licenses and leases were time-based. Also, the FG earned additional revenue from the payment of royalties, license fees, signature bonuses and equity contribution. Although </w:t>
      </w:r>
      <w:r>
        <w:rPr>
          <w:rFonts w:hint="default"/>
          <w:lang w:val="en-GB"/>
        </w:rPr>
        <w:t xml:space="preserve">the </w:t>
      </w:r>
      <w:r>
        <w:t>JVs enable</w:t>
      </w:r>
      <w:r>
        <w:rPr>
          <w:rFonts w:hint="default"/>
          <w:lang w:val="en-GB"/>
        </w:rPr>
        <w:t>d</w:t>
      </w:r>
      <w:r>
        <w:t xml:space="preserve"> the government to exercise control and participate in the extraction and governance of the petroleum sector, there were still challenges relating to the government's failure to meet the cash calls when required. Specifically, there were budget delays and cuts in funding operations as NNPC</w:t>
      </w:r>
      <w:r>
        <w:rPr>
          <w:rFonts w:hint="default"/>
          <w:lang w:val="en-GB"/>
        </w:rPr>
        <w:t>, the national oil company (NOC)</w:t>
      </w:r>
      <w:r>
        <w:t xml:space="preserve"> was unable to </w:t>
      </w:r>
      <w:r>
        <w:rPr>
          <w:rFonts w:hint="default"/>
          <w:lang w:val="en-GB"/>
        </w:rPr>
        <w:t xml:space="preserve">consistently </w:t>
      </w:r>
      <w:r>
        <w:t>fund its participating interests. While some JVs are still in operation in Nigeria, the issuance of new JVs ceased in 1973 when the PSC was first introduced. The Ashland PSC signed in 1973 offered some benefit to the FG, such as a duration of 20 years with five years extension, which was not available in JVs, title to the petroleum at well-head unlike acreages in JVs, risks and revenue sharing as well as recruitment and training of Nigerians by the contractor. However, despite the benefits of production contracting and sharing arrangement, the 1973 PSC experienced some challenges. Moreso and due to the inability of the FG to meet its funding obligations to the JV’s and the pressing need to increase investment in the sector, achieve production quotas, increase reserves, as well as the declining revenues from crude sales due to fluctuating oil prices in the international oil market, extensive engagement and discussions were held with investing IOC’s and stakeholders and the new PSC’s were signed in the 1993 licensing rounds for the first set of deep offshore and inland basin acreages, and revised in 1999. The Deep Offshore and Inland Basin Production Sharing Contracts Act No. 9 was enacted in 1999, and it amended the subsisting petroleum profit tax (PPT) and Royalty regime in several respects, including the provisions on pricing, assessment and charging tax, royalties, and windfall profits</w:t>
      </w:r>
      <w:r>
        <w:rPr>
          <w:rFonts w:hint="default"/>
          <w:lang w:val="en-GB"/>
        </w:rPr>
        <w:t>, but remained unclear in gas development and taxation as well as on</w:t>
      </w:r>
      <w:r>
        <w:t xml:space="preserve"> abandonment, etc.</w:t>
      </w:r>
    </w:p>
    <w:p w14:paraId="5B9F6254">
      <w:pPr>
        <w:spacing w:line="480" w:lineRule="auto"/>
        <w:jc w:val="both"/>
      </w:pPr>
      <w:r>
        <w:t xml:space="preserve">The </w:t>
      </w:r>
      <w:r>
        <w:rPr>
          <w:rFonts w:hint="default"/>
          <w:lang w:val="en-GB"/>
        </w:rPr>
        <w:t>co-</w:t>
      </w:r>
      <w:r>
        <w:t>existence of the many fiscal arrangements and their impact on the royalty and tax system, and the interaction of the primary and subsidiary taxes, with the multiple taxes, levies, and charges on petroleum operation all added to creating the lack of clarity, uncertainty and instability in the petroleum</w:t>
      </w:r>
      <w:r>
        <w:rPr>
          <w:rFonts w:hint="default"/>
          <w:lang w:val="en-GB"/>
        </w:rPr>
        <w:t xml:space="preserve"> fiscal and</w:t>
      </w:r>
      <w:r>
        <w:t xml:space="preserve"> tax landscape, particularly for upstream petroleum taxation. Gas development and taxation also lagged with the problem of gas flaring. Following a comprehensive review of the fiscal, tax, commercial, legislative and regulatory framework of the petroleum industry, the Petroleum Industry Bill (PIB) was </w:t>
      </w:r>
      <w:r>
        <w:rPr>
          <w:rFonts w:hint="default"/>
          <w:lang w:val="en-GB"/>
        </w:rPr>
        <w:t xml:space="preserve">presented to the National assembly (NA), </w:t>
      </w:r>
      <w:r>
        <w:t>in 2008. Th</w:t>
      </w:r>
      <w:r>
        <w:rPr>
          <w:rFonts w:hint="default"/>
          <w:lang w:val="en-GB"/>
        </w:rPr>
        <w:t xml:space="preserve">e PIB suffered several delays and </w:t>
      </w:r>
      <w:r>
        <w:t xml:space="preserve">was to be followed by the 2018 Petroleum Industry Fiscal Bill (PIFB), which finally resulted in the enactment of the Petroleum Industry Act, 2021, examined in detail in chapter 9 of this thesis. </w:t>
      </w:r>
    </w:p>
    <w:p w14:paraId="1146E794">
      <w:pPr>
        <w:pStyle w:val="4"/>
        <w:spacing w:line="480" w:lineRule="auto"/>
        <w:jc w:val="both"/>
        <w:rPr>
          <w:rFonts w:ascii="Times New Roman" w:hAnsi="Times New Roman" w:cs="Times New Roman"/>
          <w:sz w:val="24"/>
          <w:szCs w:val="24"/>
          <w:lang w:val="en-GB"/>
        </w:rPr>
      </w:pPr>
      <w:r>
        <w:rPr>
          <w:rFonts w:hint="default" w:ascii="Times New Roman" w:hAnsi="Times New Roman" w:cs="Times New Roman"/>
          <w:sz w:val="24"/>
          <w:szCs w:val="24"/>
          <w:lang w:val="en-GB"/>
        </w:rPr>
        <w:t>In summary,</w:t>
      </w:r>
      <w:r>
        <w:rPr>
          <w:rFonts w:ascii="Times New Roman" w:hAnsi="Times New Roman" w:cs="Times New Roman"/>
          <w:sz w:val="24"/>
          <w:szCs w:val="24"/>
          <w:lang w:val="en-GB"/>
        </w:rPr>
        <w:t xml:space="preserve"> </w:t>
      </w:r>
      <w:r>
        <w:rPr>
          <w:rFonts w:hint="default" w:ascii="Times New Roman" w:hAnsi="Times New Roman" w:cs="Times New Roman"/>
          <w:sz w:val="24"/>
          <w:szCs w:val="24"/>
          <w:lang w:val="en-GB"/>
        </w:rPr>
        <w:t>t</w:t>
      </w:r>
      <w:r>
        <w:rPr>
          <w:rFonts w:ascii="Times New Roman" w:hAnsi="Times New Roman" w:cs="Times New Roman"/>
          <w:sz w:val="24"/>
          <w:szCs w:val="24"/>
          <w:lang w:val="en-GB"/>
        </w:rPr>
        <w:t xml:space="preserve">he various policy interventions and </w:t>
      </w:r>
      <w:r>
        <w:rPr>
          <w:rFonts w:hint="default" w:ascii="Times New Roman" w:hAnsi="Times New Roman" w:cs="Times New Roman"/>
          <w:sz w:val="24"/>
          <w:szCs w:val="24"/>
          <w:lang w:val="en-GB"/>
        </w:rPr>
        <w:t xml:space="preserve">fiscal and regulatory </w:t>
      </w:r>
      <w:r>
        <w:rPr>
          <w:rFonts w:ascii="Times New Roman" w:hAnsi="Times New Roman" w:cs="Times New Roman"/>
          <w:sz w:val="24"/>
          <w:szCs w:val="24"/>
          <w:lang w:val="en-GB"/>
        </w:rPr>
        <w:t xml:space="preserve">arrangements </w:t>
      </w:r>
      <w:r>
        <w:rPr>
          <w:rFonts w:hint="default" w:ascii="Times New Roman" w:hAnsi="Times New Roman" w:cs="Times New Roman"/>
          <w:sz w:val="24"/>
          <w:szCs w:val="24"/>
          <w:lang w:val="en-GB"/>
        </w:rPr>
        <w:t>f</w:t>
      </w:r>
      <w:r>
        <w:rPr>
          <w:rFonts w:ascii="Times New Roman" w:hAnsi="Times New Roman" w:cs="Times New Roman"/>
          <w:sz w:val="24"/>
          <w:szCs w:val="24"/>
          <w:lang w:val="en-GB"/>
        </w:rPr>
        <w:t>o</w:t>
      </w:r>
      <w:r>
        <w:rPr>
          <w:rFonts w:hint="default" w:ascii="Times New Roman" w:hAnsi="Times New Roman" w:cs="Times New Roman"/>
          <w:sz w:val="24"/>
          <w:szCs w:val="24"/>
          <w:lang w:val="en-GB"/>
        </w:rPr>
        <w:t>r</w:t>
      </w:r>
      <w:r>
        <w:rPr>
          <w:rFonts w:ascii="Times New Roman" w:hAnsi="Times New Roman" w:cs="Times New Roman"/>
          <w:sz w:val="24"/>
          <w:szCs w:val="24"/>
          <w:lang w:val="en-GB"/>
        </w:rPr>
        <w:t xml:space="preserve"> the operation of the PPT and Royalty regime by the FG were designed to enhance revenue generation</w:t>
      </w:r>
      <w:r>
        <w:rPr>
          <w:rFonts w:hint="default" w:ascii="Times New Roman" w:hAnsi="Times New Roman" w:cs="Times New Roman"/>
          <w:sz w:val="24"/>
          <w:szCs w:val="24"/>
          <w:lang w:val="en-GB"/>
        </w:rPr>
        <w:t xml:space="preserve"> and government take from the industry</w:t>
      </w:r>
      <w:r>
        <w:rPr>
          <w:rFonts w:ascii="Times New Roman" w:hAnsi="Times New Roman" w:cs="Times New Roman"/>
          <w:sz w:val="24"/>
          <w:szCs w:val="24"/>
          <w:lang w:val="en-GB"/>
        </w:rPr>
        <w:t xml:space="preserve">. The </w:t>
      </w:r>
      <w:r>
        <w:rPr>
          <w:rFonts w:hint="default" w:ascii="Times New Roman" w:hAnsi="Times New Roman" w:cs="Times New Roman"/>
          <w:sz w:val="24"/>
          <w:szCs w:val="24"/>
          <w:lang w:val="en-GB"/>
        </w:rPr>
        <w:t xml:space="preserve">co-existence of the various fiscal arrangements and various legislative and multi regulatory regimes and agencies, with the </w:t>
      </w:r>
      <w:r>
        <w:rPr>
          <w:rFonts w:ascii="Times New Roman" w:hAnsi="Times New Roman" w:cs="Times New Roman"/>
          <w:sz w:val="24"/>
          <w:szCs w:val="24"/>
          <w:lang w:val="en-GB"/>
        </w:rPr>
        <w:t>operation of the PSC regime along with the PPT and Royalty regime</w:t>
      </w:r>
      <w:r>
        <w:rPr>
          <w:rFonts w:hint="default" w:ascii="Times New Roman" w:hAnsi="Times New Roman" w:cs="Times New Roman"/>
          <w:sz w:val="24"/>
          <w:szCs w:val="24"/>
          <w:lang w:val="en-GB"/>
        </w:rPr>
        <w:t xml:space="preserve"> interacting with other taxes and multiple levies and charges</w:t>
      </w:r>
      <w:r>
        <w:rPr>
          <w:rFonts w:ascii="Times New Roman" w:hAnsi="Times New Roman" w:cs="Times New Roman"/>
          <w:sz w:val="24"/>
          <w:szCs w:val="24"/>
          <w:lang w:val="en-GB"/>
        </w:rPr>
        <w:t xml:space="preserve"> further </w:t>
      </w:r>
      <w:r>
        <w:rPr>
          <w:rFonts w:hint="default" w:ascii="Times New Roman" w:hAnsi="Times New Roman" w:cs="Times New Roman"/>
          <w:sz w:val="24"/>
          <w:szCs w:val="24"/>
          <w:lang w:val="en-GB"/>
        </w:rPr>
        <w:t>raised several</w:t>
      </w:r>
      <w:r>
        <w:rPr>
          <w:rFonts w:ascii="Times New Roman" w:hAnsi="Times New Roman" w:cs="Times New Roman"/>
          <w:sz w:val="24"/>
          <w:szCs w:val="24"/>
          <w:lang w:val="en-GB"/>
        </w:rPr>
        <w:t xml:space="preserve"> contentious issues which added to the </w:t>
      </w:r>
      <w:r>
        <w:rPr>
          <w:rFonts w:hint="default" w:ascii="Times New Roman" w:hAnsi="Times New Roman" w:cs="Times New Roman"/>
          <w:sz w:val="24"/>
          <w:szCs w:val="24"/>
          <w:lang w:val="en-GB"/>
        </w:rPr>
        <w:t xml:space="preserve">lack of clarity and the </w:t>
      </w:r>
      <w:r>
        <w:rPr>
          <w:rFonts w:ascii="Times New Roman" w:hAnsi="Times New Roman" w:cs="Times New Roman"/>
          <w:sz w:val="24"/>
          <w:szCs w:val="24"/>
          <w:lang w:val="en-GB"/>
        </w:rPr>
        <w:t xml:space="preserve">confusing fiscal universe and tax landscape. </w:t>
      </w:r>
    </w:p>
    <w:p w14:paraId="682EE501">
      <w:pPr>
        <w:pStyle w:val="4"/>
        <w:numPr>
          <w:ilvl w:val="2"/>
          <w:numId w:val="10"/>
        </w:numPr>
        <w:spacing w:line="480" w:lineRule="auto"/>
        <w:ind w:left="1080" w:hanging="72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Legislative and Regulatory framework</w:t>
      </w:r>
    </w:p>
    <w:p w14:paraId="6A143D73">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The legislative and regulatory framework consists of principal and subsidiary statutes for upstream operations taxation and regulation. The principal taxing statutes are the old Petroleum Profit Tax Act (PPTA) 1959, and the general Corporate Income Tax Act (CITA), which interact with several subsidiary and special purpose Tax statutes, thus presenting a confusing landscape. The interaction of the principal legislation and several subsidiary legislations, agreements, and arrangements, require some streamlining and comprehensive review</w:t>
      </w:r>
      <w:r>
        <w:rPr>
          <w:rFonts w:ascii="Times New Roman" w:hAnsi="Times New Roman" w:eastAsia="Times New Roman" w:cs="Times New Roman"/>
          <w:sz w:val="24"/>
          <w:szCs w:val="24"/>
          <w:vertAlign w:val="superscript"/>
        </w:rPr>
        <w:footnoteReference w:id="18"/>
      </w:r>
      <w:r>
        <w:rPr>
          <w:rFonts w:ascii="Times New Roman" w:hAnsi="Times New Roman" w:cs="Times New Roman"/>
          <w:sz w:val="24"/>
          <w:szCs w:val="24"/>
        </w:rPr>
        <w:t xml:space="preserve">. These trends are examined specifically in chapters 2, 3 &amp; 4 of the thesis. The Petroleum Act (PA) 1968, and the Petroleum Drilling and Regulations 1968 form the regulatory framework for upstream petroleum operations. The Regulations adopt a licensing regime based on concessions and risk service arrangement as amended from time to time. </w:t>
      </w:r>
    </w:p>
    <w:p w14:paraId="25866475">
      <w:pPr>
        <w:pStyle w:val="4"/>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licensing framework for petroleum operations under the PA, consisted of oil prospecting licences (OPL), oil exploration (OEL) and oil mining leases (OML), The Joint Operating Agreement (JOA), and the PSC and risk service contracts, farm-in arrangements, and the discretionary use of project specific fiscal incentives and agreements, examined in detail in chapters 2, 3 &amp; 4 of the thesis, were the predominant structures and framework for petroleum operations, until the changes introduced under the Petroleum Industry Act (PIA), 2021.</w:t>
      </w:r>
    </w:p>
    <w:p w14:paraId="2FC8A3C3">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regulation of petroleum operations adopts a multi-agency approach, which creates overlaps in functions and confusion in implementation.  The Statutes and Regulations are old, and the fiscal arrangements and agreements are ad-hoc, discretionary and in many cases project specific and reactive in approach. The amendments to the legislation are generally reactive and piece-meal, with inadequately articulated or defined policy objectives. This approach has contributed to the general lack of clarity and certainty in terms of fiscal policy and tax law. </w:t>
      </w:r>
    </w:p>
    <w:p w14:paraId="3F3F3FB7">
      <w:pPr>
        <w:pStyle w:val="4"/>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existence of multiple regimes and the absence of clearly defined fiscal and tax objectives and processes or structures to facilitate the sustained evolution and development of the fiscal and legislative universe meant that the fiscal and tax landscape was not responsive and competitive. Tax liability could not in many cases be accurately determined, and tax administration and compliance were sub-optimal. Also, the concession and the contractual arrangements, as well as the regulatory framework in place, preserved the status of the Nigerian National Petroleum Corporation (NNPC) as both operator and regulator, on behalf of the FG. NNPC, however, lacked the technical competence and capacity to operate or regulate the industry or effectively deal with the IOCs, or articulate a comprehensive and responsive fiscal and tax policy for the oil and gas industry. </w:t>
      </w:r>
    </w:p>
    <w:p w14:paraId="787C1B14">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The following observation has been made on the Nigerian petroleum fiscal and tax legislative regime:</w:t>
      </w:r>
    </w:p>
    <w:p w14:paraId="4C27D908">
      <w:pPr>
        <w:pStyle w:val="4"/>
        <w:spacing w:line="480" w:lineRule="auto"/>
        <w:ind w:left="720"/>
        <w:jc w:val="both"/>
        <w:rPr>
          <w:rFonts w:ascii="Times New Roman" w:hAnsi="Times New Roman" w:eastAsia="Times New Roman" w:cs="Times New Roman"/>
          <w:sz w:val="24"/>
          <w:szCs w:val="24"/>
        </w:rPr>
      </w:pPr>
      <w:r>
        <w:rPr>
          <w:rFonts w:ascii="Times New Roman" w:hAnsi="Times New Roman" w:cs="Times New Roman"/>
          <w:sz w:val="24"/>
          <w:szCs w:val="24"/>
        </w:rPr>
        <w:t>“The field is populated by a winding mass of legislations, (both principal and subsidiary); directives from government and numerous parastatals, and many contractual and quasi-contractual arrangements, and the petroleum profits taxation system is a hopeless jumble, which requires an objective appraisal and therefore a reform that would ensure transparency and accountability in the interest of all stakeholders.”</w:t>
      </w:r>
      <w:r>
        <w:rPr>
          <w:rFonts w:ascii="Times New Roman" w:hAnsi="Times New Roman" w:eastAsia="Times New Roman" w:cs="Times New Roman"/>
          <w:sz w:val="24"/>
          <w:szCs w:val="24"/>
          <w:vertAlign w:val="superscript"/>
        </w:rPr>
        <w:footnoteReference w:id="19"/>
      </w:r>
    </w:p>
    <w:p w14:paraId="2FBDF108">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There are interesting findings from studies carried out on the Nigerian petroleum system. The studies suggest that Nigeria’s petroleum tax regime is predicated upon a desire to capture as much revenue as possible for the government.  One study has indicated that the implementation processes of the Nigeria petroleum tax system are fundamentally weak and require further improvement; and that the Nigeria petroleum tax system lacks the capacity for timely review, although it is shown to be sensitive to changes in tax regulations across oil-producing countries.</w:t>
      </w:r>
      <w:r>
        <w:rPr>
          <w:rFonts w:ascii="Times New Roman" w:hAnsi="Times New Roman" w:eastAsia="Times New Roman" w:cs="Times New Roman"/>
          <w:sz w:val="24"/>
          <w:szCs w:val="24"/>
          <w:vertAlign w:val="superscript"/>
        </w:rPr>
        <w:footnoteReference w:id="20"/>
      </w:r>
    </w:p>
    <w:p w14:paraId="24D493AE">
      <w:pPr>
        <w:pStyle w:val="4"/>
        <w:spacing w:line="240" w:lineRule="auto"/>
        <w:jc w:val="both"/>
        <w:rPr>
          <w:rFonts w:ascii="Times New Roman" w:hAnsi="Times New Roman" w:cs="Times New Roman"/>
          <w:b/>
          <w:bCs/>
          <w:sz w:val="24"/>
          <w:szCs w:val="24"/>
        </w:rPr>
      </w:pPr>
    </w:p>
    <w:p w14:paraId="0A32308A">
      <w:pPr>
        <w:pStyle w:val="4"/>
        <w:spacing w:line="240" w:lineRule="auto"/>
        <w:jc w:val="both"/>
        <w:rPr>
          <w:rFonts w:ascii="Times New Roman" w:hAnsi="Times New Roman" w:eastAsia="Calibri"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rPr>
        <w:tab/>
      </w:r>
      <w:r>
        <w:rPr>
          <w:rFonts w:ascii="Times New Roman" w:hAnsi="Times New Roman" w:cs="Times New Roman"/>
          <w:b/>
          <w:bCs/>
          <w:sz w:val="24"/>
          <w:szCs w:val="24"/>
        </w:rPr>
        <w:t>THE CHALLENGE OF UNCERTAINTY IN NIGERIAN UPSTREAM PETROLEUM TAXATION</w:t>
      </w:r>
    </w:p>
    <w:p w14:paraId="427CC5B2">
      <w:pPr>
        <w:pStyle w:val="4"/>
        <w:spacing w:line="480" w:lineRule="auto"/>
        <w:jc w:val="both"/>
        <w:rPr>
          <w:rFonts w:ascii="Times New Roman" w:hAnsi="Times New Roman"/>
          <w:sz w:val="24"/>
        </w:rPr>
      </w:pPr>
    </w:p>
    <w:p w14:paraId="47B913E8">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Tax certainty</w:t>
      </w:r>
      <w:r>
        <w:rPr>
          <w:rFonts w:ascii="Times New Roman" w:hAnsi="Times New Roman" w:eastAsia="Times New Roman" w:cs="Times New Roman"/>
          <w:sz w:val="24"/>
          <w:szCs w:val="24"/>
          <w:vertAlign w:val="superscript"/>
        </w:rPr>
        <w:footnoteReference w:id="21"/>
      </w:r>
      <w:r>
        <w:rPr>
          <w:rFonts w:ascii="Times New Roman" w:hAnsi="Times New Roman" w:cs="Times New Roman"/>
          <w:sz w:val="24"/>
          <w:szCs w:val="24"/>
        </w:rPr>
        <w:t xml:space="preserve"> is a key component of a good tax system. It helps to reconcile the expectations of taxpayers and governments and provides a tax environment conducive to growth and foreign direct investment. Achieving tax certainty in developed and developing countries is more difficult now than in the past since there is a climate of mistrust between society and multinational enterprises (MNEs) which has led to an environment of mutual suspicion between the wider public, business and governments over tax policy and implementation. Nevertheless, in the long term, it is in the interests of both government and business to minimize as far as possible tax uncertainty</w:t>
      </w:r>
      <w:r>
        <w:rPr>
          <w:rStyle w:val="48"/>
          <w:rFonts w:ascii="Times New Roman" w:hAnsi="Times New Roman" w:eastAsia="Times New Roman" w:cs="Times New Roman"/>
          <w:sz w:val="24"/>
          <w:szCs w:val="24"/>
          <w:vertAlign w:val="superscript"/>
        </w:rPr>
        <w:footnoteReference w:id="22"/>
      </w:r>
      <w:r>
        <w:rPr>
          <w:rFonts w:ascii="Times New Roman" w:hAnsi="Times New Roman" w:cs="Times New Roman"/>
          <w:sz w:val="24"/>
          <w:szCs w:val="24"/>
        </w:rPr>
        <w:t xml:space="preserve">. </w:t>
      </w:r>
    </w:p>
    <w:p w14:paraId="223D87BF">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C</w:t>
      </w:r>
      <w:r>
        <w:rPr>
          <w:rStyle w:val="48"/>
          <w:rFonts w:ascii="Times New Roman" w:hAnsi="Times New Roman" w:cs="Times New Roman"/>
          <w:sz w:val="24"/>
          <w:szCs w:val="24"/>
        </w:rPr>
        <w:t xml:space="preserve">larity in tax policy, laws and regulations essentially means that tax laws and regulations must be comprehensible to the taxpayer and the tax authority; they must be as simple as possible (given other goals of tax policy) as well as unambiguous and certain to both the taxpayer and the tax administrator. This implies that taxpayers can avoid a maze of taxes, forms and filing requirements. A simpler tax system helps taxpayers better understand the system and reduces the costs of compliance. Commentators and legislators alike extol the virtues of a </w:t>
      </w:r>
      <w:r>
        <w:rPr>
          <w:rStyle w:val="48"/>
          <w:rFonts w:ascii="Times New Roman" w:hAnsi="Times New Roman" w:cs="Times New Roman"/>
          <w:sz w:val="24"/>
          <w:szCs w:val="24"/>
          <w:rtl/>
          <w:lang w:val="ar-SA"/>
        </w:rPr>
        <w:t>‘</w:t>
      </w:r>
      <w:r>
        <w:rPr>
          <w:rStyle w:val="48"/>
          <w:rFonts w:ascii="Times New Roman" w:hAnsi="Times New Roman" w:cs="Times New Roman"/>
          <w:sz w:val="24"/>
          <w:szCs w:val="24"/>
        </w:rPr>
        <w:t>simple</w:t>
      </w:r>
      <w:r>
        <w:rPr>
          <w:rStyle w:val="48"/>
          <w:rFonts w:ascii="Times New Roman" w:hAnsi="Times New Roman" w:cs="Times New Roman"/>
          <w:sz w:val="24"/>
          <w:szCs w:val="24"/>
          <w:rtl/>
          <w:lang w:val="ar-SA"/>
        </w:rPr>
        <w:t xml:space="preserve"> </w:t>
      </w:r>
      <w:r>
        <w:rPr>
          <w:rStyle w:val="48"/>
          <w:rFonts w:ascii="Times New Roman" w:hAnsi="Times New Roman" w:cs="Times New Roman"/>
          <w:sz w:val="24"/>
          <w:szCs w:val="24"/>
        </w:rPr>
        <w:t>tax system’.</w:t>
      </w:r>
      <w:r>
        <w:rPr>
          <w:rStyle w:val="48"/>
          <w:rFonts w:ascii="Times New Roman" w:hAnsi="Times New Roman" w:eastAsia="Times New Roman" w:cs="Times New Roman"/>
          <w:sz w:val="24"/>
          <w:szCs w:val="24"/>
          <w:vertAlign w:val="superscript"/>
        </w:rPr>
        <w:footnoteReference w:id="23"/>
      </w:r>
      <w:r>
        <w:rPr>
          <w:rStyle w:val="48"/>
          <w:rFonts w:ascii="Times New Roman" w:hAnsi="Times New Roman" w:cs="Times New Roman"/>
          <w:sz w:val="24"/>
          <w:szCs w:val="24"/>
        </w:rPr>
        <w:t xml:space="preserve"> However, some studies and commentaries have suggested that the complexity of petroleum operations and the petroleum industry informs the complexity of its fiscal and tax system</w:t>
      </w:r>
      <w:r>
        <w:rPr>
          <w:rStyle w:val="48"/>
          <w:rFonts w:ascii="Times New Roman" w:hAnsi="Times New Roman" w:eastAsia="Times New Roman" w:cs="Times New Roman"/>
          <w:sz w:val="24"/>
          <w:szCs w:val="24"/>
          <w:vertAlign w:val="superscript"/>
        </w:rPr>
        <w:footnoteReference w:id="24"/>
      </w:r>
      <w:r>
        <w:rPr>
          <w:rStyle w:val="48"/>
          <w:rFonts w:ascii="Times New Roman" w:hAnsi="Times New Roman" w:cs="Times New Roman"/>
          <w:sz w:val="24"/>
          <w:szCs w:val="24"/>
        </w:rPr>
        <w:t>.</w:t>
      </w:r>
    </w:p>
    <w:p w14:paraId="2D8D6369">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In a similar vein, consistency or transparency in the tax system means that taxpayers and tax administrators, as well as others, can easily find information about the tax system and how tax money is used in tax administration. This is important for the tax authority and the taxpayer. Therefore, assuming a certain level of revenue that needs to be raised by the government, and which depends on the broader economic and fiscal policies of the country concerned, several broad tax policy considerations have traditionally guided the development of any taxation system. These include neutrality, efficiency, certainty and simplicity, effectiveness, and fairness, as well as flexibility</w:t>
      </w:r>
      <w:r>
        <w:rPr>
          <w:rStyle w:val="48"/>
          <w:rFonts w:ascii="Times New Roman" w:hAnsi="Times New Roman" w:eastAsia="Times New Roman" w:cs="Times New Roman"/>
          <w:sz w:val="24"/>
          <w:szCs w:val="24"/>
          <w:vertAlign w:val="superscript"/>
        </w:rPr>
        <w:footnoteReference w:id="25"/>
      </w:r>
      <w:r>
        <w:rPr>
          <w:rFonts w:ascii="Times New Roman" w:hAnsi="Times New Roman" w:cs="Times New Roman"/>
          <w:sz w:val="24"/>
          <w:szCs w:val="24"/>
        </w:rPr>
        <w:t xml:space="preserve">. </w:t>
      </w:r>
    </w:p>
    <w:p w14:paraId="242B6F64">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 xml:space="preserve">It will be argued in this study that the incidence of ambiguity, gaps and inconsistency in understanding and interpretation of statutory provisions by taxpayers, the tax authority and in some cases, the courts, may be due to the inconsistent application of these key principles in fiscal policy design and tax law-making and legislative drafting. Furthermore, since language is crucial to communication, and lawmakers characteristically use language to make law, and since law must provide for the authoritative resolution of disputes, the effects of the use of language are of special importance. </w:t>
      </w:r>
      <w:r>
        <w:rPr>
          <w:rStyle w:val="48"/>
          <w:rFonts w:ascii="Times New Roman" w:hAnsi="Times New Roman" w:eastAsia="Times New Roman" w:cs="Times New Roman"/>
          <w:sz w:val="24"/>
          <w:szCs w:val="24"/>
          <w:vertAlign w:val="superscript"/>
        </w:rPr>
        <w:footnoteReference w:id="26"/>
      </w:r>
      <w:r>
        <w:rPr>
          <w:rFonts w:ascii="Times New Roman" w:hAnsi="Times New Roman" w:cs="Times New Roman"/>
          <w:sz w:val="24"/>
          <w:szCs w:val="24"/>
        </w:rPr>
        <w:t xml:space="preserve"> It will be argued that words and concepts play a critical role in fiscal policy design and tax lawmaking. We will therefore seek to understand the extent to which words, and the absence of well-defined concepts and principles, have affected fiscal policy and tax law making in upstream petroleum taxation in Nigeria. This study will investigate the extent to which drafting competences have affected or contributed to creating uncertainties in taxing legislation in the Nigerian upstream oil and gas industry. </w:t>
      </w:r>
    </w:p>
    <w:p w14:paraId="315D044E">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Fuller’s</w:t>
      </w:r>
      <w:r>
        <w:rPr>
          <w:rStyle w:val="48"/>
          <w:rFonts w:ascii="Times New Roman" w:hAnsi="Times New Roman" w:eastAsia="Times New Roman" w:cs="Times New Roman"/>
          <w:sz w:val="24"/>
          <w:szCs w:val="24"/>
          <w:vertAlign w:val="superscript"/>
        </w:rPr>
        <w:footnoteReference w:id="27"/>
      </w:r>
      <w:r>
        <w:rPr>
          <w:rFonts w:ascii="Times New Roman" w:hAnsi="Times New Roman" w:cs="Times New Roman"/>
          <w:sz w:val="24"/>
          <w:szCs w:val="24"/>
        </w:rPr>
        <w:t xml:space="preserve"> eight principles and key requirements for legal certainty come into focus. He states that legal certainty demands that laws be published, be not retroactive, that they be clear and consistent, do not impose duties that are impossible to perform or are modified frequently, and that government action be in accordance with general laws which are laid down beforehand. Furthermore, in contemporary scholarship, legal certainty is regarded as a ‘principle of proper law-making’. In this regard, the importance of language and its role in effective communication has been highlighted. In terms of formulating and articulating policy, drafting tax laws, and interpreting the same, Anthony Burgess has described language as: </w:t>
      </w:r>
    </w:p>
    <w:p w14:paraId="587AE7EC">
      <w:pPr>
        <w:pStyle w:val="4"/>
        <w:spacing w:after="0" w:line="480" w:lineRule="auto"/>
        <w:jc w:val="both"/>
        <w:rPr>
          <w:rFonts w:ascii="Times New Roman" w:hAnsi="Times New Roman" w:eastAsia="Times New Roman" w:cs="Times New Roman"/>
          <w:sz w:val="24"/>
          <w:szCs w:val="24"/>
        </w:rPr>
      </w:pPr>
    </w:p>
    <w:p w14:paraId="7E201C6D">
      <w:pPr>
        <w:pStyle w:val="4"/>
        <w:spacing w:after="0" w:line="480" w:lineRule="auto"/>
        <w:ind w:left="720"/>
        <w:jc w:val="both"/>
        <w:rPr>
          <w:rFonts w:ascii="Times New Roman" w:hAnsi="Times New Roman" w:eastAsia="Times New Roman" w:cs="Times New Roman"/>
          <w:sz w:val="24"/>
          <w:szCs w:val="24"/>
        </w:rPr>
      </w:pPr>
      <w:r>
        <w:rPr>
          <w:rFonts w:ascii="Times New Roman" w:hAnsi="Times New Roman" w:cs="Times New Roman"/>
          <w:sz w:val="24"/>
          <w:szCs w:val="24"/>
        </w:rPr>
        <w:t>“…a system of signs, arbitrary in form and only to be understood in terms of the whole system which is a given language. Language…can be understood only in relation to each other.”</w:t>
      </w:r>
      <w:r>
        <w:rPr>
          <w:rStyle w:val="48"/>
          <w:rFonts w:ascii="Times New Roman" w:hAnsi="Times New Roman" w:eastAsia="Times New Roman" w:cs="Times New Roman"/>
          <w:sz w:val="24"/>
          <w:szCs w:val="24"/>
          <w:vertAlign w:val="superscript"/>
        </w:rPr>
        <w:footnoteReference w:id="28"/>
      </w:r>
    </w:p>
    <w:p w14:paraId="30EF7DAE">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It has been argued that language may be contrasted with speech, which is the actual use at a time of local symbols by an individual to convey information or express some other image from the mind of the speaker.</w:t>
      </w:r>
      <w:r>
        <w:rPr>
          <w:rStyle w:val="48"/>
          <w:rFonts w:ascii="Times New Roman" w:hAnsi="Times New Roman" w:eastAsia="Times New Roman" w:cs="Times New Roman"/>
          <w:sz w:val="24"/>
          <w:szCs w:val="24"/>
          <w:vertAlign w:val="superscript"/>
        </w:rPr>
        <w:footnoteReference w:id="29"/>
      </w:r>
      <w:r>
        <w:rPr>
          <w:rFonts w:ascii="Times New Roman" w:hAnsi="Times New Roman" w:cs="Times New Roman"/>
          <w:sz w:val="24"/>
          <w:szCs w:val="24"/>
        </w:rPr>
        <w:t xml:space="preserve"> Language is the system or the code. It goes beyond the individual society and is essentially a social institution. However, the verbal images stored away in the minds of the individual members of society are substantially the same but cannot communicate on their own. The symbols are arbitrary in that they have no relationship to what they signify, and yet they are conventional in the sense that they are accepted by the speech community.</w:t>
      </w:r>
      <w:r>
        <w:rPr>
          <w:rStyle w:val="48"/>
          <w:rFonts w:ascii="Times New Roman" w:hAnsi="Times New Roman" w:eastAsia="Times New Roman" w:cs="Times New Roman"/>
          <w:sz w:val="24"/>
          <w:szCs w:val="24"/>
          <w:vertAlign w:val="superscript"/>
        </w:rPr>
        <w:footnoteReference w:id="30"/>
      </w:r>
      <w:r>
        <w:rPr>
          <w:rFonts w:ascii="Times New Roman" w:hAnsi="Times New Roman" w:cs="Times New Roman"/>
          <w:sz w:val="24"/>
          <w:szCs w:val="24"/>
        </w:rPr>
        <w:t xml:space="preserve"> </w:t>
      </w:r>
    </w:p>
    <w:p w14:paraId="6EB54E41">
      <w:pPr>
        <w:pStyle w:val="4"/>
        <w:spacing w:after="0" w:line="480" w:lineRule="auto"/>
        <w:jc w:val="both"/>
        <w:rPr>
          <w:rFonts w:ascii="Times New Roman" w:hAnsi="Times New Roman" w:eastAsia="Times New Roman" w:cs="Times New Roman"/>
          <w:sz w:val="24"/>
          <w:szCs w:val="24"/>
        </w:rPr>
      </w:pPr>
    </w:p>
    <w:p w14:paraId="3C880FD8">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In another very incisive analysis of how language is used in communication, Peter F Strawson</w:t>
      </w:r>
      <w:r>
        <w:rPr>
          <w:rStyle w:val="48"/>
          <w:rFonts w:ascii="Times New Roman" w:hAnsi="Times New Roman" w:eastAsia="Times New Roman" w:cs="Times New Roman"/>
          <w:sz w:val="24"/>
          <w:szCs w:val="24"/>
          <w:vertAlign w:val="superscript"/>
        </w:rPr>
        <w:footnoteReference w:id="31"/>
      </w:r>
      <w:r>
        <w:rPr>
          <w:rFonts w:ascii="Times New Roman" w:hAnsi="Times New Roman" w:cs="Times New Roman"/>
          <w:sz w:val="24"/>
          <w:szCs w:val="24"/>
        </w:rPr>
        <w:t xml:space="preserve"> distinguished between expression, the utterance of an expression and the use of an expression. He asserts that the meaning of an expression is not the set of things or the single thing it may correctly be used to refer to, but; “the meaning is the set of rules, habits, and conventions for its use in referring.” </w:t>
      </w:r>
    </w:p>
    <w:p w14:paraId="4AD4B19A">
      <w:pPr>
        <w:pStyle w:val="4"/>
        <w:spacing w:after="0" w:line="480" w:lineRule="auto"/>
        <w:jc w:val="both"/>
        <w:rPr>
          <w:rFonts w:ascii="Times New Roman" w:hAnsi="Times New Roman" w:eastAsia="Times New Roman" w:cs="Times New Roman"/>
          <w:sz w:val="24"/>
          <w:szCs w:val="24"/>
        </w:rPr>
      </w:pPr>
    </w:p>
    <w:p w14:paraId="5CAE3C82">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From that view of meaning or language, one can make several deductions that are relevant to writing legislation in general, and more specifically, as it applies to taxation of upstream petroleum in Nigeria. One is that meaning is slippery and depends on so many factors in addition to the words in which someone has tried to embody it. For fiscal policy formulation and tax law-making and tax law drafting, clarity and certainty demand that the intended meaning and effect is well articulated, and principle guided. Secondly, taxpayers, tax authorities and administrators, as well as judges, should have considerable latitude in interpreting statutes. Also, words used in statutes must as much as possible not give room for uncertainties or ambiguities of interpretation. James Boyd White, for example, has attempted to make the connection and has disputed the representational theory of language, whilst asserting an expansive view of statutory interpretation.</w:t>
      </w:r>
      <w:r>
        <w:rPr>
          <w:rStyle w:val="48"/>
          <w:rFonts w:ascii="Times New Roman" w:hAnsi="Times New Roman" w:eastAsia="Times New Roman" w:cs="Times New Roman"/>
          <w:sz w:val="24"/>
          <w:szCs w:val="24"/>
          <w:vertAlign w:val="superscript"/>
        </w:rPr>
        <w:footnoteReference w:id="32"/>
      </w:r>
      <w:r>
        <w:rPr>
          <w:rFonts w:ascii="Times New Roman" w:hAnsi="Times New Roman" w:cs="Times New Roman"/>
          <w:sz w:val="24"/>
          <w:szCs w:val="24"/>
        </w:rPr>
        <w:t xml:space="preserve"> It may be observed that an expansive view, without more, and which goes beyond using technically defined, and industry accepted meaning of terms, etc. may conflict with the strict literal interpretation of tax statute.</w:t>
      </w:r>
    </w:p>
    <w:p w14:paraId="23541FB8">
      <w:pPr>
        <w:pStyle w:val="4"/>
        <w:spacing w:after="0" w:line="480" w:lineRule="auto"/>
        <w:jc w:val="both"/>
        <w:rPr>
          <w:rFonts w:ascii="Times New Roman" w:hAnsi="Times New Roman" w:eastAsia="Times New Roman" w:cs="Times New Roman"/>
          <w:sz w:val="24"/>
          <w:szCs w:val="24"/>
        </w:rPr>
      </w:pPr>
    </w:p>
    <w:p w14:paraId="6D519D2C">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It is not in doubt that legislative drafting competency</w:t>
      </w:r>
      <w:r>
        <w:rPr>
          <w:rStyle w:val="48"/>
          <w:rFonts w:ascii="Times New Roman" w:hAnsi="Times New Roman" w:eastAsia="Times New Roman" w:cs="Times New Roman"/>
          <w:sz w:val="24"/>
          <w:szCs w:val="24"/>
          <w:vertAlign w:val="superscript"/>
        </w:rPr>
        <w:footnoteReference w:id="33"/>
      </w:r>
      <w:r>
        <w:rPr>
          <w:rFonts w:ascii="Times New Roman" w:hAnsi="Times New Roman" w:cs="Times New Roman"/>
          <w:sz w:val="24"/>
          <w:szCs w:val="24"/>
        </w:rPr>
        <w:t xml:space="preserve"> is a key requirement and has practical relevance for achieving clarity and certainty in the fiscal regime and taxation laws.  Drafters are required to convey the intended meaning with the greatest possible precision. It has been argued that a drafter will do much better by trying to achieve accuracy than by trying to achieve clarity.</w:t>
      </w:r>
      <w:r>
        <w:rPr>
          <w:rStyle w:val="48"/>
          <w:rFonts w:ascii="Times New Roman" w:hAnsi="Times New Roman" w:eastAsia="Times New Roman" w:cs="Times New Roman"/>
          <w:sz w:val="24"/>
          <w:szCs w:val="24"/>
          <w:vertAlign w:val="superscript"/>
        </w:rPr>
        <w:footnoteReference w:id="34"/>
      </w:r>
      <w:r>
        <w:rPr>
          <w:rFonts w:ascii="Times New Roman" w:hAnsi="Times New Roman" w:cs="Times New Roman"/>
          <w:sz w:val="24"/>
          <w:szCs w:val="24"/>
        </w:rPr>
        <w:t xml:space="preserve"> Jack Stark aptly asserts:</w:t>
      </w:r>
    </w:p>
    <w:p w14:paraId="6F079E30">
      <w:pPr>
        <w:pStyle w:val="4"/>
        <w:spacing w:after="0" w:line="480" w:lineRule="auto"/>
        <w:jc w:val="both"/>
        <w:rPr>
          <w:rFonts w:ascii="Times New Roman" w:hAnsi="Times New Roman" w:eastAsia="Times New Roman" w:cs="Times New Roman"/>
          <w:sz w:val="24"/>
          <w:szCs w:val="24"/>
        </w:rPr>
      </w:pPr>
    </w:p>
    <w:p w14:paraId="124C855C">
      <w:pPr>
        <w:pStyle w:val="4"/>
        <w:spacing w:after="0" w:line="480" w:lineRule="auto"/>
        <w:ind w:left="720"/>
        <w:jc w:val="both"/>
        <w:rPr>
          <w:rFonts w:ascii="Times New Roman" w:hAnsi="Times New Roman" w:eastAsia="Times New Roman" w:cs="Times New Roman"/>
          <w:sz w:val="24"/>
          <w:szCs w:val="24"/>
        </w:rPr>
      </w:pPr>
      <w:r>
        <w:rPr>
          <w:rFonts w:ascii="Times New Roman" w:hAnsi="Times New Roman" w:cs="Times New Roman"/>
          <w:sz w:val="24"/>
          <w:szCs w:val="24"/>
        </w:rPr>
        <w:t>“A clear statute that does not fulfil…intent is a disaster, not an accomplishment. Conversely, a statute that fulfils its purpose, even if a reader must puzzle over it a bit, is a success. Instantaneous comprehension of statutes, although desirable, is unnecessary, and when it is achieved at the expense of accuracy, it is counterproductive.”</w:t>
      </w:r>
      <w:r>
        <w:rPr>
          <w:rStyle w:val="48"/>
          <w:rFonts w:ascii="Times New Roman" w:hAnsi="Times New Roman" w:eastAsia="Times New Roman" w:cs="Times New Roman"/>
          <w:sz w:val="24"/>
          <w:szCs w:val="24"/>
          <w:vertAlign w:val="superscript"/>
        </w:rPr>
        <w:footnoteReference w:id="35"/>
      </w:r>
    </w:p>
    <w:p w14:paraId="1CA4DFE2">
      <w:pPr>
        <w:pStyle w:val="4"/>
        <w:spacing w:after="0" w:line="480" w:lineRule="auto"/>
        <w:jc w:val="both"/>
        <w:rPr>
          <w:rFonts w:ascii="Times New Roman" w:hAnsi="Times New Roman" w:eastAsia="Times New Roman" w:cs="Times New Roman"/>
          <w:sz w:val="24"/>
          <w:szCs w:val="24"/>
        </w:rPr>
      </w:pPr>
    </w:p>
    <w:p w14:paraId="7C2DA32F">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It has been asserted that tax certainty can only be achieved when the right balance is struck between clarity of taxing provisions, facilitating compliance, as well as identifying, and curbing aggressive tax planning</w:t>
      </w:r>
      <w:r>
        <w:rPr>
          <w:rStyle w:val="48"/>
          <w:rFonts w:ascii="Times New Roman" w:hAnsi="Times New Roman" w:eastAsia="Times New Roman" w:cs="Times New Roman"/>
          <w:sz w:val="24"/>
          <w:szCs w:val="24"/>
          <w:vertAlign w:val="superscript"/>
        </w:rPr>
        <w:footnoteReference w:id="36"/>
      </w:r>
      <w:r>
        <w:rPr>
          <w:rFonts w:ascii="Times New Roman" w:hAnsi="Times New Roman" w:cs="Times New Roman"/>
          <w:sz w:val="24"/>
          <w:szCs w:val="24"/>
        </w:rPr>
        <w:t>.  In addition to the above highlighted principles, we shall briefly interrogate the following points, since these affect upstream petroleum taxation in Nigeria:</w:t>
      </w:r>
    </w:p>
    <w:p w14:paraId="7DDA4A37">
      <w:pPr>
        <w:pStyle w:val="4"/>
        <w:spacing w:after="0" w:line="480" w:lineRule="auto"/>
        <w:jc w:val="both"/>
        <w:rPr>
          <w:rFonts w:ascii="Times New Roman" w:hAnsi="Times New Roman" w:eastAsia="Times New Roman" w:cs="Times New Roman"/>
          <w:sz w:val="24"/>
          <w:szCs w:val="24"/>
        </w:rPr>
      </w:pPr>
    </w:p>
    <w:p w14:paraId="3A5E21D5">
      <w:pPr>
        <w:pStyle w:val="4"/>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Fiscal federalism under the 1999 Constitution,</w:t>
      </w:r>
    </w:p>
    <w:p w14:paraId="4844B9FA">
      <w:pPr>
        <w:pStyle w:val="4"/>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Inadequate fiscal policy design,</w:t>
      </w:r>
    </w:p>
    <w:p w14:paraId="0F9F7E3F">
      <w:pPr>
        <w:pStyle w:val="4"/>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Unclear taxing provisions in the taxing Act, and the interaction of principal and subsidiary legislation in the petroleum industry.</w:t>
      </w:r>
    </w:p>
    <w:p w14:paraId="74BAE2DE">
      <w:pPr>
        <w:pStyle w:val="4"/>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Retroactive changes,  </w:t>
      </w:r>
    </w:p>
    <w:p w14:paraId="409E5064">
      <w:pPr>
        <w:pStyle w:val="4"/>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Sectoral fiscal incentives requiring special tax treatment,</w:t>
      </w:r>
    </w:p>
    <w:p w14:paraId="147EDBFB">
      <w:pPr>
        <w:pStyle w:val="4"/>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Tax administrative process and judicial interpretation, and </w:t>
      </w:r>
    </w:p>
    <w:p w14:paraId="61C9E2E1">
      <w:pPr>
        <w:pStyle w:val="4"/>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Judicial intervention and precedents.</w:t>
      </w:r>
    </w:p>
    <w:p w14:paraId="1911C282">
      <w:pPr>
        <w:pStyle w:val="4"/>
        <w:spacing w:after="0" w:line="480" w:lineRule="auto"/>
        <w:jc w:val="both"/>
        <w:rPr>
          <w:rFonts w:ascii="Times New Roman" w:hAnsi="Times New Roman" w:eastAsia="Times New Roman" w:cs="Times New Roman"/>
          <w:sz w:val="24"/>
          <w:szCs w:val="24"/>
        </w:rPr>
      </w:pPr>
    </w:p>
    <w:p w14:paraId="595FB6DD">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(1). Under the 1999 Constitution, ownership and control of all oil and gas (O&amp;G) resources in Nigeria reside with the State. The State here refers to the Federal government of Nigeria (FGN). All activities to search for, win and dispose of crude oil and gas discovered and produced in Nigeria are carried out under rights and licenses granted by the FGN.  Petroleum is listed under the Exclusive Legislative List,</w:t>
      </w:r>
      <w:r>
        <w:rPr>
          <w:rStyle w:val="48"/>
          <w:rFonts w:ascii="Times New Roman" w:hAnsi="Times New Roman" w:eastAsia="Times New Roman" w:cs="Times New Roman"/>
          <w:sz w:val="24"/>
          <w:szCs w:val="24"/>
          <w:vertAlign w:val="superscript"/>
        </w:rPr>
        <w:footnoteReference w:id="37"/>
      </w:r>
      <w:r>
        <w:rPr>
          <w:rFonts w:ascii="Times New Roman" w:hAnsi="Times New Roman" w:cs="Times New Roman"/>
          <w:sz w:val="24"/>
          <w:szCs w:val="24"/>
        </w:rPr>
        <w:t xml:space="preserve"> and the Federal government (FG), through the National Assembly (NA), is empowered to legislate on matters contained in the exclusive legislative list (“Exclusive Legislative List”) of the Constitution, to the exclusion of the State Houses of Assembly. The FG also has exclusive taxing powers on energy matters, as well as concurrent legislative powers with the States on matters in the Concurrent List of the Constitution. The exercise of these powers has significant implications for both direct and indirect taxation of transactions in the upstream petroleum sector.  The allocation of exclusive fiscal taxing rights over petroleum to FG creates a fiscal imbalance in the federal system as operated under the 1999 Constitution. The practical consequence is that of fiscal incursions by the Federating States in the exercise of fiscal powers, resulting in the incidence of multiple taxes and levies. The actions of the States create uncertainties and the inconsistent application of tax statutes. </w:t>
      </w:r>
    </w:p>
    <w:p w14:paraId="47F71A9F">
      <w:pPr>
        <w:pStyle w:val="4"/>
        <w:spacing w:after="0" w:line="480" w:lineRule="auto"/>
        <w:jc w:val="both"/>
        <w:rPr>
          <w:rFonts w:ascii="Times New Roman" w:hAnsi="Times New Roman" w:eastAsia="Times New Roman" w:cs="Times New Roman"/>
          <w:sz w:val="24"/>
          <w:szCs w:val="24"/>
        </w:rPr>
      </w:pPr>
    </w:p>
    <w:p w14:paraId="6DC51389">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(2). The absence of sustained and well-articulated fiscal policy</w:t>
      </w:r>
      <w:r>
        <w:rPr>
          <w:rStyle w:val="48"/>
          <w:rFonts w:ascii="Times New Roman" w:hAnsi="Times New Roman" w:eastAsia="Times New Roman" w:cs="Times New Roman"/>
          <w:sz w:val="24"/>
          <w:szCs w:val="24"/>
          <w:vertAlign w:val="superscript"/>
        </w:rPr>
        <w:footnoteReference w:id="38"/>
      </w:r>
      <w:r>
        <w:rPr>
          <w:rFonts w:ascii="Times New Roman" w:hAnsi="Times New Roman" w:cs="Times New Roman"/>
          <w:sz w:val="24"/>
          <w:szCs w:val="24"/>
        </w:rPr>
        <w:t xml:space="preserve"> and tax law formulation or review is another major source of uncertainty in the upstream tax system. Only recently,</w:t>
      </w:r>
      <w:r>
        <w:rPr>
          <w:rStyle w:val="48"/>
          <w:rFonts w:ascii="Times New Roman" w:hAnsi="Times New Roman" w:eastAsia="Times New Roman" w:cs="Times New Roman"/>
          <w:sz w:val="24"/>
          <w:szCs w:val="24"/>
          <w:vertAlign w:val="superscript"/>
        </w:rPr>
        <w:footnoteReference w:id="39"/>
      </w:r>
      <w:r>
        <w:rPr>
          <w:rFonts w:ascii="Times New Roman" w:hAnsi="Times New Roman" w:cs="Times New Roman"/>
          <w:sz w:val="24"/>
          <w:szCs w:val="24"/>
        </w:rPr>
        <w:t xml:space="preserve"> has there been an attempt to articulate a comprehensive, clear commercial and fiscal policy for tax law change in the Nigeria petroleum industry.  Unfortunately, this initiative has been prolonged and has affected the translation of fiscal and tax policy into enforceable statutes. This situation further aggravated the uncertainty in the PPTA regime of the country. </w:t>
      </w:r>
    </w:p>
    <w:p w14:paraId="3C8B5D70">
      <w:pPr>
        <w:pStyle w:val="4"/>
        <w:spacing w:after="0" w:line="480" w:lineRule="auto"/>
        <w:jc w:val="both"/>
        <w:rPr>
          <w:rFonts w:ascii="Times New Roman" w:hAnsi="Times New Roman" w:eastAsia="Times New Roman" w:cs="Times New Roman"/>
          <w:sz w:val="24"/>
          <w:szCs w:val="24"/>
        </w:rPr>
      </w:pPr>
    </w:p>
    <w:p w14:paraId="498C7677">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(3). Experience has shown that the PPTA, as amended, and the other relevant subsidiary legislation have some conflicting and unclear provisions.</w:t>
      </w:r>
      <w:r>
        <w:rPr>
          <w:rStyle w:val="48"/>
          <w:rFonts w:ascii="Times New Roman" w:hAnsi="Times New Roman" w:eastAsia="Times New Roman" w:cs="Times New Roman"/>
          <w:sz w:val="24"/>
          <w:szCs w:val="24"/>
          <w:vertAlign w:val="superscript"/>
        </w:rPr>
        <w:footnoteReference w:id="40"/>
      </w:r>
      <w:r>
        <w:rPr>
          <w:rFonts w:ascii="Times New Roman" w:hAnsi="Times New Roman" w:cs="Times New Roman"/>
          <w:sz w:val="24"/>
          <w:szCs w:val="24"/>
        </w:rPr>
        <w:t xml:space="preserve"> The PPTA has operated alongside subsidiary legislation, Memoranda of Understanding (MOU), Agreements and the Production Sharing Contracts (PSC). The fiscal incentives and commercial concessions granted either to specific projects and the PSCs’ terms were subsequently enacted into law, amending the PPTA and CITA. With the benefit of hindsight, this approach may have added to the uncertainties in the application of the PPTA. Perhaps, a more prudent approach would have been to enact statutes, with clear fiscal terms, guarantees and sunset clauses. The development of the Nigeria Liquefied Natural Gas (NLNG) project with the enactment of the Nigeria LNG Act</w:t>
      </w:r>
      <w:r>
        <w:rPr>
          <w:rStyle w:val="23"/>
          <w:sz w:val="24"/>
          <w:szCs w:val="24"/>
        </w:rPr>
        <w:footnoteReference w:id="41"/>
      </w:r>
      <w:r>
        <w:rPr>
          <w:rFonts w:ascii="Times New Roman" w:hAnsi="Times New Roman" w:cs="Times New Roman"/>
          <w:sz w:val="24"/>
          <w:szCs w:val="24"/>
        </w:rPr>
        <w:t xml:space="preserve">is one such example. </w:t>
      </w:r>
    </w:p>
    <w:p w14:paraId="2CA998D6">
      <w:pPr>
        <w:pStyle w:val="4"/>
        <w:spacing w:after="0" w:line="480" w:lineRule="auto"/>
        <w:jc w:val="both"/>
        <w:rPr>
          <w:rFonts w:ascii="Times New Roman" w:hAnsi="Times New Roman" w:eastAsia="Times New Roman" w:cs="Times New Roman"/>
          <w:sz w:val="24"/>
          <w:szCs w:val="24"/>
        </w:rPr>
      </w:pPr>
    </w:p>
    <w:p w14:paraId="015908E9">
      <w:pPr>
        <w:pStyle w:val="4"/>
        <w:spacing w:after="0" w:line="480" w:lineRule="auto"/>
        <w:jc w:val="both"/>
        <w:rPr>
          <w:rFonts w:ascii="Times New Roman" w:hAnsi="Times New Roman" w:cs="Times New Roman"/>
          <w:sz w:val="24"/>
          <w:szCs w:val="24"/>
        </w:rPr>
      </w:pPr>
      <w:r>
        <w:rPr>
          <w:rFonts w:ascii="Times New Roman" w:hAnsi="Times New Roman" w:cs="Times New Roman"/>
          <w:sz w:val="24"/>
          <w:szCs w:val="24"/>
        </w:rPr>
        <w:t>At the other end of the spectrum is the enactment of the PSC Act. The PSC Act amended the PPTA and introduced into the PPT regime inadequately defined PSC concepts, such as; “contract area”, “investment tax credit/allowance”, “sole cost”, “cost recovery”, “royalty oil”, “tax oil” and “profit oil,” etc. This approach increased the grey areas in the PPTA and presented quite a few interpretation and implementation issues to the upstream PPT regime. The PSC fiscal incentives introduced by the amendment to the PPTA lacked in some respects adequate enforcement framework, with scope for aggressive tax planning.  A typical case in point under the PSC relates to pricing, royalty rate and law review under s.16 of the PSC Act.</w:t>
      </w:r>
      <w:r>
        <w:rPr>
          <w:rStyle w:val="48"/>
          <w:rFonts w:ascii="Times New Roman" w:hAnsi="Times New Roman" w:eastAsia="Times New Roman" w:cs="Times New Roman"/>
          <w:sz w:val="24"/>
          <w:szCs w:val="24"/>
          <w:vertAlign w:val="superscript"/>
        </w:rPr>
        <w:footnoteReference w:id="42"/>
      </w:r>
      <w:r>
        <w:rPr>
          <w:rFonts w:ascii="Times New Roman" w:hAnsi="Times New Roman" w:cs="Times New Roman"/>
          <w:sz w:val="24"/>
          <w:szCs w:val="24"/>
        </w:rPr>
        <w:t xml:space="preserve">  Section.16 (1) &amp; (2) of the PSC set a price threshold, which once attained, should trigger a review of government fiscal take. It also stipulated a timeline for amending the PSC Act.  The process required for activating the review is not defined in the PSC Act, and the provision was never really activated and applied, thus resulting in revenue loss to government. Several issues emanating from improperly stated concepts, and perhaps poorly articulated PSC incentives have resulted in contentious issues that have gone to arbitration and the Tax Appeal Tribunal (TAT), as examined later in chapter 4 of the thesis. To state the obvious, some of the TAT decisions have also been conflicting due primarily to the misalignment of fiscal objectives and ill-defined concepts and terms.  </w:t>
      </w:r>
    </w:p>
    <w:p w14:paraId="4FB78AD7">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Recently, some aggrieved States in the Federation sought and obtained a consent judgement from the Supreme Court (SC), on the implication of the provisions of s.16 of the PSC Act. The FGN has also belatedly caused the amendment of s.16 of the PSC Act in 2019</w:t>
      </w:r>
      <w:r>
        <w:rPr>
          <w:rStyle w:val="48"/>
          <w:rFonts w:ascii="Times New Roman" w:hAnsi="Times New Roman" w:eastAsia="Times New Roman" w:cs="Times New Roman"/>
          <w:sz w:val="24"/>
          <w:szCs w:val="24"/>
          <w:vertAlign w:val="superscript"/>
        </w:rPr>
        <w:footnoteReference w:id="43"/>
      </w:r>
      <w:r>
        <w:rPr>
          <w:rFonts w:ascii="Times New Roman" w:hAnsi="Times New Roman" w:cs="Times New Roman"/>
          <w:sz w:val="24"/>
          <w:szCs w:val="24"/>
        </w:rPr>
        <w:t xml:space="preserve">, to address the issues of price determination, the applicable royalty rate and the absence of legislative preview and amendment process. The FG, however, failed to engage with the IOC’s and other relevant stakeholders and the amendment does not specify a well-defined law review and change process.   </w:t>
      </w:r>
    </w:p>
    <w:p w14:paraId="4F563CC9">
      <w:pPr>
        <w:pStyle w:val="4"/>
        <w:spacing w:after="0" w:line="480" w:lineRule="auto"/>
        <w:jc w:val="both"/>
        <w:rPr>
          <w:rFonts w:ascii="Times New Roman" w:hAnsi="Times New Roman" w:eastAsia="Times New Roman" w:cs="Times New Roman"/>
          <w:sz w:val="24"/>
          <w:szCs w:val="24"/>
        </w:rPr>
      </w:pPr>
    </w:p>
    <w:p w14:paraId="3A66D8CA">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(4). The special sectoral gas fiscal incentives granted by the FG under the Associated Gas Framework Agreement (AGFA), and the Non-Associated Gas Framework Agreement is another area of misalignment of fiscal objectives and lack of clarity of terms. The gas fiscal incentives were incorporated into law with the respective amendments of the PPTA and CITA.</w:t>
      </w:r>
      <w:r>
        <w:rPr>
          <w:rStyle w:val="48"/>
          <w:rFonts w:ascii="Times New Roman" w:hAnsi="Times New Roman" w:eastAsia="Times New Roman" w:cs="Times New Roman"/>
          <w:sz w:val="24"/>
          <w:szCs w:val="24"/>
          <w:vertAlign w:val="superscript"/>
        </w:rPr>
        <w:footnoteReference w:id="44"/>
      </w:r>
      <w:r>
        <w:rPr>
          <w:rFonts w:ascii="Times New Roman" w:hAnsi="Times New Roman" w:cs="Times New Roman"/>
          <w:sz w:val="24"/>
          <w:szCs w:val="24"/>
        </w:rPr>
        <w:t xml:space="preserve"> In particular, and by the amendment, gas capital cost is expensed against oil capital cost. Given the different tax rates for oil and gas (85% as against 30%), this treatment has given rise to interpretation and implementation issues, thus resulting in the tax authority and the taxpayer taking different positions, and conflicting decisions by the courts. The TAT had ruled that Agip gas income is liable to tax under CITA, and the dividends paid out of its gas profits are subject to WHT as provided under section 80 an 9(1) (c) of CITA, although Agip is engaged in petroleum operations, which is subject to PPTA</w:t>
      </w:r>
      <w:r>
        <w:rPr>
          <w:rStyle w:val="23"/>
          <w:rFonts w:ascii="Times New Roman" w:hAnsi="Times New Roman" w:cs="Times New Roman"/>
          <w:sz w:val="24"/>
          <w:szCs w:val="24"/>
        </w:rPr>
        <w:footnoteReference w:id="45"/>
      </w:r>
      <w:r>
        <w:rPr>
          <w:rFonts w:ascii="Times New Roman" w:hAnsi="Times New Roman" w:cs="Times New Roman"/>
          <w:sz w:val="24"/>
          <w:szCs w:val="24"/>
        </w:rPr>
        <w:t xml:space="preserve">. </w:t>
      </w:r>
    </w:p>
    <w:p w14:paraId="16979B32">
      <w:pPr>
        <w:pStyle w:val="4"/>
        <w:spacing w:after="0" w:line="480" w:lineRule="auto"/>
        <w:jc w:val="both"/>
        <w:rPr>
          <w:rFonts w:ascii="Times New Roman" w:hAnsi="Times New Roman" w:cs="Times New Roman"/>
          <w:sz w:val="24"/>
          <w:szCs w:val="24"/>
        </w:rPr>
      </w:pPr>
    </w:p>
    <w:p w14:paraId="51299086">
      <w:pPr>
        <w:pStyle w:val="4"/>
        <w:spacing w:line="480" w:lineRule="auto"/>
        <w:jc w:val="both"/>
        <w:rPr>
          <w:rFonts w:ascii="Times New Roman" w:hAnsi="Times New Roman" w:cs="Times New Roman"/>
          <w:sz w:val="24"/>
          <w:szCs w:val="24"/>
        </w:rPr>
      </w:pPr>
      <w:r>
        <w:rPr>
          <w:rFonts w:ascii="Times New Roman" w:hAnsi="Times New Roman" w:cs="Times New Roman"/>
          <w:sz w:val="24"/>
          <w:szCs w:val="24"/>
        </w:rPr>
        <w:t>(5). Retroactive changes should be avoided, as this can create uncertainty and be harmful to investment.</w:t>
      </w:r>
      <w:r>
        <w:rPr>
          <w:rFonts w:ascii="Times New Roman" w:hAnsi="Times New Roman" w:cs="Times New Roman"/>
          <w:sz w:val="24"/>
          <w:szCs w:val="24"/>
          <w:vertAlign w:val="superscript"/>
        </w:rPr>
        <w:footnoteReference w:id="46"/>
      </w:r>
      <w:r>
        <w:rPr>
          <w:rFonts w:ascii="Times New Roman" w:hAnsi="Times New Roman" w:cs="Times New Roman"/>
          <w:sz w:val="24"/>
          <w:szCs w:val="24"/>
        </w:rPr>
        <w:t xml:space="preserve"> It is critical to distinguish between “retroactivity” and “tax stabilization”.</w:t>
      </w:r>
      <w:r>
        <w:rPr>
          <w:rFonts w:ascii="Times New Roman" w:hAnsi="Times New Roman" w:cs="Times New Roman"/>
          <w:sz w:val="24"/>
          <w:szCs w:val="24"/>
          <w:vertAlign w:val="superscript"/>
        </w:rPr>
        <w:footnoteReference w:id="47"/>
      </w:r>
      <w:r>
        <w:rPr>
          <w:rFonts w:ascii="Times New Roman" w:hAnsi="Times New Roman" w:cs="Times New Roman"/>
          <w:sz w:val="24"/>
          <w:szCs w:val="24"/>
        </w:rPr>
        <w:t xml:space="preserve"> True “retroactivity” would mean changes to tax laws that are applied to past tax years, as opposed to changes in the law that apply to future years. The issue then, is whether changes applied to past tax years would generate “uncertainty” in the sense of causing taxpayers in general to distrust the future actions of government—much in the way that nationalization of sectors or companies can do.  Generally, changes in tax rules should as much as possible be implemented prospectively, although there have been attempts in the past to effect changes retroactively in the Nigeria petroleum regime</w:t>
      </w:r>
      <w:r>
        <w:rPr>
          <w:rStyle w:val="23"/>
          <w:sz w:val="24"/>
          <w:szCs w:val="24"/>
        </w:rPr>
        <w:footnoteReference w:id="48"/>
      </w:r>
      <w:r>
        <w:rPr>
          <w:rFonts w:ascii="Times New Roman" w:hAnsi="Times New Roman" w:cs="Times New Roman"/>
          <w:sz w:val="24"/>
          <w:szCs w:val="24"/>
        </w:rPr>
        <w:t xml:space="preserve">. </w:t>
      </w:r>
    </w:p>
    <w:p w14:paraId="429A49D5">
      <w:pPr>
        <w:pStyle w:val="4"/>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bookmarkStart w:id="2" w:name="_Hlk128948578"/>
      <w:r>
        <w:rPr>
          <w:rFonts w:ascii="Times New Roman" w:hAnsi="Times New Roman" w:cs="Times New Roman"/>
          <w:sz w:val="24"/>
          <w:szCs w:val="24"/>
        </w:rPr>
        <w:t>The tax administrative process should be well defined. It is not in doubt that some uncertainty in tax matters is an inevitable consequence of the wider uncertainties which governments must cope with in addressing their economic and social objectives. It is therefore important for governments to have sufficient scope to manage the tax system, and to respond in a structured and predictable way to new challenges such as an economic slowdown, a larger budget deficit, or increased inequality.  To state the obvious, changes are necessary, but the more frequent the changes,</w:t>
      </w:r>
      <w:r>
        <w:rPr>
          <w:rFonts w:ascii="Times New Roman" w:hAnsi="Times New Roman" w:cs="Times New Roman"/>
          <w:sz w:val="24"/>
          <w:szCs w:val="24"/>
          <w:vertAlign w:val="superscript"/>
        </w:rPr>
        <w:footnoteReference w:id="49"/>
      </w:r>
      <w:r>
        <w:rPr>
          <w:rFonts w:ascii="Times New Roman" w:hAnsi="Times New Roman" w:cs="Times New Roman"/>
          <w:sz w:val="24"/>
          <w:szCs w:val="24"/>
        </w:rPr>
        <w:t xml:space="preserve"> the more difficult it will be for the tax authority to give enough advanced notification and for business to assimilate all the modifications introduced in the tax system. </w:t>
      </w:r>
    </w:p>
    <w:p w14:paraId="340F5276">
      <w:pPr>
        <w:pStyle w:val="4"/>
        <w:spacing w:after="0" w:line="480" w:lineRule="auto"/>
        <w:jc w:val="both"/>
        <w:rPr>
          <w:rFonts w:ascii="Times New Roman" w:hAnsi="Times New Roman" w:cs="Times New Roman"/>
          <w:sz w:val="24"/>
          <w:szCs w:val="24"/>
        </w:rPr>
      </w:pPr>
    </w:p>
    <w:p w14:paraId="4ADB49CA">
      <w:pPr>
        <w:pStyle w:val="4"/>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 xml:space="preserve">(7). Also, judicial intervention can achieve certainty in interpretation or inadvertently create uncertainty. This situation may arise from unclear fiscal policy, unclear or inadequate understanding of statutory provisions, incompetent or poor drafting and the language challenge.  Also, confusion or uncertainty in the judicial process or jurisprudence may result in lack of certainty in judicial interpretation. </w:t>
      </w:r>
      <w:bookmarkEnd w:id="2"/>
      <w:r>
        <w:rPr>
          <w:rFonts w:ascii="Times New Roman" w:hAnsi="Times New Roman" w:cs="Times New Roman"/>
          <w:sz w:val="24"/>
          <w:szCs w:val="24"/>
        </w:rPr>
        <w:t>The confusing stance and the conflicting decisions on the issue of the tax jurisdiction of the Tax Appeal Tribunal (TAT) vis-à-vis the Federal High Court (FHC) was a classic case of uncertainty in the judicial process. This was as a result of the conflicting interpretation of section 251</w:t>
      </w:r>
      <w:r>
        <w:rPr>
          <w:rStyle w:val="48"/>
          <w:rFonts w:ascii="Times New Roman" w:hAnsi="Times New Roman" w:eastAsia="Times New Roman" w:cs="Times New Roman"/>
          <w:sz w:val="24"/>
          <w:szCs w:val="24"/>
          <w:vertAlign w:val="superscript"/>
        </w:rPr>
        <w:footnoteReference w:id="50"/>
      </w:r>
      <w:r>
        <w:rPr>
          <w:rFonts w:ascii="Times New Roman" w:hAnsi="Times New Roman" w:cs="Times New Roman"/>
          <w:sz w:val="24"/>
          <w:szCs w:val="24"/>
        </w:rPr>
        <w:t xml:space="preserve"> of the 1999 Constitution, by the FHC. The two conflicting decisions of the FHC on the matter </w:t>
      </w:r>
      <w:r>
        <w:rPr>
          <w:rStyle w:val="48"/>
          <w:rFonts w:ascii="Times New Roman" w:hAnsi="Times New Roman" w:cs="Times New Roman"/>
          <w:sz w:val="24"/>
          <w:szCs w:val="24"/>
        </w:rPr>
        <w:t xml:space="preserve">in </w:t>
      </w:r>
      <w:r>
        <w:rPr>
          <w:rStyle w:val="48"/>
          <w:rFonts w:ascii="Times New Roman" w:hAnsi="Times New Roman" w:cs="Times New Roman"/>
          <w:i/>
          <w:sz w:val="24"/>
          <w:szCs w:val="24"/>
        </w:rPr>
        <w:t>CNOOC Exploration v. FIRS,</w:t>
      </w:r>
      <w:r>
        <w:rPr>
          <w:rStyle w:val="48"/>
          <w:rFonts w:ascii="Times New Roman" w:hAnsi="Times New Roman" w:eastAsia="Times New Roman" w:cs="Times New Roman"/>
          <w:sz w:val="24"/>
          <w:szCs w:val="24"/>
          <w:vertAlign w:val="superscript"/>
        </w:rPr>
        <w:footnoteReference w:id="51"/>
      </w:r>
      <w:r>
        <w:rPr>
          <w:rStyle w:val="48"/>
          <w:rFonts w:ascii="Times New Roman" w:hAnsi="Times New Roman" w:cs="Times New Roman"/>
          <w:sz w:val="24"/>
          <w:szCs w:val="24"/>
        </w:rPr>
        <w:t xml:space="preserve"> and in </w:t>
      </w:r>
      <w:r>
        <w:rPr>
          <w:rStyle w:val="48"/>
          <w:rFonts w:ascii="Times New Roman" w:hAnsi="Times New Roman" w:cs="Times New Roman"/>
          <w:i/>
          <w:sz w:val="24"/>
          <w:szCs w:val="24"/>
          <w:lang w:val="pt-PT"/>
        </w:rPr>
        <w:t>TSKJ II Construces v. FIRS</w:t>
      </w:r>
      <w:r>
        <w:rPr>
          <w:rStyle w:val="48"/>
          <w:rFonts w:ascii="Times New Roman" w:hAnsi="Times New Roman" w:cs="Times New Roman"/>
          <w:sz w:val="24"/>
          <w:szCs w:val="24"/>
        </w:rPr>
        <w:t>,</w:t>
      </w:r>
      <w:r>
        <w:rPr>
          <w:rStyle w:val="48"/>
          <w:rFonts w:ascii="Times New Roman" w:hAnsi="Times New Roman" w:eastAsia="Times New Roman" w:cs="Times New Roman"/>
          <w:sz w:val="24"/>
          <w:szCs w:val="24"/>
          <w:vertAlign w:val="superscript"/>
        </w:rPr>
        <w:footnoteReference w:id="52"/>
      </w:r>
      <w:r>
        <w:rPr>
          <w:rStyle w:val="48"/>
          <w:rFonts w:ascii="Times New Roman" w:hAnsi="Times New Roman" w:cs="Times New Roman"/>
          <w:sz w:val="24"/>
          <w:szCs w:val="24"/>
        </w:rPr>
        <w:t xml:space="preserve"> were later over-turned.</w:t>
      </w:r>
      <w:r>
        <w:rPr>
          <w:rStyle w:val="48"/>
          <w:rFonts w:ascii="Times New Roman" w:hAnsi="Times New Roman" w:eastAsia="Times New Roman" w:cs="Times New Roman"/>
          <w:sz w:val="24"/>
          <w:szCs w:val="24"/>
          <w:vertAlign w:val="superscript"/>
        </w:rPr>
        <w:footnoteReference w:id="53"/>
      </w:r>
      <w:r>
        <w:rPr>
          <w:rStyle w:val="48"/>
          <w:rFonts w:ascii="Times New Roman" w:hAnsi="Times New Roman" w:cs="Times New Roman"/>
          <w:sz w:val="24"/>
          <w:szCs w:val="24"/>
        </w:rPr>
        <w:t xml:space="preserve">  Both cases are further discussed in chapter 2 of this thesis. </w:t>
      </w:r>
    </w:p>
    <w:p w14:paraId="59AAAAD0">
      <w:pPr>
        <w:pStyle w:val="4"/>
        <w:spacing w:after="0" w:line="480" w:lineRule="auto"/>
        <w:jc w:val="both"/>
        <w:rPr>
          <w:rFonts w:ascii="Times New Roman" w:hAnsi="Times New Roman" w:eastAsia="Times New Roman" w:cs="Times New Roman"/>
          <w:color w:val="FF0000"/>
          <w:sz w:val="24"/>
          <w:szCs w:val="24"/>
          <w:u w:color="FF0000"/>
        </w:rPr>
      </w:pPr>
    </w:p>
    <w:p w14:paraId="0367E501">
      <w:pPr>
        <w:pStyle w:val="4"/>
        <w:spacing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In effect, faulty fiscal design; the interaction of the principal and subsidiary legislation; the introduction of new concepts and principles into existing legislation, as well as the sectoral and special incentives have added to the uncertainty in the system. Also, unclear provisions and inadequate and the absence of definitions of words, key concepts and terms all contribute to the uncertainty in statutes.</w:t>
      </w:r>
      <w:r>
        <w:rPr>
          <w:rFonts w:ascii="Times New Roman" w:hAnsi="Times New Roman" w:cs="Times New Roman"/>
          <w:sz w:val="24"/>
          <w:szCs w:val="24"/>
          <w:vertAlign w:val="superscript"/>
        </w:rPr>
        <w:footnoteReference w:id="54"/>
      </w:r>
      <w:r>
        <w:rPr>
          <w:rFonts w:ascii="Times New Roman" w:hAnsi="Times New Roman" w:cs="Times New Roman"/>
          <w:sz w:val="24"/>
          <w:szCs w:val="24"/>
        </w:rPr>
        <w:t xml:space="preserve"> The process for implementing the relevant changes to upstream petroleum taxation as seen with the introduction of new PSC concepts into the PPT regime is also critical to managing the level of uncertainty produced. For example, taxpayers experience considerable uncertainty when proposed changes are announced but are not legislated promptly, or the effective date of the legislation stated clearly. There can be very good policy reasons for the swift implementation of some tax changes with minimal pre-announcement. This is especially so when the intention is to address, or not to create avoidance possibilities, such as, to preempt the artificial shifting of income between tax periods. </w:t>
      </w:r>
    </w:p>
    <w:p w14:paraId="43C8F902">
      <w:pPr>
        <w:spacing w:line="480" w:lineRule="auto"/>
        <w:jc w:val="both"/>
        <w:rPr>
          <w:color w:val="000000"/>
          <w:u w:color="000000"/>
        </w:rPr>
      </w:pPr>
      <w:r>
        <w:t>Even the best designed and drafted tax laws are not capable of anticipating every new product, service or business model and every taxpayer transaction and structure, particularly those of an aggressive nature or those that are otherwise undertaken for tax avoidance purposes. But unnecessarily difficult or poorly organized tax provisions, where they fail to give a clear effect to the stated policy objective, can be a source of uncertainty. Some degree of complexity is inevitably needed to cover possible circumstances and considerations sufficiently broadly to lead to a reasonable certainty. However, clear, coherent legislation does not guarantee tax certainty if it is not accompanied by a coherent, fair, and efficient implementation. Ineffective and unpredictable implementation, where there is a gap between the tax legislation and its application is likely to increase uncertainty. Also, corruption is another source of uncertainty, although corruption is not necessarily a cause of tax uncertainty. However, corruption can both exploit and exacerbate it. In some cases, the consequences of corruption may be a reduction in tax uncertainty, if people must buy certainty.</w:t>
      </w:r>
    </w:p>
    <w:p w14:paraId="10058A8F">
      <w:pPr>
        <w:spacing w:line="480" w:lineRule="auto"/>
        <w:rPr>
          <w:b/>
          <w:bCs/>
          <w:color w:val="000000"/>
          <w:u w:color="000000"/>
        </w:rPr>
      </w:pPr>
    </w:p>
    <w:p w14:paraId="3FA158B4">
      <w:pPr>
        <w:pStyle w:val="4"/>
        <w:numPr>
          <w:ilvl w:val="1"/>
          <w:numId w:val="13"/>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SCOPE AND RATIONALE OF THE RESEARCH </w:t>
      </w:r>
    </w:p>
    <w:p w14:paraId="2BD4D98B">
      <w:pPr>
        <w:pStyle w:val="4"/>
        <w:spacing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Taxation is a product of economic, political, socio-cultural, and environmental considerations. These considerations drive fiscal policy formulation. Translating policy into clear and certain tax law, presents challenges for policymakers and legislative draftsmen. This study proposes to examine the degree to which certainty and clarity in fiscal policy design and articulation in the Nigeria upstream petroleum sector directly or indirectly impact on certainty or lack of it in the taxation statutes and administration. Furthermore, the study will examine the implications of the Nigerian constitutional framework, the absence of principle-guided fiscal and tax policy and tax lawmaking, as well as the degree to which administrative and judicial processes, impact certainty in upstream petroleum taxation in Nigeria. </w:t>
      </w:r>
    </w:p>
    <w:p w14:paraId="1FAA6F68">
      <w:pPr>
        <w:pStyle w:val="4"/>
        <w:spacing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Uncertainty in taxing legislation has been variously defined, and studies from the International Monetary Fund (IMF) and Organization for Economic Co-operation and Development (OECD), define uncertainty in taxing legislation as ‘ambiguous areas in tax policy and the tax laws, where taxpayers and tax administrators (and others) might have reasonable but differing interpretations of what the tax laws require.’</w:t>
      </w:r>
      <w:r>
        <w:rPr>
          <w:rStyle w:val="48"/>
          <w:rFonts w:ascii="Times New Roman" w:hAnsi="Times New Roman" w:eastAsia="Times New Roman" w:cs="Times New Roman"/>
          <w:sz w:val="24"/>
          <w:szCs w:val="24"/>
          <w:vertAlign w:val="superscript"/>
        </w:rPr>
        <w:footnoteReference w:id="55"/>
      </w:r>
      <w:r>
        <w:rPr>
          <w:rStyle w:val="48"/>
          <w:rFonts w:ascii="Times New Roman" w:hAnsi="Times New Roman" w:cs="Times New Roman"/>
          <w:sz w:val="24"/>
          <w:szCs w:val="24"/>
        </w:rPr>
        <w:t xml:space="preserve"> Some of the ambiguities in tax laws as captured in the IMF/OECD report include; </w:t>
      </w:r>
    </w:p>
    <w:p w14:paraId="6880AE50">
      <w:pPr>
        <w:pStyle w:val="4"/>
        <w:spacing w:line="480" w:lineRule="auto"/>
        <w:ind w:firstLine="720"/>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(a) ambiguities arising from policy confusion or lack of clarity in policy objectives;</w:t>
      </w:r>
      <w:r>
        <w:rPr>
          <w:rStyle w:val="48"/>
          <w:rFonts w:ascii="Times New Roman" w:hAnsi="Times New Roman" w:eastAsia="Times New Roman" w:cs="Times New Roman"/>
          <w:sz w:val="24"/>
          <w:szCs w:val="24"/>
          <w:vertAlign w:val="superscript"/>
        </w:rPr>
        <w:footnoteReference w:id="56"/>
      </w:r>
      <w:r>
        <w:rPr>
          <w:rStyle w:val="48"/>
          <w:rFonts w:ascii="Times New Roman" w:hAnsi="Times New Roman" w:cs="Times New Roman"/>
          <w:sz w:val="24"/>
          <w:szCs w:val="24"/>
        </w:rPr>
        <w:t xml:space="preserve"> </w:t>
      </w:r>
    </w:p>
    <w:p w14:paraId="2BAC227C">
      <w:pPr>
        <w:pStyle w:val="4"/>
        <w:spacing w:line="480" w:lineRule="auto"/>
        <w:ind w:firstLine="720"/>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(b) ambiguities in the precise meaning of statutory language;</w:t>
      </w:r>
      <w:r>
        <w:rPr>
          <w:rStyle w:val="48"/>
          <w:rFonts w:ascii="Times New Roman" w:hAnsi="Times New Roman" w:eastAsia="Times New Roman" w:cs="Times New Roman"/>
          <w:sz w:val="24"/>
          <w:szCs w:val="24"/>
          <w:vertAlign w:val="superscript"/>
        </w:rPr>
        <w:footnoteReference w:id="57"/>
      </w:r>
      <w:r>
        <w:rPr>
          <w:rStyle w:val="48"/>
          <w:rFonts w:ascii="Times New Roman" w:hAnsi="Times New Roman" w:cs="Times New Roman"/>
          <w:sz w:val="24"/>
          <w:szCs w:val="24"/>
        </w:rPr>
        <w:t xml:space="preserve"> </w:t>
      </w:r>
    </w:p>
    <w:p w14:paraId="05B3A659">
      <w:pPr>
        <w:pStyle w:val="4"/>
        <w:spacing w:line="480" w:lineRule="auto"/>
        <w:ind w:firstLine="720"/>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 xml:space="preserve">(c) ambiguities in the application of the law to specific factual situations; and </w:t>
      </w:r>
    </w:p>
    <w:p w14:paraId="580159C1">
      <w:pPr>
        <w:pStyle w:val="4"/>
        <w:spacing w:line="480" w:lineRule="auto"/>
        <w:ind w:firstLine="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(d) ambiguities in the type of evidence sufficient to establish the facts.</w:t>
      </w:r>
      <w:r>
        <w:rPr>
          <w:rStyle w:val="48"/>
          <w:rFonts w:ascii="Times New Roman" w:hAnsi="Times New Roman" w:eastAsia="Times New Roman" w:cs="Times New Roman"/>
          <w:sz w:val="24"/>
          <w:szCs w:val="24"/>
          <w:vertAlign w:val="superscript"/>
        </w:rPr>
        <w:footnoteReference w:id="58"/>
      </w:r>
      <w:r>
        <w:rPr>
          <w:rStyle w:val="48"/>
          <w:rFonts w:ascii="Times New Roman" w:hAnsi="Times New Roman" w:cs="Times New Roman"/>
          <w:sz w:val="24"/>
          <w:szCs w:val="24"/>
        </w:rPr>
        <w:t xml:space="preserve"> </w:t>
      </w:r>
    </w:p>
    <w:p w14:paraId="46DD2E82">
      <w:pPr>
        <w:pStyle w:val="4"/>
        <w:spacing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This study proposes to identify and analyze these ambiguities in the Nigeria upstream petroleum taxation law and practice. It will be argued that uncertainties in fiscal policy and the language of taxing statutes are capable of limiting the revenue maximization function of the relevant tax by distorting the intended public policy objectives through limited compliance by taxpayers and ineffective enforcement by the tax authorities.</w:t>
      </w:r>
      <w:r>
        <w:rPr>
          <w:rStyle w:val="48"/>
          <w:rFonts w:ascii="Times New Roman" w:hAnsi="Times New Roman" w:eastAsia="Times New Roman" w:cs="Times New Roman"/>
          <w:sz w:val="24"/>
          <w:szCs w:val="24"/>
          <w:vertAlign w:val="superscript"/>
        </w:rPr>
        <w:footnoteReference w:id="59"/>
      </w:r>
      <w:r>
        <w:rPr>
          <w:rStyle w:val="48"/>
          <w:rFonts w:ascii="Times New Roman" w:hAnsi="Times New Roman" w:cs="Times New Roman"/>
          <w:sz w:val="24"/>
          <w:szCs w:val="24"/>
        </w:rPr>
        <w:t xml:space="preserve"> Tax uncertainty can therefore, occasion negative economic growth,</w:t>
      </w:r>
      <w:r>
        <w:rPr>
          <w:rStyle w:val="48"/>
          <w:rFonts w:ascii="Times New Roman" w:hAnsi="Times New Roman" w:eastAsia="Times New Roman" w:cs="Times New Roman"/>
          <w:sz w:val="24"/>
          <w:szCs w:val="24"/>
          <w:vertAlign w:val="superscript"/>
        </w:rPr>
        <w:footnoteReference w:id="60"/>
      </w:r>
      <w:r>
        <w:rPr>
          <w:rStyle w:val="48"/>
          <w:rFonts w:ascii="Times New Roman" w:hAnsi="Times New Roman" w:cs="Times New Roman"/>
          <w:sz w:val="24"/>
          <w:szCs w:val="24"/>
        </w:rPr>
        <w:t xml:space="preserve"> investment depletion and stagnated investment climate in sectors and countries where uncertainty persists.</w:t>
      </w:r>
      <w:r>
        <w:rPr>
          <w:rStyle w:val="48"/>
          <w:rFonts w:ascii="Times New Roman" w:hAnsi="Times New Roman" w:eastAsia="Times New Roman" w:cs="Times New Roman"/>
          <w:sz w:val="24"/>
          <w:szCs w:val="24"/>
          <w:vertAlign w:val="superscript"/>
        </w:rPr>
        <w:footnoteReference w:id="61"/>
      </w:r>
      <w:r>
        <w:rPr>
          <w:rStyle w:val="48"/>
          <w:rFonts w:ascii="Times New Roman" w:hAnsi="Times New Roman" w:cs="Times New Roman"/>
          <w:sz w:val="24"/>
          <w:szCs w:val="24"/>
        </w:rPr>
        <w:t xml:space="preserve">  In addition to being detrimental to the investment climate, lack of legal certainty can have liability implications for the Government of Nigeria under international investment law as it arguably breaches the stable and predictable legal environment a foreign investor legitimately expects from a host state.</w:t>
      </w:r>
      <w:r>
        <w:rPr>
          <w:rStyle w:val="48"/>
          <w:rFonts w:ascii="Times New Roman" w:hAnsi="Times New Roman" w:eastAsia="Times New Roman" w:cs="Times New Roman"/>
          <w:sz w:val="24"/>
          <w:szCs w:val="24"/>
          <w:vertAlign w:val="superscript"/>
        </w:rPr>
        <w:footnoteReference w:id="62"/>
      </w:r>
      <w:r>
        <w:rPr>
          <w:rStyle w:val="48"/>
          <w:rFonts w:ascii="Times New Roman" w:hAnsi="Times New Roman" w:cs="Times New Roman"/>
          <w:sz w:val="24"/>
          <w:szCs w:val="24"/>
        </w:rPr>
        <w:t xml:space="preserve"> </w:t>
      </w:r>
    </w:p>
    <w:p w14:paraId="2E4E128F">
      <w:pPr>
        <w:pStyle w:val="4"/>
        <w:spacing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Moreover, a significant litigation risk (again founded on the violation of the principle of legitimate expectation) exists with both domestic and foreign investors who are key players in the petroleum industry. In effect, in addition to the domestic tax law liability implication, there is an international tax law liability perspective that will require some further analysis. This research will examine the topical issues and areas of uncertainty in fiscal policy and tax statutes in the relevant chapters</w:t>
      </w:r>
      <w:r>
        <w:rPr>
          <w:rStyle w:val="23"/>
          <w:rFonts w:ascii="Times New Roman" w:hAnsi="Times New Roman" w:cs="Times New Roman"/>
          <w:sz w:val="24"/>
          <w:szCs w:val="24"/>
        </w:rPr>
        <w:footnoteReference w:id="63"/>
      </w:r>
      <w:r>
        <w:rPr>
          <w:rStyle w:val="48"/>
          <w:rFonts w:ascii="Times New Roman" w:hAnsi="Times New Roman" w:cs="Times New Roman"/>
          <w:sz w:val="24"/>
          <w:szCs w:val="24"/>
        </w:rPr>
        <w:t xml:space="preserve"> dealing with policy design, tax law and case law, tax administration and tax adjudication. </w:t>
      </w:r>
    </w:p>
    <w:p w14:paraId="042ACFEB">
      <w:pPr>
        <w:pStyle w:val="4"/>
        <w:spacing w:after="0"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 xml:space="preserve">Whether a piece of law is, in fact, good law or bad law is not the primary objective of this research. Rather, the research seeks to investigate how and to what extent clarity in objectives, principles and the accuracy in language contribute to certainty in the tax terms or provisions. It is necessary to weigh the need for certainty and clarity against other important tax policy objectives. While tax certainty can have positive effects on economic activity, it is only one of several important objectives that will need to be balanced by policymakers. </w:t>
      </w:r>
    </w:p>
    <w:p w14:paraId="79772749">
      <w:pPr>
        <w:pStyle w:val="4"/>
        <w:spacing w:after="0" w:line="480" w:lineRule="auto"/>
        <w:jc w:val="both"/>
        <w:rPr>
          <w:rStyle w:val="48"/>
          <w:rFonts w:ascii="Times New Roman" w:hAnsi="Times New Roman" w:eastAsia="Times New Roman" w:cs="Times New Roman"/>
          <w:color w:val="auto"/>
          <w:sz w:val="24"/>
          <w:szCs w:val="24"/>
        </w:rPr>
      </w:pPr>
    </w:p>
    <w:p w14:paraId="6B2B0F35">
      <w:pPr>
        <w:pStyle w:val="39"/>
        <w:numPr>
          <w:ilvl w:val="1"/>
          <w:numId w:val="14"/>
        </w:numPr>
        <w:spacing w:line="480" w:lineRule="auto"/>
        <w:jc w:val="both"/>
        <w:rPr>
          <w:rFonts w:ascii="Times New Roman" w:hAnsi="Times New Roman" w:eastAsia="Times New Roman" w:cs="Times New Roman"/>
          <w:b/>
          <w:bCs/>
        </w:rPr>
      </w:pPr>
      <w:bookmarkStart w:id="3" w:name="_Toc3"/>
      <w:r>
        <w:rPr>
          <w:rStyle w:val="41"/>
          <w:rFonts w:ascii="Times New Roman" w:hAnsi="Times New Roman" w:cs="Times New Roman"/>
          <w:b/>
          <w:bCs/>
        </w:rPr>
        <w:t xml:space="preserve"> Research Question and Hypothesis</w:t>
      </w:r>
      <w:bookmarkEnd w:id="3"/>
    </w:p>
    <w:p w14:paraId="6DF34F79">
      <w:pPr>
        <w:pStyle w:val="4"/>
        <w:spacing w:after="0" w:line="480" w:lineRule="auto"/>
        <w:jc w:val="both"/>
        <w:rPr>
          <w:rFonts w:ascii="Times New Roman" w:hAnsi="Times New Roman" w:eastAsia="Times New Roman" w:cs="Times New Roman"/>
          <w:sz w:val="24"/>
          <w:szCs w:val="24"/>
        </w:rPr>
      </w:pPr>
      <w:r>
        <w:rPr>
          <w:rStyle w:val="48"/>
          <w:rFonts w:ascii="Times New Roman" w:hAnsi="Times New Roman" w:cs="Times New Roman"/>
          <w:sz w:val="24"/>
          <w:szCs w:val="24"/>
        </w:rPr>
        <w:t xml:space="preserve">The research proposition for this study is that the failure of principle-guided fiscal and tax policy formulation, and clear tax law drafting, directly or indirectly impact the certainty and clarity of taxing terms and the understanding, interpretation, and consistent administration of upstream petroleum taxation in Nigeria. </w:t>
      </w:r>
    </w:p>
    <w:p w14:paraId="2A3CD277">
      <w:pPr>
        <w:pStyle w:val="4"/>
        <w:spacing w:after="0" w:line="480" w:lineRule="auto"/>
        <w:jc w:val="both"/>
        <w:rPr>
          <w:rFonts w:ascii="Times New Roman" w:hAnsi="Times New Roman" w:eastAsia="Times New Roman" w:cs="Times New Roman"/>
          <w:sz w:val="24"/>
          <w:szCs w:val="24"/>
        </w:rPr>
      </w:pPr>
      <w:r>
        <w:rPr>
          <w:rStyle w:val="48"/>
          <w:rFonts w:ascii="Times New Roman" w:hAnsi="Times New Roman" w:cs="Times New Roman"/>
          <w:sz w:val="24"/>
          <w:szCs w:val="24"/>
        </w:rPr>
        <w:t xml:space="preserve">In the light of the above hypothesis, and since certainty in the legal and tax system has always functioned as normative ideals, both at the national and transnational level, and though it has not always been fully realized, the degree to which language and drafting competency can facilitate and affect the ideal becomes important. This raises the question, to what extent or to what degree statutory language can be or should be, simplified </w:t>
      </w:r>
      <w:r>
        <w:rPr>
          <w:rStyle w:val="48"/>
          <w:rFonts w:ascii="Times New Roman" w:hAnsi="Times New Roman" w:eastAsia="Times New Roman" w:cs="Times New Roman"/>
          <w:sz w:val="24"/>
          <w:szCs w:val="24"/>
          <w:vertAlign w:val="superscript"/>
        </w:rPr>
        <w:footnoteReference w:id="64"/>
      </w:r>
      <w:r>
        <w:rPr>
          <w:rStyle w:val="48"/>
          <w:rFonts w:ascii="Times New Roman" w:hAnsi="Times New Roman" w:cs="Times New Roman"/>
          <w:sz w:val="24"/>
          <w:szCs w:val="24"/>
        </w:rPr>
        <w:t xml:space="preserve"> to achieve the objective(s). The study will therefore carry out a survey of the role of ineffective governance, structured fiscal policy reform, and the absence of regular review or tax law reform in achieving tax policy and tax law certainty in upstream petroleum profits taxation in Nigeria.  </w:t>
      </w:r>
    </w:p>
    <w:p w14:paraId="7A62DC4B">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fiscal regime for the oil and gas industry is usually country-specific and there are generally four factors that impact its design: the extent of oil or energy dependence; the stage of development of the oil industry; the government’s financial position; and state participation in the oil sector</w:t>
      </w:r>
      <w:r>
        <w:rPr>
          <w:rStyle w:val="48"/>
          <w:rFonts w:ascii="Times New Roman" w:hAnsi="Times New Roman" w:eastAsia="Times New Roman" w:cs="Times New Roman"/>
          <w:sz w:val="24"/>
          <w:szCs w:val="24"/>
          <w:vertAlign w:val="superscript"/>
        </w:rPr>
        <w:footnoteReference w:id="65"/>
      </w:r>
      <w:r>
        <w:rPr>
          <w:rStyle w:val="48"/>
          <w:rFonts w:ascii="Times New Roman" w:hAnsi="Times New Roman" w:cs="Times New Roman"/>
          <w:sz w:val="24"/>
          <w:szCs w:val="24"/>
        </w:rPr>
        <w:t>. These factors shape the formulation of petroleum fiscal regimes in all countries.</w:t>
      </w:r>
      <w:r>
        <w:rPr>
          <w:rStyle w:val="48"/>
          <w:rFonts w:ascii="Times New Roman" w:hAnsi="Times New Roman" w:eastAsia="Times New Roman" w:cs="Times New Roman"/>
          <w:sz w:val="24"/>
          <w:szCs w:val="24"/>
          <w:vertAlign w:val="superscript"/>
        </w:rPr>
        <w:footnoteReference w:id="66"/>
      </w:r>
      <w:r>
        <w:rPr>
          <w:rStyle w:val="48"/>
          <w:rFonts w:ascii="Times New Roman" w:hAnsi="Times New Roman" w:cs="Times New Roman"/>
          <w:sz w:val="24"/>
          <w:szCs w:val="24"/>
        </w:rPr>
        <w:t xml:space="preserve"> However, it is crucial in ensuring that the national government maximizes the generation of tax revenue and that the regime does not deter foreign oil companies from investing in production activities</w:t>
      </w:r>
      <w:r>
        <w:rPr>
          <w:rStyle w:val="48"/>
          <w:rFonts w:ascii="Times New Roman" w:hAnsi="Times New Roman" w:eastAsia="Times New Roman" w:cs="Times New Roman"/>
          <w:sz w:val="24"/>
          <w:szCs w:val="24"/>
          <w:vertAlign w:val="superscript"/>
        </w:rPr>
        <w:footnoteReference w:id="67"/>
      </w:r>
      <w:r>
        <w:rPr>
          <w:rStyle w:val="48"/>
          <w:rFonts w:ascii="Times New Roman" w:hAnsi="Times New Roman" w:cs="Times New Roman"/>
          <w:sz w:val="24"/>
          <w:szCs w:val="24"/>
        </w:rPr>
        <w:t xml:space="preserve">. </w:t>
      </w:r>
    </w:p>
    <w:p w14:paraId="3DAA2ADF">
      <w:pPr>
        <w:pStyle w:val="4"/>
        <w:spacing w:after="0"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With the ongoing fiscal reform in the Nigerian oil and gas industry, which has been described by some writers as ‘old wine in new bottle,’</w:t>
      </w:r>
      <w:r>
        <w:rPr>
          <w:rStyle w:val="23"/>
          <w:sz w:val="24"/>
          <w:szCs w:val="24"/>
        </w:rPr>
        <w:footnoteReference w:id="68"/>
      </w:r>
      <w:r>
        <w:rPr>
          <w:rStyle w:val="48"/>
          <w:rFonts w:ascii="Times New Roman" w:hAnsi="Times New Roman" w:cs="Times New Roman"/>
          <w:sz w:val="24"/>
          <w:szCs w:val="24"/>
        </w:rPr>
        <w:t xml:space="preserve"> the research will examine to what extent the draft fiscal policies and tax principles have addressed the identified uncertainties in the upstream petroleum taxation and royalty regime. Additionally, the study will assess whether the ongoing reform of the Nigerian petroleum fiscal regime and the proposed amendments to relevant tax legislation</w:t>
      </w:r>
      <w:r>
        <w:rPr>
          <w:rStyle w:val="23"/>
          <w:rFonts w:ascii="Times New Roman" w:hAnsi="Times New Roman" w:cs="Times New Roman"/>
          <w:sz w:val="24"/>
          <w:szCs w:val="24"/>
        </w:rPr>
        <w:footnoteReference w:id="69"/>
      </w:r>
      <w:r>
        <w:rPr>
          <w:rStyle w:val="48"/>
          <w:rFonts w:ascii="Times New Roman" w:hAnsi="Times New Roman" w:cs="Times New Roman"/>
          <w:sz w:val="24"/>
          <w:szCs w:val="24"/>
        </w:rPr>
        <w:t>, achieve the right balance between maximizing the generation of tax revenue and attracting foreign investment</w:t>
      </w:r>
      <w:r>
        <w:rPr>
          <w:rStyle w:val="23"/>
          <w:sz w:val="24"/>
          <w:szCs w:val="24"/>
        </w:rPr>
        <w:footnoteReference w:id="70"/>
      </w:r>
      <w:r>
        <w:rPr>
          <w:rStyle w:val="48"/>
          <w:rFonts w:ascii="Times New Roman" w:hAnsi="Times New Roman" w:cs="Times New Roman"/>
          <w:sz w:val="24"/>
          <w:szCs w:val="24"/>
        </w:rPr>
        <w:t>in the sector. Also, the study will assess to what extent certainty of legislative terms pass tests such as efficiency, neutrality, equity, risk-sharing, stability, clarity, and consistency, if not simplicity in fiscal policy and legislation.</w:t>
      </w:r>
      <w:r>
        <w:rPr>
          <w:rStyle w:val="48"/>
          <w:rFonts w:ascii="Times New Roman" w:hAnsi="Times New Roman" w:eastAsia="Times New Roman" w:cs="Times New Roman"/>
          <w:sz w:val="24"/>
          <w:szCs w:val="24"/>
          <w:vertAlign w:val="superscript"/>
        </w:rPr>
        <w:footnoteReference w:id="71"/>
      </w:r>
      <w:r>
        <w:rPr>
          <w:rStyle w:val="48"/>
          <w:rFonts w:ascii="Times New Roman" w:hAnsi="Times New Roman" w:cs="Times New Roman"/>
          <w:sz w:val="24"/>
          <w:szCs w:val="24"/>
        </w:rPr>
        <w:t xml:space="preserve"> </w:t>
      </w:r>
    </w:p>
    <w:p w14:paraId="443B9024">
      <w:pPr>
        <w:pStyle w:val="4"/>
        <w:spacing w:after="0" w:line="480" w:lineRule="auto"/>
        <w:jc w:val="both"/>
        <w:rPr>
          <w:rStyle w:val="48"/>
          <w:rFonts w:ascii="Times New Roman" w:hAnsi="Times New Roman" w:eastAsia="Times New Roman" w:cs="Times New Roman"/>
          <w:color w:val="auto"/>
          <w:sz w:val="24"/>
          <w:szCs w:val="24"/>
        </w:rPr>
      </w:pPr>
    </w:p>
    <w:p w14:paraId="3C159AD5">
      <w:pPr>
        <w:pStyle w:val="39"/>
        <w:numPr>
          <w:ilvl w:val="1"/>
          <w:numId w:val="14"/>
        </w:numPr>
        <w:spacing w:line="480" w:lineRule="auto"/>
        <w:jc w:val="both"/>
        <w:rPr>
          <w:rStyle w:val="48"/>
          <w:rFonts w:ascii="Times New Roman" w:hAnsi="Times New Roman" w:eastAsia="Times New Roman" w:cs="Times New Roman"/>
        </w:rPr>
      </w:pPr>
      <w:bookmarkStart w:id="4" w:name="_Toc4"/>
      <w:r>
        <w:rPr>
          <w:rStyle w:val="41"/>
          <w:rFonts w:ascii="Times New Roman" w:hAnsi="Times New Roman" w:cs="Times New Roman"/>
          <w:b/>
          <w:bCs/>
        </w:rPr>
        <w:t xml:space="preserve"> Research Methodology</w:t>
      </w:r>
      <w:bookmarkEnd w:id="4"/>
    </w:p>
    <w:p w14:paraId="23E1AA7B">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The literature review and studies on tax and legal certainty indicate that the outcomes of any given fiscal and tax regime may be measured in terms of its performance and robustness against the set of criteria or principles of efficiency, neutrality, equity, risk-sharing, stability, clarity, and certainty.  This research will focus on direct corporate income or profit tax in the upstream petroleum taxation in Nigeria. It will examine the extent to which principle-driven fiscal policy underpins the existing upstream petroleum profits taxing legislation. Secondly, it will examine to what extent the principle-guided fiscal policies have been accurately translated into taxing statutory provisions. The approach is to combine both qualitative and quantitative methodologies, although this may also involve some doctrinal analysis. </w:t>
      </w:r>
    </w:p>
    <w:p w14:paraId="23560701">
      <w:pPr>
        <w:pStyle w:val="4"/>
        <w:spacing w:after="0" w:line="480" w:lineRule="auto"/>
        <w:jc w:val="both"/>
        <w:rPr>
          <w:rStyle w:val="48"/>
          <w:rFonts w:ascii="Times New Roman" w:hAnsi="Times New Roman" w:eastAsia="Times New Roman" w:cs="Times New Roman"/>
          <w:sz w:val="24"/>
          <w:szCs w:val="24"/>
        </w:rPr>
      </w:pPr>
    </w:p>
    <w:p w14:paraId="36576E6E">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In addition, it is proposed to carry out a comparative analysis of the process of fiscal policy formulation and tax law-making of the UK, which has a unitary form of government, as well as sharing a common law heritage with Nigeria. Canada, the second comparator country operates a federal system of government like Nigeria. It has an evolving and effective petroleum fiscal and taxing regime. The use of English language in both countries is also important. Specifically, the following activities and tools will be applied in the study:</w:t>
      </w:r>
    </w:p>
    <w:p w14:paraId="53344D39">
      <w:pPr>
        <w:pStyle w:val="4"/>
        <w:spacing w:after="0" w:line="480" w:lineRule="auto"/>
        <w:jc w:val="both"/>
        <w:rPr>
          <w:rStyle w:val="48"/>
          <w:rFonts w:ascii="Times New Roman" w:hAnsi="Times New Roman" w:eastAsia="Times New Roman" w:cs="Times New Roman"/>
          <w:sz w:val="24"/>
          <w:szCs w:val="24"/>
        </w:rPr>
      </w:pPr>
    </w:p>
    <w:p w14:paraId="188366B1">
      <w:pPr>
        <w:pStyle w:val="52"/>
        <w:numPr>
          <w:ilvl w:val="0"/>
          <w:numId w:val="15"/>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Surveys and in-depth interviews – a questionnaire has been administered to officials in FIRS, MPR, MOF, etc. Targeted as well as structured interviews were conducted of officials engaged in fiscal policymaking in MOF and MPR, and lawmakers and drafters in the National Assembly (NA) and the Ministry of Justice (MOJ) etc.</w:t>
      </w:r>
    </w:p>
    <w:p w14:paraId="040745C2">
      <w:pPr>
        <w:pStyle w:val="52"/>
        <w:numPr>
          <w:ilvl w:val="0"/>
          <w:numId w:val="15"/>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Comparative research –available literature was reviewed on the United Kingdom and Canada around fiscal policy design and legislative drafting.</w:t>
      </w:r>
    </w:p>
    <w:p w14:paraId="260BD275">
      <w:pPr>
        <w:pStyle w:val="52"/>
        <w:numPr>
          <w:ilvl w:val="0"/>
          <w:numId w:val="15"/>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Expert studies and local and international experts were engaged based on the literature review. There are studies and reports analyzed to ascertain the trends relevant for our case study. </w:t>
      </w:r>
    </w:p>
    <w:p w14:paraId="2E95A813">
      <w:pPr>
        <w:pStyle w:val="52"/>
        <w:numPr>
          <w:ilvl w:val="0"/>
          <w:numId w:val="15"/>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Examination of the institutional terrain – this involved carrying out targeted engagement and consultation with FIRS officials, professional tax and accounting bodies and research institutions to access the expert views and body of knowledge.</w:t>
      </w:r>
    </w:p>
    <w:p w14:paraId="3E5DA503">
      <w:pPr>
        <w:pStyle w:val="52"/>
        <w:numPr>
          <w:ilvl w:val="0"/>
          <w:numId w:val="15"/>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Black letter law, policy and case law analysis - This involved interpretation of policy, existing laws, judicial decisions, agreements and guidelines as they pertain to upstream petroleum taxation in Nigeria, the UK and Canada respectively. This included the review of specific ambiguous provisions in the tax and royalty regime provision of the PPTA. It also involved the analysis of tax cases to provide insight on the relationship of clear fiscal and tax policy formulation, language and drafting skills as well as expertise of tax officials to give informed guidance and administer tax provisions consistently. </w:t>
      </w:r>
    </w:p>
    <w:p w14:paraId="29904234">
      <w:pPr>
        <w:pStyle w:val="4"/>
        <w:spacing w:after="0" w:line="480" w:lineRule="auto"/>
        <w:jc w:val="both"/>
        <w:rPr>
          <w:rStyle w:val="48"/>
          <w:rFonts w:ascii="Times New Roman" w:hAnsi="Times New Roman" w:eastAsia="Times New Roman" w:cs="Times New Roman"/>
          <w:sz w:val="24"/>
          <w:szCs w:val="24"/>
        </w:rPr>
      </w:pPr>
    </w:p>
    <w:p w14:paraId="1E487DC3">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research has examined the language challenge, and the technical drafting competency issues observed in policy formulation and tax law-making, interpretation and administration of PPTA and CITA.  Interviews and surveys of tax stakeholders in the industry, officials, and administrators of the relevant departments provided insight and useful guidance on actual practices and problems.</w:t>
      </w:r>
      <w:r>
        <w:rPr>
          <w:rStyle w:val="48"/>
          <w:rFonts w:ascii="Times New Roman" w:hAnsi="Times New Roman" w:eastAsia="Times New Roman" w:cs="Times New Roman"/>
          <w:sz w:val="24"/>
          <w:szCs w:val="24"/>
          <w:vertAlign w:val="superscript"/>
        </w:rPr>
        <w:footnoteReference w:id="72"/>
      </w:r>
      <w:r>
        <w:rPr>
          <w:rStyle w:val="48"/>
          <w:rFonts w:ascii="Times New Roman" w:hAnsi="Times New Roman" w:cs="Times New Roman"/>
          <w:sz w:val="24"/>
          <w:szCs w:val="24"/>
        </w:rPr>
        <w:t xml:space="preserve"> </w:t>
      </w:r>
    </w:p>
    <w:p w14:paraId="5E0D7682">
      <w:pPr>
        <w:pStyle w:val="4"/>
        <w:spacing w:after="0" w:line="480" w:lineRule="auto"/>
        <w:jc w:val="both"/>
        <w:rPr>
          <w:rStyle w:val="48"/>
          <w:rFonts w:ascii="Times New Roman" w:hAnsi="Times New Roman" w:eastAsia="Times New Roman" w:cs="Times New Roman"/>
          <w:color w:val="auto"/>
          <w:sz w:val="24"/>
          <w:szCs w:val="24"/>
        </w:rPr>
      </w:pPr>
    </w:p>
    <w:p w14:paraId="45883CCE">
      <w:pPr>
        <w:pStyle w:val="4"/>
        <w:spacing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comparative analysis of the fiscal policy and law-making process of the United Kingdom (UK),</w:t>
      </w:r>
      <w:r>
        <w:rPr>
          <w:rStyle w:val="48"/>
          <w:rFonts w:ascii="Times New Roman" w:hAnsi="Times New Roman" w:eastAsia="Times New Roman" w:cs="Times New Roman"/>
          <w:sz w:val="24"/>
          <w:szCs w:val="24"/>
          <w:vertAlign w:val="superscript"/>
        </w:rPr>
        <w:footnoteReference w:id="73"/>
      </w:r>
      <w:r>
        <w:rPr>
          <w:rStyle w:val="48"/>
          <w:rFonts w:ascii="Times New Roman" w:hAnsi="Times New Roman" w:cs="Times New Roman"/>
          <w:sz w:val="24"/>
          <w:szCs w:val="24"/>
        </w:rPr>
        <w:t xml:space="preserve"> and Canada, has a view to identify best practices from an evolving and a mature fiscal regime perspective. This comparative review entailed doing the following:</w:t>
      </w:r>
      <w:r>
        <w:rPr>
          <w:rStyle w:val="48"/>
          <w:rFonts w:ascii="Times New Roman" w:hAnsi="Times New Roman" w:cs="Times New Roman"/>
          <w:color w:val="44546A"/>
          <w:kern w:val="24"/>
          <w:sz w:val="24"/>
          <w:szCs w:val="24"/>
          <w:u w:color="44546A"/>
        </w:rPr>
        <w:t xml:space="preserve">      </w:t>
      </w:r>
    </w:p>
    <w:p w14:paraId="1691940A">
      <w:pPr>
        <w:pStyle w:val="4"/>
        <w:numPr>
          <w:ilvl w:val="0"/>
          <w:numId w:val="16"/>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Review of policy documents and primary petroleum taxing legislation,</w:t>
      </w:r>
    </w:p>
    <w:p w14:paraId="69E8F801">
      <w:pPr>
        <w:pStyle w:val="4"/>
        <w:numPr>
          <w:ilvl w:val="0"/>
          <w:numId w:val="16"/>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Review of institutional procedures for formulating policy and law;</w:t>
      </w:r>
    </w:p>
    <w:p w14:paraId="297F3D4B">
      <w:pPr>
        <w:pStyle w:val="4"/>
        <w:numPr>
          <w:ilvl w:val="0"/>
          <w:numId w:val="16"/>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Comparing the above (1&amp;2) criteria on each jurisdiction to the case study.</w:t>
      </w:r>
    </w:p>
    <w:p w14:paraId="115F348D">
      <w:pPr>
        <w:pStyle w:val="4"/>
        <w:numPr>
          <w:ilvl w:val="0"/>
          <w:numId w:val="16"/>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Examination of similarities and differences.</w:t>
      </w:r>
    </w:p>
    <w:p w14:paraId="0C6FB195">
      <w:pPr>
        <w:pStyle w:val="4"/>
        <w:numPr>
          <w:ilvl w:val="0"/>
          <w:numId w:val="16"/>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Assessment of best practice.</w:t>
      </w:r>
    </w:p>
    <w:p w14:paraId="33FC68FC">
      <w:pPr>
        <w:pStyle w:val="4"/>
        <w:spacing w:after="0" w:line="480" w:lineRule="auto"/>
        <w:jc w:val="both"/>
        <w:rPr>
          <w:rStyle w:val="48"/>
          <w:rFonts w:ascii="Times New Roman" w:hAnsi="Times New Roman" w:eastAsia="Times New Roman" w:cs="Times New Roman"/>
          <w:sz w:val="24"/>
          <w:szCs w:val="24"/>
        </w:rPr>
      </w:pPr>
    </w:p>
    <w:p w14:paraId="75546CCD">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Relevant OECD and World Bank fiscal studies and reports were reviewed for the body of knowledge and recommendations for best practice, transparency, and efficiency of the fiscal regime. </w:t>
      </w:r>
    </w:p>
    <w:p w14:paraId="42DEEBD5">
      <w:pPr>
        <w:pStyle w:val="4"/>
        <w:spacing w:after="0" w:line="480" w:lineRule="auto"/>
        <w:jc w:val="both"/>
        <w:rPr>
          <w:rStyle w:val="48"/>
          <w:rFonts w:ascii="Times New Roman" w:hAnsi="Times New Roman" w:eastAsia="Times New Roman" w:cs="Times New Roman"/>
          <w:sz w:val="24"/>
          <w:szCs w:val="24"/>
        </w:rPr>
      </w:pPr>
    </w:p>
    <w:p w14:paraId="7D0A31DA">
      <w:pPr>
        <w:pStyle w:val="4"/>
        <w:numPr>
          <w:ilvl w:val="1"/>
          <w:numId w:val="1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CONTEXT AND CONTRIBUTION TO SCHOLARSHIP </w:t>
      </w:r>
    </w:p>
    <w:p w14:paraId="0B27727B">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Experience has shown that resolving uncertainties in tax systems comes with a significant cost. It should not be an option. Therefore, this study will attempt to understand the main drivers of uncertainty in the upstream petroleum taxation system in Nigeria. Moreover, the importance of providing greater tax certainty to taxpayers to support trade, investment and economic growth has become a shared priority of governments and businesses. ‘The G20 Hangzhou Community’ report states: </w:t>
      </w:r>
    </w:p>
    <w:p w14:paraId="035F9CF3">
      <w:pPr>
        <w:pStyle w:val="4"/>
        <w:spacing w:after="0" w:line="480" w:lineRule="auto"/>
        <w:jc w:val="both"/>
        <w:rPr>
          <w:rStyle w:val="48"/>
          <w:rFonts w:ascii="Times New Roman" w:hAnsi="Times New Roman" w:eastAsia="Times New Roman" w:cs="Times New Roman"/>
          <w:color w:val="auto"/>
          <w:sz w:val="24"/>
          <w:szCs w:val="24"/>
        </w:rPr>
      </w:pPr>
    </w:p>
    <w:p w14:paraId="0614B59A">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“We emphasize the effectiveness of tax policy tools in supply-side structural reform for promoting … the benefits of tax certainty to promote investment and trade and ask the OECD and IMF to continue working on … tax certainty”.</w:t>
      </w:r>
      <w:r>
        <w:rPr>
          <w:rStyle w:val="48"/>
          <w:rFonts w:ascii="Times New Roman" w:hAnsi="Times New Roman" w:eastAsia="Times New Roman" w:cs="Times New Roman"/>
          <w:sz w:val="24"/>
          <w:szCs w:val="24"/>
          <w:vertAlign w:val="superscript"/>
        </w:rPr>
        <w:footnoteReference w:id="74"/>
      </w:r>
    </w:p>
    <w:p w14:paraId="63878592">
      <w:pPr>
        <w:pStyle w:val="4"/>
        <w:spacing w:after="0" w:line="480" w:lineRule="auto"/>
        <w:jc w:val="both"/>
        <w:rPr>
          <w:rStyle w:val="48"/>
          <w:rFonts w:ascii="Times New Roman" w:hAnsi="Times New Roman" w:eastAsia="Times New Roman" w:cs="Times New Roman"/>
          <w:color w:val="auto"/>
          <w:sz w:val="24"/>
          <w:szCs w:val="24"/>
        </w:rPr>
      </w:pPr>
    </w:p>
    <w:p w14:paraId="611C2DD2">
      <w:pPr>
        <w:pStyle w:val="4"/>
        <w:spacing w:line="480" w:lineRule="auto"/>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From the comparative analysis of the process of fiscal policy formulation and tax law-making of the selected jurisdictions; the quantitative and qualitative reviews and evaluation of survey and interview data, as well as OECD and IMF studies, the study recommends measures for achieving the following: </w:t>
      </w:r>
    </w:p>
    <w:p w14:paraId="1116ADD4">
      <w:pPr>
        <w:pStyle w:val="4"/>
        <w:numPr>
          <w:ilvl w:val="0"/>
          <w:numId w:val="17"/>
        </w:numPr>
        <w:spacing w:line="480" w:lineRule="auto"/>
        <w:jc w:val="both"/>
        <w:rPr>
          <w:rFonts w:ascii="Times New Roman" w:hAnsi="Times New Roman" w:cs="Times New Roman"/>
          <w:sz w:val="24"/>
          <w:szCs w:val="24"/>
        </w:rPr>
      </w:pPr>
      <w:bookmarkStart w:id="5" w:name="_Hlk128947888"/>
      <w:r>
        <w:rPr>
          <w:rStyle w:val="48"/>
          <w:rFonts w:ascii="Times New Roman" w:hAnsi="Times New Roman" w:cs="Times New Roman"/>
          <w:sz w:val="24"/>
          <w:szCs w:val="24"/>
        </w:rPr>
        <w:t>T</w:t>
      </w:r>
      <w:r>
        <w:rPr>
          <w:rStyle w:val="41"/>
          <w:rFonts w:ascii="Times New Roman" w:hAnsi="Times New Roman" w:cs="Times New Roman"/>
          <w:sz w:val="24"/>
          <w:szCs w:val="24"/>
        </w:rPr>
        <w:t xml:space="preserve">he structured and regular engagement with business and other stakeholders both in policy formulation and drafting of legislation, to ensure tax policy makers and tax administrations are working together to formulate new policies; </w:t>
      </w:r>
    </w:p>
    <w:p w14:paraId="2E175E01">
      <w:pPr>
        <w:pStyle w:val="4"/>
        <w:numPr>
          <w:ilvl w:val="0"/>
          <w:numId w:val="17"/>
        </w:numPr>
        <w:spacing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The establishment of transparent and open consultation processes, to enable input from a wide variety of stakeholders before policy and legislation are finalized; </w:t>
      </w:r>
    </w:p>
    <w:bookmarkEnd w:id="5"/>
    <w:p w14:paraId="517E2AD9">
      <w:pPr>
        <w:pStyle w:val="4"/>
        <w:numPr>
          <w:ilvl w:val="0"/>
          <w:numId w:val="17"/>
        </w:numPr>
        <w:spacing w:line="480" w:lineRule="auto"/>
        <w:jc w:val="both"/>
        <w:rPr>
          <w:rStyle w:val="41"/>
          <w:rFonts w:ascii="Times New Roman" w:hAnsi="Times New Roman" w:cs="Times New Roman"/>
          <w:sz w:val="24"/>
          <w:szCs w:val="24"/>
        </w:rPr>
      </w:pPr>
      <w:r>
        <w:rPr>
          <w:rStyle w:val="41"/>
          <w:rFonts w:ascii="Times New Roman" w:hAnsi="Times New Roman" w:cs="Times New Roman"/>
          <w:sz w:val="24"/>
          <w:szCs w:val="24"/>
        </w:rPr>
        <w:t xml:space="preserve">The identification of best practices and learnings from the selected countries to enhance fiscal policy and tax law-making; </w:t>
      </w:r>
    </w:p>
    <w:p w14:paraId="703EA28B">
      <w:pPr>
        <w:pStyle w:val="4"/>
        <w:numPr>
          <w:ilvl w:val="0"/>
          <w:numId w:val="17"/>
        </w:numPr>
        <w:spacing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Identification of the skills sets required for policy formulation, legislative drafting and consistent interpretation and implementation of taxing provisions; and </w:t>
      </w:r>
    </w:p>
    <w:p w14:paraId="2DEE94ED">
      <w:pPr>
        <w:pStyle w:val="4"/>
        <w:numPr>
          <w:ilvl w:val="0"/>
          <w:numId w:val="17"/>
        </w:numPr>
        <w:spacing w:line="480" w:lineRule="auto"/>
        <w:jc w:val="both"/>
        <w:rPr>
          <w:rStyle w:val="41"/>
          <w:rFonts w:ascii="Times New Roman" w:hAnsi="Times New Roman" w:cs="Times New Roman"/>
          <w:sz w:val="24"/>
          <w:szCs w:val="24"/>
        </w:rPr>
      </w:pPr>
      <w:r>
        <w:rPr>
          <w:rStyle w:val="41"/>
          <w:rFonts w:ascii="Times New Roman" w:hAnsi="Times New Roman" w:cs="Times New Roman"/>
          <w:sz w:val="24"/>
          <w:szCs w:val="24"/>
        </w:rPr>
        <w:t xml:space="preserve">Recommended guidelines for drafting clear and unambiguous legislation, e.g. all legislation can be formalized in a draft form and put through a process of consultation to ensure the purpose of specific sections of the law are clearly stated so that taxpayers and the courts have a clear basis for interpreting the more detailed and technical provisions. </w:t>
      </w:r>
    </w:p>
    <w:p w14:paraId="34D40743">
      <w:pPr>
        <w:pStyle w:val="39"/>
        <w:numPr>
          <w:ilvl w:val="1"/>
          <w:numId w:val="14"/>
        </w:numPr>
        <w:spacing w:line="480" w:lineRule="auto"/>
        <w:rPr>
          <w:rFonts w:ascii="Times New Roman" w:hAnsi="Times New Roman" w:eastAsia="Times New Roman" w:cs="Times New Roman"/>
          <w:b/>
          <w:bCs/>
          <w:lang w:val="de-DE"/>
        </w:rPr>
      </w:pPr>
      <w:bookmarkStart w:id="6" w:name="_Toc5"/>
      <w:r>
        <w:rPr>
          <w:rStyle w:val="48"/>
          <w:rFonts w:ascii="Times New Roman" w:hAnsi="Times New Roman" w:cs="Times New Roman"/>
          <w:b/>
          <w:bCs/>
          <w:lang w:val="de-DE"/>
        </w:rPr>
        <w:t xml:space="preserve">  Chapter Structure</w:t>
      </w:r>
      <w:bookmarkEnd w:id="6"/>
    </w:p>
    <w:p w14:paraId="452773E6">
      <w:pPr>
        <w:pStyle w:val="52"/>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The thesis adopts the following chapter structure. </w:t>
      </w:r>
    </w:p>
    <w:p w14:paraId="1596213D">
      <w:pPr>
        <w:pStyle w:val="4"/>
        <w:spacing w:after="0" w:line="480" w:lineRule="auto"/>
        <w:jc w:val="both"/>
        <w:rPr>
          <w:rStyle w:val="48"/>
          <w:rFonts w:ascii="Times New Roman" w:hAnsi="Times New Roman" w:cs="Times New Roman"/>
          <w:b/>
          <w:bCs/>
          <w:sz w:val="24"/>
          <w:szCs w:val="24"/>
          <w:lang w:val="en-GB"/>
        </w:rPr>
      </w:pPr>
    </w:p>
    <w:p w14:paraId="3B85DD1A">
      <w:pPr>
        <w:pStyle w:val="4"/>
        <w:spacing w:after="0" w:line="480" w:lineRule="auto"/>
        <w:jc w:val="both"/>
        <w:rPr>
          <w:rStyle w:val="48"/>
          <w:rFonts w:ascii="Times New Roman" w:hAnsi="Times New Roman" w:eastAsia="Times New Roman" w:cs="Times New Roman"/>
          <w:b/>
          <w:bCs/>
          <w:i/>
          <w:iCs/>
          <w:color w:val="FF0000"/>
          <w:sz w:val="24"/>
          <w:szCs w:val="24"/>
          <w:u w:color="FF0000"/>
        </w:rPr>
      </w:pPr>
      <w:r>
        <w:rPr>
          <w:rStyle w:val="48"/>
          <w:rFonts w:ascii="Times New Roman" w:hAnsi="Times New Roman" w:cs="Times New Roman"/>
          <w:b/>
          <w:bCs/>
          <w:sz w:val="24"/>
          <w:szCs w:val="24"/>
          <w:lang w:val="en-GB"/>
        </w:rPr>
        <w:t xml:space="preserve">Chapter 1 </w:t>
      </w:r>
      <w:r>
        <w:rPr>
          <w:rStyle w:val="48"/>
          <w:rFonts w:ascii="Times New Roman" w:hAnsi="Times New Roman" w:cs="Times New Roman"/>
          <w:b/>
          <w:bCs/>
          <w:sz w:val="24"/>
          <w:szCs w:val="24"/>
        </w:rPr>
        <w:t xml:space="preserve">– Introduction: </w:t>
      </w:r>
      <w:r>
        <w:rPr>
          <w:rStyle w:val="48"/>
          <w:rFonts w:ascii="Times New Roman" w:hAnsi="Times New Roman" w:cs="Times New Roman"/>
          <w:sz w:val="24"/>
          <w:szCs w:val="24"/>
        </w:rPr>
        <w:t xml:space="preserve">This chapter provides an overview of the issues of certainty, the scope of research and the research question and methodology to be adopted. </w:t>
      </w:r>
    </w:p>
    <w:p w14:paraId="19801447">
      <w:pPr>
        <w:pStyle w:val="4"/>
        <w:spacing w:after="0" w:line="480" w:lineRule="auto"/>
        <w:jc w:val="both"/>
        <w:rPr>
          <w:rStyle w:val="48"/>
          <w:rFonts w:ascii="Times New Roman" w:hAnsi="Times New Roman" w:eastAsia="Times New Roman" w:cs="Times New Roman"/>
          <w:b/>
          <w:bCs/>
          <w:sz w:val="24"/>
          <w:szCs w:val="24"/>
        </w:rPr>
      </w:pPr>
      <w:r>
        <w:rPr>
          <w:rStyle w:val="48"/>
          <w:rFonts w:ascii="Times New Roman" w:hAnsi="Times New Roman" w:cs="Times New Roman"/>
          <w:b/>
          <w:bCs/>
          <w:sz w:val="24"/>
          <w:szCs w:val="24"/>
        </w:rPr>
        <w:t xml:space="preserve"> </w:t>
      </w:r>
    </w:p>
    <w:p w14:paraId="6196957F">
      <w:pPr>
        <w:pStyle w:val="4"/>
        <w:spacing w:after="0" w:line="480" w:lineRule="auto"/>
        <w:jc w:val="both"/>
        <w:rPr>
          <w:rFonts w:ascii="Times New Roman" w:hAnsi="Times New Roman" w:eastAsia="Times New Roman" w:cs="Times New Roman"/>
          <w:sz w:val="24"/>
          <w:szCs w:val="24"/>
        </w:rPr>
      </w:pPr>
      <w:r>
        <w:rPr>
          <w:rStyle w:val="48"/>
          <w:rFonts w:ascii="Times New Roman" w:hAnsi="Times New Roman" w:cs="Times New Roman"/>
          <w:b/>
          <w:bCs/>
          <w:sz w:val="24"/>
          <w:szCs w:val="24"/>
        </w:rPr>
        <w:t xml:space="preserve">Chapter 2 - The Nigerian Tax System: </w:t>
      </w:r>
      <w:r>
        <w:rPr>
          <w:rFonts w:ascii="Times New Roman" w:hAnsi="Times New Roman" w:cs="Times New Roman"/>
          <w:sz w:val="24"/>
          <w:szCs w:val="24"/>
        </w:rPr>
        <w:t xml:space="preserve">This chapter traces the historical evolution, the structure of the Nigerian tax system, the tax administration and tax dispute adjudicating process, as well as the challenge and rationale of reform of the system. </w:t>
      </w:r>
    </w:p>
    <w:p w14:paraId="68F221B2">
      <w:pPr>
        <w:pStyle w:val="4"/>
        <w:spacing w:after="0" w:line="480" w:lineRule="auto"/>
        <w:jc w:val="both"/>
        <w:rPr>
          <w:rFonts w:ascii="Times New Roman" w:hAnsi="Times New Roman" w:eastAsia="Times New Roman" w:cs="Times New Roman"/>
          <w:sz w:val="24"/>
          <w:szCs w:val="24"/>
        </w:rPr>
      </w:pPr>
      <w:r>
        <w:rPr>
          <w:rStyle w:val="48"/>
          <w:rFonts w:ascii="Times New Roman" w:hAnsi="Times New Roman" w:cs="Times New Roman"/>
          <w:b/>
          <w:bCs/>
          <w:sz w:val="24"/>
          <w:szCs w:val="24"/>
        </w:rPr>
        <w:t xml:space="preserve">Chapter 3 - Taxation of Petroleum Operations: </w:t>
      </w:r>
      <w:r>
        <w:rPr>
          <w:rFonts w:ascii="Times New Roman" w:hAnsi="Times New Roman" w:cs="Times New Roman"/>
          <w:sz w:val="24"/>
          <w:szCs w:val="24"/>
        </w:rPr>
        <w:t xml:space="preserve">This chapter examines the taxation of petroleum operations as a lead up to addressing the issues of uncertainty in fiscal policy and law in chapters 4 and 5. </w:t>
      </w:r>
    </w:p>
    <w:p w14:paraId="2C038D78">
      <w:pPr>
        <w:pStyle w:val="4"/>
        <w:spacing w:after="0" w:line="480" w:lineRule="auto"/>
        <w:jc w:val="both"/>
        <w:rPr>
          <w:rStyle w:val="48"/>
          <w:rFonts w:ascii="Times New Roman" w:hAnsi="Times New Roman" w:cs="Times New Roman"/>
          <w:sz w:val="24"/>
          <w:szCs w:val="24"/>
        </w:rPr>
      </w:pPr>
      <w:r>
        <w:rPr>
          <w:rFonts w:ascii="Times New Roman" w:hAnsi="Times New Roman" w:cs="Times New Roman"/>
          <w:sz w:val="24"/>
          <w:szCs w:val="24"/>
        </w:rPr>
        <w:t xml:space="preserve"> </w:t>
      </w:r>
      <w:r>
        <w:rPr>
          <w:rStyle w:val="48"/>
          <w:rFonts w:ascii="Times New Roman" w:hAnsi="Times New Roman" w:cs="Times New Roman"/>
          <w:b/>
          <w:bCs/>
          <w:sz w:val="24"/>
          <w:szCs w:val="24"/>
          <w:lang w:val="en-GB"/>
        </w:rPr>
        <w:t>Chapter 4</w:t>
      </w:r>
      <w:r>
        <w:rPr>
          <w:rStyle w:val="48"/>
          <w:rFonts w:ascii="Times New Roman" w:hAnsi="Times New Roman" w:cs="Times New Roman"/>
          <w:sz w:val="24"/>
          <w:szCs w:val="24"/>
          <w:lang w:val="ru-RU"/>
        </w:rPr>
        <w:t xml:space="preserve"> </w:t>
      </w:r>
      <w:r>
        <w:rPr>
          <w:rStyle w:val="48"/>
          <w:rFonts w:ascii="Times New Roman" w:hAnsi="Times New Roman" w:cs="Times New Roman"/>
          <w:sz w:val="24"/>
          <w:szCs w:val="24"/>
        </w:rPr>
        <w:t xml:space="preserve">– </w:t>
      </w:r>
      <w:r>
        <w:rPr>
          <w:rStyle w:val="48"/>
          <w:rFonts w:ascii="Times New Roman" w:hAnsi="Times New Roman" w:cs="Times New Roman"/>
          <w:b/>
          <w:bCs/>
          <w:sz w:val="24"/>
          <w:szCs w:val="24"/>
        </w:rPr>
        <w:t>Upstream Petroleum Operations Taxation and Tax Legislative Uncertainty</w:t>
      </w:r>
      <w:r>
        <w:rPr>
          <w:rStyle w:val="48"/>
          <w:rFonts w:ascii="Times New Roman" w:hAnsi="Times New Roman" w:cs="Times New Roman"/>
          <w:sz w:val="24"/>
          <w:szCs w:val="24"/>
        </w:rPr>
        <w:t xml:space="preserve">: </w:t>
      </w:r>
    </w:p>
    <w:p w14:paraId="1F570C56">
      <w:pPr>
        <w:pStyle w:val="4"/>
        <w:spacing w:after="0" w:line="480" w:lineRule="auto"/>
        <w:jc w:val="both"/>
        <w:rPr>
          <w:rStyle w:val="48"/>
          <w:rFonts w:ascii="Times New Roman" w:hAnsi="Times New Roman" w:eastAsia="Times New Roman" w:cs="Times New Roman"/>
          <w:color w:val="FF0000"/>
          <w:sz w:val="24"/>
          <w:szCs w:val="24"/>
          <w:u w:color="FF0000"/>
        </w:rPr>
      </w:pPr>
      <w:r>
        <w:rPr>
          <w:rStyle w:val="48"/>
          <w:rFonts w:ascii="Times New Roman" w:hAnsi="Times New Roman" w:cs="Times New Roman"/>
          <w:sz w:val="24"/>
          <w:szCs w:val="24"/>
        </w:rPr>
        <w:t xml:space="preserve">The topical areas and issues of uncertainty and contention in the principal Nigerian upstream petroleum profit tax laws will be critically analyzed. This chapter will also highlight the implications of the absence of a sustained structured policy and law review and the ad-hoc and piecemeal fiscal and legislative amendments for petroleum profits taxation in Nigeria.  </w:t>
      </w:r>
    </w:p>
    <w:p w14:paraId="69810D9D">
      <w:pPr>
        <w:pStyle w:val="4"/>
        <w:spacing w:after="0" w:line="480" w:lineRule="auto"/>
        <w:jc w:val="both"/>
        <w:rPr>
          <w:rStyle w:val="48"/>
          <w:rFonts w:ascii="Times New Roman" w:hAnsi="Times New Roman" w:cs="Times New Roman"/>
          <w:b/>
          <w:bCs/>
          <w:sz w:val="24"/>
          <w:szCs w:val="24"/>
        </w:rPr>
      </w:pPr>
      <w:r>
        <w:rPr>
          <w:rStyle w:val="48"/>
          <w:rFonts w:ascii="Times New Roman" w:hAnsi="Times New Roman" w:cs="Times New Roman"/>
          <w:b/>
          <w:bCs/>
          <w:sz w:val="24"/>
          <w:szCs w:val="24"/>
          <w:lang w:val="en-GB"/>
        </w:rPr>
        <w:t>Chapter 5</w:t>
      </w:r>
      <w:r>
        <w:rPr>
          <w:rStyle w:val="48"/>
          <w:rFonts w:ascii="Times New Roman" w:hAnsi="Times New Roman" w:cs="Times New Roman"/>
          <w:b/>
          <w:bCs/>
          <w:sz w:val="24"/>
          <w:szCs w:val="24"/>
        </w:rPr>
        <w:t xml:space="preserve"> – Policy and Tax Law Making in the Nigeria Upstream Petroleum Industry:</w:t>
      </w:r>
    </w:p>
    <w:p w14:paraId="16F44017">
      <w:pPr>
        <w:pStyle w:val="4"/>
        <w:spacing w:after="0" w:line="480" w:lineRule="auto"/>
        <w:jc w:val="both"/>
        <w:rPr>
          <w:rStyle w:val="48"/>
          <w:rFonts w:ascii="Times New Roman" w:hAnsi="Times New Roman" w:eastAsia="Times New Roman" w:cs="Times New Roman"/>
          <w:b/>
          <w:bCs/>
          <w:sz w:val="24"/>
          <w:szCs w:val="24"/>
        </w:rPr>
      </w:pPr>
      <w:r>
        <w:rPr>
          <w:rStyle w:val="48"/>
          <w:rFonts w:ascii="Times New Roman" w:hAnsi="Times New Roman" w:cs="Times New Roman"/>
          <w:b/>
          <w:bCs/>
          <w:sz w:val="24"/>
          <w:szCs w:val="24"/>
        </w:rPr>
        <w:t xml:space="preserve"> </w:t>
      </w:r>
      <w:r>
        <w:rPr>
          <w:rStyle w:val="48"/>
          <w:rFonts w:ascii="Times New Roman" w:hAnsi="Times New Roman" w:cs="Times New Roman"/>
          <w:sz w:val="24"/>
          <w:szCs w:val="24"/>
        </w:rPr>
        <w:t>This chapter</w:t>
      </w:r>
      <w:r>
        <w:rPr>
          <w:rStyle w:val="48"/>
          <w:rFonts w:ascii="Times New Roman" w:hAnsi="Times New Roman" w:cs="Times New Roman"/>
          <w:b/>
          <w:bCs/>
          <w:sz w:val="24"/>
          <w:szCs w:val="24"/>
        </w:rPr>
        <w:t xml:space="preserve"> </w:t>
      </w:r>
      <w:r>
        <w:rPr>
          <w:rStyle w:val="48"/>
          <w:rFonts w:ascii="Times New Roman" w:hAnsi="Times New Roman" w:cs="Times New Roman"/>
          <w:sz w:val="24"/>
          <w:szCs w:val="24"/>
        </w:rPr>
        <w:t xml:space="preserve">reviews the evolution of fiscal and tax policy in the Nigeria petroleum Industry, and the issues of lack of fiscal policy clarity. It also addresses the process and challenge of tax law making and the need for competent legislative drafting for achieving tax legislative certainty. </w:t>
      </w:r>
      <w:r>
        <w:rPr>
          <w:rStyle w:val="48"/>
          <w:rFonts w:ascii="Times New Roman" w:hAnsi="Times New Roman" w:cs="Times New Roman"/>
          <w:b/>
          <w:bCs/>
          <w:sz w:val="24"/>
          <w:szCs w:val="24"/>
        </w:rPr>
        <w:t xml:space="preserve"> </w:t>
      </w:r>
    </w:p>
    <w:p w14:paraId="334B7617">
      <w:pPr>
        <w:pStyle w:val="4"/>
        <w:spacing w:after="0" w:line="480" w:lineRule="auto"/>
        <w:jc w:val="both"/>
        <w:rPr>
          <w:rStyle w:val="48"/>
          <w:rFonts w:ascii="Times New Roman" w:hAnsi="Times New Roman" w:cs="Times New Roman"/>
          <w:b/>
          <w:bCs/>
          <w:sz w:val="24"/>
          <w:szCs w:val="24"/>
        </w:rPr>
      </w:pPr>
      <w:r>
        <w:rPr>
          <w:rStyle w:val="48"/>
          <w:rFonts w:ascii="Times New Roman" w:hAnsi="Times New Roman" w:cs="Times New Roman"/>
          <w:b/>
          <w:bCs/>
          <w:sz w:val="24"/>
          <w:szCs w:val="24"/>
        </w:rPr>
        <w:t>Chapter 6 – Survey of Stakeholders in the Nigerian Upstream Petroleum Industry:</w:t>
      </w:r>
    </w:p>
    <w:p w14:paraId="70FE31FC">
      <w:pPr>
        <w:pStyle w:val="4"/>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deals with the survey and analysis of the field survey/interview and data collected. The </w:t>
      </w:r>
      <w:r>
        <w:rPr>
          <w:rFonts w:ascii="Times New Roman" w:hAnsi="Times New Roman" w:cs="Times New Roman"/>
          <w:sz w:val="24"/>
          <w:szCs w:val="24"/>
          <w:lang w:val="it-IT"/>
        </w:rPr>
        <w:t xml:space="preserve">critical quantitative and qualitative </w:t>
      </w:r>
      <w:r>
        <w:rPr>
          <w:rFonts w:ascii="Times New Roman" w:hAnsi="Times New Roman" w:cs="Times New Roman"/>
          <w:sz w:val="24"/>
          <w:szCs w:val="24"/>
        </w:rPr>
        <w:t>review of the research findings identify factors contributing to creating the uncertainty in the Nigeria upstream tax system. Relevant conclusions will be drawn from the survey and inform some of the recommendations in chapters 9 and 10.</w:t>
      </w:r>
    </w:p>
    <w:p w14:paraId="62D08462">
      <w:pPr>
        <w:pStyle w:val="4"/>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Chapter 7</w:t>
      </w:r>
      <w:r>
        <w:rPr>
          <w:rFonts w:ascii="Times New Roman" w:hAnsi="Times New Roman" w:cs="Times New Roman"/>
          <w:sz w:val="24"/>
          <w:szCs w:val="24"/>
        </w:rPr>
        <w:t xml:space="preserve"> - </w:t>
      </w:r>
      <w:r>
        <w:rPr>
          <w:rStyle w:val="48"/>
          <w:rFonts w:ascii="Times New Roman" w:hAnsi="Times New Roman" w:cs="Times New Roman"/>
          <w:b/>
          <w:bCs/>
          <w:sz w:val="24"/>
          <w:szCs w:val="24"/>
        </w:rPr>
        <w:t>Fiscal Policy and Tax Law Making in the United Kingdom Petroleum Industry:</w:t>
      </w:r>
      <w:r>
        <w:rPr>
          <w:rFonts w:ascii="Times New Roman" w:hAnsi="Times New Roman" w:cs="Times New Roman"/>
          <w:sz w:val="24"/>
          <w:szCs w:val="24"/>
        </w:rPr>
        <w:t xml:space="preserve"> </w:t>
      </w:r>
    </w:p>
    <w:p w14:paraId="74739CE8">
      <w:pPr>
        <w:pStyle w:val="4"/>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w:t>
      </w:r>
      <w:bookmarkStart w:id="7" w:name="_Hlk137837556"/>
      <w:r>
        <w:rPr>
          <w:rFonts w:ascii="Times New Roman" w:hAnsi="Times New Roman" w:cs="Times New Roman"/>
          <w:sz w:val="24"/>
          <w:szCs w:val="24"/>
        </w:rPr>
        <w:t>examines the process of fiscal policy design and tax law drafting and how certainty, clarity, and stability is achieved in the UK petroleum regulatory and tax system as compared to the Nigerian upstream petroleum industry</w:t>
      </w:r>
      <w:bookmarkEnd w:id="7"/>
      <w:r>
        <w:rPr>
          <w:rFonts w:ascii="Times New Roman" w:hAnsi="Times New Roman" w:cs="Times New Roman"/>
          <w:sz w:val="24"/>
          <w:szCs w:val="24"/>
        </w:rPr>
        <w:t>. The learning for the Nigeria upstream petroleum legislative and tax system will also be highlighted.</w:t>
      </w:r>
    </w:p>
    <w:p w14:paraId="12577369">
      <w:pPr>
        <w:pStyle w:val="4"/>
        <w:spacing w:after="0" w:line="480" w:lineRule="auto"/>
        <w:jc w:val="both"/>
        <w:rPr>
          <w:rStyle w:val="48"/>
          <w:rFonts w:ascii="Times New Roman" w:hAnsi="Times New Roman" w:eastAsia="Times New Roman" w:cs="Times New Roman"/>
          <w:b/>
          <w:bCs/>
          <w:sz w:val="24"/>
          <w:szCs w:val="24"/>
        </w:rPr>
      </w:pPr>
    </w:p>
    <w:p w14:paraId="3FF331D3">
      <w:pPr>
        <w:pStyle w:val="4"/>
        <w:spacing w:after="0" w:line="480" w:lineRule="auto"/>
        <w:jc w:val="both"/>
        <w:rPr>
          <w:rFonts w:ascii="Times New Roman" w:hAnsi="Times New Roman" w:eastAsia="Times New Roman" w:cs="Times New Roman"/>
          <w:sz w:val="24"/>
          <w:szCs w:val="24"/>
        </w:rPr>
      </w:pPr>
      <w:r>
        <w:rPr>
          <w:rStyle w:val="48"/>
          <w:rFonts w:ascii="Times New Roman" w:hAnsi="Times New Roman" w:cs="Times New Roman"/>
          <w:b/>
          <w:bCs/>
          <w:sz w:val="24"/>
          <w:szCs w:val="24"/>
          <w:lang w:val="en-GB"/>
        </w:rPr>
        <w:t xml:space="preserve">Chapter </w:t>
      </w:r>
      <w:r>
        <w:rPr>
          <w:rStyle w:val="48"/>
          <w:rFonts w:ascii="Times New Roman" w:hAnsi="Times New Roman" w:cs="Times New Roman"/>
          <w:sz w:val="24"/>
          <w:szCs w:val="24"/>
        </w:rPr>
        <w:t>8 –</w:t>
      </w:r>
      <w:r>
        <w:rPr>
          <w:rStyle w:val="48"/>
          <w:rFonts w:ascii="Times New Roman" w:hAnsi="Times New Roman" w:cs="Times New Roman"/>
          <w:b/>
          <w:bCs/>
          <w:sz w:val="24"/>
          <w:szCs w:val="24"/>
        </w:rPr>
        <w:t xml:space="preserve">Fiscal Policy and Tax Law making in the Canadian Petroleum Industry- </w:t>
      </w:r>
    </w:p>
    <w:p w14:paraId="6FCB4BB5">
      <w:pPr>
        <w:pStyle w:val="4"/>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chapter examines the process of fiscal policy design and tax law making and how certainty, clarity, and stability is achieved in the Canadian petroleum and gas regulatory and tax system and relevant learnings for the Nigerian upstream petroleum legislative and tax system.</w:t>
      </w:r>
    </w:p>
    <w:p w14:paraId="652459B6">
      <w:pPr>
        <w:pStyle w:val="4"/>
        <w:spacing w:after="0" w:line="480" w:lineRule="auto"/>
        <w:jc w:val="both"/>
        <w:rPr>
          <w:rFonts w:ascii="Times New Roman" w:hAnsi="Times New Roman" w:eastAsia="Times New Roman" w:cs="Times New Roman"/>
          <w:sz w:val="24"/>
          <w:szCs w:val="24"/>
        </w:rPr>
      </w:pPr>
    </w:p>
    <w:p w14:paraId="3E9277CE">
      <w:pPr>
        <w:pStyle w:val="4"/>
        <w:spacing w:after="0" w:line="480" w:lineRule="auto"/>
        <w:jc w:val="both"/>
        <w:rPr>
          <w:rStyle w:val="48"/>
          <w:rFonts w:ascii="Times New Roman" w:hAnsi="Times New Roman" w:cs="Times New Roman"/>
          <w:b/>
          <w:bCs/>
          <w:sz w:val="24"/>
          <w:szCs w:val="24"/>
        </w:rPr>
      </w:pPr>
      <w:r>
        <w:rPr>
          <w:rStyle w:val="48"/>
          <w:rFonts w:ascii="Times New Roman" w:hAnsi="Times New Roman" w:cs="Times New Roman"/>
          <w:b/>
          <w:bCs/>
          <w:sz w:val="24"/>
          <w:szCs w:val="24"/>
          <w:lang w:val="en-GB"/>
        </w:rPr>
        <w:t>Chapter 9</w:t>
      </w:r>
      <w:r>
        <w:rPr>
          <w:rStyle w:val="48"/>
          <w:rFonts w:ascii="Times New Roman" w:hAnsi="Times New Roman" w:cs="Times New Roman"/>
          <w:sz w:val="24"/>
          <w:szCs w:val="24"/>
        </w:rPr>
        <w:t xml:space="preserve">. – </w:t>
      </w:r>
      <w:r>
        <w:rPr>
          <w:rStyle w:val="48"/>
          <w:rFonts w:ascii="Times New Roman" w:hAnsi="Times New Roman" w:cs="Times New Roman"/>
          <w:b/>
          <w:bCs/>
          <w:sz w:val="24"/>
          <w:szCs w:val="24"/>
        </w:rPr>
        <w:t>The Nigeria Petroleum Industry Act – A New Framework</w:t>
      </w:r>
      <w:r>
        <w:rPr>
          <w:rStyle w:val="48"/>
          <w:rFonts w:ascii="Times New Roman" w:hAnsi="Times New Roman" w:cs="Times New Roman"/>
          <w:sz w:val="24"/>
          <w:szCs w:val="24"/>
        </w:rPr>
        <w:t>:</w:t>
      </w:r>
      <w:r>
        <w:rPr>
          <w:rStyle w:val="48"/>
          <w:rFonts w:ascii="Times New Roman" w:hAnsi="Times New Roman" w:cs="Times New Roman"/>
          <w:b/>
          <w:bCs/>
          <w:sz w:val="24"/>
          <w:szCs w:val="24"/>
        </w:rPr>
        <w:t xml:space="preserve"> </w:t>
      </w:r>
    </w:p>
    <w:p w14:paraId="140AE7C4">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This chapter examines the fiscal, regulatory, royalty and tax changes introduced by the Petroleum Industry Act enacted in August 2021, following the almost two decades of comprehensive review of the Nigerian petroleum regulatory regime and tax system. It addresses the degree to which the PIA response has achieved the required clarity, certainty, and predictability in understanding and consistent fiscal, legislative and administrative treatment of several aspects of upstream petroleum taxation in Nigeria, and what gaps remains. </w:t>
      </w:r>
    </w:p>
    <w:p w14:paraId="0169FA16">
      <w:pPr>
        <w:pStyle w:val="4"/>
        <w:spacing w:after="0" w:line="480" w:lineRule="auto"/>
        <w:jc w:val="both"/>
        <w:rPr>
          <w:rStyle w:val="48"/>
          <w:rFonts w:ascii="Times New Roman" w:hAnsi="Times New Roman" w:cs="Times New Roman"/>
          <w:sz w:val="24"/>
          <w:szCs w:val="24"/>
        </w:rPr>
      </w:pPr>
    </w:p>
    <w:p w14:paraId="59ABD417">
      <w:pPr>
        <w:pStyle w:val="4"/>
        <w:spacing w:after="0" w:line="480" w:lineRule="auto"/>
        <w:jc w:val="both"/>
        <w:rPr>
          <w:rStyle w:val="48"/>
          <w:rFonts w:ascii="Times New Roman" w:hAnsi="Times New Roman" w:cs="Times New Roman"/>
          <w:b/>
          <w:bCs/>
          <w:sz w:val="24"/>
          <w:szCs w:val="24"/>
        </w:rPr>
      </w:pPr>
      <w:r>
        <w:rPr>
          <w:rStyle w:val="48"/>
          <w:rFonts w:ascii="Times New Roman" w:hAnsi="Times New Roman" w:cs="Times New Roman"/>
          <w:b/>
          <w:bCs/>
          <w:sz w:val="24"/>
          <w:szCs w:val="24"/>
        </w:rPr>
        <w:t>Chapter 10 – Conclusion:</w:t>
      </w:r>
    </w:p>
    <w:p w14:paraId="2FF455BE">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Tax certainty aims at the stabilization of expectations of both taxpayers, and governments. It refers to the creation and maintenance of a stable regulatory and policy and legislative regime for tax compliance and administration. This fiscal and tax legislative regime requires clear language and well-defined terms, concepts, and words in legislation. It entails sustained engagement, and reviews of the substance, nature, and form of policy and legislation, as well as the setting of principle-driven tax objectives which are consistently understood and translated into simple and enforceable tax legislation. It also requires a transparent dispute resolution process and an independent judiciary to achieve a stable tax system. The existence of these attributes engenders trust, efficiency, and fairness to all parties. Tax legislative certainty stands for predictability of tax regimes, and the certainty that taxpayers will be appropriately taxed. </w:t>
      </w:r>
    </w:p>
    <w:p w14:paraId="4B8A21BB">
      <w:pPr>
        <w:pStyle w:val="4"/>
        <w:spacing w:after="0" w:line="480" w:lineRule="auto"/>
        <w:jc w:val="both"/>
        <w:rPr>
          <w:rStyle w:val="48"/>
          <w:rFonts w:ascii="Times New Roman" w:hAnsi="Times New Roman" w:cs="Times New Roman"/>
          <w:sz w:val="24"/>
          <w:szCs w:val="24"/>
        </w:rPr>
      </w:pPr>
    </w:p>
    <w:p w14:paraId="0D3CD642">
      <w:pPr>
        <w:pStyle w:val="4"/>
        <w:spacing w:after="0" w:line="480" w:lineRule="auto"/>
        <w:jc w:val="both"/>
        <w:rPr>
          <w:rFonts w:eastAsia="Times New Roman"/>
        </w:rPr>
      </w:pPr>
      <w:bookmarkStart w:id="8" w:name="_Toc6"/>
      <w:r>
        <w:rPr>
          <w:rStyle w:val="48"/>
          <w:rFonts w:ascii="Times New Roman" w:hAnsi="Times New Roman" w:cs="Times New Roman"/>
          <w:b/>
          <w:bCs/>
        </w:rPr>
        <w:t>1.8</w:t>
      </w:r>
      <w:r>
        <w:rPr>
          <w:rStyle w:val="48"/>
          <w:rFonts w:ascii="Times New Roman" w:hAnsi="Times New Roman" w:cs="Times New Roman"/>
          <w:b/>
          <w:bCs/>
        </w:rPr>
        <w:tab/>
      </w:r>
      <w:r>
        <w:rPr>
          <w:rStyle w:val="48"/>
          <w:rFonts w:ascii="Times New Roman" w:hAnsi="Times New Roman" w:cs="Times New Roman"/>
          <w:b/>
          <w:bCs/>
        </w:rPr>
        <w:t>RECOMMENDATION</w:t>
      </w:r>
      <w:bookmarkEnd w:id="8"/>
    </w:p>
    <w:p w14:paraId="71F454DA">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It is important that the legal and tax system permit those subject to the law to regulate their conduct with certainty, and as well protect those subject to the law from arbitrary use of state power. It is equally important that tax administrators and public and judicial officers have a clear understanding of their authority under the law and the boundaries of the law as they administer and exercise statutory authority on well-defined liabilities and rights. Legal certainty, therefore, as a principle in national and international law, holds that the law must provide those subject to it with the ability to regulate their conduct.</w:t>
      </w:r>
      <w:r>
        <w:rPr>
          <w:rStyle w:val="48"/>
          <w:rFonts w:ascii="Times New Roman" w:hAnsi="Times New Roman" w:eastAsia="Times New Roman" w:cs="Times New Roman"/>
          <w:sz w:val="24"/>
          <w:szCs w:val="24"/>
          <w:vertAlign w:val="superscript"/>
        </w:rPr>
        <w:footnoteReference w:id="75"/>
      </w:r>
      <w:r>
        <w:rPr>
          <w:rStyle w:val="48"/>
          <w:rFonts w:ascii="Times New Roman" w:hAnsi="Times New Roman" w:cs="Times New Roman"/>
          <w:sz w:val="24"/>
          <w:szCs w:val="24"/>
        </w:rPr>
        <w:t xml:space="preserve"> The design of effective fiscal policies assumes that there are institutions and good governance in place. Both are vital to maximizing the generation of tax revenue in oil-producing countries. Without these institutions and good governance mechanisms to facilitate the administration of these policies, the State cannot benefit from them.</w:t>
      </w:r>
      <w:r>
        <w:rPr>
          <w:rStyle w:val="48"/>
          <w:rFonts w:ascii="Times New Roman" w:hAnsi="Times New Roman" w:eastAsia="Times New Roman" w:cs="Times New Roman"/>
          <w:sz w:val="24"/>
          <w:szCs w:val="24"/>
          <w:vertAlign w:val="superscript"/>
        </w:rPr>
        <w:footnoteReference w:id="76"/>
      </w:r>
      <w:r>
        <w:rPr>
          <w:rStyle w:val="48"/>
          <w:rFonts w:ascii="Times New Roman" w:hAnsi="Times New Roman" w:cs="Times New Roman"/>
          <w:sz w:val="24"/>
          <w:szCs w:val="24"/>
        </w:rPr>
        <w:t xml:space="preserve"> </w:t>
      </w:r>
    </w:p>
    <w:p w14:paraId="456815D9">
      <w:pPr>
        <w:pStyle w:val="4"/>
        <w:spacing w:after="0" w:line="480" w:lineRule="auto"/>
        <w:jc w:val="both"/>
        <w:rPr>
          <w:rStyle w:val="48"/>
          <w:rFonts w:ascii="Times New Roman" w:hAnsi="Times New Roman" w:eastAsia="Times New Roman" w:cs="Times New Roman"/>
          <w:color w:val="auto"/>
          <w:sz w:val="24"/>
          <w:szCs w:val="24"/>
        </w:rPr>
      </w:pPr>
    </w:p>
    <w:p w14:paraId="451AF9FA">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Update on Tax Certainty Report, 2018 prepared by the International Monetary Fund (IMF) and the OECD, for the G20 Finance Ministers and Central Bank Governors, identifies several practical tools for enhancing tax certainty in G20 and OECD countries. These include issues in tax policy design and legislation as well as issues in tax administration (such as avoiding and resolving disputes). More specifically, the following list of possible areas of enhancement were identified:</w:t>
      </w:r>
      <w:r>
        <w:rPr>
          <w:rStyle w:val="23"/>
          <w:sz w:val="24"/>
          <w:szCs w:val="24"/>
        </w:rPr>
        <w:footnoteReference w:id="77"/>
      </w:r>
      <w:r>
        <w:rPr>
          <w:rStyle w:val="48"/>
          <w:rFonts w:ascii="Times New Roman" w:hAnsi="Times New Roman" w:cs="Times New Roman"/>
          <w:sz w:val="24"/>
          <w:szCs w:val="24"/>
        </w:rPr>
        <w:t xml:space="preserve"> </w:t>
      </w:r>
    </w:p>
    <w:p w14:paraId="36F4C4FC">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Addressing complexity; </w:t>
      </w:r>
    </w:p>
    <w:p w14:paraId="6735D73A">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Improving clarity; </w:t>
      </w:r>
    </w:p>
    <w:p w14:paraId="178ECA8D">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Anti-avoidance rules; </w:t>
      </w:r>
    </w:p>
    <w:p w14:paraId="5BFD4E13">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Improved withholding tax collections and treaty relief procedures; </w:t>
      </w:r>
    </w:p>
    <w:p w14:paraId="1FA91A5A">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Effective domestic dispute resolution regimes; </w:t>
      </w:r>
    </w:p>
    <w:p w14:paraId="3564B44E">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Tax administration and programs for resolving international tax disputes; </w:t>
      </w:r>
    </w:p>
    <w:p w14:paraId="7365E45B">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Mandatory disclosure; </w:t>
      </w:r>
    </w:p>
    <w:p w14:paraId="26F676F7">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Advance pricing agreements; </w:t>
      </w:r>
    </w:p>
    <w:p w14:paraId="583E979A">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 xml:space="preserve">Simultaneous and joint audits; </w:t>
      </w:r>
    </w:p>
    <w:p w14:paraId="744ADFC9">
      <w:pPr>
        <w:pStyle w:val="4"/>
        <w:numPr>
          <w:ilvl w:val="0"/>
          <w:numId w:val="18"/>
        </w:numPr>
        <w:spacing w:after="0" w:line="480" w:lineRule="auto"/>
        <w:jc w:val="both"/>
        <w:rPr>
          <w:rFonts w:ascii="Times New Roman" w:hAnsi="Times New Roman" w:cs="Times New Roman"/>
          <w:sz w:val="24"/>
          <w:szCs w:val="24"/>
        </w:rPr>
      </w:pPr>
      <w:r>
        <w:rPr>
          <w:rStyle w:val="41"/>
          <w:rFonts w:ascii="Times New Roman" w:hAnsi="Times New Roman" w:cs="Times New Roman"/>
          <w:sz w:val="24"/>
          <w:szCs w:val="24"/>
        </w:rPr>
        <w:t>Mutual Agreement procedure; and arbitration.</w:t>
      </w:r>
    </w:p>
    <w:p w14:paraId="777810FC">
      <w:pPr>
        <w:pStyle w:val="4"/>
        <w:spacing w:after="0"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A responsive, progressive, principle-guided fiscal policy and tax law formulation and development, which achieves tax certainty, effective tax administration and cost efficiency for both the taxpayer and the tax authority, enhancing consistency in judicial decisions, requires synergy between fiscal policy development, tax lawmaking and the economic policies of the government.</w:t>
      </w:r>
      <w:r>
        <w:rPr>
          <w:rStyle w:val="48"/>
          <w:rFonts w:ascii="Times New Roman" w:hAnsi="Times New Roman" w:eastAsia="Times New Roman" w:cs="Times New Roman"/>
          <w:sz w:val="24"/>
          <w:szCs w:val="24"/>
          <w:vertAlign w:val="superscript"/>
        </w:rPr>
        <w:footnoteReference w:id="78"/>
      </w:r>
      <w:r>
        <w:rPr>
          <w:rStyle w:val="48"/>
          <w:rFonts w:ascii="Times New Roman" w:hAnsi="Times New Roman" w:cs="Times New Roman"/>
          <w:sz w:val="24"/>
          <w:szCs w:val="24"/>
        </w:rPr>
        <w:t xml:space="preserve"> The attainment of these goals will support the role of the government in providing public services, re-distributing income and the implementation of other fiscal policy concerns, for sustained growth as well as encouraging desirable socio-economic behaviour</w:t>
      </w:r>
      <w:r>
        <w:rPr>
          <w:rStyle w:val="48"/>
          <w:rFonts w:ascii="Times New Roman" w:hAnsi="Times New Roman" w:eastAsia="Times New Roman" w:cs="Times New Roman"/>
          <w:sz w:val="24"/>
          <w:szCs w:val="24"/>
          <w:vertAlign w:val="superscript"/>
        </w:rPr>
        <w:footnoteReference w:id="79"/>
      </w:r>
      <w:r>
        <w:rPr>
          <w:rStyle w:val="48"/>
          <w:rFonts w:ascii="Times New Roman" w:hAnsi="Times New Roman" w:cs="Times New Roman"/>
          <w:sz w:val="24"/>
          <w:szCs w:val="24"/>
        </w:rPr>
        <w:t xml:space="preserve">. </w:t>
      </w:r>
    </w:p>
    <w:p w14:paraId="54309433">
      <w:pPr>
        <w:pStyle w:val="4"/>
        <w:spacing w:after="0" w:line="480" w:lineRule="auto"/>
        <w:rPr>
          <w:rStyle w:val="48"/>
          <w:rFonts w:ascii="Times New Roman" w:hAnsi="Times New Roman" w:eastAsia="Times New Roman" w:cs="Times New Roman"/>
          <w:color w:val="auto"/>
          <w:sz w:val="24"/>
          <w:szCs w:val="24"/>
        </w:rPr>
      </w:pPr>
    </w:p>
    <w:p w14:paraId="66B23DB8">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This will entail and require regular consultation and engagement of all stakeholders before and during the process of policy formulation and drafting legislation, to ensure inputs are captured accurately. The tax administration should be prepared to issue clarifications and public rulings that are binding on the tax administration. The use of a variety of methods to increase the awareness of tax officials on the way business models are evolving and the speed of change are also required. This could take the form of regular meetings between business and tax officials, and briefings by business senior executives in the tax administration. The elimination of discretionary tax incentives and domiciling the process and decision making in the Treasury or MOF will make for leadership and accountability. Clarity in fiscal policy and tax legislation, as well as effective judicial review are critical elements for creating certainty in the tax system. Consistency in understanding by the taxpayer and the tax authority and the consistent application of rules will reinforce belief in the system. Also, the fight against corruption must be an integral part of the process and financial autonomy for FIRS, with competitive pay structure of tax officials required, as too often bribes can be a way to “buy” certainty.  </w:t>
      </w:r>
    </w:p>
    <w:p w14:paraId="37DE6975">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Law is as stated as at 31</w:t>
      </w:r>
      <w:r>
        <w:rPr>
          <w:rStyle w:val="48"/>
          <w:rFonts w:ascii="Times New Roman" w:hAnsi="Times New Roman" w:cs="Times New Roman"/>
          <w:sz w:val="24"/>
          <w:szCs w:val="24"/>
          <w:vertAlign w:val="superscript"/>
        </w:rPr>
        <w:t>st</w:t>
      </w:r>
      <w:r>
        <w:rPr>
          <w:rStyle w:val="48"/>
          <w:rFonts w:ascii="Times New Roman" w:hAnsi="Times New Roman" w:cs="Times New Roman"/>
          <w:sz w:val="24"/>
          <w:szCs w:val="24"/>
        </w:rPr>
        <w:t xml:space="preserve"> December 2023. </w:t>
      </w:r>
    </w:p>
    <w:p w14:paraId="6A808ADD">
      <w:pPr>
        <w:pStyle w:val="4"/>
        <w:spacing w:after="0" w:line="480" w:lineRule="auto"/>
        <w:jc w:val="both"/>
        <w:rPr>
          <w:rStyle w:val="48"/>
          <w:rFonts w:ascii="Times New Roman" w:hAnsi="Times New Roman" w:eastAsia="Times New Roman" w:cs="Times New Roman"/>
          <w:sz w:val="24"/>
          <w:szCs w:val="24"/>
        </w:rPr>
      </w:pPr>
    </w:p>
    <w:p w14:paraId="605C2690">
      <w:pPr>
        <w:pStyle w:val="4"/>
        <w:spacing w:after="0" w:line="480" w:lineRule="auto"/>
        <w:jc w:val="both"/>
        <w:rPr>
          <w:rStyle w:val="48"/>
          <w:rFonts w:ascii="Times New Roman" w:hAnsi="Times New Roman" w:eastAsia="Times New Roman" w:cs="Times New Roman"/>
          <w:sz w:val="24"/>
          <w:szCs w:val="24"/>
        </w:rPr>
      </w:pPr>
    </w:p>
    <w:p w14:paraId="4A4039D4">
      <w:pPr>
        <w:jc w:val="center"/>
        <w:rPr>
          <w:rStyle w:val="48"/>
          <w:rFonts w:eastAsia="Times New Roman"/>
          <w:b/>
          <w:bCs/>
          <w:caps/>
        </w:rPr>
      </w:pPr>
      <w:r>
        <w:rPr>
          <w:rStyle w:val="48"/>
          <w:rFonts w:eastAsia="Times New Roman"/>
        </w:rPr>
        <w:br w:type="page"/>
      </w:r>
      <w:bookmarkStart w:id="9" w:name="_Toc7"/>
      <w:r>
        <w:rPr>
          <w:rStyle w:val="48"/>
          <w:b/>
          <w:bCs/>
          <w:lang w:val="de-DE"/>
        </w:rPr>
        <w:t>CHAPTER 2</w:t>
      </w:r>
      <w:bookmarkEnd w:id="9"/>
    </w:p>
    <w:p w14:paraId="1CF759DA">
      <w:pPr>
        <w:pStyle w:val="39"/>
        <w:spacing w:line="480" w:lineRule="auto"/>
        <w:jc w:val="center"/>
        <w:rPr>
          <w:rStyle w:val="48"/>
          <w:rFonts w:ascii="Times New Roman" w:hAnsi="Times New Roman" w:eastAsia="Times New Roman" w:cs="Times New Roman"/>
          <w:b/>
          <w:bCs/>
          <w:sz w:val="28"/>
          <w:szCs w:val="28"/>
          <w:lang w:val="en-GB"/>
        </w:rPr>
      </w:pPr>
    </w:p>
    <w:p w14:paraId="583EBFE2">
      <w:pPr>
        <w:pStyle w:val="4"/>
        <w:spacing w:after="0" w:line="480" w:lineRule="auto"/>
        <w:jc w:val="center"/>
        <w:rPr>
          <w:rStyle w:val="48"/>
          <w:rFonts w:ascii="Times New Roman" w:hAnsi="Times New Roman" w:eastAsia="Times New Roman" w:cs="Times New Roman"/>
          <w:color w:val="252525"/>
          <w:sz w:val="24"/>
          <w:szCs w:val="24"/>
          <w:u w:color="252525"/>
        </w:rPr>
      </w:pPr>
      <w:bookmarkStart w:id="10" w:name="_Toc8"/>
      <w:r>
        <w:rPr>
          <w:rStyle w:val="48"/>
          <w:rFonts w:ascii="Times New Roman" w:hAnsi="Times New Roman" w:cs="Times New Roman"/>
          <w:b/>
          <w:bCs/>
          <w:sz w:val="24"/>
          <w:szCs w:val="24"/>
          <w:lang w:val="en-GB"/>
        </w:rPr>
        <w:t>NIGERIA</w:t>
      </w:r>
      <w:r>
        <w:rPr>
          <w:rStyle w:val="48"/>
          <w:rFonts w:ascii="Times New Roman" w:hAnsi="Times New Roman" w:cs="Times New Roman"/>
          <w:sz w:val="24"/>
          <w:szCs w:val="24"/>
          <w:rtl/>
          <w:lang w:val="ar-SA"/>
        </w:rPr>
        <w:t>’</w:t>
      </w:r>
      <w:r>
        <w:rPr>
          <w:rStyle w:val="48"/>
          <w:rFonts w:ascii="Times New Roman" w:hAnsi="Times New Roman" w:cs="Times New Roman"/>
          <w:b/>
          <w:bCs/>
          <w:sz w:val="24"/>
          <w:szCs w:val="24"/>
          <w:lang w:val="de-DE"/>
        </w:rPr>
        <w:t>S TAX SYSTEM</w:t>
      </w:r>
      <w:bookmarkEnd w:id="10"/>
    </w:p>
    <w:p w14:paraId="7A542A13">
      <w:pPr>
        <w:pStyle w:val="4"/>
        <w:spacing w:after="0" w:line="480" w:lineRule="auto"/>
        <w:jc w:val="center"/>
        <w:rPr>
          <w:rStyle w:val="48"/>
          <w:rFonts w:ascii="Times New Roman" w:hAnsi="Times New Roman" w:eastAsia="Times New Roman" w:cs="Times New Roman"/>
          <w:b/>
          <w:bCs/>
          <w:spacing w:val="3"/>
          <w:sz w:val="24"/>
          <w:szCs w:val="24"/>
        </w:rPr>
      </w:pPr>
    </w:p>
    <w:p w14:paraId="09DF071A">
      <w:pPr>
        <w:pStyle w:val="31"/>
        <w:spacing w:line="480" w:lineRule="auto"/>
        <w:jc w:val="both"/>
        <w:rPr>
          <w:rStyle w:val="48"/>
          <w:b/>
          <w:bCs/>
        </w:rPr>
      </w:pPr>
      <w:r>
        <w:rPr>
          <w:rStyle w:val="48"/>
          <w:b/>
          <w:bCs/>
          <w:lang w:val="de-DE"/>
        </w:rPr>
        <w:t xml:space="preserve">SUMMARY </w:t>
      </w:r>
    </w:p>
    <w:p w14:paraId="4C202F03">
      <w:pPr>
        <w:pStyle w:val="31"/>
        <w:spacing w:line="480" w:lineRule="auto"/>
        <w:jc w:val="both"/>
        <w:rPr>
          <w:rStyle w:val="41"/>
        </w:rPr>
      </w:pPr>
      <w:r>
        <w:rPr>
          <w:rStyle w:val="41"/>
        </w:rPr>
        <w:t xml:space="preserve">This chapter on Nigeria’s tax system is in five (5) sections. Section 2.0 is a brief introduction to the Nigerian tax system, whilst section 2.1 briefly traces the history and evolution of the Nigerian tax system, from its pre-colonial era to the present day. Section 2.2 examines the constitutional framework of the Nigerian tax system, with particular focus on the allocation of fiscal powers, and section 2.3 discusses the structure of the Nigerian tax system and highlights the principal income tax legislation and the adjudication process. The challenge of tax policy and tax law reform is examined in section 2.4. </w:t>
      </w:r>
    </w:p>
    <w:p w14:paraId="09B85345">
      <w:pPr>
        <w:pStyle w:val="31"/>
        <w:spacing w:line="480" w:lineRule="auto"/>
        <w:jc w:val="both"/>
        <w:rPr>
          <w:rStyle w:val="48"/>
          <w:rFonts w:cs="Times New Roman"/>
          <w:b/>
          <w:bCs/>
          <w:color w:val="auto"/>
        </w:rPr>
      </w:pPr>
    </w:p>
    <w:p w14:paraId="7F5F34FC">
      <w:pPr>
        <w:spacing w:line="480" w:lineRule="auto"/>
        <w:jc w:val="both"/>
        <w:rPr>
          <w:b/>
          <w:bCs/>
        </w:rPr>
      </w:pPr>
      <w:r>
        <w:rPr>
          <w:rStyle w:val="41"/>
          <w:b/>
          <w:bCs/>
        </w:rPr>
        <w:t xml:space="preserve">2.0 </w:t>
      </w:r>
      <w:r>
        <w:rPr>
          <w:rStyle w:val="41"/>
          <w:b/>
          <w:bCs/>
        </w:rPr>
        <w:tab/>
      </w:r>
      <w:r>
        <w:rPr>
          <w:rStyle w:val="41"/>
          <w:b/>
          <w:bCs/>
        </w:rPr>
        <w:t>INTRODUCTION</w:t>
      </w:r>
    </w:p>
    <w:p w14:paraId="0280AD39">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sz w:val="24"/>
          <w:szCs w:val="24"/>
        </w:rPr>
        <w:t>A tax system may be defined as a legal system for assessing and collecting taxes or a legal system for interpreting and enforcing the tax laws.</w:t>
      </w:r>
      <w:r>
        <w:rPr>
          <w:rStyle w:val="48"/>
          <w:rFonts w:ascii="Times New Roman" w:hAnsi="Times New Roman" w:eastAsia="Times New Roman" w:cs="Times New Roman"/>
          <w:sz w:val="24"/>
          <w:szCs w:val="24"/>
          <w:vertAlign w:val="superscript"/>
        </w:rPr>
        <w:footnoteReference w:id="80"/>
      </w:r>
      <w:r>
        <w:rPr>
          <w:rStyle w:val="48"/>
          <w:rFonts w:ascii="Times New Roman" w:hAnsi="Times New Roman"/>
          <w:sz w:val="24"/>
          <w:szCs w:val="24"/>
        </w:rPr>
        <w:t xml:space="preserve">  Tax systems express many economic, political and social values. A good tax system should strike a balance between the interests of the taxpayer, tax authorities, and other stakeholders.</w:t>
      </w:r>
      <w:r>
        <w:rPr>
          <w:rStyle w:val="48"/>
          <w:rFonts w:ascii="Times New Roman" w:hAnsi="Times New Roman" w:eastAsia="Times New Roman" w:cs="Times New Roman"/>
          <w:sz w:val="24"/>
          <w:szCs w:val="24"/>
          <w:vertAlign w:val="superscript"/>
        </w:rPr>
        <w:footnoteReference w:id="81"/>
      </w:r>
      <w:r>
        <w:rPr>
          <w:rStyle w:val="48"/>
          <w:rFonts w:ascii="Times New Roman" w:hAnsi="Times New Roman"/>
          <w:sz w:val="24"/>
          <w:szCs w:val="24"/>
        </w:rPr>
        <w:t xml:space="preserve"> </w:t>
      </w:r>
      <w:r>
        <w:rPr>
          <w:rFonts w:ascii="Times New Roman" w:hAnsi="Times New Roman"/>
          <w:sz w:val="24"/>
          <w:szCs w:val="24"/>
        </w:rPr>
        <w:t xml:space="preserve">Several broad tax policy considerations have traditionally guided the development of tax systems and </w:t>
      </w:r>
      <w:r>
        <w:rPr>
          <w:rStyle w:val="48"/>
          <w:rFonts w:ascii="Times New Roman" w:hAnsi="Times New Roman"/>
          <w:sz w:val="24"/>
          <w:szCs w:val="24"/>
        </w:rPr>
        <w:t xml:space="preserve">generally, a good tax system </w:t>
      </w:r>
      <w:r>
        <w:rPr>
          <w:rStyle w:val="48"/>
          <w:rFonts w:ascii="Times New Roman" w:hAnsi="Times New Roman" w:cs="Times New Roman"/>
          <w:sz w:val="24"/>
          <w:szCs w:val="24"/>
        </w:rPr>
        <w:t>should satisfy certain basic conditions, to wit: certainty and simplicity, fairness or equity, transparency and neutrality, adequacy and flexibility and administrative ease.</w:t>
      </w:r>
      <w:r>
        <w:rPr>
          <w:rStyle w:val="48"/>
          <w:rFonts w:ascii="Times New Roman" w:hAnsi="Times New Roman" w:eastAsia="Times New Roman" w:cs="Times New Roman"/>
          <w:sz w:val="24"/>
          <w:szCs w:val="24"/>
          <w:vertAlign w:val="superscript"/>
        </w:rPr>
        <w:footnoteReference w:id="82"/>
      </w:r>
      <w:r>
        <w:rPr>
          <w:rStyle w:val="48"/>
          <w:rFonts w:ascii="Times New Roman" w:hAnsi="Times New Roman" w:cs="Times New Roman"/>
          <w:sz w:val="24"/>
          <w:szCs w:val="24"/>
        </w:rPr>
        <w:t xml:space="preserve"> </w:t>
      </w:r>
    </w:p>
    <w:p w14:paraId="1D8218FC">
      <w:pPr>
        <w:pStyle w:val="4"/>
        <w:spacing w:after="0" w:line="480" w:lineRule="auto"/>
        <w:jc w:val="both"/>
        <w:rPr>
          <w:rStyle w:val="48"/>
          <w:rFonts w:ascii="Times New Roman" w:hAnsi="Times New Roman" w:eastAsia="Times New Roman" w:cs="Times New Roman"/>
          <w:color w:val="auto"/>
          <w:sz w:val="24"/>
          <w:szCs w:val="24"/>
        </w:rPr>
      </w:pPr>
    </w:p>
    <w:p w14:paraId="230534A6">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A tax is ‘a monetary charge imposed by the government on persons, entities, transactions and properties to yield revenue’.</w:t>
      </w:r>
      <w:r>
        <w:rPr>
          <w:rStyle w:val="48"/>
          <w:rFonts w:ascii="Times New Roman" w:hAnsi="Times New Roman" w:eastAsia="Times New Roman" w:cs="Times New Roman"/>
          <w:sz w:val="24"/>
          <w:szCs w:val="24"/>
          <w:vertAlign w:val="superscript"/>
        </w:rPr>
        <w:footnoteReference w:id="83"/>
      </w:r>
      <w:r>
        <w:rPr>
          <w:rStyle w:val="48"/>
          <w:rFonts w:ascii="Times New Roman" w:hAnsi="Times New Roman" w:cs="Times New Roman"/>
          <w:sz w:val="24"/>
          <w:szCs w:val="24"/>
        </w:rPr>
        <w:t xml:space="preserve"> </w:t>
      </w:r>
      <w:r>
        <w:rPr>
          <w:rFonts w:ascii="Times New Roman" w:hAnsi="Times New Roman" w:cs="Times New Roman"/>
          <w:sz w:val="24"/>
          <w:szCs w:val="24"/>
        </w:rPr>
        <w:t xml:space="preserve">All </w:t>
      </w:r>
      <w:r>
        <w:rPr>
          <w:rStyle w:val="48"/>
          <w:rFonts w:ascii="Times New Roman" w:hAnsi="Times New Roman" w:cs="Times New Roman"/>
          <w:sz w:val="24"/>
          <w:szCs w:val="24"/>
        </w:rPr>
        <w:t xml:space="preserve">existing and future taxes are expected to align with certain fundamental features. </w:t>
      </w:r>
    </w:p>
    <w:p w14:paraId="19C17828">
      <w:pPr>
        <w:pStyle w:val="4"/>
        <w:spacing w:after="0" w:line="480" w:lineRule="auto"/>
        <w:ind w:left="720"/>
        <w:jc w:val="both"/>
        <w:rPr>
          <w:rStyle w:val="48"/>
          <w:rFonts w:ascii="Times New Roman" w:hAnsi="Times New Roman" w:cs="Times New Roman"/>
          <w:sz w:val="24"/>
          <w:szCs w:val="24"/>
        </w:rPr>
      </w:pPr>
      <w:r>
        <w:rPr>
          <w:rStyle w:val="48"/>
          <w:rFonts w:ascii="Times New Roman" w:hAnsi="Times New Roman" w:cs="Times New Roman"/>
          <w:sz w:val="24"/>
          <w:szCs w:val="24"/>
        </w:rPr>
        <w:t>“First, taxes must demonstrate equity and fairness - in other words; the first is that similarly situated taxpayers should be taxed similarly. Secondly, there must be a certainty; (the subject matter of our study). This implies that a good tax law should specify how the amount of payment is determined and when payment of the</w:t>
      </w:r>
      <w:r>
        <w:rPr>
          <w:rStyle w:val="48"/>
          <w:rFonts w:ascii="Times New Roman" w:hAnsi="Times New Roman" w:cs="Times New Roman"/>
          <w:b/>
          <w:bCs/>
          <w:i/>
          <w:iCs/>
          <w:sz w:val="24"/>
          <w:szCs w:val="24"/>
        </w:rPr>
        <w:t xml:space="preserve"> </w:t>
      </w:r>
      <w:r>
        <w:rPr>
          <w:rStyle w:val="48"/>
          <w:rFonts w:ascii="Times New Roman" w:hAnsi="Times New Roman" w:cs="Times New Roman"/>
          <w:sz w:val="24"/>
          <w:szCs w:val="24"/>
        </w:rPr>
        <w:t>tax should occur, and how payment is administered</w:t>
      </w:r>
      <w:r>
        <w:rPr>
          <w:rStyle w:val="48"/>
          <w:rFonts w:ascii="Times New Roman" w:hAnsi="Times New Roman" w:cs="Times New Roman"/>
          <w:b/>
          <w:bCs/>
          <w:i/>
          <w:iCs/>
          <w:sz w:val="24"/>
          <w:szCs w:val="24"/>
        </w:rPr>
        <w:t xml:space="preserve">. </w:t>
      </w:r>
      <w:r>
        <w:rPr>
          <w:rStyle w:val="48"/>
          <w:rFonts w:ascii="Times New Roman" w:hAnsi="Times New Roman" w:cs="Times New Roman"/>
          <w:sz w:val="24"/>
          <w:szCs w:val="24"/>
        </w:rPr>
        <w:t xml:space="preserve"> The third requirement is neutrality, which is that every tax law should have a minimal effect on a taxpayer's decision as to how to carry out a transaction or whether to engage in a transaction.  Fourth, there should be the convenience of payment. This entails facilitating a required tax payment at a time or in a manner that is most convenient for the taxpayer. Fifth, there should be simplicity in taxation. Simple tax laws are necessary so that taxpayers understand the rules and can comply with them correctly and in a cost-efficient manner”.</w:t>
      </w:r>
      <w:r>
        <w:rPr>
          <w:rStyle w:val="48"/>
          <w:rFonts w:ascii="Times New Roman" w:hAnsi="Times New Roman" w:eastAsia="Times New Roman" w:cs="Times New Roman"/>
          <w:sz w:val="24"/>
          <w:szCs w:val="24"/>
          <w:vertAlign w:val="superscript"/>
        </w:rPr>
        <w:footnoteReference w:id="84"/>
      </w:r>
      <w:r>
        <w:rPr>
          <w:rStyle w:val="48"/>
          <w:rFonts w:ascii="Times New Roman" w:hAnsi="Times New Roman" w:cs="Times New Roman"/>
          <w:sz w:val="24"/>
          <w:szCs w:val="24"/>
        </w:rPr>
        <w:t xml:space="preserve"> </w:t>
      </w:r>
    </w:p>
    <w:p w14:paraId="2E2B64AF">
      <w:pPr>
        <w:pStyle w:val="4"/>
        <w:spacing w:after="0" w:line="480" w:lineRule="auto"/>
        <w:jc w:val="both"/>
        <w:rPr>
          <w:rStyle w:val="48"/>
          <w:rFonts w:ascii="Times New Roman" w:hAnsi="Times New Roman" w:cs="Times New Roman"/>
          <w:sz w:val="24"/>
          <w:szCs w:val="24"/>
        </w:rPr>
      </w:pPr>
    </w:p>
    <w:p w14:paraId="51C2525C">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Certainty of tax is clearly facilitated by the simplicity and neutrality of tax laws for ease of administration and compliance. In the following section, we examine the historical evolution and constitutional antecedents of the tax system in Nigeria. </w:t>
      </w:r>
    </w:p>
    <w:p w14:paraId="26DE6386">
      <w:pPr>
        <w:pStyle w:val="4"/>
        <w:spacing w:after="0" w:line="480" w:lineRule="auto"/>
        <w:jc w:val="both"/>
        <w:rPr>
          <w:rStyle w:val="48"/>
          <w:rFonts w:ascii="Times New Roman" w:hAnsi="Times New Roman" w:eastAsia="Times New Roman" w:cs="Times New Roman"/>
          <w:sz w:val="24"/>
          <w:szCs w:val="24"/>
        </w:rPr>
      </w:pPr>
    </w:p>
    <w:p w14:paraId="3C9CC5D3">
      <w:pPr>
        <w:pStyle w:val="4"/>
        <w:spacing w:after="0" w:line="480" w:lineRule="auto"/>
        <w:jc w:val="both"/>
        <w:rPr>
          <w:rStyle w:val="48"/>
          <w:rFonts w:ascii="Times New Roman" w:hAnsi="Times New Roman" w:eastAsia="Times New Roman" w:cs="Times New Roman"/>
          <w:b/>
          <w:bCs/>
          <w:color w:val="auto"/>
          <w:sz w:val="24"/>
          <w:szCs w:val="24"/>
        </w:rPr>
      </w:pPr>
      <w:r>
        <w:rPr>
          <w:rStyle w:val="48"/>
          <w:rFonts w:ascii="Times New Roman" w:hAnsi="Times New Roman" w:cs="Times New Roman"/>
          <w:b/>
          <w:bCs/>
          <w:sz w:val="24"/>
          <w:szCs w:val="24"/>
        </w:rPr>
        <w:t>2.1.</w:t>
      </w:r>
      <w:r>
        <w:rPr>
          <w:rStyle w:val="48"/>
          <w:rFonts w:ascii="Times New Roman" w:hAnsi="Times New Roman" w:cs="Times New Roman"/>
          <w:b/>
          <w:bCs/>
          <w:sz w:val="24"/>
          <w:szCs w:val="24"/>
        </w:rPr>
        <w:tab/>
      </w:r>
      <w:r>
        <w:rPr>
          <w:rStyle w:val="48"/>
          <w:rFonts w:ascii="Times New Roman" w:hAnsi="Times New Roman" w:cs="Times New Roman"/>
          <w:b/>
          <w:bCs/>
          <w:sz w:val="24"/>
          <w:szCs w:val="24"/>
        </w:rPr>
        <w:t xml:space="preserve"> HISTORY AND EVOLUTION OF THE NIGERIAN TAX SYSTEM</w:t>
      </w:r>
    </w:p>
    <w:p w14:paraId="655E07B1">
      <w:pPr>
        <w:pStyle w:val="4"/>
        <w:spacing w:after="0" w:line="480" w:lineRule="auto"/>
        <w:jc w:val="both"/>
        <w:rPr>
          <w:rFonts w:ascii="Times New Roman" w:hAnsi="Times New Roman" w:cs="Times New Roman"/>
          <w:sz w:val="24"/>
          <w:szCs w:val="24"/>
        </w:rPr>
      </w:pPr>
    </w:p>
    <w:p w14:paraId="6359FB8C">
      <w:pPr>
        <w:pStyle w:val="4"/>
        <w:spacing w:after="0" w:line="480" w:lineRule="auto"/>
        <w:jc w:val="both"/>
        <w:rPr>
          <w:rStyle w:val="48"/>
          <w:rFonts w:ascii="Times New Roman" w:hAnsi="Times New Roman" w:cs="Times New Roman"/>
          <w:sz w:val="24"/>
          <w:szCs w:val="24"/>
        </w:rPr>
      </w:pPr>
      <w:r>
        <w:rPr>
          <w:rFonts w:ascii="Times New Roman" w:hAnsi="Times New Roman" w:cs="Times New Roman"/>
          <w:sz w:val="24"/>
          <w:szCs w:val="24"/>
        </w:rPr>
        <w:t>The primary objective and purpose of taxation is to generate revenue for government expenditure for development and social welfare.</w:t>
      </w:r>
      <w:r>
        <w:rPr>
          <w:rFonts w:ascii="Times New Roman" w:hAnsi="Times New Roman" w:cs="Times New Roman"/>
          <w:sz w:val="24"/>
          <w:szCs w:val="24"/>
          <w:vertAlign w:val="superscript"/>
        </w:rPr>
        <w:footnoteReference w:id="85"/>
      </w:r>
      <w:r>
        <w:rPr>
          <w:rFonts w:ascii="Times New Roman" w:hAnsi="Times New Roman" w:cs="Times New Roman"/>
          <w:sz w:val="24"/>
          <w:szCs w:val="24"/>
        </w:rPr>
        <w:t xml:space="preserve"> Taxation may however be used to encourage certain activities (e.g. life insurance or mortgages to finance home development, etc.), as well as an instrument of economic regulation or control to discourage certain forms of anti-social behaviour. Nigeria operates a progressive tax system, and it has evolved with these broad objectives in mind. </w:t>
      </w:r>
      <w:r>
        <w:rPr>
          <w:rStyle w:val="48"/>
          <w:rFonts w:ascii="Times New Roman" w:hAnsi="Times New Roman" w:cs="Times New Roman"/>
          <w:sz w:val="24"/>
          <w:szCs w:val="24"/>
        </w:rPr>
        <w:t>The Nigerian tax system has evolved over the years, from its pre-colonial period, through the colonial and post-colonial eras, to its present form.</w:t>
      </w:r>
      <w:r>
        <w:rPr>
          <w:rStyle w:val="48"/>
          <w:rFonts w:ascii="Times New Roman" w:hAnsi="Times New Roman" w:eastAsia="Times New Roman" w:cs="Times New Roman"/>
          <w:sz w:val="24"/>
          <w:szCs w:val="24"/>
          <w:vertAlign w:val="superscript"/>
        </w:rPr>
        <w:footnoteReference w:id="86"/>
      </w:r>
      <w:r>
        <w:rPr>
          <w:rStyle w:val="48"/>
          <w:rFonts w:ascii="Times New Roman" w:hAnsi="Times New Roman" w:cs="Times New Roman"/>
          <w:sz w:val="24"/>
          <w:szCs w:val="24"/>
        </w:rPr>
        <w:t xml:space="preserve"> As would be expected, it has been shaped by the country’s history, political system and inclination or aspirations.</w:t>
      </w:r>
      <w:r>
        <w:rPr>
          <w:rStyle w:val="48"/>
          <w:rFonts w:ascii="Times New Roman" w:hAnsi="Times New Roman" w:eastAsia="Times New Roman" w:cs="Times New Roman"/>
          <w:sz w:val="24"/>
          <w:szCs w:val="24"/>
          <w:vertAlign w:val="superscript"/>
        </w:rPr>
        <w:footnoteReference w:id="87"/>
      </w:r>
      <w:r>
        <w:rPr>
          <w:rStyle w:val="48"/>
          <w:rFonts w:ascii="Times New Roman" w:hAnsi="Times New Roman" w:cs="Times New Roman"/>
          <w:sz w:val="24"/>
          <w:szCs w:val="24"/>
        </w:rPr>
        <w:t xml:space="preserve"> It is also a product of the various constitutional reforms, resulting in the present federal constitution.</w:t>
      </w:r>
      <w:r>
        <w:rPr>
          <w:rStyle w:val="48"/>
          <w:rFonts w:ascii="Times New Roman" w:hAnsi="Times New Roman" w:eastAsia="Times New Roman" w:cs="Times New Roman"/>
          <w:sz w:val="24"/>
          <w:szCs w:val="24"/>
          <w:vertAlign w:val="superscript"/>
        </w:rPr>
        <w:footnoteReference w:id="88"/>
      </w:r>
      <w:r>
        <w:rPr>
          <w:rStyle w:val="48"/>
          <w:rFonts w:ascii="Times New Roman" w:hAnsi="Times New Roman" w:cs="Times New Roman"/>
          <w:sz w:val="24"/>
          <w:szCs w:val="24"/>
        </w:rPr>
        <w:t xml:space="preserve">  </w:t>
      </w:r>
    </w:p>
    <w:p w14:paraId="0E14196E">
      <w:pPr>
        <w:pStyle w:val="4"/>
        <w:spacing w:after="0" w:line="480" w:lineRule="auto"/>
        <w:jc w:val="both"/>
        <w:rPr>
          <w:rStyle w:val="48"/>
          <w:rFonts w:ascii="Times New Roman" w:hAnsi="Times New Roman" w:cs="Times New Roman"/>
          <w:sz w:val="24"/>
          <w:szCs w:val="24"/>
        </w:rPr>
      </w:pPr>
    </w:p>
    <w:p w14:paraId="34205632">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Before present-day Nigeria became a British Protectorate in 1901, the different groups who inhabited the geographical jurisdiction had systems of taxation in the form of compulsory services, the contribution of goods, money, labour and levies in the various kingdoms.</w:t>
      </w:r>
      <w:r>
        <w:rPr>
          <w:rStyle w:val="48"/>
          <w:rFonts w:ascii="Times New Roman" w:hAnsi="Times New Roman" w:eastAsia="Times New Roman" w:cs="Times New Roman"/>
          <w:sz w:val="24"/>
          <w:szCs w:val="24"/>
          <w:vertAlign w:val="superscript"/>
        </w:rPr>
        <w:footnoteReference w:id="89"/>
      </w:r>
      <w:r>
        <w:rPr>
          <w:rStyle w:val="48"/>
          <w:rFonts w:ascii="Times New Roman" w:hAnsi="Times New Roman" w:cs="Times New Roman"/>
          <w:sz w:val="24"/>
          <w:szCs w:val="24"/>
        </w:rPr>
        <w:t xml:space="preserve"> The pre-colonial societies, comprised of ethnic groups and nationalities, were governed by traditional rulers.</w:t>
      </w:r>
      <w:r>
        <w:rPr>
          <w:rStyle w:val="48"/>
          <w:rFonts w:ascii="Times New Roman" w:hAnsi="Times New Roman" w:eastAsia="Times New Roman" w:cs="Times New Roman"/>
          <w:sz w:val="24"/>
          <w:szCs w:val="24"/>
          <w:vertAlign w:val="superscript"/>
        </w:rPr>
        <w:footnoteReference w:id="90"/>
      </w:r>
      <w:r>
        <w:rPr>
          <w:rStyle w:val="48"/>
          <w:rFonts w:ascii="Times New Roman" w:hAnsi="Times New Roman" w:cs="Times New Roman"/>
          <w:sz w:val="24"/>
          <w:szCs w:val="24"/>
        </w:rPr>
        <w:t xml:space="preserve"> Taxation was thus imposed in one form or  another to sustain the traditional monarchs and chiefs.</w:t>
      </w:r>
      <w:r>
        <w:rPr>
          <w:rStyle w:val="48"/>
          <w:rFonts w:ascii="Times New Roman" w:hAnsi="Times New Roman" w:eastAsia="Times New Roman" w:cs="Times New Roman"/>
          <w:sz w:val="24"/>
          <w:szCs w:val="24"/>
          <w:vertAlign w:val="superscript"/>
        </w:rPr>
        <w:footnoteReference w:id="91"/>
      </w:r>
      <w:r>
        <w:rPr>
          <w:rStyle w:val="48"/>
          <w:rFonts w:ascii="Times New Roman" w:hAnsi="Times New Roman" w:cs="Times New Roman"/>
          <w:sz w:val="24"/>
          <w:szCs w:val="24"/>
        </w:rPr>
        <w:t xml:space="preserve">  In the non-chieftaincies, such as in Igboland, Tiv, Bura, Ebira and Bachama areas of Nigeria, there existed little or no organized system of taxation and in many of these jurisdictions, taxes were not necessarily paid in money, but in kind. </w:t>
      </w:r>
    </w:p>
    <w:p w14:paraId="57978FB5">
      <w:pPr>
        <w:pStyle w:val="4"/>
        <w:spacing w:after="0" w:line="480" w:lineRule="auto"/>
        <w:jc w:val="both"/>
        <w:rPr>
          <w:rFonts w:ascii="Times New Roman" w:hAnsi="Times New Roman" w:eastAsia="Times New Roman" w:cs="Times New Roman"/>
          <w:sz w:val="24"/>
          <w:szCs w:val="24"/>
        </w:rPr>
      </w:pPr>
    </w:p>
    <w:p w14:paraId="6C7100E5">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These taxes took the form of Zakkat, levied on Muslims for educational, charitable, and religious purposes; Kudin-kasa, a form of agricultural tax on the utilization of land, and Shuka-shuka levied on the ownership of cattle.</w:t>
      </w:r>
      <w:r>
        <w:rPr>
          <w:rStyle w:val="48"/>
          <w:rFonts w:ascii="Times New Roman" w:hAnsi="Times New Roman" w:eastAsia="Times New Roman" w:cs="Times New Roman"/>
          <w:sz w:val="24"/>
          <w:szCs w:val="24"/>
          <w:vertAlign w:val="superscript"/>
        </w:rPr>
        <w:footnoteReference w:id="92"/>
      </w:r>
      <w:r>
        <w:rPr>
          <w:rStyle w:val="48"/>
          <w:rFonts w:ascii="Times New Roman" w:hAnsi="Times New Roman" w:cs="Times New Roman"/>
          <w:sz w:val="24"/>
          <w:szCs w:val="24"/>
        </w:rPr>
        <w:t xml:space="preserve"> Other forms included Ishakole, a contribution of farm products, as a form of land tax, in exchange for the use of land for agricultural purposes. This was payable to traditional rulers or chiefs, family, or community heads. Owo-ori, were individual taxes payable in cash or kind in return for services.</w:t>
      </w:r>
      <w:r>
        <w:rPr>
          <w:rStyle w:val="48"/>
          <w:rFonts w:ascii="Times New Roman" w:hAnsi="Times New Roman" w:eastAsia="Times New Roman" w:cs="Times New Roman"/>
          <w:sz w:val="24"/>
          <w:szCs w:val="24"/>
          <w:vertAlign w:val="superscript"/>
        </w:rPr>
        <w:footnoteReference w:id="93"/>
      </w:r>
      <w:r>
        <w:rPr>
          <w:rStyle w:val="48"/>
          <w:rFonts w:ascii="Times New Roman" w:hAnsi="Times New Roman" w:cs="Times New Roman"/>
          <w:sz w:val="24"/>
          <w:szCs w:val="24"/>
        </w:rPr>
        <w:t xml:space="preserve"> War tax was payable by conquered communities and Osusu Imachi Nkwu, being levies for palm fruits, was another form of taxes payable by those who harvested palm fruits, who were expected to contribute a proportion of the palm fruits and the palm kernel oil.</w:t>
      </w:r>
      <w:r>
        <w:rPr>
          <w:rStyle w:val="48"/>
          <w:rFonts w:ascii="Times New Roman" w:hAnsi="Times New Roman" w:eastAsia="Times New Roman" w:cs="Times New Roman"/>
          <w:sz w:val="24"/>
          <w:szCs w:val="24"/>
          <w:vertAlign w:val="superscript"/>
        </w:rPr>
        <w:footnoteReference w:id="94"/>
      </w:r>
      <w:r>
        <w:rPr>
          <w:rStyle w:val="48"/>
          <w:rFonts w:ascii="Times New Roman" w:hAnsi="Times New Roman" w:cs="Times New Roman"/>
          <w:sz w:val="24"/>
          <w:szCs w:val="24"/>
        </w:rPr>
        <w:t xml:space="preserve"> </w:t>
      </w:r>
    </w:p>
    <w:p w14:paraId="463C51D8">
      <w:pPr>
        <w:pStyle w:val="4"/>
        <w:spacing w:after="0" w:line="480" w:lineRule="auto"/>
        <w:jc w:val="both"/>
        <w:rPr>
          <w:rStyle w:val="48"/>
          <w:rFonts w:ascii="Times New Roman" w:hAnsi="Times New Roman" w:cs="Times New Roman"/>
          <w:sz w:val="24"/>
          <w:szCs w:val="24"/>
        </w:rPr>
      </w:pPr>
    </w:p>
    <w:p w14:paraId="131CA0AA">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In the riverine areas of present-day Niger Delta region, block hunting and fishing were also forms of taxation. Male adults were expected to offer assets in the form of canoes, boats, nets, and other fishing equipment to fish jointly, while the females sold the harvested fish, and the sales proceeds were used in financing community projects. </w:t>
      </w:r>
    </w:p>
    <w:p w14:paraId="4C4C6164">
      <w:pPr>
        <w:pStyle w:val="4"/>
        <w:spacing w:after="0" w:line="480" w:lineRule="auto"/>
        <w:jc w:val="both"/>
        <w:rPr>
          <w:rFonts w:ascii="Times New Roman" w:hAnsi="Times New Roman" w:eastAsia="Times New Roman" w:cs="Times New Roman"/>
          <w:sz w:val="24"/>
          <w:szCs w:val="24"/>
        </w:rPr>
      </w:pPr>
    </w:p>
    <w:p w14:paraId="294105AF">
      <w:pPr>
        <w:pStyle w:val="4"/>
        <w:spacing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With the creation of the Colony of Lagos in 1862, one of the first actions of the then British authorities was to introduce into the territory the main body of English Law.</w:t>
      </w:r>
      <w:r>
        <w:rPr>
          <w:rStyle w:val="48"/>
          <w:rFonts w:ascii="Times New Roman" w:hAnsi="Times New Roman" w:eastAsia="Times New Roman" w:cs="Times New Roman"/>
          <w:sz w:val="24"/>
          <w:szCs w:val="24"/>
          <w:vertAlign w:val="superscript"/>
        </w:rPr>
        <w:footnoteReference w:id="95"/>
      </w:r>
      <w:r>
        <w:rPr>
          <w:rStyle w:val="48"/>
          <w:rFonts w:ascii="Times New Roman" w:hAnsi="Times New Roman" w:cs="Times New Roman"/>
          <w:sz w:val="24"/>
          <w:szCs w:val="24"/>
        </w:rPr>
        <w:t xml:space="preserve">  The Land Revenue Proclamation Law was the first income tax statute enacted as early as 1904</w:t>
      </w:r>
      <w:r>
        <w:rPr>
          <w:rStyle w:val="48"/>
          <w:rFonts w:ascii="Times New Roman" w:hAnsi="Times New Roman" w:eastAsia="Times New Roman" w:cs="Times New Roman"/>
          <w:sz w:val="24"/>
          <w:szCs w:val="24"/>
          <w:vertAlign w:val="superscript"/>
        </w:rPr>
        <w:footnoteReference w:id="96"/>
      </w:r>
      <w:r>
        <w:rPr>
          <w:rStyle w:val="48"/>
          <w:rFonts w:ascii="Times New Roman" w:hAnsi="Times New Roman" w:cs="Times New Roman"/>
          <w:sz w:val="24"/>
          <w:szCs w:val="24"/>
        </w:rPr>
        <w:t xml:space="preserve"> by Lord Lugard.</w:t>
      </w:r>
      <w:r>
        <w:rPr>
          <w:rStyle w:val="48"/>
          <w:rFonts w:ascii="Times New Roman" w:hAnsi="Times New Roman" w:eastAsia="Times New Roman" w:cs="Times New Roman"/>
          <w:sz w:val="24"/>
          <w:szCs w:val="24"/>
          <w:vertAlign w:val="superscript"/>
        </w:rPr>
        <w:footnoteReference w:id="97"/>
      </w:r>
      <w:r>
        <w:rPr>
          <w:rStyle w:val="48"/>
          <w:rFonts w:ascii="Times New Roman" w:hAnsi="Times New Roman" w:cs="Times New Roman"/>
          <w:sz w:val="24"/>
          <w:szCs w:val="24"/>
        </w:rPr>
        <w:t xml:space="preserve"> This was followed by the Native Revenue Ordinance of 1917, which was then extended to Southern Nigeria by the Native Revenue Ordinance of 1918. The Native Revenue Ordinances of 1917, 1918 and 1928, were later incorporated in Direct Taxation Ordinances No. 4 of 1940, Cap 54, which repealed the Native Revenue Ordinance, Cap 74, in the 1923 edition and the Native Direct Taxation (Colony) Ordinance No 41 of 1937. The first ordinance imposing and regulating tax on companies was enacted in 1939.</w:t>
      </w:r>
      <w:r>
        <w:rPr>
          <w:rStyle w:val="48"/>
          <w:rFonts w:ascii="Times New Roman" w:hAnsi="Times New Roman" w:eastAsia="Times New Roman" w:cs="Times New Roman"/>
          <w:sz w:val="24"/>
          <w:szCs w:val="24"/>
          <w:vertAlign w:val="superscript"/>
        </w:rPr>
        <w:footnoteReference w:id="98"/>
      </w:r>
      <w:r>
        <w:rPr>
          <w:rStyle w:val="48"/>
          <w:rFonts w:ascii="Times New Roman" w:hAnsi="Times New Roman" w:cs="Times New Roman"/>
          <w:sz w:val="24"/>
          <w:szCs w:val="24"/>
        </w:rPr>
        <w:t xml:space="preserve"> The Ordinance imposed income tax on “any company incorporated or registered under any law in force in Nigeria, and any company which, though incorporated or registered outside Nigeria, carries on business or has an office or place of business in Nigeria”.</w:t>
      </w:r>
      <w:r>
        <w:rPr>
          <w:rStyle w:val="48"/>
          <w:rFonts w:ascii="Times New Roman" w:hAnsi="Times New Roman" w:eastAsia="Times New Roman" w:cs="Times New Roman"/>
          <w:sz w:val="24"/>
          <w:szCs w:val="24"/>
          <w:vertAlign w:val="superscript"/>
        </w:rPr>
        <w:footnoteReference w:id="99"/>
      </w:r>
    </w:p>
    <w:p w14:paraId="3E83C192">
      <w:pPr>
        <w:pStyle w:val="4"/>
        <w:spacing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The 1940 Direct Taxation Ordinance</w:t>
      </w:r>
      <w:r>
        <w:rPr>
          <w:rStyle w:val="48"/>
          <w:rFonts w:ascii="Times New Roman" w:hAnsi="Times New Roman" w:eastAsia="Times New Roman" w:cs="Times New Roman"/>
          <w:sz w:val="24"/>
          <w:szCs w:val="24"/>
          <w:vertAlign w:val="superscript"/>
        </w:rPr>
        <w:footnoteReference w:id="100"/>
      </w:r>
      <w:r>
        <w:rPr>
          <w:rStyle w:val="48"/>
          <w:rFonts w:ascii="Times New Roman" w:hAnsi="Times New Roman" w:cs="Times New Roman"/>
          <w:sz w:val="24"/>
          <w:szCs w:val="24"/>
        </w:rPr>
        <w:t xml:space="preserve"> was essentially the forerunner of Nigerian tax legislation. Under this Ordinance, administrative officers administered direct taxes without any form of uniformity by levying tax on the incomes of Africans in the former regions of Nigeria,</w:t>
      </w:r>
      <w:r>
        <w:rPr>
          <w:rStyle w:val="48"/>
          <w:rFonts w:ascii="Times New Roman" w:hAnsi="Times New Roman" w:eastAsia="Times New Roman" w:cs="Times New Roman"/>
          <w:sz w:val="24"/>
          <w:szCs w:val="24"/>
          <w:vertAlign w:val="superscript"/>
        </w:rPr>
        <w:footnoteReference w:id="101"/>
      </w:r>
      <w:r>
        <w:rPr>
          <w:rStyle w:val="48"/>
          <w:rFonts w:ascii="Times New Roman" w:hAnsi="Times New Roman" w:cs="Times New Roman"/>
          <w:sz w:val="24"/>
          <w:szCs w:val="24"/>
        </w:rPr>
        <w:t xml:space="preserve"> while they taxed the incomes of both Africans and Europeans in the federal territory of Lagos on a different basis. Following a review, the Raisman Fiscal Commission of 1958 recommended, amongst other things, the introduction throughout Nigeria of basic principles for taxing incomes. The recommendations were accepted, and these were embodied in the Nigeria (Constitution) Order in Council of 1960.</w:t>
      </w:r>
      <w:r>
        <w:rPr>
          <w:color w:val="auto"/>
          <w:sz w:val="20"/>
          <w:shd w:val="clear" w:color="auto" w:fill="FFFFFF"/>
        </w:rPr>
        <w:t xml:space="preserve"> </w:t>
      </w:r>
      <w:r>
        <w:rPr>
          <w:rFonts w:ascii="Times New Roman" w:hAnsi="Times New Roman" w:cs="Times New Roman"/>
          <w:sz w:val="24"/>
          <w:szCs w:val="24"/>
        </w:rPr>
        <w:t>At independence in 1960, Nigeria was a </w:t>
      </w:r>
      <w:r>
        <w:fldChar w:fldCharType="begin"/>
      </w:r>
      <w:r>
        <w:instrText xml:space="preserve"> HYPERLINK "https://en.wikipedia.org/wiki/Federal_state" </w:instrText>
      </w:r>
      <w:r>
        <w:fldChar w:fldCharType="separate"/>
      </w:r>
      <w:r>
        <w:rPr>
          <w:rStyle w:val="27"/>
          <w:rFonts w:ascii="Times New Roman" w:hAnsi="Times New Roman" w:cs="Times New Roman"/>
          <w:sz w:val="24"/>
          <w:szCs w:val="24"/>
          <w:u w:val="none"/>
        </w:rPr>
        <w:t>Federal State</w:t>
      </w:r>
      <w:r>
        <w:rPr>
          <w:rStyle w:val="27"/>
          <w:rFonts w:ascii="Times New Roman" w:hAnsi="Times New Roman" w:cs="Times New Roman"/>
          <w:sz w:val="24"/>
          <w:szCs w:val="24"/>
          <w:u w:val="none"/>
        </w:rPr>
        <w:fldChar w:fldCharType="end"/>
      </w:r>
      <w:r>
        <w:rPr>
          <w:rFonts w:ascii="Times New Roman" w:hAnsi="Times New Roman" w:cs="Times New Roman"/>
          <w:sz w:val="24"/>
          <w:szCs w:val="24"/>
        </w:rPr>
        <w:t> of three Regions: </w:t>
      </w:r>
      <w:r>
        <w:fldChar w:fldCharType="begin"/>
      </w:r>
      <w:r>
        <w:instrText xml:space="preserve"> HYPERLINK "https://en.wikipedia.org/wiki/Northern_Region,_Nigeria" </w:instrText>
      </w:r>
      <w:r>
        <w:fldChar w:fldCharType="separate"/>
      </w:r>
      <w:r>
        <w:rPr>
          <w:rStyle w:val="27"/>
          <w:rFonts w:ascii="Times New Roman" w:hAnsi="Times New Roman" w:cs="Times New Roman"/>
          <w:sz w:val="24"/>
          <w:szCs w:val="24"/>
        </w:rPr>
        <w:t>Northern</w:t>
      </w:r>
      <w:r>
        <w:rPr>
          <w:rStyle w:val="27"/>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"https://en.wikipedia.org/wiki/Western_Region,_Nigeria" </w:instrText>
      </w:r>
      <w:r>
        <w:fldChar w:fldCharType="separate"/>
      </w:r>
      <w:r>
        <w:rPr>
          <w:rStyle w:val="27"/>
          <w:rFonts w:ascii="Times New Roman" w:hAnsi="Times New Roman" w:cs="Times New Roman"/>
          <w:sz w:val="24"/>
          <w:szCs w:val="24"/>
        </w:rPr>
        <w:t>Western</w:t>
      </w:r>
      <w:r>
        <w:rPr>
          <w:rStyle w:val="27"/>
          <w:rFonts w:ascii="Times New Roman" w:hAnsi="Times New Roman" w:cs="Times New Roman"/>
          <w:sz w:val="24"/>
          <w:szCs w:val="24"/>
        </w:rPr>
        <w:fldChar w:fldCharType="end"/>
      </w:r>
      <w:r>
        <w:rPr>
          <w:rFonts w:ascii="Times New Roman" w:hAnsi="Times New Roman" w:cs="Times New Roman"/>
          <w:sz w:val="24"/>
          <w:szCs w:val="24"/>
        </w:rPr>
        <w:t>, and </w:t>
      </w:r>
      <w:r>
        <w:fldChar w:fldCharType="begin"/>
      </w:r>
      <w:r>
        <w:instrText xml:space="preserve"> HYPERLINK "https://en.wikipedia.org/wiki/Eastern_Region,_Nigeria" </w:instrText>
      </w:r>
      <w:r>
        <w:fldChar w:fldCharType="separate"/>
      </w:r>
      <w:r>
        <w:rPr>
          <w:rStyle w:val="27"/>
          <w:rFonts w:ascii="Times New Roman" w:hAnsi="Times New Roman" w:cs="Times New Roman"/>
          <w:sz w:val="24"/>
          <w:szCs w:val="24"/>
        </w:rPr>
        <w:t>Eastern</w:t>
      </w:r>
      <w:r>
        <w:rPr>
          <w:rStyle w:val="27"/>
          <w:rFonts w:ascii="Times New Roman" w:hAnsi="Times New Roman" w:cs="Times New Roman"/>
          <w:sz w:val="24"/>
          <w:szCs w:val="24"/>
        </w:rPr>
        <w:fldChar w:fldCharType="end"/>
      </w:r>
      <w:r>
        <w:rPr>
          <w:rFonts w:ascii="Times New Roman" w:hAnsi="Times New Roman" w:cs="Times New Roman"/>
          <w:sz w:val="24"/>
          <w:szCs w:val="24"/>
        </w:rPr>
        <w:t xml:space="preserve"> in addition to</w:t>
      </w:r>
      <w:r>
        <w:t xml:space="preserve"> the </w:t>
      </w:r>
      <w:r>
        <w:rPr>
          <w:rFonts w:ascii="Times New Roman" w:hAnsi="Times New Roman" w:cs="Times New Roman"/>
          <w:sz w:val="24"/>
          <w:szCs w:val="24"/>
        </w:rPr>
        <w:t>new mid-western regions that were established in 1963. </w:t>
      </w:r>
      <w:r>
        <w:rPr>
          <w:rStyle w:val="48"/>
          <w:rFonts w:ascii="Times New Roman" w:hAnsi="Times New Roman" w:cs="Times New Roman"/>
          <w:sz w:val="24"/>
          <w:szCs w:val="24"/>
        </w:rPr>
        <w:t>The Income Tax Management Act (ITMA) of 1961,</w:t>
      </w:r>
      <w:r>
        <w:rPr>
          <w:rStyle w:val="48"/>
          <w:rFonts w:ascii="Times New Roman" w:hAnsi="Times New Roman" w:eastAsia="Times New Roman" w:cs="Times New Roman"/>
          <w:sz w:val="24"/>
          <w:szCs w:val="24"/>
          <w:vertAlign w:val="superscript"/>
        </w:rPr>
        <w:footnoteReference w:id="102"/>
      </w:r>
      <w:r>
        <w:rPr>
          <w:rStyle w:val="48"/>
          <w:rFonts w:ascii="Times New Roman" w:hAnsi="Times New Roman" w:cs="Times New Roman"/>
          <w:sz w:val="24"/>
          <w:szCs w:val="24"/>
        </w:rPr>
        <w:t xml:space="preserve"> was enacted and replaced the 1940 Direct Taxation Ordinance. The enactment of the Company Income Tax Act (CITA) in 1961, followed</w:t>
      </w:r>
      <w:r>
        <w:rPr>
          <w:rFonts w:ascii="Times New Roman" w:hAnsi="Times New Roman" w:cs="Times New Roman"/>
          <w:sz w:val="24"/>
          <w:szCs w:val="24"/>
        </w:rPr>
        <w:t xml:space="preserve"> </w:t>
      </w:r>
      <w:r>
        <w:rPr>
          <w:rStyle w:val="48"/>
          <w:rFonts w:ascii="Times New Roman" w:hAnsi="Times New Roman" w:cs="Times New Roman"/>
          <w:sz w:val="24"/>
          <w:szCs w:val="24"/>
        </w:rPr>
        <w:t xml:space="preserve">suit. </w:t>
      </w:r>
      <w:r>
        <w:rPr>
          <w:rFonts w:ascii="Times New Roman" w:hAnsi="Times New Roman" w:cs="Times New Roman"/>
          <w:color w:val="auto"/>
          <w:sz w:val="24"/>
          <w:szCs w:val="24"/>
        </w:rPr>
        <w:t xml:space="preserve"> </w:t>
      </w:r>
      <w:r>
        <w:rPr>
          <w:rFonts w:ascii="Times New Roman" w:hAnsi="Times New Roman" w:cs="Times New Roman"/>
          <w:sz w:val="24"/>
          <w:szCs w:val="24"/>
        </w:rPr>
        <w:t xml:space="preserve">The 1961 ITMA Act has since been amended a couple of times, thus resulting in the Personal Income Tax Act (PITA) 2011, as amended. </w:t>
      </w:r>
      <w:r>
        <w:rPr>
          <w:rStyle w:val="48"/>
          <w:rFonts w:ascii="Times New Roman" w:hAnsi="Times New Roman" w:cs="Times New Roman"/>
          <w:sz w:val="24"/>
          <w:szCs w:val="24"/>
        </w:rPr>
        <w:t xml:space="preserve"> The CITA has also been amended following a comprehensive review in 1979. </w:t>
      </w:r>
    </w:p>
    <w:p w14:paraId="5FA5E451">
      <w:pPr>
        <w:pStyle w:val="4"/>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The Petroleum Profits Tax Act (PPTA) 1959</w:t>
      </w:r>
      <w:r>
        <w:rPr>
          <w:rStyle w:val="23"/>
          <w:rFonts w:ascii="Times New Roman" w:hAnsi="Times New Roman" w:cs="Times New Roman"/>
          <w:sz w:val="24"/>
          <w:szCs w:val="24"/>
        </w:rPr>
        <w:footnoteReference w:id="103"/>
      </w:r>
      <w:r>
        <w:rPr>
          <w:rFonts w:ascii="Times New Roman" w:hAnsi="Times New Roman" w:cs="Times New Roman"/>
          <w:sz w:val="24"/>
          <w:szCs w:val="24"/>
        </w:rPr>
        <w:t xml:space="preserve"> was also</w:t>
      </w:r>
      <w:r>
        <w:rPr>
          <w:rFonts w:ascii="Times New Roman" w:hAnsi="Times New Roman" w:cs="Times New Roman"/>
          <w:color w:val="auto"/>
          <w:sz w:val="24"/>
          <w:szCs w:val="24"/>
        </w:rPr>
        <w:t xml:space="preserve"> </w:t>
      </w:r>
      <w:r>
        <w:rPr>
          <w:rFonts w:ascii="Times New Roman" w:hAnsi="Times New Roman" w:cs="Times New Roman"/>
          <w:sz w:val="24"/>
          <w:szCs w:val="24"/>
        </w:rPr>
        <w:t>enacted, to impose a tax upon profits from the winning of petroleum in Nigeria. The PPTA provides for the assessment and collection of taxes on profits derived from petroleum operations.</w:t>
      </w:r>
      <w:r>
        <w:rPr>
          <w:rStyle w:val="23"/>
          <w:sz w:val="24"/>
          <w:szCs w:val="24"/>
        </w:rPr>
        <w:footnoteReference w:id="104"/>
      </w:r>
      <w:r>
        <w:rPr>
          <w:rFonts w:ascii="Times New Roman" w:hAnsi="Times New Roman" w:cs="Times New Roman"/>
          <w:sz w:val="24"/>
          <w:szCs w:val="24"/>
        </w:rPr>
        <w:t xml:space="preserve"> Chargeable persons under the Act are companies engaged in petroleum operations</w:t>
      </w:r>
      <w:r>
        <w:rPr>
          <w:rFonts w:ascii="Times New Roman" w:hAnsi="Times New Roman" w:cs="Times New Roman"/>
          <w:sz w:val="24"/>
          <w:szCs w:val="24"/>
          <w:vertAlign w:val="superscript"/>
        </w:rPr>
        <w:footnoteReference w:id="105"/>
      </w:r>
      <w:r>
        <w:rPr>
          <w:rFonts w:ascii="Times New Roman" w:hAnsi="Times New Roman" w:cs="Times New Roman"/>
          <w:sz w:val="24"/>
          <w:szCs w:val="24"/>
        </w:rPr>
        <w:t xml:space="preserve"> as opposed to individuals who are not permitted to go into petroleum operations.</w:t>
      </w:r>
      <w:r>
        <w:rPr>
          <w:rStyle w:val="23"/>
          <w:sz w:val="24"/>
          <w:szCs w:val="24"/>
        </w:rPr>
        <w:footnoteReference w:id="106"/>
      </w:r>
      <w:r>
        <w:rPr>
          <w:rFonts w:ascii="Times New Roman" w:hAnsi="Times New Roman" w:cs="Times New Roman"/>
          <w:sz w:val="24"/>
          <w:szCs w:val="24"/>
        </w:rPr>
        <w:t xml:space="preserve"> Petroleum, for the purpose of tax under the PPTA, as discussed in detail in chapter 4 of this thesis, is defined as:</w:t>
      </w:r>
      <w:r>
        <w:rPr>
          <w:rFonts w:ascii="Times New Roman" w:hAnsi="Times New Roman" w:cs="Times New Roman"/>
          <w:sz w:val="24"/>
          <w:szCs w:val="24"/>
          <w:u w:val="single"/>
        </w:rPr>
        <w:t xml:space="preserve"> </w:t>
      </w:r>
    </w:p>
    <w:p w14:paraId="7A34CEF0">
      <w:pPr>
        <w:pStyle w:val="4"/>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“Mineral oil (or related hydrocarbon) and natural gas as it exists in its natural state and does not include coal or bituminous shales or other stratified deposits from which oil can be extracted by destruction distillation”</w:t>
      </w:r>
      <w:r>
        <w:rPr>
          <w:rStyle w:val="23"/>
          <w:sz w:val="24"/>
          <w:szCs w:val="24"/>
        </w:rPr>
        <w:footnoteReference w:id="107"/>
      </w:r>
      <w:r>
        <w:rPr>
          <w:rFonts w:ascii="Times New Roman" w:hAnsi="Times New Roman" w:cs="Times New Roman"/>
          <w:sz w:val="24"/>
          <w:szCs w:val="24"/>
        </w:rPr>
        <w:t>.</w:t>
      </w:r>
    </w:p>
    <w:p w14:paraId="56F3D362">
      <w:pPr>
        <w:pStyle w:val="4"/>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Pr>
          <w:rFonts w:ascii="Times New Roman" w:hAnsi="Times New Roman" w:cs="Times New Roman"/>
          <w:sz w:val="24"/>
          <w:szCs w:val="24"/>
        </w:rPr>
        <w:t>The PPTA has been amended several times,</w:t>
      </w:r>
      <w:r>
        <w:rPr>
          <w:rFonts w:ascii="Times New Roman" w:hAnsi="Times New Roman" w:cs="Times New Roman"/>
          <w:sz w:val="24"/>
          <w:szCs w:val="24"/>
          <w:vertAlign w:val="superscript"/>
        </w:rPr>
        <w:footnoteReference w:id="108"/>
      </w:r>
      <w:r>
        <w:rPr>
          <w:rFonts w:ascii="Times New Roman" w:hAnsi="Times New Roman" w:cs="Times New Roman"/>
          <w:sz w:val="24"/>
          <w:szCs w:val="24"/>
        </w:rPr>
        <w:t>including a major amendment by the PSC Act to accommodate the taxation of petroleum operations carried out under the production sharing contract regime. The PPTA as amended by the Finance Act, 2020, and subsequent amendments, as well as the enactment of the Petroleum Industry Act (PIA) in 2021 all seek to achieve certainty in the petroleum taxing regime. These amendments and enactments are examined in detail in subsequent chapters 3, 4 &amp; 9 of the thesis.</w:t>
      </w:r>
    </w:p>
    <w:p w14:paraId="63013CBA">
      <w:pPr>
        <w:pStyle w:val="4"/>
        <w:spacing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The Nigerian tax system in general and the petroleum profits tax system in particular have thus continued to evolve, with the carrying of several studies and the reviews, and the implementation of reports and the several constitutional reviews and reforms. The period of military rule from 1966-1979, and from 1983 to 1999 saw the suspension of the Nigerian Constitution, and the enactment of the current 1999 Federal Constitution. The impact of the current Constitution on the legal, fiscal and tax regime is discussed in the following section of this chapter. The Constitutional effects on petroleum operations is further examined in detail in chapter 3 of the thesis.</w:t>
      </w:r>
    </w:p>
    <w:p w14:paraId="41839B83">
      <w:pPr>
        <w:pStyle w:val="4"/>
        <w:spacing w:after="0" w:line="480" w:lineRule="auto"/>
        <w:jc w:val="both"/>
        <w:rPr>
          <w:rFonts w:ascii="Times New Roman" w:hAnsi="Times New Roman" w:cs="Times New Roman"/>
          <w:b/>
          <w:bCs/>
          <w:sz w:val="24"/>
          <w:szCs w:val="24"/>
        </w:rPr>
      </w:pPr>
      <w:r>
        <w:rPr>
          <w:rStyle w:val="48"/>
          <w:rFonts w:ascii="Times New Roman" w:hAnsi="Times New Roman" w:cs="Times New Roman"/>
          <w:b/>
          <w:bCs/>
          <w:spacing w:val="3"/>
          <w:sz w:val="24"/>
          <w:szCs w:val="24"/>
        </w:rPr>
        <w:t>2.2 THE CONSTITUTIONAL FRAMEWORK OF NIGERIA’S TAX SYSTEM</w:t>
      </w:r>
    </w:p>
    <w:p w14:paraId="70F1D8AA">
      <w:pPr>
        <w:pStyle w:val="4"/>
        <w:spacing w:after="0" w:line="480" w:lineRule="auto"/>
        <w:jc w:val="both"/>
        <w:rPr>
          <w:rStyle w:val="48"/>
          <w:rFonts w:ascii="Times New Roman" w:hAnsi="Times New Roman" w:cs="Times New Roman"/>
          <w:spacing w:val="3"/>
          <w:sz w:val="24"/>
          <w:szCs w:val="24"/>
        </w:rPr>
      </w:pPr>
    </w:p>
    <w:p w14:paraId="0911D711">
      <w:pPr>
        <w:pStyle w:val="4"/>
        <w:spacing w:after="0" w:line="480" w:lineRule="auto"/>
        <w:jc w:val="both"/>
        <w:rPr>
          <w:rStyle w:val="48"/>
          <w:rFonts w:ascii="Times New Roman" w:hAnsi="Times New Roman" w:cs="Times New Roman"/>
          <w:spacing w:val="3"/>
          <w:sz w:val="24"/>
          <w:szCs w:val="24"/>
        </w:rPr>
      </w:pPr>
      <w:r>
        <w:rPr>
          <w:rStyle w:val="48"/>
          <w:rFonts w:ascii="Times New Roman" w:hAnsi="Times New Roman" w:cs="Times New Roman"/>
          <w:spacing w:val="3"/>
          <w:sz w:val="24"/>
          <w:szCs w:val="24"/>
        </w:rPr>
        <w:t>The Nigerian tax system encompasses the body of laws that provides the legal basis for imposing taxes, the tax compliance pathway for taxpayers, the governmental framework for administering the taxes and the legal system for resolving tax disputes and judicial interpretation of contentious tax law issues.  The tax laws as enacted by the National Assembly (NA), derive their legitimacy from the Constitution of 1999 of the Federal Republic of Nigeria, (the Constitution).</w:t>
      </w:r>
    </w:p>
    <w:p w14:paraId="0C744A78">
      <w:pPr>
        <w:pStyle w:val="4"/>
        <w:spacing w:after="0" w:line="480" w:lineRule="auto"/>
        <w:jc w:val="both"/>
        <w:rPr>
          <w:rStyle w:val="48"/>
          <w:rFonts w:ascii="Times New Roman" w:hAnsi="Times New Roman" w:eastAsia="Times New Roman" w:cs="Times New Roman"/>
          <w:color w:val="auto"/>
          <w:sz w:val="24"/>
          <w:szCs w:val="24"/>
        </w:rPr>
      </w:pPr>
    </w:p>
    <w:p w14:paraId="6459A646">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Lyttleton Constitution of 1954</w:t>
      </w:r>
      <w:r>
        <w:rPr>
          <w:rStyle w:val="48"/>
          <w:rFonts w:ascii="Times New Roman" w:hAnsi="Times New Roman" w:eastAsia="Times New Roman" w:cs="Times New Roman"/>
          <w:sz w:val="24"/>
          <w:szCs w:val="24"/>
          <w:vertAlign w:val="superscript"/>
        </w:rPr>
        <w:footnoteReference w:id="109"/>
      </w:r>
      <w:r>
        <w:rPr>
          <w:rFonts w:ascii="Times New Roman" w:hAnsi="Times New Roman" w:cs="Times New Roman"/>
          <w:color w:val="auto"/>
          <w:sz w:val="24"/>
          <w:szCs w:val="24"/>
        </w:rPr>
        <w:t xml:space="preserve"> </w:t>
      </w:r>
      <w:r>
        <w:rPr>
          <w:rFonts w:ascii="Times New Roman" w:hAnsi="Times New Roman" w:cs="Times New Roman"/>
          <w:sz w:val="24"/>
          <w:szCs w:val="24"/>
        </w:rPr>
        <w:t>first introduced federalism as a form of government in Nigeria. However, as a form of governance structure, f</w:t>
      </w:r>
      <w:r>
        <w:rPr>
          <w:rStyle w:val="48"/>
          <w:rFonts w:ascii="Times New Roman" w:hAnsi="Times New Roman" w:cs="Times New Roman"/>
          <w:sz w:val="24"/>
          <w:szCs w:val="24"/>
        </w:rPr>
        <w:t>ederalism or the practice of it has remained a contested phenomenon despite its recognition in the earlier and in the present 1999 Nigerian Constitution.</w:t>
      </w:r>
      <w:r>
        <w:rPr>
          <w:rStyle w:val="48"/>
          <w:rFonts w:ascii="Times New Roman" w:hAnsi="Times New Roman" w:eastAsia="Times New Roman" w:cs="Times New Roman"/>
          <w:sz w:val="24"/>
          <w:szCs w:val="24"/>
          <w:vertAlign w:val="superscript"/>
        </w:rPr>
        <w:footnoteReference w:id="110"/>
      </w:r>
      <w:r>
        <w:rPr>
          <w:rStyle w:val="48"/>
          <w:rFonts w:ascii="Times New Roman" w:hAnsi="Times New Roman" w:cs="Times New Roman"/>
          <w:sz w:val="24"/>
          <w:szCs w:val="24"/>
        </w:rPr>
        <w:t xml:space="preserve"> The Constitution of the Federal Republic of Nigeria, 1999, is the fundamental law in Nigeria, from which all other laws flow and derive their validity.</w:t>
      </w:r>
      <w:r>
        <w:rPr>
          <w:rStyle w:val="48"/>
          <w:rFonts w:ascii="Times New Roman" w:hAnsi="Times New Roman" w:eastAsia="Times New Roman" w:cs="Times New Roman"/>
          <w:sz w:val="24"/>
          <w:szCs w:val="24"/>
          <w:vertAlign w:val="superscript"/>
        </w:rPr>
        <w:footnoteReference w:id="111"/>
      </w:r>
      <w:r>
        <w:rPr>
          <w:rStyle w:val="48"/>
          <w:rFonts w:ascii="Times New Roman" w:hAnsi="Times New Roman" w:cs="Times New Roman"/>
          <w:sz w:val="24"/>
          <w:szCs w:val="24"/>
        </w:rPr>
        <w:t xml:space="preserve">  Section 1(1) of the Constitution provides for the supremacy of the Constitution as follows: </w:t>
      </w:r>
    </w:p>
    <w:p w14:paraId="5E4CAC9C">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“This Constitution is supreme, and its provisions shall have binding force on all authorities and persons throughout the Federal Republic of Nigeria.” </w:t>
      </w:r>
    </w:p>
    <w:p w14:paraId="3E86CD11">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The Constitution further provides that if any other law is inconsistent with the provisions of the Constitution, the Constitution shall prevail and that other law shall to the extent of its inconsistency, be void.</w:t>
      </w:r>
      <w:r>
        <w:rPr>
          <w:rStyle w:val="48"/>
          <w:rFonts w:ascii="Times New Roman" w:hAnsi="Times New Roman" w:eastAsia="Times New Roman" w:cs="Times New Roman"/>
          <w:sz w:val="24"/>
          <w:szCs w:val="24"/>
          <w:vertAlign w:val="superscript"/>
        </w:rPr>
        <w:footnoteReference w:id="112"/>
      </w:r>
      <w:r>
        <w:rPr>
          <w:rStyle w:val="48"/>
          <w:rFonts w:ascii="Times New Roman" w:hAnsi="Times New Roman" w:cs="Times New Roman"/>
          <w:sz w:val="24"/>
          <w:szCs w:val="24"/>
        </w:rPr>
        <w:t xml:space="preserve"> The Constitution vests ownership of mineral resources in the Federal Government of Nigeria (FGN).</w:t>
      </w:r>
      <w:r>
        <w:rPr>
          <w:rStyle w:val="48"/>
          <w:rFonts w:ascii="Times New Roman" w:hAnsi="Times New Roman" w:eastAsia="Times New Roman" w:cs="Times New Roman"/>
          <w:sz w:val="24"/>
          <w:szCs w:val="24"/>
          <w:vertAlign w:val="superscript"/>
        </w:rPr>
        <w:footnoteReference w:id="113"/>
      </w:r>
      <w:r>
        <w:rPr>
          <w:rStyle w:val="48"/>
          <w:rFonts w:ascii="Times New Roman" w:hAnsi="Times New Roman" w:cs="Times New Roman"/>
          <w:sz w:val="24"/>
          <w:szCs w:val="24"/>
        </w:rPr>
        <w:t xml:space="preserve"> Section 44 (3) of the Nigerian Constitution, which vests the ownership and control of mineral oil and natural gas in the FGN Nigeria, states as follows:</w:t>
      </w:r>
    </w:p>
    <w:p w14:paraId="5475CA55">
      <w:pPr>
        <w:pStyle w:val="4"/>
        <w:spacing w:after="0" w:line="480" w:lineRule="auto"/>
        <w:jc w:val="both"/>
        <w:rPr>
          <w:rStyle w:val="48"/>
          <w:rFonts w:ascii="Times New Roman" w:hAnsi="Times New Roman" w:eastAsia="Times New Roman" w:cs="Times New Roman"/>
          <w:color w:val="auto"/>
          <w:sz w:val="24"/>
          <w:szCs w:val="24"/>
        </w:rPr>
      </w:pPr>
    </w:p>
    <w:p w14:paraId="45E011D2">
      <w:pPr>
        <w:pStyle w:val="4"/>
        <w:spacing w:after="0" w:line="480" w:lineRule="auto"/>
        <w:ind w:left="720"/>
        <w:rPr>
          <w:rStyle w:val="48"/>
          <w:rFonts w:ascii="Times New Roman" w:hAnsi="Times New Roman" w:eastAsia="Times New Roman" w:cs="Times New Roman"/>
          <w:sz w:val="24"/>
          <w:szCs w:val="24"/>
        </w:rPr>
      </w:pPr>
      <w:r>
        <w:rPr>
          <w:rStyle w:val="48"/>
          <w:rFonts w:ascii="Times New Roman" w:hAnsi="Times New Roman" w:cs="Times New Roman"/>
          <w:sz w:val="24"/>
          <w:szCs w:val="24"/>
        </w:rPr>
        <w:t>“Notwithstanding the foregoing provisions of this section, the entire property in and control of all minerals, mineral oils and natural gas in, under or upon any land in Nigeria, or in, under or upon the territorial waters and the Exclusive Economic Zone of Nigeria shall vest in the Government of the federation and shall be managed in such manner as may be prescribed by the National Assembly”.</w:t>
      </w:r>
    </w:p>
    <w:p w14:paraId="40187131">
      <w:pPr>
        <w:pStyle w:val="4"/>
        <w:spacing w:after="0" w:line="480" w:lineRule="auto"/>
        <w:ind w:left="720"/>
        <w:rPr>
          <w:rStyle w:val="48"/>
          <w:rFonts w:ascii="Times New Roman" w:hAnsi="Times New Roman" w:eastAsia="Times New Roman" w:cs="Times New Roman"/>
          <w:sz w:val="24"/>
          <w:szCs w:val="24"/>
        </w:rPr>
      </w:pPr>
    </w:p>
    <w:p w14:paraId="04BB3EB8">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Constitution confers on the Federal Government (FG), the exclusive right to legislate on income, profits, and capital gains taxes except as otherwise prescribed by the Constitution. Part 1 of the Second Schedule to the 1999 Constitution has two fiscal legislative lists: the exclusive and the concurrent list. The exclusive list itemizes matters on which the NA, has exclusive powers to enact legislation.</w:t>
      </w:r>
      <w:r>
        <w:rPr>
          <w:rStyle w:val="48"/>
          <w:rFonts w:ascii="Times New Roman" w:hAnsi="Times New Roman" w:eastAsia="Times New Roman" w:cs="Times New Roman"/>
          <w:sz w:val="24"/>
          <w:szCs w:val="24"/>
          <w:vertAlign w:val="superscript"/>
        </w:rPr>
        <w:footnoteReference w:id="114"/>
      </w:r>
      <w:r>
        <w:rPr>
          <w:rStyle w:val="48"/>
          <w:rFonts w:ascii="Times New Roman" w:hAnsi="Times New Roman" w:cs="Times New Roman"/>
          <w:sz w:val="24"/>
          <w:szCs w:val="24"/>
        </w:rPr>
        <w:t xml:space="preserve"> The NA is empowered to legislate on customs and excise duties,</w:t>
      </w:r>
      <w:r>
        <w:rPr>
          <w:rStyle w:val="48"/>
          <w:rFonts w:ascii="Times New Roman" w:hAnsi="Times New Roman" w:eastAsia="Times New Roman" w:cs="Times New Roman"/>
          <w:sz w:val="24"/>
          <w:szCs w:val="24"/>
          <w:vertAlign w:val="superscript"/>
        </w:rPr>
        <w:footnoteReference w:id="115"/>
      </w:r>
      <w:r>
        <w:rPr>
          <w:rStyle w:val="48"/>
          <w:rFonts w:ascii="Times New Roman" w:hAnsi="Times New Roman" w:cs="Times New Roman"/>
          <w:sz w:val="24"/>
          <w:szCs w:val="24"/>
        </w:rPr>
        <w:t>export duties,</w:t>
      </w:r>
      <w:r>
        <w:rPr>
          <w:rStyle w:val="48"/>
          <w:rFonts w:ascii="Times New Roman" w:hAnsi="Times New Roman" w:eastAsia="Times New Roman" w:cs="Times New Roman"/>
          <w:sz w:val="24"/>
          <w:szCs w:val="24"/>
          <w:vertAlign w:val="superscript"/>
        </w:rPr>
        <w:footnoteReference w:id="116"/>
      </w:r>
      <w:r>
        <w:rPr>
          <w:rStyle w:val="48"/>
          <w:rFonts w:ascii="Times New Roman" w:hAnsi="Times New Roman" w:cs="Times New Roman"/>
          <w:sz w:val="24"/>
          <w:szCs w:val="24"/>
        </w:rPr>
        <w:t>stamp duties</w:t>
      </w:r>
      <w:r>
        <w:rPr>
          <w:rStyle w:val="48"/>
          <w:rFonts w:ascii="Times New Roman" w:hAnsi="Times New Roman" w:eastAsia="Times New Roman" w:cs="Times New Roman"/>
          <w:sz w:val="24"/>
          <w:szCs w:val="24"/>
          <w:vertAlign w:val="superscript"/>
        </w:rPr>
        <w:footnoteReference w:id="117"/>
      </w:r>
      <w:r>
        <w:rPr>
          <w:rStyle w:val="48"/>
          <w:rFonts w:ascii="Times New Roman" w:hAnsi="Times New Roman" w:cs="Times New Roman"/>
          <w:sz w:val="24"/>
          <w:szCs w:val="24"/>
        </w:rPr>
        <w:t xml:space="preserve"> and taxation of income, profits and capital gains of companies.</w:t>
      </w:r>
      <w:r>
        <w:rPr>
          <w:rStyle w:val="48"/>
          <w:rFonts w:ascii="Times New Roman" w:hAnsi="Times New Roman" w:eastAsia="Times New Roman" w:cs="Times New Roman"/>
          <w:sz w:val="24"/>
          <w:szCs w:val="24"/>
          <w:vertAlign w:val="superscript"/>
        </w:rPr>
        <w:footnoteReference w:id="118"/>
      </w:r>
      <w:r>
        <w:rPr>
          <w:rStyle w:val="48"/>
          <w:rFonts w:ascii="Times New Roman" w:hAnsi="Times New Roman" w:cs="Times New Roman"/>
          <w:sz w:val="24"/>
          <w:szCs w:val="24"/>
        </w:rPr>
        <w:t xml:space="preserve"> In addition to the powers conferred on the NA in the exclusive lists, the NA is empowered to enact legislation on capital gains, incomes or profits of persons other than companies, and stamp duties, for collection and administration by the government of the States.</w:t>
      </w:r>
      <w:r>
        <w:rPr>
          <w:rStyle w:val="48"/>
          <w:rFonts w:ascii="Times New Roman" w:hAnsi="Times New Roman" w:eastAsia="Times New Roman" w:cs="Times New Roman"/>
          <w:sz w:val="24"/>
          <w:szCs w:val="24"/>
          <w:vertAlign w:val="superscript"/>
        </w:rPr>
        <w:footnoteReference w:id="119"/>
      </w:r>
      <w:r>
        <w:rPr>
          <w:rStyle w:val="48"/>
          <w:rFonts w:ascii="Times New Roman" w:hAnsi="Times New Roman" w:cs="Times New Roman"/>
          <w:sz w:val="24"/>
          <w:szCs w:val="24"/>
        </w:rPr>
        <w:t xml:space="preserve"> Accordingly, the NA has enacted the Personal Income Tax Act (PITA),</w:t>
      </w:r>
      <w:r>
        <w:rPr>
          <w:rStyle w:val="48"/>
          <w:rFonts w:ascii="Times New Roman" w:hAnsi="Times New Roman" w:eastAsia="Times New Roman" w:cs="Times New Roman"/>
          <w:sz w:val="24"/>
          <w:szCs w:val="24"/>
          <w:vertAlign w:val="superscript"/>
        </w:rPr>
        <w:footnoteReference w:id="120"/>
      </w:r>
      <w:r>
        <w:rPr>
          <w:rStyle w:val="48"/>
          <w:rFonts w:ascii="Times New Roman" w:hAnsi="Times New Roman" w:cs="Times New Roman"/>
          <w:sz w:val="24"/>
          <w:szCs w:val="24"/>
          <w:lang w:val="en-GB"/>
        </w:rPr>
        <w:t xml:space="preserve"> Stamp Duties Act (SDA)</w:t>
      </w:r>
      <w:r>
        <w:rPr>
          <w:rStyle w:val="48"/>
          <w:rFonts w:ascii="Times New Roman" w:hAnsi="Times New Roman" w:eastAsia="Times New Roman" w:cs="Times New Roman"/>
          <w:sz w:val="24"/>
          <w:szCs w:val="24"/>
          <w:vertAlign w:val="superscript"/>
        </w:rPr>
        <w:footnoteReference w:id="121"/>
      </w:r>
      <w:r>
        <w:rPr>
          <w:rStyle w:val="48"/>
          <w:rFonts w:ascii="Times New Roman" w:hAnsi="Times New Roman" w:cs="Times New Roman"/>
          <w:sz w:val="24"/>
          <w:szCs w:val="24"/>
        </w:rPr>
        <w:t xml:space="preserve"> and Capital Gains Tax Act (CGTA),</w:t>
      </w:r>
      <w:r>
        <w:rPr>
          <w:rStyle w:val="48"/>
          <w:rFonts w:ascii="Times New Roman" w:hAnsi="Times New Roman" w:eastAsia="Times New Roman" w:cs="Times New Roman"/>
          <w:sz w:val="24"/>
          <w:szCs w:val="24"/>
          <w:vertAlign w:val="superscript"/>
        </w:rPr>
        <w:footnoteReference w:id="122"/>
      </w:r>
      <w:r>
        <w:rPr>
          <w:rStyle w:val="48"/>
          <w:rFonts w:ascii="Times New Roman" w:hAnsi="Times New Roman" w:cs="Times New Roman"/>
          <w:sz w:val="24"/>
          <w:szCs w:val="24"/>
        </w:rPr>
        <w:t xml:space="preserve"> for collection and administration by State governments in respect of taxation of individuals. </w:t>
      </w:r>
    </w:p>
    <w:p w14:paraId="1E61CB1F">
      <w:pPr>
        <w:pStyle w:val="4"/>
        <w:spacing w:after="0" w:line="480" w:lineRule="auto"/>
        <w:jc w:val="both"/>
        <w:rPr>
          <w:rStyle w:val="48"/>
          <w:rFonts w:ascii="Times New Roman" w:hAnsi="Times New Roman" w:eastAsia="Times New Roman" w:cs="Times New Roman"/>
          <w:color w:val="auto"/>
          <w:sz w:val="24"/>
          <w:szCs w:val="24"/>
        </w:rPr>
      </w:pPr>
    </w:p>
    <w:p w14:paraId="28BA3988">
      <w:pPr>
        <w:pStyle w:val="4"/>
        <w:spacing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The FG has jurisdiction and has enacted several principal income and profit taxes in the country. These include the Petroleum Profits Tax (PPT), Companies Income Tax (CIT), Tertiary Education Tax (TET), Personal Income Tax (PIT),</w:t>
      </w:r>
      <w:r>
        <w:rPr>
          <w:rStyle w:val="48"/>
          <w:rFonts w:ascii="Times New Roman" w:hAnsi="Times New Roman" w:eastAsia="Times New Roman" w:cs="Times New Roman"/>
          <w:sz w:val="24"/>
          <w:szCs w:val="24"/>
          <w:vertAlign w:val="superscript"/>
        </w:rPr>
        <w:footnoteReference w:id="123"/>
      </w:r>
      <w:r>
        <w:rPr>
          <w:rStyle w:val="48"/>
          <w:rFonts w:ascii="Times New Roman" w:hAnsi="Times New Roman" w:cs="Times New Roman"/>
          <w:sz w:val="24"/>
          <w:szCs w:val="24"/>
        </w:rPr>
        <w:t>Capital Gains Tax (CGT) (on gains made by companies). The taxation of profits from upstream petroleum operations is under the Petroleum Profits Tax Act (PPTA) as amended by the PSC Act,</w:t>
      </w:r>
      <w:r>
        <w:rPr>
          <w:rStyle w:val="48"/>
          <w:rFonts w:ascii="Times New Roman" w:hAnsi="Times New Roman" w:eastAsia="Times New Roman" w:cs="Times New Roman"/>
          <w:sz w:val="24"/>
          <w:szCs w:val="24"/>
          <w:vertAlign w:val="superscript"/>
        </w:rPr>
        <w:footnoteReference w:id="124"/>
      </w:r>
      <w:r>
        <w:rPr>
          <w:rStyle w:val="48"/>
          <w:rFonts w:ascii="Times New Roman" w:hAnsi="Times New Roman" w:cs="Times New Roman"/>
          <w:sz w:val="24"/>
          <w:szCs w:val="24"/>
        </w:rPr>
        <w:t xml:space="preserve"> whilst the midstream and downstream petroleum operations are taxed under the CITA. </w:t>
      </w:r>
    </w:p>
    <w:p w14:paraId="0B3DE502">
      <w:pPr>
        <w:pStyle w:val="4"/>
        <w:spacing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Under sections 4(3) &amp; (7) of the Constitution, the NA and the State Houses of Assembly are empowered to legislate on matters itemized in the concurrent list under Part II of the Second Schedule to the Constitution. Section 4(5) of the Constitution, however, states that where there is any inconsistency between the law enacted by the NA and the State House of Assembly on the same subject matter, the law enacted by the NA shall prevail over the State enacted law, to the extent of the inconsistency.</w:t>
      </w:r>
      <w:r>
        <w:rPr>
          <w:rStyle w:val="48"/>
          <w:rFonts w:ascii="Times New Roman" w:hAnsi="Times New Roman" w:eastAsia="Times New Roman" w:cs="Times New Roman"/>
          <w:sz w:val="24"/>
          <w:szCs w:val="24"/>
          <w:vertAlign w:val="superscript"/>
        </w:rPr>
        <w:footnoteReference w:id="125"/>
      </w:r>
      <w:r>
        <w:rPr>
          <w:rStyle w:val="48"/>
          <w:rFonts w:ascii="Times New Roman" w:hAnsi="Times New Roman" w:cs="Times New Roman"/>
          <w:sz w:val="24"/>
          <w:szCs w:val="24"/>
        </w:rPr>
        <w:t xml:space="preserve"> Under section 163 of the Constitution, where the NA imposes a tax on matters specified in items of Part II of the Second Schedule to the Constitution,</w:t>
      </w:r>
      <w:r>
        <w:rPr>
          <w:rStyle w:val="48"/>
          <w:rFonts w:ascii="Times New Roman" w:hAnsi="Times New Roman" w:eastAsia="Times New Roman" w:cs="Times New Roman"/>
          <w:sz w:val="24"/>
          <w:szCs w:val="24"/>
          <w:vertAlign w:val="superscript"/>
        </w:rPr>
        <w:footnoteReference w:id="126"/>
      </w:r>
      <w:r>
        <w:rPr>
          <w:rStyle w:val="48"/>
          <w:rFonts w:ascii="Times New Roman" w:hAnsi="Times New Roman" w:cs="Times New Roman"/>
          <w:sz w:val="24"/>
          <w:szCs w:val="24"/>
        </w:rPr>
        <w:t xml:space="preserve"> the tax revenues derived from such collection are distributed among the States where the tax proceeds were derived.</w:t>
      </w:r>
      <w:r>
        <w:rPr>
          <w:rStyle w:val="48"/>
          <w:rFonts w:ascii="Times New Roman" w:hAnsi="Times New Roman" w:eastAsia="Times New Roman" w:cs="Times New Roman"/>
          <w:sz w:val="24"/>
          <w:szCs w:val="24"/>
          <w:vertAlign w:val="superscript"/>
        </w:rPr>
        <w:footnoteReference w:id="127"/>
      </w:r>
      <w:r>
        <w:rPr>
          <w:rStyle w:val="48"/>
          <w:rFonts w:ascii="Times New Roman" w:hAnsi="Times New Roman" w:cs="Times New Roman"/>
          <w:sz w:val="24"/>
          <w:szCs w:val="24"/>
        </w:rPr>
        <w:t xml:space="preserve"> </w:t>
      </w:r>
    </w:p>
    <w:p w14:paraId="608745F5">
      <w:pPr>
        <w:pStyle w:val="4"/>
        <w:spacing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 xml:space="preserve">Matters not provided for by the Constitution either under the exclusive or the concurrent </w:t>
      </w:r>
      <w:r>
        <w:rPr>
          <w:rFonts w:ascii="Times New Roman" w:hAnsi="Times New Roman" w:cs="Times New Roman"/>
          <w:sz w:val="24"/>
          <w:szCs w:val="24"/>
        </w:rPr>
        <w:t>legislative</w:t>
      </w:r>
      <w:r>
        <w:rPr>
          <w:rStyle w:val="48"/>
          <w:rFonts w:ascii="Times New Roman" w:hAnsi="Times New Roman" w:cs="Times New Roman"/>
          <w:sz w:val="24"/>
          <w:szCs w:val="24"/>
        </w:rPr>
        <w:t xml:space="preserve"> lists become residual matters for either the State or the local governments to legislate on.</w:t>
      </w:r>
      <w:r>
        <w:rPr>
          <w:rStyle w:val="48"/>
          <w:rFonts w:ascii="Times New Roman" w:hAnsi="Times New Roman" w:eastAsia="Times New Roman" w:cs="Times New Roman"/>
          <w:sz w:val="24"/>
          <w:szCs w:val="24"/>
          <w:vertAlign w:val="superscript"/>
        </w:rPr>
        <w:footnoteReference w:id="128"/>
      </w:r>
      <w:r>
        <w:rPr>
          <w:rStyle w:val="48"/>
          <w:rFonts w:ascii="Times New Roman" w:hAnsi="Times New Roman" w:cs="Times New Roman"/>
          <w:sz w:val="24"/>
          <w:szCs w:val="24"/>
        </w:rPr>
        <w:t xml:space="preserve"> In particular, section 4(7)(a) of the Constitution states that the State House of Assembly can legislate on matters that are not explicitly stated in the exclusive legislative list or the concurrent list. Based on this provision, the States have the responsibility to assess and collect personal income tax from individuals that are resident within their jurisdiction.</w:t>
      </w:r>
      <w:r>
        <w:rPr>
          <w:rStyle w:val="48"/>
          <w:rFonts w:ascii="Times New Roman" w:hAnsi="Times New Roman" w:eastAsia="Times New Roman" w:cs="Times New Roman"/>
          <w:sz w:val="24"/>
          <w:szCs w:val="24"/>
          <w:vertAlign w:val="superscript"/>
        </w:rPr>
        <w:footnoteReference w:id="129"/>
      </w:r>
      <w:r>
        <w:rPr>
          <w:rStyle w:val="48"/>
          <w:rFonts w:ascii="Times New Roman" w:hAnsi="Times New Roman" w:cs="Times New Roman"/>
          <w:sz w:val="24"/>
          <w:szCs w:val="24"/>
        </w:rPr>
        <w:t xml:space="preserve"> They also collect capital gains tax on capital gains derived by individuals from the disposal of assets located in their jurisdiction, and stamp duties on instruments executed by individuals. </w:t>
      </w:r>
    </w:p>
    <w:p w14:paraId="4093A5BD">
      <w:pPr>
        <w:pStyle w:val="4"/>
        <w:spacing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The local governments are responsible for miscellaneous taxes, levies and rates, and Schedule IV to the Constitution defines the functions of the local government to include</w:t>
      </w:r>
      <w:r>
        <w:rPr>
          <w:rStyle w:val="48"/>
          <w:rFonts w:ascii="Times New Roman" w:hAnsi="Times New Roman" w:eastAsia="Times New Roman" w:cs="Times New Roman"/>
          <w:sz w:val="24"/>
          <w:szCs w:val="24"/>
          <w:vertAlign w:val="superscript"/>
        </w:rPr>
        <w:footnoteReference w:id="130"/>
      </w:r>
      <w:r>
        <w:rPr>
          <w:rStyle w:val="48"/>
          <w:rFonts w:ascii="Times New Roman" w:hAnsi="Times New Roman" w:cs="Times New Roman"/>
          <w:sz w:val="24"/>
          <w:szCs w:val="24"/>
        </w:rPr>
        <w:t xml:space="preserve">: </w:t>
      </w:r>
    </w:p>
    <w:p w14:paraId="7B4A266A">
      <w:pPr>
        <w:pStyle w:val="4"/>
        <w:spacing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 xml:space="preserve">(i). collection of rates, radio and television licenses; </w:t>
      </w:r>
    </w:p>
    <w:p w14:paraId="66B099C8">
      <w:pPr>
        <w:pStyle w:val="4"/>
        <w:spacing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(ii). licensing of bicycles, trucks (other than mechanically propelled trucks), canoes, wheelbarrows and carts; </w:t>
      </w:r>
    </w:p>
    <w:p w14:paraId="20086F71">
      <w:pPr>
        <w:pStyle w:val="4"/>
        <w:spacing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(iii). assessment of privately-owned houses or tenements to levy such rates as may be prescribed by the House of Assembly of a State.</w:t>
      </w:r>
      <w:r>
        <w:rPr>
          <w:rStyle w:val="48"/>
          <w:rFonts w:ascii="Times New Roman" w:hAnsi="Times New Roman" w:eastAsia="Times New Roman" w:cs="Times New Roman"/>
          <w:sz w:val="24"/>
          <w:szCs w:val="24"/>
          <w:vertAlign w:val="superscript"/>
        </w:rPr>
        <w:footnoteReference w:id="131"/>
      </w:r>
    </w:p>
    <w:p w14:paraId="7EA7F719">
      <w:pPr>
        <w:pStyle w:val="4"/>
        <w:spacing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In summary, the current allocation of fiscal powers under the Constitution creates a vertical imbalance in favor of the FG, and the opportunity for overlaps and the incidence of double or multiple taxation. This is notwithstanding the fact that the Taxes and Levies (Collection List) Act</w:t>
      </w:r>
      <w:r>
        <w:rPr>
          <w:rStyle w:val="48"/>
          <w:rFonts w:ascii="Times New Roman" w:hAnsi="Times New Roman" w:eastAsia="Times New Roman" w:cs="Times New Roman"/>
          <w:sz w:val="24"/>
          <w:szCs w:val="24"/>
          <w:vertAlign w:val="superscript"/>
        </w:rPr>
        <w:footnoteReference w:id="132"/>
      </w:r>
      <w:r>
        <w:rPr>
          <w:rStyle w:val="48"/>
          <w:rFonts w:ascii="Times New Roman" w:hAnsi="Times New Roman" w:cs="Times New Roman"/>
          <w:sz w:val="24"/>
          <w:szCs w:val="24"/>
        </w:rPr>
        <w:t>specifies the taxes and levies collectable by each tier of government. The constitutionality or otherwise of the exercise of the taxing powers of the federating units, vis-à-vis the powers of the FG have not, yet, been fully tested in the courts. Specific instances of the exercise of the overlapping taxing powers by the federating units and the incidents of multiple taxes and levies will be examined in the relevant chapters</w:t>
      </w:r>
      <w:r>
        <w:rPr>
          <w:rStyle w:val="23"/>
          <w:rFonts w:ascii="Times New Roman" w:hAnsi="Times New Roman" w:cs="Times New Roman"/>
          <w:sz w:val="24"/>
          <w:szCs w:val="24"/>
        </w:rPr>
        <w:footnoteReference w:id="133"/>
      </w:r>
      <w:r>
        <w:rPr>
          <w:rStyle w:val="48"/>
          <w:rFonts w:ascii="Times New Roman" w:hAnsi="Times New Roman" w:cs="Times New Roman"/>
          <w:sz w:val="24"/>
          <w:szCs w:val="24"/>
        </w:rPr>
        <w:t xml:space="preserve"> of this thesis to determine the extent this impacts on certainty or lack of certainty in the upstream petroleum tax system. </w:t>
      </w:r>
    </w:p>
    <w:p w14:paraId="0CBF6B01">
      <w:pPr>
        <w:pStyle w:val="39"/>
        <w:spacing w:line="480" w:lineRule="auto"/>
        <w:jc w:val="both"/>
        <w:rPr>
          <w:rStyle w:val="41"/>
          <w:rFonts w:ascii="Times New Roman" w:hAnsi="Times New Roman" w:cs="Times New Roman"/>
          <w:b/>
          <w:bCs/>
        </w:rPr>
      </w:pPr>
      <w:r>
        <w:rPr>
          <w:rStyle w:val="41"/>
          <w:rFonts w:ascii="Times New Roman" w:hAnsi="Times New Roman" w:cs="Times New Roman"/>
          <w:b/>
          <w:bCs/>
        </w:rPr>
        <w:t xml:space="preserve">2.3 </w:t>
      </w:r>
      <w:bookmarkStart w:id="11" w:name="_Toc9"/>
      <w:r>
        <w:rPr>
          <w:rStyle w:val="41"/>
          <w:rFonts w:ascii="Times New Roman" w:hAnsi="Times New Roman" w:cs="Times New Roman"/>
          <w:b/>
          <w:bCs/>
        </w:rPr>
        <w:tab/>
      </w:r>
      <w:r>
        <w:rPr>
          <w:rStyle w:val="41"/>
          <w:rFonts w:ascii="Times New Roman" w:hAnsi="Times New Roman" w:cs="Times New Roman"/>
          <w:b/>
          <w:bCs/>
        </w:rPr>
        <w:t>The Structure of the Nigerian Tax System</w:t>
      </w:r>
      <w:bookmarkEnd w:id="11"/>
    </w:p>
    <w:p w14:paraId="2678AEA7">
      <w:pPr>
        <w:pStyle w:val="4"/>
      </w:pPr>
    </w:p>
    <w:p w14:paraId="7ED0F35D">
      <w:pPr>
        <w:pStyle w:val="4"/>
        <w:spacing w:after="0" w:line="480" w:lineRule="auto"/>
        <w:jc w:val="both"/>
        <w:rPr>
          <w:rStyle w:val="48"/>
          <w:rFonts w:ascii="Times New Roman" w:hAnsi="Times New Roman" w:eastAsia="Times New Roman" w:cs="Times New Roman"/>
          <w:sz w:val="24"/>
          <w:szCs w:val="24"/>
        </w:rPr>
      </w:pPr>
      <w:r>
        <w:rPr>
          <w:rFonts w:ascii="Times New Roman" w:hAnsi="Times New Roman" w:cs="Times New Roman"/>
          <w:sz w:val="24"/>
          <w:szCs w:val="24"/>
        </w:rPr>
        <w:t xml:space="preserve">Nigeria is a federation of 36 states, and operates a federal constitution, with three tiers of government: federal, state, and local governments. </w:t>
      </w:r>
      <w:r>
        <w:rPr>
          <w:rStyle w:val="48"/>
          <w:rFonts w:ascii="Times New Roman" w:hAnsi="Times New Roman" w:cs="Times New Roman"/>
          <w:sz w:val="24"/>
          <w:szCs w:val="24"/>
        </w:rPr>
        <w:t>Nigeria has a progressive tax system, characterized largely by direct taxation, which focuses more on the formal sector, to the neglect of indirect taxation and the informal sector. Companies engaged in petroleum operations are taxed either under the PPTA if engaged in exploration and production, or taxed under CITA if engaged in downstream refining, manufacturing etc. Indirect taxes and consumption tax remain largely undeveloped and there is a very low Value Added Tax rate</w:t>
      </w:r>
      <w:r>
        <w:rPr>
          <w:rStyle w:val="23"/>
          <w:sz w:val="24"/>
          <w:szCs w:val="24"/>
        </w:rPr>
        <w:footnoteReference w:id="134"/>
      </w:r>
      <w:r>
        <w:rPr>
          <w:rStyle w:val="48"/>
          <w:rFonts w:ascii="Times New Roman" w:hAnsi="Times New Roman" w:cs="Times New Roman"/>
          <w:sz w:val="24"/>
          <w:szCs w:val="24"/>
        </w:rPr>
        <w:t>. Whilst considerable progress has been made with taxing those in formal employment, self-employed persons, professionals, and some companies are yet to be captured in the tax net. According to the Joint Tax Board (JTB), as at May 2017, the total number of taxpayers in Nigeria amounted to just 14 million out of an estimated 69.9 million who are economically active.</w:t>
      </w:r>
      <w:r>
        <w:rPr>
          <w:rStyle w:val="48"/>
          <w:rFonts w:ascii="Times New Roman" w:hAnsi="Times New Roman" w:eastAsia="Times New Roman" w:cs="Times New Roman"/>
          <w:sz w:val="24"/>
          <w:szCs w:val="24"/>
          <w:vertAlign w:val="superscript"/>
        </w:rPr>
        <w:footnoteReference w:id="135"/>
      </w:r>
      <w:r>
        <w:rPr>
          <w:rStyle w:val="48"/>
          <w:rFonts w:ascii="Times New Roman" w:hAnsi="Times New Roman" w:cs="Times New Roman"/>
          <w:sz w:val="24"/>
          <w:szCs w:val="24"/>
        </w:rPr>
        <w:t xml:space="preserve"> </w:t>
      </w:r>
    </w:p>
    <w:p w14:paraId="3115278E">
      <w:pPr>
        <w:pStyle w:val="4"/>
        <w:spacing w:after="0" w:line="480" w:lineRule="auto"/>
        <w:jc w:val="both"/>
        <w:rPr>
          <w:rStyle w:val="48"/>
          <w:rFonts w:ascii="Times New Roman" w:hAnsi="Times New Roman" w:eastAsia="Times New Roman" w:cs="Times New Roman"/>
          <w:color w:val="auto"/>
          <w:sz w:val="24"/>
          <w:szCs w:val="24"/>
        </w:rPr>
      </w:pPr>
    </w:p>
    <w:p w14:paraId="139B344D">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As stated earlier, the FG has the exclusive right under the Constitution to legislate matters in the exclusive legislative list. The FG also has powers to legislate </w:t>
      </w:r>
      <w:r>
        <w:rPr>
          <w:rFonts w:ascii="Times New Roman" w:hAnsi="Times New Roman" w:cs="Times New Roman"/>
          <w:sz w:val="24"/>
          <w:szCs w:val="24"/>
        </w:rPr>
        <w:t>along with the State governments on matters on the concurrent legislative list. In the event of conflict between a Federal and State legislation, the Federal legislation takes priority over the State legislation, to the extent of the conflict or inconsistency.</w:t>
      </w:r>
      <w:r>
        <w:rPr>
          <w:rFonts w:ascii="Times New Roman" w:hAnsi="Times New Roman" w:cs="Times New Roman"/>
          <w:sz w:val="24"/>
          <w:szCs w:val="24"/>
          <w:vertAlign w:val="superscript"/>
        </w:rPr>
        <w:footnoteReference w:id="136"/>
      </w:r>
      <w:r>
        <w:rPr>
          <w:rFonts w:ascii="Times New Roman" w:hAnsi="Times New Roman" w:cs="Times New Roman"/>
          <w:sz w:val="24"/>
          <w:szCs w:val="24"/>
        </w:rPr>
        <w:t xml:space="preserve"> </w:t>
      </w:r>
      <w:r>
        <w:rPr>
          <w:rStyle w:val="48"/>
          <w:rFonts w:ascii="Times New Roman" w:hAnsi="Times New Roman" w:cs="Times New Roman"/>
          <w:sz w:val="24"/>
          <w:szCs w:val="24"/>
        </w:rPr>
        <w:t xml:space="preserve">  By virtue of the Taxes and Levies (Approved list for Collection) Act, t</w:t>
      </w:r>
      <w:r>
        <w:rPr>
          <w:rFonts w:ascii="Times New Roman" w:hAnsi="Times New Roman" w:cs="Times New Roman"/>
          <w:sz w:val="24"/>
          <w:szCs w:val="24"/>
        </w:rPr>
        <w:t>he three tiers of government have listed items on which they may collect taxes and levies.</w:t>
      </w:r>
      <w:r>
        <w:rPr>
          <w:rFonts w:ascii="Times New Roman" w:hAnsi="Times New Roman" w:cs="Times New Roman"/>
          <w:sz w:val="24"/>
          <w:szCs w:val="24"/>
          <w:vertAlign w:val="superscript"/>
        </w:rPr>
        <w:footnoteReference w:id="137"/>
      </w:r>
      <w:r>
        <w:rPr>
          <w:rFonts w:ascii="Times New Roman" w:hAnsi="Times New Roman" w:cs="Times New Roman"/>
          <w:sz w:val="24"/>
          <w:szCs w:val="24"/>
        </w:rPr>
        <w:t xml:space="preserve"> </w:t>
      </w:r>
      <w:r>
        <w:rPr>
          <w:rStyle w:val="48"/>
          <w:rFonts w:ascii="Times New Roman" w:hAnsi="Times New Roman" w:cs="Times New Roman"/>
          <w:sz w:val="24"/>
          <w:szCs w:val="24"/>
        </w:rPr>
        <w:t>It is an essential requirement in a federal system of government that the tiers of government should not be subordinate to the other. The Nigerian Constitution fails this very important test. The allocation of fiscal powers between the Federal and State governments</w:t>
      </w:r>
      <w:r>
        <w:rPr>
          <w:rStyle w:val="48"/>
          <w:rFonts w:ascii="Times New Roman" w:hAnsi="Times New Roman" w:eastAsia="Times New Roman" w:cs="Times New Roman"/>
          <w:sz w:val="24"/>
          <w:szCs w:val="24"/>
          <w:vertAlign w:val="superscript"/>
        </w:rPr>
        <w:footnoteReference w:id="138"/>
      </w:r>
      <w:r>
        <w:rPr>
          <w:rStyle w:val="48"/>
          <w:rFonts w:ascii="Times New Roman" w:hAnsi="Times New Roman" w:cs="Times New Roman"/>
          <w:sz w:val="24"/>
          <w:szCs w:val="24"/>
        </w:rPr>
        <w:t xml:space="preserve"> is skewed heavily in favor of the Federal government, and by implication, the States as federating units are deprived of the power to tax or raise funds to finance services as well as harness resources for development at their own pace.</w:t>
      </w:r>
      <w:r>
        <w:rPr>
          <w:rStyle w:val="48"/>
          <w:rFonts w:ascii="Times New Roman" w:hAnsi="Times New Roman" w:eastAsia="Times New Roman" w:cs="Times New Roman"/>
          <w:sz w:val="24"/>
          <w:szCs w:val="24"/>
          <w:vertAlign w:val="superscript"/>
        </w:rPr>
        <w:footnoteReference w:id="139"/>
      </w:r>
      <w:r>
        <w:rPr>
          <w:rStyle w:val="48"/>
          <w:rFonts w:ascii="Times New Roman" w:hAnsi="Times New Roman" w:cs="Times New Roman"/>
          <w:sz w:val="24"/>
          <w:szCs w:val="24"/>
        </w:rPr>
        <w:t xml:space="preserve"> This has led to the incidence of multiple taxes and levies by States scrambling to enact laws and the levy all kinds and manners of taxes and levies. To this extent the Constitution and the allocation of fiscal powers under the Constitution contribute to the uncertainty and lack of clarity of taxing boundaries and the increased cost of operations in the petroleum sector generally.  </w:t>
      </w:r>
    </w:p>
    <w:p w14:paraId="44322CEA">
      <w:pPr>
        <w:pStyle w:val="4"/>
        <w:spacing w:after="0" w:line="480" w:lineRule="auto"/>
        <w:jc w:val="both"/>
        <w:rPr>
          <w:rStyle w:val="48"/>
          <w:rFonts w:ascii="Times New Roman" w:hAnsi="Times New Roman" w:eastAsia="Times New Roman" w:cs="Times New Roman"/>
          <w:color w:val="auto"/>
          <w:sz w:val="24"/>
          <w:szCs w:val="24"/>
        </w:rPr>
      </w:pPr>
    </w:p>
    <w:p w14:paraId="53F1D6A9">
      <w:pPr>
        <w:pStyle w:val="39"/>
        <w:numPr>
          <w:ilvl w:val="2"/>
          <w:numId w:val="19"/>
        </w:numPr>
        <w:spacing w:line="480" w:lineRule="auto"/>
        <w:jc w:val="both"/>
        <w:rPr>
          <w:rStyle w:val="48"/>
          <w:rFonts w:ascii="Times New Roman" w:hAnsi="Times New Roman" w:eastAsia="Arial Unicode MS" w:cs="Times New Roman"/>
          <w:b/>
          <w:bCs/>
          <w:caps w:val="0"/>
        </w:rPr>
      </w:pPr>
      <w:bookmarkStart w:id="12" w:name="_Toc10"/>
      <w:r>
        <w:rPr>
          <w:rStyle w:val="48"/>
          <w:rFonts w:ascii="Times New Roman" w:hAnsi="Times New Roman" w:cs="Times New Roman"/>
          <w:b/>
          <w:bCs/>
        </w:rPr>
        <w:t>Principal Legislation and taxes</w:t>
      </w:r>
      <w:bookmarkEnd w:id="12"/>
    </w:p>
    <w:p w14:paraId="7FC5006F">
      <w:pPr>
        <w:pStyle w:val="4"/>
        <w:spacing w:after="0"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 xml:space="preserve">There are over twelve (12) principal and subsidiary income, profit and transaction taxing statutes potentially affecting petroleum operations in Nigeria. For this study, our focus will be on the Petroleum Profits Tax Act, as amended by the Deep Offshore and Inland Basin Production Sharing Contract Act, and the </w:t>
      </w:r>
      <w:r>
        <w:rPr>
          <w:rFonts w:ascii="Times New Roman" w:hAnsi="Times New Roman" w:cs="Times New Roman"/>
          <w:sz w:val="24"/>
          <w:szCs w:val="24"/>
        </w:rPr>
        <w:t>Companies Income Tax Act</w:t>
      </w:r>
      <w:r>
        <w:rPr>
          <w:rStyle w:val="48"/>
          <w:rFonts w:ascii="Times New Roman" w:hAnsi="Times New Roman" w:cs="Times New Roman"/>
          <w:sz w:val="24"/>
          <w:szCs w:val="24"/>
        </w:rPr>
        <w:t>. The Acts are namely the:</w:t>
      </w:r>
    </w:p>
    <w:p w14:paraId="43AEA9DF">
      <w:pPr>
        <w:pStyle w:val="4"/>
        <w:numPr>
          <w:ilvl w:val="0"/>
          <w:numId w:val="20"/>
        </w:numPr>
        <w:spacing w:after="0" w:line="480" w:lineRule="auto"/>
        <w:jc w:val="both"/>
        <w:rPr>
          <w:rFonts w:ascii="Times New Roman" w:hAnsi="Times New Roman" w:cs="Times New Roman"/>
          <w:sz w:val="24"/>
          <w:szCs w:val="24"/>
          <w:lang w:val="de-DE"/>
        </w:rPr>
      </w:pPr>
      <w:r>
        <w:rPr>
          <w:rStyle w:val="48"/>
          <w:rFonts w:ascii="Times New Roman" w:hAnsi="Times New Roman" w:cs="Times New Roman"/>
          <w:sz w:val="24"/>
          <w:szCs w:val="24"/>
          <w:lang w:val="de-DE"/>
        </w:rPr>
        <w:t>Petroleum Profit Tax Act (PPTA);</w:t>
      </w:r>
      <w:r>
        <w:rPr>
          <w:rStyle w:val="48"/>
          <w:rFonts w:ascii="Times New Roman" w:hAnsi="Times New Roman" w:eastAsia="Times New Roman" w:cs="Times New Roman"/>
          <w:sz w:val="24"/>
          <w:szCs w:val="24"/>
          <w:vertAlign w:val="superscript"/>
        </w:rPr>
        <w:footnoteReference w:id="140"/>
      </w:r>
    </w:p>
    <w:p w14:paraId="1EB79A1E">
      <w:pPr>
        <w:pStyle w:val="4"/>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Deep Offshore and Inland Basin Production Sharing Act (DOIBPSCA);</w:t>
      </w:r>
    </w:p>
    <w:p w14:paraId="04A03D08">
      <w:pPr>
        <w:pStyle w:val="52"/>
        <w:numPr>
          <w:ilvl w:val="0"/>
          <w:numId w:val="20"/>
        </w:numPr>
        <w:spacing w:line="480" w:lineRule="auto"/>
        <w:rPr>
          <w:rFonts w:ascii="Times New Roman" w:hAnsi="Times New Roman" w:eastAsia="Arial Unicode MS" w:cs="Times New Roman"/>
          <w:sz w:val="24"/>
          <w:szCs w:val="24"/>
        </w:rPr>
      </w:pPr>
      <w:r>
        <w:rPr>
          <w:rFonts w:ascii="Times New Roman" w:hAnsi="Times New Roman" w:eastAsia="Arial Unicode MS" w:cs="Times New Roman"/>
          <w:sz w:val="24"/>
          <w:szCs w:val="24"/>
        </w:rPr>
        <w:t xml:space="preserve">Companies Income Tax Act (CITA); </w:t>
      </w:r>
    </w:p>
    <w:p w14:paraId="1251FE00">
      <w:pPr>
        <w:pStyle w:val="4"/>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Tertiary Education Trust Fund (Establishment, etc.) (TETF) Act;</w:t>
      </w:r>
      <w:r>
        <w:rPr>
          <w:rStyle w:val="48"/>
          <w:rFonts w:ascii="Times New Roman" w:hAnsi="Times New Roman" w:eastAsia="Times New Roman" w:cs="Times New Roman"/>
          <w:sz w:val="24"/>
          <w:szCs w:val="24"/>
          <w:vertAlign w:val="superscript"/>
        </w:rPr>
        <w:footnoteReference w:id="141"/>
      </w:r>
      <w:r>
        <w:rPr>
          <w:rFonts w:ascii="Times New Roman" w:hAnsi="Times New Roman" w:cs="Times New Roman"/>
          <w:sz w:val="24"/>
          <w:szCs w:val="24"/>
        </w:rPr>
        <w:t xml:space="preserve"> </w:t>
      </w:r>
    </w:p>
    <w:p w14:paraId="6E8A1246">
      <w:pPr>
        <w:pStyle w:val="4"/>
        <w:numPr>
          <w:ilvl w:val="0"/>
          <w:numId w:val="20"/>
        </w:numPr>
        <w:spacing w:after="0" w:line="480" w:lineRule="auto"/>
        <w:jc w:val="both"/>
        <w:rPr>
          <w:rFonts w:ascii="Times New Roman" w:hAnsi="Times New Roman" w:cs="Times New Roman"/>
          <w:sz w:val="24"/>
          <w:szCs w:val="24"/>
          <w:lang w:val="fr-FR"/>
        </w:rPr>
      </w:pPr>
      <w:r>
        <w:rPr>
          <w:rStyle w:val="48"/>
          <w:rFonts w:ascii="Times New Roman" w:hAnsi="Times New Roman" w:cs="Times New Roman"/>
          <w:sz w:val="24"/>
          <w:szCs w:val="24"/>
          <w:lang w:val="fr-FR"/>
        </w:rPr>
        <w:t>Capital Gains Tax Act (CGTA);</w:t>
      </w:r>
      <w:r>
        <w:rPr>
          <w:rStyle w:val="48"/>
          <w:rFonts w:ascii="Times New Roman" w:hAnsi="Times New Roman" w:eastAsia="Times New Roman" w:cs="Times New Roman"/>
          <w:sz w:val="24"/>
          <w:szCs w:val="24"/>
          <w:vertAlign w:val="superscript"/>
        </w:rPr>
        <w:footnoteReference w:id="142"/>
      </w:r>
    </w:p>
    <w:p w14:paraId="41EC042F">
      <w:pPr>
        <w:pStyle w:val="4"/>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Value Added Tax Act (VATA);</w:t>
      </w:r>
      <w:r>
        <w:rPr>
          <w:rStyle w:val="48"/>
          <w:rFonts w:ascii="Times New Roman" w:hAnsi="Times New Roman" w:eastAsia="Times New Roman" w:cs="Times New Roman"/>
          <w:sz w:val="24"/>
          <w:szCs w:val="24"/>
          <w:vertAlign w:val="superscript"/>
        </w:rPr>
        <w:footnoteReference w:id="143"/>
      </w:r>
      <w:r>
        <w:rPr>
          <w:rFonts w:ascii="Times New Roman" w:hAnsi="Times New Roman" w:cs="Times New Roman"/>
          <w:sz w:val="24"/>
          <w:szCs w:val="24"/>
        </w:rPr>
        <w:t xml:space="preserve"> </w:t>
      </w:r>
    </w:p>
    <w:p w14:paraId="1669698D">
      <w:pPr>
        <w:pStyle w:val="4"/>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Personal Income Tax Act (PITA);</w:t>
      </w:r>
      <w:r>
        <w:rPr>
          <w:rStyle w:val="48"/>
          <w:rFonts w:ascii="Times New Roman" w:hAnsi="Times New Roman" w:eastAsia="Times New Roman" w:cs="Times New Roman"/>
          <w:sz w:val="24"/>
          <w:szCs w:val="24"/>
          <w:vertAlign w:val="superscript"/>
        </w:rPr>
        <w:footnoteReference w:id="144"/>
      </w:r>
    </w:p>
    <w:p w14:paraId="6502FDF8">
      <w:pPr>
        <w:pStyle w:val="4"/>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National Information Technology Development Act;</w:t>
      </w:r>
      <w:r>
        <w:rPr>
          <w:rStyle w:val="48"/>
          <w:rFonts w:ascii="Times New Roman" w:hAnsi="Times New Roman" w:eastAsia="Times New Roman" w:cs="Times New Roman"/>
          <w:sz w:val="24"/>
          <w:szCs w:val="24"/>
          <w:vertAlign w:val="superscript"/>
        </w:rPr>
        <w:footnoteReference w:id="145"/>
      </w:r>
      <w:r>
        <w:rPr>
          <w:rFonts w:ascii="Times New Roman" w:hAnsi="Times New Roman" w:cs="Times New Roman"/>
          <w:sz w:val="24"/>
          <w:szCs w:val="24"/>
        </w:rPr>
        <w:t xml:space="preserve"> </w:t>
      </w:r>
    </w:p>
    <w:p w14:paraId="3ED5F254">
      <w:pPr>
        <w:pStyle w:val="4"/>
        <w:numPr>
          <w:ilvl w:val="0"/>
          <w:numId w:val="20"/>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Niger Delta Development Commission (Establishment ) Act,</w:t>
      </w:r>
    </w:p>
    <w:p w14:paraId="30BE5530">
      <w:pPr>
        <w:pStyle w:val="4"/>
        <w:numPr>
          <w:ilvl w:val="0"/>
          <w:numId w:val="20"/>
        </w:numPr>
        <w:spacing w:after="0" w:line="480" w:lineRule="auto"/>
        <w:jc w:val="both"/>
        <w:rPr>
          <w:rFonts w:ascii="Times New Roman" w:hAnsi="Times New Roman" w:cs="Times New Roman"/>
          <w:sz w:val="24"/>
          <w:szCs w:val="24"/>
          <w:lang w:val="nl-NL"/>
        </w:rPr>
      </w:pPr>
      <w:r>
        <w:rPr>
          <w:rFonts w:ascii="Times New Roman" w:hAnsi="Times New Roman" w:cs="Times New Roman"/>
          <w:sz w:val="24"/>
          <w:szCs w:val="24"/>
          <w:lang w:val="nl-NL"/>
        </w:rPr>
        <w:t>Nigeria Local Content Development Act</w:t>
      </w:r>
    </w:p>
    <w:p w14:paraId="10D6CFA8">
      <w:pPr>
        <w:pStyle w:val="4"/>
        <w:numPr>
          <w:ilvl w:val="0"/>
          <w:numId w:val="20"/>
        </w:numPr>
        <w:spacing w:after="0" w:line="480" w:lineRule="auto"/>
        <w:jc w:val="both"/>
        <w:rPr>
          <w:rFonts w:ascii="Times New Roman" w:hAnsi="Times New Roman" w:cs="Times New Roman"/>
          <w:sz w:val="24"/>
          <w:szCs w:val="24"/>
          <w:lang w:val="nl-NL"/>
        </w:rPr>
      </w:pPr>
      <w:r>
        <w:rPr>
          <w:rStyle w:val="48"/>
          <w:rFonts w:ascii="Times New Roman" w:hAnsi="Times New Roman" w:cs="Times New Roman"/>
          <w:sz w:val="24"/>
          <w:szCs w:val="24"/>
          <w:lang w:val="nl-NL"/>
        </w:rPr>
        <w:t>Stamp Duties Act (SDA);</w:t>
      </w:r>
      <w:r>
        <w:rPr>
          <w:rStyle w:val="48"/>
          <w:rFonts w:ascii="Times New Roman" w:hAnsi="Times New Roman" w:eastAsia="Times New Roman" w:cs="Times New Roman"/>
          <w:sz w:val="24"/>
          <w:szCs w:val="24"/>
          <w:vertAlign w:val="superscript"/>
        </w:rPr>
        <w:footnoteReference w:id="146"/>
      </w:r>
      <w:r>
        <w:rPr>
          <w:rStyle w:val="48"/>
          <w:rFonts w:ascii="Times New Roman" w:hAnsi="Times New Roman" w:cs="Times New Roman"/>
          <w:sz w:val="24"/>
          <w:szCs w:val="24"/>
        </w:rPr>
        <w:t xml:space="preserve"> and</w:t>
      </w:r>
    </w:p>
    <w:p w14:paraId="1BE922DF">
      <w:pPr>
        <w:pStyle w:val="4"/>
        <w:numPr>
          <w:ilvl w:val="0"/>
          <w:numId w:val="20"/>
        </w:numPr>
        <w:spacing w:after="0" w:line="480" w:lineRule="auto"/>
        <w:jc w:val="both"/>
        <w:rPr>
          <w:rFonts w:ascii="Times New Roman" w:hAnsi="Times New Roman" w:cs="Times New Roman"/>
          <w:sz w:val="24"/>
          <w:szCs w:val="24"/>
        </w:rPr>
      </w:pPr>
      <w:r>
        <w:rPr>
          <w:rStyle w:val="48"/>
          <w:rFonts w:ascii="Times New Roman" w:hAnsi="Times New Roman" w:cs="Times New Roman"/>
          <w:sz w:val="24"/>
          <w:szCs w:val="24"/>
        </w:rPr>
        <w:t xml:space="preserve"> </w:t>
      </w:r>
      <w:r>
        <w:rPr>
          <w:rStyle w:val="48"/>
          <w:rFonts w:ascii="Times New Roman" w:hAnsi="Times New Roman" w:cs="Times New Roman"/>
          <w:sz w:val="24"/>
          <w:szCs w:val="24"/>
          <w:lang w:val="it-IT"/>
        </w:rPr>
        <w:t>Custom, Excise Tariff, Etc. (Consolidation) Act.</w:t>
      </w:r>
      <w:r>
        <w:rPr>
          <w:rStyle w:val="48"/>
          <w:rFonts w:ascii="Times New Roman" w:hAnsi="Times New Roman" w:eastAsia="Times New Roman" w:cs="Times New Roman"/>
          <w:sz w:val="24"/>
          <w:szCs w:val="24"/>
          <w:vertAlign w:val="superscript"/>
        </w:rPr>
        <w:footnoteReference w:id="147"/>
      </w:r>
    </w:p>
    <w:p w14:paraId="59EB7963">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Petroleum Profit Tax (PPT) derives its legal basis from the Petroleum Profits Tax Act (PPTA). It is a tax imposed on profits of companies carrying on petroleum operations in Nigeria, so long as the profits are derived from winning, obtaining and transportation of petroleum. The top tax rate for the PPT, under the PPTA is 85% of the chargeable profit. However, companies in the first five years of petroleum operations can enjoy a concessionary tax rate of %65.75% if they have not commenced continuous commercial production. Companies engaged in upstream petroleum operation in a production sharing arrangement are liable to PPT at 50%. The DOIBPSA/PSC Act amends the PPTA to accommodate the taxation of petroleum operations carried on in production sharing contract operations. The PSC basis for taxation is the income from Contract Areas, as opposed to the global income of the entity prescribed under the PPTA. </w:t>
      </w:r>
    </w:p>
    <w:p w14:paraId="399CA388">
      <w:pPr>
        <w:pStyle w:val="4"/>
        <w:spacing w:after="0" w:line="480" w:lineRule="auto"/>
        <w:jc w:val="both"/>
        <w:rPr>
          <w:rStyle w:val="48"/>
          <w:rFonts w:ascii="Times New Roman" w:hAnsi="Times New Roman" w:cs="Times New Roman"/>
          <w:sz w:val="24"/>
          <w:szCs w:val="24"/>
        </w:rPr>
      </w:pPr>
    </w:p>
    <w:p w14:paraId="493A66B5">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Companies engaged in upstream petroleum operations in PSC’s with NNPC, in the deep offshore and inland basis contract area, have been granted certain fiscal incentives and concessions, including enhanced capital allowance and capital investment allowance as well as reduced royalty rates, determined by the terrain of the petroleum finds. The application of the incentives and the interpretation of certain provisions of DOIBPSA, vis-a-vis the PPTA, have resulted in several contentious issues that have gone to arbitration and litigation. To stem this spate of litigation and perhaps to claw back some of the concessions granted to such PSC petroleum operations, the DOIBPSA PSC/Act was amended in 2019.</w:t>
      </w:r>
      <w:r>
        <w:rPr>
          <w:rStyle w:val="48"/>
          <w:rFonts w:ascii="Times New Roman" w:hAnsi="Times New Roman" w:eastAsia="Times New Roman" w:cs="Times New Roman"/>
          <w:sz w:val="24"/>
          <w:szCs w:val="24"/>
          <w:vertAlign w:val="superscript"/>
        </w:rPr>
        <w:footnoteReference w:id="148"/>
      </w:r>
      <w:r>
        <w:rPr>
          <w:rStyle w:val="48"/>
          <w:rFonts w:ascii="Times New Roman" w:hAnsi="Times New Roman" w:cs="Times New Roman"/>
          <w:sz w:val="24"/>
          <w:szCs w:val="24"/>
        </w:rPr>
        <w:t xml:space="preserve"> We shall examine these contentious issues, since the interpretation and administration of PSC Act, vis-à-vis the PPTA, has resulted in incidents of taxing uncertainties which are addressed in chapters 4 of the thesis. </w:t>
      </w:r>
    </w:p>
    <w:p w14:paraId="60830079">
      <w:pPr>
        <w:pStyle w:val="4"/>
        <w:spacing w:after="0" w:line="480" w:lineRule="auto"/>
        <w:jc w:val="both"/>
        <w:rPr>
          <w:rStyle w:val="48"/>
          <w:rFonts w:ascii="Times New Roman" w:hAnsi="Times New Roman" w:cs="Times New Roman"/>
          <w:sz w:val="24"/>
          <w:szCs w:val="24"/>
        </w:rPr>
      </w:pPr>
    </w:p>
    <w:p w14:paraId="1CB6102E">
      <w:pPr>
        <w:pStyle w:val="4"/>
        <w:spacing w:line="480" w:lineRule="auto"/>
        <w:jc w:val="both"/>
        <w:rPr>
          <w:rStyle w:val="48"/>
          <w:rFonts w:ascii="Times New Roman" w:hAnsi="Times New Roman" w:cs="Times New Roman"/>
          <w:sz w:val="24"/>
          <w:szCs w:val="24"/>
        </w:rPr>
      </w:pPr>
      <w:r>
        <w:rPr>
          <w:rFonts w:ascii="Times New Roman" w:hAnsi="Times New Roman" w:eastAsia="Times New Roman" w:cs="Times New Roman"/>
          <w:sz w:val="24"/>
          <w:szCs w:val="24"/>
        </w:rPr>
        <w:t>The Company Income Tax Act (CITA) on the other hand is the primary company income tax (CIT) imposed on profits of incorporated companies carrying on business in Nigeria, other than the tax imposed on the profits derived from upstream petroleum operations.</w:t>
      </w:r>
      <w:r>
        <w:rPr>
          <w:rFonts w:ascii="Times New Roman" w:hAnsi="Times New Roman" w:eastAsia="Times New Roman" w:cs="Times New Roman"/>
          <w:sz w:val="24"/>
          <w:szCs w:val="24"/>
          <w:vertAlign w:val="superscript"/>
        </w:rPr>
        <w:footnoteReference w:id="149"/>
      </w:r>
      <w:r>
        <w:rPr>
          <w:rFonts w:ascii="Times New Roman" w:hAnsi="Times New Roman" w:eastAsia="Times New Roman" w:cs="Times New Roman"/>
          <w:sz w:val="24"/>
          <w:szCs w:val="24"/>
        </w:rPr>
        <w:t xml:space="preserve"> CIT applies to the worldwide income of a Nigerian incorporated company, while non-Nigerian companies are assessed on the income attributable to their operations in Nigeria. The incomes liable to the CIT include business or trade income, rent or premium from property lease or occupation, fees and allowances due from rental income, profits or gains from acquisition and disposal of short-term monetary instruments, and any other annual profits or gains.  </w:t>
      </w:r>
      <w:r>
        <w:rPr>
          <w:rStyle w:val="48"/>
          <w:rFonts w:ascii="Times New Roman" w:hAnsi="Times New Roman" w:cs="Times New Roman"/>
          <w:sz w:val="24"/>
          <w:szCs w:val="24"/>
        </w:rPr>
        <w:t>The intersection and the interaction of the PPTA and CITA has been a source of uncertainty and interpretational challenges with regards to the treatment of associated gas</w:t>
      </w:r>
      <w:r>
        <w:rPr>
          <w:rStyle w:val="23"/>
          <w:sz w:val="24"/>
          <w:szCs w:val="24"/>
        </w:rPr>
        <w:footnoteReference w:id="150"/>
      </w:r>
      <w:r>
        <w:rPr>
          <w:rStyle w:val="48"/>
          <w:rFonts w:ascii="Times New Roman" w:hAnsi="Times New Roman" w:cs="Times New Roman"/>
          <w:sz w:val="24"/>
          <w:szCs w:val="24"/>
        </w:rPr>
        <w:t xml:space="preserve"> expenditure and income. </w:t>
      </w:r>
    </w:p>
    <w:p w14:paraId="0F976F9C">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The Tertiary Education Tax (TET), (formerly referred to as </w:t>
      </w:r>
      <w:r>
        <w:rPr>
          <w:rFonts w:ascii="Times New Roman" w:hAnsi="Times New Roman" w:cs="Times New Roman"/>
          <w:sz w:val="24"/>
          <w:szCs w:val="24"/>
        </w:rPr>
        <w:t>Education Tax) is a</w:t>
      </w:r>
      <w:r>
        <w:rPr>
          <w:rFonts w:ascii="Times New Roman" w:hAnsi="Times New Roman" w:cs="Times New Roman"/>
          <w:b/>
          <w:sz w:val="24"/>
          <w:szCs w:val="24"/>
        </w:rPr>
        <w:t xml:space="preserve"> </w:t>
      </w:r>
      <w:r>
        <w:rPr>
          <w:rFonts w:ascii="Times New Roman" w:hAnsi="Times New Roman" w:cs="Times New Roman"/>
          <w:bCs/>
          <w:sz w:val="24"/>
          <w:szCs w:val="24"/>
        </w:rPr>
        <w:t>contribution to the Education Tax Fund</w:t>
      </w:r>
      <w:r>
        <w:rPr>
          <w:rStyle w:val="48"/>
          <w:rFonts w:ascii="Times New Roman" w:hAnsi="Times New Roman" w:cs="Times New Roman"/>
          <w:sz w:val="24"/>
          <w:szCs w:val="24"/>
        </w:rPr>
        <w:t>.</w:t>
      </w:r>
      <w:r>
        <w:rPr>
          <w:rStyle w:val="48"/>
          <w:rFonts w:ascii="Times New Roman" w:hAnsi="Times New Roman" w:cs="Times New Roman"/>
          <w:b/>
          <w:sz w:val="24"/>
          <w:szCs w:val="24"/>
        </w:rPr>
        <w:t xml:space="preserve"> </w:t>
      </w:r>
      <w:r>
        <w:rPr>
          <w:rStyle w:val="48"/>
          <w:rFonts w:ascii="Times New Roman" w:hAnsi="Times New Roman" w:cs="Times New Roman"/>
          <w:sz w:val="24"/>
          <w:szCs w:val="24"/>
        </w:rPr>
        <w:t>It is imposed at 2% on the assessable profit of companies incorporated in Nigeria. The TET levy derives its legal basis from the Tertiary Education Trust Fund (Establishment) Act 2011. There is also the 3% NDDC levy</w:t>
      </w:r>
      <w:r>
        <w:rPr>
          <w:rStyle w:val="23"/>
          <w:sz w:val="24"/>
          <w:szCs w:val="24"/>
        </w:rPr>
        <w:footnoteReference w:id="151"/>
      </w:r>
      <w:r>
        <w:rPr>
          <w:rStyle w:val="48"/>
          <w:rFonts w:ascii="Times New Roman" w:hAnsi="Times New Roman" w:cs="Times New Roman"/>
          <w:sz w:val="24"/>
          <w:szCs w:val="24"/>
        </w:rPr>
        <w:t xml:space="preserve"> imposed on the annual budget of oil producing companies operating in the Niger Delta region of Nigeria. The incidence of these taxes and levies on companies engaged in petroleum operations is aimed at increasing government take from the sector and creates opportunity for conflicts and distortions in the system.  </w:t>
      </w:r>
    </w:p>
    <w:p w14:paraId="3FA15E4E">
      <w:pPr>
        <w:pStyle w:val="4"/>
        <w:spacing w:after="0" w:line="480" w:lineRule="auto"/>
        <w:jc w:val="both"/>
        <w:rPr>
          <w:rStyle w:val="48"/>
          <w:rFonts w:ascii="Times New Roman" w:hAnsi="Times New Roman" w:cs="Times New Roman"/>
          <w:sz w:val="24"/>
          <w:szCs w:val="24"/>
        </w:rPr>
      </w:pPr>
    </w:p>
    <w:p w14:paraId="2CABBDBD">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There are also transaction taxes, and these include the Value Added Tax (VAT), which derives its basis from the Value Added Tax Act (VATA). The VAT is chargeable on the supply of taxable goods and services except items specifically stated to be exempt, which includes all exports, and all exported services. Zero-rated goods and services include non-oil exports.</w:t>
      </w:r>
      <w:r>
        <w:rPr>
          <w:rStyle w:val="48"/>
          <w:rFonts w:ascii="Times New Roman" w:hAnsi="Times New Roman" w:eastAsia="Times New Roman" w:cs="Times New Roman"/>
          <w:sz w:val="24"/>
          <w:szCs w:val="24"/>
          <w:vertAlign w:val="superscript"/>
        </w:rPr>
        <w:footnoteReference w:id="152"/>
      </w:r>
      <w:r>
        <w:rPr>
          <w:rStyle w:val="48"/>
          <w:rFonts w:ascii="Times New Roman" w:hAnsi="Times New Roman" w:cs="Times New Roman"/>
          <w:sz w:val="24"/>
          <w:szCs w:val="24"/>
        </w:rPr>
        <w:t xml:space="preserve"> The capital gains tax (CGT) derives its legal basis from the Capital Gains Tax Act (CGTA) and applies to capital gains on disposal of assets by companies and individuals in Nigeria. The CGTA defines the ‘disposal of assets’ as the capital sum obtained from the sale, lease, transfer, assignment and any other disposal of assets. The tax rate for the CGT is 10% of chargeable gains. This impacts disposals in upstream petroleum operations in several ways and has been the subject matter for administrative and judicial interpretation, especially with respect to capital allowances. These are discussed in chapter 4 of the thesis.  </w:t>
      </w:r>
    </w:p>
    <w:p w14:paraId="539AC89C">
      <w:pPr>
        <w:pStyle w:val="52"/>
        <w:spacing w:after="0" w:line="480" w:lineRule="auto"/>
        <w:ind w:left="426"/>
        <w:jc w:val="both"/>
        <w:rPr>
          <w:rStyle w:val="48"/>
          <w:rFonts w:ascii="Times New Roman" w:hAnsi="Times New Roman" w:eastAsia="Times New Roman" w:cs="Times New Roman"/>
          <w:color w:val="auto"/>
          <w:sz w:val="24"/>
          <w:szCs w:val="24"/>
        </w:rPr>
      </w:pPr>
    </w:p>
    <w:p w14:paraId="740EF76A">
      <w:pPr>
        <w:pStyle w:val="39"/>
        <w:numPr>
          <w:ilvl w:val="2"/>
          <w:numId w:val="19"/>
        </w:numPr>
        <w:spacing w:line="480" w:lineRule="auto"/>
        <w:jc w:val="both"/>
        <w:rPr>
          <w:rStyle w:val="41"/>
          <w:rFonts w:ascii="Times New Roman" w:hAnsi="Times New Roman" w:eastAsia="Calibri" w:cs="Calibri"/>
          <w:b/>
          <w:bCs/>
          <w:caps w:val="0"/>
          <w:sz w:val="22"/>
          <w:szCs w:val="22"/>
        </w:rPr>
      </w:pPr>
      <w:bookmarkStart w:id="13" w:name="_Toc11"/>
      <w:r>
        <w:rPr>
          <w:rStyle w:val="41"/>
          <w:rFonts w:ascii="Times New Roman" w:hAnsi="Times New Roman"/>
          <w:b/>
          <w:bCs/>
        </w:rPr>
        <w:t>Tax Administration</w:t>
      </w:r>
      <w:bookmarkEnd w:id="13"/>
    </w:p>
    <w:p w14:paraId="7D36892D">
      <w:pPr>
        <w:pStyle w:val="4"/>
      </w:pPr>
    </w:p>
    <w:p w14:paraId="3039844D">
      <w:pPr>
        <w:pStyle w:val="4"/>
        <w:spacing w:after="0" w:line="480" w:lineRule="auto"/>
        <w:jc w:val="both"/>
        <w:rPr>
          <w:rFonts w:ascii="Times New Roman" w:hAnsi="Times New Roman" w:cs="Times New Roman"/>
          <w:sz w:val="24"/>
          <w:szCs w:val="24"/>
        </w:rPr>
      </w:pPr>
      <w:r>
        <w:rPr>
          <w:rStyle w:val="48"/>
          <w:rFonts w:ascii="Times New Roman" w:hAnsi="Times New Roman" w:cs="Times New Roman"/>
          <w:sz w:val="24"/>
          <w:szCs w:val="24"/>
        </w:rPr>
        <w:t>The administration of tax in Nigeria is vested in the tax authorities at the Federal and State government levels and the revenue committees at the Local government levels.</w:t>
      </w:r>
      <w:r>
        <w:rPr>
          <w:rStyle w:val="48"/>
          <w:rFonts w:ascii="Times New Roman" w:hAnsi="Times New Roman" w:eastAsia="Times New Roman" w:cs="Times New Roman"/>
          <w:sz w:val="24"/>
          <w:szCs w:val="24"/>
          <w:vertAlign w:val="superscript"/>
        </w:rPr>
        <w:footnoteReference w:id="153"/>
      </w:r>
      <w:r>
        <w:rPr>
          <w:rStyle w:val="48"/>
          <w:rFonts w:ascii="Times New Roman" w:hAnsi="Times New Roman" w:cs="Times New Roman"/>
          <w:sz w:val="24"/>
          <w:szCs w:val="24"/>
        </w:rPr>
        <w:t xml:space="preserve"> The Federal Inland Revenue Service (FIRS) administers the Federal taxes, while the States taxes are administered by the Internal Revenue Board of the respective States.</w:t>
      </w:r>
      <w:r>
        <w:rPr>
          <w:rStyle w:val="48"/>
          <w:rFonts w:ascii="Times New Roman" w:hAnsi="Times New Roman" w:eastAsia="Times New Roman" w:cs="Times New Roman"/>
          <w:sz w:val="24"/>
          <w:szCs w:val="24"/>
          <w:vertAlign w:val="superscript"/>
        </w:rPr>
        <w:footnoteReference w:id="154"/>
      </w:r>
      <w:r>
        <w:rPr>
          <w:rStyle w:val="48"/>
          <w:rFonts w:ascii="Times New Roman" w:hAnsi="Times New Roman" w:cs="Times New Roman"/>
          <w:sz w:val="24"/>
          <w:szCs w:val="24"/>
        </w:rPr>
        <w:t xml:space="preserve"> The local councils administer local government levies. The enabling law in respect of each type of tax will normally contain a provision as to the body charged with the administration of the tax. The taxes can be categorized into 3 types, i.e. t</w:t>
      </w:r>
      <w:r>
        <w:rPr>
          <w:rStyle w:val="41"/>
          <w:rFonts w:ascii="Times New Roman" w:hAnsi="Times New Roman" w:cs="Times New Roman"/>
          <w:sz w:val="24"/>
          <w:szCs w:val="24"/>
        </w:rPr>
        <w:t>axes imposed on individuals, taxes imposed on corporate entities and taxes imposed on transactions and assets.</w:t>
      </w:r>
    </w:p>
    <w:p w14:paraId="299548AE">
      <w:pPr>
        <w:pStyle w:val="4"/>
        <w:spacing w:after="0" w:line="480" w:lineRule="auto"/>
        <w:jc w:val="both"/>
        <w:rPr>
          <w:rStyle w:val="48"/>
          <w:rFonts w:ascii="Times New Roman" w:hAnsi="Times New Roman" w:eastAsia="Times New Roman" w:cs="Times New Roman"/>
          <w:sz w:val="24"/>
          <w:szCs w:val="24"/>
        </w:rPr>
      </w:pPr>
    </w:p>
    <w:p w14:paraId="5F11F25B">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The functions of the FIRS include assessing persons, companies, and enterprises chargeable to tax, as well as collecting, accounting, and the enforcement of payment of taxes as may be due to the Government or any of its agencies. The FIRS is empowered to make rules from time to time for the administration of the taxes under the relevant enactments.</w:t>
      </w:r>
      <w:r>
        <w:rPr>
          <w:rStyle w:val="48"/>
          <w:rFonts w:ascii="Times New Roman" w:hAnsi="Times New Roman" w:eastAsia="Times New Roman" w:cs="Times New Roman"/>
          <w:sz w:val="24"/>
          <w:szCs w:val="24"/>
          <w:vertAlign w:val="superscript"/>
        </w:rPr>
        <w:footnoteReference w:id="155"/>
      </w:r>
      <w:r>
        <w:rPr>
          <w:rStyle w:val="48"/>
          <w:rFonts w:ascii="Times New Roman" w:hAnsi="Times New Roman" w:cs="Times New Roman"/>
          <w:sz w:val="24"/>
          <w:szCs w:val="24"/>
        </w:rPr>
        <w:t xml:space="preserve"> The FIRS is responsible for the assessment and collection of the PPT and CIT</w:t>
      </w:r>
      <w:r>
        <w:rPr>
          <w:rStyle w:val="48"/>
          <w:rFonts w:ascii="Times New Roman" w:hAnsi="Times New Roman" w:eastAsia="Times New Roman" w:cs="Times New Roman"/>
          <w:sz w:val="24"/>
          <w:szCs w:val="24"/>
          <w:vertAlign w:val="superscript"/>
        </w:rPr>
        <w:footnoteReference w:id="156"/>
      </w:r>
      <w:r>
        <w:rPr>
          <w:rStyle w:val="48"/>
          <w:rFonts w:ascii="Times New Roman" w:hAnsi="Times New Roman" w:cs="Times New Roman"/>
          <w:sz w:val="24"/>
          <w:szCs w:val="24"/>
        </w:rPr>
        <w:t xml:space="preserve">  as well as the power to administer all the enactments listed in the First Schedule to the FIRS Act</w:t>
      </w:r>
      <w:r>
        <w:rPr>
          <w:rStyle w:val="48"/>
          <w:rFonts w:ascii="Times New Roman" w:hAnsi="Times New Roman" w:eastAsia="Times New Roman" w:cs="Times New Roman"/>
          <w:sz w:val="24"/>
          <w:szCs w:val="24"/>
          <w:vertAlign w:val="superscript"/>
        </w:rPr>
        <w:footnoteReference w:id="157"/>
      </w:r>
      <w:r>
        <w:rPr>
          <w:rStyle w:val="48"/>
          <w:rFonts w:ascii="Times New Roman" w:hAnsi="Times New Roman" w:cs="Times New Roman"/>
          <w:sz w:val="24"/>
          <w:szCs w:val="24"/>
        </w:rPr>
        <w:t xml:space="preserve"> and any other enactment or law on taxation in respect of which the NA may confer power on the FIRS. </w:t>
      </w:r>
    </w:p>
    <w:p w14:paraId="4E8B8146">
      <w:pPr>
        <w:pStyle w:val="4"/>
        <w:spacing w:after="0" w:line="480" w:lineRule="auto"/>
        <w:jc w:val="both"/>
        <w:rPr>
          <w:rStyle w:val="48"/>
          <w:rFonts w:ascii="Times New Roman" w:hAnsi="Times New Roman" w:cs="Times New Roman"/>
          <w:sz w:val="24"/>
          <w:szCs w:val="24"/>
        </w:rPr>
      </w:pPr>
    </w:p>
    <w:p w14:paraId="58EB29B4">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State Inland Revenue Services perform functions similar to the FIRS, concerning management, assessment and collection of taxes, at the States level, whilst the revenue committees play similar roles at the local government levels. The taxing authorities rely in practice on the annual Finance Appropriation Acts and circulars,</w:t>
      </w:r>
      <w:r>
        <w:rPr>
          <w:rStyle w:val="48"/>
          <w:rFonts w:ascii="Times New Roman" w:hAnsi="Times New Roman" w:eastAsia="Times New Roman" w:cs="Times New Roman"/>
          <w:sz w:val="24"/>
          <w:szCs w:val="24"/>
          <w:vertAlign w:val="superscript"/>
        </w:rPr>
        <w:footnoteReference w:id="158"/>
      </w:r>
      <w:r>
        <w:rPr>
          <w:rStyle w:val="48"/>
          <w:rFonts w:ascii="Times New Roman" w:hAnsi="Times New Roman" w:cs="Times New Roman"/>
          <w:sz w:val="24"/>
          <w:szCs w:val="24"/>
        </w:rPr>
        <w:t>as well as Practice Notices and Guidelines to effect changes in the taxing regime.</w:t>
      </w:r>
      <w:r>
        <w:rPr>
          <w:rStyle w:val="48"/>
          <w:rFonts w:ascii="Times New Roman" w:hAnsi="Times New Roman" w:eastAsia="Times New Roman" w:cs="Times New Roman"/>
          <w:sz w:val="24"/>
          <w:szCs w:val="24"/>
          <w:vertAlign w:val="superscript"/>
        </w:rPr>
        <w:footnoteReference w:id="159"/>
      </w:r>
      <w:r>
        <w:rPr>
          <w:rStyle w:val="48"/>
          <w:rFonts w:ascii="Times New Roman" w:hAnsi="Times New Roman" w:cs="Times New Roman"/>
          <w:sz w:val="24"/>
          <w:szCs w:val="24"/>
        </w:rPr>
        <w:t xml:space="preserve"> Where appropriate, there is also reliance on English and common law principles,</w:t>
      </w:r>
      <w:r>
        <w:rPr>
          <w:rStyle w:val="48"/>
          <w:rFonts w:ascii="Times New Roman" w:hAnsi="Times New Roman" w:eastAsia="Times New Roman" w:cs="Times New Roman"/>
          <w:sz w:val="24"/>
          <w:szCs w:val="24"/>
          <w:vertAlign w:val="superscript"/>
        </w:rPr>
        <w:footnoteReference w:id="160"/>
      </w:r>
      <w:r>
        <w:rPr>
          <w:rStyle w:val="48"/>
          <w:rFonts w:ascii="Times New Roman" w:hAnsi="Times New Roman" w:cs="Times New Roman"/>
          <w:sz w:val="24"/>
          <w:szCs w:val="24"/>
        </w:rPr>
        <w:t xml:space="preserve"> customary laws and tradition</w:t>
      </w:r>
      <w:r>
        <w:rPr>
          <w:rStyle w:val="48"/>
          <w:rFonts w:ascii="Times New Roman" w:hAnsi="Times New Roman" w:eastAsia="Times New Roman" w:cs="Times New Roman"/>
          <w:sz w:val="24"/>
          <w:szCs w:val="24"/>
          <w:vertAlign w:val="superscript"/>
        </w:rPr>
        <w:footnoteReference w:id="161"/>
      </w:r>
      <w:r>
        <w:rPr>
          <w:rStyle w:val="48"/>
          <w:rFonts w:ascii="Times New Roman" w:hAnsi="Times New Roman" w:cs="Times New Roman"/>
          <w:sz w:val="24"/>
          <w:szCs w:val="24"/>
        </w:rPr>
        <w:t xml:space="preserve"> and judicial precedent to assist and provide direction to the tax authorities and taxpayers.</w:t>
      </w:r>
      <w:r>
        <w:rPr>
          <w:rStyle w:val="48"/>
          <w:rFonts w:ascii="Times New Roman" w:hAnsi="Times New Roman" w:eastAsia="Times New Roman" w:cs="Times New Roman"/>
          <w:sz w:val="24"/>
          <w:szCs w:val="24"/>
          <w:vertAlign w:val="superscript"/>
        </w:rPr>
        <w:footnoteReference w:id="162"/>
      </w:r>
      <w:r>
        <w:rPr>
          <w:rStyle w:val="48"/>
          <w:rFonts w:ascii="Times New Roman" w:hAnsi="Times New Roman" w:cs="Times New Roman"/>
          <w:sz w:val="24"/>
          <w:szCs w:val="24"/>
        </w:rPr>
        <w:t xml:space="preserve"> </w:t>
      </w:r>
    </w:p>
    <w:p w14:paraId="50ABBEF9">
      <w:pPr>
        <w:pStyle w:val="4"/>
        <w:spacing w:after="0" w:line="480" w:lineRule="auto"/>
        <w:jc w:val="both"/>
        <w:rPr>
          <w:rStyle w:val="48"/>
          <w:rFonts w:ascii="Times New Roman" w:hAnsi="Times New Roman" w:eastAsia="Times New Roman" w:cs="Times New Roman"/>
          <w:color w:val="auto"/>
          <w:sz w:val="24"/>
          <w:szCs w:val="24"/>
        </w:rPr>
      </w:pPr>
    </w:p>
    <w:p w14:paraId="67CA3577">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The coordination of the tax administrative and regulatory authorities of the country is done by the Joint Tax Board (JTB). The functions of the JTB include the exercise of the powers and duties conferred on it by the Personal Income Tax Act (PITA) and other Acts. The JTB also advises the FG in respect of double taxation arrangements with other countries and other taxation matters, having effect throughout Nigeria in respect of any proposed amendment to PITA. The JTB has responsibility to promote uniformity, both in the application of PITA and in the incidence of tax on individuals throughout Nigeria. The JTB is required to impose its decisions on matters of procedure and interpretation of PITA, for purposes of conforming with agreed procedures or interpretation. By the law establishing the JTB, it would appear the focus of the JTB should be limited to the proper functioning of PITA, although in practice it seems it may have extended its reach. Consequently, there is a recommendation in the Revised National Tax Policy (RNTP) approved in 2017</w:t>
      </w:r>
      <w:r>
        <w:rPr>
          <w:rStyle w:val="23"/>
          <w:rFonts w:ascii="Times New Roman" w:hAnsi="Times New Roman" w:cs="Times New Roman"/>
          <w:sz w:val="24"/>
          <w:szCs w:val="24"/>
        </w:rPr>
        <w:footnoteReference w:id="163"/>
      </w:r>
      <w:r>
        <w:rPr>
          <w:rStyle w:val="48"/>
          <w:rFonts w:ascii="Times New Roman" w:hAnsi="Times New Roman" w:cs="Times New Roman"/>
          <w:sz w:val="24"/>
          <w:szCs w:val="24"/>
        </w:rPr>
        <w:t xml:space="preserve">, to review the law establishing the JTB, which has not been acted on. </w:t>
      </w:r>
    </w:p>
    <w:p w14:paraId="5371FC5B">
      <w:pPr>
        <w:pStyle w:val="4"/>
        <w:spacing w:after="0" w:line="480" w:lineRule="auto"/>
        <w:jc w:val="both"/>
        <w:rPr>
          <w:rStyle w:val="48"/>
          <w:rFonts w:ascii="Times New Roman" w:hAnsi="Times New Roman" w:eastAsia="Times New Roman" w:cs="Times New Roman"/>
          <w:sz w:val="24"/>
          <w:szCs w:val="24"/>
        </w:rPr>
      </w:pPr>
    </w:p>
    <w:p w14:paraId="56EB1F00">
      <w:pPr>
        <w:spacing w:line="480" w:lineRule="auto"/>
        <w:rPr>
          <w:rStyle w:val="48"/>
          <w:b/>
          <w:bCs/>
        </w:rPr>
      </w:pPr>
      <w:bookmarkStart w:id="14" w:name="_Toc12"/>
    </w:p>
    <w:p w14:paraId="15112B14">
      <w:pPr>
        <w:spacing w:line="480" w:lineRule="auto"/>
        <w:rPr>
          <w:rFonts w:eastAsia="Arial"/>
          <w:b/>
          <w:bCs/>
        </w:rPr>
      </w:pPr>
      <w:r>
        <w:rPr>
          <w:rStyle w:val="48"/>
          <w:b/>
          <w:bCs/>
        </w:rPr>
        <w:t>2.3.3</w:t>
      </w:r>
      <w:r>
        <w:rPr>
          <w:rStyle w:val="48"/>
          <w:b/>
          <w:bCs/>
        </w:rPr>
        <w:tab/>
      </w:r>
      <w:r>
        <w:rPr>
          <w:rStyle w:val="48"/>
          <w:b/>
          <w:bCs/>
        </w:rPr>
        <w:t xml:space="preserve"> TAX ADJUDICATION AND APPEAL PROCESS</w:t>
      </w:r>
      <w:bookmarkEnd w:id="14"/>
    </w:p>
    <w:p w14:paraId="4EAE5D34">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Nigerian judicial system has procedures for tax adjudication, and the common law principle of precedent applies to decisions. Tax statutes confer on individuals or companies disputing an assessment raised on it by the tax authority the right to give notice of objection to the FIRS or the relevant State IRS, seeking a review or revision of the assessment. Where the taxpayer fails to agree with the tax authority on the amount of tax payable, and the relevant tax authority does not revise or waive the assessment, then a notice of refusal to amend (NORA) the assessment will be issued. A taxpayer who has failed to agree with the tax authority as to the amount of tax due and liable to be paid and on whom a NORA has been served may appeal to the Tax Appeal Tribunal (TAT).  Such an appeal must be filed by a notice in writing and within 30 days.</w:t>
      </w:r>
      <w:r>
        <w:rPr>
          <w:rStyle w:val="48"/>
          <w:rFonts w:ascii="Times New Roman" w:hAnsi="Times New Roman" w:eastAsia="Times New Roman" w:cs="Times New Roman"/>
          <w:sz w:val="24"/>
          <w:szCs w:val="24"/>
          <w:vertAlign w:val="superscript"/>
        </w:rPr>
        <w:footnoteReference w:id="164"/>
      </w:r>
      <w:r>
        <w:rPr>
          <w:rStyle w:val="48"/>
          <w:rFonts w:ascii="Times New Roman" w:hAnsi="Times New Roman" w:cs="Times New Roman"/>
          <w:sz w:val="24"/>
          <w:szCs w:val="24"/>
        </w:rPr>
        <w:t xml:space="preserve">  The Tribunal shall have the power to settle disputes arising from the operation of the FIRS Establishment Act 2007 (FIRSEA), and under the Fifth Schedule to the FIRSEA. The TAT was established by section 59 (1) of the FIRSEA. It is empowered to settle all tax disputes arising from all principal federal tax Acts enumerated in the Fifth Schedule of the FIRSEA. Section 59(1) states:</w:t>
      </w:r>
    </w:p>
    <w:p w14:paraId="123A83E9">
      <w:pPr>
        <w:pStyle w:val="4"/>
        <w:spacing w:after="0" w:line="480" w:lineRule="auto"/>
        <w:jc w:val="both"/>
        <w:rPr>
          <w:rFonts w:ascii="Times New Roman" w:hAnsi="Times New Roman" w:eastAsia="Times New Roman" w:cs="Times New Roman"/>
          <w:sz w:val="24"/>
          <w:szCs w:val="24"/>
        </w:rPr>
      </w:pPr>
    </w:p>
    <w:p w14:paraId="69E34A53">
      <w:pPr>
        <w:pStyle w:val="4"/>
        <w:spacing w:after="0" w:line="480" w:lineRule="auto"/>
        <w:ind w:left="720"/>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“(1) A Tax Appeal Tribunal is established as provided for in the Fifth Schedule to this Act. </w:t>
      </w:r>
    </w:p>
    <w:p w14:paraId="4FA73355">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(2) The Tribunal shall have the power to settle disputes arising from the operations of this Act and under the First Schedule.” </w:t>
      </w:r>
    </w:p>
    <w:p w14:paraId="5C693445">
      <w:pPr>
        <w:pStyle w:val="4"/>
        <w:spacing w:after="0" w:line="480" w:lineRule="auto"/>
        <w:jc w:val="both"/>
        <w:rPr>
          <w:rFonts w:ascii="Times New Roman" w:hAnsi="Times New Roman" w:eastAsia="Times New Roman" w:cs="Times New Roman"/>
          <w:sz w:val="24"/>
          <w:szCs w:val="24"/>
        </w:rPr>
      </w:pPr>
    </w:p>
    <w:p w14:paraId="4B072697">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In addition to this function of the Tax Appeal Tribunal (TAT),</w:t>
      </w:r>
      <w:r>
        <w:rPr>
          <w:rStyle w:val="48"/>
          <w:rFonts w:ascii="Times New Roman" w:hAnsi="Times New Roman" w:eastAsia="Times New Roman" w:cs="Times New Roman"/>
          <w:sz w:val="24"/>
          <w:szCs w:val="24"/>
          <w:vertAlign w:val="superscript"/>
        </w:rPr>
        <w:footnoteReference w:id="165"/>
      </w:r>
      <w:r>
        <w:rPr>
          <w:rStyle w:val="48"/>
          <w:rFonts w:ascii="Times New Roman" w:hAnsi="Times New Roman" w:cs="Times New Roman"/>
          <w:sz w:val="24"/>
          <w:szCs w:val="24"/>
        </w:rPr>
        <w:t xml:space="preserve"> disputes from the defunct Body of Appeal Commissioners and the now defunct VAT Tribunal are referred to the TAT.</w:t>
      </w:r>
      <w:r>
        <w:rPr>
          <w:rStyle w:val="48"/>
          <w:rFonts w:ascii="Times New Roman" w:hAnsi="Times New Roman" w:eastAsia="Times New Roman" w:cs="Times New Roman"/>
          <w:sz w:val="24"/>
          <w:szCs w:val="24"/>
          <w:vertAlign w:val="superscript"/>
        </w:rPr>
        <w:footnoteReference w:id="166"/>
      </w:r>
      <w:r>
        <w:rPr>
          <w:rStyle w:val="48"/>
          <w:rFonts w:ascii="Times New Roman" w:hAnsi="Times New Roman" w:cs="Times New Roman"/>
          <w:sz w:val="24"/>
          <w:szCs w:val="24"/>
        </w:rPr>
        <w:t xml:space="preserve"> Appeals from the TAT may lie to the Federal High Court (FHC).  A further appeal against the decision of the FHC shall lie with the Court of Appeal (CA) and from there to the Supreme Court (SC).</w:t>
      </w:r>
    </w:p>
    <w:p w14:paraId="6C603B6E">
      <w:pPr>
        <w:pStyle w:val="4"/>
        <w:spacing w:after="0" w:line="480" w:lineRule="auto"/>
        <w:jc w:val="both"/>
        <w:rPr>
          <w:rFonts w:ascii="Times New Roman" w:hAnsi="Times New Roman" w:eastAsia="Times New Roman" w:cs="Times New Roman"/>
          <w:sz w:val="24"/>
          <w:szCs w:val="24"/>
        </w:rPr>
      </w:pPr>
    </w:p>
    <w:p w14:paraId="42D4DD3A">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jurisdiction of the TAT came under challenge as unconstitutional when the FHC gave two conflicting decisions on the proper standing of the TAT in the tax dispute resolution process. This jurisdictional challenge of the TAT related to the interpretation of section 251 (1) (b) of the 1999 Constitution of Nigeria (as amended), which reads:</w:t>
      </w:r>
    </w:p>
    <w:p w14:paraId="7B37D40E">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“(1) Notwithstanding anything to the contrary contained in this Constitution, and in addition to such other jurisdiction as may be conferred upon it by an Act of the National Assembly, the Federal High Court shall have and exercise jurisdiction to the exclusion of any other court in civil causes and matters, (b) connected with or about the taxation of companies and other bodies established or carrying on business in Nigeria and all other persons subject to Federal taxation.”</w:t>
      </w:r>
    </w:p>
    <w:p w14:paraId="27CF230F">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In the case of </w:t>
      </w:r>
      <w:r>
        <w:rPr>
          <w:rStyle w:val="48"/>
          <w:rFonts w:ascii="Times New Roman" w:hAnsi="Times New Roman" w:cs="Times New Roman"/>
          <w:i/>
          <w:sz w:val="24"/>
          <w:szCs w:val="24"/>
        </w:rPr>
        <w:t>TSKJ II Construces v Federal Inland Revenue Service</w:t>
      </w:r>
      <w:r>
        <w:rPr>
          <w:rStyle w:val="48"/>
          <w:rFonts w:ascii="Times New Roman" w:hAnsi="Times New Roman" w:cs="Times New Roman"/>
          <w:sz w:val="24"/>
          <w:szCs w:val="24"/>
        </w:rPr>
        <w:t>,</w:t>
      </w:r>
      <w:r>
        <w:rPr>
          <w:rStyle w:val="48"/>
          <w:rFonts w:ascii="Times New Roman" w:hAnsi="Times New Roman" w:eastAsia="Times New Roman" w:cs="Times New Roman"/>
          <w:sz w:val="24"/>
          <w:szCs w:val="24"/>
          <w:vertAlign w:val="superscript"/>
        </w:rPr>
        <w:footnoteReference w:id="167"/>
      </w:r>
      <w:r>
        <w:rPr>
          <w:rStyle w:val="48"/>
          <w:rFonts w:ascii="Times New Roman" w:hAnsi="Times New Roman" w:cs="Times New Roman"/>
          <w:sz w:val="24"/>
          <w:szCs w:val="24"/>
        </w:rPr>
        <w:t xml:space="preserve"> </w:t>
      </w:r>
      <w:r>
        <w:rPr>
          <w:rFonts w:ascii="Times New Roman" w:hAnsi="Times New Roman" w:cs="Times New Roman"/>
          <w:sz w:val="24"/>
          <w:szCs w:val="24"/>
        </w:rPr>
        <w:t>it was argued that section 251 confers exclusive jurisdiction on the FHC to the exclusion of any other court in civil cases and matters on taxation of companies and other bodies carrying on businesses in Nigeria e.g. unregistered companies, non-resident companies etc.  T</w:t>
      </w:r>
      <w:r>
        <w:rPr>
          <w:rStyle w:val="48"/>
          <w:rFonts w:ascii="Times New Roman" w:hAnsi="Times New Roman" w:cs="Times New Roman"/>
          <w:sz w:val="24"/>
          <w:szCs w:val="24"/>
        </w:rPr>
        <w:t xml:space="preserve">he FHC struck down the composition of the TAT on the ground that the FIRS Establishment Act and the Tax Appeal Tribunals (Establishment) Order of November 25th, 2009, under which the TAT was established, conflicted with the exclusive jurisdiction of the FHC conferred by section 251 of the Constitution. </w:t>
      </w:r>
    </w:p>
    <w:p w14:paraId="5080C799">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However, in the second case of </w:t>
      </w:r>
      <w:r>
        <w:rPr>
          <w:rStyle w:val="48"/>
          <w:rFonts w:ascii="Times New Roman" w:hAnsi="Times New Roman" w:cs="Times New Roman"/>
          <w:i/>
          <w:sz w:val="24"/>
          <w:szCs w:val="24"/>
        </w:rPr>
        <w:t>Nigeria National Petroleum Corporation v Tax Appeal Tribunal &amp; 3 Ors</w:t>
      </w:r>
      <w:r>
        <w:rPr>
          <w:rStyle w:val="48"/>
          <w:rFonts w:ascii="Times New Roman" w:hAnsi="Times New Roman" w:cs="Times New Roman"/>
          <w:sz w:val="24"/>
          <w:szCs w:val="24"/>
        </w:rPr>
        <w:t>,</w:t>
      </w:r>
      <w:r>
        <w:rPr>
          <w:rStyle w:val="48"/>
          <w:rFonts w:ascii="Times New Roman" w:hAnsi="Times New Roman" w:eastAsia="Times New Roman" w:cs="Times New Roman"/>
          <w:sz w:val="24"/>
          <w:szCs w:val="24"/>
          <w:vertAlign w:val="superscript"/>
        </w:rPr>
        <w:footnoteReference w:id="168"/>
      </w:r>
      <w:r>
        <w:rPr>
          <w:rStyle w:val="48"/>
          <w:rFonts w:ascii="Times New Roman" w:hAnsi="Times New Roman" w:cs="Times New Roman"/>
          <w:sz w:val="24"/>
          <w:szCs w:val="24"/>
        </w:rPr>
        <w:t xml:space="preserve"> the FHC held that: </w:t>
      </w:r>
    </w:p>
    <w:p w14:paraId="7776078E">
      <w:pPr>
        <w:pStyle w:val="4"/>
        <w:spacing w:after="0" w:line="480" w:lineRule="auto"/>
        <w:jc w:val="both"/>
        <w:rPr>
          <w:rFonts w:ascii="Times New Roman" w:hAnsi="Times New Roman" w:eastAsia="Times New Roman" w:cs="Times New Roman"/>
          <w:sz w:val="24"/>
          <w:szCs w:val="24"/>
        </w:rPr>
      </w:pPr>
    </w:p>
    <w:p w14:paraId="060CBDAA">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“The Tax Appeal Tribunal is not a court; it is subject to appeal to the FHC and is indeed supervised by the Federal High Court through judicial review….”  </w:t>
      </w:r>
    </w:p>
    <w:p w14:paraId="31D4C59A">
      <w:pPr>
        <w:pStyle w:val="4"/>
        <w:spacing w:after="0" w:line="480" w:lineRule="auto"/>
        <w:jc w:val="both"/>
        <w:rPr>
          <w:rStyle w:val="48"/>
          <w:rFonts w:ascii="Times New Roman" w:hAnsi="Times New Roman" w:cs="Times New Roman"/>
          <w:sz w:val="24"/>
          <w:szCs w:val="24"/>
        </w:rPr>
      </w:pPr>
    </w:p>
    <w:p w14:paraId="4AAD6A2E">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It held further that the TAT is not a court within the meaning contemplated by the Constitution.  It is a part of the executive arm of government, as it is established by the Minister of Finance.</w:t>
      </w:r>
    </w:p>
    <w:p w14:paraId="79CF3A41">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Fortunately, the two conflicting FHC decisions have been clarified by the Court of Appeal, in </w:t>
      </w:r>
      <w:r>
        <w:rPr>
          <w:rStyle w:val="48"/>
          <w:rFonts w:ascii="Times New Roman" w:hAnsi="Times New Roman" w:cs="Times New Roman"/>
          <w:i/>
          <w:sz w:val="24"/>
          <w:szCs w:val="24"/>
        </w:rPr>
        <w:t>Nigerian National Petroleum Corporation v CNOOC Exploration &amp; Production Nigeria Limited &amp; 2 ORS.</w:t>
      </w:r>
      <w:r>
        <w:rPr>
          <w:rStyle w:val="48"/>
          <w:rFonts w:ascii="Times New Roman" w:hAnsi="Times New Roman" w:eastAsia="Times New Roman" w:cs="Times New Roman"/>
          <w:sz w:val="24"/>
          <w:szCs w:val="24"/>
          <w:vertAlign w:val="superscript"/>
        </w:rPr>
        <w:footnoteReference w:id="169"/>
      </w:r>
      <w:r>
        <w:rPr>
          <w:rStyle w:val="48"/>
          <w:rFonts w:ascii="Times New Roman" w:hAnsi="Times New Roman" w:cs="Times New Roman"/>
          <w:sz w:val="24"/>
          <w:szCs w:val="24"/>
        </w:rPr>
        <w:t xml:space="preserve">  The court upheld the jurisdiction of the Tax Appeal Tribunal (TAT) to determine tax disputes. The appeal arose from disputes over petroleum profits tax and tertiary education tax assessments issued on the Appellants by FIRS. The Court in its judgement referred to its earlier decision in the unreported judgement in </w:t>
      </w:r>
      <w:r>
        <w:rPr>
          <w:rStyle w:val="48"/>
          <w:rFonts w:ascii="Times New Roman" w:hAnsi="Times New Roman" w:cs="Times New Roman"/>
          <w:i/>
          <w:sz w:val="24"/>
          <w:szCs w:val="24"/>
        </w:rPr>
        <w:t>Shell Nigeria Exploration and Production &amp; Ors v FIRS &amp; Anor</w:t>
      </w:r>
      <w:r>
        <w:rPr>
          <w:rStyle w:val="48"/>
          <w:rFonts w:ascii="Times New Roman" w:hAnsi="Times New Roman" w:cs="Times New Roman"/>
          <w:sz w:val="24"/>
          <w:szCs w:val="24"/>
        </w:rPr>
        <w:t xml:space="preserve"> where it recognized the TAT as a vital step towards resolution of tax disputes. Furthermore, it stated:</w:t>
      </w:r>
    </w:p>
    <w:p w14:paraId="1DFABDC3">
      <w:pPr>
        <w:pStyle w:val="4"/>
        <w:spacing w:after="0" w:line="480" w:lineRule="auto"/>
        <w:jc w:val="both"/>
        <w:rPr>
          <w:rStyle w:val="48"/>
          <w:rFonts w:ascii="Times New Roman" w:hAnsi="Times New Roman" w:eastAsia="Times New Roman" w:cs="Times New Roman"/>
          <w:color w:val="auto"/>
          <w:sz w:val="24"/>
          <w:szCs w:val="24"/>
        </w:rPr>
      </w:pPr>
      <w:r>
        <w:rPr>
          <w:rStyle w:val="48"/>
          <w:rFonts w:ascii="Times New Roman" w:hAnsi="Times New Roman" w:cs="Times New Roman"/>
          <w:sz w:val="24"/>
          <w:szCs w:val="24"/>
        </w:rPr>
        <w:t xml:space="preserve"> </w:t>
      </w:r>
    </w:p>
    <w:p w14:paraId="374E95EA">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‘When an assessment is made and a party is not satisfied, it can serve a Notice of Objection to FIRS to amend the assessment. The party may also then appeal against the assessment to the TAT. If the party is still dissatisfied, it can approach the FHC, the Court of Appeal, and then the Supreme Court.’ </w:t>
      </w:r>
    </w:p>
    <w:p w14:paraId="5CDA1510">
      <w:pPr>
        <w:pStyle w:val="52"/>
        <w:spacing w:after="0" w:line="480" w:lineRule="auto"/>
        <w:jc w:val="both"/>
        <w:rPr>
          <w:rFonts w:ascii="Times New Roman" w:hAnsi="Times New Roman" w:eastAsia="Times New Roman" w:cs="Times New Roman"/>
          <w:sz w:val="24"/>
          <w:szCs w:val="24"/>
        </w:rPr>
      </w:pPr>
    </w:p>
    <w:p w14:paraId="3566E599">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Accordingly, the court held that the TAT’s jurisdiction to determine tax disputes did not encroach upon the exclusive jurisdiction of the Federal High Court as conferred on it by section 251(1)(a) and (b) of the 1999 Constitution (as amended). The Appellants explained that the institution of tax appeals at the TAT before approaching the Federal High Court was merely a condition precedent to approaching the Federal High Court and that in any event; the decisions of the TAT could be reviewed and quashed by the Federal High Court upon an application for judicial review or appeal.</w:t>
      </w:r>
    </w:p>
    <w:p w14:paraId="4782EFCE">
      <w:pPr>
        <w:pStyle w:val="4"/>
        <w:spacing w:after="0" w:line="480" w:lineRule="auto"/>
        <w:jc w:val="both"/>
        <w:rPr>
          <w:rFonts w:ascii="Times New Roman" w:hAnsi="Times New Roman" w:eastAsia="Times New Roman" w:cs="Times New Roman"/>
          <w:sz w:val="24"/>
          <w:szCs w:val="24"/>
        </w:rPr>
      </w:pPr>
    </w:p>
    <w:p w14:paraId="053687C8">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This clearly brings to the fore the matter of the interpretation of taxing statutes, which it may be said to embody authoritative formulae, or put differently; the very words which are used constitute part of the law. The interpretation of words or terms used in statute should be such that they present a consistent and understandable meaning to avoid uncertainty and a variable tax jurisprudence. This is at the core of the matter, especially if judicial intervention results in confusion, rather than clarity. It is therefore part of the proposition of this study that a principle-guided tax policy formulation, which is properly translated into tax law, and interpreted and applied correctly by a judicial tribunal or court, will enhance clarity and certainty in the tax system. This also further emphasizes the importance of competent legislative drafting, if we are to achieve the precise and accurate interpretation of statutes, especially by the tax authority and the courts. The courts and tribunals seek to ascertain the intent of the Legislature through the medium of the authoritative form in which it is expressed, i.e. tax statute. The law is therefore deemed to be what the court interprets it to be. However, the very concept of ‘</w:t>
      </w:r>
      <w:r>
        <w:rPr>
          <w:rStyle w:val="48"/>
          <w:rFonts w:ascii="Times New Roman" w:hAnsi="Times New Roman" w:cs="Times New Roman"/>
          <w:sz w:val="24"/>
          <w:szCs w:val="24"/>
          <w:lang w:val="it-IT"/>
        </w:rPr>
        <w:t>interpretation</w:t>
      </w:r>
      <w:r>
        <w:rPr>
          <w:rStyle w:val="48"/>
          <w:rFonts w:ascii="Times New Roman" w:hAnsi="Times New Roman" w:cs="Times New Roman"/>
          <w:sz w:val="24"/>
          <w:szCs w:val="24"/>
        </w:rPr>
        <w:t xml:space="preserve">’ connotes the introduction of elements which are extrinsic to the words of the statute. Lord Justice Denning in </w:t>
      </w:r>
      <w:r>
        <w:rPr>
          <w:rStyle w:val="48"/>
          <w:rFonts w:ascii="Times New Roman" w:hAnsi="Times New Roman" w:cs="Times New Roman"/>
          <w:i/>
          <w:sz w:val="24"/>
          <w:szCs w:val="24"/>
        </w:rPr>
        <w:t>Seaford Court Estates v Asher</w:t>
      </w:r>
      <w:r>
        <w:rPr>
          <w:rStyle w:val="48"/>
          <w:rFonts w:ascii="Times New Roman" w:hAnsi="Times New Roman" w:eastAsia="Times New Roman" w:cs="Times New Roman"/>
          <w:sz w:val="24"/>
          <w:szCs w:val="24"/>
          <w:vertAlign w:val="superscript"/>
        </w:rPr>
        <w:footnoteReference w:id="170"/>
      </w:r>
      <w:r>
        <w:rPr>
          <w:rStyle w:val="48"/>
          <w:rFonts w:ascii="Times New Roman" w:hAnsi="Times New Roman" w:cs="Times New Roman"/>
          <w:sz w:val="24"/>
          <w:szCs w:val="24"/>
        </w:rPr>
        <w:t xml:space="preserve"> stated:</w:t>
      </w:r>
    </w:p>
    <w:p w14:paraId="1803C43F">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“A Judge must not alter the material of which the Act is woven but he can and should iron out the creases. When a defect appears, a Judge cannot simply fold his hands and blame the draftsman. He must set to work on the constructive task of finding the intention of the Parliament and then he must supplement the written words to give force and life to the intention of the legislature”. </w:t>
      </w:r>
    </w:p>
    <w:p w14:paraId="638C6E64">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It is generally accepted that tax statutes must be interpreted strictly, by applying the literal rule of interpretation.  In the case of</w:t>
      </w:r>
      <w:r>
        <w:rPr>
          <w:rStyle w:val="48"/>
          <w:rFonts w:ascii="Times New Roman" w:hAnsi="Times New Roman" w:cs="Times New Roman"/>
          <w:i/>
          <w:sz w:val="24"/>
          <w:szCs w:val="24"/>
        </w:rPr>
        <w:t xml:space="preserve"> Cape Brandy Syndicate v IRC</w:t>
      </w:r>
      <w:r>
        <w:rPr>
          <w:rStyle w:val="48"/>
          <w:rFonts w:ascii="Times New Roman" w:hAnsi="Times New Roman" w:cs="Times New Roman"/>
          <w:sz w:val="24"/>
          <w:szCs w:val="24"/>
          <w:u w:val="single"/>
        </w:rPr>
        <w:t>,</w:t>
      </w:r>
      <w:r>
        <w:rPr>
          <w:rStyle w:val="48"/>
          <w:rFonts w:ascii="Times New Roman" w:hAnsi="Times New Roman" w:eastAsia="Times New Roman" w:cs="Times New Roman"/>
          <w:sz w:val="24"/>
          <w:szCs w:val="24"/>
          <w:vertAlign w:val="superscript"/>
        </w:rPr>
        <w:footnoteReference w:id="171"/>
      </w:r>
      <w:r>
        <w:rPr>
          <w:rStyle w:val="48"/>
          <w:rFonts w:ascii="Times New Roman" w:hAnsi="Times New Roman" w:cs="Times New Roman"/>
          <w:sz w:val="24"/>
          <w:szCs w:val="24"/>
        </w:rPr>
        <w:t xml:space="preserve"> and followed in </w:t>
      </w:r>
      <w:r>
        <w:rPr>
          <w:rStyle w:val="48"/>
          <w:rFonts w:ascii="Times New Roman" w:hAnsi="Times New Roman" w:cs="Times New Roman"/>
          <w:i/>
          <w:sz w:val="24"/>
          <w:szCs w:val="24"/>
          <w:lang w:val="en-GB"/>
        </w:rPr>
        <w:t>CIT v Ajax Products Ltd</w:t>
      </w:r>
      <w:r>
        <w:rPr>
          <w:rStyle w:val="48"/>
          <w:rFonts w:ascii="Times New Roman" w:hAnsi="Times New Roman" w:cs="Times New Roman"/>
          <w:sz w:val="24"/>
          <w:szCs w:val="24"/>
          <w:u w:val="single"/>
          <w:lang w:val="en-GB"/>
        </w:rPr>
        <w:t>,</w:t>
      </w:r>
      <w:r>
        <w:rPr>
          <w:rStyle w:val="48"/>
          <w:rFonts w:ascii="Times New Roman" w:hAnsi="Times New Roman" w:eastAsia="Times New Roman" w:cs="Times New Roman"/>
          <w:sz w:val="24"/>
          <w:szCs w:val="24"/>
          <w:vertAlign w:val="superscript"/>
        </w:rPr>
        <w:footnoteReference w:id="172"/>
      </w:r>
      <w:r>
        <w:rPr>
          <w:rStyle w:val="48"/>
          <w:rFonts w:ascii="Times New Roman" w:hAnsi="Times New Roman" w:cs="Times New Roman"/>
          <w:sz w:val="24"/>
          <w:szCs w:val="24"/>
        </w:rPr>
        <w:t xml:space="preserve"> Rowlatt J, stated:</w:t>
      </w:r>
    </w:p>
    <w:p w14:paraId="1D73D370">
      <w:pPr>
        <w:pStyle w:val="4"/>
        <w:spacing w:after="0" w:line="480" w:lineRule="auto"/>
        <w:ind w:left="720"/>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“In a taxing Act, one has to look merely at what is clearly said. There is no room for any intendment. There is no equity about a tax. There is no presumption as to tax. Nothing is to be read in, nothing to be implied. One can only look at the language used”. (p,747). Thus, when the language of a taxing statute is clear if an assessee falls within the four corners of the statute, he is to be taxed; if not, no tax is to be levied”.  </w:t>
      </w:r>
    </w:p>
    <w:p w14:paraId="7F8332BF">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Tax jurisprudence has shown that this depends on the courts or judge’s ability to read what is stated in plain language, read between the lines, read through the provision, and the examination of the intent of the Legislature, whilst calling upon case law and other aids of interpretation. This is further explored in chapter 4 of the thesis, where we examine the administrative and judicial intervention required to achieve clarity and certainty in taxation and the system.</w:t>
      </w:r>
      <w:bookmarkStart w:id="45" w:name="_GoBack"/>
      <w:bookmarkEnd w:id="45"/>
    </w:p>
    <w:p w14:paraId="673EB907">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 xml:space="preserve"> </w:t>
      </w:r>
    </w:p>
    <w:p w14:paraId="6C4D3441">
      <w:pPr>
        <w:spacing w:line="480" w:lineRule="auto"/>
        <w:rPr>
          <w:rStyle w:val="48"/>
          <w:b/>
          <w:bCs/>
        </w:rPr>
      </w:pPr>
      <w:r>
        <w:rPr>
          <w:rStyle w:val="48"/>
          <w:b/>
          <w:bCs/>
        </w:rPr>
        <w:t>2.4.</w:t>
      </w:r>
      <w:r>
        <w:rPr>
          <w:rStyle w:val="48"/>
          <w:b/>
          <w:bCs/>
        </w:rPr>
        <w:tab/>
      </w:r>
      <w:r>
        <w:rPr>
          <w:rStyle w:val="48"/>
          <w:b/>
          <w:bCs/>
        </w:rPr>
        <w:t>TAX POLICY AND TAX LAW REFORM</w:t>
      </w:r>
    </w:p>
    <w:p w14:paraId="68DAA556">
      <w:pPr>
        <w:spacing w:line="480" w:lineRule="auto"/>
        <w:jc w:val="both"/>
        <w:rPr>
          <w:bCs/>
        </w:rPr>
      </w:pPr>
      <w:r>
        <w:rPr>
          <w:bCs/>
        </w:rPr>
        <w:t xml:space="preserve">The fundamental objective of the Nigerian FG is to raise money from taxes to fund development. It would therefore be expected that the fiscal policy objective of the government is to use government spending and taxation to influence the economy. Tax Policy is therefore relevant to the formulation of a tax strategy which is supportive to investment and sustainable development. </w:t>
      </w:r>
    </w:p>
    <w:p w14:paraId="2705BAAC">
      <w:pPr>
        <w:spacing w:line="480" w:lineRule="auto"/>
        <w:jc w:val="both"/>
        <w:rPr>
          <w:bCs/>
        </w:rPr>
      </w:pPr>
      <w:r>
        <w:rPr>
          <w:bCs/>
        </w:rPr>
        <w:t xml:space="preserve">A poorly designed tax system, where the rules and their application are non-transparent, overly complex, or unpredictable may discourage investment, adding to project costs and uncertainty.  Also, tax systems that leave excessive administrative discretion in the hands of tax officials tend to invite corruption and undermine good governance objectives fundamental to securing an attractive investment environment. </w:t>
      </w:r>
      <w:r>
        <w:rPr>
          <w:bCs/>
          <w:lang w:val="en-GB"/>
        </w:rPr>
        <w:t>There is therefore the need to have in place a robust policy making, design and evaluation process and a legal framework that foster systematic policy evaluation across board. It is necessary to have the necessary mechanisms in place to ensure ex-post evaluations of regulations and the quality engagement with stakeholders during the policy making process. The government needs to provide a degree of transparency during the policy evaluation process and promote the use of the findings of policy evaluations and results for budgetary discussions.</w:t>
      </w:r>
      <w:r>
        <w:rPr>
          <w:bCs/>
        </w:rPr>
        <w:t xml:space="preserve"> Ultimately, for good governance, policy makers as OECD studies have demonstrated, are encouraged to ensure that robust policy feeds into the tax system, and imposes an acceptable tax burden that can be accurately determined, and which keeps tax compliance and tax administration costs in check</w:t>
      </w:r>
      <w:r>
        <w:rPr>
          <w:rStyle w:val="23"/>
          <w:bCs/>
        </w:rPr>
        <w:footnoteReference w:id="173"/>
      </w:r>
      <w:r>
        <w:rPr>
          <w:bCs/>
        </w:rPr>
        <w:t>.</w:t>
      </w:r>
    </w:p>
    <w:p w14:paraId="21D71793">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 xml:space="preserve">The reform of the tax system would therefore entail an effective tax policy and strategy, tax law, and a robust administrative and judicial system and procedures. The tax policy of the country, the petroleum fiscal policy and tax law, must aspire to achieve clarity, improved fairness, transparency, efficiency, and effectiveness of the tax system in the petroleum industry. It should align with sustaining development of the industry and the country. </w:t>
      </w:r>
    </w:p>
    <w:p w14:paraId="53B039FE">
      <w:pPr>
        <w:pStyle w:val="4"/>
        <w:spacing w:after="0" w:line="480" w:lineRule="auto"/>
        <w:jc w:val="both"/>
        <w:rPr>
          <w:rStyle w:val="48"/>
          <w:rFonts w:ascii="Times New Roman" w:hAnsi="Times New Roman" w:cs="Times New Roman"/>
          <w:sz w:val="24"/>
          <w:szCs w:val="24"/>
        </w:rPr>
      </w:pPr>
    </w:p>
    <w:p w14:paraId="2AADAC14">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Following the report of study groups, Nigeria took a bold step in 2012 to engage widely on articulating a national tax policy, which is examined in detail in chapter 5 of the thesis, alongside the drafting of the Nigeria Oil and Gas Policy document of 2016/17, as well as the National Petroleum Fiscal Policy documents. Further to the design and engagement of stakeholders, a set of guiding principles and strategies for the Nigerian tax system was approved as the National Tax Policy (NTP) document, 2012. The NTP specifically states that the overall focus and primary objective of the Nigerian tax system is to provide and contribute to the social and economic wellbeing of Nigerians. The policy aims to improve the effectiveness of existing tax policies and the utilization of tax revenues for the benefit and development of the citizens.</w:t>
      </w:r>
      <w:r>
        <w:rPr>
          <w:rStyle w:val="48"/>
          <w:rFonts w:ascii="Times New Roman" w:hAnsi="Times New Roman" w:eastAsia="Times New Roman" w:cs="Times New Roman"/>
          <w:sz w:val="24"/>
          <w:szCs w:val="24"/>
          <w:vertAlign w:val="superscript"/>
        </w:rPr>
        <w:footnoteReference w:id="174"/>
      </w:r>
      <w:r>
        <w:rPr>
          <w:rStyle w:val="48"/>
          <w:rFonts w:ascii="Times New Roman" w:hAnsi="Times New Roman" w:cs="Times New Roman"/>
          <w:sz w:val="24"/>
          <w:szCs w:val="24"/>
        </w:rPr>
        <w:t xml:space="preserve">  </w:t>
      </w:r>
    </w:p>
    <w:p w14:paraId="63AF36D5">
      <w:pPr>
        <w:pStyle w:val="4"/>
        <w:spacing w:after="0" w:line="480" w:lineRule="auto"/>
        <w:jc w:val="both"/>
        <w:rPr>
          <w:rStyle w:val="48"/>
          <w:rFonts w:ascii="Times New Roman" w:hAnsi="Times New Roman" w:eastAsia="Times New Roman" w:cs="Times New Roman"/>
          <w:color w:val="auto"/>
          <w:sz w:val="24"/>
          <w:szCs w:val="24"/>
        </w:rPr>
      </w:pPr>
    </w:p>
    <w:p w14:paraId="53D772BA">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The 2012 National Tax Policy was revised in 2016, and the Revised National Tax Policy (RNTP), document was approved in January 2017, by the Federal Executive Council (FEC). RNTP did not specifically address the oil and gas industry. However, the Ministry of Petroleum Resources (MPR) has articulated the National Petroleum Fiscal Policy Document</w:t>
      </w:r>
      <w:r>
        <w:rPr>
          <w:rStyle w:val="23"/>
          <w:sz w:val="24"/>
          <w:szCs w:val="24"/>
        </w:rPr>
        <w:footnoteReference w:id="175"/>
      </w:r>
      <w:r>
        <w:rPr>
          <w:rStyle w:val="48"/>
          <w:rFonts w:ascii="Times New Roman" w:hAnsi="Times New Roman" w:cs="Times New Roman"/>
          <w:sz w:val="24"/>
          <w:szCs w:val="24"/>
        </w:rPr>
        <w:t>, which was also approved by FEC in 2017. The RNTP establishes fundamental principles to guide an orderly development of the Nigerian tax system and reinforces the need for tax laws and administrative practices to promote economic development. It also seeks to address key challenges confronting the Nigeria tax system</w:t>
      </w:r>
      <w:r>
        <w:rPr>
          <w:rStyle w:val="23"/>
          <w:rFonts w:ascii="Times New Roman" w:hAnsi="Times New Roman" w:cs="Times New Roman"/>
          <w:sz w:val="24"/>
          <w:szCs w:val="24"/>
        </w:rPr>
        <w:footnoteReference w:id="176"/>
      </w:r>
      <w:r>
        <w:rPr>
          <w:rStyle w:val="48"/>
          <w:rFonts w:ascii="Times New Roman" w:hAnsi="Times New Roman" w:cs="Times New Roman"/>
          <w:sz w:val="24"/>
          <w:szCs w:val="24"/>
        </w:rPr>
        <w:t>, including:</w:t>
      </w:r>
    </w:p>
    <w:p w14:paraId="0B593240">
      <w:pPr>
        <w:pStyle w:val="4"/>
        <w:numPr>
          <w:ilvl w:val="0"/>
          <w:numId w:val="21"/>
        </w:numPr>
        <w:spacing w:after="100" w:line="360" w:lineRule="auto"/>
        <w:ind w:left="1202" w:hanging="391"/>
        <w:jc w:val="both"/>
        <w:rPr>
          <w:rFonts w:ascii="Times New Roman" w:hAnsi="Times New Roman" w:cs="Times New Roman"/>
          <w:sz w:val="24"/>
          <w:szCs w:val="24"/>
        </w:rPr>
      </w:pPr>
      <w:r>
        <w:rPr>
          <w:rStyle w:val="48"/>
          <w:rFonts w:ascii="Times New Roman" w:hAnsi="Times New Roman" w:cs="Times New Roman"/>
          <w:sz w:val="24"/>
          <w:szCs w:val="24"/>
        </w:rPr>
        <w:t>L</w:t>
      </w:r>
      <w:r>
        <w:rPr>
          <w:rStyle w:val="41"/>
          <w:rFonts w:ascii="Times New Roman" w:hAnsi="Times New Roman" w:cs="Times New Roman"/>
          <w:sz w:val="24"/>
          <w:szCs w:val="24"/>
        </w:rPr>
        <w:t>ow tax to GDP ratio;</w:t>
      </w:r>
    </w:p>
    <w:p w14:paraId="77E96B35">
      <w:pPr>
        <w:pStyle w:val="4"/>
        <w:numPr>
          <w:ilvl w:val="0"/>
          <w:numId w:val="21"/>
        </w:numPr>
        <w:spacing w:after="100" w:line="360" w:lineRule="auto"/>
        <w:ind w:left="1202" w:hanging="391"/>
        <w:jc w:val="both"/>
        <w:rPr>
          <w:rFonts w:ascii="Times New Roman" w:hAnsi="Times New Roman" w:cs="Times New Roman"/>
          <w:sz w:val="24"/>
          <w:szCs w:val="24"/>
        </w:rPr>
      </w:pPr>
      <w:r>
        <w:rPr>
          <w:rStyle w:val="41"/>
          <w:rFonts w:ascii="Times New Roman" w:hAnsi="Times New Roman" w:cs="Times New Roman"/>
          <w:sz w:val="24"/>
          <w:szCs w:val="24"/>
        </w:rPr>
        <w:t>Fragmented database of taxpayers and weak structure for the exchange of information;</w:t>
      </w:r>
    </w:p>
    <w:p w14:paraId="50C2C5AA">
      <w:pPr>
        <w:pStyle w:val="4"/>
        <w:numPr>
          <w:ilvl w:val="0"/>
          <w:numId w:val="21"/>
        </w:numPr>
        <w:spacing w:after="100" w:line="360" w:lineRule="auto"/>
        <w:ind w:left="1202" w:hanging="391"/>
        <w:jc w:val="both"/>
        <w:rPr>
          <w:rFonts w:ascii="Times New Roman" w:hAnsi="Times New Roman" w:cs="Times New Roman"/>
          <w:sz w:val="24"/>
          <w:szCs w:val="24"/>
        </w:rPr>
      </w:pPr>
      <w:r>
        <w:rPr>
          <w:rStyle w:val="41"/>
          <w:rFonts w:ascii="Times New Roman" w:hAnsi="Times New Roman" w:cs="Times New Roman"/>
          <w:sz w:val="24"/>
          <w:szCs w:val="24"/>
        </w:rPr>
        <w:t>The multiplicity of taxes and revenue agencies;</w:t>
      </w:r>
    </w:p>
    <w:p w14:paraId="5B25FCDF">
      <w:pPr>
        <w:pStyle w:val="4"/>
        <w:numPr>
          <w:ilvl w:val="0"/>
          <w:numId w:val="21"/>
        </w:numPr>
        <w:spacing w:after="100" w:line="360" w:lineRule="auto"/>
        <w:ind w:left="1202" w:hanging="391"/>
        <w:jc w:val="both"/>
        <w:rPr>
          <w:rFonts w:ascii="Times New Roman" w:hAnsi="Times New Roman" w:cs="Times New Roman"/>
          <w:sz w:val="24"/>
          <w:szCs w:val="24"/>
        </w:rPr>
      </w:pPr>
      <w:r>
        <w:rPr>
          <w:rStyle w:val="41"/>
          <w:rFonts w:ascii="Times New Roman" w:hAnsi="Times New Roman" w:cs="Times New Roman"/>
          <w:sz w:val="24"/>
          <w:szCs w:val="24"/>
        </w:rPr>
        <w:t>Poor accountability for tax revenue;</w:t>
      </w:r>
    </w:p>
    <w:p w14:paraId="5B62E95A">
      <w:pPr>
        <w:pStyle w:val="4"/>
        <w:numPr>
          <w:ilvl w:val="0"/>
          <w:numId w:val="21"/>
        </w:numPr>
        <w:spacing w:after="100" w:line="360" w:lineRule="auto"/>
        <w:ind w:left="1202" w:hanging="391"/>
        <w:jc w:val="both"/>
        <w:rPr>
          <w:rFonts w:ascii="Times New Roman" w:hAnsi="Times New Roman" w:cs="Times New Roman"/>
          <w:sz w:val="24"/>
          <w:szCs w:val="24"/>
        </w:rPr>
      </w:pPr>
      <w:r>
        <w:rPr>
          <w:rStyle w:val="41"/>
          <w:rFonts w:ascii="Times New Roman" w:hAnsi="Times New Roman" w:cs="Times New Roman"/>
          <w:sz w:val="24"/>
          <w:szCs w:val="24"/>
        </w:rPr>
        <w:t>Use of aggressive and unorthodox methods for tax collection;</w:t>
      </w:r>
    </w:p>
    <w:p w14:paraId="7C9F0293">
      <w:pPr>
        <w:pStyle w:val="4"/>
        <w:numPr>
          <w:ilvl w:val="0"/>
          <w:numId w:val="21"/>
        </w:numPr>
        <w:spacing w:after="100" w:line="360" w:lineRule="auto"/>
        <w:ind w:left="1202" w:hanging="391"/>
        <w:jc w:val="both"/>
        <w:rPr>
          <w:rFonts w:ascii="Times New Roman" w:hAnsi="Times New Roman" w:cs="Times New Roman"/>
          <w:sz w:val="24"/>
          <w:szCs w:val="24"/>
        </w:rPr>
      </w:pPr>
      <w:r>
        <w:rPr>
          <w:rStyle w:val="41"/>
          <w:rFonts w:ascii="Times New Roman" w:hAnsi="Times New Roman" w:cs="Times New Roman"/>
          <w:sz w:val="24"/>
          <w:szCs w:val="24"/>
        </w:rPr>
        <w:t>Failure by tax authorities to honour refund obligations to taxpayers;</w:t>
      </w:r>
    </w:p>
    <w:p w14:paraId="7B32BC48">
      <w:pPr>
        <w:pStyle w:val="4"/>
        <w:numPr>
          <w:ilvl w:val="0"/>
          <w:numId w:val="21"/>
        </w:numPr>
        <w:spacing w:after="100" w:line="360" w:lineRule="auto"/>
        <w:ind w:left="1202" w:hanging="391"/>
        <w:jc w:val="both"/>
        <w:rPr>
          <w:rFonts w:ascii="Times New Roman" w:hAnsi="Times New Roman" w:cs="Times New Roman"/>
          <w:sz w:val="24"/>
          <w:szCs w:val="24"/>
        </w:rPr>
      </w:pPr>
      <w:r>
        <w:rPr>
          <w:rStyle w:val="41"/>
          <w:rFonts w:ascii="Times New Roman" w:hAnsi="Times New Roman" w:cs="Times New Roman"/>
          <w:sz w:val="24"/>
          <w:szCs w:val="24"/>
        </w:rPr>
        <w:t>The non-regular review of tax legislation, which has led to obsolete laws, that do not reflect current economic realities.</w:t>
      </w:r>
    </w:p>
    <w:p w14:paraId="646E1229">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Some of the key objectives</w:t>
      </w:r>
      <w:r>
        <w:rPr>
          <w:rStyle w:val="23"/>
          <w:rFonts w:ascii="Times New Roman" w:hAnsi="Times New Roman" w:cs="Times New Roman"/>
          <w:sz w:val="24"/>
          <w:szCs w:val="24"/>
        </w:rPr>
        <w:footnoteReference w:id="177"/>
      </w:r>
      <w:r>
        <w:rPr>
          <w:rStyle w:val="48"/>
          <w:rFonts w:ascii="Times New Roman" w:hAnsi="Times New Roman" w:cs="Times New Roman"/>
          <w:sz w:val="24"/>
          <w:szCs w:val="24"/>
        </w:rPr>
        <w:t xml:space="preserve"> policy guidelines, responsibilities, and recommendations, for the tax system</w:t>
      </w:r>
      <w:r>
        <w:rPr>
          <w:rStyle w:val="23"/>
          <w:rFonts w:ascii="Times New Roman" w:hAnsi="Times New Roman" w:cs="Times New Roman"/>
          <w:sz w:val="24"/>
          <w:szCs w:val="24"/>
        </w:rPr>
        <w:footnoteReference w:id="178"/>
      </w:r>
      <w:r>
        <w:rPr>
          <w:rStyle w:val="48"/>
          <w:rFonts w:ascii="Times New Roman" w:hAnsi="Times New Roman" w:cs="Times New Roman"/>
          <w:sz w:val="24"/>
          <w:szCs w:val="24"/>
        </w:rPr>
        <w:t xml:space="preserve"> of the NTP/ RNTP include:</w:t>
      </w:r>
    </w:p>
    <w:p w14:paraId="6DBBA069">
      <w:pPr>
        <w:pStyle w:val="4"/>
        <w:numPr>
          <w:ilvl w:val="0"/>
          <w:numId w:val="22"/>
        </w:numPr>
        <w:spacing w:after="100" w:line="360" w:lineRule="auto"/>
        <w:ind w:left="1077" w:hanging="357"/>
        <w:jc w:val="both"/>
        <w:rPr>
          <w:rFonts w:ascii="Times New Roman" w:hAnsi="Times New Roman" w:cs="Times New Roman"/>
          <w:sz w:val="24"/>
          <w:szCs w:val="24"/>
        </w:rPr>
      </w:pPr>
      <w:r>
        <w:rPr>
          <w:rStyle w:val="48"/>
          <w:rFonts w:ascii="Times New Roman" w:hAnsi="Times New Roman" w:cs="Times New Roman"/>
          <w:sz w:val="24"/>
          <w:szCs w:val="24"/>
        </w:rPr>
        <w:t>E</w:t>
      </w:r>
      <w:r>
        <w:rPr>
          <w:rStyle w:val="41"/>
          <w:rFonts w:ascii="Times New Roman" w:hAnsi="Times New Roman" w:cs="Times New Roman"/>
          <w:sz w:val="24"/>
          <w:szCs w:val="24"/>
        </w:rPr>
        <w:t>nsuring that there is only one revenue agency per level of government;</w:t>
      </w:r>
    </w:p>
    <w:p w14:paraId="5205BD1A">
      <w:pPr>
        <w:pStyle w:val="4"/>
        <w:numPr>
          <w:ilvl w:val="0"/>
          <w:numId w:val="22"/>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Establishment of a tax court as an independent body to adjudicate in tax matters,</w:t>
      </w:r>
    </w:p>
    <w:p w14:paraId="41346A15">
      <w:pPr>
        <w:pStyle w:val="4"/>
        <w:numPr>
          <w:ilvl w:val="0"/>
          <w:numId w:val="22"/>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Lower tax rate and VAT compliance threshold for SME’s;</w:t>
      </w:r>
    </w:p>
    <w:p w14:paraId="12D68717">
      <w:pPr>
        <w:pStyle w:val="4"/>
        <w:numPr>
          <w:ilvl w:val="0"/>
          <w:numId w:val="22"/>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Establishment of an Office of Tax Simplification for continuous improvement to tax legislation and administration;</w:t>
      </w:r>
    </w:p>
    <w:p w14:paraId="4B094091">
      <w:pPr>
        <w:pStyle w:val="4"/>
        <w:numPr>
          <w:ilvl w:val="0"/>
          <w:numId w:val="22"/>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Developing Key Performance Indices (KPI’s) for Nigeria to attain a top 50 position on the global index of ease of paying taxes by 2020 and consistently improve on the ranking;</w:t>
      </w:r>
    </w:p>
    <w:p w14:paraId="3CFED1E5">
      <w:pPr>
        <w:pStyle w:val="4"/>
        <w:numPr>
          <w:ilvl w:val="0"/>
          <w:numId w:val="22"/>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Administrative framework for amnesty and whistleblowing as part of the strategies for curbing evasion and widening the tax net, and</w:t>
      </w:r>
    </w:p>
    <w:p w14:paraId="16C70227">
      <w:pPr>
        <w:pStyle w:val="4"/>
        <w:numPr>
          <w:ilvl w:val="0"/>
          <w:numId w:val="22"/>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Independent National Electoral Commission (INEC) mandate political parties to articulate, prepare, provide and make public their tax agenda before and during election campaigns.</w:t>
      </w:r>
    </w:p>
    <w:p w14:paraId="6BAA6257">
      <w:pPr>
        <w:pStyle w:val="4"/>
        <w:spacing w:after="0" w:line="480" w:lineRule="auto"/>
        <w:jc w:val="both"/>
        <w:rPr>
          <w:rStyle w:val="48"/>
          <w:rFonts w:ascii="Times New Roman" w:hAnsi="Times New Roman" w:eastAsia="Times New Roman" w:cs="Times New Roman"/>
          <w:sz w:val="24"/>
          <w:szCs w:val="24"/>
        </w:rPr>
      </w:pPr>
      <w:r>
        <w:rPr>
          <w:rStyle w:val="48"/>
          <w:rFonts w:ascii="Times New Roman" w:hAnsi="Times New Roman" w:cs="Times New Roman"/>
          <w:sz w:val="24"/>
          <w:szCs w:val="24"/>
        </w:rPr>
        <w:t>The assumption is that the general principles enunciated in the RNTP apply to the oil and gas industry and should complement the specific fiscal policy document articulated by MPR for the petroleum industry. The 2016/2017, National Petroleum Industry Fiscal Policy document seeks to create a fiscally neutral regime with respect to the types of hydrocarbons to be exploited. The fiscal policy document generated by MPR articulates six (6) key principles to guide the development of taxation of petroleum operations, as follows:</w:t>
      </w:r>
    </w:p>
    <w:p w14:paraId="028B8B16">
      <w:pPr>
        <w:pStyle w:val="52"/>
        <w:numPr>
          <w:ilvl w:val="0"/>
          <w:numId w:val="23"/>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 xml:space="preserve">Right pricing. </w:t>
      </w:r>
    </w:p>
    <w:p w14:paraId="3E6378A0">
      <w:pPr>
        <w:pStyle w:val="52"/>
        <w:numPr>
          <w:ilvl w:val="0"/>
          <w:numId w:val="23"/>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 xml:space="preserve">Sustainability. </w:t>
      </w:r>
    </w:p>
    <w:p w14:paraId="09175D5C">
      <w:pPr>
        <w:pStyle w:val="52"/>
        <w:numPr>
          <w:ilvl w:val="0"/>
          <w:numId w:val="23"/>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 xml:space="preserve">Separate fiscal treatment for oil and gas. </w:t>
      </w:r>
    </w:p>
    <w:p w14:paraId="6065449F">
      <w:pPr>
        <w:pStyle w:val="52"/>
        <w:numPr>
          <w:ilvl w:val="0"/>
          <w:numId w:val="23"/>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 xml:space="preserve">Non-consolidation or non-recovery of gas costs from oil income. </w:t>
      </w:r>
    </w:p>
    <w:p w14:paraId="28067C6D">
      <w:pPr>
        <w:pStyle w:val="52"/>
        <w:numPr>
          <w:ilvl w:val="0"/>
          <w:numId w:val="23"/>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Upstream Incentives for Gas development; and,</w:t>
      </w:r>
    </w:p>
    <w:p w14:paraId="1BE03452">
      <w:pPr>
        <w:pStyle w:val="52"/>
        <w:numPr>
          <w:ilvl w:val="0"/>
          <w:numId w:val="23"/>
        </w:numPr>
        <w:spacing w:after="100" w:line="360" w:lineRule="auto"/>
        <w:ind w:left="1077" w:hanging="357"/>
        <w:jc w:val="both"/>
        <w:rPr>
          <w:rFonts w:ascii="Times New Roman" w:hAnsi="Times New Roman" w:cs="Times New Roman"/>
          <w:sz w:val="24"/>
          <w:szCs w:val="24"/>
        </w:rPr>
      </w:pPr>
      <w:r>
        <w:rPr>
          <w:rStyle w:val="41"/>
          <w:rFonts w:ascii="Times New Roman" w:hAnsi="Times New Roman" w:cs="Times New Roman"/>
          <w:sz w:val="24"/>
          <w:szCs w:val="24"/>
        </w:rPr>
        <w:t xml:space="preserve">Midstream Incentives. </w:t>
      </w:r>
    </w:p>
    <w:p w14:paraId="0343F5A6">
      <w:pPr>
        <w:pStyle w:val="4"/>
        <w:spacing w:after="0" w:line="480" w:lineRule="auto"/>
        <w:jc w:val="both"/>
        <w:rPr>
          <w:rStyle w:val="48"/>
          <w:rFonts w:ascii="Times New Roman" w:hAnsi="Times New Roman" w:eastAsia="Times New Roman" w:cs="Times New Roman"/>
          <w:b/>
          <w:bCs/>
          <w:sz w:val="24"/>
          <w:szCs w:val="24"/>
        </w:rPr>
      </w:pPr>
      <w:r>
        <w:rPr>
          <w:rStyle w:val="48"/>
          <w:rFonts w:ascii="Times New Roman" w:hAnsi="Times New Roman" w:cs="Times New Roman"/>
          <w:sz w:val="24"/>
          <w:szCs w:val="24"/>
        </w:rPr>
        <w:t xml:space="preserve">The above recommendations and principles will be further examined in chapter 5 of this thesis. It remains to be seen how these broad fiscal policy guidelines will get translated into clear and understandable legislation. There are several other ongoing reforms geared at enhancing tax collection and administration with minimal enforcement cost. These include the introduction of a </w:t>
      </w:r>
      <w:r>
        <w:rPr>
          <w:rStyle w:val="48"/>
          <w:rFonts w:ascii="Times New Roman" w:hAnsi="Times New Roman" w:cs="Times New Roman"/>
          <w:sz w:val="24"/>
          <w:szCs w:val="24"/>
          <w:lang w:val="fr-FR"/>
        </w:rPr>
        <w:t>unique Tax payer</w:t>
      </w:r>
      <w:r>
        <w:rPr>
          <w:rStyle w:val="48"/>
          <w:rFonts w:ascii="Times New Roman" w:hAnsi="Times New Roman" w:cs="Times New Roman"/>
          <w:sz w:val="24"/>
          <w:szCs w:val="24"/>
        </w:rPr>
        <w:t xml:space="preserve"> Identification Number (TIN), an automated tax system that facilitates tracking of tax positions and issues by individual taxpayers, an e-payment system, which enhances smooth payment procedure and reduces the incidence of tax touts. It is hoped that t</w:t>
      </w:r>
      <w:r>
        <w:rPr>
          <w:rFonts w:ascii="Times New Roman" w:hAnsi="Times New Roman" w:cs="Times New Roman"/>
          <w:sz w:val="24"/>
          <w:szCs w:val="24"/>
        </w:rPr>
        <w:t>he over-reliance on the formal sector and the ineffective taxation of the informal sector, and the absence of reform in the oil and gas sector will end soon, and that the Nigeria’s Tax to GDP ratio, which presently stands at just 6%</w:t>
      </w:r>
      <w:r>
        <w:rPr>
          <w:rStyle w:val="23"/>
          <w:sz w:val="24"/>
          <w:szCs w:val="24"/>
        </w:rPr>
        <w:footnoteReference w:id="179"/>
      </w:r>
      <w:r>
        <w:rPr>
          <w:rFonts w:ascii="Times New Roman" w:hAnsi="Times New Roman" w:cs="Times New Roman"/>
          <w:sz w:val="24"/>
          <w:szCs w:val="24"/>
        </w:rPr>
        <w:t xml:space="preserve"> will improve.</w:t>
      </w:r>
    </w:p>
    <w:p w14:paraId="61339C32">
      <w:pPr>
        <w:pStyle w:val="3"/>
        <w:spacing w:line="480" w:lineRule="auto"/>
        <w:jc w:val="both"/>
        <w:rPr>
          <w:rStyle w:val="48"/>
          <w:rFonts w:ascii="Times New Roman" w:hAnsi="Times New Roman" w:cs="Times New Roman"/>
          <w:sz w:val="24"/>
          <w:szCs w:val="24"/>
        </w:rPr>
      </w:pPr>
      <w:bookmarkStart w:id="15" w:name="_Toc13"/>
    </w:p>
    <w:p w14:paraId="13FC2188">
      <w:pPr>
        <w:pStyle w:val="3"/>
        <w:spacing w:line="480" w:lineRule="auto"/>
        <w:jc w:val="both"/>
        <w:rPr>
          <w:rStyle w:val="48"/>
          <w:rFonts w:ascii="Times New Roman" w:hAnsi="Times New Roman" w:eastAsia="Times New Roman" w:cs="Times New Roman"/>
          <w:b w:val="0"/>
          <w:bCs w:val="0"/>
          <w:caps w:val="0"/>
          <w:sz w:val="24"/>
          <w:szCs w:val="24"/>
        </w:rPr>
      </w:pPr>
      <w:r>
        <w:rPr>
          <w:rStyle w:val="48"/>
          <w:rFonts w:ascii="Times New Roman" w:hAnsi="Times New Roman" w:cs="Times New Roman"/>
          <w:sz w:val="24"/>
          <w:szCs w:val="24"/>
        </w:rPr>
        <w:t>CONCLUSION</w:t>
      </w:r>
      <w:bookmarkEnd w:id="15"/>
    </w:p>
    <w:p w14:paraId="4A9F1015">
      <w:pPr>
        <w:pStyle w:val="4"/>
        <w:spacing w:after="0" w:line="480" w:lineRule="auto"/>
        <w:jc w:val="both"/>
        <w:rPr>
          <w:rStyle w:val="48"/>
          <w:rFonts w:ascii="Times New Roman" w:hAnsi="Times New Roman" w:cs="Times New Roman"/>
          <w:sz w:val="24"/>
          <w:szCs w:val="24"/>
        </w:rPr>
      </w:pPr>
      <w:r>
        <w:rPr>
          <w:rStyle w:val="48"/>
          <w:rFonts w:ascii="Times New Roman" w:hAnsi="Times New Roman" w:cs="Times New Roman"/>
          <w:sz w:val="24"/>
          <w:szCs w:val="24"/>
        </w:rPr>
        <w:t>The historical antecedents and the age of the legislation as well as the constitutional framework of the country, and the absence of a comprehensive, sustained and structured process for articulating principle-guided appropriate fiscal, tax policy and tax law reform for petroleum operations and taxation, may have all contributed to creating uncertainty in the tax system, and the lack of transparency in tax administration. Ineffective or lack of sustained tax law review and reform, particularly as it affects the petroleum industry in Nigeria have therefore contributed to the failure to keep pace with developments in the complex petroleum industry, or develop a competitive, clear, neutral, and predictable petroleum tax system. The ongoing program of articulating a tax policy for the country, and the fiscal policy priorities for the petroleum industry, should act as the impetus needed for comprehensive tax law review in the country, and for the petroleum industry. The tax system must therefore be designed to address economic, political, and social values, as well as strike a balance between the interests of the taxpayers and the tax authorities. Taxes in the tax system must demonstrate equity and fairness, certainty, neutrality, the convenience of payment, as well as evince simplicity where possible, as simple tax laws and predictable tax systems are necessary so that taxpayers understand the rules and can comply with them correctly and in a cost-efficient manner.</w:t>
      </w:r>
    </w:p>
    <w:p w14:paraId="5338DFE0">
      <w:pPr>
        <w:spacing w:after="160" w:line="259" w:lineRule="auto"/>
        <w:jc w:val="center"/>
        <w:rPr>
          <w:rFonts w:eastAsia="Calibri"/>
          <w:b/>
          <w:bCs/>
          <w:sz w:val="28"/>
          <w:szCs w:val="28"/>
          <w:lang w:val="en-ZA"/>
        </w:rPr>
      </w:pPr>
      <w:bookmarkStart w:id="16" w:name="_Toc1989747"/>
    </w:p>
    <w:p w14:paraId="47F183F1">
      <w:pPr>
        <w:spacing w:after="160" w:line="259" w:lineRule="auto"/>
        <w:jc w:val="center"/>
        <w:rPr>
          <w:rFonts w:eastAsia="Calibri"/>
          <w:b/>
          <w:bCs/>
          <w:sz w:val="28"/>
          <w:szCs w:val="28"/>
          <w:lang w:val="en-ZA"/>
        </w:rPr>
      </w:pPr>
    </w:p>
    <w:p w14:paraId="175FA027">
      <w:pPr>
        <w:spacing w:after="160" w:line="259" w:lineRule="auto"/>
        <w:jc w:val="center"/>
        <w:rPr>
          <w:rFonts w:eastAsia="Calibri"/>
          <w:b/>
          <w:bCs/>
          <w:sz w:val="28"/>
          <w:szCs w:val="28"/>
          <w:lang w:val="en-ZA"/>
        </w:rPr>
      </w:pPr>
    </w:p>
    <w:p w14:paraId="4A8FA559">
      <w:pPr>
        <w:spacing w:after="160" w:line="259" w:lineRule="auto"/>
        <w:jc w:val="center"/>
        <w:rPr>
          <w:rFonts w:eastAsia="Calibri"/>
          <w:b/>
          <w:bCs/>
          <w:sz w:val="28"/>
          <w:szCs w:val="28"/>
          <w:lang w:val="en-ZA"/>
        </w:rPr>
      </w:pPr>
    </w:p>
    <w:p w14:paraId="03C7357B">
      <w:pPr>
        <w:spacing w:after="160" w:line="259" w:lineRule="auto"/>
        <w:jc w:val="center"/>
        <w:rPr>
          <w:rFonts w:eastAsia="Calibri"/>
          <w:b/>
          <w:bCs/>
          <w:sz w:val="28"/>
          <w:szCs w:val="28"/>
          <w:lang w:val="en-ZA"/>
        </w:rPr>
      </w:pPr>
    </w:p>
    <w:p w14:paraId="0C5B639D">
      <w:pPr>
        <w:spacing w:after="160" w:line="259" w:lineRule="auto"/>
        <w:jc w:val="center"/>
        <w:rPr>
          <w:rFonts w:eastAsia="Calibri"/>
          <w:b/>
          <w:bCs/>
          <w:sz w:val="28"/>
          <w:szCs w:val="28"/>
          <w:lang w:val="en-ZA"/>
        </w:rPr>
      </w:pPr>
    </w:p>
    <w:p w14:paraId="29092CCB">
      <w:pPr>
        <w:spacing w:after="160" w:line="259" w:lineRule="auto"/>
        <w:jc w:val="center"/>
        <w:rPr>
          <w:rFonts w:eastAsia="Calibri"/>
          <w:b/>
          <w:bCs/>
          <w:sz w:val="28"/>
          <w:szCs w:val="28"/>
          <w:lang w:val="en-ZA"/>
        </w:rPr>
      </w:pPr>
    </w:p>
    <w:p w14:paraId="60082868">
      <w:pPr>
        <w:spacing w:after="160" w:line="259" w:lineRule="auto"/>
        <w:jc w:val="center"/>
        <w:rPr>
          <w:rFonts w:eastAsia="Calibri"/>
          <w:b/>
          <w:bCs/>
          <w:sz w:val="28"/>
          <w:szCs w:val="28"/>
          <w:lang w:val="en-ZA"/>
        </w:rPr>
      </w:pPr>
    </w:p>
    <w:p w14:paraId="3403149E">
      <w:pPr>
        <w:spacing w:after="160" w:line="259" w:lineRule="auto"/>
        <w:jc w:val="center"/>
        <w:rPr>
          <w:rFonts w:eastAsia="Calibri"/>
          <w:b/>
          <w:bCs/>
          <w:sz w:val="28"/>
          <w:szCs w:val="28"/>
          <w:lang w:val="en-ZA"/>
        </w:rPr>
      </w:pPr>
    </w:p>
    <w:p w14:paraId="026B0044">
      <w:pPr>
        <w:spacing w:after="160" w:line="259" w:lineRule="auto"/>
        <w:jc w:val="center"/>
        <w:rPr>
          <w:rFonts w:eastAsia="Calibri"/>
          <w:b/>
          <w:bCs/>
          <w:sz w:val="28"/>
          <w:szCs w:val="28"/>
          <w:lang w:val="en-ZA"/>
        </w:rPr>
      </w:pPr>
    </w:p>
    <w:p w14:paraId="3E47FE7D">
      <w:pPr>
        <w:spacing w:after="160" w:line="259" w:lineRule="auto"/>
        <w:jc w:val="center"/>
        <w:rPr>
          <w:rFonts w:eastAsia="Calibri"/>
          <w:b/>
          <w:bCs/>
          <w:sz w:val="28"/>
          <w:szCs w:val="28"/>
          <w:lang w:val="en-ZA"/>
        </w:rPr>
      </w:pPr>
    </w:p>
    <w:p w14:paraId="3307EB73">
      <w:pPr>
        <w:spacing w:after="160" w:line="259" w:lineRule="auto"/>
        <w:jc w:val="center"/>
        <w:rPr>
          <w:rFonts w:eastAsia="Calibri"/>
          <w:b/>
          <w:bCs/>
          <w:sz w:val="28"/>
          <w:szCs w:val="28"/>
          <w:lang w:val="en-ZA"/>
        </w:rPr>
      </w:pPr>
    </w:p>
    <w:p w14:paraId="2C1D151B">
      <w:pPr>
        <w:spacing w:after="160" w:line="259" w:lineRule="auto"/>
        <w:jc w:val="center"/>
        <w:rPr>
          <w:rFonts w:eastAsia="Calibri"/>
          <w:b/>
          <w:bCs/>
          <w:sz w:val="28"/>
          <w:szCs w:val="28"/>
          <w:lang w:val="en-ZA"/>
        </w:rPr>
      </w:pPr>
    </w:p>
    <w:p w14:paraId="3516C896">
      <w:pPr>
        <w:spacing w:after="160" w:line="259" w:lineRule="auto"/>
        <w:jc w:val="center"/>
        <w:rPr>
          <w:rFonts w:eastAsia="Calibri"/>
          <w:b/>
          <w:bCs/>
          <w:sz w:val="28"/>
          <w:szCs w:val="28"/>
          <w:lang w:val="en-ZA"/>
        </w:rPr>
      </w:pPr>
    </w:p>
    <w:p w14:paraId="6C542D2C">
      <w:pPr>
        <w:spacing w:after="160" w:line="259" w:lineRule="auto"/>
        <w:jc w:val="center"/>
        <w:rPr>
          <w:rFonts w:eastAsia="Calibri"/>
          <w:b/>
          <w:bCs/>
          <w:sz w:val="28"/>
          <w:szCs w:val="28"/>
          <w:lang w:val="en-ZA"/>
        </w:rPr>
      </w:pPr>
    </w:p>
    <w:p w14:paraId="1CF37424">
      <w:pPr>
        <w:spacing w:after="160" w:line="259" w:lineRule="auto"/>
        <w:jc w:val="center"/>
        <w:rPr>
          <w:rFonts w:eastAsia="Calibri"/>
          <w:b/>
          <w:bCs/>
          <w:sz w:val="28"/>
          <w:szCs w:val="28"/>
          <w:lang w:val="en-ZA"/>
        </w:rPr>
      </w:pPr>
    </w:p>
    <w:p w14:paraId="341A882D">
      <w:pPr>
        <w:spacing w:after="160" w:line="259" w:lineRule="auto"/>
        <w:jc w:val="center"/>
        <w:rPr>
          <w:rFonts w:eastAsia="Calibri"/>
          <w:b/>
          <w:bCs/>
          <w:sz w:val="28"/>
          <w:szCs w:val="28"/>
          <w:lang w:val="en-ZA"/>
        </w:rPr>
      </w:pPr>
      <w:r>
        <w:rPr>
          <w:rFonts w:eastAsia="Calibri"/>
          <w:b/>
          <w:bCs/>
          <w:sz w:val="28"/>
          <w:szCs w:val="28"/>
          <w:lang w:val="en-ZA"/>
        </w:rPr>
        <w:t>CHAPTER 3</w:t>
      </w:r>
    </w:p>
    <w:p w14:paraId="78E70461">
      <w:pPr>
        <w:spacing w:after="160" w:line="259" w:lineRule="auto"/>
        <w:jc w:val="center"/>
        <w:rPr>
          <w:rFonts w:eastAsia="Calibri"/>
          <w:b/>
          <w:bCs/>
          <w:sz w:val="28"/>
          <w:szCs w:val="28"/>
          <w:lang w:val="en-ZA"/>
        </w:rPr>
      </w:pPr>
    </w:p>
    <w:p w14:paraId="519FFBDE">
      <w:pPr>
        <w:spacing w:after="160" w:line="259" w:lineRule="auto"/>
        <w:jc w:val="center"/>
        <w:rPr>
          <w:rFonts w:eastAsia="Calibri"/>
          <w:sz w:val="22"/>
          <w:szCs w:val="22"/>
          <w:lang w:val="en-GB"/>
        </w:rPr>
      </w:pPr>
      <w:r>
        <w:rPr>
          <w:rFonts w:eastAsia="Calibri"/>
          <w:b/>
          <w:bCs/>
          <w:sz w:val="28"/>
          <w:szCs w:val="28"/>
          <w:lang w:val="en-ZA"/>
        </w:rPr>
        <w:t>TAXATION OF PETROLEUM OPERATIONS IN NIGERIA</w:t>
      </w:r>
      <w:bookmarkEnd w:id="16"/>
    </w:p>
    <w:p w14:paraId="018E4C98">
      <w:pPr>
        <w:spacing w:after="160" w:line="259" w:lineRule="auto"/>
        <w:rPr>
          <w:rFonts w:eastAsia="Calibri"/>
          <w:sz w:val="22"/>
          <w:szCs w:val="22"/>
          <w:lang w:val="en-GB"/>
        </w:rPr>
      </w:pPr>
    </w:p>
    <w:p w14:paraId="4B1D07A2">
      <w:pPr>
        <w:spacing w:after="160" w:line="259" w:lineRule="auto"/>
        <w:rPr>
          <w:rFonts w:eastAsia="Calibri"/>
          <w:b/>
          <w:bCs/>
          <w:sz w:val="28"/>
          <w:szCs w:val="28"/>
          <w:lang w:val="en-GB"/>
        </w:rPr>
      </w:pPr>
      <w:r>
        <w:rPr>
          <w:rFonts w:eastAsia="Calibri"/>
          <w:b/>
          <w:bCs/>
          <w:sz w:val="28"/>
          <w:szCs w:val="28"/>
          <w:lang w:val="en-GB"/>
        </w:rPr>
        <w:t>3.0</w:t>
      </w:r>
      <w:r>
        <w:rPr>
          <w:rFonts w:eastAsia="Calibri"/>
          <w:b/>
          <w:bCs/>
          <w:sz w:val="28"/>
          <w:szCs w:val="28"/>
          <w:lang w:val="en-GB"/>
        </w:rPr>
        <w:tab/>
      </w:r>
      <w:r>
        <w:rPr>
          <w:rFonts w:eastAsia="Calibri"/>
          <w:b/>
          <w:bCs/>
          <w:sz w:val="28"/>
          <w:szCs w:val="28"/>
          <w:lang w:val="en-GB"/>
        </w:rPr>
        <w:t xml:space="preserve"> INTRODUCTION</w:t>
      </w:r>
    </w:p>
    <w:p w14:paraId="33BAB655">
      <w:pPr>
        <w:spacing w:after="160" w:line="259" w:lineRule="auto"/>
        <w:rPr>
          <w:rFonts w:eastAsia="Calibri"/>
          <w:b/>
          <w:bCs/>
          <w:sz w:val="22"/>
          <w:szCs w:val="22"/>
          <w:lang w:val="en-GB"/>
        </w:rPr>
      </w:pPr>
    </w:p>
    <w:p w14:paraId="1CF1B013">
      <w:pPr>
        <w:spacing w:after="160" w:line="480" w:lineRule="auto"/>
        <w:jc w:val="both"/>
        <w:rPr>
          <w:rFonts w:eastAsia="Calibri"/>
          <w:bCs/>
          <w:lang w:val="en-GB"/>
        </w:rPr>
      </w:pPr>
      <w:r>
        <w:rPr>
          <w:rFonts w:eastAsia="Calibri"/>
          <w:bCs/>
          <w:lang w:val="en-GB"/>
        </w:rPr>
        <w:t xml:space="preserve">This chapter provides the background to petroleum operations in Nigeria. It also examines the Constitutional, legislative, and regulatory framework for the taxation of petroleum operations in Nigeria. The impact of the 1999 Nigerian Federal Constitution on the ownership of petroleum resources and the exercise of taxation powers of the federating units in the Nigerian Federation is examined as a potential source of uncertainty in the tax system. The absence of, or the lack of sustained fiscal and tax policy development is also highlighted as impacting tax legislation development and certainty for petroleum operations. </w:t>
      </w:r>
    </w:p>
    <w:p w14:paraId="7EFC9088">
      <w:pPr>
        <w:spacing w:after="160" w:line="480" w:lineRule="auto"/>
        <w:jc w:val="both"/>
        <w:rPr>
          <w:rFonts w:eastAsia="Calibri"/>
          <w:bCs/>
          <w:lang w:val="en-GB"/>
        </w:rPr>
      </w:pPr>
      <w:r>
        <w:rPr>
          <w:rFonts w:eastAsia="Calibri"/>
          <w:bCs/>
          <w:lang w:val="en-GB"/>
        </w:rPr>
        <w:t>The regulatory and licensing framework for petroleum operations under the Petroleum Act (PA) and the Petroleum Regulations</w:t>
      </w:r>
      <w:r>
        <w:rPr>
          <w:rFonts w:eastAsia="Calibri"/>
          <w:bCs/>
          <w:vertAlign w:val="superscript"/>
          <w:lang w:val="en-GB"/>
        </w:rPr>
        <w:footnoteReference w:id="180"/>
      </w:r>
      <w:r>
        <w:rPr>
          <w:rFonts w:eastAsia="Calibri"/>
          <w:bCs/>
          <w:lang w:val="en-GB"/>
        </w:rPr>
        <w:t xml:space="preserve"> are also discussed in the light of their impact on fiscal policy and tax legislation and administration. This </w:t>
      </w:r>
      <w:r>
        <w:rPr>
          <w:rFonts w:eastAsia="Calibri"/>
          <w:bCs/>
          <w:color w:val="000000"/>
          <w:lang w:val="en-GB"/>
        </w:rPr>
        <w:t>is</w:t>
      </w:r>
      <w:r>
        <w:rPr>
          <w:rFonts w:eastAsia="Calibri"/>
          <w:bCs/>
          <w:lang w:val="en-GB"/>
        </w:rPr>
        <w:t xml:space="preserve"> followed by a brief overview of the tax administration of the Petroleum Profits Tax Act (PPTA) as affected by the other relevant tax statutes. </w:t>
      </w:r>
    </w:p>
    <w:p w14:paraId="3A41A41F">
      <w:pPr>
        <w:spacing w:after="160" w:line="259" w:lineRule="auto"/>
        <w:rPr>
          <w:rFonts w:eastAsia="Calibri"/>
          <w:b/>
          <w:lang w:val="en-GB"/>
        </w:rPr>
      </w:pPr>
      <w:bookmarkStart w:id="17" w:name="_Toc1989748"/>
    </w:p>
    <w:p w14:paraId="034216B4">
      <w:pPr>
        <w:spacing w:after="160" w:line="259" w:lineRule="auto"/>
        <w:rPr>
          <w:rFonts w:eastAsia="Calibri"/>
          <w:b/>
          <w:bCs/>
          <w:lang w:val="en-GB"/>
        </w:rPr>
      </w:pPr>
      <w:r>
        <w:rPr>
          <w:rFonts w:eastAsia="Calibri"/>
          <w:b/>
          <w:lang w:val="en-GB"/>
        </w:rPr>
        <w:t>3</w:t>
      </w:r>
      <w:r>
        <w:rPr>
          <w:rFonts w:eastAsia="Calibri"/>
          <w:lang w:val="en-GB"/>
        </w:rPr>
        <w:t>.</w:t>
      </w:r>
      <w:bookmarkEnd w:id="17"/>
      <w:r>
        <w:rPr>
          <w:rFonts w:eastAsia="Calibri"/>
          <w:b/>
          <w:bCs/>
          <w:lang w:val="en-GB"/>
        </w:rPr>
        <w:t>1</w:t>
      </w:r>
      <w:r>
        <w:rPr>
          <w:rFonts w:eastAsia="Calibri"/>
          <w:b/>
          <w:bCs/>
          <w:lang w:val="en-GB"/>
        </w:rPr>
        <w:tab/>
      </w:r>
      <w:r>
        <w:rPr>
          <w:rFonts w:eastAsia="Calibri"/>
          <w:b/>
          <w:bCs/>
          <w:lang w:val="en-GB"/>
        </w:rPr>
        <w:t xml:space="preserve"> BACKGROUND TO PETROLEUM OPERATIONS </w:t>
      </w:r>
    </w:p>
    <w:p w14:paraId="196D97EA">
      <w:pPr>
        <w:spacing w:after="160" w:line="480" w:lineRule="auto"/>
        <w:rPr>
          <w:rFonts w:eastAsia="Calibri"/>
          <w:bCs/>
          <w:lang w:val="en-GB"/>
        </w:rPr>
      </w:pPr>
      <w:r>
        <w:rPr>
          <w:rFonts w:eastAsia="Calibri"/>
          <w:b/>
          <w:bCs/>
          <w:iCs/>
          <w:lang w:val="en-ZA"/>
        </w:rPr>
        <w:t xml:space="preserve"> </w:t>
      </w:r>
      <w:r>
        <w:rPr>
          <w:rFonts w:eastAsia="Calibri"/>
          <w:bCs/>
          <w:lang w:val="en-GB"/>
        </w:rPr>
        <w:t>Exploration and production of petroleum in Nigeria dates to the Mineral Oils Act of 1914</w:t>
      </w:r>
      <w:r>
        <w:rPr>
          <w:rFonts w:eastAsia="Calibri"/>
          <w:bCs/>
          <w:vertAlign w:val="superscript"/>
          <w:lang w:val="en-GB"/>
        </w:rPr>
        <w:footnoteReference w:id="181"/>
      </w:r>
      <w:r>
        <w:rPr>
          <w:rFonts w:eastAsia="Calibri"/>
          <w:bCs/>
          <w:lang w:val="en-GB"/>
        </w:rPr>
        <w:t>. The Mineral Oils Act was enacted “to regulate the right to search for, win and work mineral oil”</w:t>
      </w:r>
      <w:r>
        <w:rPr>
          <w:rFonts w:eastAsia="Calibri"/>
          <w:bCs/>
          <w:vertAlign w:val="superscript"/>
          <w:lang w:val="en-GB"/>
        </w:rPr>
        <w:footnoteReference w:id="182"/>
      </w:r>
      <w:r>
        <w:rPr>
          <w:rFonts w:eastAsia="Calibri"/>
          <w:bCs/>
          <w:lang w:val="en-GB"/>
        </w:rPr>
        <w:t xml:space="preserve">.  Presently, oil and gas exploration and production are ongoing in the onshore Anambra, offshore Benin / Dahomey (deep and ultra-deep waters) and the Niger-Delta (shallow and deep offshore) basins of the country as highlighted in the acreage map below. </w:t>
      </w:r>
    </w:p>
    <w:p w14:paraId="1C69990B">
      <w:pPr>
        <w:spacing w:after="160" w:line="480" w:lineRule="auto"/>
        <w:jc w:val="both"/>
        <w:rPr>
          <w:rFonts w:eastAsia="Calibri"/>
          <w:bCs/>
          <w:lang w:val="en-GB"/>
        </w:rPr>
      </w:pPr>
      <w:r>
        <w:rPr>
          <w:rFonts w:eastAsia="Calibri"/>
          <w:lang w:val="en-GB" w:eastAsia="en-GB"/>
        </w:rPr>
        <w:drawing>
          <wp:inline distT="0" distB="0" distL="0" distR="0">
            <wp:extent cx="6572250" cy="3781425"/>
            <wp:effectExtent l="0" t="0" r="0" b="9525"/>
            <wp:docPr id="8" name="image" descr="http://www.oilandgas360.com/wp-content/uploads/2016/06/ENI-Nigeria-Asset-Map.gif?x3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http://www.oilandgas360.com/wp-content/uploads/2016/06/ENI-Nigeria-Asset-Map.gif?x38408"/>
                    <pic:cNvPicPr>
                      <a:picLocks noChangeAspect="1" noChangeArrowheads="1"/>
                    </pic:cNvPicPr>
                  </pic:nvPicPr>
                  <pic:blipFill>
                    <a:blip r:embed="rId36"/>
                    <a:srcRect/>
                    <a:stretch>
                      <a:fillRect/>
                    </a:stretch>
                  </pic:blipFill>
                  <pic:spPr>
                    <a:xfrm>
                      <a:off x="0" y="0"/>
                      <a:ext cx="6572250" cy="3781425"/>
                    </a:xfrm>
                    <a:prstGeom prst="rect">
                      <a:avLst/>
                    </a:prstGeom>
                    <a:noFill/>
                    <a:ln>
                      <a:noFill/>
                    </a:ln>
                  </pic:spPr>
                </pic:pic>
              </a:graphicData>
            </a:graphic>
          </wp:inline>
        </w:drawing>
      </w:r>
    </w:p>
    <w:p w14:paraId="1A210BD9">
      <w:pPr>
        <w:spacing w:after="160" w:line="480" w:lineRule="auto"/>
        <w:jc w:val="both"/>
        <w:rPr>
          <w:rFonts w:eastAsia="Calibri"/>
          <w:bCs/>
          <w:lang w:val="en-GB"/>
        </w:rPr>
      </w:pPr>
      <w:r>
        <w:rPr>
          <w:rFonts w:eastAsia="Calibri"/>
          <w:b/>
          <w:lang w:val="en-GB"/>
        </w:rPr>
        <w:t>Source</w:t>
      </w:r>
      <w:r>
        <w:rPr>
          <w:rFonts w:eastAsia="Calibri"/>
          <w:bCs/>
          <w:lang w:val="en-GB"/>
        </w:rPr>
        <w:t>:http://www.oilandgas360.com/wp-content/uploads/2016/06/ENI-Nigeria-Asset Map.gifx38408</w:t>
      </w:r>
    </w:p>
    <w:p w14:paraId="00D036F0">
      <w:pPr>
        <w:tabs>
          <w:tab w:val="left" w:pos="720"/>
        </w:tabs>
        <w:spacing w:after="160" w:line="480" w:lineRule="auto"/>
        <w:jc w:val="both"/>
        <w:rPr>
          <w:rFonts w:eastAsia="Calibri"/>
          <w:lang w:val="en-GB"/>
        </w:rPr>
      </w:pPr>
      <w:r>
        <w:rPr>
          <w:rFonts w:eastAsia="Calibri"/>
          <w:bCs/>
          <w:lang w:val="en-GB"/>
        </w:rPr>
        <w:t>According</w:t>
      </w:r>
      <w:r>
        <w:rPr>
          <w:rFonts w:eastAsia="Calibri"/>
          <w:bCs/>
        </w:rPr>
        <w:t xml:space="preserve"> to the Nigerian Upstream Petroleum Regulatory Commission (NUPRC), as of January 2024, Nigeria's</w:t>
      </w:r>
      <w:r>
        <w:t xml:space="preserve"> crude oil </w:t>
      </w:r>
      <w:r>
        <w:rPr>
          <w:rFonts w:eastAsia="Calibri"/>
          <w:bCs/>
        </w:rPr>
        <w:t xml:space="preserve">and condensate </w:t>
      </w:r>
      <w:r>
        <w:t xml:space="preserve">reserves </w:t>
      </w:r>
      <w:r>
        <w:rPr>
          <w:rFonts w:eastAsia="Calibri"/>
          <w:bCs/>
        </w:rPr>
        <w:t>were 37.50</w:t>
      </w:r>
      <w:r>
        <w:t xml:space="preserve"> billion barrels</w:t>
      </w:r>
      <w:r>
        <w:rPr>
          <w:rFonts w:eastAsia="Calibri"/>
          <w:bCs/>
        </w:rPr>
        <w:t xml:space="preserve">; made up of </w:t>
      </w:r>
      <w:r>
        <w:rPr>
          <w:rFonts w:eastAsia="Calibri"/>
          <w:bCs/>
          <w:lang w:val="en-GB"/>
        </w:rPr>
        <w:t>31.56 billion barrels crude oil and condensate of 5.94 billion barrels</w:t>
      </w:r>
      <w:r>
        <w:rPr>
          <w:rFonts w:eastAsia="Calibri"/>
          <w:bCs/>
          <w:vertAlign w:val="superscript"/>
          <w:lang w:val="en-GB"/>
        </w:rPr>
        <w:footnoteReference w:id="183"/>
      </w:r>
      <w:r>
        <w:rPr>
          <w:rFonts w:eastAsia="Calibri"/>
          <w:bCs/>
          <w:lang w:val="en-GB"/>
        </w:rPr>
        <w:t>. T</w:t>
      </w:r>
      <w:r>
        <w:rPr>
          <w:rFonts w:eastAsia="Calibri"/>
          <w:bCs/>
        </w:rPr>
        <w:t xml:space="preserve">he total </w:t>
      </w:r>
      <w:r>
        <w:t xml:space="preserve">gas reserves </w:t>
      </w:r>
      <w:r>
        <w:rPr>
          <w:rFonts w:eastAsia="Calibri"/>
          <w:bCs/>
        </w:rPr>
        <w:t>is 209.26</w:t>
      </w:r>
      <w:r>
        <w:t xml:space="preserve"> trillion cubic feet</w:t>
      </w:r>
      <w:r>
        <w:rPr>
          <w:rFonts w:eastAsia="Calibri"/>
          <w:bCs/>
        </w:rPr>
        <w:t>, made up of,102.59 associated and 106.67 trillion non-associated</w:t>
      </w:r>
      <w:r>
        <w:t>.</w:t>
      </w:r>
      <w:r>
        <w:rPr>
          <w:rFonts w:eastAsia="Calibri"/>
          <w:vertAlign w:val="superscript"/>
          <w:lang w:val="en-GB"/>
        </w:rPr>
        <w:footnoteReference w:id="184"/>
      </w:r>
      <w:r>
        <w:rPr>
          <w:rFonts w:eastAsia="Calibri"/>
          <w:bCs/>
          <w:lang w:val="en-GB"/>
        </w:rPr>
        <w:t xml:space="preserve"> Ranked as Africa’s largest oil producer and the sixth in the world, Nigeria has a maximum oil production capacity of 2.5 million barrels per day and an average daily production of 1.8 - 2 million barrels.</w:t>
      </w:r>
      <w:r>
        <w:rPr>
          <w:rFonts w:eastAsia="Calibri"/>
          <w:vertAlign w:val="superscript"/>
          <w:lang w:val="en-GB"/>
        </w:rPr>
        <w:footnoteReference w:id="185"/>
      </w:r>
      <w:r>
        <w:rPr>
          <w:rFonts w:eastAsia="Calibri"/>
          <w:bCs/>
          <w:lang w:val="en-GB"/>
        </w:rPr>
        <w:t xml:space="preserve"> </w:t>
      </w:r>
      <w:r>
        <w:rPr>
          <w:rFonts w:eastAsia="Calibri"/>
          <w:lang w:val="en-GB"/>
        </w:rPr>
        <w:t>Nigeria has the 12th largest proved oil reserves in the world, and in terms of oil production, Nigeria is the 13th largest oil producer, with about 3% of world production. Oil reserves-to-production ratios over the decades have been within the range of 20 to 50 years and in 2015 was a very reasonable 46 years, in line with average international ratios.</w:t>
      </w:r>
      <w:r>
        <w:rPr>
          <w:rFonts w:eastAsia="Calibri"/>
          <w:bCs/>
          <w:vertAlign w:val="superscript"/>
          <w:lang w:val="en-GB"/>
        </w:rPr>
        <w:footnoteReference w:id="186"/>
      </w:r>
      <w:r>
        <w:rPr>
          <w:rFonts w:eastAsia="Calibri"/>
          <w:lang w:val="en-GB"/>
        </w:rPr>
        <w:t xml:space="preserve"> </w:t>
      </w:r>
    </w:p>
    <w:p w14:paraId="4ED84404">
      <w:pPr>
        <w:spacing w:after="160" w:line="480" w:lineRule="auto"/>
        <w:jc w:val="both"/>
      </w:pPr>
      <w:r>
        <w:rPr>
          <w:rFonts w:eastAsia="Calibri"/>
          <w:bCs/>
          <w:lang w:val="en-GB"/>
        </w:rPr>
        <w:t>With the technical and financial leadership of International Oil Companies (IOC’s) in the prospecting, exploration and development activities in the Nigeria oil and gas (O&amp;G) sector, Nigeria has become a major global O&amp;G producer and reserve holder.</w:t>
      </w:r>
      <w:r>
        <w:rPr>
          <w:rFonts w:eastAsia="Calibri"/>
          <w:bCs/>
          <w:vertAlign w:val="superscript"/>
          <w:lang w:val="en-GB"/>
        </w:rPr>
        <w:footnoteReference w:id="187"/>
      </w:r>
      <w:r>
        <w:rPr>
          <w:rFonts w:eastAsia="Calibri"/>
          <w:bCs/>
          <w:lang w:val="en-GB"/>
        </w:rPr>
        <w:t xml:space="preserve"> Nigeria thus became an active player in the global O&amp;G market and joined the Oil Producers and Exporting Countries (OPEC) group, as its 11</w:t>
      </w:r>
      <w:r>
        <w:rPr>
          <w:rFonts w:eastAsia="Calibri"/>
          <w:bCs/>
          <w:vertAlign w:val="superscript"/>
          <w:lang w:val="en-GB"/>
        </w:rPr>
        <w:t>th</w:t>
      </w:r>
      <w:r>
        <w:rPr>
          <w:rFonts w:eastAsia="Calibri"/>
          <w:bCs/>
          <w:lang w:val="en-GB"/>
        </w:rPr>
        <w:t xml:space="preserve"> member  in 1971. </w:t>
      </w:r>
      <w:r>
        <w:rPr>
          <w:bCs/>
        </w:rPr>
        <w:t>In the same year, Nigerian National Oil Corporation (NNOC), was established as an instrument for accomplishing the government’s policy objectives with respect to oil.  The NNOC operated concurrently with the Ministry of Petroleum Resources (MPR), and was empowered to enter new beneficial oil arrangements with interested companies in Nigeria, on behalf of the FG.  However, in 1977, the FG thought that a higher standard of goals and policies set for the oil industry was best achieved by a single entity. The NNOC and the MPR were therefore merged to form what is known today as the Nigeria National Petroleum Corporation (NNPC).</w:t>
      </w:r>
    </w:p>
    <w:p w14:paraId="59B63B73">
      <w:pPr>
        <w:spacing w:after="160" w:line="480" w:lineRule="auto"/>
        <w:jc w:val="both"/>
        <w:rPr>
          <w:rFonts w:eastAsia="Calibri"/>
          <w:bCs/>
          <w:lang w:val="en-GB"/>
        </w:rPr>
      </w:pPr>
      <w:r>
        <w:rPr>
          <w:rFonts w:eastAsia="Calibri"/>
          <w:bCs/>
          <w:lang w:val="en-GB"/>
        </w:rPr>
        <w:t>The map below shows the oil and gas fields, the crude oil pipelines, and export terminals, as well as the location of the refineries. Nigeria continues to rely heavily on its crude oil export earnings, and to a lesser degree, its gas</w:t>
      </w:r>
      <w:r>
        <w:rPr>
          <w:rFonts w:eastAsia="Calibri"/>
          <w:bCs/>
          <w:vertAlign w:val="superscript"/>
          <w:lang w:val="en-GB"/>
        </w:rPr>
        <w:footnoteReference w:id="188"/>
      </w:r>
      <w:r>
        <w:rPr>
          <w:rFonts w:eastAsia="Calibri"/>
          <w:bCs/>
          <w:lang w:val="en-GB"/>
        </w:rPr>
        <w:t xml:space="preserve"> and LNG exports. Sadly, Nigeria imports the bulk of its refined petroleum product needs, despite holding significant O&amp;G reserves and producing substantial crude oil for export.</w:t>
      </w:r>
    </w:p>
    <w:p w14:paraId="3F138298">
      <w:pPr>
        <w:spacing w:after="160" w:line="480" w:lineRule="auto"/>
        <w:jc w:val="both"/>
        <w:rPr>
          <w:rFonts w:eastAsia="Calibri"/>
          <w:bCs/>
          <w:lang w:val="en-GB"/>
        </w:rPr>
      </w:pPr>
      <w:r>
        <w:rPr>
          <w:rFonts w:eastAsia="Calibri"/>
          <w:bCs/>
          <w:lang w:val="en-GB" w:eastAsia="en-GB"/>
        </w:rPr>
        <w:drawing>
          <wp:inline distT="0" distB="0" distL="0" distR="0">
            <wp:extent cx="5895340" cy="3924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37"/>
                    <a:srcRect/>
                    <a:stretch>
                      <a:fillRect/>
                    </a:stretch>
                  </pic:blipFill>
                  <pic:spPr>
                    <a:xfrm>
                      <a:off x="0" y="0"/>
                      <a:ext cx="5895340" cy="3924300"/>
                    </a:xfrm>
                    <a:prstGeom prst="rect">
                      <a:avLst/>
                    </a:prstGeom>
                    <a:noFill/>
                    <a:ln>
                      <a:noFill/>
                    </a:ln>
                  </pic:spPr>
                </pic:pic>
              </a:graphicData>
            </a:graphic>
          </wp:inline>
        </w:drawing>
      </w:r>
    </w:p>
    <w:p w14:paraId="6A85D68F">
      <w:pPr>
        <w:spacing w:after="160" w:line="480" w:lineRule="auto"/>
        <w:jc w:val="both"/>
        <w:rPr>
          <w:rFonts w:eastAsia="Calibri"/>
          <w:bCs/>
          <w:iCs/>
          <w:lang w:val="en-GB"/>
        </w:rPr>
      </w:pPr>
      <w:r>
        <w:rPr>
          <w:rFonts w:eastAsia="Calibri"/>
          <w:bCs/>
          <w:iCs/>
          <w:lang w:val="en-GB"/>
        </w:rPr>
        <w:t>Oil &amp; Gas Fields, Pipelines and Export Terminals</w:t>
      </w:r>
    </w:p>
    <w:p w14:paraId="2B8527E2">
      <w:pPr>
        <w:spacing w:after="160" w:line="480" w:lineRule="auto"/>
        <w:jc w:val="both"/>
        <w:rPr>
          <w:rFonts w:eastAsia="Calibri"/>
          <w:bCs/>
          <w:iCs/>
        </w:rPr>
      </w:pPr>
      <w:r>
        <w:rPr>
          <w:rFonts w:eastAsia="Calibri"/>
          <w:bCs/>
          <w:iCs/>
          <w:lang w:val="en-GB"/>
        </w:rPr>
        <w:t>The bulk of the Federal revenue is derived from the sale of crude oil, and the taxation of upstream petroleum operations. Given the importance of crude oil to the economy of Nigeria, a special petroleum profits tax regime (the PPT), is in place for upstream petroleum operations.  Mid and downstream O&amp;G operations are taxed under the general Companies Income Tax Act (CITA). Gas revenues remain low due to inadequate investment and the failure to develop a clear gas policy and the regulation of market prices.</w:t>
      </w:r>
      <w:r>
        <w:rPr>
          <w:rFonts w:eastAsia="Calibri"/>
          <w:bCs/>
          <w:iCs/>
          <w:vertAlign w:val="superscript"/>
          <w:lang w:val="en-GB"/>
        </w:rPr>
        <w:footnoteReference w:id="189"/>
      </w:r>
      <w:r>
        <w:rPr>
          <w:rFonts w:eastAsia="Calibri"/>
          <w:bCs/>
          <w:iCs/>
          <w:lang w:val="en-GB"/>
        </w:rPr>
        <w:t xml:space="preserve"> Nigeria </w:t>
      </w:r>
      <w:r>
        <w:rPr>
          <w:color w:val="000000"/>
          <w:lang w:val="en-GB"/>
        </w:rPr>
        <w:t>LNG taxation is under CITA</w:t>
      </w:r>
      <w:r>
        <w:rPr>
          <w:rFonts w:eastAsia="Calibri"/>
          <w:bCs/>
          <w:iCs/>
          <w:color w:val="000000"/>
          <w:lang w:val="en-GB"/>
        </w:rPr>
        <w:t xml:space="preserve"> and NLNG Fiscal Incentives and Guarantees Act</w:t>
      </w:r>
      <w:r>
        <w:rPr>
          <w:rFonts w:eastAsia="Calibri"/>
          <w:bCs/>
          <w:iCs/>
          <w:color w:val="000000"/>
          <w:vertAlign w:val="superscript"/>
          <w:lang w:val="en-GB"/>
        </w:rPr>
        <w:footnoteReference w:id="190"/>
      </w:r>
      <w:r>
        <w:rPr>
          <w:color w:val="FF0000"/>
          <w:lang w:val="en-GB"/>
        </w:rPr>
        <w:t>.</w:t>
      </w:r>
      <w:r>
        <w:rPr>
          <w:rFonts w:eastAsia="Calibri"/>
          <w:bCs/>
          <w:iCs/>
          <w:lang w:val="en-GB"/>
        </w:rPr>
        <w:t xml:space="preserve"> The clear motivation for special taxes on petroleum operations is rooted in rent theory and the assumption that O&amp;G resources provide an extraordinary rate of resource rent (economic rent)</w:t>
      </w:r>
      <w:r>
        <w:rPr>
          <w:rFonts w:eastAsia="Calibri"/>
          <w:bCs/>
          <w:iCs/>
          <w:vertAlign w:val="superscript"/>
          <w:lang w:val="en-GB"/>
        </w:rPr>
        <w:footnoteReference w:id="191"/>
      </w:r>
      <w:r>
        <w:rPr>
          <w:rFonts w:eastAsia="Calibri"/>
          <w:bCs/>
          <w:iCs/>
          <w:lang w:val="en-GB"/>
        </w:rPr>
        <w:t xml:space="preserve"> coupled with the need for increased government take from the sector.  ‘Resource rent’</w:t>
      </w:r>
      <w:r>
        <w:rPr>
          <w:rFonts w:eastAsia="Calibri"/>
          <w:bCs/>
          <w:iCs/>
          <w:vertAlign w:val="superscript"/>
          <w:lang w:val="en-GB"/>
        </w:rPr>
        <w:footnoteReference w:id="192"/>
      </w:r>
      <w:r>
        <w:rPr>
          <w:rFonts w:eastAsia="Calibri"/>
          <w:bCs/>
          <w:iCs/>
          <w:lang w:val="en-GB"/>
        </w:rPr>
        <w:t xml:space="preserve"> essentially refers to the difference between the values of hydrocarbons extracted from a deposit and the total costs of exploring and producing the hydrocarbons, synonymous with excess profit. The rent is shared between the State and the oil companies engaged in extracting hydrocarbons either on a concession oil mining licence (OML), or by contract, in the case of Production Sharing Contracts (PSC).</w:t>
      </w:r>
      <w:r>
        <w:rPr>
          <w:rFonts w:eastAsia="Calibri"/>
          <w:bCs/>
          <w:iCs/>
          <w:vertAlign w:val="superscript"/>
          <w:lang w:val="en-GB"/>
        </w:rPr>
        <w:footnoteReference w:id="193"/>
      </w:r>
      <w:r>
        <w:rPr>
          <w:rFonts w:eastAsia="Calibri"/>
          <w:bCs/>
          <w:iCs/>
          <w:lang w:val="en-GB"/>
        </w:rPr>
        <w:t xml:space="preserve"> </w:t>
      </w:r>
      <w:r>
        <w:rPr>
          <w:rFonts w:eastAsia="Calibri"/>
          <w:bCs/>
          <w:iCs/>
        </w:rPr>
        <w:t xml:space="preserve">The basic proposition underlying petroleum taxation is to acquire for the State in whose legal territory the resources in question lie, a fair share of the wealth accruing from their extraction, whilst enabling investors to acquire the optimal economic recovery of those hydrocarbon resources. </w:t>
      </w:r>
    </w:p>
    <w:p w14:paraId="2E57CD36">
      <w:pPr>
        <w:spacing w:after="160" w:line="480" w:lineRule="auto"/>
        <w:jc w:val="both"/>
        <w:rPr>
          <w:rFonts w:eastAsia="Calibri"/>
          <w:bCs/>
          <w:iCs/>
        </w:rPr>
      </w:pPr>
      <w:r>
        <w:rPr>
          <w:rFonts w:eastAsia="Calibri"/>
          <w:bCs/>
          <w:iCs/>
        </w:rPr>
        <w:t xml:space="preserve">Questions which arise include what is fair and at what point in the extraction and production process is the State’s take to be levied.  In the following section we will examine how the ownership of O&amp;G and the allocation of taxing powers under the Nigerian Constitution have impacted fiscal policy and tax legislation certainty. </w:t>
      </w:r>
    </w:p>
    <w:p w14:paraId="79686EB9">
      <w:pPr>
        <w:spacing w:after="160" w:line="480" w:lineRule="auto"/>
        <w:jc w:val="both"/>
        <w:rPr>
          <w:rFonts w:eastAsia="Calibri"/>
          <w:bCs/>
          <w:iCs/>
        </w:rPr>
      </w:pPr>
    </w:p>
    <w:p w14:paraId="366CB4CE">
      <w:pPr>
        <w:spacing w:after="160" w:line="480" w:lineRule="auto"/>
        <w:jc w:val="both"/>
        <w:rPr>
          <w:rFonts w:eastAsia="Calibri"/>
          <w:b/>
          <w:bCs/>
          <w:iCs/>
        </w:rPr>
      </w:pPr>
      <w:r>
        <w:rPr>
          <w:rFonts w:eastAsia="Calibri"/>
          <w:b/>
          <w:bCs/>
          <w:iCs/>
        </w:rPr>
        <w:t xml:space="preserve">3.2.  THE NIGERIAN CONSTITUTION AND PETROLEUM OPERATIONS  </w:t>
      </w:r>
    </w:p>
    <w:p w14:paraId="03611795">
      <w:pPr>
        <w:spacing w:after="160" w:line="480" w:lineRule="auto"/>
        <w:jc w:val="both"/>
        <w:rPr>
          <w:rFonts w:eastAsia="Calibri"/>
          <w:bCs/>
          <w:iCs/>
        </w:rPr>
      </w:pPr>
      <w:r>
        <w:rPr>
          <w:rFonts w:eastAsia="Calibri"/>
          <w:bCs/>
          <w:iCs/>
          <w:lang w:val="en-GB"/>
        </w:rPr>
        <w:t>The 1999 Federal Constitution confers ownership of petroleum resources on the Nigerian State.</w:t>
      </w:r>
      <w:r>
        <w:rPr>
          <w:rFonts w:eastAsia="Calibri"/>
          <w:bCs/>
          <w:iCs/>
          <w:vertAlign w:val="superscript"/>
          <w:lang w:val="en-GB"/>
        </w:rPr>
        <w:footnoteReference w:id="194"/>
      </w:r>
      <w:r>
        <w:rPr>
          <w:rFonts w:eastAsia="Calibri"/>
          <w:bCs/>
          <w:iCs/>
          <w:lang w:val="en-GB"/>
        </w:rPr>
        <w:t xml:space="preserve"> Section 44 of the 1999 Constitution provides that ownership is vested in the State, however the word ‘State’ as used refers to the FG of Nigeria as opposed to component or federating States. In the case of </w:t>
      </w:r>
      <w:r>
        <w:rPr>
          <w:rFonts w:eastAsia="Calibri"/>
          <w:bCs/>
          <w:i/>
          <w:iCs/>
          <w:lang w:val="en-GB"/>
        </w:rPr>
        <w:t>Attorney General of the Federation v. Attorney General, Abia State &amp; 35 Ors. (No. 2),</w:t>
      </w:r>
      <w:r>
        <w:rPr>
          <w:rFonts w:eastAsia="Calibri"/>
          <w:bCs/>
          <w:iCs/>
          <w:vertAlign w:val="superscript"/>
          <w:lang w:val="en-GB"/>
        </w:rPr>
        <w:footnoteReference w:id="195"/>
      </w:r>
      <w:r>
        <w:rPr>
          <w:rFonts w:eastAsia="Calibri"/>
          <w:bCs/>
          <w:iCs/>
          <w:lang w:val="en-GB"/>
        </w:rPr>
        <w:t xml:space="preserve"> </w:t>
      </w:r>
      <w:r>
        <w:rPr>
          <w:rFonts w:eastAsia="Calibri"/>
          <w:bCs/>
          <w:iCs/>
        </w:rPr>
        <w:t>the Attorney-General (AG) of the Federal Republic of Nigeria brought an action against the 36 Federating States. The contention of the AG in the case was that natural resources located within the Continental Shelf of Nigeria are not derivable from any State of the Federation. The defendants argued that the territory of each State extended beyond the low water mark on to the Territorial Water. The defendant States also maintained that natural resources derived from both onshore and offshore are from their respective territories. Each State was therefore entitled to an allocation of not less than 13 percent as provided in the proviso to Section 162(2) of the Constitution.</w:t>
      </w:r>
    </w:p>
    <w:p w14:paraId="3ED27350">
      <w:pPr>
        <w:spacing w:after="160" w:line="480" w:lineRule="auto"/>
        <w:jc w:val="both"/>
        <w:rPr>
          <w:rFonts w:eastAsia="Calibri"/>
          <w:bCs/>
          <w:iCs/>
        </w:rPr>
      </w:pPr>
      <w:r>
        <w:rPr>
          <w:rFonts w:eastAsia="Calibri"/>
          <w:bCs/>
          <w:iCs/>
        </w:rPr>
        <w:t>The insistence of the petroleum producing States for greater control of the resources derived from their territories was premised on the derivation principle as recognized under section 162 of the 1999 Constitution. The proviso to section 162(1)</w:t>
      </w:r>
      <w:r>
        <w:rPr>
          <w:rFonts w:eastAsia="Calibri"/>
          <w:bCs/>
          <w:iCs/>
          <w:vertAlign w:val="superscript"/>
        </w:rPr>
        <w:footnoteReference w:id="196"/>
      </w:r>
      <w:r>
        <w:rPr>
          <w:rFonts w:eastAsia="Calibri"/>
          <w:bCs/>
          <w:iCs/>
        </w:rPr>
        <w:t xml:space="preserve"> of the Constitution</w:t>
      </w:r>
      <w:r>
        <w:rPr>
          <w:rFonts w:eastAsia="Calibri"/>
          <w:bCs/>
          <w:iCs/>
          <w:vertAlign w:val="superscript"/>
        </w:rPr>
        <w:footnoteReference w:id="197"/>
      </w:r>
      <w:r>
        <w:rPr>
          <w:rFonts w:eastAsia="Calibri"/>
          <w:bCs/>
          <w:iCs/>
        </w:rPr>
        <w:t xml:space="preserve"> states that:</w:t>
      </w:r>
    </w:p>
    <w:p w14:paraId="2A9EA924">
      <w:pPr>
        <w:spacing w:after="160" w:line="480" w:lineRule="auto"/>
        <w:ind w:left="720"/>
        <w:jc w:val="both"/>
        <w:rPr>
          <w:rFonts w:eastAsia="Calibri"/>
          <w:bCs/>
          <w:iCs/>
        </w:rPr>
      </w:pPr>
      <w:r>
        <w:rPr>
          <w:rFonts w:eastAsia="Calibri"/>
          <w:bCs/>
          <w:iCs/>
        </w:rPr>
        <w:t>“Provided that the principle of derivation shall be constantly reflected in any approved formula as being not less than thirteen percent of the revenue accruing to the Federation account directly from any natural resources.”</w:t>
      </w:r>
    </w:p>
    <w:p w14:paraId="23CBA531">
      <w:pPr>
        <w:spacing w:after="160" w:line="480" w:lineRule="auto"/>
        <w:jc w:val="both"/>
        <w:rPr>
          <w:rFonts w:eastAsia="Calibri"/>
          <w:bCs/>
          <w:iCs/>
        </w:rPr>
      </w:pPr>
      <w:r>
        <w:rPr>
          <w:rFonts w:eastAsia="Calibri"/>
          <w:bCs/>
          <w:iCs/>
        </w:rPr>
        <w:t>The FG maintained that the southern boundary of the littoral States is the low-water mark of the shore of each such State. The littoral States on their part asserted that the territory of each littoral State extended offshore, as far as the Continental Shelf and even beyond. Although the case essentially involved the division of revenue between the federating units of Nigeria, it addressed some issues of entitlement to resources and interpretation, such as the ‘connotation of “State” under international law’ and by implication the right to tax the resources in their respective jurisdictions. In this respect, the court held that a “Coastal State” under the 1982 UNCLOS</w:t>
      </w:r>
      <w:r>
        <w:rPr>
          <w:rFonts w:eastAsia="Calibri"/>
          <w:bCs/>
          <w:iCs/>
          <w:vertAlign w:val="superscript"/>
        </w:rPr>
        <w:footnoteReference w:id="198"/>
      </w:r>
      <w:r>
        <w:rPr>
          <w:rFonts w:eastAsia="Calibri"/>
          <w:bCs/>
          <w:iCs/>
        </w:rPr>
        <w:t xml:space="preserve"> means Nation State and not the internal States of a country such as the littoral States in Nigeria. This is necessarily so because international law applies to countries that are members of the comity of Nations.</w:t>
      </w:r>
      <w:r>
        <w:rPr>
          <w:rFonts w:eastAsia="Calibri"/>
          <w:bCs/>
          <w:iCs/>
          <w:vertAlign w:val="superscript"/>
        </w:rPr>
        <w:footnoteReference w:id="199"/>
      </w:r>
      <w:r>
        <w:rPr>
          <w:rFonts w:eastAsia="Calibri"/>
          <w:bCs/>
          <w:iCs/>
        </w:rPr>
        <w:t xml:space="preserve"> .</w:t>
      </w:r>
    </w:p>
    <w:p w14:paraId="568D1DD8">
      <w:pPr>
        <w:spacing w:after="160" w:line="480" w:lineRule="auto"/>
        <w:jc w:val="both"/>
        <w:rPr>
          <w:rFonts w:eastAsia="Calibri"/>
          <w:bCs/>
          <w:iCs/>
          <w:lang w:val="en-GB"/>
        </w:rPr>
      </w:pPr>
      <w:r>
        <w:rPr>
          <w:rFonts w:eastAsia="Calibri"/>
          <w:bCs/>
          <w:iCs/>
        </w:rPr>
        <w:t>In addition to the issue of the determination of the ownership of the resources, the purpose of the action was to calculate the amount of revenue accrued to the Federation Account. To that end, the plaintiff sought a determination of the seaward boundaries of the Littoral States within the Federal Republic of Nigeria, as a basis for determining the amount of revenue accruing to the Federation Account (FA) directly from any natural resources derived from the defendant States. Aside from the States seeking to generate more tax revenue by exercising some legislative authority in enacting taxation statutes, the States also sought to challenge the exclusive Federal ownership of natural resources and the Constitutionality of levying of certain charges and expenses against the FA</w:t>
      </w:r>
      <w:r>
        <w:rPr>
          <w:rFonts w:eastAsia="Calibri"/>
          <w:bCs/>
          <w:iCs/>
          <w:vertAlign w:val="superscript"/>
        </w:rPr>
        <w:footnoteReference w:id="200"/>
      </w:r>
      <w:r>
        <w:rPr>
          <w:rFonts w:eastAsia="Calibri"/>
          <w:bCs/>
          <w:iCs/>
        </w:rPr>
        <w:t>, as well as the determination of the extent of the rights of coastal States over resources derived from each State's Continental Shelf.</w:t>
      </w:r>
      <w:r>
        <w:rPr>
          <w:rFonts w:eastAsia="Calibri"/>
          <w:bCs/>
          <w:iCs/>
          <w:lang w:val="en-GB"/>
        </w:rPr>
        <w:t xml:space="preserve"> </w:t>
      </w:r>
    </w:p>
    <w:p w14:paraId="7EBEC786">
      <w:pPr>
        <w:spacing w:after="160" w:line="480" w:lineRule="auto"/>
        <w:jc w:val="both"/>
        <w:rPr>
          <w:rFonts w:eastAsia="Calibri"/>
          <w:bCs/>
          <w:iCs/>
          <w:lang w:val="en-GB"/>
        </w:rPr>
      </w:pPr>
      <w:r>
        <w:rPr>
          <w:rFonts w:eastAsia="Calibri"/>
          <w:bCs/>
          <w:iCs/>
        </w:rPr>
        <w:t xml:space="preserve">The Supreme Court (SC) in exercising its original jurisdiction as conferred on it by s.232 (1) of the Constitution, made pronouncements on several issues. </w:t>
      </w:r>
      <w:r>
        <w:rPr>
          <w:rFonts w:eastAsia="Calibri"/>
          <w:bCs/>
          <w:iCs/>
          <w:lang w:val="en-GB"/>
        </w:rPr>
        <w:t>The SC held that no State government, local government or any group of persons other than the FG can exercise any sovereign right, claim, control or ownership over O&amp;G resources within, upon or underlying all lands, sea bed and sub-sea including lands under the territorial waters of Nigeria, or that form part of the Continental Shelf or Exclusive Economic Zone (EEZ) of Nigeria.</w:t>
      </w:r>
      <w:r>
        <w:rPr>
          <w:rFonts w:eastAsia="Calibri"/>
          <w:bCs/>
          <w:iCs/>
          <w:vertAlign w:val="superscript"/>
          <w:lang w:val="en-GB"/>
        </w:rPr>
        <w:footnoteReference w:id="201"/>
      </w:r>
      <w:r>
        <w:rPr>
          <w:rFonts w:eastAsia="Calibri"/>
          <w:bCs/>
          <w:iCs/>
          <w:lang w:val="en-GB"/>
        </w:rPr>
        <w:t xml:space="preserve"> The ownership of natural resources and the allocation of fiscal and taxing powers under the 1999 Constitution has, therefore, continued to affect the exercise of the legislative power to tax and generate revenue and has added to the uncertainty in the tax system in general, and to upstream petroleum taxation in particular. The resource ownership structure in Nigeria is clearly different from that operative in the United States, which admits to ownership by individuals, and provincial ownership in Canada. </w:t>
      </w:r>
    </w:p>
    <w:p w14:paraId="77F95AA2">
      <w:pPr>
        <w:spacing w:after="160" w:line="480" w:lineRule="auto"/>
        <w:jc w:val="both"/>
        <w:rPr>
          <w:rFonts w:eastAsia="Calibri"/>
          <w:bCs/>
          <w:iCs/>
          <w:lang w:val="en-GB"/>
        </w:rPr>
      </w:pPr>
      <w:r>
        <w:rPr>
          <w:rFonts w:eastAsia="Calibri"/>
          <w:bCs/>
          <w:iCs/>
          <w:lang w:val="en-GB"/>
        </w:rPr>
        <w:t>The Nigerian State awards directly or through the National oil company (NNPC) licences and concessions to Operators and Contractors to explore, develop and produce the natural resources. The Federating States are denied any Constitutional basis for exploiting and generating revenue from the natural and mineral resources in their territory. The Federating States also lack the legal authority to tax the activities carried out in their local jurisdiction, hence the attempts by the States to do this only fuels the uncertainty in the tax system.</w:t>
      </w:r>
    </w:p>
    <w:p w14:paraId="3416FBE7">
      <w:pPr>
        <w:spacing w:after="160" w:line="480" w:lineRule="auto"/>
        <w:jc w:val="both"/>
        <w:rPr>
          <w:rFonts w:eastAsia="Calibri"/>
          <w:bCs/>
          <w:iCs/>
          <w:lang w:val="en-GB"/>
        </w:rPr>
      </w:pPr>
      <w:r>
        <w:rPr>
          <w:rFonts w:eastAsia="Calibri"/>
          <w:bCs/>
          <w:iCs/>
        </w:rPr>
        <w:t>The 1999 Constitution has fiscal lists with items on which the different tiers of government may enact laws.</w:t>
      </w:r>
      <w:r>
        <w:rPr>
          <w:rFonts w:eastAsia="Calibri"/>
          <w:bCs/>
          <w:iCs/>
          <w:vertAlign w:val="superscript"/>
        </w:rPr>
        <w:footnoteReference w:id="202"/>
      </w:r>
      <w:r>
        <w:rPr>
          <w:rFonts w:eastAsia="Calibri"/>
          <w:bCs/>
          <w:iCs/>
        </w:rPr>
        <w:t xml:space="preserve"> The Exclusive Legislative List has most of the items and the FG has exclusive jurisdiction to legislate on these items</w:t>
      </w:r>
      <w:r>
        <w:rPr>
          <w:rFonts w:eastAsia="Calibri"/>
          <w:bCs/>
          <w:iCs/>
          <w:vertAlign w:val="superscript"/>
        </w:rPr>
        <w:footnoteReference w:id="203"/>
      </w:r>
      <w:r>
        <w:rPr>
          <w:rFonts w:eastAsia="Calibri"/>
          <w:bCs/>
          <w:iCs/>
        </w:rPr>
        <w:t xml:space="preserve">as discussed in the previous chapter. </w:t>
      </w:r>
      <w:r>
        <w:rPr>
          <w:rFonts w:eastAsia="Calibri"/>
          <w:bCs/>
          <w:iCs/>
          <w:lang w:val="en-GB"/>
        </w:rPr>
        <w:t xml:space="preserve">The centralization of fiscal powers and allocation of taxing powers in the FG under the 1999 Nigerian Constitution has therefore resulted in the inability of the Federating States and Local Governments in Nigeria to legitimately enact clear and certain laws for tax revenues. </w:t>
      </w:r>
    </w:p>
    <w:p w14:paraId="70CA9AEA">
      <w:pPr>
        <w:spacing w:after="160" w:line="480" w:lineRule="auto"/>
        <w:jc w:val="both"/>
        <w:rPr>
          <w:rFonts w:eastAsia="Calibri"/>
          <w:lang w:val="en-GB"/>
        </w:rPr>
      </w:pPr>
      <w:r>
        <w:rPr>
          <w:rFonts w:eastAsia="Calibri"/>
          <w:bCs/>
          <w:iCs/>
          <w:lang w:val="en-GB"/>
        </w:rPr>
        <w:t>On the division of powers between the FG, through the National Assembly (NA) and the State Government Houses of Assembly (HA) in </w:t>
      </w:r>
      <w:r>
        <w:rPr>
          <w:rFonts w:eastAsia="Calibri"/>
          <w:lang w:val="en-GB"/>
        </w:rPr>
        <w:t xml:space="preserve">sections 4(2),(3) and 4(6) and (7) (a) of the Constitution, respectively, the Supreme Court (SC) has  held as follows in the case of </w:t>
      </w:r>
      <w:r>
        <w:rPr>
          <w:rFonts w:eastAsia="Calibri"/>
          <w:i/>
          <w:iCs/>
          <w:lang w:val="en-GB"/>
        </w:rPr>
        <w:t>Doherty v Balewa</w:t>
      </w:r>
      <w:r>
        <w:rPr>
          <w:rFonts w:eastAsia="Calibri"/>
          <w:i/>
          <w:iCs/>
          <w:vertAlign w:val="superscript"/>
          <w:lang w:val="en-GB"/>
        </w:rPr>
        <w:footnoteReference w:id="204"/>
      </w:r>
      <w:r>
        <w:rPr>
          <w:rFonts w:eastAsia="Calibri"/>
          <w:lang w:val="en-GB"/>
        </w:rPr>
        <w:t xml:space="preserve">, that “The Federal Parliament, i.e. NA, can legislate for the Federation only on those matters in respect of which it is specifically empowered to legislate under the Constitution”, while in the case of </w:t>
      </w:r>
      <w:r>
        <w:rPr>
          <w:rFonts w:eastAsia="Calibri"/>
          <w:i/>
          <w:iCs/>
          <w:lang w:val="en-GB"/>
        </w:rPr>
        <w:t>Togun v Oputa</w:t>
      </w:r>
      <w:r>
        <w:rPr>
          <w:rFonts w:eastAsia="Calibri"/>
          <w:vertAlign w:val="superscript"/>
          <w:lang w:val="en-GB"/>
        </w:rPr>
        <w:footnoteReference w:id="205"/>
      </w:r>
      <w:r>
        <w:rPr>
          <w:rFonts w:eastAsia="Calibri"/>
          <w:lang w:val="en-GB"/>
        </w:rPr>
        <w:t>, the Court of Appeal (CA) of Nigeria held as follows: “Nigeria is a Federal Republic with a Constitution in which the legislative powers of the NA and the State HA are clearly defined. We have the Exclusive and the Concurrent Lists in which the NA could legislate. This leaves the State HA to legislate exclusively on Residual matters not included in either the Exclusive or Concurrent Lists”. Furthermore, on the Residual Legislative List, in the case of </w:t>
      </w:r>
      <w:r>
        <w:rPr>
          <w:rFonts w:eastAsia="Calibri"/>
          <w:i/>
          <w:iCs/>
          <w:lang w:val="en-GB"/>
        </w:rPr>
        <w:t>A.G. Federation v A.G. Lagos State</w:t>
      </w:r>
      <w:r>
        <w:rPr>
          <w:rFonts w:eastAsia="Calibri"/>
          <w:i/>
          <w:iCs/>
          <w:vertAlign w:val="superscript"/>
          <w:lang w:val="en-GB"/>
        </w:rPr>
        <w:footnoteReference w:id="206"/>
      </w:r>
      <w:r>
        <w:rPr>
          <w:rFonts w:eastAsia="Calibri"/>
          <w:lang w:val="en-GB"/>
        </w:rPr>
        <w:t xml:space="preserve">, the SC of Nigeria held thus: </w:t>
      </w:r>
    </w:p>
    <w:p w14:paraId="27A60695">
      <w:pPr>
        <w:spacing w:after="160" w:line="480" w:lineRule="auto"/>
        <w:ind w:left="720"/>
        <w:jc w:val="both"/>
        <w:rPr>
          <w:rFonts w:eastAsia="Calibri"/>
          <w:lang w:val="en-GB"/>
        </w:rPr>
      </w:pPr>
      <w:r>
        <w:rPr>
          <w:rFonts w:eastAsia="Calibri"/>
          <w:lang w:val="en-GB"/>
        </w:rPr>
        <w:t>‘Section 4 of the Constitution of the Federal Republic of Nigeria, 1999, divides legislative powers between the NA for the FG and the HA for the State in the Exclusive and Concurrent legislative list. The NA has exclusive power</w:t>
      </w:r>
      <w:r>
        <w:rPr>
          <w:rFonts w:eastAsia="Calibri"/>
          <w:b/>
          <w:bCs/>
          <w:i/>
          <w:iCs/>
          <w:lang w:val="en-GB"/>
        </w:rPr>
        <w:t xml:space="preserve"> </w:t>
      </w:r>
      <w:r>
        <w:rPr>
          <w:rFonts w:eastAsia="Calibri"/>
          <w:lang w:val="en-GB"/>
        </w:rPr>
        <w:t xml:space="preserve">to legislate for the Federal Republic or any part thereof in respect of matters in the Exclusive list. </w:t>
      </w:r>
      <w:r>
        <w:rPr>
          <w:rFonts w:eastAsia="Calibri"/>
        </w:rPr>
        <w:t>The NA also has power to legislate, though not exclusively, on matters in the Concurrent legislative list set out in the first column of Part II of the Second Schedule to the Constitution and on any other matter with respect to which it is empowered to make laws. The HA of a State has power to make laws for the State or any part thereof on any matter not included in the Exclusive legislative list, and on any matter in the Concurrent legislative list, subject of course to a federal enactment taking precedence over a State’s enactment on the same matter, and on any other matter for which it is empowered to make laws. The HA of a State also has exclusive power to legislate on residual matters; that is, matters that are not in the Exclusive and Concurrent legislative lists’</w:t>
      </w:r>
    </w:p>
    <w:p w14:paraId="27575A79">
      <w:pPr>
        <w:spacing w:after="160" w:line="480" w:lineRule="auto"/>
        <w:jc w:val="both"/>
        <w:rPr>
          <w:rFonts w:eastAsia="Calibri"/>
          <w:bCs/>
          <w:i/>
          <w:iCs/>
        </w:rPr>
      </w:pPr>
      <w:r>
        <w:rPr>
          <w:rFonts w:eastAsia="Calibri"/>
          <w:bCs/>
          <w:iCs/>
        </w:rPr>
        <w:t>The above fiscal arrangement points to a clear imbalance in the taxing powers between the FG and the States. To partly address this major taxing imbalance, and delineate the tax boundaries between the Federating units, the Multiple Taxes and Levies Act, which gives the Finance Minister power</w:t>
      </w:r>
      <w:r>
        <w:rPr>
          <w:rFonts w:eastAsia="Calibri"/>
          <w:bCs/>
          <w:iCs/>
          <w:vertAlign w:val="superscript"/>
        </w:rPr>
        <w:footnoteReference w:id="207"/>
      </w:r>
      <w:r>
        <w:rPr>
          <w:rFonts w:eastAsia="Calibri"/>
          <w:bCs/>
          <w:iCs/>
        </w:rPr>
        <w:t xml:space="preserve"> to prescribe the taxes to be collected by the State and the Local Governments by amending Parts II and III to the Second Schedule to the Constitution, was enacted</w:t>
      </w:r>
      <w:r>
        <w:rPr>
          <w:rStyle w:val="23"/>
          <w:rFonts w:eastAsia="Calibri"/>
          <w:bCs/>
          <w:iCs/>
        </w:rPr>
        <w:footnoteReference w:id="208"/>
      </w:r>
      <w:r>
        <w:rPr>
          <w:rFonts w:eastAsia="Calibri"/>
          <w:bCs/>
          <w:iCs/>
        </w:rPr>
        <w:t xml:space="preserve">. It has however been suggested that the Multiple </w:t>
      </w:r>
      <w:r>
        <w:rPr>
          <w:rFonts w:eastAsia="Calibri"/>
          <w:bCs/>
        </w:rPr>
        <w:t>Taxes and Levies Act</w:t>
      </w:r>
      <w:r>
        <w:rPr>
          <w:rFonts w:eastAsia="Calibri"/>
          <w:bCs/>
          <w:iCs/>
        </w:rPr>
        <w:t xml:space="preserve"> is itself unconstitutional</w:t>
      </w:r>
      <w:r>
        <w:rPr>
          <w:rStyle w:val="23"/>
          <w:rFonts w:eastAsia="Calibri"/>
          <w:bCs/>
          <w:iCs/>
        </w:rPr>
        <w:footnoteReference w:id="209"/>
      </w:r>
      <w:r>
        <w:rPr>
          <w:rFonts w:eastAsia="Calibri"/>
          <w:bCs/>
          <w:iCs/>
        </w:rPr>
        <w:t xml:space="preserve">.  The </w:t>
      </w:r>
      <w:r>
        <w:rPr>
          <w:rFonts w:eastAsia="Calibri"/>
          <w:bCs/>
        </w:rPr>
        <w:t>1999 Constitution</w:t>
      </w:r>
      <w:r>
        <w:rPr>
          <w:rFonts w:eastAsia="Calibri"/>
          <w:bCs/>
          <w:i/>
          <w:iCs/>
        </w:rPr>
        <w:t xml:space="preserve"> </w:t>
      </w:r>
      <w:r>
        <w:rPr>
          <w:rFonts w:eastAsia="Calibri"/>
          <w:bCs/>
          <w:iCs/>
        </w:rPr>
        <w:t xml:space="preserve">being the grund norm, </w:t>
      </w:r>
      <w:r>
        <w:rPr>
          <w:rFonts w:eastAsia="Calibri"/>
          <w:bCs/>
        </w:rPr>
        <w:t>Section 1(3) states:</w:t>
      </w:r>
      <w:r>
        <w:rPr>
          <w:rFonts w:eastAsia="Calibri"/>
          <w:bCs/>
          <w:i/>
          <w:iCs/>
        </w:rPr>
        <w:t xml:space="preserve"> </w:t>
      </w:r>
    </w:p>
    <w:p w14:paraId="5D368D5A">
      <w:pPr>
        <w:spacing w:after="160" w:line="480" w:lineRule="auto"/>
        <w:ind w:left="720"/>
        <w:jc w:val="both"/>
        <w:rPr>
          <w:rFonts w:eastAsia="Calibri"/>
          <w:bCs/>
          <w:iCs/>
        </w:rPr>
      </w:pPr>
      <w:r>
        <w:rPr>
          <w:rFonts w:eastAsia="Calibri"/>
          <w:bCs/>
          <w:iCs/>
        </w:rPr>
        <w:t xml:space="preserve">‘... that any other law that is inconsistent with the provisions of the Constitution is null and void to the extent of its inconsistency’. </w:t>
      </w:r>
    </w:p>
    <w:p w14:paraId="10D994C8">
      <w:pPr>
        <w:spacing w:after="160" w:line="480" w:lineRule="auto"/>
        <w:jc w:val="both"/>
        <w:rPr>
          <w:rFonts w:eastAsia="Calibri"/>
          <w:bCs/>
          <w:i/>
          <w:iCs/>
        </w:rPr>
      </w:pPr>
      <w:r>
        <w:rPr>
          <w:rFonts w:eastAsia="Calibri"/>
          <w:bCs/>
          <w:iCs/>
        </w:rPr>
        <w:t xml:space="preserve">In </w:t>
      </w:r>
      <w:r>
        <w:rPr>
          <w:rFonts w:eastAsia="Calibri"/>
          <w:bCs/>
          <w:i/>
          <w:iCs/>
        </w:rPr>
        <w:t>Abacha v. Fawehinmi</w:t>
      </w:r>
      <w:r>
        <w:rPr>
          <w:rFonts w:eastAsia="Calibri"/>
          <w:bCs/>
          <w:i/>
          <w:iCs/>
          <w:vertAlign w:val="superscript"/>
        </w:rPr>
        <w:t xml:space="preserve">27 </w:t>
      </w:r>
      <w:r>
        <w:rPr>
          <w:rFonts w:eastAsia="Calibri"/>
          <w:bCs/>
          <w:iCs/>
        </w:rPr>
        <w:t xml:space="preserve">it was held by the SC that the Constitution is the supreme law of the land; it is the grund norm, and its supremacy can never be called to question. The SC also stated in the case of </w:t>
      </w:r>
      <w:r>
        <w:rPr>
          <w:rFonts w:eastAsia="Calibri"/>
          <w:bCs/>
          <w:i/>
          <w:iCs/>
        </w:rPr>
        <w:t>A.G. Abia State v. A.G. Federation</w:t>
      </w:r>
      <w:r>
        <w:rPr>
          <w:rFonts w:eastAsia="Calibri"/>
          <w:bCs/>
          <w:iCs/>
        </w:rPr>
        <w:t>,</w:t>
      </w:r>
      <w:r>
        <w:rPr>
          <w:rFonts w:eastAsia="Calibri"/>
          <w:bCs/>
          <w:iCs/>
          <w:vertAlign w:val="superscript"/>
        </w:rPr>
        <w:footnoteReference w:id="210"/>
      </w:r>
      <w:r>
        <w:rPr>
          <w:rFonts w:eastAsia="Calibri"/>
          <w:bCs/>
          <w:iCs/>
          <w:vertAlign w:val="superscript"/>
        </w:rPr>
        <w:t xml:space="preserve"> </w:t>
      </w:r>
      <w:r>
        <w:rPr>
          <w:rFonts w:eastAsia="Calibri"/>
          <w:bCs/>
          <w:iCs/>
        </w:rPr>
        <w:t xml:space="preserve">while commenting on the supremacy of the </w:t>
      </w:r>
      <w:r>
        <w:rPr>
          <w:rFonts w:eastAsia="Calibri"/>
          <w:bCs/>
        </w:rPr>
        <w:t>1999 Constitution</w:t>
      </w:r>
      <w:r>
        <w:rPr>
          <w:rFonts w:eastAsia="Calibri"/>
          <w:bCs/>
          <w:iCs/>
        </w:rPr>
        <w:t>, (Tobi, J.S.C.), as follows</w:t>
      </w:r>
      <w:r>
        <w:rPr>
          <w:rFonts w:eastAsia="Calibri"/>
          <w:bCs/>
          <w:i/>
          <w:iCs/>
        </w:rPr>
        <w:t>:</w:t>
      </w:r>
    </w:p>
    <w:p w14:paraId="062D8364">
      <w:pPr>
        <w:spacing w:after="160" w:line="480" w:lineRule="auto"/>
        <w:ind w:firstLine="720"/>
        <w:jc w:val="both"/>
        <w:rPr>
          <w:rFonts w:eastAsia="Calibri"/>
          <w:bCs/>
        </w:rPr>
      </w:pPr>
      <w:r>
        <w:rPr>
          <w:rFonts w:eastAsia="Calibri"/>
          <w:bCs/>
        </w:rPr>
        <w:t xml:space="preserve">"The Constitution of a nation is the fons et origo, not only of the jurisprudence but </w:t>
      </w:r>
    </w:p>
    <w:p w14:paraId="1B1658CA">
      <w:pPr>
        <w:spacing w:after="160" w:line="480" w:lineRule="auto"/>
        <w:ind w:firstLine="720"/>
        <w:jc w:val="both"/>
        <w:rPr>
          <w:rFonts w:eastAsia="Calibri"/>
          <w:bCs/>
        </w:rPr>
      </w:pPr>
      <w:r>
        <w:rPr>
          <w:rFonts w:eastAsia="Calibri"/>
          <w:bCs/>
        </w:rPr>
        <w:t xml:space="preserve">also, of the legal system of the nation. It is the beginning and the end of the legal </w:t>
      </w:r>
    </w:p>
    <w:p w14:paraId="4358FF78">
      <w:pPr>
        <w:spacing w:after="160" w:line="480" w:lineRule="auto"/>
        <w:ind w:firstLine="720"/>
        <w:jc w:val="both"/>
        <w:rPr>
          <w:rFonts w:eastAsia="Calibri"/>
          <w:bCs/>
        </w:rPr>
      </w:pPr>
      <w:r>
        <w:rPr>
          <w:rFonts w:eastAsia="Calibri"/>
          <w:bCs/>
        </w:rPr>
        <w:t xml:space="preserve">system. In Greek language, it is the alpha and the omega. It is the barometer with </w:t>
      </w:r>
    </w:p>
    <w:p w14:paraId="484D8060">
      <w:pPr>
        <w:spacing w:after="160" w:line="480" w:lineRule="auto"/>
        <w:ind w:firstLine="720"/>
        <w:jc w:val="both"/>
        <w:rPr>
          <w:rFonts w:eastAsia="Calibri"/>
          <w:bCs/>
        </w:rPr>
      </w:pPr>
      <w:r>
        <w:rPr>
          <w:rFonts w:eastAsia="Calibri"/>
          <w:bCs/>
        </w:rPr>
        <w:t xml:space="preserve">which all statutes are measured. In line with this kingly position of the Constitution, </w:t>
      </w:r>
    </w:p>
    <w:p w14:paraId="6042BE49">
      <w:pPr>
        <w:spacing w:after="160" w:line="480" w:lineRule="auto"/>
        <w:ind w:firstLine="720"/>
        <w:jc w:val="both"/>
        <w:rPr>
          <w:rFonts w:eastAsia="Calibri"/>
          <w:bCs/>
        </w:rPr>
      </w:pPr>
      <w:r>
        <w:rPr>
          <w:rFonts w:eastAsia="Calibri"/>
          <w:bCs/>
        </w:rPr>
        <w:t xml:space="preserve">all the three arms of Government are slaves of the Constitution, not in the sense of </w:t>
      </w:r>
    </w:p>
    <w:p w14:paraId="7B8AE76F">
      <w:pPr>
        <w:spacing w:after="160" w:line="480" w:lineRule="auto"/>
        <w:ind w:firstLine="720"/>
        <w:jc w:val="both"/>
        <w:rPr>
          <w:rFonts w:eastAsia="Calibri"/>
          <w:bCs/>
        </w:rPr>
      </w:pPr>
      <w:r>
        <w:rPr>
          <w:rFonts w:eastAsia="Calibri"/>
          <w:bCs/>
        </w:rPr>
        <w:t xml:space="preserve">undergoing servitude or bondage, but in the sense of total obeisance and loyalty to </w:t>
      </w:r>
    </w:p>
    <w:p w14:paraId="1ADD8344">
      <w:pPr>
        <w:spacing w:after="160" w:line="480" w:lineRule="auto"/>
        <w:ind w:firstLine="720"/>
        <w:jc w:val="both"/>
        <w:rPr>
          <w:rFonts w:eastAsia="Calibri"/>
          <w:bCs/>
        </w:rPr>
      </w:pPr>
      <w:r>
        <w:rPr>
          <w:rFonts w:eastAsia="Calibri"/>
          <w:bCs/>
        </w:rPr>
        <w:t xml:space="preserve">it.” </w:t>
      </w:r>
    </w:p>
    <w:p w14:paraId="3F017795">
      <w:pPr>
        <w:spacing w:after="160" w:line="480" w:lineRule="auto"/>
        <w:jc w:val="both"/>
        <w:rPr>
          <w:rFonts w:eastAsia="Calibri"/>
          <w:bCs/>
          <w:iCs/>
        </w:rPr>
      </w:pPr>
      <w:r>
        <w:rPr>
          <w:rFonts w:eastAsia="Calibri"/>
          <w:bCs/>
          <w:iCs/>
          <w:lang w:val="en-GB"/>
        </w:rPr>
        <w:t xml:space="preserve">The revenue generating powers in the FG under the 1999 Constitution are clearly overwhelming and a source of conflict and uncertainty in the exercise of tax legislative powers by the Federating units. </w:t>
      </w:r>
      <w:r>
        <w:rPr>
          <w:rFonts w:eastAsia="Calibri"/>
          <w:color w:val="000000"/>
          <w:sz w:val="22"/>
          <w:szCs w:val="22"/>
        </w:rPr>
        <w:t xml:space="preserve"> </w:t>
      </w:r>
      <w:r>
        <w:rPr>
          <w:rFonts w:eastAsia="Calibri"/>
          <w:bCs/>
          <w:iCs/>
        </w:rPr>
        <w:t>There are four types of taxes mentioned by name in the Second Schedule to the Constitution</w:t>
      </w:r>
      <w:r>
        <w:rPr>
          <w:rFonts w:eastAsia="Calibri"/>
          <w:bCs/>
          <w:iCs/>
          <w:vertAlign w:val="superscript"/>
        </w:rPr>
        <w:footnoteReference w:id="211"/>
      </w:r>
      <w:r>
        <w:rPr>
          <w:rFonts w:eastAsia="Calibri"/>
          <w:bCs/>
          <w:iCs/>
        </w:rPr>
        <w:t xml:space="preserve">.  In addition, item 59 of the Exclusive Legislative List vests the FG with powers on the "taxation of incomes, profits and capital gains” pursuant to which the Personal Income Tax, Companies Income Tax, Petroleum Profits Tax and Capital Gains Tax have been imposed by the FG, as discussed in the previous chapter. In view of the specific allocation of these taxes to the FG, it might be argued that all other taxes are residual to the States based on the principle of expressio unius est exclusio alterius. It may also be argued that taxation is an inherent power of any government and can only be directly derogated from by an express Constitutional stipulation. It can be said that the taxing powers of each tier of government broadly follow the division of legislative powers under the Constitution. Hence, each tier of government can exercise taxing powers to the extent of its legislative powers and the FG can impose a tax on any of the matters incidental to the 67 subject matters on the Exclusive Legislative List pursuant to its implied power in item 68. This view has received the judicial support of the SC in the case of </w:t>
      </w:r>
      <w:r>
        <w:rPr>
          <w:rFonts w:eastAsia="Calibri"/>
          <w:bCs/>
          <w:i/>
          <w:iCs/>
        </w:rPr>
        <w:t>Attorney General, Ogun State v Alhaja Ayinke Aberuagb</w:t>
      </w:r>
      <w:r>
        <w:rPr>
          <w:rFonts w:eastAsia="Calibri"/>
          <w:bCs/>
          <w:iCs/>
        </w:rPr>
        <w:t>a</w:t>
      </w:r>
      <w:r>
        <w:rPr>
          <w:rFonts w:eastAsia="Calibri"/>
          <w:bCs/>
          <w:iCs/>
          <w:vertAlign w:val="superscript"/>
        </w:rPr>
        <w:footnoteReference w:id="212"/>
      </w:r>
      <w:r>
        <w:rPr>
          <w:rFonts w:eastAsia="Calibri"/>
          <w:bCs/>
          <w:iCs/>
        </w:rPr>
        <w:t>. However, this decision was made based on the earlier 1979 Constitution which preceded the 1999 Constitution.</w:t>
      </w:r>
    </w:p>
    <w:p w14:paraId="36556B97">
      <w:pPr>
        <w:spacing w:after="160" w:line="480" w:lineRule="auto"/>
        <w:jc w:val="both"/>
        <w:rPr>
          <w:rFonts w:eastAsia="Calibri"/>
          <w:bCs/>
          <w:iCs/>
        </w:rPr>
      </w:pPr>
      <w:r>
        <w:rPr>
          <w:rFonts w:eastAsia="Calibri"/>
          <w:bCs/>
          <w:iCs/>
        </w:rPr>
        <w:t>The consequence of the structure of taxing powers and allocation of fiscal lists under the Constitution and the attempt by States to capture revenues through the exercise of their taxing right on matters in the Concurrent and Residual Legislative Lists, as highlighted above and discussed in chapter 4 of the thesis , have mainly added to the confusion and lack of clarity in the taxing powers of the federating units and the tax system</w:t>
      </w:r>
      <w:r>
        <w:rPr>
          <w:rFonts w:eastAsia="Calibri"/>
          <w:bCs/>
          <w:iCs/>
          <w:vertAlign w:val="superscript"/>
        </w:rPr>
        <w:footnoteReference w:id="213"/>
      </w:r>
      <w:r>
        <w:rPr>
          <w:rFonts w:eastAsia="Calibri"/>
          <w:bCs/>
          <w:iCs/>
        </w:rPr>
        <w:t>, which also affects upstream petroleum taxation in Nigeria. A further consequence of this state of things is that some of the poorly drafted legislation contributes to the confusion and lack of clarity in the system. In the following section, we examine the regulatory framework and the fiscal arrangements operative in petroleum operations and how this impact upstream petroleum taxation in Nigeria.</w:t>
      </w:r>
    </w:p>
    <w:p w14:paraId="060D5F3E">
      <w:pPr>
        <w:spacing w:after="160" w:line="480" w:lineRule="auto"/>
        <w:jc w:val="both"/>
        <w:rPr>
          <w:rFonts w:eastAsia="Calibri"/>
          <w:bCs/>
          <w:iCs/>
        </w:rPr>
      </w:pPr>
    </w:p>
    <w:p w14:paraId="4A0B89C4">
      <w:pPr>
        <w:spacing w:after="160" w:line="480" w:lineRule="auto"/>
        <w:jc w:val="both"/>
        <w:rPr>
          <w:rFonts w:eastAsia="Calibri"/>
          <w:b/>
          <w:bCs/>
          <w:iCs/>
          <w:lang w:val="en-GB"/>
        </w:rPr>
      </w:pPr>
      <w:r>
        <w:rPr>
          <w:rFonts w:eastAsia="Calibri"/>
          <w:b/>
          <w:iCs/>
          <w:lang w:val="en-GB"/>
        </w:rPr>
        <w:t>3.3.</w:t>
      </w:r>
      <w:r>
        <w:rPr>
          <w:rFonts w:eastAsia="Calibri"/>
          <w:bCs/>
          <w:iCs/>
          <w:lang w:val="en-GB"/>
        </w:rPr>
        <w:t xml:space="preserve"> </w:t>
      </w:r>
      <w:r>
        <w:rPr>
          <w:rFonts w:eastAsia="Calibri"/>
          <w:b/>
          <w:bCs/>
          <w:iCs/>
          <w:lang w:val="en-GB"/>
        </w:rPr>
        <w:t>THE PETROLEUM ACT (PA) AND THE FISCAL REGIME</w:t>
      </w:r>
    </w:p>
    <w:p w14:paraId="37B0FF8B">
      <w:pPr>
        <w:spacing w:after="160" w:line="480" w:lineRule="auto"/>
        <w:jc w:val="both"/>
        <w:rPr>
          <w:bCs/>
          <w:iCs/>
        </w:rPr>
      </w:pPr>
      <w:r>
        <w:rPr>
          <w:rFonts w:eastAsia="Calibri"/>
          <w:bCs/>
          <w:iCs/>
          <w:lang w:val="en-GB"/>
        </w:rPr>
        <w:t xml:space="preserve">The Petroleum Act (PA) 1969 is the principal Act regulating petroleum operations in Nigeria. The PA provides for the grant of licences to explore petroleum resources in the country. The structure and duration of licences, the royalties and rent payable, the technology transfer etc., are all provided for under the PA and Petroleum Regulations. The licencing structure for regulating petroleum operations included the </w:t>
      </w:r>
      <w:r>
        <w:rPr>
          <w:bCs/>
          <w:iCs/>
        </w:rPr>
        <w:t xml:space="preserve">concessionary system, where the title to hydrocarbons passes to the investor at the borehole, as well as a contracting arrangement system. The FG </w:t>
      </w:r>
      <w:r>
        <w:rPr>
          <w:rFonts w:eastAsia="Calibri"/>
          <w:bCs/>
          <w:iCs/>
        </w:rPr>
        <w:t xml:space="preserve">receives royalties and taxes in compensation for the use of the resource by the investor. Title to and ownership of equipment and installation permanently affixed to the ground and used for exploration and production of hydrocarbons generally passes to the State at the expiry, or termination, of the concession (whichever is earlier). The investor is typically responsible for abandonment. However, under a contractual arrangement (PSC and Service contracts), the investor generally bears the costs of operation and acquires the ownership of the share of production only at the delivery point. Title to and ownership of equipment and installation permanently affixed to the ground and/ or destined for exploration and production of hydrocarbons generally passes to the State immediately. The variants of this system allow for shared costs and uncertainty associated with the assigned interests and operations. There may also be specific fiscal incentives and tax exemptions including VAT and custom duties waiver or enhanced capital expenditure incentives or allowances.  Furthermore, unless specific provisions have been included in the contract (or in the relevant legislation) the government (or the national oil company, “NOC”) is typically legally responsible for abandonment. </w:t>
      </w:r>
    </w:p>
    <w:p w14:paraId="1C483B15">
      <w:pPr>
        <w:spacing w:after="160" w:line="480" w:lineRule="auto"/>
        <w:jc w:val="both"/>
        <w:rPr>
          <w:rFonts w:eastAsia="Calibri"/>
          <w:bCs/>
          <w:iCs/>
        </w:rPr>
      </w:pPr>
      <w:r>
        <w:rPr>
          <w:rFonts w:eastAsia="Calibri"/>
          <w:bCs/>
          <w:iCs/>
        </w:rPr>
        <w:t>Under the PPTA/PA regulatory framework the licenses granted to incorporated companies consist of three categories. The</w:t>
      </w:r>
      <w:r>
        <w:rPr>
          <w:rFonts w:eastAsia="Calibri"/>
          <w:bCs/>
          <w:i/>
          <w:iCs/>
        </w:rPr>
        <w:t xml:space="preserve"> </w:t>
      </w:r>
      <w:r>
        <w:rPr>
          <w:rFonts w:eastAsia="Calibri"/>
          <w:bCs/>
        </w:rPr>
        <w:t>Oil Exploration License (OEL) is for exploration</w:t>
      </w:r>
      <w:r>
        <w:rPr>
          <w:rFonts w:eastAsia="Calibri"/>
          <w:bCs/>
          <w:iCs/>
        </w:rPr>
        <w:t xml:space="preserve"> for petroleum and does not confer any exclusive right over the area of the license or preclude the grant of another OEL or of an OPL or OML over the same area or any part thereof. An OEL shall terminate on 31st December following the date on which it was granted, but the licensee shall have an option to renew the license upon the fulfilment of certain conditions. </w:t>
      </w:r>
    </w:p>
    <w:p w14:paraId="1A0F6854">
      <w:pPr>
        <w:spacing w:after="160" w:line="480" w:lineRule="auto"/>
        <w:jc w:val="both"/>
        <w:rPr>
          <w:rFonts w:eastAsia="Calibri"/>
          <w:bCs/>
          <w:iCs/>
        </w:rPr>
      </w:pPr>
      <w:r>
        <w:rPr>
          <w:rFonts w:eastAsia="Calibri"/>
          <w:bCs/>
        </w:rPr>
        <w:t>The second category of license is the Oil Prospecting License (OPL)</w:t>
      </w:r>
      <w:r>
        <w:rPr>
          <w:rFonts w:eastAsia="Calibri"/>
          <w:bCs/>
          <w:iCs/>
        </w:rPr>
        <w:t xml:space="preserve">. This license confers exclusive right on the holder of the license to explore, carry away and dispose of petroleum discovered and won in the area. The area covered by an OPL must be compact but not being an area more than 2590 km2 (1000 sq. miles).  The award of an OPL creates a contractual relationship between the parties which is statutory in nature. The duration of an OPL shall be determined by the Minister but shall not exceed five years (including any period of renewal). The holder of an oil prospecting license may carry away and dispose of petroleum won during prospecting operations, subject to the fulfilment of obligations imposed upon him by or under the </w:t>
      </w:r>
      <w:r>
        <w:rPr>
          <w:rFonts w:eastAsia="Calibri"/>
          <w:bCs/>
        </w:rPr>
        <w:t>PA.</w:t>
      </w:r>
      <w:r>
        <w:rPr>
          <w:rFonts w:eastAsia="Calibri"/>
          <w:bCs/>
          <w:iCs/>
        </w:rPr>
        <w:t xml:space="preserve"> These obligations include any special conditions imposed </w:t>
      </w:r>
      <w:r>
        <w:rPr>
          <w:rFonts w:eastAsia="Calibri"/>
          <w:bCs/>
        </w:rPr>
        <w:t>under paragraph 34 of the First Schedule</w:t>
      </w:r>
      <w:r>
        <w:rPr>
          <w:rFonts w:eastAsia="Calibri"/>
          <w:bCs/>
          <w:iCs/>
        </w:rPr>
        <w:t xml:space="preserve"> to the PA or by the PPTA or any other law imposing taxation in respect of petroleum. The oil prospecting license can be converted to an oil mining license.</w:t>
      </w:r>
    </w:p>
    <w:p w14:paraId="5C220DDE">
      <w:pPr>
        <w:spacing w:after="160" w:line="480" w:lineRule="auto"/>
        <w:jc w:val="both"/>
        <w:rPr>
          <w:rFonts w:eastAsia="Calibri"/>
          <w:bCs/>
          <w:iCs/>
        </w:rPr>
      </w:pPr>
      <w:r>
        <w:rPr>
          <w:rFonts w:eastAsia="Calibri"/>
          <w:bCs/>
        </w:rPr>
        <w:t>The last category of license is the Oil Mining License (OML):</w:t>
      </w:r>
      <w:r>
        <w:rPr>
          <w:rFonts w:eastAsia="Calibri"/>
          <w:bCs/>
          <w:iCs/>
        </w:rPr>
        <w:t xml:space="preserve"> This type of license is issued to a holder of an oil prospecting license that has satisfied all the conditions with daily production of not less than 10,000 barrels. This license confers exclusive rights on the holder to explore, carry away and dispose of petroleum discovered and won in the area more than 1295 km2 (500 sq. miles). The life span of an OML is usually for a maximum of 20 years but is renewable in accordance with the </w:t>
      </w:r>
      <w:r>
        <w:rPr>
          <w:rFonts w:eastAsia="Calibri"/>
          <w:bCs/>
        </w:rPr>
        <w:t>PA</w:t>
      </w:r>
      <w:r>
        <w:rPr>
          <w:rFonts w:eastAsia="Calibri"/>
          <w:bCs/>
          <w:iCs/>
        </w:rPr>
        <w:t xml:space="preserve">, and the lessee of the license is expected to apply for a renewal of the license not less than twelve months before the expiration of the lease. </w:t>
      </w:r>
    </w:p>
    <w:p w14:paraId="217AF60F">
      <w:pPr>
        <w:spacing w:after="160" w:line="480" w:lineRule="auto"/>
        <w:jc w:val="both"/>
        <w:rPr>
          <w:rFonts w:eastAsia="Calibri"/>
          <w:bCs/>
          <w:iCs/>
          <w:lang w:val="en-GB"/>
        </w:rPr>
      </w:pPr>
      <w:r>
        <w:rPr>
          <w:rFonts w:eastAsia="Calibri"/>
          <w:bCs/>
          <w:iCs/>
          <w:lang w:val="en-GB"/>
        </w:rPr>
        <w:t xml:space="preserve">The recently enacted Petroleum Industry Act (PIA) essentially retains the same licencing structure, but with new nomenclature i.e., </w:t>
      </w:r>
      <w:r>
        <w:rPr>
          <w:rFonts w:eastAsia="Calibri"/>
          <w:iCs/>
        </w:rPr>
        <w:t>Petroleum Exploration Licences (PEL) for Oil Exploration license (OEL),</w:t>
      </w:r>
      <w:r>
        <w:rPr>
          <w:rFonts w:eastAsia="Calibri"/>
          <w:bCs/>
          <w:iCs/>
        </w:rPr>
        <w:t xml:space="preserve"> Petroleum Prospecting Licences (PPL) for Oil Prospecting license (OPL) and Petroleum Mining Leases (PML) for Oil Mining Lease (OML). The PIA specifies mandatory terms for these licences, including a 20-year term for PMLs, and makes allowance for production sharing contracts and joint venture concessions with NNPC Limited.</w:t>
      </w:r>
      <w:r>
        <w:rPr>
          <w:rFonts w:eastAsia="Calibri"/>
          <w:bCs/>
          <w:iCs/>
          <w:lang w:val="en-GB"/>
        </w:rPr>
        <w:t xml:space="preserve"> In line with the Nigerian Constitution, the PA restates the Nigerian State ownership of petroleum resources and empowers the Nigerian State or FG to either self-explore or participate in any exploration and development activities of petroleum resources in the country.</w:t>
      </w:r>
      <w:r>
        <w:rPr>
          <w:rFonts w:eastAsia="Calibri"/>
          <w:bCs/>
          <w:iCs/>
          <w:vertAlign w:val="superscript"/>
          <w:lang w:val="en-GB"/>
        </w:rPr>
        <w:footnoteReference w:id="214"/>
      </w:r>
      <w:r>
        <w:rPr>
          <w:rFonts w:eastAsia="Calibri"/>
          <w:bCs/>
          <w:iCs/>
          <w:lang w:val="en-GB"/>
        </w:rPr>
        <w:t xml:space="preserve">  Section 1 (1) of the PA</w:t>
      </w:r>
      <w:r>
        <w:rPr>
          <w:rFonts w:eastAsia="Calibri"/>
          <w:bCs/>
          <w:iCs/>
          <w:vertAlign w:val="superscript"/>
          <w:lang w:val="en-GB"/>
        </w:rPr>
        <w:footnoteReference w:id="215"/>
      </w:r>
      <w:r>
        <w:rPr>
          <w:rFonts w:eastAsia="Calibri"/>
          <w:bCs/>
          <w:iCs/>
          <w:lang w:val="en-GB"/>
        </w:rPr>
        <w:t xml:space="preserve"> states that the entire ownership and control of all petroleum in, under or upon any land to which this section applies shall be vested in the State.</w:t>
      </w:r>
    </w:p>
    <w:p w14:paraId="053E7352">
      <w:pPr>
        <w:spacing w:after="160" w:line="480" w:lineRule="auto"/>
        <w:jc w:val="both"/>
        <w:rPr>
          <w:rFonts w:eastAsia="Calibri"/>
          <w:bCs/>
          <w:iCs/>
          <w:lang w:val="en-GB"/>
        </w:rPr>
      </w:pPr>
      <w:r>
        <w:rPr>
          <w:rFonts w:eastAsia="Calibri"/>
          <w:bCs/>
          <w:iCs/>
          <w:lang w:val="en-GB"/>
        </w:rPr>
        <w:t>The PA</w:t>
      </w:r>
      <w:r>
        <w:rPr>
          <w:rFonts w:eastAsia="Calibri"/>
          <w:bCs/>
          <w:iCs/>
          <w:vertAlign w:val="superscript"/>
          <w:lang w:val="en-GB"/>
        </w:rPr>
        <w:footnoteReference w:id="216"/>
      </w:r>
      <w:r>
        <w:rPr>
          <w:rFonts w:eastAsia="Calibri"/>
          <w:b/>
          <w:bCs/>
          <w:i/>
          <w:iCs/>
          <w:lang w:val="en-GB"/>
        </w:rPr>
        <w:t xml:space="preserve"> </w:t>
      </w:r>
      <w:r>
        <w:rPr>
          <w:rFonts w:eastAsia="Calibri"/>
          <w:bCs/>
          <w:iCs/>
          <w:lang w:val="en-GB"/>
        </w:rPr>
        <w:t>vests the Minister of Petroleum Resources (MPR) with the power to grant these three categories of interest from the absolute ownership of the FG.</w:t>
      </w:r>
      <w:r>
        <w:rPr>
          <w:rFonts w:eastAsia="Calibri"/>
          <w:bCs/>
          <w:iCs/>
          <w:vertAlign w:val="superscript"/>
          <w:lang w:val="en-GB"/>
        </w:rPr>
        <w:footnoteReference w:id="217"/>
      </w:r>
      <w:r>
        <w:rPr>
          <w:rFonts w:eastAsia="Calibri"/>
          <w:bCs/>
          <w:iCs/>
          <w:lang w:val="en-GB"/>
        </w:rPr>
        <w:t xml:space="preserve"> The law provides that a lease or licence under the Act may be granted only to a company incorporated in Nigeria under the Companies and Allied Matters Act (CAMA), or any corresponding law.</w:t>
      </w:r>
      <w:r>
        <w:rPr>
          <w:rFonts w:eastAsia="Calibri"/>
          <w:bCs/>
          <w:iCs/>
          <w:vertAlign w:val="superscript"/>
          <w:lang w:val="en-GB"/>
        </w:rPr>
        <w:t xml:space="preserve"> </w:t>
      </w:r>
      <w:r>
        <w:rPr>
          <w:rFonts w:eastAsia="Calibri"/>
          <w:bCs/>
          <w:iCs/>
          <w:lang w:val="en-GB"/>
        </w:rPr>
        <w:t xml:space="preserve">The Nigerian Court of Appeal in </w:t>
      </w:r>
      <w:r>
        <w:rPr>
          <w:rFonts w:eastAsia="Calibri"/>
          <w:bCs/>
          <w:i/>
          <w:iCs/>
          <w:lang w:val="en-GB"/>
        </w:rPr>
        <w:t>Nwadioro &amp; 2 Ors. v. Shell Petroleum Development Company of Nigeria Ltd</w:t>
      </w:r>
      <w:r>
        <w:rPr>
          <w:rFonts w:eastAsia="Calibri"/>
          <w:bCs/>
          <w:iCs/>
          <w:vertAlign w:val="superscript"/>
          <w:lang w:val="en-GB"/>
        </w:rPr>
        <w:footnoteReference w:id="218"/>
      </w:r>
      <w:r>
        <w:rPr>
          <w:rFonts w:eastAsia="Calibri"/>
          <w:bCs/>
          <w:iCs/>
          <w:lang w:val="en-GB"/>
        </w:rPr>
        <w:t xml:space="preserve"> held that the Petroleum Decree No. 51 of 1969 (now PA) empowers the Minister or Government to grant an oil exploration license (OEL), oil prospecting license (OPL) and oil mining license/lease (OML), to a citizen</w:t>
      </w:r>
      <w:r>
        <w:rPr>
          <w:rFonts w:eastAsia="Calibri"/>
          <w:bCs/>
          <w:iCs/>
          <w:vertAlign w:val="superscript"/>
          <w:lang w:val="en-GB"/>
        </w:rPr>
        <w:footnoteReference w:id="219"/>
      </w:r>
      <w:r>
        <w:rPr>
          <w:rFonts w:eastAsia="Calibri"/>
          <w:bCs/>
          <w:iCs/>
          <w:lang w:val="en-GB"/>
        </w:rPr>
        <w:t xml:space="preserve"> of Nigeria or a company incorporated in Nigeria under the Companies Act, 1968 or any other corresponding law. </w:t>
      </w:r>
    </w:p>
    <w:p w14:paraId="47DACA69">
      <w:pPr>
        <w:spacing w:after="160" w:line="480" w:lineRule="auto"/>
        <w:jc w:val="both"/>
        <w:rPr>
          <w:rFonts w:eastAsia="Calibri"/>
          <w:bCs/>
          <w:iCs/>
          <w:lang w:val="en-GB"/>
        </w:rPr>
      </w:pPr>
      <w:r>
        <w:rPr>
          <w:rFonts w:eastAsia="Calibri"/>
          <w:bCs/>
          <w:iCs/>
          <w:lang w:val="en-GB"/>
        </w:rPr>
        <w:t>In all the three licenses</w:t>
      </w:r>
      <w:r>
        <w:rPr>
          <w:rFonts w:eastAsia="Calibri"/>
          <w:bCs/>
          <w:iCs/>
          <w:vertAlign w:val="superscript"/>
          <w:lang w:val="en-GB"/>
        </w:rPr>
        <w:footnoteReference w:id="220"/>
      </w:r>
      <w:r>
        <w:rPr>
          <w:rFonts w:eastAsia="Calibri"/>
          <w:bCs/>
          <w:iCs/>
          <w:lang w:val="en-GB"/>
        </w:rPr>
        <w:t xml:space="preserve"> granted to a company under the PA, the reversionary right is retained in the grantor, which is the FG of Nigeria. A holder of an oil-mining license (OML) may, with the consent of and on such terms and conditions as may be approved by the President, farm out any marginal field, which lies within the leased area.  One-half of the area granted under an OML shall be relinquished after a period of ten (10) years. The standard Nigerian OML or licence define petroleum as: </w:t>
      </w:r>
    </w:p>
    <w:p w14:paraId="2F93EBC6">
      <w:pPr>
        <w:spacing w:after="160" w:line="480" w:lineRule="auto"/>
        <w:ind w:left="720"/>
        <w:jc w:val="both"/>
        <w:rPr>
          <w:rFonts w:eastAsia="Calibri"/>
          <w:bCs/>
          <w:iCs/>
          <w:lang w:val="en-GB"/>
        </w:rPr>
      </w:pPr>
      <w:r>
        <w:rPr>
          <w:rFonts w:eastAsia="Calibri"/>
          <w:bCs/>
          <w:iCs/>
          <w:lang w:val="en-GB"/>
        </w:rPr>
        <w:t>“Mineral oil (or any related hydrocarbon) or natural gas as it exists in its natural state in strata and does not include coal or bituminous shales or other stratified deposits from which oil can be extracted by destructive distillation”.</w:t>
      </w:r>
      <w:r>
        <w:rPr>
          <w:rFonts w:eastAsia="Calibri"/>
          <w:bCs/>
          <w:iCs/>
          <w:vertAlign w:val="superscript"/>
          <w:lang w:val="en-GB"/>
        </w:rPr>
        <w:footnoteReference w:id="221"/>
      </w:r>
      <w:r>
        <w:rPr>
          <w:rFonts w:eastAsia="Calibri"/>
          <w:bCs/>
          <w:iCs/>
          <w:lang w:val="en-GB"/>
        </w:rPr>
        <w:t xml:space="preserve"> </w:t>
      </w:r>
    </w:p>
    <w:p w14:paraId="58C8C54C">
      <w:pPr>
        <w:spacing w:after="160" w:line="480" w:lineRule="auto"/>
        <w:jc w:val="both"/>
        <w:rPr>
          <w:rFonts w:eastAsia="Calibri"/>
          <w:bCs/>
          <w:lang w:val="en-GB"/>
        </w:rPr>
      </w:pPr>
      <w:r>
        <w:rPr>
          <w:rFonts w:eastAsia="Calibri"/>
          <w:bCs/>
          <w:iCs/>
          <w:lang w:val="en-ZA"/>
        </w:rPr>
        <w:t>With the license to operate, the upstream petroleum fiscal regime consists of the concessionary and contractual arrangements.</w:t>
      </w:r>
      <w:r>
        <w:rPr>
          <w:rFonts w:eastAsia="Calibri"/>
          <w:bCs/>
          <w:iCs/>
          <w:vertAlign w:val="superscript"/>
          <w:lang w:val="en-ZA"/>
        </w:rPr>
        <w:footnoteReference w:id="222"/>
      </w:r>
      <w:r>
        <w:rPr>
          <w:rFonts w:eastAsia="Calibri"/>
          <w:bCs/>
          <w:iCs/>
          <w:lang w:val="en-ZA"/>
        </w:rPr>
        <w:t xml:space="preserve"> </w:t>
      </w:r>
      <w:r>
        <w:rPr>
          <w:rFonts w:eastAsia="Calibri"/>
          <w:bCs/>
          <w:iCs/>
        </w:rPr>
        <w:t>The predominant commercial and contractual arrangements consist in the main, of the Joint Venture arrangements (JVA)</w:t>
      </w:r>
      <w:r>
        <w:rPr>
          <w:rFonts w:eastAsia="Calibri"/>
          <w:bCs/>
          <w:iCs/>
          <w:vertAlign w:val="superscript"/>
        </w:rPr>
        <w:footnoteReference w:id="223"/>
      </w:r>
      <w:r>
        <w:rPr>
          <w:rFonts w:eastAsia="Calibri"/>
          <w:bCs/>
          <w:iCs/>
        </w:rPr>
        <w:t xml:space="preserve"> and the Productions Sharing Contracts (PSCs) arrangement.</w:t>
      </w:r>
      <w:r>
        <w:rPr>
          <w:rFonts w:eastAsia="Calibri"/>
          <w:bCs/>
          <w:iCs/>
          <w:vertAlign w:val="superscript"/>
        </w:rPr>
        <w:footnoteReference w:id="224"/>
      </w:r>
      <w:r>
        <w:rPr>
          <w:rFonts w:eastAsia="Calibri"/>
          <w:bCs/>
          <w:iCs/>
        </w:rPr>
        <w:t xml:space="preserve"> Risk Service Agreements (RSA) are also in use to a limited degree.</w:t>
      </w:r>
      <w:r>
        <w:rPr>
          <w:rFonts w:eastAsia="Calibri"/>
          <w:bCs/>
          <w:iCs/>
          <w:vertAlign w:val="superscript"/>
        </w:rPr>
        <w:footnoteReference w:id="225"/>
      </w:r>
      <w:r>
        <w:rPr>
          <w:rFonts w:eastAsia="Calibri"/>
          <w:bCs/>
          <w:iCs/>
        </w:rPr>
        <w:t xml:space="preserve"> </w:t>
      </w:r>
      <w:r>
        <w:rPr>
          <w:rFonts w:eastAsia="Calibri"/>
          <w:bCs/>
          <w:lang w:val="en-GB"/>
        </w:rPr>
        <w:t>The joint venture (JV) as the earliest arrangement allows the FG to participate in, and exercise control of, petroleum operations in the country. By this arrangement, the FG, through the NNPC</w:t>
      </w:r>
      <w:r>
        <w:rPr>
          <w:rFonts w:eastAsia="Calibri"/>
          <w:bCs/>
          <w:vertAlign w:val="superscript"/>
          <w:lang w:val="en-GB"/>
        </w:rPr>
        <w:footnoteReference w:id="226"/>
      </w:r>
      <w:r>
        <w:rPr>
          <w:rFonts w:eastAsia="Calibri"/>
          <w:bCs/>
          <w:lang w:val="en-GB"/>
        </w:rPr>
        <w:t>, enters into a Joint Operating Agreement (JOA) with multinational IOC’s as joint venture partners.</w:t>
      </w:r>
      <w:r>
        <w:rPr>
          <w:rFonts w:eastAsia="Calibri"/>
          <w:vertAlign w:val="superscript"/>
          <w:lang w:val="en-GB"/>
        </w:rPr>
        <w:footnoteReference w:id="227"/>
      </w:r>
      <w:r>
        <w:rPr>
          <w:rFonts w:eastAsia="Calibri"/>
          <w:bCs/>
          <w:lang w:val="en-GB"/>
        </w:rPr>
        <w:t xml:space="preserve"> NNPC had a mandate to add value to the country’s hydrocarbon resources for the ultimate benefit of all Nigerians. </w:t>
      </w:r>
    </w:p>
    <w:p w14:paraId="2945E18F">
      <w:pPr>
        <w:spacing w:after="160" w:line="480" w:lineRule="auto"/>
        <w:jc w:val="both"/>
        <w:rPr>
          <w:rFonts w:eastAsia="Calibri"/>
          <w:bCs/>
          <w:lang w:val="en-GB"/>
        </w:rPr>
      </w:pPr>
      <w:r>
        <w:rPr>
          <w:rFonts w:eastAsia="Calibri"/>
          <w:bCs/>
          <w:lang w:val="en-GB"/>
        </w:rPr>
        <w:t>The JV arrangement enables both the NNPC and the IOC to carry out exploration and production of crude oil in Nigeria, whilst sharing the financial, technical, and operational risk inherent in upstream O&amp;G activities. However, with a sole-risk model, the prospective IOC may elect to carry-on EP activities on its own, without collaborating or sharing the risk of the venture with the NNPC. Under the concession arrangement, oil companies seeking to carry out EP activities in Nigeria are required to obtain licences and lease permits from the Minister of Petroleum Resources (“Minister”),</w:t>
      </w:r>
      <w:r>
        <w:rPr>
          <w:rFonts w:eastAsia="Calibri"/>
          <w:vertAlign w:val="superscript"/>
          <w:lang w:val="en-GB"/>
        </w:rPr>
        <w:footnoteReference w:id="228"/>
      </w:r>
      <w:r>
        <w:rPr>
          <w:rFonts w:eastAsia="Calibri"/>
          <w:bCs/>
          <w:lang w:val="en-GB"/>
        </w:rPr>
        <w:t xml:space="preserve"> in line with the </w:t>
      </w:r>
      <w:r>
        <w:rPr>
          <w:rFonts w:eastAsia="Calibri"/>
          <w:bCs/>
          <w:color w:val="000000"/>
          <w:lang w:val="en-GB"/>
        </w:rPr>
        <w:t xml:space="preserve">PA, </w:t>
      </w:r>
      <w:r>
        <w:rPr>
          <w:rFonts w:eastAsia="Calibri"/>
          <w:bCs/>
          <w:lang w:val="en-GB"/>
        </w:rPr>
        <w:t xml:space="preserve">to confer legal rights to explore and produce petroleum resources. </w:t>
      </w:r>
    </w:p>
    <w:p w14:paraId="78EAE278">
      <w:pPr>
        <w:spacing w:after="160" w:line="480" w:lineRule="auto"/>
        <w:jc w:val="both"/>
        <w:rPr>
          <w:rFonts w:eastAsia="Calibri"/>
          <w:bCs/>
          <w:lang w:val="en-GB"/>
        </w:rPr>
      </w:pPr>
      <w:r>
        <w:rPr>
          <w:rFonts w:eastAsia="Calibri"/>
          <w:bCs/>
          <w:lang w:val="en-GB"/>
        </w:rPr>
        <w:t>The PSC</w:t>
      </w:r>
      <w:r>
        <w:rPr>
          <w:rFonts w:eastAsia="Calibri"/>
          <w:bCs/>
          <w:lang w:val="en"/>
        </w:rPr>
        <w:t xml:space="preserve"> was first introduced in 1973 in the contract with Ashland Oil (Nigeria) in which the oil company was appointed as the pioneer operator.</w:t>
      </w:r>
      <w:r>
        <w:rPr>
          <w:rFonts w:eastAsia="Calibri"/>
          <w:vertAlign w:val="superscript"/>
          <w:lang w:val="en-GB"/>
        </w:rPr>
        <w:footnoteReference w:id="229"/>
      </w:r>
      <w:r>
        <w:rPr>
          <w:rFonts w:eastAsia="Calibri"/>
          <w:bCs/>
          <w:lang w:val="en-GB"/>
        </w:rPr>
        <w:t xml:space="preserve"> The PSC is both a commercial and a fiscal arrangement instituted to carry out petroleum operations in the deep offshore and inland basin acreages. Under this arrangement, the NNPC or an indigenous company, as the owner of the mineral right (concession), enters a contract with a foreign technical partner designated as Contractor. The Contractors bear all the risks and recover their costs only when oil is discovered in commercial quantities. The profits are shared on a predetermined ratio with NNPC. Royalty is payable based on the terrain of operation and water depth.</w:t>
      </w:r>
      <w:r>
        <w:rPr>
          <w:rFonts w:eastAsia="Calibri"/>
          <w:vertAlign w:val="superscript"/>
          <w:lang w:val="en-GB"/>
        </w:rPr>
        <w:footnoteReference w:id="230"/>
      </w:r>
      <w:r>
        <w:rPr>
          <w:rFonts w:eastAsia="Calibri"/>
          <w:bCs/>
          <w:lang w:val="en-GB"/>
        </w:rPr>
        <w:t xml:space="preserve"> Cost oil, profit oil and tax oil are then charged on the contract area of the OML. </w:t>
      </w:r>
    </w:p>
    <w:p w14:paraId="65FF0649">
      <w:pPr>
        <w:spacing w:after="160" w:line="480" w:lineRule="auto"/>
        <w:jc w:val="both"/>
        <w:rPr>
          <w:rFonts w:eastAsia="Calibri"/>
          <w:bCs/>
          <w:lang w:val="en-GB"/>
        </w:rPr>
      </w:pPr>
      <w:r>
        <w:rPr>
          <w:rFonts w:eastAsia="Calibri"/>
          <w:bCs/>
          <w:lang w:val="en-GB"/>
        </w:rPr>
        <w:t>The other arrangements are the Service Contracts and the Marginal Field</w:t>
      </w:r>
      <w:r>
        <w:rPr>
          <w:rFonts w:eastAsia="Calibri"/>
          <w:bCs/>
          <w:vertAlign w:val="superscript"/>
          <w:lang w:val="en-GB"/>
        </w:rPr>
        <w:footnoteReference w:id="231"/>
      </w:r>
      <w:r>
        <w:rPr>
          <w:rFonts w:eastAsia="Calibri"/>
          <w:bCs/>
          <w:lang w:val="en-GB"/>
        </w:rPr>
        <w:t>operations. With respect to Service Contracts, the Contractors undertake exploration, development, and production activities for and on behalf of NNPC, the concession owner. The Contractors provide the capital and technical expertise required and are reimbursed from the sale of the oil produced. However, the profit of a company engaged in Service Contracts is not subject to Petroleum Profit Tax (PPT), but Companies Income Tax (CIT), as the service Contractor is not regarded as carrying out petroleum operations on its own account</w:t>
      </w:r>
      <w:r>
        <w:rPr>
          <w:rFonts w:eastAsia="Calibri"/>
          <w:bCs/>
          <w:vertAlign w:val="superscript"/>
          <w:lang w:val="en-GB"/>
        </w:rPr>
        <w:footnoteReference w:id="232"/>
      </w:r>
      <w:r>
        <w:rPr>
          <w:rFonts w:eastAsia="Calibri"/>
          <w:bCs/>
          <w:lang w:val="en-GB"/>
        </w:rPr>
        <w:t>. What constitutes ‘own account’ has also raised some questions of interpretation.</w:t>
      </w:r>
    </w:p>
    <w:p w14:paraId="03A0FF8E">
      <w:pPr>
        <w:spacing w:after="160" w:line="480" w:lineRule="auto"/>
        <w:jc w:val="both"/>
        <w:rPr>
          <w:rFonts w:eastAsia="Calibri"/>
          <w:bCs/>
          <w:lang w:val="en-GB"/>
        </w:rPr>
      </w:pPr>
      <w:r>
        <w:rPr>
          <w:rFonts w:eastAsia="Calibri"/>
          <w:bCs/>
          <w:lang w:val="en-GB"/>
        </w:rPr>
        <w:t xml:space="preserve">The fiscal terms and taxation regime for the marginal field concessions have also not been precisely determined and adds to the uncertainty in the upstream petroleum profits taxation which the recently enacted PIA attempts to address, as discussed in chapter 9 of this thesis. </w:t>
      </w:r>
    </w:p>
    <w:p w14:paraId="799F2E9C">
      <w:pPr>
        <w:spacing w:after="160" w:line="480" w:lineRule="auto"/>
        <w:jc w:val="both"/>
        <w:rPr>
          <w:rFonts w:eastAsia="Calibri"/>
          <w:b/>
          <w:bCs/>
        </w:rPr>
      </w:pPr>
      <w:r>
        <w:rPr>
          <w:rFonts w:eastAsia="Calibri"/>
          <w:b/>
          <w:bCs/>
        </w:rPr>
        <w:t>3.4.  PETROLEUM TAXATION AND OTHER TAXES</w:t>
      </w:r>
    </w:p>
    <w:p w14:paraId="6ACC08DC">
      <w:pPr>
        <w:spacing w:after="160" w:line="480" w:lineRule="auto"/>
        <w:jc w:val="both"/>
        <w:rPr>
          <w:rFonts w:eastAsia="Calibri"/>
          <w:bCs/>
          <w:lang w:val="en-GB"/>
        </w:rPr>
      </w:pPr>
      <w:r>
        <w:rPr>
          <w:rFonts w:eastAsia="Calibri"/>
          <w:bCs/>
          <w:lang w:val="en-GB"/>
        </w:rPr>
        <w:t xml:space="preserve">The PPTA and CITA are the principal income and profit tax statutes for upstream and downstream petroleum operations. The administration of the principal profit and income taxing statutes and their interaction with other indirect and transaction taxing statutes are also a source of uncertainties in the tax system. In the following paragraphs, we briefly highlight the taxes and the potential areas of uncertainties which are examined in detail in chapter 4 of the thesis. </w:t>
      </w:r>
    </w:p>
    <w:p w14:paraId="307CD93B">
      <w:pPr>
        <w:spacing w:after="160" w:line="480" w:lineRule="auto"/>
        <w:jc w:val="both"/>
        <w:rPr>
          <w:rFonts w:eastAsia="Calibri"/>
          <w:bCs/>
          <w:iCs/>
        </w:rPr>
      </w:pPr>
      <w:r>
        <w:rPr>
          <w:rFonts w:eastAsia="Calibri"/>
          <w:bCs/>
          <w:iCs/>
        </w:rPr>
        <w:t>1. The Value Added Tax Act (VATA), 1993, replaced Sales Tax under the Sales Tax Act No. 7 of 1986</w:t>
      </w:r>
      <w:r>
        <w:rPr>
          <w:rFonts w:eastAsia="Calibri"/>
          <w:bCs/>
          <w:iCs/>
          <w:vertAlign w:val="superscript"/>
        </w:rPr>
        <w:footnoteReference w:id="233"/>
      </w:r>
      <w:r>
        <w:rPr>
          <w:rFonts w:eastAsia="Calibri"/>
          <w:bCs/>
          <w:iCs/>
        </w:rPr>
        <w:t>.  Persons liable to VAT include corporates or incorporated entities including corporate entities engaged in petroleum operations. VAT is charged and payable on all supplies of goods and services, (in the VAT Act referred to as “taxable goods and services”) other than those goods and services which are exempt.</w:t>
      </w:r>
      <w:r>
        <w:rPr>
          <w:rFonts w:eastAsia="Calibri"/>
          <w:bCs/>
          <w:iCs/>
          <w:vertAlign w:val="superscript"/>
          <w:lang w:val="en-GB"/>
        </w:rPr>
        <w:footnoteReference w:id="234"/>
      </w:r>
      <w:r>
        <w:rPr>
          <w:rFonts w:eastAsia="Calibri"/>
          <w:bCs/>
          <w:iCs/>
        </w:rPr>
        <w:t xml:space="preserve"> The VAT Act also relieves a wide range of goods and services from VAT if such supplies (not the acquisition and importation) are “zero rated”. Several consequences flow from the treatment of zero-rated supplies for petroleum operations. We will examine some of these in chapter 4, as they pertain to upstream petroleum taxation</w:t>
      </w:r>
      <w:r>
        <w:rPr>
          <w:rFonts w:eastAsia="Calibri"/>
          <w:bCs/>
          <w:iCs/>
          <w:vertAlign w:val="superscript"/>
        </w:rPr>
        <w:footnoteReference w:id="235"/>
      </w:r>
      <w:r>
        <w:rPr>
          <w:rFonts w:eastAsia="Calibri"/>
          <w:bCs/>
          <w:iCs/>
        </w:rPr>
        <w:t xml:space="preserve">. </w:t>
      </w:r>
    </w:p>
    <w:p w14:paraId="40A68945">
      <w:pPr>
        <w:spacing w:after="160" w:line="480" w:lineRule="auto"/>
        <w:jc w:val="both"/>
        <w:rPr>
          <w:rFonts w:eastAsia="Calibri"/>
          <w:bCs/>
          <w:iCs/>
          <w:lang w:val="en-GB"/>
        </w:rPr>
      </w:pPr>
      <w:r>
        <w:rPr>
          <w:rFonts w:eastAsia="Calibri"/>
          <w:bCs/>
          <w:iCs/>
          <w:lang w:val="en-GB"/>
        </w:rPr>
        <w:t>2. The Capital Gains Tax (CGT) under the Capital Gains Tax Act (CGTA)</w:t>
      </w:r>
      <w:r>
        <w:rPr>
          <w:rFonts w:eastAsia="Calibri"/>
          <w:bCs/>
          <w:iCs/>
          <w:vertAlign w:val="superscript"/>
          <w:lang w:val="en-GB"/>
        </w:rPr>
        <w:footnoteReference w:id="236"/>
      </w:r>
      <w:r>
        <w:rPr>
          <w:rFonts w:eastAsia="Calibri"/>
          <w:bCs/>
          <w:iCs/>
          <w:lang w:val="en-GB"/>
        </w:rPr>
        <w:t xml:space="preserve"> applies to individuals (both residents and non-residents) and companies. It is payable on gains arising from the disposal of chargeable assets and is assessable on an actual year basis. The CGT rate is 10%, and chargeable assets include any buildings, structures or works of a permanent nature, plants, machinery, equipment, furniture, fittings, and fixtures, which means that gains or losses made on the disposal of assets used in petroleum operations will attract CGT. The interaction of the CGTA with the second schedule of the PPTA on qualifying capital expenditure (QCE) and capital allowances (CA) has required judicial intervention as examined in chapter 4 of the thesis</w:t>
      </w:r>
      <w:r>
        <w:rPr>
          <w:rFonts w:eastAsia="Calibri"/>
          <w:bCs/>
          <w:iCs/>
          <w:vertAlign w:val="superscript"/>
          <w:lang w:val="en-GB"/>
        </w:rPr>
        <w:footnoteReference w:id="237"/>
      </w:r>
      <w:r>
        <w:rPr>
          <w:rFonts w:eastAsia="Calibri"/>
          <w:bCs/>
          <w:iCs/>
          <w:lang w:val="en-GB"/>
        </w:rPr>
        <w:t xml:space="preserve">. </w:t>
      </w:r>
    </w:p>
    <w:p w14:paraId="4FECF7EE">
      <w:pPr>
        <w:spacing w:after="160" w:line="480" w:lineRule="auto"/>
        <w:jc w:val="both"/>
        <w:rPr>
          <w:rFonts w:eastAsia="Calibri"/>
          <w:bCs/>
          <w:lang w:val="en-GB"/>
        </w:rPr>
      </w:pPr>
      <w:r>
        <w:rPr>
          <w:rFonts w:eastAsia="Calibri"/>
          <w:bCs/>
          <w:iCs/>
        </w:rPr>
        <w:t>3. Also, the interaction of the PPTA with the Tertiary Education Tax (TET) is another area requiring administrative and policy intervention. The Education Tax Act (ETA), as subsequently amended, introduced the TET and established the Education Trust Fund</w:t>
      </w:r>
      <w:r>
        <w:rPr>
          <w:rFonts w:eastAsia="Calibri"/>
          <w:bCs/>
          <w:iCs/>
          <w:vertAlign w:val="superscript"/>
        </w:rPr>
        <w:footnoteReference w:id="238"/>
      </w:r>
      <w:r>
        <w:rPr>
          <w:rFonts w:eastAsia="Calibri"/>
          <w:bCs/>
          <w:iCs/>
        </w:rPr>
        <w:t xml:space="preserve"> to finance tertiary education in Nigeria. It imposed on every Nigerian resident company a 2% yearly tax on the assessable profit of the company. For companies engaged in petroleum operations, ET is calculated on the assessable profit and is a deductible cost before the calculation of PPT, although the PPTA does not expressly state so, since this is a later enactment in time. </w:t>
      </w:r>
    </w:p>
    <w:p w14:paraId="50F03376">
      <w:pPr>
        <w:spacing w:after="160" w:line="480" w:lineRule="auto"/>
        <w:jc w:val="both"/>
        <w:rPr>
          <w:rFonts w:eastAsia="Calibri"/>
          <w:bCs/>
        </w:rPr>
      </w:pPr>
      <w:r>
        <w:rPr>
          <w:rFonts w:eastAsia="Calibri"/>
          <w:bCs/>
        </w:rPr>
        <w:t xml:space="preserve">4. The </w:t>
      </w:r>
      <w:r>
        <w:rPr>
          <w:rFonts w:eastAsia="Calibri"/>
          <w:bCs/>
          <w:lang w:val="en-GB"/>
        </w:rPr>
        <w:t xml:space="preserve">Niger Delta Development levy, charged on producing companies operating in the Niger Delta region of Nigeria. The Niger Delta Development Commission (Establishment etc.) Act </w:t>
      </w:r>
      <w:r>
        <w:rPr>
          <w:rFonts w:eastAsia="Calibri"/>
          <w:bCs/>
        </w:rPr>
        <w:t>2000,</w:t>
      </w:r>
      <w:r>
        <w:rPr>
          <w:rFonts w:eastAsia="Calibri"/>
          <w:bCs/>
          <w:vertAlign w:val="superscript"/>
        </w:rPr>
        <w:footnoteReference w:id="239"/>
      </w:r>
      <w:r>
        <w:rPr>
          <w:rFonts w:eastAsia="Calibri"/>
          <w:bCs/>
        </w:rPr>
        <w:t>(referred to as the NDDC Act), repealed the Oil Mineral Producing Areas Commission Decree 1998. The NDDC Act imposes a three (3) percent levy on the total annual budget of any oil producing company operating onshore and offshore in the Niger-Delta Area, including gas-processing companies. This levy is also treated as a deductible expense for PPT calculation. The term ‘the annual budget’ used in this Act has required administrative and judicial review. The controversy relates to whether it refers to the total estimated or actual budget of the oil company, or the annual budget applicable to the Niger Delta operation, and more so, whether this applies to the capital or operating budget? Lastly, the NLCD Act presents its own challenges of implementation. The primary objective of the Act is the domestication of the oil and gas industry in Nigeria, through local value additions to the domestic economy</w:t>
      </w:r>
      <w:r>
        <w:rPr>
          <w:rFonts w:eastAsia="Calibri"/>
          <w:bCs/>
          <w:vertAlign w:val="superscript"/>
        </w:rPr>
        <w:footnoteReference w:id="240"/>
      </w:r>
      <w:r>
        <w:rPr>
          <w:rFonts w:eastAsia="Calibri"/>
          <w:bCs/>
        </w:rPr>
        <w:t>. The NLCD Act imposes a 1% levy on the total contract sum awarded in the upstream sector. This levy is deducted at source from the contract value. The challenge here is the lack of clarity on the base to apply the 1% levy. It remains to be seen how the PIA will address these levies and charges for upstream petroleum taxation.</w:t>
      </w:r>
    </w:p>
    <w:p w14:paraId="29F31314">
      <w:pPr>
        <w:spacing w:after="160" w:line="480" w:lineRule="auto"/>
        <w:jc w:val="both"/>
        <w:rPr>
          <w:rFonts w:eastAsia="Calibri"/>
          <w:bCs/>
        </w:rPr>
      </w:pPr>
    </w:p>
    <w:p w14:paraId="6D2FBE9B">
      <w:pPr>
        <w:spacing w:after="160" w:line="480" w:lineRule="auto"/>
        <w:jc w:val="both"/>
        <w:rPr>
          <w:rFonts w:eastAsia="Calibri"/>
          <w:b/>
          <w:bCs/>
        </w:rPr>
      </w:pPr>
      <w:r>
        <w:rPr>
          <w:rFonts w:eastAsia="Calibri"/>
          <w:b/>
          <w:bCs/>
        </w:rPr>
        <w:t>CONCLUSION:</w:t>
      </w:r>
    </w:p>
    <w:p w14:paraId="5BB02011">
      <w:pPr>
        <w:spacing w:after="160" w:line="480" w:lineRule="auto"/>
        <w:jc w:val="both"/>
        <w:rPr>
          <w:rFonts w:eastAsia="Calibri"/>
          <w:bCs/>
        </w:rPr>
      </w:pPr>
      <w:r>
        <w:rPr>
          <w:rFonts w:eastAsia="Calibri"/>
          <w:bCs/>
          <w:lang w:val="en-GB"/>
        </w:rPr>
        <w:t xml:space="preserve">The Constitutional exercise of ownership and the concentration of taxing powers in the FG, as well as the interaction of the principal taxing statutes with the other </w:t>
      </w:r>
      <w:r>
        <w:rPr>
          <w:rFonts w:eastAsia="Calibri"/>
          <w:bCs/>
          <w:color w:val="000000"/>
          <w:lang w:val="en-GB"/>
        </w:rPr>
        <w:t>special purpose taxes</w:t>
      </w:r>
      <w:r>
        <w:rPr>
          <w:rFonts w:eastAsia="Calibri"/>
          <w:bCs/>
          <w:lang w:val="en-GB"/>
        </w:rPr>
        <w:t>, indirect and transaction taxes create opportunity for distortions and lack of predictability for the upstream petroleum tax system, as the boundaries between these transaction taxes, levies, and charges and the PPT are not well defined. In the absence of Constitutional review, and definitive judicial reviews and decisions, the challenges of uncertainty will remain an issue requiring reform in the operation of the fiscal federalism under the Constitution, fiscal policy and tax legislation.</w:t>
      </w:r>
      <w:r>
        <w:rPr>
          <w:rFonts w:eastAsia="Calibri"/>
          <w:bCs/>
          <w:vertAlign w:val="superscript"/>
          <w:lang w:val="en-GB"/>
        </w:rPr>
        <w:footnoteReference w:id="241"/>
      </w:r>
      <w:r>
        <w:rPr>
          <w:rFonts w:eastAsia="Calibri"/>
          <w:bCs/>
          <w:lang w:val="en-GB"/>
        </w:rPr>
        <w:t>It also underscores the importance of continuous policy assessment to enhance economic development, and well-defined legislative powers to ensure certainty and predictability of the tax system.  Aspects of these are further examined in the chapter 4, as well as in chapter 9, which address the changes introduced by the PIA.</w:t>
      </w:r>
    </w:p>
    <w:p w14:paraId="0ECB0B6A">
      <w:pPr>
        <w:spacing w:after="160" w:line="480" w:lineRule="auto"/>
        <w:jc w:val="center"/>
        <w:rPr>
          <w:rFonts w:eastAsia="Calibri"/>
          <w:b/>
          <w:bCs/>
          <w:lang w:val="en-ZA"/>
        </w:rPr>
      </w:pPr>
      <w:bookmarkStart w:id="18" w:name="_Toc1989753"/>
    </w:p>
    <w:p w14:paraId="1E818FD1">
      <w:pPr>
        <w:spacing w:after="160" w:line="480" w:lineRule="auto"/>
        <w:jc w:val="center"/>
        <w:rPr>
          <w:rFonts w:eastAsia="Calibri"/>
          <w:b/>
          <w:bCs/>
          <w:lang w:val="en-ZA"/>
        </w:rPr>
      </w:pPr>
    </w:p>
    <w:p w14:paraId="6B770224">
      <w:pPr>
        <w:spacing w:after="160" w:line="480" w:lineRule="auto"/>
        <w:jc w:val="center"/>
        <w:rPr>
          <w:rFonts w:eastAsia="Calibri"/>
          <w:b/>
          <w:bCs/>
          <w:lang w:val="en-ZA"/>
        </w:rPr>
      </w:pPr>
    </w:p>
    <w:p w14:paraId="4F9A0847">
      <w:pPr>
        <w:spacing w:after="160" w:line="480" w:lineRule="auto"/>
        <w:jc w:val="center"/>
        <w:rPr>
          <w:rFonts w:eastAsia="Calibri"/>
          <w:b/>
          <w:bCs/>
          <w:lang w:val="en-ZA"/>
        </w:rPr>
      </w:pPr>
    </w:p>
    <w:p w14:paraId="633C6688">
      <w:pPr>
        <w:spacing w:after="160" w:line="480" w:lineRule="auto"/>
        <w:jc w:val="center"/>
        <w:rPr>
          <w:rFonts w:eastAsia="Calibri"/>
          <w:b/>
          <w:bCs/>
          <w:lang w:val="en-ZA"/>
        </w:rPr>
      </w:pPr>
    </w:p>
    <w:p w14:paraId="1F3647F9">
      <w:pPr>
        <w:spacing w:after="160" w:line="480" w:lineRule="auto"/>
        <w:jc w:val="center"/>
        <w:rPr>
          <w:rFonts w:eastAsia="Calibri"/>
          <w:b/>
          <w:bCs/>
          <w:lang w:val="en-ZA"/>
        </w:rPr>
      </w:pPr>
    </w:p>
    <w:p w14:paraId="0073E9C3">
      <w:pPr>
        <w:spacing w:after="160" w:line="480" w:lineRule="auto"/>
        <w:jc w:val="center"/>
        <w:rPr>
          <w:rFonts w:eastAsia="Calibri"/>
          <w:b/>
          <w:bCs/>
          <w:lang w:val="en-ZA"/>
        </w:rPr>
      </w:pPr>
    </w:p>
    <w:p w14:paraId="79DB8A32">
      <w:pPr>
        <w:spacing w:after="160" w:line="480" w:lineRule="auto"/>
        <w:jc w:val="center"/>
        <w:rPr>
          <w:rFonts w:eastAsia="Calibri"/>
          <w:b/>
          <w:bCs/>
          <w:lang w:val="en-ZA"/>
        </w:rPr>
      </w:pPr>
    </w:p>
    <w:p w14:paraId="76518E62">
      <w:pPr>
        <w:spacing w:after="160" w:line="480" w:lineRule="auto"/>
        <w:jc w:val="center"/>
        <w:rPr>
          <w:rFonts w:eastAsia="Calibri"/>
          <w:b/>
          <w:bCs/>
          <w:lang w:val="en-ZA"/>
        </w:rPr>
      </w:pPr>
    </w:p>
    <w:p w14:paraId="31D03279">
      <w:pPr>
        <w:spacing w:after="160" w:line="480" w:lineRule="auto"/>
        <w:jc w:val="center"/>
        <w:rPr>
          <w:rFonts w:eastAsia="Calibri"/>
          <w:b/>
          <w:bCs/>
          <w:lang w:val="en-ZA"/>
        </w:rPr>
      </w:pPr>
    </w:p>
    <w:p w14:paraId="1B2D22F4">
      <w:pPr>
        <w:spacing w:after="160" w:line="480" w:lineRule="auto"/>
        <w:jc w:val="center"/>
        <w:rPr>
          <w:rFonts w:eastAsia="Calibri"/>
          <w:b/>
          <w:bCs/>
          <w:lang w:val="en-ZA"/>
        </w:rPr>
      </w:pPr>
    </w:p>
    <w:p w14:paraId="2DA299B2">
      <w:pPr>
        <w:spacing w:after="160" w:line="480" w:lineRule="auto"/>
        <w:jc w:val="center"/>
        <w:rPr>
          <w:rFonts w:eastAsia="Calibri"/>
          <w:b/>
          <w:bCs/>
          <w:lang w:val="en-ZA"/>
        </w:rPr>
      </w:pPr>
    </w:p>
    <w:p w14:paraId="109D0546">
      <w:pPr>
        <w:spacing w:after="160" w:line="480" w:lineRule="auto"/>
        <w:jc w:val="center"/>
        <w:rPr>
          <w:rFonts w:eastAsia="Calibri"/>
          <w:b/>
          <w:bCs/>
          <w:lang w:val="en-ZA"/>
        </w:rPr>
      </w:pPr>
    </w:p>
    <w:p w14:paraId="168AD4E5">
      <w:pPr>
        <w:spacing w:after="160" w:line="480" w:lineRule="auto"/>
        <w:jc w:val="center"/>
        <w:rPr>
          <w:rFonts w:eastAsia="Calibri"/>
          <w:b/>
          <w:bCs/>
          <w:lang w:val="en-ZA"/>
        </w:rPr>
      </w:pPr>
    </w:p>
    <w:p w14:paraId="56CCB1F6">
      <w:pPr>
        <w:spacing w:after="160" w:line="480" w:lineRule="auto"/>
        <w:jc w:val="center"/>
        <w:rPr>
          <w:rFonts w:eastAsia="Calibri"/>
          <w:b/>
          <w:bCs/>
          <w:lang w:val="en-ZA"/>
        </w:rPr>
      </w:pPr>
    </w:p>
    <w:p w14:paraId="31227D65">
      <w:pPr>
        <w:spacing w:after="160" w:line="480" w:lineRule="auto"/>
        <w:jc w:val="center"/>
        <w:rPr>
          <w:rFonts w:eastAsia="Calibri"/>
          <w:b/>
          <w:bCs/>
          <w:lang w:val="en-ZA"/>
        </w:rPr>
      </w:pPr>
    </w:p>
    <w:p w14:paraId="65620E7F">
      <w:pPr>
        <w:spacing w:after="160" w:line="480" w:lineRule="auto"/>
        <w:jc w:val="center"/>
        <w:rPr>
          <w:rFonts w:eastAsia="Calibri"/>
          <w:b/>
          <w:bCs/>
          <w:lang w:val="en-ZA"/>
        </w:rPr>
      </w:pPr>
    </w:p>
    <w:p w14:paraId="22C7B4C0">
      <w:pPr>
        <w:spacing w:after="160" w:line="480" w:lineRule="auto"/>
        <w:jc w:val="center"/>
        <w:rPr>
          <w:rFonts w:eastAsia="Calibri"/>
          <w:b/>
          <w:bCs/>
          <w:lang w:val="en-ZA"/>
        </w:rPr>
      </w:pPr>
    </w:p>
    <w:p w14:paraId="30111A9A">
      <w:pPr>
        <w:spacing w:after="160" w:line="480" w:lineRule="auto"/>
        <w:jc w:val="center"/>
        <w:rPr>
          <w:rFonts w:eastAsia="Calibri"/>
          <w:b/>
          <w:bCs/>
          <w:lang w:val="en-ZA"/>
        </w:rPr>
      </w:pPr>
    </w:p>
    <w:p w14:paraId="51EF1E33">
      <w:pPr>
        <w:spacing w:after="160" w:line="480" w:lineRule="auto"/>
        <w:jc w:val="center"/>
        <w:rPr>
          <w:rFonts w:eastAsia="Calibri"/>
          <w:b/>
          <w:bCs/>
          <w:lang w:val="en-ZA"/>
        </w:rPr>
      </w:pPr>
      <w:r>
        <w:rPr>
          <w:rFonts w:eastAsia="Calibri"/>
          <w:b/>
          <w:bCs/>
          <w:lang w:val="en-ZA"/>
        </w:rPr>
        <w:t xml:space="preserve">CHAPTER 4 </w:t>
      </w:r>
    </w:p>
    <w:p w14:paraId="5D6670E1">
      <w:pPr>
        <w:spacing w:after="160" w:line="259" w:lineRule="auto"/>
        <w:rPr>
          <w:rFonts w:eastAsia="Calibri"/>
          <w:b/>
          <w:bCs/>
          <w:lang w:val="en-ZA"/>
        </w:rPr>
      </w:pPr>
    </w:p>
    <w:p w14:paraId="3E054639">
      <w:pPr>
        <w:spacing w:after="160" w:line="259" w:lineRule="auto"/>
        <w:jc w:val="center"/>
        <w:rPr>
          <w:rFonts w:eastAsia="Calibri"/>
          <w:b/>
          <w:bCs/>
          <w:lang w:val="en-ZA"/>
        </w:rPr>
      </w:pPr>
      <w:r>
        <w:rPr>
          <w:rFonts w:eastAsia="Calibri"/>
          <w:b/>
          <w:bCs/>
          <w:lang w:val="en-ZA"/>
        </w:rPr>
        <w:t>UPSTREAM PETROLEUM OPERATIONS TAXATION UNCERTAINTY</w:t>
      </w:r>
      <w:bookmarkEnd w:id="18"/>
    </w:p>
    <w:p w14:paraId="6B63D46B">
      <w:pPr>
        <w:spacing w:after="160" w:line="259" w:lineRule="auto"/>
        <w:rPr>
          <w:rFonts w:eastAsia="Calibri"/>
          <w:b/>
          <w:bCs/>
          <w:sz w:val="22"/>
          <w:szCs w:val="22"/>
          <w:lang w:val="en-GB"/>
        </w:rPr>
      </w:pPr>
    </w:p>
    <w:p w14:paraId="6FD8F34C">
      <w:pPr>
        <w:spacing w:after="160" w:line="480" w:lineRule="auto"/>
        <w:ind w:left="720"/>
        <w:jc w:val="both"/>
        <w:rPr>
          <w:rFonts w:eastAsia="Calibri"/>
          <w:b/>
          <w:bCs/>
          <w:lang w:val="en-ZA"/>
        </w:rPr>
      </w:pPr>
      <w:r>
        <w:rPr>
          <w:rFonts w:eastAsia="Calibri"/>
          <w:bCs/>
        </w:rPr>
        <w:t>“The tax which each individual taxpayer is bound to pay ought to be certain, and not arbitrary. The time of payment, the manner of payment, the quantity to be paid, ought all to be clear and plain to the contributor and to every other person” (Adam Smith).</w:t>
      </w:r>
      <w:r>
        <w:rPr>
          <w:rFonts w:eastAsia="Calibri"/>
          <w:bCs/>
          <w:lang w:val="en-GB"/>
        </w:rPr>
        <w:t xml:space="preserve"> </w:t>
      </w:r>
      <w:r>
        <w:rPr>
          <w:rFonts w:eastAsia="Calibri"/>
          <w:b/>
          <w:bCs/>
          <w:vertAlign w:val="superscript"/>
          <w:lang w:val="en-GB"/>
        </w:rPr>
        <w:footnoteReference w:id="242"/>
      </w:r>
    </w:p>
    <w:p w14:paraId="70FA9022">
      <w:pPr>
        <w:spacing w:after="160" w:line="259" w:lineRule="auto"/>
        <w:rPr>
          <w:rFonts w:eastAsia="Calibri"/>
          <w:b/>
          <w:bCs/>
          <w:sz w:val="22"/>
          <w:szCs w:val="22"/>
          <w:lang w:val="en-ZA"/>
        </w:rPr>
      </w:pPr>
    </w:p>
    <w:p w14:paraId="57786D59">
      <w:pPr>
        <w:spacing w:after="160" w:line="259" w:lineRule="auto"/>
        <w:rPr>
          <w:rFonts w:eastAsia="Calibri"/>
          <w:b/>
          <w:bCs/>
          <w:lang w:val="en-ZA"/>
        </w:rPr>
      </w:pPr>
      <w:r>
        <w:rPr>
          <w:rFonts w:eastAsia="Calibri"/>
          <w:b/>
          <w:bCs/>
          <w:lang w:val="en-ZA"/>
        </w:rPr>
        <w:t xml:space="preserve">4. </w:t>
      </w:r>
      <w:r>
        <w:rPr>
          <w:rFonts w:eastAsia="Calibri"/>
          <w:b/>
          <w:bCs/>
          <w:lang w:val="en-ZA"/>
        </w:rPr>
        <w:tab/>
      </w:r>
      <w:r>
        <w:rPr>
          <w:rFonts w:eastAsia="Calibri"/>
          <w:b/>
          <w:bCs/>
          <w:lang w:val="en-ZA"/>
        </w:rPr>
        <w:t>INTRODUCTION</w:t>
      </w:r>
    </w:p>
    <w:p w14:paraId="4207D90E">
      <w:pPr>
        <w:spacing w:after="160" w:line="259" w:lineRule="auto"/>
        <w:rPr>
          <w:rFonts w:eastAsia="Calibri"/>
          <w:b/>
          <w:bCs/>
          <w:lang w:val="en-ZA"/>
        </w:rPr>
      </w:pPr>
    </w:p>
    <w:p w14:paraId="421ED33D">
      <w:pPr>
        <w:spacing w:after="160" w:line="480" w:lineRule="auto"/>
        <w:jc w:val="both"/>
        <w:rPr>
          <w:rFonts w:eastAsia="Calibri"/>
          <w:bCs/>
          <w:iCs/>
        </w:rPr>
      </w:pPr>
      <w:r>
        <w:rPr>
          <w:rFonts w:eastAsia="Calibri"/>
          <w:bCs/>
          <w:iCs/>
        </w:rPr>
        <w:t xml:space="preserve">In this chapter, we examine specific areas of lack of clarity and precision in tax legislation and policy as we carry out a black letter analysis of the relevant tax legislation, as well as interrogate some of the policy, administrative and judicial decisions as they affect upstream petroleum tax legislation certainty.   We adopt the broad definition of taxing legislation and tax system uncertainty, as articulated by International Monetary Fund (IMF) and Organization for Economic Co-operation and Development (OECD) studies. These studies define uncertainty in taxing legislation and tax systems as ‘ambiguous areas in tax policy and the tax laws, where taxpayers and tax administrators (and others) might have reasonable but differing interpretations of what the tax laws require’. This definition therefore goes beyond legislative clarity or the concept of certainty and absence of arbitrariness, or the requirement of equity and simplicity of the tax system and accommodates the concept of economic risks and the challenges of interpretation and tax compliance.  </w:t>
      </w:r>
    </w:p>
    <w:p w14:paraId="339AAD3E">
      <w:pPr>
        <w:spacing w:after="160" w:line="480" w:lineRule="auto"/>
        <w:jc w:val="both"/>
        <w:rPr>
          <w:rFonts w:eastAsia="Calibri"/>
          <w:bCs/>
          <w:iCs/>
          <w:lang w:val="en-GB"/>
        </w:rPr>
      </w:pPr>
      <w:r>
        <w:rPr>
          <w:rFonts w:eastAsia="Calibri"/>
          <w:bCs/>
          <w:iCs/>
          <w:lang w:val="en-GB"/>
        </w:rPr>
        <w:t>The objective of tax law is to ensure the implementation of the desired public policy objectives,</w:t>
      </w:r>
      <w:r>
        <w:rPr>
          <w:rFonts w:eastAsia="Calibri"/>
          <w:bCs/>
          <w:iCs/>
          <w:vertAlign w:val="superscript"/>
          <w:lang w:val="en-GB"/>
        </w:rPr>
        <w:footnoteReference w:id="243"/>
      </w:r>
      <w:r>
        <w:rPr>
          <w:rFonts w:eastAsia="Calibri"/>
          <w:bCs/>
          <w:iCs/>
          <w:lang w:val="en-GB"/>
        </w:rPr>
        <w:t xml:space="preserve"> as well as to guarantee certainty to taxpayers on the taxes they are liable to pay,</w:t>
      </w:r>
      <w:r>
        <w:rPr>
          <w:rFonts w:eastAsia="Calibri"/>
          <w:bCs/>
          <w:iCs/>
          <w:vertAlign w:val="superscript"/>
          <w:lang w:val="en-GB"/>
        </w:rPr>
        <w:footnoteReference w:id="244"/>
      </w:r>
      <w:r>
        <w:rPr>
          <w:rFonts w:eastAsia="Calibri"/>
          <w:bCs/>
          <w:iCs/>
          <w:lang w:val="en-GB"/>
        </w:rPr>
        <w:t xml:space="preserve"> and their rights and obligations under the law.</w:t>
      </w:r>
      <w:r>
        <w:rPr>
          <w:rFonts w:eastAsia="Calibri"/>
          <w:bCs/>
          <w:iCs/>
          <w:vertAlign w:val="superscript"/>
          <w:lang w:val="en-GB"/>
        </w:rPr>
        <w:footnoteReference w:id="245"/>
      </w:r>
      <w:r>
        <w:rPr>
          <w:rFonts w:eastAsia="Calibri"/>
          <w:bCs/>
          <w:iCs/>
          <w:lang w:val="en-GB"/>
        </w:rPr>
        <w:t xml:space="preserve"> It follows that </w:t>
      </w:r>
      <w:r>
        <w:rPr>
          <w:rFonts w:eastAsia="Calibri"/>
          <w:bCs/>
          <w:iCs/>
        </w:rPr>
        <w:t>the tax assessed on a taxpayer by statute ought to be certain, and not arbitrary. The time of payment, the manner of payment, the quantity to be paid, ought all to be clear and plain to both the taxpayer and the tax administrator</w:t>
      </w:r>
      <w:r>
        <w:rPr>
          <w:rFonts w:eastAsia="Calibri"/>
          <w:bCs/>
          <w:iCs/>
          <w:lang w:val="en-GB"/>
        </w:rPr>
        <w:t>. Ambiguity in language and a lack of precision in legal or statutory terms, policy and principles can result in inconsistency of meaning and understanding of substance of policy and tax legislation. An effective and certain tax system and tax law should spell out the matters within the scope in a precise manner, devoid of unnecessary complications that could impair understanding of the provisions. Where the fiscal policy and tax principles and law fail the certainty or precision test, tax uncertainty will prevail in the tax system.</w:t>
      </w:r>
      <w:r>
        <w:rPr>
          <w:rFonts w:eastAsia="Calibri"/>
          <w:bCs/>
          <w:iCs/>
          <w:vertAlign w:val="superscript"/>
          <w:lang w:val="en-GB"/>
        </w:rPr>
        <w:footnoteReference w:id="246"/>
      </w:r>
      <w:r>
        <w:rPr>
          <w:rFonts w:eastAsia="Calibri"/>
          <w:bCs/>
          <w:iCs/>
          <w:lang w:val="en-GB"/>
        </w:rPr>
        <w:t xml:space="preserve"> </w:t>
      </w:r>
    </w:p>
    <w:p w14:paraId="4FF4F472">
      <w:pPr>
        <w:spacing w:after="160" w:line="480" w:lineRule="auto"/>
        <w:jc w:val="both"/>
        <w:rPr>
          <w:rFonts w:eastAsia="Calibri"/>
          <w:bCs/>
          <w:iCs/>
        </w:rPr>
      </w:pPr>
      <w:r>
        <w:rPr>
          <w:rFonts w:eastAsia="Calibri"/>
          <w:bCs/>
          <w:iCs/>
        </w:rPr>
        <w:t>Consequently, the requirement of certainty</w:t>
      </w:r>
      <w:r>
        <w:rPr>
          <w:rFonts w:eastAsia="Calibri"/>
          <w:bCs/>
          <w:iCs/>
          <w:vertAlign w:val="superscript"/>
        </w:rPr>
        <w:footnoteReference w:id="247"/>
      </w:r>
      <w:r>
        <w:rPr>
          <w:rFonts w:eastAsia="Calibri"/>
          <w:bCs/>
          <w:iCs/>
        </w:rPr>
        <w:t xml:space="preserve"> covers all levels of legal impact, including clarity of fiscal policy,</w:t>
      </w:r>
      <w:r>
        <w:rPr>
          <w:rFonts w:eastAsia="Calibri"/>
          <w:bCs/>
          <w:iCs/>
          <w:vertAlign w:val="superscript"/>
        </w:rPr>
        <w:footnoteReference w:id="248"/>
      </w:r>
      <w:r>
        <w:rPr>
          <w:rFonts w:eastAsia="Calibri"/>
          <w:bCs/>
          <w:iCs/>
        </w:rPr>
        <w:t>tax policy,</w:t>
      </w:r>
      <w:r>
        <w:rPr>
          <w:rFonts w:eastAsia="Calibri"/>
          <w:bCs/>
          <w:iCs/>
          <w:vertAlign w:val="superscript"/>
        </w:rPr>
        <w:footnoteReference w:id="249"/>
      </w:r>
      <w:r>
        <w:rPr>
          <w:rFonts w:eastAsia="Calibri"/>
          <w:bCs/>
          <w:iCs/>
        </w:rPr>
        <w:t xml:space="preserve"> legal terms, sustainability, and validity of judicial acts, as well as the stability of the legal relationships that develop. In general, the level of certainty of the legal system can be judged by the degree of predictability of the results obtained while resolving legal disputes.</w:t>
      </w:r>
      <w:r>
        <w:rPr>
          <w:rFonts w:eastAsia="Calibri"/>
          <w:bCs/>
          <w:iCs/>
          <w:vertAlign w:val="superscript"/>
        </w:rPr>
        <w:footnoteReference w:id="250"/>
      </w:r>
    </w:p>
    <w:p w14:paraId="035299DA">
      <w:pPr>
        <w:spacing w:after="160" w:line="480" w:lineRule="auto"/>
        <w:jc w:val="both"/>
        <w:rPr>
          <w:rFonts w:eastAsia="Calibri"/>
          <w:bCs/>
          <w:iCs/>
        </w:rPr>
      </w:pPr>
      <w:r>
        <w:rPr>
          <w:rFonts w:eastAsia="Calibri"/>
          <w:bCs/>
          <w:iCs/>
        </w:rPr>
        <w:t xml:space="preserve">The language, principles and policy objectives must be clearly and consistently stated and understood. The tax system must offer clarity and a clear distinction between the different income and profit taxes, as well as the transactions taxes. The tax obligations must be precisely stated to avoid any confusion with the tax charge arising by different interpretations and a misunderstanding of legislation. In this respect, the significance of competent and principle-based legislative drafting in achieving clarity, certainty, and consistency (CCC) of understanding and interpretation of the upstream petroleum tax legislation and system in Nigeria cannot be over emphasized. </w:t>
      </w:r>
    </w:p>
    <w:p w14:paraId="12E4EAE8">
      <w:pPr>
        <w:spacing w:after="160" w:line="480" w:lineRule="auto"/>
        <w:jc w:val="both"/>
        <w:rPr>
          <w:rFonts w:eastAsia="Calibri"/>
          <w:bCs/>
          <w:iCs/>
        </w:rPr>
      </w:pPr>
      <w:r>
        <w:rPr>
          <w:rFonts w:eastAsia="Calibri"/>
          <w:bCs/>
          <w:iCs/>
        </w:rPr>
        <w:t xml:space="preserve">Unfortunately, uncertainty and fragmentation in tax law are major problems to be overcome by policy makers or designers. As is the case with petroleum taxation generally in Nigeria, the interaction of the general Corporate Income Tax Act (CITA) with the principal Petroleum Profit Tax Act (PPTA), as amended by the PSC Act, as well as with the various other special purpose and transactions taxes, largely due to fiscal and tax policy inconsistencies, the age of legislation and the pressure for increased government take or revenue capture, coupled with the challenge of language and incompetent drafting, have resulted in blurred boundaries and conflict between the numerous taxes in the tax system. </w:t>
      </w:r>
    </w:p>
    <w:p w14:paraId="73148E49">
      <w:pPr>
        <w:spacing w:after="160" w:line="480" w:lineRule="auto"/>
        <w:jc w:val="both"/>
      </w:pPr>
      <w:r>
        <w:rPr>
          <w:rFonts w:eastAsia="Calibri"/>
          <w:bCs/>
          <w:iCs/>
        </w:rPr>
        <w:t>Fiscal and tax policy makers and the legislative draftsmen are obligated to ensure that tax policy objectives and legislation are well articulated and properly aligned. The tax administrators, taxpayers, judges, and tax practitioners are to be engaged actively in ensuring that the objective of clarity and certainty in the substance and form of legislation is achieved.</w:t>
      </w:r>
      <w:r>
        <w:rPr>
          <w:rFonts w:eastAsia="Calibri"/>
          <w:bCs/>
          <w:iCs/>
          <w:vertAlign w:val="superscript"/>
        </w:rPr>
        <w:footnoteReference w:id="251"/>
      </w:r>
      <w:r>
        <w:rPr>
          <w:rFonts w:eastAsia="Calibri"/>
          <w:bCs/>
          <w:iCs/>
        </w:rPr>
        <w:t xml:space="preserve"> </w:t>
      </w:r>
      <w:r>
        <w:rPr>
          <w:rFonts w:eastAsia="Calibri"/>
          <w:bCs/>
          <w:iCs/>
          <w:lang w:val="en-GB"/>
        </w:rPr>
        <w:t xml:space="preserve">It is an issue for taxpayers, be they individuals or corporate entities, in that clarity and predictability is required for planning and making investment decisions, as well as in creating a stable domestic and international environment for cross border transactions. </w:t>
      </w:r>
      <w:r>
        <w:rPr>
          <w:bCs/>
          <w:iCs/>
        </w:rPr>
        <w:t>Tax certainty should therefore be understood as a common framework of rules and procedural standards,</w:t>
      </w:r>
      <w:r>
        <w:rPr>
          <w:rFonts w:eastAsia="Calibri"/>
          <w:bCs/>
          <w:iCs/>
        </w:rPr>
        <w:t xml:space="preserve"> geared to creating a level playing field and providing long-term conditions suitable for investment. It should produce effective and clear tax laws and regulations, provide capable tax and customs administration, and set up swift and transparent mechanisms for dispute resolution.</w:t>
      </w:r>
      <w:r>
        <w:t xml:space="preserve"> </w:t>
      </w:r>
    </w:p>
    <w:p w14:paraId="76A38CB7">
      <w:pPr>
        <w:spacing w:after="160" w:line="480" w:lineRule="auto"/>
        <w:jc w:val="both"/>
        <w:rPr>
          <w:rFonts w:eastAsia="Calibri"/>
          <w:bCs/>
          <w:iCs/>
          <w:lang w:val="en-GB"/>
        </w:rPr>
      </w:pPr>
      <w:r>
        <w:rPr>
          <w:rFonts w:eastAsia="Calibri"/>
          <w:bCs/>
          <w:iCs/>
          <w:lang w:val="en-GB"/>
        </w:rPr>
        <w:t xml:space="preserve">In the following sections, we carry out a black letter analysis of the relevant legislation and the specific policy interventions, as well as judicial decisions which highlight the impact of these fragmentations and resulting lack of clarity in upstream tax legislation, regulation, and tax system.  </w:t>
      </w:r>
    </w:p>
    <w:p w14:paraId="7B5A2E9B">
      <w:pPr>
        <w:spacing w:after="160" w:line="480" w:lineRule="auto"/>
        <w:jc w:val="both"/>
        <w:rPr>
          <w:rFonts w:eastAsia="Calibri"/>
          <w:bCs/>
          <w:iCs/>
          <w:lang w:val="en-GB"/>
        </w:rPr>
      </w:pPr>
    </w:p>
    <w:p w14:paraId="4DBAE053">
      <w:pPr>
        <w:spacing w:after="160" w:line="480" w:lineRule="auto"/>
        <w:jc w:val="both"/>
        <w:rPr>
          <w:rFonts w:eastAsia="Calibri"/>
          <w:b/>
          <w:iCs/>
        </w:rPr>
      </w:pPr>
      <w:r>
        <w:rPr>
          <w:rFonts w:eastAsia="Calibri"/>
          <w:b/>
          <w:iCs/>
        </w:rPr>
        <w:t xml:space="preserve">4. 1. UPSTREAM PETROLEUM POLICY AND TAX LEGISLATIVE UNCERTAINTY </w:t>
      </w:r>
    </w:p>
    <w:p w14:paraId="153CBF46">
      <w:pPr>
        <w:spacing w:after="160" w:line="480" w:lineRule="auto"/>
        <w:jc w:val="both"/>
        <w:rPr>
          <w:rFonts w:eastAsia="Calibri"/>
          <w:bCs/>
          <w:iCs/>
        </w:rPr>
      </w:pPr>
      <w:r>
        <w:rPr>
          <w:rFonts w:eastAsia="Calibri"/>
          <w:bCs/>
          <w:iCs/>
        </w:rPr>
        <w:t>Upstream petroleum operations involve significant costs, long lead times and long investment recovery periods. It is important for planning investments that there is clarity in fiscal policy and certainty in tax law for effective tax administration, compliance, tax dispute resolution and revenue generation for government. It is also key to the preservation of shareholder value as well as critical to creating a stable economic environment guaranteeing a reliable and stable tax and legal system. As Hans Gribnau puts it, being uniform for one and all.</w:t>
      </w:r>
      <w:r>
        <w:rPr>
          <w:rFonts w:eastAsia="Calibri"/>
          <w:bCs/>
          <w:iCs/>
          <w:vertAlign w:val="superscript"/>
        </w:rPr>
        <w:footnoteReference w:id="252"/>
      </w:r>
      <w:r>
        <w:rPr>
          <w:rFonts w:eastAsia="Calibri"/>
          <w:bCs/>
          <w:iCs/>
        </w:rPr>
        <w:t xml:space="preserve"> Conversely, the uncertainty of tax legislative terms or provisions allows for the possibility of unlimited and unjustified discretion in their interpretation and application, which inevitably provokes disagreements, disputed assessments, and conflicts, as well as the possibility of tax evasion or non-compliance. The lack of certainty turns the law into its opposite, namely, chaos and arbitrariness.</w:t>
      </w:r>
      <w:r>
        <w:rPr>
          <w:rFonts w:eastAsia="Calibri"/>
          <w:bCs/>
          <w:iCs/>
          <w:vertAlign w:val="superscript"/>
        </w:rPr>
        <w:footnoteReference w:id="253"/>
      </w:r>
      <w:r>
        <w:rPr>
          <w:rFonts w:eastAsia="Calibri"/>
          <w:bCs/>
          <w:iCs/>
        </w:rPr>
        <w:t xml:space="preserve">  </w:t>
      </w:r>
    </w:p>
    <w:p w14:paraId="5682A237">
      <w:pPr>
        <w:spacing w:after="160" w:line="480" w:lineRule="auto"/>
        <w:jc w:val="both"/>
      </w:pPr>
      <w:r>
        <w:rPr>
          <w:rFonts w:eastAsia="Calibri"/>
          <w:bCs/>
          <w:iCs/>
          <w:lang w:val="en-GB"/>
        </w:rPr>
        <w:t xml:space="preserve">In carrying out the black letter analysis of some of the provisions of the PPTA, PSC Act and CITA, we assess the underlying taxing principles and fiscal policy objectives of these Acts and the clarity of these legislative provisions. </w:t>
      </w:r>
      <w:r>
        <w:rPr>
          <w:rFonts w:eastAsia="Calibri"/>
          <w:bCs/>
          <w:iCs/>
        </w:rPr>
        <w:t>T</w:t>
      </w:r>
      <w:r>
        <w:rPr>
          <w:rFonts w:eastAsia="Calibri"/>
          <w:bCs/>
          <w:iCs/>
          <w:lang w:val="en-GB"/>
        </w:rPr>
        <w:t xml:space="preserve">ax statutes and tax provisions should be interpreted literally. </w:t>
      </w:r>
      <w:r>
        <w:rPr>
          <w:bCs/>
          <w:iCs/>
        </w:rPr>
        <w:t xml:space="preserve">Any attempt to explore objects and purposes might therefore lure the judge into a pro-executive attitude. The </w:t>
      </w:r>
      <w:r>
        <w:rPr>
          <w:rFonts w:eastAsia="Calibri"/>
          <w:bCs/>
          <w:iCs/>
        </w:rPr>
        <w:t xml:space="preserve">temptation to toy with the idea was finally removed by the judgment of Lord Halsbury in </w:t>
      </w:r>
      <w:r>
        <w:rPr>
          <w:rFonts w:eastAsia="Calibri"/>
          <w:bCs/>
          <w:i/>
          <w:iCs/>
        </w:rPr>
        <w:t>Tennant v. Smith</w:t>
      </w:r>
      <w:r>
        <w:rPr>
          <w:rFonts w:eastAsia="Calibri"/>
          <w:bCs/>
          <w:iCs/>
        </w:rPr>
        <w:t xml:space="preserve"> (1891): when he stated:</w:t>
      </w:r>
    </w:p>
    <w:p w14:paraId="6C960440">
      <w:pPr>
        <w:spacing w:after="160" w:line="480" w:lineRule="auto"/>
        <w:ind w:left="720" w:firstLine="60"/>
        <w:rPr>
          <w:bCs/>
          <w:iCs/>
        </w:rPr>
      </w:pPr>
      <w:r>
        <w:rPr>
          <w:rFonts w:eastAsia="Calibri"/>
          <w:bCs/>
          <w:iCs/>
        </w:rPr>
        <w:t>“. in a taxing Act it is impossible, I believe, to assume any intention, any governing purpose in the Act, to do more than take such tax as the statute imposes. In various cases, the principle of construction of a taxing Act has been referred to in various forms, but I believe they may be all reduced to this; that inasmuch as you have no right to assume that there is any governing object which a taxing Act is intended to attain other than that which it has expressed by making such and such objects the intended subject of taxation, you must see whether a tax is clearly imposed. Cases, therefore, under the taxing Acts always resolve themselves into a question whether or not the words of the Act have reached the alleged subject of taxation.”</w:t>
      </w:r>
      <w:r>
        <w:rPr>
          <w:rFonts w:eastAsia="Calibri"/>
          <w:bCs/>
          <w:iCs/>
          <w:vertAlign w:val="superscript"/>
          <w:lang w:val="en-GB"/>
        </w:rPr>
        <w:t>.</w:t>
      </w:r>
      <w:r>
        <w:rPr>
          <w:rFonts w:eastAsia="Calibri"/>
          <w:bCs/>
          <w:iCs/>
          <w:vertAlign w:val="superscript"/>
          <w:lang w:val="en-GB"/>
        </w:rPr>
        <w:footnoteReference w:id="254"/>
      </w:r>
    </w:p>
    <w:p w14:paraId="522DF725">
      <w:pPr>
        <w:spacing w:after="160" w:line="480" w:lineRule="auto"/>
        <w:jc w:val="both"/>
        <w:rPr>
          <w:rFonts w:eastAsia="Calibri"/>
          <w:bCs/>
          <w:iCs/>
          <w:lang w:val="en-GB"/>
        </w:rPr>
      </w:pPr>
      <w:r>
        <w:rPr>
          <w:rFonts w:eastAsia="Calibri"/>
          <w:bCs/>
          <w:iCs/>
          <w:lang w:val="en-GB"/>
        </w:rPr>
        <w:t>Also, as Rowlatt J. stated in</w:t>
      </w:r>
      <w:r>
        <w:rPr>
          <w:rFonts w:eastAsia="Calibri"/>
          <w:bCs/>
          <w:i/>
          <w:lang w:val="en-GB"/>
        </w:rPr>
        <w:t xml:space="preserve"> </w:t>
      </w:r>
      <w:r>
        <w:rPr>
          <w:rFonts w:eastAsia="Calibri"/>
          <w:bCs/>
          <w:i/>
          <w:u w:val="single"/>
          <w:lang w:val="en-GB"/>
        </w:rPr>
        <w:t>Cape Brandy Syndicate v. I.R.C</w:t>
      </w:r>
      <w:r>
        <w:rPr>
          <w:rFonts w:eastAsia="Calibri"/>
          <w:bCs/>
          <w:i/>
          <w:lang w:val="en-GB"/>
        </w:rPr>
        <w:t>,</w:t>
      </w:r>
      <w:r>
        <w:rPr>
          <w:rFonts w:eastAsia="Calibri"/>
          <w:bCs/>
          <w:iCs/>
          <w:lang w:val="en-GB"/>
        </w:rPr>
        <w:t xml:space="preserve"> </w:t>
      </w:r>
    </w:p>
    <w:p w14:paraId="486F35DC">
      <w:pPr>
        <w:spacing w:after="160" w:line="480" w:lineRule="auto"/>
        <w:ind w:left="720"/>
        <w:jc w:val="both"/>
        <w:rPr>
          <w:rFonts w:eastAsia="Calibri"/>
          <w:bCs/>
          <w:iCs/>
          <w:lang w:val="en-GB"/>
        </w:rPr>
      </w:pPr>
      <w:r>
        <w:rPr>
          <w:rFonts w:eastAsia="Calibri"/>
          <w:bCs/>
          <w:iCs/>
          <w:lang w:val="en-GB"/>
        </w:rPr>
        <w:t>“In a taxing Act one has merely to look at what is clearly said. There is no room for any intendment. There is no equity about a tax. There is no presumption as to a tax. Nothing is to be read in, nothing is to be implied. One can only look fairly at the language used.”</w:t>
      </w:r>
      <w:r>
        <w:rPr>
          <w:rFonts w:eastAsia="Calibri"/>
          <w:bCs/>
          <w:iCs/>
          <w:vertAlign w:val="superscript"/>
          <w:lang w:val="en-GB"/>
        </w:rPr>
        <w:footnoteReference w:id="255"/>
      </w:r>
    </w:p>
    <w:p w14:paraId="6D721694">
      <w:pPr>
        <w:spacing w:after="160" w:line="480" w:lineRule="auto"/>
        <w:jc w:val="both"/>
        <w:rPr>
          <w:rFonts w:eastAsia="Calibri"/>
          <w:bCs/>
          <w:iCs/>
          <w:lang w:val="en-GB"/>
        </w:rPr>
      </w:pPr>
      <w:r>
        <w:rPr>
          <w:rFonts w:eastAsia="Calibri"/>
          <w:bCs/>
          <w:iCs/>
          <w:lang w:val="en-GB"/>
        </w:rPr>
        <w:t>These all emphasize the need for properly defined terms, concepts and provisions, as well as a rule based, transparent and structured review of tax statutes to enhance clarity and accuracy and to avoid subjective interpretation and implementation by the taxpayer, tax administration and the judiciary.</w:t>
      </w:r>
    </w:p>
    <w:p w14:paraId="42C3577A">
      <w:pPr>
        <w:spacing w:after="160" w:line="480" w:lineRule="auto"/>
        <w:jc w:val="both"/>
        <w:rPr>
          <w:rFonts w:eastAsia="Calibri"/>
          <w:bCs/>
          <w:iCs/>
          <w:lang w:val="en-GB"/>
        </w:rPr>
      </w:pPr>
      <w:r>
        <w:rPr>
          <w:rFonts w:eastAsia="Calibri"/>
          <w:bCs/>
          <w:iCs/>
          <w:lang w:val="en-GB"/>
        </w:rPr>
        <w:t>The PPTA</w:t>
      </w:r>
      <w:r>
        <w:rPr>
          <w:rFonts w:eastAsia="Calibri"/>
          <w:bCs/>
          <w:iCs/>
          <w:vertAlign w:val="superscript"/>
          <w:lang w:val="en-GB"/>
        </w:rPr>
        <w:footnoteReference w:id="256"/>
      </w:r>
      <w:r>
        <w:rPr>
          <w:rFonts w:eastAsia="Calibri"/>
          <w:bCs/>
          <w:iCs/>
          <w:lang w:val="en-GB"/>
        </w:rPr>
        <w:t xml:space="preserve"> as amended by the PSC Act, interacts with other profit and income taxing Acts, such as Company Income Tax Act (CITA), the Capital Gain Tax Act (CGTA), the Tertiary Education Tax Act (TETA), the Value Added Tax Act (VAT), as well as other subsidiary taxing Acts imposing special purpose levies or charges on petroleum operations as highlighted in chapter 3. </w:t>
      </w:r>
      <w:r>
        <w:rPr>
          <w:rFonts w:eastAsia="Calibri"/>
          <w:bCs/>
          <w:lang w:val="en-GB"/>
        </w:rPr>
        <w:t xml:space="preserve">The interaction of the PPTA with these taxing statutes and laws has exposed some of the weaknesses of the PPTA, particularly as an ageing legislation, with some concepts that may have lost relevance and language acuity, etc. It has also revealed the lack of clarity and alignment in developing fiscal and commercial objectives in tax law making. Instances of poor drafting as well as the introduction of poorly defined tax avoidance objectives in subsequent income and subsidiary statutes such as CITA, TET, NDDC and NLCDA, coupled with the failure to review and ensure sustained fiscal and tax law reform have all contributed to creating ambiguities, lack of consistency in understanding and clarity in upstream tax legislation and administration. </w:t>
      </w:r>
    </w:p>
    <w:p w14:paraId="5AFFCB9F">
      <w:pPr>
        <w:spacing w:after="160" w:line="480" w:lineRule="auto"/>
        <w:jc w:val="both"/>
        <w:rPr>
          <w:rFonts w:eastAsia="Calibri"/>
          <w:bCs/>
        </w:rPr>
      </w:pPr>
      <w:r>
        <w:rPr>
          <w:rFonts w:eastAsia="Calibri"/>
          <w:bCs/>
        </w:rPr>
        <w:t>In addition to the number of taxes affecting upstream petroleum operations, and the fragmented nature and language of the legislation and regulations in the petroleum tax system, the taxation of petroleum profits is impacted by the various fiscal policy interventions, regulations and administrative agreements or Memorandum of Understandings (MOUs) between the Federal Government and the various oil companies. Until the amendment of the PPTA by the PSC Act, the Memorandum of Understanding (MOU)</w:t>
      </w:r>
      <w:r>
        <w:rPr>
          <w:rFonts w:eastAsia="Calibri"/>
          <w:bCs/>
          <w:vertAlign w:val="superscript"/>
        </w:rPr>
        <w:footnoteReference w:id="257"/>
      </w:r>
      <w:r>
        <w:rPr>
          <w:rFonts w:eastAsia="Calibri"/>
          <w:bCs/>
        </w:rPr>
        <w:t xml:space="preserve"> stands out as having impacted petroleum operations and taxation greatly, in that it sought to establish some level of certainty and stability in upstream petroleum taxation by encouraging investment during the era of low oil prices. The MOU was an agreement between the Federal Government, NNPC and the various oil companies, the aim of which was to guarantee a certain minimum level of profit to the companies after the deduction of all allowed costs, taxes, levies, and royalties. The MOU guaranteed the profit margin, and other incentives granted such as the reserves addition bonus (RAB) and investment tax credits. </w:t>
      </w:r>
      <w:r>
        <w:rPr>
          <w:bCs/>
        </w:rPr>
        <w:t xml:space="preserve">Each MOU signed between the Nigerian National Petroleum Corporation (NNPC), representing the Federal </w:t>
      </w:r>
      <w:r>
        <w:rPr>
          <w:rFonts w:eastAsia="Calibri"/>
          <w:bCs/>
        </w:rPr>
        <w:t xml:space="preserve">Government of Nigeria on the one hand and the operating companies (OPCOS) in JV arrangement with NNPC; i.e. - Shell, Mobil, Chevron, Agip, Elf, and Pan Ocean on the other hand, with the aim of anticipating developments in the global oil and gas industry by ensuring a dynamic approach to drawing up rules and fiscal regimes which kept the industry competitive and investor friendly. The clear intention of the government then was to attract more investment than that already made. That significant fiscal and tax policy shift guaranteed for the companies a minimum profit margin of $2.30/bbl.; after tax and royalties on the companies’ equity crude. With the shift, the companies were encouraged to embark on bullish exploration activities, which enabled Nigeria's crude oil reserves to move from 18.0 billion barrels to 22 billion barrels in 1992, barely a year after the policy decision was taken. The MOU contained a mechanism for review in a way that both parties (NNPC and its Joint Venture partners) are left satisfied even when the dynamics of the economy such as inflation and exchange rates set in. Unfortunately, the review process was not sustained, and the MOU remained a policy document, and was not incorporated into the tax law. The MOU has since been overtaken by other developments in the Nigeria petroleum industry and legislative regulations. Although the MOU may have guaranteed profit margins and sustained investment during low oil prices, it however failed to achieve certainty or secure stability and predictability in the upstream petroleum fiscal and tax system. </w:t>
      </w:r>
    </w:p>
    <w:p w14:paraId="2233669C">
      <w:pPr>
        <w:spacing w:after="160" w:line="480" w:lineRule="auto"/>
        <w:jc w:val="both"/>
        <w:rPr>
          <w:rFonts w:eastAsia="Calibri"/>
          <w:bCs/>
        </w:rPr>
      </w:pPr>
      <w:r>
        <w:rPr>
          <w:rFonts w:eastAsia="Calibri"/>
          <w:bCs/>
        </w:rPr>
        <w:t>The other costs and factors affecting the determination of upstream petroleum company’s tax liability are the rents, fees, and royalties payable by a petroleum company. These charges are deducted in determining the rates of petroleum profits tax</w:t>
      </w:r>
      <w:r>
        <w:rPr>
          <w:rFonts w:eastAsia="Calibri"/>
          <w:bCs/>
          <w:vertAlign w:val="superscript"/>
        </w:rPr>
        <w:footnoteReference w:id="258"/>
      </w:r>
      <w:r>
        <w:rPr>
          <w:rFonts w:eastAsia="Calibri"/>
          <w:bCs/>
        </w:rPr>
        <w:t xml:space="preserve">. However, </w:t>
      </w:r>
      <w:r>
        <w:t>until the amendments to the PPTA in 1996 and 1999</w:t>
      </w:r>
      <w:r>
        <w:rPr>
          <w:rStyle w:val="23"/>
        </w:rPr>
        <w:footnoteReference w:id="259"/>
      </w:r>
      <w:r>
        <w:t xml:space="preserve"> </w:t>
      </w:r>
      <w:r>
        <w:rPr>
          <w:rFonts w:eastAsia="Calibri"/>
          <w:bCs/>
        </w:rPr>
        <w:t>on the treatment of these expenses, the absence of specific provisions dealing with each of these fees, charges and taxes, resulted in the reliance on the provisions of the Petroleum (Drilling and Production) Regulations; a subsidiary legislation made pursuant to Section 9 of the Petroleum Act.</w:t>
      </w:r>
      <w:r>
        <w:rPr>
          <w:rFonts w:eastAsia="Calibri"/>
          <w:bCs/>
          <w:vertAlign w:val="superscript"/>
        </w:rPr>
        <w:footnoteReference w:id="260"/>
      </w:r>
      <w:r>
        <w:rPr>
          <w:rFonts w:eastAsia="Calibri"/>
          <w:bCs/>
        </w:rPr>
        <w:t xml:space="preserve"> This also added to the ambiguity in the PPT treatment of the expenses. The amendments to the PPTA and the PA, including the Petroleum (Drilling and Production) (Amendment) Regulations of 1996</w:t>
      </w:r>
      <w:r>
        <w:rPr>
          <w:rFonts w:eastAsia="Calibri"/>
          <w:bCs/>
          <w:vertAlign w:val="superscript"/>
        </w:rPr>
        <w:footnoteReference w:id="261"/>
      </w:r>
      <w:r>
        <w:rPr>
          <w:rFonts w:eastAsia="Calibri"/>
          <w:bCs/>
        </w:rPr>
        <w:t>, by the various subsequent legislations such as the Nigerian LNG Fiscal Incentives Guarantees and Assurances Act</w:t>
      </w:r>
      <w:r>
        <w:rPr>
          <w:rFonts w:eastAsia="Calibri"/>
          <w:bCs/>
          <w:vertAlign w:val="superscript"/>
        </w:rPr>
        <w:footnoteReference w:id="262"/>
      </w:r>
      <w:r>
        <w:rPr>
          <w:rFonts w:eastAsia="Calibri"/>
          <w:bCs/>
        </w:rPr>
        <w:t>; the Nigerian Export Free Zone Act</w:t>
      </w:r>
      <w:r>
        <w:rPr>
          <w:rFonts w:eastAsia="Calibri"/>
          <w:bCs/>
          <w:vertAlign w:val="superscript"/>
        </w:rPr>
        <w:footnoteReference w:id="263"/>
      </w:r>
      <w:r>
        <w:rPr>
          <w:rFonts w:eastAsia="Calibri"/>
          <w:bCs/>
        </w:rPr>
        <w:t>; the Education Tax Act</w:t>
      </w:r>
      <w:r>
        <w:rPr>
          <w:rFonts w:eastAsia="Calibri"/>
          <w:bCs/>
          <w:vertAlign w:val="superscript"/>
        </w:rPr>
        <w:footnoteReference w:id="264"/>
      </w:r>
      <w:r>
        <w:rPr>
          <w:rFonts w:eastAsia="Calibri"/>
          <w:bCs/>
        </w:rPr>
        <w:t xml:space="preserve"> and the Value Added Tax</w:t>
      </w:r>
      <w:r>
        <w:rPr>
          <w:rFonts w:eastAsia="Calibri"/>
          <w:bCs/>
          <w:vertAlign w:val="superscript"/>
        </w:rPr>
        <w:footnoteReference w:id="265"/>
      </w:r>
      <w:r>
        <w:rPr>
          <w:rFonts w:eastAsia="Calibri"/>
          <w:bCs/>
        </w:rPr>
        <w:t>, the NDDC levy and the NLCD charge, which are highlighted in the preceding chapter 3 of this thesis, and examined further in this chapter have all impacted the PPTA fiscal and tax regime.</w:t>
      </w:r>
    </w:p>
    <w:p w14:paraId="28F42BF7">
      <w:pPr>
        <w:spacing w:after="160" w:line="480" w:lineRule="auto"/>
        <w:jc w:val="both"/>
        <w:rPr>
          <w:rFonts w:eastAsia="Calibri"/>
          <w:bCs/>
        </w:rPr>
      </w:pPr>
      <w:r>
        <w:rPr>
          <w:rFonts w:eastAsia="Calibri"/>
          <w:bCs/>
          <w:lang w:val="en-GB"/>
        </w:rPr>
        <w:t>It is against this background, that section 2 of the PPTA, which defines petroleum operations and refers to the taxation of profits from the winning of petroleum in Nigeria, raises several issues. The expression, ‘w</w:t>
      </w:r>
      <w:r>
        <w:rPr>
          <w:rFonts w:eastAsia="Calibri"/>
          <w:bCs/>
        </w:rPr>
        <w:t xml:space="preserve">inning or obtaining and transportation of petroleum or chargeable oil in Nigeria by or on behalf of a company for its own account’ is not defined by the PPTA. The reliance on the common meaning or usage of the expression invariably resulted in questions, such as which party can be said to have title to the petroleum; who is the party carrying out petroleum operations on its own account; who derives the revenue subject to tax under the PPTA, and what taxes or charges affect petroleum operations? These issues are critical for revenue recognition and ascertaining the obligation to taxation. The changes introduced by the recently enacted PIA as it affects royalty, hydrocarbon tax (HT) and CITA address some of these issues. This is examined in detail in chapter 9 of this thesis. </w:t>
      </w:r>
    </w:p>
    <w:p w14:paraId="3A476C89">
      <w:pPr>
        <w:spacing w:after="160" w:line="480" w:lineRule="auto"/>
        <w:jc w:val="both"/>
        <w:rPr>
          <w:bCs/>
        </w:rPr>
      </w:pPr>
      <w:r>
        <w:rPr>
          <w:rFonts w:eastAsia="Calibri"/>
          <w:bCs/>
        </w:rPr>
        <w:t>The determination of the taxable entity engaged in petroleum operations for its own account has practical implications for both the traditional JV fiscal concessions and the PSC arrangements</w:t>
      </w:r>
      <w:r>
        <w:rPr>
          <w:rFonts w:eastAsia="Calibri"/>
          <w:bCs/>
          <w:vertAlign w:val="superscript"/>
        </w:rPr>
        <w:footnoteReference w:id="266"/>
      </w:r>
      <w:r>
        <w:rPr>
          <w:rFonts w:eastAsia="Calibri"/>
          <w:bCs/>
        </w:rPr>
        <w:t xml:space="preserve"> which recognize and tax revenue from concessioned contract areas as opposed to legal entities recognized and taxed under the PPTA. Parties or companies with interests in concessions are deemed to carry out petroleum operations for their own account, and this derives from having title or interest in the concessions. However, in the PSC arrangements, companies carry out petroleum operations as Contractors to the Corporation or Holder of the license to the oil concessions granted under a PSC. The Contractors are also entitled to share in the production from the ‘Contract Area’ as defined. However, the question has been whether the Contractors are carrying out petroleum operations on their own account in a PSC setting. It has been argued that, in line with the PSC Act, PPT liability is due on the Contract Area,</w:t>
      </w:r>
      <w:r>
        <w:rPr>
          <w:rFonts w:eastAsia="Calibri"/>
          <w:bCs/>
          <w:vertAlign w:val="superscript"/>
        </w:rPr>
        <w:footnoteReference w:id="267"/>
      </w:r>
      <w:r>
        <w:rPr>
          <w:rFonts w:eastAsia="Calibri"/>
          <w:bCs/>
        </w:rPr>
        <w:t xml:space="preserve">. Contract area is </w:t>
      </w:r>
      <w:r>
        <w:rPr>
          <w:bCs/>
        </w:rPr>
        <w:t xml:space="preserve">defined in the relevant PSC’s as the surface area specified in the Annex to the PSC which includes the </w:t>
      </w:r>
      <w:r>
        <w:rPr>
          <w:rFonts w:eastAsia="Calibri"/>
          <w:bCs/>
        </w:rPr>
        <w:t>geological formations contained in the vertical projection of such surface to the depth indicated in the Annex to the PSC, in which the Contractor is authorized and obligated to conduct Petroleum Activities pursuant to the PSC, it being understood that: (i) the PSC does not grant the Contractor any real property rights to the </w:t>
      </w:r>
      <w:r>
        <w:fldChar w:fldCharType="begin"/>
      </w:r>
      <w:r>
        <w:instrText xml:space="preserve"> HYPERLINK "https://www.lawinsider.com/dictionary/contract-area" </w:instrText>
      </w:r>
      <w:r>
        <w:fldChar w:fldCharType="separate"/>
      </w:r>
      <w:r>
        <w:rPr>
          <w:rStyle w:val="27"/>
          <w:rFonts w:eastAsia="Calibri"/>
          <w:bCs/>
        </w:rPr>
        <w:t>Contract Area</w:t>
      </w:r>
      <w:r>
        <w:rPr>
          <w:rStyle w:val="27"/>
          <w:rFonts w:eastAsia="Calibri"/>
          <w:bCs/>
        </w:rPr>
        <w:fldChar w:fldCharType="end"/>
      </w:r>
      <w:r>
        <w:rPr>
          <w:rFonts w:eastAsia="Calibri"/>
          <w:bCs/>
        </w:rPr>
        <w:t xml:space="preserve"> or to natural resources in its subsurface, and (ii) the Contract Area shall be reduced in accordance with the terms of this Contract. However, it has been argued that all parties engaged in the Contract Area are carrying out petroleum operations on their own account. This interpretation is not immediately clear from the definition of Contract Area for PSC purposes, and thus has raised questions of interpretation in the prescription and ascertainment of tax liability under the standard PSC. </w:t>
      </w:r>
    </w:p>
    <w:p w14:paraId="611B9A63">
      <w:pPr>
        <w:spacing w:after="160" w:line="480" w:lineRule="auto"/>
        <w:jc w:val="both"/>
        <w:rPr>
          <w:rFonts w:eastAsia="Calibri"/>
          <w:bCs/>
          <w:lang w:val="en-GB"/>
        </w:rPr>
      </w:pPr>
      <w:r>
        <w:rPr>
          <w:rFonts w:eastAsia="Calibri"/>
          <w:bCs/>
        </w:rPr>
        <w:t>Also, on the issue of the taxable profits from petroleum operations, section 8 of the PPTA only states that there shall be levied upon the profits of each accounting period, a tax (PPT) to be charged, assessed and payable in accordance with the provisions of the Act</w:t>
      </w:r>
      <w:r>
        <w:rPr>
          <w:rFonts w:eastAsia="Calibri"/>
          <w:bCs/>
          <w:lang w:val="en-GB"/>
        </w:rPr>
        <w:t xml:space="preserve"> on profits from the winning of petroleum in Nigeria. The section states as follows: </w:t>
      </w:r>
    </w:p>
    <w:p w14:paraId="7AFEA0E7">
      <w:pPr>
        <w:spacing w:after="160" w:line="480" w:lineRule="auto"/>
        <w:ind w:left="720"/>
        <w:jc w:val="both"/>
        <w:rPr>
          <w:rFonts w:eastAsia="Calibri"/>
          <w:bCs/>
          <w:iCs/>
          <w:lang w:val="en-GB"/>
        </w:rPr>
      </w:pPr>
      <w:r>
        <w:rPr>
          <w:rFonts w:eastAsia="Calibri"/>
          <w:bCs/>
          <w:iCs/>
          <w:lang w:val="en-GB"/>
        </w:rPr>
        <w:t>“There shall be levied upon the profits of each accounting period of any company engaged in petroleum operation during that period, a tax to be charged, assessed and payable in accordance with the provisions of this Act”.</w:t>
      </w:r>
    </w:p>
    <w:p w14:paraId="156FAF10">
      <w:pPr>
        <w:spacing w:after="160" w:line="480" w:lineRule="auto"/>
        <w:jc w:val="both"/>
        <w:rPr>
          <w:rFonts w:eastAsia="Calibri"/>
          <w:bCs/>
          <w:lang w:val="en-GB"/>
        </w:rPr>
      </w:pPr>
      <w:r>
        <w:rPr>
          <w:rFonts w:eastAsia="Calibri"/>
          <w:bCs/>
          <w:lang w:val="en-GB"/>
        </w:rPr>
        <w:t>The scope of section 8 has been interpreted in several judicial authorities.</w:t>
      </w:r>
      <w:r>
        <w:rPr>
          <w:rFonts w:eastAsia="Calibri"/>
          <w:bCs/>
          <w:vertAlign w:val="superscript"/>
          <w:lang w:val="en-GB"/>
        </w:rPr>
        <w:footnoteReference w:id="268"/>
      </w:r>
      <w:r>
        <w:rPr>
          <w:rFonts w:eastAsia="Calibri"/>
          <w:bCs/>
          <w:lang w:val="en-GB"/>
        </w:rPr>
        <w:t xml:space="preserve"> The Supreme Court (SC) in </w:t>
      </w:r>
      <w:r>
        <w:rPr>
          <w:rFonts w:eastAsia="Calibri"/>
          <w:bCs/>
          <w:i/>
          <w:iCs/>
          <w:lang w:val="en-GB"/>
        </w:rPr>
        <w:t>Shell Petroleum Development Company Nigeria Ltd v Federal Board of Inland Revenue</w:t>
      </w:r>
      <w:r>
        <w:rPr>
          <w:rFonts w:eastAsia="Calibri"/>
          <w:bCs/>
          <w:iCs/>
          <w:vertAlign w:val="superscript"/>
          <w:lang w:val="en-GB"/>
        </w:rPr>
        <w:footnoteReference w:id="269"/>
      </w:r>
      <w:r>
        <w:rPr>
          <w:rFonts w:eastAsia="Calibri"/>
          <w:b/>
          <w:bCs/>
          <w:i/>
          <w:iCs/>
          <w:lang w:val="en-GB"/>
        </w:rPr>
        <w:t xml:space="preserve"> </w:t>
      </w:r>
      <w:r>
        <w:rPr>
          <w:rFonts w:eastAsia="Calibri"/>
          <w:bCs/>
          <w:lang w:val="en-GB"/>
        </w:rPr>
        <w:t xml:space="preserve">held that by virtue of </w:t>
      </w:r>
      <w:r>
        <w:rPr>
          <w:rFonts w:eastAsia="Calibri"/>
          <w:bCs/>
          <w:i/>
          <w:lang w:val="en-GB"/>
        </w:rPr>
        <w:t>section 8</w:t>
      </w:r>
      <w:r>
        <w:rPr>
          <w:rFonts w:eastAsia="Calibri"/>
          <w:bCs/>
          <w:lang w:val="en-GB"/>
        </w:rPr>
        <w:t xml:space="preserve"> of the </w:t>
      </w:r>
      <w:r>
        <w:rPr>
          <w:rFonts w:eastAsia="Calibri"/>
          <w:bCs/>
          <w:i/>
          <w:lang w:val="en-GB"/>
        </w:rPr>
        <w:t>PPTA</w:t>
      </w:r>
      <w:r>
        <w:rPr>
          <w:rFonts w:eastAsia="Calibri"/>
          <w:bCs/>
          <w:lang w:val="en-GB"/>
        </w:rPr>
        <w:t xml:space="preserve">, any company engaged in petroleum operations is liable to pay PPT and such tax is deemed a debt due to the FG. Typically, the activities undertaken in a fiscal regime arrangement, and which fall within the context and definition of </w:t>
      </w:r>
      <w:r>
        <w:rPr>
          <w:rFonts w:eastAsia="Calibri"/>
          <w:bCs/>
          <w:iCs/>
          <w:lang w:val="en-GB"/>
        </w:rPr>
        <w:t>“petroleum operations”</w:t>
      </w:r>
      <w:r>
        <w:rPr>
          <w:rFonts w:eastAsia="Calibri"/>
          <w:bCs/>
          <w:iCs/>
          <w:vertAlign w:val="superscript"/>
          <w:lang w:val="en-GB"/>
        </w:rPr>
        <w:footnoteReference w:id="270"/>
      </w:r>
      <w:r>
        <w:rPr>
          <w:rFonts w:eastAsia="Calibri"/>
          <w:bCs/>
          <w:iCs/>
          <w:lang w:val="en-GB"/>
        </w:rPr>
        <w:t>,</w:t>
      </w:r>
      <w:r>
        <w:rPr>
          <w:rFonts w:eastAsia="Calibri"/>
          <w:bCs/>
          <w:lang w:val="en-GB"/>
        </w:rPr>
        <w:t xml:space="preserve"> attract PPT, whilst any other activities undertaken by an oil company, not deemed to be petroleum operations, are subject to corporate income tax rules under the CITA. The definition of petroleum operations and what constitutes the revenues and profits from petroleum operations are not as precise as would be required for the determination of the </w:t>
      </w:r>
      <w:r>
        <w:rPr>
          <w:lang w:val="en-GB"/>
        </w:rPr>
        <w:t>taxable profit</w:t>
      </w:r>
      <w:r>
        <w:rPr>
          <w:rFonts w:eastAsia="Calibri"/>
          <w:bCs/>
          <w:lang w:val="en-GB"/>
        </w:rPr>
        <w:t xml:space="preserve"> which is critical for ascertaining the tax liability and the obligations and the treatment of revenues and costs. The clarity of these provisions raises several questions, particularly due to the interaction of JV, the PSC fiscal regimes and the interaction of the PPTA as amended by the PSC and affected by the CITA with other related income tax and transaction taxes in the petroleum tax system.</w:t>
      </w:r>
    </w:p>
    <w:p w14:paraId="789BB713">
      <w:pPr>
        <w:spacing w:after="160" w:line="480" w:lineRule="auto"/>
        <w:jc w:val="both"/>
        <w:rPr>
          <w:rFonts w:eastAsia="Calibri"/>
          <w:bCs/>
          <w:lang w:val="en-GB"/>
        </w:rPr>
      </w:pPr>
      <w:r>
        <w:rPr>
          <w:rFonts w:eastAsia="Calibri"/>
          <w:bCs/>
          <w:lang w:val="en-GB"/>
        </w:rPr>
        <w:t xml:space="preserve">The SC further held in </w:t>
      </w:r>
      <w:r>
        <w:rPr>
          <w:rFonts w:eastAsia="Calibri"/>
          <w:bCs/>
          <w:i/>
          <w:iCs/>
          <w:lang w:val="en-GB"/>
        </w:rPr>
        <w:t>Shell Petroleum Development Company (Nig.) Ltd v Federal Board of Inland Revenue</w:t>
      </w:r>
      <w:r>
        <w:rPr>
          <w:rFonts w:eastAsia="Calibri"/>
          <w:bCs/>
          <w:iCs/>
          <w:vertAlign w:val="superscript"/>
          <w:lang w:val="en-GB"/>
        </w:rPr>
        <w:footnoteReference w:id="271"/>
      </w:r>
      <w:r>
        <w:rPr>
          <w:rFonts w:eastAsia="Calibri"/>
          <w:bCs/>
          <w:i/>
          <w:iCs/>
          <w:lang w:val="en-GB"/>
        </w:rPr>
        <w:t xml:space="preserve"> </w:t>
      </w:r>
      <w:r>
        <w:rPr>
          <w:rFonts w:eastAsia="Calibri"/>
          <w:bCs/>
          <w:lang w:val="en-GB"/>
        </w:rPr>
        <w:t xml:space="preserve">that petroleum operations for the payment of profit tax by companies engaged in petroleum operations include not only winning or obtaining petroleum oil by drilling, mining, etc., but all operations that are incidental to such operation. The legal implication is that income from activities such as refining crude oil, marketing solid minerals, oil field services, etc., are not subject to PPT since these are not incidental but distinct activities carried out in the midstream and downstream sectors in the industry. </w:t>
      </w:r>
    </w:p>
    <w:p w14:paraId="08CB51EF">
      <w:pPr>
        <w:spacing w:after="160" w:line="480" w:lineRule="auto"/>
        <w:jc w:val="both"/>
        <w:rPr>
          <w:rFonts w:eastAsia="Calibri"/>
          <w:bCs/>
          <w:lang w:val="en-GB"/>
        </w:rPr>
      </w:pPr>
      <w:r>
        <w:rPr>
          <w:rFonts w:eastAsia="Calibri"/>
          <w:bCs/>
          <w:lang w:val="en-GB"/>
        </w:rPr>
        <w:t>To ascertain PPT payable by a company engaged in petroleum operation, section 9 (1) of the PPTA states that all the revenue accruing to the company during the accounting period is the aggregate of:</w:t>
      </w:r>
    </w:p>
    <w:p w14:paraId="7B130561">
      <w:pPr>
        <w:spacing w:after="160" w:line="480" w:lineRule="auto"/>
        <w:ind w:firstLine="720"/>
        <w:jc w:val="both"/>
        <w:rPr>
          <w:rFonts w:eastAsia="Calibri"/>
          <w:bCs/>
          <w:lang w:val="en-GB"/>
        </w:rPr>
      </w:pPr>
      <w:r>
        <w:rPr>
          <w:rFonts w:eastAsia="Calibri"/>
          <w:bCs/>
          <w:lang w:val="en-GB"/>
        </w:rPr>
        <w:t>a). proceeds of all chargeable oil sold by the company during that period,</w:t>
      </w:r>
      <w:r>
        <w:rPr>
          <w:rFonts w:eastAsia="Calibri"/>
          <w:bCs/>
          <w:vertAlign w:val="superscript"/>
          <w:lang w:val="en-GB"/>
        </w:rPr>
        <w:footnoteReference w:id="272"/>
      </w:r>
    </w:p>
    <w:p w14:paraId="23C245FD">
      <w:pPr>
        <w:spacing w:after="160" w:line="480" w:lineRule="auto"/>
        <w:ind w:firstLine="720"/>
        <w:jc w:val="both"/>
        <w:rPr>
          <w:rFonts w:eastAsia="Calibri"/>
          <w:bCs/>
          <w:lang w:val="en-GB"/>
        </w:rPr>
      </w:pPr>
      <w:r>
        <w:rPr>
          <w:rFonts w:eastAsia="Calibri"/>
          <w:bCs/>
          <w:lang w:val="en-GB"/>
        </w:rPr>
        <w:t>b). value of all chargeable oil disposed by the company during the period,</w:t>
      </w:r>
      <w:r>
        <w:rPr>
          <w:rFonts w:eastAsia="Calibri"/>
          <w:bCs/>
          <w:vertAlign w:val="superscript"/>
          <w:lang w:val="en-GB"/>
        </w:rPr>
        <w:footnoteReference w:id="273"/>
      </w:r>
    </w:p>
    <w:p w14:paraId="6F03B62D">
      <w:pPr>
        <w:spacing w:after="160" w:line="480" w:lineRule="auto"/>
        <w:ind w:firstLine="720"/>
        <w:jc w:val="both"/>
        <w:rPr>
          <w:rFonts w:eastAsia="Calibri"/>
          <w:bCs/>
          <w:lang w:val="en-GB"/>
        </w:rPr>
      </w:pPr>
      <w:r>
        <w:rPr>
          <w:rFonts w:eastAsia="Calibri"/>
          <w:bCs/>
          <w:lang w:val="en-GB"/>
        </w:rPr>
        <w:t>c). value of chargeable natural gas sold,</w:t>
      </w:r>
      <w:r>
        <w:rPr>
          <w:rFonts w:eastAsia="Calibri"/>
          <w:bCs/>
          <w:vertAlign w:val="superscript"/>
          <w:lang w:val="en-GB"/>
        </w:rPr>
        <w:footnoteReference w:id="274"/>
      </w:r>
      <w:r>
        <w:rPr>
          <w:rFonts w:eastAsia="Calibri"/>
          <w:bCs/>
          <w:lang w:val="en-GB"/>
        </w:rPr>
        <w:t xml:space="preserve"> and</w:t>
      </w:r>
    </w:p>
    <w:p w14:paraId="7C70D02F">
      <w:pPr>
        <w:spacing w:after="160" w:line="480" w:lineRule="auto"/>
        <w:ind w:left="720"/>
        <w:jc w:val="both"/>
        <w:rPr>
          <w:rFonts w:eastAsia="Calibri"/>
          <w:bCs/>
          <w:lang w:val="en-GB"/>
        </w:rPr>
      </w:pPr>
      <w:r>
        <w:rPr>
          <w:rFonts w:eastAsia="Calibri"/>
          <w:bCs/>
          <w:lang w:val="en-GB"/>
        </w:rPr>
        <w:t xml:space="preserve">d. all income incidental to and arising from one or more petroleum operations, e.g., interest on fixed deposit, rent/hire of equipment, income from services provided to another petroleum company, etc. </w:t>
      </w:r>
    </w:p>
    <w:p w14:paraId="0EEF9463">
      <w:pPr>
        <w:spacing w:after="160" w:line="480" w:lineRule="auto"/>
        <w:jc w:val="both"/>
        <w:rPr>
          <w:rFonts w:eastAsia="Calibri"/>
          <w:bCs/>
        </w:rPr>
      </w:pPr>
      <w:r>
        <w:rPr>
          <w:rFonts w:eastAsia="Calibri"/>
          <w:bCs/>
        </w:rPr>
        <w:t>In the same vein s.9 (2) (a) PPTA requires the value of oil to be determined “in accordance with the provisions of any enactment applicable thereto and any financial agreement”.</w:t>
      </w:r>
      <w:r>
        <w:rPr>
          <w:rFonts w:eastAsia="Calibri"/>
          <w:bCs/>
          <w:vertAlign w:val="superscript"/>
        </w:rPr>
        <w:footnoteReference w:id="275"/>
      </w:r>
      <w:r>
        <w:rPr>
          <w:rFonts w:eastAsia="Calibri"/>
          <w:bCs/>
        </w:rPr>
        <w:t xml:space="preserve"> The financial agreement and the now moribund MOU</w:t>
      </w:r>
      <w:r>
        <w:t xml:space="preserve"> </w:t>
      </w:r>
      <w:r>
        <w:rPr>
          <w:rFonts w:eastAsia="Calibri"/>
          <w:bCs/>
        </w:rPr>
        <w:t>refer to ‘Realizable Price’(RP) between the FG of Nigeria and the company. Additionally, s.23 (5) defines ‘posted price’ in relation to crude oil valuation, as “the price (of crude oil), at the Nigerian port of export…established by the company, after agreement with the Government of Nigeria”. The reference to both realizable price (RP) and posted price (PP) and existing financial agreements between the government and the companies created more confusion. There was also no distinction between the sale price of local or foreign sales.</w:t>
      </w:r>
      <w:r>
        <w:rPr>
          <w:rFonts w:eastAsia="Calibri"/>
          <w:bCs/>
          <w:vertAlign w:val="superscript"/>
        </w:rPr>
        <w:footnoteReference w:id="276"/>
      </w:r>
      <w:r>
        <w:rPr>
          <w:rFonts w:eastAsia="Calibri"/>
          <w:bCs/>
        </w:rPr>
        <w:t xml:space="preserve"> The lack of clarity and precision required in determining the profit subject to PPT only added to the confusion in interpretation and the regulatory and compliance environment. This was the subject of the TAT ruling in 2015 in the longstanding case between the FIRS and the Oil Companies</w:t>
      </w:r>
      <w:r>
        <w:rPr>
          <w:rStyle w:val="23"/>
          <w:rFonts w:eastAsia="Calibri"/>
          <w:bCs/>
        </w:rPr>
        <w:footnoteReference w:id="277"/>
      </w:r>
      <w:r>
        <w:rPr>
          <w:rFonts w:eastAsia="Calibri"/>
          <w:bCs/>
        </w:rPr>
        <w:t>. The TAT ruled that the applicable price of crude oil to be used for tax purposes is the RP and not the Official Selling Price (OSP) during the period the MOU between the FG and the companies remained in force</w:t>
      </w:r>
      <w:r>
        <w:rPr>
          <w:rFonts w:eastAsia="Calibri"/>
          <w:bCs/>
          <w:vertAlign w:val="superscript"/>
        </w:rPr>
        <w:footnoteReference w:id="278"/>
      </w:r>
      <w:r>
        <w:rPr>
          <w:rFonts w:eastAsia="Calibri"/>
          <w:bCs/>
        </w:rPr>
        <w:t xml:space="preserve">. The TAT ruling did not however fully resolve or define what constitutes RP, by stating the components and the procedure for determining the RP and revenue for PPT purposes, nor did it address the question whether the MOU introduced a new fiscal regime predicated on an agreement (the MOU) between government and the oil companies, in contra distinction to PPT regime under the PPTA. </w:t>
      </w:r>
    </w:p>
    <w:p w14:paraId="181C5071">
      <w:pPr>
        <w:spacing w:after="160" w:line="480" w:lineRule="auto"/>
        <w:jc w:val="both"/>
        <w:rPr>
          <w:rFonts w:eastAsia="Calibri"/>
          <w:b/>
        </w:rPr>
      </w:pPr>
      <w:r>
        <w:rPr>
          <w:rFonts w:eastAsia="Calibri"/>
          <w:b/>
        </w:rPr>
        <w:t>Allowable Expenditure for Petroleum Profit Tax Uncertainty.</w:t>
      </w:r>
    </w:p>
    <w:p w14:paraId="1146B48E">
      <w:pPr>
        <w:spacing w:after="160" w:line="480" w:lineRule="auto"/>
        <w:jc w:val="both"/>
        <w:rPr>
          <w:rFonts w:eastAsia="Calibri"/>
          <w:bCs/>
        </w:rPr>
      </w:pPr>
      <w:r>
        <w:rPr>
          <w:rFonts w:eastAsia="Calibri"/>
          <w:bCs/>
        </w:rPr>
        <w:t xml:space="preserve">Section 10 (1) PPTA states the general principle for ascertaining and allowing deductible expenditure for petroleum profits tax. The section states that all outgoings and expenses “wholly, exclusively, and necessarily (‘WEN' test) incurred”, whether within or outside Nigeria, during an accounting period by the company for the purpose of those operations shall be allowable expenditure in arriving at the assessable profits for PPT purposes. However, the precise scope of the WEN expense test is not expressly defined and had to be interpreted by the Court. Moreover, in its application, the WEN test is impacted by extra-statutory agreements between the FG and the companies. This was the subject matter in the case of </w:t>
      </w:r>
      <w:r>
        <w:rPr>
          <w:rFonts w:eastAsia="Calibri"/>
          <w:bCs/>
          <w:i/>
          <w:iCs/>
        </w:rPr>
        <w:t>Shell Petroleum Development and Production Company of Nigeria (SPDC) v. Federal Board of Inland Revenue.</w:t>
      </w:r>
      <w:r>
        <w:rPr>
          <w:rFonts w:eastAsia="Calibri"/>
          <w:bCs/>
          <w:u w:val="single"/>
          <w:vertAlign w:val="superscript"/>
        </w:rPr>
        <w:footnoteReference w:id="279"/>
      </w:r>
      <w:r>
        <w:rPr>
          <w:rFonts w:eastAsia="Calibri"/>
          <w:bCs/>
          <w:i/>
          <w:iCs/>
        </w:rPr>
        <w:t xml:space="preserve"> </w:t>
      </w:r>
      <w:r>
        <w:rPr>
          <w:rFonts w:eastAsia="Calibri"/>
          <w:bCs/>
          <w:iCs/>
        </w:rPr>
        <w:t>T</w:t>
      </w:r>
      <w:r>
        <w:rPr>
          <w:rFonts w:eastAsia="Calibri"/>
          <w:bCs/>
        </w:rPr>
        <w:t xml:space="preserve">he tax authority (FBIR) had disallowed the deduction of Central Bank of Nigeria (CBN) commission, scholarship expense, and the difference in exchange (DIE) expenses incurred by SPDC on the basis that the expenses were not ‘wholly, exclusively, and necessarily’ incurred during and for petroleum operations. The matter went through the Appeal Commissioners (now replaced by the TAT) and eventually got to the Supreme Court (SC). The SC held that with respect to CBN commission, there is a statutory or contractual obligation to incur the CBN commission expenses in the payment of PPT, and as such, the expense is deductible for the computation of the PPT, even where it is not a direct activity of carrying out petroleum operations by the taxpayer. The SC held that SPDC was entitled to deduct all three categories of expenses since it had a statutory obligation to incur the said expenses. </w:t>
      </w:r>
      <w:r>
        <w:rPr>
          <w:rFonts w:eastAsia="Calibri"/>
          <w:bCs/>
          <w:iCs/>
          <w:lang w:val="en-GB"/>
        </w:rPr>
        <w:t>Th</w:t>
      </w:r>
      <w:r>
        <w:rPr>
          <w:rFonts w:eastAsia="Calibri"/>
          <w:bCs/>
          <w:lang w:val="en-GB"/>
        </w:rPr>
        <w:t>e court went further to state that</w:t>
      </w:r>
      <w:r>
        <w:rPr>
          <w:rFonts w:eastAsia="Calibri"/>
          <w:bCs/>
          <w:iCs/>
          <w:lang w:val="en-GB"/>
        </w:rPr>
        <w:t xml:space="preserve"> bank charges qualify for deduction under the general provisions of s10 (1) of the PPTA</w:t>
      </w:r>
      <w:r>
        <w:rPr>
          <w:rFonts w:eastAsia="Calibri"/>
          <w:bCs/>
          <w:iCs/>
          <w:vertAlign w:val="superscript"/>
          <w:lang w:val="en-GB"/>
        </w:rPr>
        <w:footnoteReference w:id="280"/>
      </w:r>
      <w:r>
        <w:rPr>
          <w:rFonts w:eastAsia="Calibri"/>
          <w:bCs/>
          <w:iCs/>
          <w:lang w:val="en-GB"/>
        </w:rPr>
        <w:t xml:space="preserve">.  </w:t>
      </w:r>
      <w:r>
        <w:rPr>
          <w:rFonts w:eastAsia="Calibri"/>
          <w:bCs/>
          <w:lang w:val="en-GB"/>
        </w:rPr>
        <w:t>Uwais, C.J.N, succinctly stated the position as follows:</w:t>
      </w:r>
    </w:p>
    <w:p w14:paraId="60895339">
      <w:pPr>
        <w:spacing w:after="160" w:line="480" w:lineRule="auto"/>
        <w:ind w:left="720"/>
        <w:jc w:val="both"/>
        <w:rPr>
          <w:rFonts w:eastAsia="Calibri"/>
          <w:bCs/>
          <w:iCs/>
          <w:lang w:val="en-GB"/>
        </w:rPr>
      </w:pPr>
      <w:r>
        <w:rPr>
          <w:rFonts w:eastAsia="Calibri"/>
          <w:bCs/>
          <w:iCs/>
          <w:lang w:val="en-GB"/>
        </w:rPr>
        <w:t>“It seems obvious that in computing the adjusted profit of the appellant, bank charges cannot be deducted under the provisions of section 10 subsection (1) (G). This is because the Central Bank of Nigeria, as rightly held by the Court of Appeal (per Awogu, J.C.A) is neither the Federal Government of Nigeria, nor Government of any State nor a Local Authority. However, the situation differs with regard to the provisions of section 10 (1) simpliciter. What needs to be determined thereunder is the question of whether the payment of bank charges arose in the course of the operations of the appellant as defined under the definition of ‘petroleum operations’ in section 2 of the Petroleum Profit Tax Act”.</w:t>
      </w:r>
      <w:r>
        <w:rPr>
          <w:rFonts w:eastAsia="Calibri"/>
          <w:bCs/>
          <w:iCs/>
          <w:vertAlign w:val="superscript"/>
          <w:lang w:val="en-GB"/>
        </w:rPr>
        <w:footnoteReference w:id="281"/>
      </w:r>
      <w:r>
        <w:rPr>
          <w:rFonts w:eastAsia="Calibri"/>
          <w:bCs/>
          <w:iCs/>
          <w:lang w:val="en-GB"/>
        </w:rPr>
        <w:t xml:space="preserve"> </w:t>
      </w:r>
    </w:p>
    <w:p w14:paraId="0F4A8EEC">
      <w:pPr>
        <w:spacing w:after="160" w:line="480" w:lineRule="auto"/>
        <w:jc w:val="both"/>
        <w:rPr>
          <w:rFonts w:eastAsia="Calibri"/>
          <w:bCs/>
          <w:i/>
          <w:iCs/>
          <w:lang w:val="en-GB"/>
        </w:rPr>
      </w:pPr>
      <w:r>
        <w:rPr>
          <w:rFonts w:eastAsia="Calibri"/>
          <w:bCs/>
          <w:lang w:val="en-GB"/>
        </w:rPr>
        <w:t>The expense ‘deductibility test’ under s.10 (1) has thus been interpreted to mean ‘solely’ or ‘entirely’ incurred for petroleum operations. However, for expenses incidental to petroleum operations, the SC held that such expenses, “must be expenses wholly, exclusively, and necessarily incurred for the purpose of petroleum operation”</w:t>
      </w:r>
      <w:r>
        <w:rPr>
          <w:rFonts w:eastAsia="Calibri"/>
          <w:bCs/>
          <w:iCs/>
          <w:vertAlign w:val="superscript"/>
          <w:lang w:val="en-GB"/>
        </w:rPr>
        <w:footnoteReference w:id="282"/>
      </w:r>
      <w:r>
        <w:rPr>
          <w:rFonts w:eastAsia="Calibri"/>
          <w:bCs/>
          <w:i/>
          <w:iCs/>
          <w:lang w:val="en-GB"/>
        </w:rPr>
        <w:t xml:space="preserve">. </w:t>
      </w:r>
      <w:r>
        <w:rPr>
          <w:rFonts w:eastAsia="Calibri"/>
          <w:bCs/>
          <w:lang w:val="en-GB"/>
        </w:rPr>
        <w:t>The deductions allowed by virtue of the provisions of section 10 (1) of the PPTA are however expressly limited by the items identified as non-deductible under section 13</w:t>
      </w:r>
      <w:r>
        <w:rPr>
          <w:rFonts w:eastAsia="Calibri"/>
          <w:bCs/>
          <w:vertAlign w:val="superscript"/>
          <w:lang w:val="en-GB"/>
        </w:rPr>
        <w:footnoteReference w:id="283"/>
      </w:r>
      <w:r>
        <w:rPr>
          <w:rFonts w:eastAsia="Calibri"/>
          <w:bCs/>
          <w:lang w:val="en-GB"/>
        </w:rPr>
        <w:t xml:space="preserve">. </w:t>
      </w:r>
    </w:p>
    <w:p w14:paraId="3A59A5B6">
      <w:pPr>
        <w:spacing w:after="160" w:line="480" w:lineRule="auto"/>
        <w:jc w:val="both"/>
        <w:rPr>
          <w:rFonts w:eastAsia="Calibri"/>
          <w:bCs/>
        </w:rPr>
      </w:pPr>
      <w:r>
        <w:rPr>
          <w:rFonts w:eastAsia="Calibri"/>
          <w:bCs/>
        </w:rPr>
        <w:t xml:space="preserve">The facts of the </w:t>
      </w:r>
      <w:r>
        <w:rPr>
          <w:rFonts w:eastAsia="Calibri"/>
          <w:bCs/>
          <w:i/>
          <w:iCs/>
        </w:rPr>
        <w:t>SPDC v FBIR</w:t>
      </w:r>
      <w:r>
        <w:rPr>
          <w:rFonts w:eastAsia="Calibri"/>
          <w:bCs/>
        </w:rPr>
        <w:t xml:space="preserve"> case partly illustrate the consequences of the policy intervention, in either facilitating or enhancing certainty of tax legislation and stability or otherwise in the tax system, as well as in the judicial process. The government directive on payment of tax liabilities in UK pounds sterling was not anticipated in the poorly defined provisions on deductibility of petroleum operations related expenses. The FGN had entered into an agreement with the oil companies in 1972. The Agreement required oil companies to pay all oil revenue proceeds to the CBN through the Bank of England with a formula for determining the currency exchange rate to be used by the companies in making their lodgments. The extra-statutory Agreement provided that if there is a difference between the exchange rate applicable under the Agreement and the rate prevailing in currency markets, an exchange gain or loss would arise in the hands of the oil company. In this case the company (Shell) sought to take a tax deduction of the exchange loss in computing its PPT liability. Shell had spent a greater sum in Nigerian currency to pay tax levied, due to the difference in exchange (DIE). The court process took several years to resolve the issues, and the matter went through the TAT, and through the court of first instance before SC finally decided, thus adding to the air of uncertainty on the treatment of these expenses for PPT purposes. </w:t>
      </w:r>
    </w:p>
    <w:p w14:paraId="1C3716E1">
      <w:pPr>
        <w:spacing w:after="160" w:line="480" w:lineRule="auto"/>
        <w:jc w:val="both"/>
        <w:rPr>
          <w:rFonts w:eastAsia="Calibri"/>
          <w:bCs/>
        </w:rPr>
      </w:pPr>
      <w:r>
        <w:rPr>
          <w:rFonts w:eastAsia="Calibri"/>
          <w:bCs/>
        </w:rPr>
        <w:t>The Court’s opinion was that under section 11(1)</w:t>
      </w:r>
      <w:r>
        <w:rPr>
          <w:rFonts w:eastAsia="Calibri"/>
          <w:bCs/>
          <w:vertAlign w:val="superscript"/>
        </w:rPr>
        <w:footnoteReference w:id="284"/>
      </w:r>
      <w:r>
        <w:rPr>
          <w:rFonts w:eastAsia="Calibri"/>
          <w:bCs/>
        </w:rPr>
        <w:t xml:space="preserve"> of the Act, the company could not ordinarily deduct the expense but noted that the losses arose pursuant to the provisions of the Petroleum Act, and the requirement of the company to pay its tax in an unusual manner in pounds sterling. The Court, therefore, concluded that Shell was entitled to deduct, in computing the PPT payable, the “exchange losses” it incurred in making payments to the Government in pounds sterling in London. The obvious challenge here derived from the fact that the pertinent tax provisions of the PPTA did not anticipate that the issue of the currency of payment or the fact of an administrative directive to enforce a policy position would have a significant tax cost and implication.  Also, the absence of an effective administrative procedure for speedy resolution, and long delays experienced in litigating the matter through the TAT and the court system, all added to the uncertainty in the tax system.</w:t>
      </w:r>
    </w:p>
    <w:p w14:paraId="08756E76">
      <w:pPr>
        <w:spacing w:after="160" w:line="480" w:lineRule="auto"/>
        <w:jc w:val="both"/>
        <w:rPr>
          <w:rFonts w:eastAsia="Calibri"/>
          <w:bCs/>
        </w:rPr>
      </w:pPr>
      <w:r>
        <w:rPr>
          <w:rFonts w:eastAsia="Calibri"/>
          <w:bCs/>
        </w:rPr>
        <w:t xml:space="preserve">Similarly, in </w:t>
      </w:r>
      <w:r>
        <w:rPr>
          <w:rFonts w:eastAsia="Calibri"/>
          <w:bCs/>
          <w:i/>
          <w:iCs/>
        </w:rPr>
        <w:t>Gulf Oil Company (Nigeria.) Limited v. Federal Board of Inland Revenue,</w:t>
      </w:r>
      <w:r>
        <w:rPr>
          <w:rFonts w:eastAsia="Calibri"/>
          <w:bCs/>
          <w:i/>
          <w:iCs/>
          <w:vertAlign w:val="superscript"/>
        </w:rPr>
        <w:footnoteReference w:id="285"/>
      </w:r>
      <w:r>
        <w:rPr>
          <w:rFonts w:eastAsia="Calibri"/>
          <w:bCs/>
        </w:rPr>
        <w:t xml:space="preserve"> the question was whether the charges and commissions paid by Gulf Oil to the CBN, following the Government directive to pay the company’s PPT overseas, were expenses “wholly, exclusively and necessarily incurred” for the purpose of the company’s petroleum operations within the meaning of section 10 (1) of the PPTA. The Court relied on the decision in the </w:t>
      </w:r>
      <w:r>
        <w:rPr>
          <w:rFonts w:eastAsia="Calibri"/>
          <w:bCs/>
          <w:i/>
          <w:iCs/>
        </w:rPr>
        <w:t xml:space="preserve">Shell case </w:t>
      </w:r>
      <w:r>
        <w:rPr>
          <w:rFonts w:eastAsia="Calibri"/>
          <w:bCs/>
        </w:rPr>
        <w:t>and held in favor of Gulf Oil. In both cases, the interaction of the principal taxing statute, i.e., the PPTA and its poorly defined terms or absent definitions, with an extra-statutory agreement/directive, meant that judicial interpretation was needed to achieve clarity in implementation of a policy objective of the FG.  In the above scenarios, the precise intent and literal reading of the relevant provisions</w:t>
      </w:r>
      <w:r>
        <w:rPr>
          <w:rFonts w:eastAsia="Calibri"/>
          <w:bCs/>
          <w:vertAlign w:val="superscript"/>
        </w:rPr>
        <w:footnoteReference w:id="286"/>
      </w:r>
      <w:r>
        <w:rPr>
          <w:rFonts w:eastAsia="Calibri"/>
          <w:bCs/>
        </w:rPr>
        <w:t xml:space="preserve"> could practically lead to multiple and perfectly valid interpretations as the underlying policy may not have been anticipated, and the taxing provisions were not entirely precise and helpful to resolve any gaps. </w:t>
      </w:r>
    </w:p>
    <w:p w14:paraId="1C1B6B9A">
      <w:pPr>
        <w:spacing w:after="160" w:line="480" w:lineRule="auto"/>
        <w:jc w:val="both"/>
        <w:rPr>
          <w:rFonts w:eastAsia="Calibri"/>
          <w:bCs/>
        </w:rPr>
      </w:pPr>
      <w:r>
        <w:rPr>
          <w:rFonts w:eastAsia="Calibri"/>
          <w:bCs/>
        </w:rPr>
        <w:t>With respect to the deductibility of interest due on borrowed sums,</w:t>
      </w:r>
      <w:r>
        <w:rPr>
          <w:rFonts w:eastAsia="Calibri"/>
          <w:bCs/>
          <w:vertAlign w:val="superscript"/>
        </w:rPr>
        <w:footnoteReference w:id="287"/>
      </w:r>
      <w:r>
        <w:rPr>
          <w:rFonts w:eastAsia="Calibri"/>
          <w:bCs/>
        </w:rPr>
        <w:t xml:space="preserve"> section 10 (1) </w:t>
      </w:r>
      <w:r>
        <w:rPr>
          <w:rFonts w:eastAsia="Calibri"/>
          <w:bCs/>
          <w:i/>
          <w:iCs/>
        </w:rPr>
        <w:t>(g)</w:t>
      </w:r>
      <w:r>
        <w:rPr>
          <w:rFonts w:eastAsia="Calibri"/>
          <w:bCs/>
        </w:rPr>
        <w:t xml:space="preserve"> allows for a deduction of all sums incurred by way of interest on any inter-company loans obtained under terms prevailing in the open market, that is, the London Inter-Bank Offer Rate (LIBOR). However, Section 13(2) states that no deduction shall be allowed in respect of sums incurred by way of interest where:</w:t>
      </w:r>
    </w:p>
    <w:p w14:paraId="62FBB867">
      <w:pPr>
        <w:spacing w:after="160" w:line="480" w:lineRule="auto"/>
        <w:ind w:firstLine="720"/>
        <w:jc w:val="both"/>
        <w:rPr>
          <w:rFonts w:eastAsia="Calibri"/>
          <w:bCs/>
        </w:rPr>
      </w:pPr>
      <w:r>
        <w:rPr>
          <w:rFonts w:eastAsia="Calibri"/>
          <w:bCs/>
        </w:rPr>
        <w:t xml:space="preserve"> </w:t>
      </w:r>
      <w:r>
        <w:rPr>
          <w:rFonts w:eastAsia="Calibri"/>
          <w:bCs/>
          <w:i/>
          <w:iCs/>
        </w:rPr>
        <w:t xml:space="preserve">(a) </w:t>
      </w:r>
      <w:r>
        <w:rPr>
          <w:rFonts w:eastAsia="Calibri"/>
          <w:bCs/>
        </w:rPr>
        <w:t xml:space="preserve">either company has an interest in the other company; or </w:t>
      </w:r>
    </w:p>
    <w:p w14:paraId="6DDE2FDE">
      <w:pPr>
        <w:spacing w:after="160" w:line="480" w:lineRule="auto"/>
        <w:ind w:firstLine="720"/>
        <w:jc w:val="both"/>
        <w:rPr>
          <w:rFonts w:eastAsia="Calibri"/>
          <w:bCs/>
        </w:rPr>
      </w:pPr>
      <w:r>
        <w:rPr>
          <w:rFonts w:eastAsia="Calibri"/>
          <w:bCs/>
          <w:i/>
          <w:iCs/>
        </w:rPr>
        <w:t xml:space="preserve">(b) </w:t>
      </w:r>
      <w:r>
        <w:rPr>
          <w:rFonts w:eastAsia="Calibri"/>
          <w:bCs/>
        </w:rPr>
        <w:t xml:space="preserve">both have interests in another company either directly or through other companies; or </w:t>
      </w:r>
    </w:p>
    <w:p w14:paraId="7FDF396D">
      <w:pPr>
        <w:spacing w:after="160" w:line="480" w:lineRule="auto"/>
        <w:ind w:firstLine="720"/>
        <w:jc w:val="both"/>
        <w:rPr>
          <w:rFonts w:eastAsia="Calibri"/>
          <w:bCs/>
          <w:lang w:val="en-GB"/>
        </w:rPr>
      </w:pPr>
      <w:r>
        <w:rPr>
          <w:rFonts w:eastAsia="Calibri"/>
          <w:bCs/>
          <w:i/>
          <w:iCs/>
        </w:rPr>
        <w:t xml:space="preserve">(c) </w:t>
      </w:r>
      <w:r>
        <w:rPr>
          <w:rFonts w:eastAsia="Calibri"/>
          <w:bCs/>
        </w:rPr>
        <w:t>both are subsidiaries of another company.</w:t>
      </w:r>
      <w:r>
        <w:rPr>
          <w:rFonts w:eastAsia="Calibri"/>
          <w:bCs/>
          <w:lang w:val="en-GB"/>
        </w:rPr>
        <w:t xml:space="preserve"> </w:t>
      </w:r>
    </w:p>
    <w:p w14:paraId="31AB0C73">
      <w:pPr>
        <w:spacing w:after="160" w:line="480" w:lineRule="auto"/>
        <w:jc w:val="both"/>
        <w:rPr>
          <w:rFonts w:eastAsia="Calibri"/>
          <w:bCs/>
          <w:lang w:val="en-GB"/>
        </w:rPr>
      </w:pPr>
      <w:r>
        <w:rPr>
          <w:rFonts w:eastAsia="Calibri"/>
          <w:bCs/>
          <w:lang w:val="en-GB"/>
        </w:rPr>
        <w:t xml:space="preserve">The existence of both s.10 (1) (g) &amp; 13(2) on the same subject matter of affiliate interest deductibility generated confusion in interpretation and application. The apparently conflicting provisions of ss.10 (1) (f) &amp; (g) and 13(2) on the subject may be attributed to poor drafting and non-clarity in the tax avoidance objective of Government. </w:t>
      </w:r>
    </w:p>
    <w:p w14:paraId="0A096961">
      <w:pPr>
        <w:spacing w:after="160" w:line="480" w:lineRule="auto"/>
        <w:jc w:val="both"/>
        <w:rPr>
          <w:rFonts w:eastAsia="Calibri"/>
          <w:bCs/>
          <w:lang w:val="en-GB"/>
        </w:rPr>
      </w:pPr>
      <w:r>
        <w:rPr>
          <w:rFonts w:eastAsia="Calibri"/>
          <w:bCs/>
          <w:lang w:val="en-GB"/>
        </w:rPr>
        <w:t xml:space="preserve">In the case of </w:t>
      </w:r>
      <w:r>
        <w:rPr>
          <w:rFonts w:eastAsia="Calibri"/>
          <w:bCs/>
          <w:i/>
          <w:lang w:val="en-GB"/>
        </w:rPr>
        <w:t xml:space="preserve">Nigerian Agip Oil Company Limited v FIRS </w:t>
      </w:r>
      <w:r>
        <w:rPr>
          <w:rFonts w:eastAsia="Calibri"/>
          <w:bCs/>
          <w:vertAlign w:val="superscript"/>
          <w:lang w:val="en-GB"/>
        </w:rPr>
        <w:footnoteReference w:id="288"/>
      </w:r>
      <w:r>
        <w:rPr>
          <w:rFonts w:eastAsia="Calibri"/>
          <w:bCs/>
          <w:i/>
          <w:lang w:val="en-GB"/>
        </w:rPr>
        <w:t xml:space="preserve"> </w:t>
      </w:r>
      <w:r>
        <w:rPr>
          <w:rFonts w:eastAsia="Calibri"/>
          <w:bCs/>
          <w:lang w:val="en-GB"/>
        </w:rPr>
        <w:t>the court examined the concept of “expense deductibility” in the process of determining the deductibility of interest incurred on capital sums borrowed by Nigeria Agip, from its related entity</w:t>
      </w:r>
      <w:r>
        <w:rPr>
          <w:rFonts w:eastAsia="Calibri"/>
          <w:bCs/>
          <w:i/>
          <w:lang w:val="en-GB"/>
        </w:rPr>
        <w:t xml:space="preserve">. </w:t>
      </w:r>
      <w:r>
        <w:rPr>
          <w:rFonts w:eastAsia="Calibri"/>
          <w:bCs/>
          <w:lang w:val="en-GB"/>
        </w:rPr>
        <w:t>The Court conducted a historical review of the PPTA</w:t>
      </w:r>
      <w:r>
        <w:rPr>
          <w:rFonts w:eastAsia="Calibri"/>
          <w:bCs/>
          <w:vertAlign w:val="superscript"/>
          <w:lang w:val="en-GB"/>
        </w:rPr>
        <w:footnoteReference w:id="289"/>
      </w:r>
      <w:r>
        <w:rPr>
          <w:rFonts w:eastAsia="Calibri"/>
          <w:bCs/>
          <w:lang w:val="en-GB"/>
        </w:rPr>
        <w:t xml:space="preserve"> starting from 1959 until 1999, to arrive at its decision. The Nigeria Agip Oil company had taken a loan from its sister corporation (Eni) in 2001.</w:t>
      </w:r>
      <w:r>
        <w:rPr>
          <w:rFonts w:eastAsia="Calibri"/>
          <w:bCs/>
          <w:vertAlign w:val="superscript"/>
          <w:lang w:val="en-GB"/>
        </w:rPr>
        <w:footnoteReference w:id="290"/>
      </w:r>
      <w:r>
        <w:rPr>
          <w:rFonts w:eastAsia="Calibri"/>
          <w:bCs/>
          <w:lang w:val="en-GB"/>
        </w:rPr>
        <w:t xml:space="preserve"> It had repaid the instalments between 2001 and 2011, along with interest. The terms of the loan were open market and satisfied the London Inter-Bank Offer Rate (LIBOR). FIRS sought to disallow the deductibility of the interest by Agip, by relying on s 13(2) of PPTA, which was originally enacted in 1959.  On the other hand, Agip relied on the 1999 amendment to the </w:t>
      </w:r>
      <w:r>
        <w:rPr>
          <w:rFonts w:eastAsia="Calibri"/>
          <w:bCs/>
          <w:i/>
          <w:lang w:val="en-GB"/>
        </w:rPr>
        <w:t>PPTA</w:t>
      </w:r>
      <w:r>
        <w:rPr>
          <w:rFonts w:eastAsia="Calibri"/>
          <w:bCs/>
          <w:lang w:val="en-GB"/>
        </w:rPr>
        <w:t xml:space="preserve"> as contained in </w:t>
      </w:r>
      <w:r>
        <w:rPr>
          <w:rFonts w:eastAsia="Calibri"/>
          <w:bCs/>
          <w:i/>
          <w:lang w:val="en-GB"/>
        </w:rPr>
        <w:t>section 10(1) (g)</w:t>
      </w:r>
      <w:r>
        <w:rPr>
          <w:rFonts w:eastAsia="Calibri"/>
          <w:bCs/>
          <w:lang w:val="en-GB"/>
        </w:rPr>
        <w:t xml:space="preserve">, which expressly allowed deductibility of interests paid on loans between related corporations, in so far as the terms of the loan were open-market and satisfied the LIBOR rule. </w:t>
      </w:r>
    </w:p>
    <w:p w14:paraId="261C5A4C">
      <w:pPr>
        <w:spacing w:after="160" w:line="480" w:lineRule="auto"/>
        <w:jc w:val="both"/>
        <w:rPr>
          <w:rFonts w:eastAsia="Calibri"/>
          <w:bCs/>
          <w:lang w:val="en-GB"/>
        </w:rPr>
      </w:pPr>
      <w:r>
        <w:rPr>
          <w:rFonts w:eastAsia="Calibri"/>
          <w:bCs/>
          <w:lang w:val="en-GB"/>
        </w:rPr>
        <w:t xml:space="preserve">The Court had to determine which of the clearly conflicting legislative provisions in PPTA would apply in the matter. In resolving the issue, the Court adopted the dictum of </w:t>
      </w:r>
      <w:r>
        <w:rPr>
          <w:rFonts w:eastAsia="Calibri"/>
          <w:bCs/>
          <w:color w:val="000000"/>
          <w:lang w:val="en-GB"/>
        </w:rPr>
        <w:t xml:space="preserve">Tobi JCA (as he then was) </w:t>
      </w:r>
      <w:r>
        <w:rPr>
          <w:rFonts w:eastAsia="Calibri"/>
          <w:bCs/>
          <w:lang w:val="en-GB"/>
        </w:rPr>
        <w:t xml:space="preserve">in </w:t>
      </w:r>
      <w:r>
        <w:rPr>
          <w:rFonts w:eastAsia="Calibri"/>
          <w:bCs/>
          <w:i/>
          <w:lang w:val="en-GB"/>
        </w:rPr>
        <w:t>Onagoruwa v. The State</w:t>
      </w:r>
      <w:r>
        <w:rPr>
          <w:rFonts w:eastAsia="Calibri"/>
          <w:bCs/>
          <w:lang w:val="en-GB"/>
        </w:rPr>
        <w:t>,</w:t>
      </w:r>
      <w:r>
        <w:rPr>
          <w:rFonts w:eastAsia="Calibri"/>
          <w:bCs/>
          <w:vertAlign w:val="superscript"/>
          <w:lang w:val="en-GB"/>
        </w:rPr>
        <w:footnoteReference w:id="291"/>
      </w:r>
      <w:r>
        <w:rPr>
          <w:rFonts w:eastAsia="Calibri"/>
          <w:bCs/>
          <w:lang w:val="en-GB"/>
        </w:rPr>
        <w:t xml:space="preserve"> i.e., that one can examine the legislative history of an Act of Parliament to determine, construe and interpret the law. The Court upheld and allowed the deductions by Agip Oil, by holding that the legislative intent was to allow </w:t>
      </w:r>
      <w:r>
        <w:rPr>
          <w:rFonts w:eastAsia="Calibri"/>
          <w:bCs/>
          <w:i/>
          <w:lang w:val="en-GB"/>
        </w:rPr>
        <w:t>section 10(1) (g) PPTA</w:t>
      </w:r>
      <w:r>
        <w:rPr>
          <w:rFonts w:eastAsia="Calibri"/>
          <w:b/>
          <w:bCs/>
          <w:i/>
          <w:lang w:val="en-GB"/>
        </w:rPr>
        <w:t xml:space="preserve"> </w:t>
      </w:r>
      <w:r>
        <w:rPr>
          <w:rFonts w:eastAsia="Calibri"/>
          <w:bCs/>
          <w:lang w:val="en-GB"/>
        </w:rPr>
        <w:t xml:space="preserve">as an exception to the restriction imposed under </w:t>
      </w:r>
      <w:r>
        <w:rPr>
          <w:rFonts w:eastAsia="Calibri"/>
          <w:bCs/>
          <w:i/>
          <w:lang w:val="en-GB"/>
        </w:rPr>
        <w:t>section 13(2) of PPTA</w:t>
      </w:r>
      <w:r>
        <w:rPr>
          <w:rFonts w:eastAsia="Calibri"/>
          <w:bCs/>
          <w:lang w:val="en-GB"/>
        </w:rPr>
        <w:t xml:space="preserve">. Moreover, and in any case, the amendment to section 10 was later in time than section 13(2) PPTA. It is important to add here, that the intent of s.10 (1) (g) is rather clear. It allows the deduction of interest expense obtained at open market rate and was intended to override s.13 (2).  The proper thing to do to avoid the conflicting provisions is that s.13 (2) should be amended, and a proviso added to reflect the position in s.10 (1) (g). Unfortunately, this correction or alignment of provisions had to be through a TAT decision and the Court. </w:t>
      </w:r>
    </w:p>
    <w:p w14:paraId="28C0E7F5">
      <w:pPr>
        <w:spacing w:after="160" w:line="480" w:lineRule="auto"/>
        <w:jc w:val="both"/>
        <w:rPr>
          <w:rFonts w:eastAsia="Calibri"/>
          <w:bCs/>
        </w:rPr>
      </w:pPr>
      <w:r>
        <w:rPr>
          <w:rFonts w:eastAsia="Calibri"/>
          <w:b/>
          <w:bCs/>
        </w:rPr>
        <w:t>Gas Fiscal Policy and Tax Regime and Tax Legislation Uncertainty</w:t>
      </w:r>
      <w:r>
        <w:rPr>
          <w:rFonts w:eastAsia="Calibri"/>
          <w:bCs/>
        </w:rPr>
        <w:t>:</w:t>
      </w:r>
    </w:p>
    <w:p w14:paraId="0B8F6D63">
      <w:pPr>
        <w:spacing w:after="160" w:line="480" w:lineRule="auto"/>
        <w:jc w:val="both"/>
        <w:rPr>
          <w:rFonts w:eastAsia="Calibri"/>
          <w:bCs/>
        </w:rPr>
      </w:pPr>
      <w:r>
        <w:rPr>
          <w:rFonts w:eastAsia="Calibri"/>
          <w:bCs/>
        </w:rPr>
        <w:t xml:space="preserve">The FG policy of encouraging investment in gas utilization through the provision of fiscal and tax incentives has been another source of uncertainty in the petroleum tax system. The policy provided a gas-pricing framework for the determination of the floor price for gas, with a view to promoting domestic gas utilization, especially for power generation and industry. </w:t>
      </w:r>
      <w:r>
        <w:rPr>
          <w:bCs/>
        </w:rPr>
        <w:t xml:space="preserve">The Petroleum (Drilling and Production) Regulations provide for the submission of detailed plans for the </w:t>
      </w:r>
      <w:r>
        <w:rPr>
          <w:rFonts w:eastAsia="Calibri"/>
          <w:bCs/>
        </w:rPr>
        <w:t>utilization of associated gas. To curtail gas flaring and encourage investment in gas, the Associated Gas Re-Injection Act was promulgated in 1979. The Act provides that, in addition to the plan to be submitted under the Petroleum Regulations, every company producing oil and gas in Nigeria must submit a preliminary program or scheme for the viable utilization of all associated gas produced from a field or groups of fields, project or projects to re-inject all gas produced in association with oil but not utilized in an industrial project.  Following however the introduction of the Associated and Non-Associated Gas Framework Agreements</w:t>
      </w:r>
      <w:r>
        <w:rPr>
          <w:rFonts w:eastAsia="Calibri"/>
          <w:bCs/>
          <w:vertAlign w:val="superscript"/>
        </w:rPr>
        <w:footnoteReference w:id="292"/>
      </w:r>
      <w:r>
        <w:rPr>
          <w:rFonts w:eastAsia="Calibri"/>
          <w:bCs/>
        </w:rPr>
        <w:t xml:space="preserve"> the principal upstream and downstream taxing Acts of PPTA and the CITA were amended to incorporate the fiscal and tax incentives for upstream and downstream gas exploitation and taxation. The incentives essentially sought to leverage on oil capital expenditure to exploit gas. This approach created overlaps and areas of uncertainty in both pieces of legislation. </w:t>
      </w:r>
    </w:p>
    <w:p w14:paraId="1864181A">
      <w:pPr>
        <w:spacing w:after="160" w:line="480" w:lineRule="auto"/>
        <w:jc w:val="both"/>
        <w:rPr>
          <w:rFonts w:eastAsia="Calibri"/>
          <w:bCs/>
          <w:lang w:val="en-GB"/>
        </w:rPr>
      </w:pPr>
      <w:r>
        <w:rPr>
          <w:rFonts w:eastAsia="Calibri"/>
          <w:bCs/>
        </w:rPr>
        <w:t>For instance, section 11 of the PPTA</w:t>
      </w:r>
      <w:r>
        <w:rPr>
          <w:rFonts w:eastAsia="Calibri"/>
          <w:bCs/>
          <w:vertAlign w:val="superscript"/>
        </w:rPr>
        <w:footnoteReference w:id="293"/>
      </w:r>
      <w:r>
        <w:rPr>
          <w:rFonts w:eastAsia="Calibri"/>
          <w:bCs/>
        </w:rPr>
        <w:t xml:space="preserve"> as amended makes available fiscal incentives to upstream gas utilization operations, i.e., the separation of crude oil and gas from the reservoir into usable form and for onward delivery to downstream projects. </w:t>
      </w:r>
      <w:r>
        <w:rPr>
          <w:rFonts w:eastAsia="Calibri"/>
          <w:bCs/>
          <w:lang w:val="en-GB"/>
        </w:rPr>
        <w:t xml:space="preserve">The incentives include capital investment to separate crude oil and gas from a reservoir into usable form. The costs for the separation are considered as part of the oil field development costs, and therefore treated as an allowable expense for PPT. Capital investment on facilities and equipment used to deliver associated gas in usable form at utilisation or designated custody transfer points are treated as part of the capital investment for oil development. </w:t>
      </w:r>
    </w:p>
    <w:p w14:paraId="52FD6C92">
      <w:pPr>
        <w:spacing w:after="160" w:line="480" w:lineRule="auto"/>
        <w:jc w:val="both"/>
        <w:rPr>
          <w:rFonts w:eastAsia="Calibri"/>
          <w:bCs/>
          <w:lang w:val="en-GB"/>
        </w:rPr>
      </w:pPr>
      <w:r>
        <w:rPr>
          <w:rFonts w:eastAsia="Calibri"/>
          <w:bCs/>
          <w:lang w:val="en-GB"/>
        </w:rPr>
        <w:t>In effect, capital allowances (CA), operating expenses and the basis of assessment to PPT are subject to the provisions of the PPTA and the terms of the revised MOU</w:t>
      </w:r>
      <w:r>
        <w:rPr>
          <w:rFonts w:eastAsia="Calibri"/>
          <w:bCs/>
          <w:vertAlign w:val="superscript"/>
          <w:lang w:val="en-GB"/>
        </w:rPr>
        <w:footnoteReference w:id="294"/>
      </w:r>
      <w:r>
        <w:rPr>
          <w:rFonts w:eastAsia="Calibri"/>
          <w:bCs/>
          <w:lang w:val="en-GB"/>
        </w:rPr>
        <w:t xml:space="preserve"> between the FG and its joint ventures. The incentives are, however, only granted to petroleum companies that are engaged in projects that utilise associated gas.  </w:t>
      </w:r>
    </w:p>
    <w:p w14:paraId="5F3AEFAF">
      <w:pPr>
        <w:spacing w:after="160" w:line="480" w:lineRule="auto"/>
        <w:jc w:val="both"/>
        <w:rPr>
          <w:rFonts w:eastAsia="Calibri"/>
          <w:bCs/>
          <w:lang w:val="en-GB"/>
        </w:rPr>
      </w:pPr>
      <w:r>
        <w:rPr>
          <w:rFonts w:eastAsia="Calibri"/>
          <w:bCs/>
          <w:lang w:val="en-GB"/>
        </w:rPr>
        <w:t xml:space="preserve">There were also provisions aimed at preventing the lumping of expenses together to reduce the taxable profits under the PPTA. </w:t>
      </w:r>
      <w:r>
        <w:rPr>
          <w:bCs/>
        </w:rPr>
        <w:t xml:space="preserve">The provisions specifically stated that condensates extracted and re-injected into the crude oil stream will be treated as oil (and therefore </w:t>
      </w:r>
      <w:r>
        <w:rPr>
          <w:rFonts w:eastAsia="Calibri"/>
          <w:bCs/>
        </w:rPr>
        <w:t>taxable as oil income), but condensate not re-injected will be "treated under existing tax arrangements". The company must, where practicable, keep the expenses incurred in the utilisation of associated gas separate from those incurred on crude oil operations. Only expenses that cannot be separated will be allowed as a deduction against the company's crude oil income. Expenses identified as incurred exclusively in the utilisation of associated gas will be regarded as gas expenses and will only be allowable against the gas income and profit to be taxed under the CITA</w:t>
      </w:r>
      <w:r>
        <w:rPr>
          <w:rFonts w:eastAsia="Calibri"/>
          <w:bCs/>
          <w:lang w:val="en-GB"/>
        </w:rPr>
        <w:t>.</w:t>
      </w:r>
      <w:r>
        <w:rPr>
          <w:rFonts w:eastAsia="Calibri"/>
          <w:bCs/>
          <w:vertAlign w:val="superscript"/>
          <w:lang w:val="en-GB"/>
        </w:rPr>
        <w:footnoteReference w:id="295"/>
      </w:r>
      <w:r>
        <w:rPr>
          <w:rFonts w:eastAsia="Calibri"/>
          <w:bCs/>
          <w:lang w:val="en-GB"/>
        </w:rPr>
        <w:t xml:space="preserve"> The relevant PPTA and CITA provisions granting these incentives lacked the required clarity or precise provisions to cater for and address clearly and specifically the cost attribution principles to implement these special incentives, targeted only at the companies engaged in gas utilization projects. The consequence of this was that it resulted in implementation challenges and distortions in the tax system. In addition, the basis for allocation of each cost head in the fiscal incentives regulations and taxing Acts were not clearly delineated or precisely defined and thus created areas of uncertainty in both the upstream and downstream petroleum tax system.</w:t>
      </w:r>
    </w:p>
    <w:p w14:paraId="7309F3D3">
      <w:pPr>
        <w:spacing w:after="160" w:line="480" w:lineRule="auto"/>
        <w:jc w:val="both"/>
        <w:rPr>
          <w:rFonts w:eastAsia="Calibri"/>
          <w:bCs/>
        </w:rPr>
      </w:pPr>
      <w:r>
        <w:rPr>
          <w:rFonts w:eastAsia="Calibri"/>
          <w:bCs/>
        </w:rPr>
        <w:t xml:space="preserve">For instance, </w:t>
      </w:r>
      <w:r>
        <w:rPr>
          <w:rFonts w:eastAsia="Calibri"/>
          <w:bCs/>
          <w:lang w:val="en-GB"/>
        </w:rPr>
        <w:t xml:space="preserve">section 11(1) (d) of the PPTA states that investment required to separate crude oil and gas from the reservoir into usable products which is considered as part of the oil field development, and capital investment on facilities equipment to deliver associated gas, shall be treated for tax purposes as part of the capital investment for oil development, but it failed to provide the basis for ascertaining these expenditures. Moreover, the incentives were granted subject to the conditions stated in s.11 (2), i.e. that the </w:t>
      </w:r>
      <w:r>
        <w:rPr>
          <w:rFonts w:eastAsia="Calibri"/>
          <w:bCs/>
        </w:rPr>
        <w:t xml:space="preserve">condensates extracted and re-injected into the crude oil stream shall be treated as oil but those not re-injected shall be treated under existing tax arrangements; and, where practicable, the expenses incurred were to be kept separate from those incurred on crude oil operation, and only expenses not able to be separated shall be allowable against the crude oil income of the company under this Act. The guidelines for segregating and allocating expenses were, however, not stated. The absence of these clear guidelines in the relevant tax legislation contributed to the lack of clarity in legislation and presented implementation and compliance challenges for achieving the fiscal objectives of the incentives. The implementation challenges and the resulting confusion in the tax legislative intent also had to be examined in the </w:t>
      </w:r>
      <w:r>
        <w:rPr>
          <w:rFonts w:eastAsia="Calibri"/>
          <w:bCs/>
          <w:i/>
          <w:iCs/>
        </w:rPr>
        <w:t>Nigeria Agip case</w:t>
      </w:r>
      <w:r>
        <w:rPr>
          <w:rFonts w:eastAsia="Calibri"/>
          <w:bCs/>
        </w:rPr>
        <w:t>, where the Court held, that despite the treatment of gas capex for associated gas development as oil capex under the PPTA, the resulting income would be subject to income tax under CITA.</w:t>
      </w:r>
    </w:p>
    <w:p w14:paraId="5FDBCB07">
      <w:pPr>
        <w:spacing w:after="160" w:line="480" w:lineRule="auto"/>
        <w:jc w:val="both"/>
        <w:rPr>
          <w:rFonts w:eastAsia="Calibri"/>
          <w:bCs/>
        </w:rPr>
      </w:pPr>
      <w:r>
        <w:rPr>
          <w:rFonts w:eastAsia="Calibri"/>
          <w:bCs/>
        </w:rPr>
        <w:t>Similarly, section 39 of CITA, extending the fiscal incentives to cover non-associated gas development and production, also was a source of uncertainty</w:t>
      </w:r>
      <w:r>
        <w:rPr>
          <w:rFonts w:eastAsia="Calibri"/>
          <w:bCs/>
          <w:vertAlign w:val="superscript"/>
        </w:rPr>
        <w:footnoteReference w:id="296"/>
      </w:r>
      <w:r>
        <w:rPr>
          <w:rFonts w:eastAsia="Calibri"/>
          <w:bCs/>
        </w:rPr>
        <w:t>. T</w:t>
      </w:r>
      <w:r>
        <w:rPr>
          <w:rFonts w:eastAsia="Calibri"/>
          <w:bCs/>
          <w:lang w:val="en-GB"/>
        </w:rPr>
        <w:t xml:space="preserve">he piece-meal amendments to both the PPTA and CITA respectively, to accommodate these and many other changes, further raised issues of lack of clarity of terms as well as legislative interpretation and compliance. These developments as well as the approach of introducing PSC fiscal concepts and contractual terms to the PPTA further highlighted the need for a comprehensive review of the O&amp;G taxation </w:t>
      </w:r>
      <w:r>
        <w:rPr>
          <w:rFonts w:eastAsia="Calibri"/>
          <w:bCs/>
        </w:rPr>
        <w:t>under PPTA or CITA, due to the absence of principle-guided, clear, and coordinated fiscal policy definition and rule-based legislative drafting.</w:t>
      </w:r>
    </w:p>
    <w:p w14:paraId="0E08C29B">
      <w:pPr>
        <w:spacing w:after="160" w:line="480" w:lineRule="auto"/>
        <w:jc w:val="both"/>
        <w:rPr>
          <w:rFonts w:eastAsia="Calibri"/>
          <w:bCs/>
        </w:rPr>
      </w:pPr>
    </w:p>
    <w:p w14:paraId="011E7FD7">
      <w:pPr>
        <w:spacing w:after="160" w:line="480" w:lineRule="auto"/>
        <w:jc w:val="both"/>
        <w:rPr>
          <w:rFonts w:eastAsia="Calibri"/>
          <w:bCs/>
        </w:rPr>
      </w:pPr>
      <w:r>
        <w:rPr>
          <w:rFonts w:eastAsia="Calibri"/>
          <w:b/>
          <w:bCs/>
        </w:rPr>
        <w:t xml:space="preserve">4.2 THE PETROLEUM PROFITS TAX ACT (PPTA) AS AMENDED BY THE PRODUCTION SHARING CONTRACT (PSC) ACT.  </w:t>
      </w:r>
    </w:p>
    <w:p w14:paraId="0A1B122E">
      <w:pPr>
        <w:spacing w:after="160" w:line="480" w:lineRule="auto"/>
        <w:jc w:val="both"/>
        <w:rPr>
          <w:rFonts w:eastAsia="Calibri"/>
          <w:bCs/>
        </w:rPr>
      </w:pPr>
      <w:r>
        <w:rPr>
          <w:rFonts w:eastAsia="Calibri"/>
          <w:bCs/>
          <w:iCs/>
        </w:rPr>
        <w:t>The PSCs were conceived to address issues arising from onshore JV petroleum operations and poor funding and inadequate capacity of the parties to the JVAs, and generally introduced and applied to the deep and shallow waters acreages. Under this arrangement the Nigeria National Petroleum Corporation (NNPC) engages a competent contractor (Petroleum Exploration and Production Companies or its Subsidiary duly registered in Nigeria) to carry out petroleum operations in Nigeria.</w:t>
      </w:r>
    </w:p>
    <w:p w14:paraId="4B953598">
      <w:pPr>
        <w:spacing w:after="160" w:line="480" w:lineRule="auto"/>
        <w:jc w:val="both"/>
        <w:rPr>
          <w:rFonts w:eastAsia="Calibri"/>
          <w:bCs/>
          <w:lang w:val="en-GB"/>
        </w:rPr>
      </w:pPr>
      <w:r>
        <w:rPr>
          <w:rFonts w:eastAsia="Calibri"/>
          <w:bCs/>
          <w:lang w:val="en-GB"/>
        </w:rPr>
        <w:t xml:space="preserve">The PSC Act, was therefore enacted as a later legislation in time, amended the PPTA to incorporate the PSC fiscal regime within the PPTA concession regime. The amendment of the PPTA regime by the PSC fiscal terms clearly highlighted the importance of fiscal policy clarity and alignment in achieving legislative certainty. Section 1 of the PSC Act states </w:t>
      </w:r>
      <w:r>
        <w:rPr>
          <w:rFonts w:eastAsia="Calibri"/>
          <w:bCs/>
          <w:iCs/>
          <w:lang w:val="en-GB"/>
        </w:rPr>
        <w:t>that; ‘</w:t>
      </w:r>
      <w:r>
        <w:rPr>
          <w:rFonts w:eastAsia="Calibri"/>
          <w:bCs/>
          <w:lang w:val="en-GB"/>
        </w:rPr>
        <w:t>n</w:t>
      </w:r>
      <w:r>
        <w:rPr>
          <w:rFonts w:eastAsia="Calibri"/>
          <w:bCs/>
          <w:iCs/>
          <w:lang w:val="en-GB"/>
        </w:rPr>
        <w:t>otwithstanding anything to the contrary contained in any other enactment or law, the provisions of this Act shall apply to all PSC’s as defined in section 17 of the Act’. Also, s</w:t>
      </w:r>
      <w:r>
        <w:rPr>
          <w:rFonts w:eastAsia="Calibri"/>
          <w:bCs/>
          <w:lang w:val="en-GB"/>
        </w:rPr>
        <w:t>ection 3 (1) of the PSC Act states that the PPT payable under the PSC regime shall be determined in accordance with the PPTA; provided that the PPT applicable to the ‘Contract Area’ as defined in the PSC shall be 50 per cent flat rate of chargeable profits for the duration of the PSC</w:t>
      </w:r>
      <w:r>
        <w:rPr>
          <w:rFonts w:eastAsia="Calibri"/>
          <w:bCs/>
          <w:vertAlign w:val="superscript"/>
          <w:lang w:val="en-GB"/>
        </w:rPr>
        <w:footnoteReference w:id="297"/>
      </w:r>
      <w:r>
        <w:rPr>
          <w:rFonts w:eastAsia="Calibri"/>
          <w:bCs/>
          <w:lang w:val="en-GB"/>
        </w:rPr>
        <w:t>.</w:t>
      </w:r>
    </w:p>
    <w:p w14:paraId="3635E71E">
      <w:pPr>
        <w:spacing w:after="160" w:line="480" w:lineRule="auto"/>
        <w:jc w:val="both"/>
        <w:rPr>
          <w:rFonts w:eastAsia="Calibri"/>
          <w:bCs/>
        </w:rPr>
      </w:pPr>
      <w:r>
        <w:rPr>
          <w:rFonts w:eastAsia="Calibri"/>
          <w:bCs/>
          <w:lang w:val="en-GB"/>
        </w:rPr>
        <w:t xml:space="preserve">The PSC Act specifically gives effect to the fiscal incentives contained in the various PSCs signed by the O&amp;G companies operating in the Deep Offshore and Inland Basin areas under PSCs with the Corporation (NNPC) or other companies holding OPL or OML in the deep offshore and inland basins, whereas the PPTA specifically </w:t>
      </w:r>
      <w:r>
        <w:rPr>
          <w:rFonts w:eastAsia="Calibri"/>
          <w:bCs/>
        </w:rPr>
        <w:t>provides for the imposition of PPT on the chargeable profits of companies involved in the upstream activities of exploration, drilling, extraction and transportation of crude oil. From inception in 1959, the PPTA has undergone a series of amendments culminating in the Petroleum Profits Tax (Amendment) Act of 2007, which included the major changes enacted by the PSC Act. The PSC amendment was a major change to the PPTA, and introduced several shifts to the treatment of key aspects of PPT, including the rate and the basis of assessment and charge to the PPT. The PPTA as amended through the several amendments and the PSC Act failed to anticipate the significant and contentious issues arising from the changes.</w:t>
      </w:r>
    </w:p>
    <w:p w14:paraId="4CF0326E">
      <w:pPr>
        <w:spacing w:after="160" w:line="480" w:lineRule="auto"/>
        <w:jc w:val="both"/>
        <w:rPr>
          <w:rFonts w:eastAsia="Calibri"/>
          <w:bCs/>
        </w:rPr>
      </w:pPr>
      <w:r>
        <w:rPr>
          <w:rFonts w:eastAsia="Calibri"/>
          <w:bCs/>
        </w:rPr>
        <w:t>The approach of directly introducing PSC commercial and fiscal terms into the existing PPTA fiscal and legislative framework exposed some gaps in the PPTA and resulted in several unclear and contentious issues, some of which have gone to arbitration. One such gap is t</w:t>
      </w:r>
      <w:r>
        <w:rPr>
          <w:rFonts w:eastAsia="Calibri"/>
          <w:bCs/>
          <w:lang w:val="en-GB"/>
        </w:rPr>
        <w:t xml:space="preserve">he fact that the various PSCs and PSC Act do not specifically address gas production or taxation. The Contractors are required to engage with the FG or the Corporation to agree terms for producing gas where there are gas finds. This is obviously a significant gap in the PSC fiscal regime, and another source of uncertainty in the petroleum tax system.  </w:t>
      </w:r>
      <w:r>
        <w:rPr>
          <w:rFonts w:eastAsia="Calibri"/>
          <w:bCs/>
        </w:rPr>
        <w:t xml:space="preserve">The issues arising further highlight the challenge of designing a tax system that strives to unite two different legislative and taxing frameworks, with perhaps competing objectives. </w:t>
      </w:r>
    </w:p>
    <w:p w14:paraId="35CB7935">
      <w:pPr>
        <w:spacing w:after="160" w:line="480" w:lineRule="auto"/>
        <w:jc w:val="both"/>
        <w:rPr>
          <w:rFonts w:eastAsia="Calibri"/>
          <w:bCs/>
          <w:lang w:val="en-GB"/>
        </w:rPr>
      </w:pPr>
      <w:r>
        <w:rPr>
          <w:rFonts w:eastAsia="Calibri"/>
          <w:bCs/>
        </w:rPr>
        <w:t xml:space="preserve">The PSC Act is the codification of the 1993 &amp; 1998 variants of the PSC fiscal terms. The existing PPTA tax regime envisaged a concession arrangement. It has long been in dire need of a comprehensive review to meet the fast-evolving changes of a complex industry. The introduction or imposition of PSC commercial and contractual concepts to the PPTA fiscal framework, therefore, presented some principle-driven law-making and legislative drafting challenges, and opportunity to address the gaps and ambiguities in the PPTA framework. </w:t>
      </w:r>
      <w:r>
        <w:rPr>
          <w:rFonts w:eastAsia="Calibri"/>
          <w:bCs/>
          <w:lang w:val="en-GB"/>
        </w:rPr>
        <w:t xml:space="preserve">Whilst section 8 PPTA states that PPT is levied on the profits of each accounting period of any company engaged in petroleum operations, the PSC Act introduced the concept of tax oil determined on a ‘Contract Area’ basis. Moreover, the PSC Act introduced other concepts such as ‘cost oil’ and ‘profit oil’, which are to be calculated by the Contractor on behalf of the Corporation and the Contractor itself. Moreover, there was no common understanding of the key PSC terms and concepts, such as, cost or profit oil and tax oil. These issues are relevant for the determination of the tax and chargeable PPT on the PSC Contract areas. </w:t>
      </w:r>
    </w:p>
    <w:p w14:paraId="59F5B886">
      <w:pPr>
        <w:spacing w:after="160" w:line="480" w:lineRule="auto"/>
        <w:jc w:val="both"/>
        <w:rPr>
          <w:rFonts w:eastAsia="Calibri"/>
          <w:bCs/>
          <w:lang w:val="en-GB"/>
        </w:rPr>
      </w:pPr>
      <w:r>
        <w:rPr>
          <w:rFonts w:eastAsia="Calibri"/>
          <w:bCs/>
          <w:lang w:val="en-GB"/>
        </w:rPr>
        <w:t xml:space="preserve">Also, the cost recovery mechanism under the PSC requires the approval of the Corporation, for the expense to be recognised for cost deduction by the Contractor or Corporation. This additional or different level of expense test, in the case of certain cost deductions, such as financing interest deductibility and CA, presented both conceptual and interpretational challenges. As discussed earlier, the WEN deductibility requirement under the PPTA had its own challenges, and the addition of the cost oil recovery and Corporation approval requirement was an additional layer or unwanted cost stress test for the upstream PSC /PPTA regime. </w:t>
      </w:r>
    </w:p>
    <w:p w14:paraId="42B4D774">
      <w:pPr>
        <w:spacing w:after="160" w:line="480" w:lineRule="auto"/>
        <w:jc w:val="both"/>
        <w:rPr>
          <w:rFonts w:eastAsia="Calibri"/>
          <w:bCs/>
          <w:lang w:val="en-GB"/>
        </w:rPr>
      </w:pPr>
      <w:r>
        <w:rPr>
          <w:rFonts w:eastAsia="Calibri"/>
          <w:bCs/>
          <w:lang w:val="en-GB"/>
        </w:rPr>
        <w:t>In effect, the absence of a common understanding on many PSC concepts or agreement on the basis for determining such key reliefs and allowances, such as CA, investment tax credit, or allowances on the capital expenditure was therefore a source of uncertainty in the Upstream PPT regime, as amended by the PSC terms. Section 4 (1) of the PSC Act states that NNPC as "the Corporation" or the Holder and the Contractor incur qualifying capital expenditure, wholly, exclusively, and necessarily for the purposes of petroleum operations carried out under the terms of a PSC. Investment tax credit (ITC), a credit uplift on CA in the PSC’s signed in 1993, is due to both the Corporation and the Contractor at a flat rate of 50 per cent of the qualifying expenditure for PSCs.  The PSCs signed after 1st July 1998, on the other hand, attract Investment Tax Allowance (ITA) at the PPT rate of 50 per cent on the qualifying expenditure</w:t>
      </w:r>
      <w:r>
        <w:rPr>
          <w:rFonts w:eastAsia="Calibri"/>
          <w:bCs/>
          <w:vertAlign w:val="superscript"/>
          <w:lang w:val="en-GB"/>
        </w:rPr>
        <w:footnoteReference w:id="298"/>
      </w:r>
      <w:r>
        <w:rPr>
          <w:rFonts w:eastAsia="Calibri"/>
          <w:bCs/>
          <w:lang w:val="en-GB"/>
        </w:rPr>
        <w:t xml:space="preserve"> The Corporation, as holder of the licence and legal owner of capital expenditure incurred on the asset for the PSC petroleum operations, has contested the basis of computing the CA, the ITC, and the ITA, citing an earlier, but overtaken, amendment of the PPTA</w:t>
      </w:r>
      <w:r>
        <w:rPr>
          <w:rFonts w:eastAsia="Calibri"/>
          <w:bCs/>
          <w:vertAlign w:val="superscript"/>
          <w:lang w:val="en-GB"/>
        </w:rPr>
        <w:footnoteReference w:id="299"/>
      </w:r>
      <w:r>
        <w:rPr>
          <w:rFonts w:eastAsia="Calibri"/>
          <w:bCs/>
          <w:lang w:val="en-GB"/>
        </w:rPr>
        <w:t xml:space="preserve">. </w:t>
      </w:r>
    </w:p>
    <w:p w14:paraId="2EBA50C3">
      <w:pPr>
        <w:spacing w:after="160" w:line="480" w:lineRule="auto"/>
        <w:jc w:val="both"/>
        <w:rPr>
          <w:rFonts w:eastAsia="Calibri"/>
          <w:bCs/>
          <w:lang w:val="en-GB"/>
        </w:rPr>
      </w:pPr>
      <w:r>
        <w:rPr>
          <w:rFonts w:eastAsia="Calibri"/>
          <w:bCs/>
          <w:lang w:val="en-GB"/>
        </w:rPr>
        <w:t>Under the PPTA, chargeable tax</w:t>
      </w:r>
      <w:r>
        <w:rPr>
          <w:rFonts w:eastAsia="Calibri"/>
          <w:bCs/>
          <w:vertAlign w:val="superscript"/>
          <w:lang w:val="en-GB"/>
        </w:rPr>
        <w:footnoteReference w:id="300"/>
      </w:r>
      <w:r>
        <w:rPr>
          <w:rFonts w:eastAsia="Calibri"/>
          <w:bCs/>
          <w:lang w:val="en-GB"/>
        </w:rPr>
        <w:t xml:space="preserve"> is levied on the profits of the company engaged in petroleum operations during each accounting period of any company. For a company engaged in petroleum operations under a PSC arrangement, section 12 of the PSC Act states that the chargeable tax of the company from its petroleum operations in a ‘Contract Area’ is split between the Corporation and the Contractor in the same ratio as the split of ‘profit oil’ as defined in the PSC executed between the Corporation and the Contractor. The point of divergence in treatment between the PPTA and the PSC Act, is that, whilst the PPT charge to tax under the PPTA is on the entity, the PSC charge is the Contract Area. Also, section 22(3) of the PPTA as amended by the PSC Act, states that, i</w:t>
      </w:r>
      <w:r>
        <w:rPr>
          <w:rFonts w:eastAsia="Calibri"/>
          <w:bCs/>
        </w:rPr>
        <w:t>n computing the tax payable, the investment tax credit shall be applicable in full to petroleum operations in the Contract Area such that the chargeable tax is the amount of the assessable tax less the investment tax credit,</w:t>
      </w:r>
      <w:r>
        <w:rPr>
          <w:rFonts w:eastAsia="Calibri"/>
          <w:bCs/>
          <w:lang w:val="en-GB"/>
        </w:rPr>
        <w:t xml:space="preserve"> whilst </w:t>
      </w:r>
      <w:r>
        <w:rPr>
          <w:rFonts w:eastAsia="Calibri"/>
          <w:bCs/>
        </w:rPr>
        <w:t xml:space="preserve">the chargeable tax computed under subsection (3) of this section shall be split between the Corporation and the Contractor in accordance with the proportion of the percentage of profit oil split. This makes </w:t>
      </w:r>
      <w:r>
        <w:rPr>
          <w:rFonts w:eastAsia="Calibri"/>
          <w:bCs/>
          <w:lang w:val="en-GB"/>
        </w:rPr>
        <w:t>the charge to tax a function of a profit oil split computed on a ‘Contract Area’</w:t>
      </w:r>
      <w:r>
        <w:rPr>
          <w:rFonts w:eastAsia="Calibri"/>
          <w:bCs/>
          <w:vertAlign w:val="superscript"/>
          <w:lang w:val="en-GB"/>
        </w:rPr>
        <w:footnoteReference w:id="301"/>
      </w:r>
      <w:r>
        <w:rPr>
          <w:rFonts w:eastAsia="Calibri"/>
          <w:bCs/>
          <w:lang w:val="en-GB"/>
        </w:rPr>
        <w:t>and affects the basic premise on which expense deductions and CA are computed in arriving at the charge to tax under s 8 &amp; s 9 of the PPTA.  Section 12 of the PSC Act amends the PPTA in this regard to accommodate this PSC arrangement</w:t>
      </w:r>
      <w:r>
        <w:rPr>
          <w:rFonts w:eastAsia="Calibri"/>
          <w:bCs/>
          <w:vertAlign w:val="superscript"/>
          <w:lang w:val="en-GB"/>
        </w:rPr>
        <w:footnoteReference w:id="302"/>
      </w:r>
      <w:r>
        <w:rPr>
          <w:rFonts w:eastAsia="Calibri"/>
          <w:bCs/>
          <w:lang w:val="en-GB"/>
        </w:rPr>
        <w:t xml:space="preserve">.  The PPTA obviously did not anticipate the variables such as ‘royalty oil’, ‘cost oil’,’ profit oil’ and ‘tax oil’ introduced by the PSC. It may be observed that a comprehensive, principle-guided review of the PPTA to accommodate the PSC arrangement would have better resolved the confusion and the lack of consistent understanding and interpretation of these concepts and terms in the determination of PPT liability. </w:t>
      </w:r>
    </w:p>
    <w:p w14:paraId="3CB91797">
      <w:pPr>
        <w:spacing w:after="160" w:line="480" w:lineRule="auto"/>
        <w:jc w:val="both"/>
        <w:rPr>
          <w:rFonts w:eastAsia="Calibri"/>
          <w:bCs/>
          <w:lang w:val="en-GB"/>
        </w:rPr>
      </w:pPr>
      <w:r>
        <w:rPr>
          <w:rFonts w:eastAsia="Calibri"/>
          <w:bCs/>
          <w:lang w:val="en-GB"/>
        </w:rPr>
        <w:t xml:space="preserve">Moreover, section 9 of the PSC Act states that ‘tax oil’ is to be allocated to the Corporation or the Holder as the case may be, in the quantum required to generate an amount of proceeds equal to the actual PPT liability. The PPTA basis for determining PPT chargeable profits and PPT liability clearly did not anticipate shared or split QCE and CA, investment tax credit (ITC) or allowances (ITA), and split chargeable profit oil. The PPTA, also did not anticipate sharing of production or revenues from a Contract Area for the determination of PPT. The PSC Act also failed to state the basis for ascertaining ITC/ITA for PSC purposes, thus allowing its determination under the PPTA, on an entity basis, rather than by Contract Area. </w:t>
      </w:r>
    </w:p>
    <w:p w14:paraId="23CAD206">
      <w:pPr>
        <w:spacing w:after="160" w:line="480" w:lineRule="auto"/>
        <w:jc w:val="both"/>
        <w:rPr>
          <w:rFonts w:eastAsia="Calibri"/>
          <w:bCs/>
          <w:lang w:val="en-GB"/>
        </w:rPr>
      </w:pPr>
      <w:r>
        <w:rPr>
          <w:rFonts w:eastAsia="Calibri"/>
          <w:bCs/>
          <w:lang w:val="en-GB"/>
        </w:rPr>
        <w:t>Also, for PSCs, the PPT is computed by the Contractor on behalf of itself and the Corporation, and then forwarded to the Corporation or the Holder. Another area of ambiguity in the PSC Act is the fact that it is silent on whether the Corporation should adopt the PPT as computed by the Contractor or is obliged to review and revise same as it deems fit. The Corporation has adopted the view and position that it is obliged to compute the PPT liability due on the Contract Area on behalf of itself and the Contractor, using production volumes not in line with the agreed PSC production quotas, and costs, for computing the PPT liability of the parties to the PSC</w:t>
      </w:r>
      <w:r>
        <w:rPr>
          <w:rFonts w:eastAsia="Calibri"/>
          <w:bCs/>
          <w:vertAlign w:val="superscript"/>
          <w:lang w:val="en-GB"/>
        </w:rPr>
        <w:footnoteReference w:id="303"/>
      </w:r>
      <w:r>
        <w:rPr>
          <w:rFonts w:eastAsia="Calibri"/>
          <w:bCs/>
          <w:lang w:val="en-GB"/>
        </w:rPr>
        <w:t xml:space="preserve">.  </w:t>
      </w:r>
    </w:p>
    <w:p w14:paraId="36E805AC">
      <w:pPr>
        <w:spacing w:after="160" w:line="480" w:lineRule="auto"/>
        <w:jc w:val="both"/>
        <w:rPr>
          <w:rFonts w:eastAsia="Calibri"/>
          <w:bCs/>
          <w:lang w:val="en-GB"/>
        </w:rPr>
      </w:pPr>
      <w:r>
        <w:rPr>
          <w:rFonts w:eastAsia="Calibri"/>
          <w:bCs/>
          <w:lang w:val="en-GB"/>
        </w:rPr>
        <w:t xml:space="preserve">In summary, fiscal policy non-alignment between the Concession system arrangement and Production Contract system arrangement under the existing PPTA framework as amended by the PSC Act  and more specifically, the combined effect of sections 3, 9 &amp; 12, of the PSC Act, applied along with the relevant sections of the PPTA, including ss 8, 9, 10 &amp; 22 and the second schedule of the PPTA on CA, has resulted in the use of terms and concepts not consistently understood by both the Corporation and the Contractor. Therefore, this interaction raised substantive issues of interpretation which require timely review of the law, and change, as well as judicial intervention. </w:t>
      </w:r>
    </w:p>
    <w:p w14:paraId="7E2E7AFC">
      <w:pPr>
        <w:spacing w:after="160" w:line="480" w:lineRule="auto"/>
        <w:jc w:val="both"/>
        <w:rPr>
          <w:rFonts w:eastAsia="Calibri"/>
          <w:b/>
          <w:bCs/>
          <w:iCs/>
          <w:lang w:val="en-GB"/>
        </w:rPr>
      </w:pPr>
      <w:r>
        <w:rPr>
          <w:rFonts w:eastAsia="Calibri"/>
          <w:b/>
          <w:bCs/>
          <w:iCs/>
          <w:lang w:val="en-GB"/>
        </w:rPr>
        <w:t>PSC Tax Law Enforcement and Law Change:</w:t>
      </w:r>
    </w:p>
    <w:p w14:paraId="58311E24">
      <w:pPr>
        <w:spacing w:after="160" w:line="480" w:lineRule="auto"/>
        <w:jc w:val="both"/>
        <w:rPr>
          <w:rFonts w:eastAsia="Calibri"/>
          <w:bCs/>
          <w:iCs/>
          <w:lang w:val="en-GB"/>
        </w:rPr>
      </w:pPr>
      <w:r>
        <w:rPr>
          <w:rFonts w:eastAsia="Calibri"/>
          <w:bCs/>
          <w:iCs/>
          <w:lang w:val="en-GB"/>
        </w:rPr>
        <w:t>One very important development associated with the introduction of the PSC terms to the PPTA regime, is the failure to implement specific provisions of the PSC Act,</w:t>
      </w:r>
      <w:r>
        <w:rPr>
          <w:rFonts w:eastAsia="Calibri"/>
          <w:bCs/>
          <w:iCs/>
          <w:vertAlign w:val="superscript"/>
          <w:lang w:val="en-GB"/>
        </w:rPr>
        <w:footnoteReference w:id="304"/>
      </w:r>
      <w:r>
        <w:rPr>
          <w:rFonts w:eastAsia="Calibri"/>
          <w:bCs/>
          <w:iCs/>
          <w:lang w:val="en-GB"/>
        </w:rPr>
        <w:t xml:space="preserve"> especially with respect to treatment of pricing, costs, production quotas, credits, and allowances. These have all added to the resulting confusion in the PSC tax regime. Amending the traditional PPTA regime with respect to the applicable royalty rates for PSCs, section 5 of the PSC Act states that the payment of royalties in respect of the Deep Offshore PSC shall be graduated in accordance with water depth. The royalty rates of 0% for areas more than 1000 metres depth, to 12% in areas between 200 to 500 metres water depth, whilst royalty rates payable in the Inland Basin shall be 10%.</w:t>
      </w:r>
      <w:r>
        <w:rPr>
          <w:rFonts w:eastAsia="Calibri"/>
          <w:bCs/>
          <w:iCs/>
          <w:vertAlign w:val="superscript"/>
          <w:lang w:val="en-GB"/>
        </w:rPr>
        <w:footnoteReference w:id="305"/>
      </w:r>
      <w:r>
        <w:rPr>
          <w:rFonts w:eastAsia="Calibri"/>
          <w:bCs/>
          <w:iCs/>
          <w:lang w:val="en-GB"/>
        </w:rPr>
        <w:t xml:space="preserve"> Major oil finds were discovered in water depths of above 1,000 metres in all the five (5) deep water oilfields that came on stream between 2005 and 2010, and these attracted zero royalty.</w:t>
      </w:r>
      <w:r>
        <w:rPr>
          <w:rFonts w:eastAsia="Calibri"/>
          <w:bCs/>
          <w:iCs/>
          <w:vertAlign w:val="superscript"/>
          <w:lang w:val="en-GB"/>
        </w:rPr>
        <w:footnoteReference w:id="306"/>
      </w:r>
      <w:r>
        <w:rPr>
          <w:rFonts w:eastAsia="Calibri"/>
          <w:bCs/>
          <w:iCs/>
          <w:lang w:val="en-GB"/>
        </w:rPr>
        <w:t xml:space="preserve"> </w:t>
      </w:r>
    </w:p>
    <w:p w14:paraId="6F5E2A02">
      <w:pPr>
        <w:spacing w:after="160" w:line="480" w:lineRule="auto"/>
        <w:jc w:val="both"/>
        <w:rPr>
          <w:rFonts w:eastAsia="Calibri"/>
          <w:bCs/>
          <w:iCs/>
        </w:rPr>
      </w:pPr>
      <w:r>
        <w:rPr>
          <w:rFonts w:eastAsia="Calibri"/>
          <w:bCs/>
          <w:iCs/>
          <w:lang w:val="en-GB"/>
        </w:rPr>
        <w:t xml:space="preserve">Section 16 (1) of the PSC Act specifically </w:t>
      </w:r>
      <w:r>
        <w:rPr>
          <w:rFonts w:eastAsia="Calibri"/>
          <w:bCs/>
          <w:iCs/>
        </w:rPr>
        <w:t>provided that the Act shall be subject to review to ensure that if the price of crude oil at any time exceeds $ 20 per barrel, real terms, the share of the Government of the Federation in the additional revenue shall be adjusted under the PSCs to such extent that the PSC’s shall be economically beneficial to the Government of the Federation.</w:t>
      </w:r>
      <w:r>
        <w:rPr>
          <w:rFonts w:eastAsia="Calibri"/>
          <w:bCs/>
          <w:iCs/>
          <w:vertAlign w:val="superscript"/>
        </w:rPr>
        <w:footnoteReference w:id="307"/>
      </w:r>
      <w:r>
        <w:rPr>
          <w:rFonts w:eastAsia="Calibri"/>
          <w:bCs/>
          <w:iCs/>
        </w:rPr>
        <w:t xml:space="preserve"> </w:t>
      </w:r>
    </w:p>
    <w:p w14:paraId="0A7E9441">
      <w:pPr>
        <w:spacing w:after="160" w:line="480" w:lineRule="auto"/>
        <w:jc w:val="both"/>
        <w:rPr>
          <w:rFonts w:eastAsia="Calibri"/>
          <w:bCs/>
          <w:iCs/>
        </w:rPr>
      </w:pPr>
      <w:r>
        <w:rPr>
          <w:rFonts w:eastAsia="Calibri"/>
          <w:bCs/>
          <w:iCs/>
        </w:rPr>
        <w:t xml:space="preserve">Furthermore, section 16 (2) states that, notwithstanding the provisions of subsection (1) of this section, the provisions of the Act shall be liable to review after a period of fifteen (15) years from the date of commencement and every five (5) years thereafter. </w:t>
      </w:r>
      <w:r>
        <w:rPr>
          <w:rFonts w:eastAsia="Calibri"/>
          <w:bCs/>
          <w:iCs/>
          <w:lang w:val="en-GB"/>
        </w:rPr>
        <w:t>Nevertheless, the Corporation and the FG failed to implement this provision of the PSC Act on price and law review, thus leading to significant revenue losses for the government</w:t>
      </w:r>
      <w:r>
        <w:rPr>
          <w:rFonts w:eastAsia="Calibri"/>
          <w:bCs/>
          <w:lang w:val="en-GB"/>
        </w:rPr>
        <w:t xml:space="preserve">. </w:t>
      </w:r>
    </w:p>
    <w:p w14:paraId="350A291A">
      <w:pPr>
        <w:spacing w:after="160" w:line="480" w:lineRule="auto"/>
        <w:jc w:val="both"/>
        <w:rPr>
          <w:rFonts w:eastAsia="Calibri"/>
          <w:bCs/>
          <w:iCs/>
        </w:rPr>
      </w:pPr>
      <w:r>
        <w:rPr>
          <w:rFonts w:eastAsia="Calibri"/>
          <w:bCs/>
          <w:iCs/>
          <w:lang w:val="en-GB"/>
        </w:rPr>
        <w:t xml:space="preserve">Subsequently, the </w:t>
      </w:r>
      <w:r>
        <w:rPr>
          <w:rFonts w:eastAsia="Calibri"/>
          <w:bCs/>
          <w:iCs/>
        </w:rPr>
        <w:t>Attorney Generals of Rivers, Bayelsa &amp; Akwa Ibom States (plaintiffs) approached the SC for a ruling on the revenue implications of s.16 of the PSC Act.</w:t>
      </w:r>
      <w:r>
        <w:rPr>
          <w:rFonts w:eastAsia="Calibri"/>
          <w:bCs/>
          <w:i/>
          <w:iCs/>
          <w:vertAlign w:val="superscript"/>
        </w:rPr>
        <w:footnoteReference w:id="308"/>
      </w:r>
      <w:r>
        <w:rPr>
          <w:rFonts w:eastAsia="Calibri"/>
          <w:bCs/>
          <w:iCs/>
        </w:rPr>
        <w:t xml:space="preserve"> Two declaratory reliefs and a consequential order were sought by the plaintiff States. They relied on their right to share monies accruing to the Federation Account (FA) pursuant to section 162 (1), </w:t>
      </w:r>
    </w:p>
    <w:p w14:paraId="61D799B8">
      <w:pPr>
        <w:spacing w:after="160" w:line="480" w:lineRule="auto"/>
        <w:jc w:val="both"/>
        <w:rPr>
          <w:rFonts w:eastAsia="Calibri"/>
          <w:bCs/>
          <w:iCs/>
        </w:rPr>
      </w:pPr>
      <w:r>
        <w:rPr>
          <w:rFonts w:eastAsia="Calibri"/>
          <w:bCs/>
          <w:iCs/>
        </w:rPr>
        <w:t>(2) and (10) (a-c) of the 1999 Constitution of the Federal Republic of Nigeria. The States submitted that they had suffered economic loss because the FG failed to review the PSC Act</w:t>
      </w:r>
      <w:r>
        <w:rPr>
          <w:rFonts w:eastAsia="Calibri"/>
          <w:bCs/>
          <w:iCs/>
          <w:vertAlign w:val="superscript"/>
        </w:rPr>
        <w:footnoteReference w:id="309"/>
      </w:r>
      <w:r>
        <w:rPr>
          <w:rFonts w:eastAsia="Calibri"/>
          <w:bCs/>
          <w:i/>
          <w:iCs/>
        </w:rPr>
        <w:t>,</w:t>
      </w:r>
      <w:r>
        <w:rPr>
          <w:rFonts w:eastAsia="Calibri"/>
          <w:bCs/>
          <w:iCs/>
        </w:rPr>
        <w:t xml:space="preserve"> which would have increased the Government take for distribution to all tiers of Government, especially themselves. They sought declarations that:</w:t>
      </w:r>
    </w:p>
    <w:p w14:paraId="2731086E">
      <w:pPr>
        <w:spacing w:after="160" w:line="480" w:lineRule="auto"/>
        <w:ind w:left="720"/>
        <w:jc w:val="both"/>
        <w:rPr>
          <w:rFonts w:eastAsia="Calibri"/>
          <w:bCs/>
          <w:iCs/>
        </w:rPr>
      </w:pPr>
      <w:r>
        <w:rPr>
          <w:rFonts w:eastAsia="Calibri"/>
          <w:bCs/>
          <w:iCs/>
        </w:rPr>
        <w:t>"(a) ...there is a statutory obligation imposed on the Defendant (FG), pursuant to section 16 (1) PSC Act to adjust the share of the Government of the Federation in the additional revenue accruing under the PSC’s if the price of crude oil at any time exceeds twenty dollars ($20) per barrel in real terms to such extent that the PSC shall be economically beneficial to the government of the Federation; and a fortiori the component Federating States of the Federal Republic of Nigeria (FRN) especially 1</w:t>
      </w:r>
      <w:r>
        <w:rPr>
          <w:rFonts w:eastAsia="Calibri"/>
          <w:bCs/>
          <w:iCs/>
          <w:vertAlign w:val="superscript"/>
        </w:rPr>
        <w:t>st</w:t>
      </w:r>
      <w:r>
        <w:rPr>
          <w:rFonts w:eastAsia="Calibri"/>
          <w:bCs/>
          <w:iCs/>
        </w:rPr>
        <w:t>, 2</w:t>
      </w:r>
      <w:r>
        <w:rPr>
          <w:rFonts w:eastAsia="Calibri"/>
          <w:bCs/>
          <w:iCs/>
          <w:vertAlign w:val="superscript"/>
        </w:rPr>
        <w:t>nd</w:t>
      </w:r>
      <w:r>
        <w:rPr>
          <w:rFonts w:eastAsia="Calibri"/>
          <w:bCs/>
          <w:iCs/>
        </w:rPr>
        <w:t xml:space="preserve"> and 3</w:t>
      </w:r>
      <w:r>
        <w:rPr>
          <w:rFonts w:eastAsia="Calibri"/>
          <w:bCs/>
          <w:iCs/>
          <w:vertAlign w:val="superscript"/>
        </w:rPr>
        <w:t>rd</w:t>
      </w:r>
      <w:r>
        <w:rPr>
          <w:rFonts w:eastAsia="Calibri"/>
          <w:bCs/>
          <w:iCs/>
        </w:rPr>
        <w:t xml:space="preserve"> Plaintiffs, and</w:t>
      </w:r>
    </w:p>
    <w:p w14:paraId="1F1D1C9C">
      <w:pPr>
        <w:spacing w:after="160" w:line="480" w:lineRule="auto"/>
        <w:ind w:left="720"/>
        <w:jc w:val="both"/>
        <w:rPr>
          <w:rFonts w:eastAsia="Calibri"/>
          <w:bCs/>
          <w:iCs/>
        </w:rPr>
      </w:pPr>
      <w:r>
        <w:rPr>
          <w:rFonts w:eastAsia="Calibri"/>
          <w:bCs/>
          <w:iCs/>
        </w:rPr>
        <w:t>(b) ...the failure of the Defendant, to accordingly adjust the share of the Government of the Federation in the additional revenue in the PSC’s (variously approved by the Defendant) following the increase of price of crude oil in excess of twenty dollars ($20) per barrel in real terms, constitute a breach of s 16 (1) PSC Act, and thereby affected the total revenue accruing to the Federation and consequently; (i) the total statutory allocation accruing to the Plaintiffs by virtue of the provisions of section 162 of the 1999 Constitution (as amended)."</w:t>
      </w:r>
    </w:p>
    <w:p w14:paraId="3ADF4C70">
      <w:pPr>
        <w:spacing w:after="160" w:line="480" w:lineRule="auto"/>
        <w:jc w:val="both"/>
        <w:rPr>
          <w:rFonts w:eastAsia="Calibri"/>
          <w:bCs/>
          <w:iCs/>
        </w:rPr>
      </w:pPr>
      <w:r>
        <w:rPr>
          <w:rFonts w:eastAsia="Calibri"/>
          <w:bCs/>
          <w:iCs/>
        </w:rPr>
        <w:t>The consequential order sought was:</w:t>
      </w:r>
    </w:p>
    <w:p w14:paraId="23842E45">
      <w:pPr>
        <w:spacing w:after="160" w:line="480" w:lineRule="auto"/>
        <w:ind w:left="720"/>
        <w:jc w:val="both"/>
        <w:rPr>
          <w:rFonts w:eastAsia="Calibri"/>
          <w:bCs/>
          <w:iCs/>
        </w:rPr>
      </w:pPr>
      <w:r>
        <w:rPr>
          <w:rFonts w:eastAsia="Calibri"/>
          <w:bCs/>
          <w:iCs/>
        </w:rPr>
        <w:t>"..to compel the Defendant to adjust the share of the Government of the Federation in the additional revenue under all the PSC’s in Nigeria's Oil Industry within the Inland Basin and Deep Offshore areas as approved by the Defendant from the respective times the price of crude oil exceeded twenty dollars ($20) per barrel in real terms and to calculate in arrears with effect from August 2003, and recover and pay immediately, all outstanding statutory allocations due and payable to the plaintiff arising from the adjustments."</w:t>
      </w:r>
    </w:p>
    <w:p w14:paraId="20EFCEC8">
      <w:pPr>
        <w:spacing w:after="160" w:line="480" w:lineRule="auto"/>
        <w:jc w:val="both"/>
        <w:rPr>
          <w:rFonts w:eastAsia="Calibri"/>
          <w:bCs/>
        </w:rPr>
      </w:pPr>
      <w:r>
        <w:rPr>
          <w:rFonts w:eastAsia="Calibri"/>
          <w:bCs/>
          <w:iCs/>
        </w:rPr>
        <w:t>Following the parties' entry into terms of settlement, which was thereafter filed and delivered as a consent judgment, the SC did not have the opportunity to consider arguments in the matter. The failure by the agencies responsible for enforcing tax law provisions on price review and periodic tax law review resulted, in this instance, in significant financial costs or loss of revenue to the Government.  The SC in the consent judgement directed the Attorney General of the Federation to work jointly with the three (3) State Governments in the suit to recover all lost revenue accruing to the Federation. This declaratory relief raised concerns on taxpayer rights and protection.</w:t>
      </w:r>
      <w:r>
        <w:rPr>
          <w:rFonts w:eastAsia="Calibri"/>
          <w:bCs/>
          <w:iCs/>
          <w:vertAlign w:val="superscript"/>
        </w:rPr>
        <w:footnoteReference w:id="310"/>
      </w:r>
      <w:r>
        <w:rPr>
          <w:rFonts w:eastAsia="Calibri"/>
          <w:bCs/>
          <w:iCs/>
        </w:rPr>
        <w:t xml:space="preserve"> In addition to the fiscal policy and tax law interpretation and enforcement issues arising from the consent judgement, there is also a Constitutional law issue. The consent judgment</w:t>
      </w:r>
      <w:r>
        <w:rPr>
          <w:rFonts w:eastAsia="Calibri"/>
          <w:bCs/>
        </w:rPr>
        <w:t xml:space="preserve">, it has been argued, represents a tacit admission by the FG of its failure to </w:t>
      </w:r>
      <w:r>
        <w:rPr>
          <w:rFonts w:eastAsia="Calibri"/>
          <w:bCs/>
          <w:iCs/>
        </w:rPr>
        <w:t xml:space="preserve">diligently implement a PSC Act tax legislative provision </w:t>
      </w:r>
      <w:r>
        <w:rPr>
          <w:rFonts w:eastAsia="Calibri"/>
          <w:bCs/>
        </w:rPr>
        <w:t xml:space="preserve">impacting on the revenue accruing to the FA, which funds are distributable to the three tiers of government, i.e., FG, States and Local Governments. It also underscores the need to ensure regular review and reform of legislative terms to ensure the responsiveness of the tax system. </w:t>
      </w:r>
    </w:p>
    <w:p w14:paraId="2ADC8D99">
      <w:pPr>
        <w:spacing w:after="160" w:line="480" w:lineRule="auto"/>
        <w:jc w:val="both"/>
        <w:rPr>
          <w:rFonts w:eastAsia="Calibri"/>
          <w:bCs/>
          <w:iCs/>
        </w:rPr>
      </w:pPr>
      <w:r>
        <w:rPr>
          <w:rFonts w:eastAsia="Calibri"/>
          <w:bCs/>
        </w:rPr>
        <w:t xml:space="preserve">Secondly, it is interesting that other States Attorneys-General were not joined in the matter, as the three Plaintiff States had no greater interest or </w:t>
      </w:r>
      <w:r>
        <w:rPr>
          <w:rFonts w:eastAsia="Calibri"/>
          <w:bCs/>
          <w:i/>
          <w:iCs/>
        </w:rPr>
        <w:t>locus standi</w:t>
      </w:r>
      <w:r>
        <w:rPr>
          <w:rFonts w:eastAsia="Calibri"/>
          <w:bCs/>
        </w:rPr>
        <w:t xml:space="preserve"> than other States, especially the other oil producing States that were also entitled to 13% derivation</w:t>
      </w:r>
      <w:r>
        <w:rPr>
          <w:rFonts w:eastAsia="Calibri"/>
          <w:bCs/>
          <w:vertAlign w:val="superscript"/>
        </w:rPr>
        <w:footnoteReference w:id="311"/>
      </w:r>
      <w:r>
        <w:rPr>
          <w:rFonts w:eastAsia="Calibri"/>
          <w:bCs/>
        </w:rPr>
        <w:t xml:space="preserve">. </w:t>
      </w:r>
      <w:r>
        <w:rPr>
          <w:rFonts w:eastAsia="Calibri"/>
          <w:bCs/>
          <w:iCs/>
        </w:rPr>
        <w:t>Nevertheless, the pertinent issue here has to do with the failure to enforce clearly stated fiscal and tax legislative objectives and the need for continuous review and amendment of legislative terms to achieve clarity and enhance consistent and common understanding and interpretation of legislative terms and provisions. The absence of clear enforcement processes, and the lack of will on the part of relevant MDAs to enforce or review the relevant provisions added to the uncertainty in the upstream petroleum tax system, despite the existence of enforcement provisions under the PPTA.</w:t>
      </w:r>
    </w:p>
    <w:p w14:paraId="6A30F03C">
      <w:pPr>
        <w:spacing w:after="160" w:line="480" w:lineRule="auto"/>
        <w:rPr>
          <w:bCs/>
        </w:rPr>
      </w:pPr>
      <w:r>
        <w:rPr>
          <w:rFonts w:eastAsia="Calibri"/>
          <w:bCs/>
          <w:iCs/>
        </w:rPr>
        <w:t>Thirdly, the challenge for tax administration is whether the SC decision provides sufficient legal basis or a recovery mechanism to claw back lost revenues. Also, assuming a retrospective recovery is legally feasible, what the implication is for the six-year statute of limitation period,</w:t>
      </w:r>
      <w:r>
        <w:rPr>
          <w:rFonts w:eastAsia="Calibri"/>
          <w:bCs/>
          <w:iCs/>
          <w:vertAlign w:val="superscript"/>
        </w:rPr>
        <w:footnoteReference w:id="312"/>
      </w:r>
      <w:r>
        <w:rPr>
          <w:rFonts w:eastAsia="Calibri"/>
          <w:bCs/>
          <w:iCs/>
        </w:rPr>
        <w:t xml:space="preserve"> as well as </w:t>
      </w:r>
      <w:r>
        <w:rPr>
          <w:rFonts w:eastAsia="Calibri"/>
          <w:bCs/>
        </w:rPr>
        <w:t>the stability of the PSC regime.</w:t>
      </w:r>
      <w:r>
        <w:rPr>
          <w:rFonts w:eastAsia="Calibri"/>
          <w:bCs/>
          <w:vertAlign w:val="superscript"/>
        </w:rPr>
        <w:footnoteReference w:id="313"/>
      </w:r>
      <w:r>
        <w:t xml:space="preserve"> </w:t>
      </w:r>
      <w:r>
        <w:rPr>
          <w:bCs/>
        </w:rPr>
        <w:t xml:space="preserve">The typical 1993 PSC has stabilisation provisions to the following effect: </w:t>
      </w:r>
    </w:p>
    <w:p w14:paraId="727D1CD6">
      <w:pPr>
        <w:spacing w:after="160" w:line="480" w:lineRule="auto"/>
        <w:ind w:left="720"/>
        <w:jc w:val="both"/>
        <w:rPr>
          <w:rFonts w:eastAsia="Calibri"/>
          <w:bCs/>
        </w:rPr>
      </w:pPr>
      <w:r>
        <w:rPr>
          <w:rFonts w:eastAsia="Calibri"/>
          <w:bCs/>
          <w:i/>
          <w:iCs/>
        </w:rPr>
        <w:t>"</w:t>
      </w:r>
      <w:r>
        <w:rPr>
          <w:rFonts w:eastAsia="Calibri"/>
          <w:bCs/>
          <w:iCs/>
        </w:rPr>
        <w:t>In the event that</w:t>
      </w:r>
      <w:r>
        <w:rPr>
          <w:rFonts w:eastAsia="Calibri"/>
          <w:bCs/>
        </w:rPr>
        <w:t xml:space="preserve"> </w:t>
      </w:r>
      <w:r>
        <w:rPr>
          <w:rFonts w:eastAsia="Calibri"/>
          <w:bCs/>
          <w:iCs/>
        </w:rPr>
        <w:t>any enactment of or change</w:t>
      </w:r>
      <w:r>
        <w:rPr>
          <w:rFonts w:eastAsia="Calibri"/>
          <w:bCs/>
        </w:rPr>
        <w:t xml:space="preserve"> </w:t>
      </w:r>
      <w:r>
        <w:rPr>
          <w:rFonts w:eastAsia="Calibri"/>
          <w:bCs/>
          <w:iCs/>
        </w:rPr>
        <w:t>in the laws or regulations of Nigeria or any rules, procedures, guidelines, instructions, directives, or policies, pertaining to the Contract introduced by any Government department or Government parastatals or agencies occurs subsequent to the Effective Date of this Contract which</w:t>
      </w:r>
      <w:r>
        <w:rPr>
          <w:rFonts w:eastAsia="Calibri"/>
          <w:bCs/>
        </w:rPr>
        <w:t xml:space="preserve"> </w:t>
      </w:r>
      <w:r>
        <w:rPr>
          <w:rFonts w:eastAsia="Calibri"/>
          <w:bCs/>
          <w:iCs/>
        </w:rPr>
        <w:t>materially and adversely</w:t>
      </w:r>
      <w:r>
        <w:rPr>
          <w:rFonts w:eastAsia="Calibri"/>
          <w:bCs/>
        </w:rPr>
        <w:t xml:space="preserve"> </w:t>
      </w:r>
      <w:r>
        <w:rPr>
          <w:rFonts w:eastAsia="Calibri"/>
          <w:bCs/>
          <w:iCs/>
        </w:rPr>
        <w:t>affects the rights and obligations or the economic benefits of the Contractor,</w:t>
      </w:r>
      <w:r>
        <w:rPr>
          <w:rFonts w:eastAsia="Calibri"/>
          <w:bCs/>
        </w:rPr>
        <w:t xml:space="preserve"> </w:t>
      </w:r>
      <w:r>
        <w:rPr>
          <w:rFonts w:eastAsia="Calibri"/>
          <w:bCs/>
          <w:iCs/>
        </w:rPr>
        <w:t>the Parties shall use their best efforts to agree to such modifications to this Contract as will compensate for the effect of such changes</w:t>
      </w:r>
      <w:r>
        <w:rPr>
          <w:rFonts w:eastAsia="Calibri"/>
          <w:bCs/>
          <w:i/>
          <w:iCs/>
        </w:rPr>
        <w:t>.</w:t>
      </w:r>
      <w:r>
        <w:rPr>
          <w:rFonts w:eastAsia="Calibri"/>
          <w:bCs/>
        </w:rPr>
        <w:t xml:space="preserve"> If the Parties fail to agree on such modifications within a period of ninety (90) days following the date on which the change in question took effect, the matter shall thereafter be referred at the option of either Party to arbitration under Article 21 hereof. Following arbitrator's determination, this Contract shall be deemed modified forthwith in accordance with that determination."</w:t>
      </w:r>
    </w:p>
    <w:p w14:paraId="44C8454A">
      <w:pPr>
        <w:spacing w:after="160" w:line="480" w:lineRule="auto"/>
        <w:jc w:val="both"/>
        <w:rPr>
          <w:rFonts w:eastAsia="Calibri"/>
          <w:bCs/>
        </w:rPr>
      </w:pPr>
      <w:r>
        <w:rPr>
          <w:rFonts w:eastAsia="Calibri"/>
          <w:bCs/>
        </w:rPr>
        <w:t xml:space="preserve">Furthermore, in addition to creating uncertainty in the PSC arrangement, which the stabilization provisions sought to avoid, the prospects of </w:t>
      </w:r>
      <w:r>
        <w:rPr>
          <w:rFonts w:eastAsia="Calibri"/>
          <w:bCs/>
          <w:iCs/>
        </w:rPr>
        <w:t>"retrospective recovery"</w:t>
      </w:r>
      <w:r>
        <w:rPr>
          <w:rFonts w:eastAsia="Calibri"/>
          <w:bCs/>
          <w:iCs/>
          <w:vertAlign w:val="superscript"/>
        </w:rPr>
        <w:footnoteReference w:id="314"/>
      </w:r>
      <w:r>
        <w:rPr>
          <w:rFonts w:eastAsia="Calibri"/>
          <w:bCs/>
          <w:iCs/>
        </w:rPr>
        <w:t xml:space="preserve"> </w:t>
      </w:r>
      <w:r>
        <w:rPr>
          <w:rFonts w:eastAsia="Calibri"/>
          <w:bCs/>
        </w:rPr>
        <w:t>is against the generally accepted principle that v</w:t>
      </w:r>
      <w:r>
        <w:rPr>
          <w:rFonts w:eastAsia="Calibri"/>
          <w:bCs/>
          <w:iCs/>
        </w:rPr>
        <w:t>ested rights and tax obligations, much like criminal liability, cannot be retrospectively altered.</w:t>
      </w:r>
      <w:r>
        <w:rPr>
          <w:rFonts w:eastAsia="Calibri"/>
          <w:bCs/>
          <w:iCs/>
          <w:vertAlign w:val="superscript"/>
        </w:rPr>
        <w:footnoteReference w:id="315"/>
      </w:r>
      <w:r>
        <w:rPr>
          <w:rFonts w:eastAsia="Calibri"/>
          <w:bCs/>
          <w:iCs/>
        </w:rPr>
        <w:t xml:space="preserve"> </w:t>
      </w:r>
      <w:r>
        <w:rPr>
          <w:rFonts w:eastAsia="Calibri"/>
          <w:bCs/>
        </w:rPr>
        <w:t xml:space="preserve">This has international tax treaty implication if the IOCs are to resort to Bilateral Investment Treaties (BIT) to enforce or preserve their rights under the PSC Act. </w:t>
      </w:r>
    </w:p>
    <w:p w14:paraId="5216F1FC">
      <w:pPr>
        <w:spacing w:after="160" w:line="480" w:lineRule="auto"/>
        <w:jc w:val="both"/>
        <w:rPr>
          <w:rFonts w:eastAsia="Calibri"/>
          <w:bCs/>
        </w:rPr>
      </w:pPr>
      <w:r>
        <w:rPr>
          <w:rFonts w:eastAsia="Calibri"/>
          <w:bCs/>
        </w:rPr>
        <w:t>The Nigeria Extractive Industries Transparency Initiative (NEITI), in its policy brief, entitled ‘</w:t>
      </w:r>
      <w:r>
        <w:rPr>
          <w:rFonts w:eastAsia="Calibri"/>
          <w:bCs/>
          <w:iCs/>
        </w:rPr>
        <w:t>The Steep Cost of Inaction’</w:t>
      </w:r>
      <w:r>
        <w:rPr>
          <w:rFonts w:eastAsia="Calibri"/>
          <w:bCs/>
          <w:iCs/>
          <w:vertAlign w:val="superscript"/>
        </w:rPr>
        <w:footnoteReference w:id="316"/>
      </w:r>
      <w:r>
        <w:rPr>
          <w:rFonts w:eastAsia="Calibri"/>
          <w:bCs/>
          <w:iCs/>
        </w:rPr>
        <w:t xml:space="preserve">, raised questions on </w:t>
      </w:r>
      <w:r>
        <w:rPr>
          <w:rFonts w:eastAsia="Calibri"/>
          <w:bCs/>
        </w:rPr>
        <w:t>the FG's non-review of the 1993 PSCs, which the 2019 Finance Act has attempted to resolve. The existing royalty regime under the PSC Act has by this amendment been replaced with a combined production and price-based royalty regime.</w:t>
      </w:r>
      <w:r>
        <w:rPr>
          <w:rFonts w:eastAsia="Calibri"/>
          <w:bCs/>
          <w:vertAlign w:val="superscript"/>
        </w:rPr>
        <w:footnoteReference w:id="317"/>
      </w:r>
      <w:r>
        <w:rPr>
          <w:rFonts w:eastAsia="Calibri"/>
          <w:bCs/>
        </w:rPr>
        <w:t xml:space="preserve"> Also, a new Section 16 (A) mandates the Minister of Petroleum Resources to cause the NNPC to call for a review of the PSCs every eight (8) years,</w:t>
      </w:r>
      <w:r>
        <w:rPr>
          <w:rFonts w:eastAsia="Calibri"/>
          <w:bCs/>
          <w:vertAlign w:val="superscript"/>
        </w:rPr>
        <w:footnoteReference w:id="318"/>
      </w:r>
      <w:r>
        <w:rPr>
          <w:rFonts w:eastAsia="Calibri"/>
          <w:bCs/>
        </w:rPr>
        <w:t xml:space="preserve"> and a fine of at least ₦500 million for non-compliance with any obligation imposed by the provisions of the Act, or imprisonment for a period not less than five (5) years, or both, upon conviction by a competent court of law.</w:t>
      </w:r>
      <w:r>
        <w:rPr>
          <w:rFonts w:eastAsia="Calibri"/>
          <w:bCs/>
          <w:vertAlign w:val="superscript"/>
        </w:rPr>
        <w:footnoteReference w:id="319"/>
      </w:r>
      <w:r>
        <w:rPr>
          <w:rFonts w:eastAsia="Calibri"/>
          <w:bCs/>
        </w:rPr>
        <w:t xml:space="preserve">  The 2019 FA therefore attempts to precisely define the obligations of all parties for fiscal and law review, and imposes clear penalties for a breach, as these make for more certainty of the tax system. </w:t>
      </w:r>
    </w:p>
    <w:p w14:paraId="554E4309">
      <w:pPr>
        <w:spacing w:after="160" w:line="480" w:lineRule="auto"/>
        <w:jc w:val="both"/>
        <w:rPr>
          <w:rFonts w:eastAsia="Calibri"/>
          <w:bCs/>
          <w:iCs/>
          <w:lang w:val="en-GB"/>
        </w:rPr>
      </w:pPr>
      <w:r>
        <w:rPr>
          <w:rFonts w:eastAsia="Calibri"/>
          <w:bCs/>
          <w:lang w:val="en-GB"/>
        </w:rPr>
        <w:t>These developments underscore the need for fiscal and tax policy and law alignment to avoid ambiguities, and for sustained structured fiscal and tax law review to make the terms of the PSC clear, predictable and aligned with the PPTA</w:t>
      </w:r>
      <w:r>
        <w:rPr>
          <w:rFonts w:eastAsia="Calibri"/>
          <w:bCs/>
          <w:vertAlign w:val="superscript"/>
          <w:lang w:val="en-GB"/>
        </w:rPr>
        <w:footnoteReference w:id="320"/>
      </w:r>
      <w:r>
        <w:rPr>
          <w:rFonts w:eastAsia="Calibri"/>
          <w:bCs/>
          <w:lang w:val="en-GB"/>
        </w:rPr>
        <w:t xml:space="preserve"> provisions, as judicial intervention can only attempt to interpret and clarify stated terms and concepts.</w:t>
      </w:r>
      <w:r>
        <w:rPr>
          <w:rFonts w:eastAsia="Calibri"/>
          <w:bCs/>
          <w:vertAlign w:val="superscript"/>
          <w:lang w:val="en-GB"/>
        </w:rPr>
        <w:footnoteReference w:id="321"/>
      </w:r>
      <w:r>
        <w:rPr>
          <w:rFonts w:eastAsia="Calibri"/>
          <w:bCs/>
          <w:lang w:val="en-GB"/>
        </w:rPr>
        <w:t xml:space="preserve"> The interaction of the various fiscal regimes with </w:t>
      </w:r>
      <w:r>
        <w:rPr>
          <w:rFonts w:eastAsia="Calibri"/>
          <w:bCs/>
          <w:iCs/>
        </w:rPr>
        <w:t>the PPTA clearly added to the uncertainty in the upstream petroleum taxation system.  The PSC Act’s amendment of the PPTA raised many critical questions especially with respect to the treatment of PSC concepts and terms, including whether the PSC terms and provisions qualify as commercial, tax or regulatory legislation.</w:t>
      </w:r>
      <w:r>
        <w:rPr>
          <w:rFonts w:eastAsia="Calibri"/>
          <w:bCs/>
          <w:iCs/>
          <w:vertAlign w:val="superscript"/>
        </w:rPr>
        <w:footnoteReference w:id="322"/>
      </w:r>
      <w:r>
        <w:rPr>
          <w:rFonts w:eastAsia="Calibri"/>
          <w:bCs/>
          <w:iCs/>
        </w:rPr>
        <w:t xml:space="preserve">Some of the basic requirements to achieve tax precision and clarity as reviewed in the </w:t>
      </w:r>
      <w:r>
        <w:rPr>
          <w:rFonts w:eastAsia="Calibri"/>
          <w:bCs/>
          <w:i/>
        </w:rPr>
        <w:t>Fairfax case</w:t>
      </w:r>
      <w:r>
        <w:rPr>
          <w:rFonts w:eastAsia="Calibri"/>
          <w:bCs/>
          <w:iCs/>
        </w:rPr>
        <w:t xml:space="preserve"> discussed below, are relevant for determining if the provisions of the PSC Act, strictly construed qualify as tax legislatives terms. </w:t>
      </w:r>
    </w:p>
    <w:p w14:paraId="366E9F17">
      <w:pPr>
        <w:spacing w:after="160" w:line="480" w:lineRule="auto"/>
        <w:jc w:val="both"/>
        <w:rPr>
          <w:rFonts w:eastAsia="Calibri"/>
          <w:sz w:val="22"/>
          <w:szCs w:val="22"/>
          <w:lang w:val="en-GB"/>
        </w:rPr>
      </w:pPr>
      <w:r>
        <w:rPr>
          <w:rFonts w:eastAsia="Calibri"/>
          <w:bCs/>
          <w:iCs/>
          <w:lang w:val="en-GB"/>
        </w:rPr>
        <w:t xml:space="preserve">In the Australian case of </w:t>
      </w:r>
      <w:r>
        <w:rPr>
          <w:rFonts w:eastAsia="Calibri"/>
          <w:bCs/>
          <w:i/>
          <w:iCs/>
          <w:lang w:val="en-GB"/>
        </w:rPr>
        <w:t>Fairfax v. Federal Commissioner of Taxation</w:t>
      </w:r>
      <w:r>
        <w:rPr>
          <w:rFonts w:eastAsia="Calibri"/>
          <w:bCs/>
          <w:iCs/>
          <w:vertAlign w:val="superscript"/>
          <w:lang w:val="en-GB"/>
        </w:rPr>
        <w:footnoteReference w:id="323"/>
      </w:r>
      <w:r>
        <w:rPr>
          <w:rFonts w:eastAsia="Calibri"/>
          <w:color w:val="040C28"/>
          <w:sz w:val="30"/>
          <w:szCs w:val="30"/>
        </w:rPr>
        <w:t xml:space="preserve"> </w:t>
      </w:r>
      <w:r>
        <w:rPr>
          <w:rFonts w:eastAsia="Calibri"/>
          <w:color w:val="040C28"/>
        </w:rPr>
        <w:t>the</w:t>
      </w:r>
      <w:r>
        <w:rPr>
          <w:rFonts w:eastAsia="Calibri"/>
        </w:rPr>
        <w:t xml:space="preserve"> High</w:t>
      </w:r>
      <w:r>
        <w:rPr>
          <w:rFonts w:eastAsia="Calibri"/>
          <w:bCs/>
        </w:rPr>
        <w:t xml:space="preserve"> Court of Australia considered the scope of the taxation power under section 51(ii) of the Constitution</w:t>
      </w:r>
      <w:r>
        <w:rPr>
          <w:rFonts w:eastAsia="Calibri"/>
          <w:bCs/>
          <w:vertAlign w:val="superscript"/>
        </w:rPr>
        <w:footnoteReference w:id="324"/>
      </w:r>
      <w:r>
        <w:rPr>
          <w:rFonts w:eastAsia="Calibri"/>
          <w:bCs/>
        </w:rPr>
        <w:t xml:space="preserve">, The case identified the key requirement of taxation, which is clarity in the tax obligation imposed by a tax law, and in this case under section 11 of the Income Tax Law. The </w:t>
      </w:r>
      <w:r>
        <w:rPr>
          <w:rFonts w:eastAsia="Calibri"/>
          <w:bCs/>
          <w:i/>
          <w:iCs/>
        </w:rPr>
        <w:t>Fairfax case</w:t>
      </w:r>
      <w:r>
        <w:rPr>
          <w:rFonts w:eastAsia="Calibri"/>
          <w:bCs/>
        </w:rPr>
        <w:t xml:space="preserve"> further provides helpful insight on how precisely defined charging provisions facilitate enforcement and tax compliance, thereby enhancing certainty in the tax system</w:t>
      </w:r>
      <w:r>
        <w:rPr>
          <w:rFonts w:eastAsia="Calibri"/>
          <w:bCs/>
          <w:i/>
          <w:iCs/>
        </w:rPr>
        <w:t>.</w:t>
      </w:r>
      <w:r>
        <w:rPr>
          <w:rFonts w:eastAsia="Calibri"/>
          <w:b/>
          <w:bCs/>
          <w:i/>
          <w:iCs/>
          <w:lang w:val="en-GB"/>
        </w:rPr>
        <w:t xml:space="preserve"> </w:t>
      </w:r>
      <w:r>
        <w:rPr>
          <w:rFonts w:eastAsia="Calibri"/>
          <w:lang w:val="en-GB"/>
        </w:rPr>
        <w:t xml:space="preserve">In this case, Fairfax had challenged </w:t>
      </w:r>
      <w:r>
        <w:rPr>
          <w:rFonts w:eastAsia="Calibri"/>
        </w:rPr>
        <w:t>the </w:t>
      </w:r>
      <w:r>
        <w:fldChar w:fldCharType="begin"/>
      </w:r>
      <w:r>
        <w:instrText xml:space="preserve"> HYPERLINK "https://en.wikipedia.org/wiki/Income_tax" \o "Income tax" </w:instrText>
      </w:r>
      <w:r>
        <w:fldChar w:fldCharType="separate"/>
      </w:r>
      <w:r>
        <w:rPr>
          <w:rFonts w:eastAsia="Calibri"/>
          <w:color w:val="000000"/>
          <w:u w:val="single"/>
        </w:rPr>
        <w:t>i</w:t>
      </w:r>
      <w:r>
        <w:rPr>
          <w:rFonts w:eastAsia="Calibri"/>
          <w:color w:val="000000"/>
        </w:rPr>
        <w:t>ncome tax</w:t>
      </w:r>
      <w:r>
        <w:rPr>
          <w:rFonts w:eastAsia="Calibri"/>
          <w:color w:val="000000"/>
        </w:rPr>
        <w:fldChar w:fldCharType="end"/>
      </w:r>
      <w:r>
        <w:rPr>
          <w:rFonts w:eastAsia="Calibri"/>
        </w:rPr>
        <w:t> and </w:t>
      </w:r>
      <w:r>
        <w:fldChar w:fldCharType="begin"/>
      </w:r>
      <w:r>
        <w:instrText xml:space="preserve"> HYPERLINK "https://en.wikipedia.org/wiki/Social_services" \o "Social services" </w:instrText>
      </w:r>
      <w:r>
        <w:fldChar w:fldCharType="separate"/>
      </w:r>
      <w:r>
        <w:rPr>
          <w:rFonts w:eastAsia="Calibri"/>
          <w:color w:val="000000"/>
        </w:rPr>
        <w:t>social services</w:t>
      </w:r>
      <w:r>
        <w:rPr>
          <w:rFonts w:eastAsia="Calibri"/>
          <w:color w:val="000000"/>
        </w:rPr>
        <w:fldChar w:fldCharType="end"/>
      </w:r>
      <w:r>
        <w:rPr>
          <w:rFonts w:eastAsia="Calibri"/>
          <w:color w:val="000000"/>
        </w:rPr>
        <w:t xml:space="preserve"> charges</w:t>
      </w:r>
      <w:r>
        <w:rPr>
          <w:rFonts w:eastAsia="Calibri"/>
          <w:lang w:val="en-GB"/>
        </w:rPr>
        <w:t xml:space="preserve"> under section 11 of the</w:t>
      </w:r>
      <w:r>
        <w:rPr>
          <w:rFonts w:eastAsia="Calibri"/>
        </w:rPr>
        <w:t> </w:t>
      </w:r>
      <w:r>
        <w:rPr>
          <w:rFonts w:eastAsia="Calibri"/>
          <w:i/>
          <w:iCs/>
        </w:rPr>
        <w:t>Income Tax and Social Services Contribution Assessment Act 1964</w:t>
      </w:r>
      <w:r>
        <w:rPr>
          <w:rFonts w:eastAsia="Calibri"/>
          <w:i/>
          <w:iCs/>
          <w:vertAlign w:val="superscript"/>
        </w:rPr>
        <w:footnoteReference w:id="325"/>
      </w:r>
      <w:r>
        <w:rPr>
          <w:rFonts w:eastAsia="Calibri"/>
        </w:rPr>
        <w:t>.</w:t>
      </w:r>
      <w:r>
        <w:rPr>
          <w:rFonts w:eastAsia="Calibri"/>
          <w:color w:val="202122"/>
          <w:sz w:val="21"/>
          <w:szCs w:val="21"/>
          <w:shd w:val="clear" w:color="auto" w:fill="FFFFFF"/>
        </w:rPr>
        <w:t xml:space="preserve"> </w:t>
      </w:r>
      <w:r>
        <w:rPr>
          <w:rFonts w:eastAsia="Calibri"/>
        </w:rPr>
        <w:t>Fairfax had argued that the law was with respect to superannuation funds, and not an exercise of the taxation power.</w:t>
      </w:r>
      <w:r>
        <w:rPr>
          <w:rFonts w:eastAsia="Times New Roman"/>
          <w:color w:val="202122"/>
          <w:sz w:val="21"/>
          <w:szCs w:val="21"/>
          <w:lang w:val="en-GB" w:eastAsia="en-GB"/>
        </w:rPr>
        <w:t xml:space="preserve"> </w:t>
      </w:r>
      <w:r>
        <w:rPr>
          <w:rFonts w:eastAsia="Calibri"/>
          <w:sz w:val="22"/>
          <w:szCs w:val="22"/>
          <w:lang w:val="en-GB"/>
        </w:rPr>
        <w:t xml:space="preserve">Kitto J however held that, </w:t>
      </w:r>
    </w:p>
    <w:p w14:paraId="4CDA01A2">
      <w:pPr>
        <w:spacing w:after="160" w:line="480" w:lineRule="auto"/>
        <w:ind w:left="720"/>
        <w:jc w:val="both"/>
        <w:rPr>
          <w:rFonts w:eastAsia="Calibri"/>
          <w:lang w:val="en-GB"/>
        </w:rPr>
      </w:pPr>
      <w:r>
        <w:rPr>
          <w:rFonts w:eastAsia="Calibri"/>
          <w:lang w:val="en-GB"/>
        </w:rPr>
        <w:t>“The Commonwealth law was in substance a law with respect to taxation. A tax does not cease to be valid because it regulates, discourages, or even definitely deters the activities taxed.”</w:t>
      </w:r>
    </w:p>
    <w:p w14:paraId="627D7A3E">
      <w:pPr>
        <w:spacing w:after="160" w:line="480" w:lineRule="auto"/>
        <w:jc w:val="both"/>
        <w:rPr>
          <w:rFonts w:eastAsia="Calibri"/>
          <w:lang w:val="en-GB"/>
        </w:rPr>
      </w:pPr>
      <w:r>
        <w:rPr>
          <w:rFonts w:eastAsia="Calibri"/>
          <w:lang w:val="en-GB"/>
        </w:rPr>
        <w:t xml:space="preserve">The plaintiffs had submitted that if superannuation funds were fully undertaken under the law, and invested in government securities, then the Section 11 provision would result in no taxation revenue for the government. The Court however thought the issue of raising revenue was a secondary concern. The law was still concerned with taxation because it imposed a taxation obligation. The fact that the purpose was to deter superannuation funds, did not preclude it from being a matter with respect to taxation.  </w:t>
      </w:r>
    </w:p>
    <w:p w14:paraId="02C786ED">
      <w:pPr>
        <w:spacing w:after="160" w:line="480" w:lineRule="auto"/>
        <w:jc w:val="both"/>
        <w:rPr>
          <w:rFonts w:eastAsia="Calibri"/>
          <w:lang w:val="en-GB"/>
        </w:rPr>
      </w:pPr>
      <w:r>
        <w:rPr>
          <w:rFonts w:eastAsia="Calibri"/>
          <w:lang w:val="en-GB"/>
        </w:rPr>
        <w:t xml:space="preserve">The </w:t>
      </w:r>
      <w:r>
        <w:rPr>
          <w:rFonts w:eastAsia="Calibri"/>
          <w:i/>
          <w:iCs/>
          <w:lang w:val="en-GB"/>
        </w:rPr>
        <w:t>Fairfax case</w:t>
      </w:r>
      <w:r>
        <w:rPr>
          <w:rFonts w:eastAsia="Calibri"/>
          <w:lang w:val="en-GB"/>
        </w:rPr>
        <w:t xml:space="preserve"> also examined </w:t>
      </w:r>
      <w:r>
        <w:rPr>
          <w:rFonts w:eastAsia="Calibri"/>
          <w:bCs/>
          <w:iCs/>
          <w:lang w:val="en-GB"/>
        </w:rPr>
        <w:t xml:space="preserve">the attributes of a taxing statute, even where it seeks to regulate or preclude some subject matter or activities. The characterization of tax obligations and taxing statutes is relevant in our analysis of the PSC terms and concepts as well as the clarity required to impose tax obligations under the PPTA as amended by the PSC Act. The relevant PPTA provisions as amended by the PSC Act to admit the commercial and fiscal incentives within the PSC taxing concepts and obligations in many cases lacked the required definitiveness and clarity, and some of the key characteristics required of a tax statute as identified in </w:t>
      </w:r>
      <w:r>
        <w:rPr>
          <w:rFonts w:eastAsia="Calibri"/>
          <w:bCs/>
          <w:i/>
          <w:lang w:val="en-GB"/>
        </w:rPr>
        <w:t>Fairfax v Federal Commissioner of Taxation</w:t>
      </w:r>
      <w:r>
        <w:rPr>
          <w:rFonts w:eastAsia="Calibri"/>
          <w:bCs/>
          <w:iCs/>
          <w:lang w:val="en-GB"/>
        </w:rPr>
        <w:t xml:space="preserve"> to create a tax obligation. Primarily. the express terms and words in the tax legislation must be clear, as they are generally read strictly and literally. In enforcing tax laws, it is the express terms of the law that will prevail. There can only be a derogation from this if such necessary implication can be founded on the express terms of the statute. Many of the PSC terms and concepts introduced to the PPTA fail this test of precise definition, clarity, and predictability.</w:t>
      </w:r>
    </w:p>
    <w:p w14:paraId="3B8FE2E0">
      <w:pPr>
        <w:spacing w:after="160" w:line="480" w:lineRule="auto"/>
        <w:jc w:val="both"/>
        <w:rPr>
          <w:rFonts w:eastAsia="Calibri"/>
          <w:bCs/>
          <w:iCs/>
          <w:vertAlign w:val="superscript"/>
          <w:lang w:val="en-GB"/>
        </w:rPr>
      </w:pPr>
      <w:r>
        <w:rPr>
          <w:rFonts w:eastAsia="Calibri"/>
          <w:bCs/>
          <w:iCs/>
          <w:lang w:val="en-GB"/>
        </w:rPr>
        <w:t xml:space="preserve">A second characteristic of tax legislation is the direct taxing effect of the tax legislation. In this regard, the question to ask is whether the statute imposes less or more than an obligation to pay tax. The </w:t>
      </w:r>
      <w:r>
        <w:rPr>
          <w:rFonts w:eastAsia="Calibri"/>
          <w:bCs/>
          <w:i/>
          <w:lang w:val="en-GB"/>
        </w:rPr>
        <w:t>Fairfax case</w:t>
      </w:r>
      <w:r>
        <w:rPr>
          <w:rFonts w:eastAsia="Calibri"/>
          <w:bCs/>
          <w:iCs/>
          <w:lang w:val="en-GB"/>
        </w:rPr>
        <w:t xml:space="preserve"> highlights the indirect economic consequence of a tax legislation. The fact that the statute regulates or prescribes a commercial activity, and, as in the PSC case, the contractual and fiscal incentives may not directly obviate a tax obligation created by the statute. In effect, the nature of a tax law cannot be determined by looking at its economic or regulatory consequences.</w:t>
      </w:r>
      <w:r>
        <w:rPr>
          <w:rFonts w:eastAsia="Calibri"/>
          <w:bCs/>
          <w:iCs/>
          <w:vertAlign w:val="superscript"/>
          <w:lang w:val="en-GB"/>
        </w:rPr>
        <w:t xml:space="preserve"> </w:t>
      </w:r>
    </w:p>
    <w:p w14:paraId="19FF8EBC">
      <w:pPr>
        <w:spacing w:after="160" w:line="480" w:lineRule="auto"/>
        <w:jc w:val="both"/>
        <w:rPr>
          <w:rFonts w:eastAsia="Calibri"/>
          <w:bCs/>
          <w:lang w:val="en-GB"/>
        </w:rPr>
      </w:pPr>
      <w:r>
        <w:rPr>
          <w:rFonts w:eastAsia="Calibri"/>
          <w:bCs/>
          <w:iCs/>
          <w:lang w:val="en-GB"/>
        </w:rPr>
        <w:t>Also, in line with cannons of the interpretation of statutes, the motive that prompted the legislature to enact the law should generally be disregarded. A close examination of some of the concepts and the inadequately defined PSC terms which impact the tax imposing PPTA terms and obligation, suggest that the legislative draftsmen may not have carried out a principled and rule-based analysis of PSC terms and provisions, alongside the amendment of the PPTA. Moreover, the label of tax does not ipso facto entitle a law to be characterized as being a tax law if its true character is something else. The PSC Act’s attempt at consolidating economic and commercial incentives awarded to encourage exploration and production of O&amp;G in the deep and shallow waters of Nigeria, in a period of low oil prices and rising cost of operations. However, it failed to achieve the level of clarity and precision required in tax legislation, especially in some of the parameters, concepts, and terms of the PSC, such as, financing costs and interest deductibility as well as such concepts or terms as ‘Contract Area’, ‘Cost oil’, ‘Profit oil’, and Tax oil’.</w:t>
      </w:r>
    </w:p>
    <w:p w14:paraId="7C13873A">
      <w:pPr>
        <w:spacing w:after="160" w:line="480" w:lineRule="auto"/>
        <w:jc w:val="both"/>
        <w:rPr>
          <w:rFonts w:eastAsia="Calibri"/>
          <w:bCs/>
          <w:lang w:val="en-GB"/>
        </w:rPr>
      </w:pPr>
      <w:r>
        <w:rPr>
          <w:rFonts w:eastAsia="Calibri"/>
          <w:bCs/>
          <w:lang w:val="en-GB"/>
        </w:rPr>
        <w:t xml:space="preserve">In the </w:t>
      </w:r>
      <w:r>
        <w:rPr>
          <w:rFonts w:eastAsia="Calibri"/>
          <w:bCs/>
          <w:i/>
          <w:lang w:val="en-GB"/>
        </w:rPr>
        <w:t>Total Exploration &amp; Production Nig. Ltd. &amp; Ors. V. Federal Inland Revenue Service case</w:t>
      </w:r>
      <w:r>
        <w:rPr>
          <w:rFonts w:eastAsia="Calibri"/>
          <w:bCs/>
          <w:lang w:val="en-GB"/>
        </w:rPr>
        <w:t>,</w:t>
      </w:r>
      <w:r>
        <w:rPr>
          <w:rFonts w:eastAsia="Calibri"/>
          <w:bCs/>
          <w:vertAlign w:val="superscript"/>
          <w:lang w:val="en-GB"/>
        </w:rPr>
        <w:footnoteReference w:id="326"/>
      </w:r>
      <w:r>
        <w:rPr>
          <w:rFonts w:eastAsia="Calibri"/>
          <w:bCs/>
          <w:lang w:val="en-GB"/>
        </w:rPr>
        <w:t xml:space="preserve"> the uncertainty arising from the PSC term ‘Contract Area’ came up for review. The Notice of Assessment pertaining to the Contract Area of the PSC failed to list each of the parties to the PSC. Relying on Section 39(1) of the PPTA</w:t>
      </w:r>
      <w:r>
        <w:rPr>
          <w:rFonts w:eastAsia="Calibri"/>
          <w:bCs/>
          <w:vertAlign w:val="superscript"/>
          <w:lang w:val="en-GB"/>
        </w:rPr>
        <w:footnoteReference w:id="327"/>
      </w:r>
      <w:r>
        <w:rPr>
          <w:rFonts w:eastAsia="Calibri"/>
          <w:bCs/>
          <w:lang w:val="en-GB"/>
        </w:rPr>
        <w:t xml:space="preserve"> the Appellants argued that this failure did not nullify the assessment.  The TAT ruled that the word used in Section 37(1) of the PPTA</w:t>
      </w:r>
      <w:r>
        <w:rPr>
          <w:rFonts w:eastAsia="Calibri"/>
          <w:bCs/>
          <w:vertAlign w:val="superscript"/>
          <w:lang w:val="en-GB"/>
        </w:rPr>
        <w:footnoteReference w:id="328"/>
      </w:r>
      <w:r>
        <w:rPr>
          <w:rFonts w:eastAsia="Calibri"/>
          <w:bCs/>
          <w:lang w:val="en-GB"/>
        </w:rPr>
        <w:t xml:space="preserve"> is </w:t>
      </w:r>
      <w:r>
        <w:rPr>
          <w:rFonts w:eastAsia="Calibri"/>
          <w:bCs/>
          <w:i/>
          <w:lang w:val="en-GB"/>
        </w:rPr>
        <w:t>“shall</w:t>
      </w:r>
      <w:r>
        <w:rPr>
          <w:rFonts w:eastAsia="Calibri"/>
          <w:bCs/>
          <w:lang w:val="en-GB"/>
        </w:rPr>
        <w:t>,” making it mandatory for the parties to be listed. The TAT however declined to decide on this issue but affirmed instead that it would be “more expedient to serve the notice of assessment on each party to leave this issue out of contention”.</w:t>
      </w:r>
    </w:p>
    <w:p w14:paraId="1437C079">
      <w:pPr>
        <w:spacing w:after="160" w:line="480" w:lineRule="auto"/>
        <w:jc w:val="both"/>
        <w:rPr>
          <w:rFonts w:eastAsia="Calibri"/>
          <w:bCs/>
          <w:iCs/>
        </w:rPr>
      </w:pPr>
      <w:r>
        <w:rPr>
          <w:rFonts w:eastAsia="Calibri"/>
          <w:bCs/>
          <w:iCs/>
          <w:lang w:val="en-GB"/>
        </w:rPr>
        <w:t>Section 15 of the PSC is another significant provision with respect to establishing certainty in the interaction of the PSC Act with the PPTA</w:t>
      </w:r>
      <w:r>
        <w:rPr>
          <w:rFonts w:eastAsia="Calibri"/>
          <w:bCs/>
          <w:iCs/>
          <w:vertAlign w:val="superscript"/>
        </w:rPr>
        <w:footnoteReference w:id="329"/>
      </w:r>
      <w:r>
        <w:rPr>
          <w:rFonts w:eastAsia="Calibri"/>
          <w:bCs/>
          <w:iCs/>
        </w:rPr>
        <w:t>.</w:t>
      </w:r>
      <w:r>
        <w:rPr>
          <w:rFonts w:eastAsia="Calibri"/>
          <w:bCs/>
          <w:iCs/>
          <w:lang w:val="en-GB"/>
        </w:rPr>
        <w:t>The section provides for the adaptation and invalidation of other legislative enactments to the extent of their inconsistency with the PSC Act. This in effect removed the flexibility associated with PSCs and, it has been argued, confirmed the PSC Act as a stabilization enactment,</w:t>
      </w:r>
      <w:r>
        <w:rPr>
          <w:rFonts w:eastAsia="Calibri"/>
          <w:bCs/>
          <w:iCs/>
          <w:vertAlign w:val="superscript"/>
          <w:lang w:val="en-GB"/>
        </w:rPr>
        <w:footnoteReference w:id="330"/>
      </w:r>
      <w:r>
        <w:rPr>
          <w:rFonts w:eastAsia="Calibri"/>
          <w:bCs/>
          <w:iCs/>
          <w:lang w:val="en-GB"/>
        </w:rPr>
        <w:t xml:space="preserve"> superseding all other legislative enactments including the PA and the PPTA. Section 1 of the PSC Act states that “</w:t>
      </w:r>
      <w:r>
        <w:rPr>
          <w:rFonts w:eastAsia="Calibri"/>
          <w:bCs/>
          <w:iCs/>
        </w:rPr>
        <w:t>notwithstanding anything to the contrary contained in any other enactment or law, the provisions of this Act shall apply to all production sharing contracts as defined in section 17 of this Act”</w:t>
      </w:r>
      <w:r>
        <w:rPr>
          <w:rFonts w:eastAsia="Calibri"/>
          <w:bCs/>
          <w:iCs/>
          <w:vertAlign w:val="superscript"/>
        </w:rPr>
        <w:footnoteReference w:id="331"/>
      </w:r>
      <w:r>
        <w:rPr>
          <w:rFonts w:eastAsia="Calibri"/>
          <w:bCs/>
          <w:iCs/>
        </w:rPr>
        <w:t xml:space="preserve">. </w:t>
      </w:r>
      <w:r>
        <w:rPr>
          <w:rFonts w:eastAsia="Calibri"/>
          <w:bCs/>
          <w:iCs/>
          <w:lang w:val="en-GB"/>
        </w:rPr>
        <w:t xml:space="preserve">With the PSC Act effectively amending the PPTA and other taxing legislation affecting upstream petroleum taxation as examined in the next section, it may be observed that the stabilization provision of the PSC Act did not achieve the desired level of clarity and certainty for upstream petroleum taxation. Moreover, the non-enforcement and implementation of the PSC Act review provisions as they relate to royalty and oil prices change as well as the periodic review and amendment of the PSC Act </w:t>
      </w:r>
      <w:r>
        <w:rPr>
          <w:rFonts w:eastAsia="Calibri"/>
          <w:bCs/>
          <w:iCs/>
          <w:vertAlign w:val="superscript"/>
          <w:lang w:val="en-GB"/>
        </w:rPr>
        <w:footnoteReference w:id="332"/>
      </w:r>
      <w:r>
        <w:rPr>
          <w:rFonts w:eastAsia="Calibri"/>
          <w:bCs/>
          <w:iCs/>
          <w:lang w:val="en-GB"/>
        </w:rPr>
        <w:t xml:space="preserve"> were clear indicators of the gaps and non-alignment of fiscal objectives of the PPTA and the PSC regime. </w:t>
      </w:r>
    </w:p>
    <w:p w14:paraId="39DF93EF">
      <w:pPr>
        <w:spacing w:after="160" w:line="480" w:lineRule="auto"/>
        <w:jc w:val="both"/>
        <w:rPr>
          <w:rFonts w:eastAsia="Calibri"/>
          <w:b/>
          <w:bCs/>
          <w:lang w:val="en-GB"/>
        </w:rPr>
      </w:pPr>
    </w:p>
    <w:p w14:paraId="513B1795">
      <w:pPr>
        <w:spacing w:after="160" w:line="480" w:lineRule="auto"/>
        <w:jc w:val="both"/>
        <w:rPr>
          <w:rFonts w:eastAsia="Calibri"/>
          <w:bCs/>
        </w:rPr>
      </w:pPr>
      <w:r>
        <w:rPr>
          <w:rFonts w:eastAsia="Calibri"/>
          <w:b/>
          <w:bCs/>
          <w:lang w:val="en-GB"/>
        </w:rPr>
        <w:t xml:space="preserve">4.3 </w:t>
      </w:r>
      <w:r>
        <w:rPr>
          <w:rFonts w:eastAsia="Calibri"/>
          <w:b/>
          <w:bCs/>
        </w:rPr>
        <w:t>THE INTERACTION OF THE PPTA AS AMENDED BY THE PSC ACT WITH THE OTHER TAX STATUTES</w:t>
      </w:r>
    </w:p>
    <w:p w14:paraId="63048E36">
      <w:pPr>
        <w:spacing w:after="160" w:line="480" w:lineRule="auto"/>
        <w:jc w:val="both"/>
        <w:rPr>
          <w:rFonts w:eastAsia="Calibri"/>
          <w:bCs/>
          <w:lang w:val="en-GB"/>
        </w:rPr>
      </w:pPr>
      <w:r>
        <w:rPr>
          <w:rFonts w:eastAsia="Calibri"/>
          <w:bCs/>
          <w:lang w:val="en-GB"/>
        </w:rPr>
        <w:t>In this section, we examine the interaction of the fiscal regimes</w:t>
      </w:r>
      <w:r>
        <w:rPr>
          <w:rFonts w:eastAsia="Calibri"/>
          <w:bCs/>
          <w:vertAlign w:val="superscript"/>
          <w:lang w:val="en-GB"/>
        </w:rPr>
        <w:footnoteReference w:id="333"/>
      </w:r>
      <w:r>
        <w:rPr>
          <w:rFonts w:eastAsia="Calibri"/>
          <w:bCs/>
          <w:lang w:val="en-GB"/>
        </w:rPr>
        <w:t xml:space="preserve"> and the impact of the various Federal and State taxing statutes with the principal tax Acts, i.e., the PPTA, PSC and CITA. This interaction is due in part to the exercise by the federating units of their perceived legislative powers under the 1999 Constitution. This has resulted in the incidence of multiple taxes, levies and fees charged by the federating unit and local councils on upstream petroleum operations and the petroleum tax system. Also, the multi-tier tax administrative structure in the federation has implications for upstream petroleum taxation. The multiple jurisdictions and the court systems have resulted in several conflicting tax rulings emanating sometimes from the TAT and the FHC. As discussed in chapter 3, the over-centralization of fiscal powers in the FG and the overlap in the Constitutional fiscal and taxing powers of the Federating units, i.e., between the FG and the States and local councils in Nigeria, has triggered a competition for revenue capture through the unclear and sometimes overlapping exercise of taxing powers. Consequently, this has affected the level of clarity in tax legislative provisions and the exercise of taxing powers affecting upstream petroleum activities. </w:t>
      </w:r>
    </w:p>
    <w:p w14:paraId="40D09AB7">
      <w:pPr>
        <w:spacing w:after="160" w:line="480" w:lineRule="auto"/>
        <w:jc w:val="both"/>
        <w:rPr>
          <w:rFonts w:eastAsia="Calibri"/>
          <w:lang w:val="en-GB"/>
        </w:rPr>
      </w:pPr>
      <w:r>
        <w:rPr>
          <w:rFonts w:eastAsia="Calibri"/>
          <w:bCs/>
          <w:lang w:val="en-GB"/>
        </w:rPr>
        <w:t xml:space="preserve">The line of cases examined below highlights some of these overlaps arising from the exercise of the tax legislative powers by the federating units in the Nigeria federal system and how this affects upstream petroleum taxation. </w:t>
      </w:r>
      <w:r>
        <w:rPr>
          <w:rFonts w:eastAsia="Calibri"/>
          <w:lang w:val="en-GB"/>
        </w:rPr>
        <w:t xml:space="preserve">In the </w:t>
      </w:r>
      <w:r>
        <w:rPr>
          <w:rFonts w:eastAsia="Calibri"/>
          <w:i/>
          <w:lang w:val="en-GB"/>
        </w:rPr>
        <w:t xml:space="preserve">Schlumberger Nigeria Limited v. Obio-Akpor Local Government Council case, </w:t>
      </w:r>
      <w:r>
        <w:rPr>
          <w:rFonts w:eastAsia="Calibri"/>
          <w:vertAlign w:val="superscript"/>
          <w:lang w:val="en-GB"/>
        </w:rPr>
        <w:footnoteReference w:id="334"/>
      </w:r>
      <w:r>
        <w:rPr>
          <w:rFonts w:eastAsia="Calibri"/>
          <w:lang w:val="en-GB"/>
        </w:rPr>
        <w:t xml:space="preserve"> the High Court declared all forms of taxes imposed by the Obio-Akpor Local Government Council in Rivers State, affecting petroleum services, as null and void. The Court held that the Rivers State Taxes, Levies By Law of 2004; which vested in the Council the power to impose charges, levies and fees, was inconsistent with the Taxes and Levies (Approved List for Collection ) Act of 2004.</w:t>
      </w:r>
      <w:r>
        <w:rPr>
          <w:rFonts w:eastAsia="Calibri"/>
          <w:vertAlign w:val="superscript"/>
          <w:lang w:val="en-GB"/>
        </w:rPr>
        <w:footnoteReference w:id="335"/>
      </w:r>
      <w:r>
        <w:rPr>
          <w:rFonts w:eastAsia="Calibri"/>
          <w:lang w:val="en-GB"/>
        </w:rPr>
        <w:t xml:space="preserve"> The Court  stated further that “any provision of a Local Government Council providing for taxes and levies outside those provided under Part III of the Schedule to the Taxes and Levies (Approved List for Collection) Act 2004 is ultra vires, irregular, unconstitutional, null and void and of no effect.”</w:t>
      </w:r>
    </w:p>
    <w:p w14:paraId="1DCC23F1">
      <w:pPr>
        <w:spacing w:after="160" w:line="480" w:lineRule="auto"/>
        <w:jc w:val="both"/>
        <w:rPr>
          <w:rFonts w:eastAsia="Calibri"/>
          <w:lang w:val="en-GB"/>
        </w:rPr>
      </w:pPr>
      <w:r>
        <w:rPr>
          <w:rFonts w:eastAsia="Calibri"/>
          <w:lang w:val="en-GB"/>
        </w:rPr>
        <w:t xml:space="preserve">In </w:t>
      </w:r>
      <w:r>
        <w:rPr>
          <w:rFonts w:eastAsia="Calibri"/>
          <w:i/>
          <w:lang w:val="en-GB"/>
        </w:rPr>
        <w:t>Shell Petroleum Development Co Nigeria Ltd v Bayelsa State Board of Internal Revenue</w:t>
      </w:r>
      <w:r>
        <w:rPr>
          <w:rFonts w:eastAsia="Calibri"/>
          <w:vertAlign w:val="superscript"/>
          <w:lang w:val="en-GB"/>
        </w:rPr>
        <w:footnoteReference w:id="336"/>
      </w:r>
      <w:r>
        <w:rPr>
          <w:rFonts w:eastAsia="Calibri"/>
          <w:lang w:val="en-GB"/>
        </w:rPr>
        <w:t>, SPDC, the plaintiff, challenged the legality of the Infrastructure Maintenance Levy Law 2003 of Bayelsa State. The court held that while the State had the power to legislate on and impose taxes, the State had no capacity or authority to impose any tax outside Part II of the Taxes and Levies (Approved List for Collection) Act.</w:t>
      </w:r>
      <w:r>
        <w:rPr>
          <w:rFonts w:eastAsia="Calibri"/>
          <w:vertAlign w:val="superscript"/>
          <w:lang w:val="en-GB"/>
        </w:rPr>
        <w:footnoteReference w:id="337"/>
      </w:r>
      <w:r>
        <w:rPr>
          <w:rFonts w:eastAsia="Calibri"/>
          <w:lang w:val="en-GB"/>
        </w:rPr>
        <w:t xml:space="preserve"> The court further held that the laws enacted are not void but voidable, as they have not passed through the Joint Tax Board (JTB).</w:t>
      </w:r>
      <w:r>
        <w:rPr>
          <w:rFonts w:eastAsia="Calibri"/>
          <w:vertAlign w:val="superscript"/>
          <w:lang w:val="en-GB"/>
        </w:rPr>
        <w:footnoteReference w:id="338"/>
      </w:r>
    </w:p>
    <w:p w14:paraId="3B8B96A3">
      <w:pPr>
        <w:spacing w:after="160" w:line="480" w:lineRule="auto"/>
        <w:jc w:val="both"/>
        <w:rPr>
          <w:rFonts w:eastAsia="Calibri"/>
          <w:lang w:val="en-GB"/>
        </w:rPr>
      </w:pPr>
      <w:r>
        <w:rPr>
          <w:rFonts w:eastAsia="Calibri"/>
          <w:lang w:val="en-GB"/>
        </w:rPr>
        <w:t xml:space="preserve">In yet another case, </w:t>
      </w:r>
      <w:r>
        <w:rPr>
          <w:rFonts w:eastAsia="Calibri"/>
          <w:i/>
          <w:lang w:val="en-GB"/>
        </w:rPr>
        <w:t>Mobil Producing Nigeria Unlimited v Tai Local Government of Rivers State of Nigeria</w:t>
      </w:r>
      <w:r>
        <w:rPr>
          <w:rFonts w:eastAsia="Calibri"/>
          <w:b/>
          <w:lang w:val="en-GB"/>
        </w:rPr>
        <w:t>,</w:t>
      </w:r>
      <w:r>
        <w:rPr>
          <w:rFonts w:eastAsia="Calibri"/>
          <w:vertAlign w:val="superscript"/>
          <w:lang w:val="en-GB"/>
        </w:rPr>
        <w:footnoteReference w:id="339"/>
      </w:r>
      <w:r>
        <w:rPr>
          <w:rFonts w:eastAsia="Calibri"/>
          <w:lang w:val="en-GB"/>
        </w:rPr>
        <w:t xml:space="preserve"> the court held that the local government had limited power over areas where they can levy and impose taxes under the 1999 Federal Constitution of Nigeria. Apparently, in seeking to internally generate additional revenues in the local council areas, the local government were over-reaching or extending their fiscal legislative powers beyond the items in the residual list, as stated in the Constitution. This attempt on the part of the State governments and local councils across the federation, especially in the Niger Delta areas where petroleum operations are carried out, typically raised issues on the constitutionality of these taxes, as well as creating frictions and the incidence of multiple taxes and levies in upstream petroleum taxation.</w:t>
      </w:r>
    </w:p>
    <w:p w14:paraId="751ECCFE">
      <w:pPr>
        <w:spacing w:after="160" w:line="480" w:lineRule="auto"/>
        <w:jc w:val="both"/>
        <w:rPr>
          <w:rFonts w:eastAsia="Calibri"/>
          <w:lang w:val="en-GB"/>
        </w:rPr>
      </w:pPr>
      <w:r>
        <w:rPr>
          <w:rFonts w:eastAsia="Calibri"/>
          <w:lang w:val="en-GB"/>
        </w:rPr>
        <w:t>With respect to transaction taxes and VAT, some of the States have, in exercising their perceived legislative powers under the Constitution, also enacted either Sales Tax or VAT legislations to facilitate the assessment and collection of revenues, through more transaction taxes, charges and levies to generate tax revenues for development. This has also resulted in the incidence of double and multiple taxation and increased costs of operations for petroleum companies. However, the enactments have been challenged for over-reaching or seeking to tax the same base that a federal enactment such as the VATA has taxed. A case in point is the appeal against a FHC decision, involving the</w:t>
      </w:r>
      <w:r>
        <w:rPr>
          <w:rFonts w:eastAsia="Calibri"/>
          <w:i/>
          <w:lang w:val="en-GB"/>
        </w:rPr>
        <w:t xml:space="preserve"> Attorney General (AG) of Lagos State v. Eko Hotels Ltd &amp; Anor</w:t>
      </w:r>
      <w:r>
        <w:rPr>
          <w:rFonts w:eastAsia="Calibri"/>
          <w:lang w:val="en-GB"/>
        </w:rPr>
        <w:t>.</w:t>
      </w:r>
      <w:r>
        <w:rPr>
          <w:rFonts w:eastAsia="Calibri"/>
          <w:vertAlign w:val="superscript"/>
          <w:lang w:val="en-GB"/>
        </w:rPr>
        <w:footnoteReference w:id="340"/>
      </w:r>
      <w:r>
        <w:rPr>
          <w:rFonts w:eastAsia="Calibri"/>
          <w:lang w:val="en-GB"/>
        </w:rPr>
        <w:t xml:space="preserve"> The Court of Appeal (CA) held among other things that the FG through the FIRS was entitled to the money collected by EKO Hotels Ltd as consumption tax on sales made to its customers.</w:t>
      </w:r>
      <w:r>
        <w:rPr>
          <w:rFonts w:eastAsia="Calibri"/>
          <w:vertAlign w:val="superscript"/>
          <w:lang w:val="en-GB"/>
        </w:rPr>
        <w:footnoteReference w:id="341"/>
      </w:r>
      <w:r>
        <w:rPr>
          <w:rFonts w:eastAsia="Calibri"/>
          <w:lang w:val="en-GB"/>
        </w:rPr>
        <w:t>The CA held that the Sales Tax law of Lagos State was no longer operational as it was applicable on the same matters as the Value Added Tax Act (VATA), a Federal enactment. The Court held further that the collection of VAT and Sales Tax on the same goods and services would amount to double taxation and that the VAT Act being a federal statute was superior, and therefore takes precedence over the Lagos State Sales Tax laws.</w:t>
      </w:r>
    </w:p>
    <w:p w14:paraId="39AB2E0D">
      <w:pPr>
        <w:spacing w:after="160" w:line="480" w:lineRule="auto"/>
        <w:jc w:val="both"/>
        <w:rPr>
          <w:rFonts w:eastAsia="Calibri"/>
          <w:lang w:val="en-GB"/>
        </w:rPr>
      </w:pPr>
      <w:r>
        <w:rPr>
          <w:rFonts w:eastAsia="Calibri"/>
          <w:lang w:val="en-GB"/>
        </w:rPr>
        <w:t>In two more recent cases on VAT,</w:t>
      </w:r>
      <w:r>
        <w:rPr>
          <w:rFonts w:eastAsia="Calibri"/>
          <w:vertAlign w:val="superscript"/>
          <w:lang w:val="en-GB"/>
        </w:rPr>
        <w:footnoteReference w:id="342"/>
      </w:r>
      <w:r>
        <w:rPr>
          <w:rFonts w:eastAsia="Calibri"/>
          <w:lang w:val="en-GB"/>
        </w:rPr>
        <w:t xml:space="preserve"> the FHC has essentially held that the Constitutional powers and competence of the FG is limited to the taxation of incomes, profits, and capital gains, and does not include VAT or any other species of Sales Tax. The FHC declared that the powers of the FG to impose taxes is limited to the items listed in item 59</w:t>
      </w:r>
      <w:r>
        <w:rPr>
          <w:rFonts w:eastAsia="Calibri"/>
          <w:vertAlign w:val="superscript"/>
          <w:lang w:val="en-GB"/>
        </w:rPr>
        <w:footnoteReference w:id="343"/>
      </w:r>
      <w:r>
        <w:rPr>
          <w:rFonts w:eastAsia="Calibri"/>
          <w:lang w:val="en-GB"/>
        </w:rPr>
        <w:t xml:space="preserve"> of Part 1 of the Second Schedule of the 1999 Constitution (as amended), and does not include power to impose VAT, TET, Technology Levy among others. It further held that, insofar as the VAT Act purports to impose, levy, or authorise the demand and collection of VAT, by any other agency of the FG, it is unconstitutional, illegal, null and void to the extent of its inconsistency with the provisions of the 1999 Constitution as amended.</w:t>
      </w:r>
      <w:r>
        <w:rPr>
          <w:rFonts w:eastAsia="Calibri"/>
          <w:vertAlign w:val="superscript"/>
          <w:lang w:val="en-GB"/>
        </w:rPr>
        <w:footnoteReference w:id="344"/>
      </w:r>
      <w:r>
        <w:rPr>
          <w:rFonts w:eastAsia="Calibri"/>
          <w:lang w:val="en-GB"/>
        </w:rPr>
        <w:t xml:space="preserve"> It declared that the powers of the FG to delegate the collection of taxes is limited by the provisions of items 7 &amp; 8 of Part 11</w:t>
      </w:r>
      <w:r>
        <w:rPr>
          <w:rFonts w:eastAsia="Calibri"/>
          <w:vertAlign w:val="superscript"/>
          <w:lang w:val="en-GB"/>
        </w:rPr>
        <w:footnoteReference w:id="345"/>
      </w:r>
      <w:r>
        <w:rPr>
          <w:rFonts w:eastAsia="Calibri"/>
          <w:lang w:val="en-GB"/>
        </w:rPr>
        <w:t xml:space="preserve"> (Concurrent Legislative List) of the Second Schedule of the 1999 Constitution. </w:t>
      </w:r>
    </w:p>
    <w:p w14:paraId="77127346">
      <w:pPr>
        <w:spacing w:after="160" w:line="480" w:lineRule="auto"/>
        <w:jc w:val="both"/>
        <w:rPr>
          <w:rFonts w:eastAsia="Calibri"/>
          <w:lang w:val="en-GB"/>
        </w:rPr>
      </w:pPr>
      <w:r>
        <w:rPr>
          <w:rFonts w:eastAsia="Calibri"/>
          <w:lang w:val="en-GB"/>
        </w:rPr>
        <w:t xml:space="preserve">The decisions in the two VAT cases are significant, as they attempt to delimit and delineate the fiscal scope and taxing powers of the FG, and by extension that of the federating States under the 1999 Constitution. Prior to this, the FG had arrogated to itself the role of legislating and collecting VAT on behalf of the federating States, on items outside the scope of gains, incomes, profits, and excise duty. This has been contentious to say the least and particularly affects VAT transactions in the petroleum industry, and upstream petroleum taxation, given that significant levels of the transactions and services are generated or supplied to companies engaged in petroleum operations. This reinforces the need for a Constitutional amendment to give more clarity to the taxing powers of the States and Local Councils, vis-à-vis the FG. In the meantime, since the decision of the FHC on VAT is being appealed, it will hopefully clarify the issue of the taxing powers of all the federating units in the Federation. This is indeed necessary and will bring more clarity and certainty to the entire tax system. </w:t>
      </w:r>
    </w:p>
    <w:p w14:paraId="19DD3A5F">
      <w:pPr>
        <w:spacing w:after="160" w:line="480" w:lineRule="auto"/>
        <w:jc w:val="both"/>
        <w:rPr>
          <w:rFonts w:eastAsia="Calibri"/>
          <w:bCs/>
        </w:rPr>
      </w:pPr>
      <w:r>
        <w:rPr>
          <w:rFonts w:eastAsia="Calibri"/>
          <w:bCs/>
        </w:rPr>
        <w:t xml:space="preserve">Another source of uncertainty for upstream petroleum taxation which affects international as well as domestic taxation is the taxation of services provided by non-resident companies (NRC). Section 13(2) of CITA, on the taxation of companies not registered in Nigeria, states that the profits of a non-Nigerian company from any trade or business shall be deemed to be derived from Nigeria in the following circumstances: </w:t>
      </w:r>
    </w:p>
    <w:p w14:paraId="5714FE64">
      <w:pPr>
        <w:numPr>
          <w:ilvl w:val="0"/>
          <w:numId w:val="24"/>
        </w:numPr>
        <w:spacing w:after="160" w:line="480" w:lineRule="auto"/>
        <w:jc w:val="both"/>
        <w:rPr>
          <w:rFonts w:eastAsia="Calibri"/>
          <w:bCs/>
          <w:lang w:val="en-GB"/>
        </w:rPr>
      </w:pPr>
      <w:r>
        <w:rPr>
          <w:rFonts w:eastAsia="Calibri"/>
          <w:bCs/>
          <w:lang w:val="en-GB"/>
        </w:rPr>
        <w:t>if that company has a fixed base of business in Nigeria to the extent that the profits are attributable to the fixed base,</w:t>
      </w:r>
    </w:p>
    <w:p w14:paraId="5B701ECA">
      <w:pPr>
        <w:numPr>
          <w:ilvl w:val="0"/>
          <w:numId w:val="24"/>
        </w:numPr>
        <w:spacing w:after="160" w:line="480" w:lineRule="auto"/>
        <w:jc w:val="both"/>
        <w:rPr>
          <w:rFonts w:eastAsia="Calibri"/>
          <w:bCs/>
          <w:lang w:val="en-GB"/>
        </w:rPr>
      </w:pPr>
      <w:r>
        <w:rPr>
          <w:rFonts w:eastAsia="Calibri"/>
          <w:bCs/>
          <w:lang w:val="en-GB"/>
        </w:rPr>
        <w:t xml:space="preserve">if it does not have such a fixed base in Nigeria, but habitually operates a trade or business through a person in Nigeria authorised to conduct on its behalf or on behalf of some other companies controlled by it or which have controlling interest in it; or habitually maintains a stock of goods or merchandise in Nigeria from which deliveries are regularly made…, </w:t>
      </w:r>
    </w:p>
    <w:p w14:paraId="775A0AC3">
      <w:pPr>
        <w:numPr>
          <w:ilvl w:val="0"/>
          <w:numId w:val="24"/>
        </w:numPr>
        <w:spacing w:after="160" w:line="480" w:lineRule="auto"/>
        <w:jc w:val="both"/>
        <w:rPr>
          <w:rFonts w:eastAsia="Calibri"/>
          <w:bCs/>
          <w:lang w:val="en-GB"/>
        </w:rPr>
      </w:pPr>
      <w:r>
        <w:rPr>
          <w:rFonts w:eastAsia="Calibri"/>
          <w:bCs/>
          <w:lang w:val="en-GB"/>
        </w:rPr>
        <w:t xml:space="preserve">if the trade or business or activities involves a single contract for surveys, deliveries, installations or construction, the profit from that contract; and </w:t>
      </w:r>
    </w:p>
    <w:p w14:paraId="545BE3CF">
      <w:pPr>
        <w:numPr>
          <w:ilvl w:val="0"/>
          <w:numId w:val="24"/>
        </w:numPr>
        <w:spacing w:after="160" w:line="480" w:lineRule="auto"/>
        <w:jc w:val="both"/>
        <w:rPr>
          <w:rFonts w:eastAsia="Calibri"/>
          <w:bCs/>
          <w:lang w:val="en-GB"/>
        </w:rPr>
      </w:pPr>
      <w:r>
        <w:rPr>
          <w:rFonts w:eastAsia="Calibri"/>
          <w:bCs/>
          <w:lang w:val="en-GB"/>
        </w:rPr>
        <w:t>where the trade or business or activities is between the company and another person controlled by it or which has controlling interest in it….’</w:t>
      </w:r>
    </w:p>
    <w:p w14:paraId="643F5789">
      <w:pPr>
        <w:spacing w:after="160" w:line="480" w:lineRule="auto"/>
        <w:jc w:val="both"/>
        <w:rPr>
          <w:rFonts w:eastAsia="Calibri"/>
          <w:bCs/>
        </w:rPr>
      </w:pPr>
      <w:r>
        <w:rPr>
          <w:rFonts w:eastAsia="Calibri"/>
          <w:bCs/>
          <w:lang w:val="en-GB"/>
        </w:rPr>
        <w:t>The lack of clarity in terms and concepts such as fixed base (FB) under domestic tax law, and the precise extent of turnkey contracts, agency arrangements and the characterization</w:t>
      </w:r>
      <w:r>
        <w:rPr>
          <w:rFonts w:eastAsia="Calibri"/>
          <w:bCs/>
        </w:rPr>
        <w:t xml:space="preserve"> of activities subject to domestic taxation in section 13(2) of CITA have been a source of concern for upstream petroleum operators. A fixed base (FB) under domestic tax law is not clearly defined, and its implications for permanent establishment (PE) for international and Double Tax Treaty (DTT) purposes can be confusing. This has significance for both the principle of economic substance and significant economic presence and the OECD </w:t>
      </w:r>
      <w:r>
        <w:fldChar w:fldCharType="begin"/>
      </w:r>
      <w:r>
        <w:instrText xml:space="preserve"> HYPERLINK "https://www.oecd.org/tax/beps/brochure-addressing-the-tax-challenges-arising-from-the-digitalisation-of-the-economy-july-2021.pdf" \t "_blank" </w:instrText>
      </w:r>
      <w:r>
        <w:fldChar w:fldCharType="separate"/>
      </w:r>
      <w:r>
        <w:rPr>
          <w:rFonts w:eastAsia="Calibri"/>
          <w:bCs/>
          <w:color w:val="000000"/>
        </w:rPr>
        <w:t>Two-Pillar Solution</w:t>
      </w:r>
      <w:r>
        <w:rPr>
          <w:rFonts w:eastAsia="Calibri"/>
          <w:bCs/>
          <w:color w:val="000000"/>
        </w:rPr>
        <w:fldChar w:fldCharType="end"/>
      </w:r>
      <w:r>
        <w:rPr>
          <w:rFonts w:eastAsia="Calibri"/>
          <w:bCs/>
        </w:rPr>
        <w:t> to the tax challenges arising from the digitalization of the economy.</w:t>
      </w:r>
      <w:r>
        <w:rPr>
          <w:rFonts w:eastAsia="Calibri"/>
          <w:bCs/>
          <w:vertAlign w:val="superscript"/>
        </w:rPr>
        <w:footnoteReference w:id="346"/>
      </w:r>
      <w:r>
        <w:rPr>
          <w:rFonts w:eastAsia="Calibri"/>
          <w:bCs/>
        </w:rPr>
        <w:t xml:space="preserve">  </w:t>
      </w:r>
    </w:p>
    <w:p w14:paraId="6D0E0CB7">
      <w:pPr>
        <w:spacing w:after="160" w:line="480" w:lineRule="auto"/>
        <w:jc w:val="both"/>
        <w:rPr>
          <w:rFonts w:eastAsia="Calibri"/>
          <w:bCs/>
          <w:lang w:val="en-GB"/>
        </w:rPr>
      </w:pPr>
      <w:r>
        <w:rPr>
          <w:rFonts w:eastAsia="Calibri"/>
          <w:bCs/>
          <w:lang w:val="en-GB"/>
        </w:rPr>
        <w:t>Section 13 (2) of CITA was amended by section 4 of the Finance Act, 2019, to broaden the revenue base,  scope and ambit of what activities, though performed offshore or digital in nature, may be deemed to be derived from and taxable in Nigeria.</w:t>
      </w:r>
      <w:r>
        <w:rPr>
          <w:rFonts w:eastAsia="Calibri"/>
          <w:bCs/>
          <w:vertAlign w:val="superscript"/>
          <w:lang w:val="en-GB"/>
        </w:rPr>
        <w:footnoteReference w:id="347"/>
      </w:r>
      <w:r>
        <w:rPr>
          <w:rFonts w:eastAsia="Calibri"/>
          <w:bCs/>
        </w:rPr>
        <w:t xml:space="preserve"> In two cases preceding the amendment, the implications of s.13(2) of CITA, particularly with respect to creating a fixed base (FB) for domestic taxation and the attribution of revenue from activities performed onsite were examined.</w:t>
      </w:r>
      <w:r>
        <w:rPr>
          <w:rFonts w:eastAsia="Calibri"/>
          <w:bCs/>
          <w:vertAlign w:val="superscript"/>
        </w:rPr>
        <w:footnoteReference w:id="348"/>
      </w:r>
      <w:r>
        <w:rPr>
          <w:rFonts w:eastAsia="Calibri"/>
          <w:bCs/>
        </w:rPr>
        <w:t xml:space="preserve"> The </w:t>
      </w:r>
      <w:r>
        <w:rPr>
          <w:rFonts w:eastAsia="Calibri"/>
          <w:bCs/>
          <w:lang w:val="en-GB"/>
        </w:rPr>
        <w:t xml:space="preserve">issues for determination were three-fold; </w:t>
      </w:r>
    </w:p>
    <w:p w14:paraId="4F0AC28A">
      <w:pPr>
        <w:spacing w:after="160" w:line="480" w:lineRule="auto"/>
        <w:jc w:val="both"/>
        <w:rPr>
          <w:rFonts w:eastAsia="Calibri"/>
          <w:bCs/>
          <w:lang w:val="en-GB"/>
        </w:rPr>
      </w:pPr>
      <w:r>
        <w:rPr>
          <w:rFonts w:eastAsia="Calibri"/>
          <w:bCs/>
          <w:lang w:val="en-GB"/>
        </w:rPr>
        <w:t xml:space="preserve">(a) if a turnkey/single consortium contract covering both onshore and offshore works is to be performed by an NRC, would the profits accruable from, or attributable to the works/services performed outside Nigeria be subject to tax in the domestic jurisdiction, and </w:t>
      </w:r>
    </w:p>
    <w:p w14:paraId="6AD5FDEC">
      <w:pPr>
        <w:spacing w:after="160" w:line="480" w:lineRule="auto"/>
        <w:jc w:val="both"/>
        <w:rPr>
          <w:rFonts w:eastAsia="Calibri"/>
          <w:bCs/>
          <w:lang w:val="en-GB"/>
        </w:rPr>
      </w:pPr>
      <w:r>
        <w:rPr>
          <w:rFonts w:eastAsia="Calibri"/>
          <w:bCs/>
          <w:lang w:val="en-GB"/>
        </w:rPr>
        <w:t xml:space="preserve">(b) the effect of FIRS opinions/circulars on the subject given the inconsistency in the interpretation by FIRS; and lastly, </w:t>
      </w:r>
    </w:p>
    <w:p w14:paraId="2E7B461D">
      <w:pPr>
        <w:spacing w:after="160" w:line="480" w:lineRule="auto"/>
        <w:jc w:val="both"/>
        <w:rPr>
          <w:rFonts w:eastAsia="Calibri"/>
          <w:bCs/>
          <w:lang w:val="en-GB"/>
        </w:rPr>
      </w:pPr>
      <w:r>
        <w:rPr>
          <w:rFonts w:eastAsia="Calibri"/>
          <w:bCs/>
          <w:lang w:val="en-GB"/>
        </w:rPr>
        <w:t xml:space="preserve">(c) whether a DTT would apply if the services or works are executed in a DTT country? </w:t>
      </w:r>
    </w:p>
    <w:p w14:paraId="4A3D9848">
      <w:pPr>
        <w:spacing w:after="160" w:line="480" w:lineRule="auto"/>
        <w:ind w:left="60"/>
        <w:jc w:val="both"/>
        <w:rPr>
          <w:rFonts w:eastAsia="Calibri"/>
          <w:bCs/>
          <w:lang w:val="en-GB"/>
        </w:rPr>
      </w:pPr>
      <w:r>
        <w:rPr>
          <w:rFonts w:eastAsia="Calibri"/>
          <w:bCs/>
          <w:lang w:val="en-GB"/>
        </w:rPr>
        <w:t xml:space="preserve">In the </w:t>
      </w:r>
      <w:r>
        <w:rPr>
          <w:rFonts w:eastAsia="Calibri"/>
          <w:bCs/>
          <w:i/>
          <w:iCs/>
          <w:lang w:val="en-GB"/>
        </w:rPr>
        <w:t>Saipem Contracting Nigeria Ltd vs FIRS</w:t>
      </w:r>
      <w:r>
        <w:rPr>
          <w:rFonts w:eastAsia="Calibri"/>
          <w:bCs/>
          <w:i/>
          <w:iCs/>
          <w:vertAlign w:val="superscript"/>
          <w:lang w:val="en-GB"/>
        </w:rPr>
        <w:footnoteReference w:id="349"/>
      </w:r>
      <w:r>
        <w:rPr>
          <w:rFonts w:eastAsia="Calibri"/>
          <w:bCs/>
          <w:i/>
          <w:iCs/>
          <w:lang w:val="en-GB"/>
        </w:rPr>
        <w:t xml:space="preserve"> case</w:t>
      </w:r>
      <w:r>
        <w:rPr>
          <w:rFonts w:eastAsia="Calibri"/>
          <w:bCs/>
          <w:lang w:val="en-GB"/>
        </w:rPr>
        <w:t xml:space="preserve">, the plaintiffs, Saipem Nigeria, Saipem Portugal and Saipem Parent Company (France) had entered a consortium/turnkey contract for the construction, installation and fabrication that were to be performed in Portugal and Nigeria, respectively.  The importer of the finished products on record was Shell. Section 11, article 36.8 of the Contract stated that, both offshore and onshore elements of the Contract were taxable in Nigeria and that Saipem was liable as the taxpayer. Saipem had obtained a tax opinion from the FIRS exempting the services carried out offshore from withholding taxes (WHT). The Court however held as follows: </w:t>
      </w:r>
    </w:p>
    <w:p w14:paraId="3807E284">
      <w:pPr>
        <w:numPr>
          <w:ilvl w:val="0"/>
          <w:numId w:val="25"/>
        </w:numPr>
        <w:spacing w:after="200" w:line="480" w:lineRule="auto"/>
        <w:contextualSpacing/>
        <w:jc w:val="both"/>
        <w:rPr>
          <w:rFonts w:eastAsia="Calibri"/>
          <w:bCs/>
          <w:lang w:val="en-GB"/>
        </w:rPr>
      </w:pPr>
      <w:r>
        <w:rPr>
          <w:rFonts w:eastAsia="Calibri"/>
          <w:bCs/>
          <w:lang w:val="en-GB"/>
        </w:rPr>
        <w:t>since all the necessaries leading to the single consortium/turnkey contract, including execution and payment, were taking place in Nigeria, the Saipem companies were deriving profit in Nigeria, and</w:t>
      </w:r>
    </w:p>
    <w:p w14:paraId="2189AC0F">
      <w:pPr>
        <w:numPr>
          <w:ilvl w:val="0"/>
          <w:numId w:val="25"/>
        </w:numPr>
        <w:spacing w:after="200" w:line="480" w:lineRule="auto"/>
        <w:contextualSpacing/>
        <w:jc w:val="both"/>
        <w:rPr>
          <w:rFonts w:eastAsia="Calibri"/>
          <w:bCs/>
          <w:lang w:val="en-GB"/>
        </w:rPr>
      </w:pPr>
      <w:r>
        <w:rPr>
          <w:rFonts w:eastAsia="Calibri"/>
          <w:bCs/>
          <w:lang w:val="en-GB"/>
        </w:rPr>
        <w:t xml:space="preserve">that the part of the income attributable to Nigeria is subject to CITA, under sections 9 (1)(a), 11(2), 13(2)(c), 26(b) and 30(b)(iii) of CITA. The Court was of the view that in line with the decision in the earlier </w:t>
      </w:r>
      <w:r>
        <w:rPr>
          <w:rFonts w:eastAsia="Calibri"/>
          <w:bCs/>
          <w:i/>
          <w:lang w:val="en-GB"/>
        </w:rPr>
        <w:t>Offshore International v FBIR case</w:t>
      </w:r>
      <w:r>
        <w:rPr>
          <w:rFonts w:eastAsia="Calibri"/>
          <w:bCs/>
          <w:i/>
          <w:vertAlign w:val="superscript"/>
          <w:lang w:val="en-GB"/>
        </w:rPr>
        <w:footnoteReference w:id="350"/>
      </w:r>
      <w:r>
        <w:rPr>
          <w:rFonts w:eastAsia="Calibri"/>
          <w:bCs/>
          <w:lang w:val="en-GB"/>
        </w:rPr>
        <w:t xml:space="preserve">, the entire contract was a single contract, </w:t>
      </w:r>
    </w:p>
    <w:p w14:paraId="399A8794">
      <w:pPr>
        <w:numPr>
          <w:ilvl w:val="0"/>
          <w:numId w:val="25"/>
        </w:numPr>
        <w:spacing w:after="200" w:line="480" w:lineRule="auto"/>
        <w:contextualSpacing/>
        <w:jc w:val="both"/>
        <w:rPr>
          <w:rFonts w:eastAsia="Calibri"/>
          <w:bCs/>
          <w:lang w:val="en-GB"/>
        </w:rPr>
      </w:pPr>
      <w:r>
        <w:rPr>
          <w:rFonts w:eastAsia="Calibri"/>
          <w:bCs/>
          <w:lang w:val="en-GB"/>
        </w:rPr>
        <w:t>that Shell Petroleum Nigeria, the resident company, was engaged in upstream petroleum operations and had a legal obligation to withhold tax on payments due to Saipem,</w:t>
      </w:r>
    </w:p>
    <w:p w14:paraId="78500138">
      <w:pPr>
        <w:numPr>
          <w:ilvl w:val="0"/>
          <w:numId w:val="25"/>
        </w:numPr>
        <w:spacing w:after="200" w:line="480" w:lineRule="auto"/>
        <w:contextualSpacing/>
        <w:jc w:val="both"/>
        <w:rPr>
          <w:rFonts w:eastAsia="Calibri"/>
          <w:bCs/>
          <w:lang w:val="en-GB"/>
        </w:rPr>
      </w:pPr>
      <w:r>
        <w:rPr>
          <w:rFonts w:eastAsia="Calibri"/>
          <w:bCs/>
          <w:lang w:val="en-GB"/>
        </w:rPr>
        <w:t>that the FIRS was entitled to withdraw their earlier tax opinion since payment of tax is an obligation stated under the CITA, and that the CITA provision was clear on the subject, and could not be privately altered between Saipem and FIRS, and,</w:t>
      </w:r>
    </w:p>
    <w:p w14:paraId="304BB3FC">
      <w:pPr>
        <w:numPr>
          <w:ilvl w:val="0"/>
          <w:numId w:val="25"/>
        </w:numPr>
        <w:spacing w:after="200" w:line="480" w:lineRule="auto"/>
        <w:contextualSpacing/>
        <w:jc w:val="both"/>
        <w:rPr>
          <w:rFonts w:eastAsia="Calibri"/>
          <w:bCs/>
          <w:lang w:val="en-GB"/>
        </w:rPr>
      </w:pPr>
      <w:r>
        <w:rPr>
          <w:rFonts w:eastAsia="Calibri"/>
          <w:bCs/>
          <w:lang w:val="en-GB"/>
        </w:rPr>
        <w:t xml:space="preserve"> that since it was not the global income of Saipem that was being taxed, but profits from the Nigerian contract, the exemption under the DTT does not apply. </w:t>
      </w:r>
    </w:p>
    <w:p w14:paraId="6344A116">
      <w:pPr>
        <w:numPr>
          <w:ilvl w:val="0"/>
          <w:numId w:val="25"/>
        </w:numPr>
        <w:spacing w:after="200" w:line="480" w:lineRule="auto"/>
        <w:contextualSpacing/>
        <w:jc w:val="both"/>
        <w:rPr>
          <w:rFonts w:eastAsia="Calibri"/>
          <w:bCs/>
          <w:lang w:val="en-GB"/>
        </w:rPr>
      </w:pPr>
      <w:r>
        <w:rPr>
          <w:rFonts w:eastAsia="Calibri"/>
          <w:bCs/>
          <w:lang w:val="en-GB"/>
        </w:rPr>
        <w:t xml:space="preserve">The Court however held that VAT would not apply. </w:t>
      </w:r>
    </w:p>
    <w:p w14:paraId="5AE4C153">
      <w:pPr>
        <w:spacing w:after="160" w:line="480" w:lineRule="auto"/>
        <w:jc w:val="both"/>
        <w:rPr>
          <w:rFonts w:eastAsia="Calibri"/>
          <w:bCs/>
        </w:rPr>
      </w:pPr>
      <w:r>
        <w:rPr>
          <w:rFonts w:eastAsia="Calibri"/>
          <w:bCs/>
        </w:rPr>
        <w:t xml:space="preserve">Justice Saidu stated thus, </w:t>
      </w:r>
    </w:p>
    <w:p w14:paraId="14D9826B">
      <w:pPr>
        <w:spacing w:after="160" w:line="480" w:lineRule="auto"/>
        <w:ind w:left="720"/>
        <w:jc w:val="both"/>
        <w:rPr>
          <w:rFonts w:eastAsia="Calibri"/>
          <w:bCs/>
          <w:lang w:val="en-GB"/>
        </w:rPr>
      </w:pPr>
      <w:r>
        <w:rPr>
          <w:rFonts w:eastAsia="Calibri"/>
          <w:bCs/>
          <w:lang w:val="en-GB"/>
        </w:rPr>
        <w:t xml:space="preserve">“Notwithstanding whatever representation [that] the 1st Defendant [FIRS] might have made to the Plaintiffs [Saipem], as to their tax regime or status, it is the law that guides payment of tax that must prevail...Therefore, it is not the issue of resiling of earlier statement that is important now. What is important are the various provisions of law guiding payment of tax in this country? I hereby hold that nothing stopped the [FIRS] from resiling their earlier statement to the Plaintiffs, where such statement does not conform to the law. The issue of payment of Tax is completely that of law”. </w:t>
      </w:r>
    </w:p>
    <w:p w14:paraId="776D009C">
      <w:pPr>
        <w:spacing w:after="160" w:line="480" w:lineRule="auto"/>
        <w:jc w:val="both"/>
        <w:rPr>
          <w:rFonts w:eastAsia="Calibri"/>
          <w:bCs/>
          <w:lang w:val="en-GB"/>
        </w:rPr>
      </w:pPr>
      <w:r>
        <w:rPr>
          <w:rFonts w:eastAsia="Calibri"/>
          <w:bCs/>
          <w:lang w:val="en-GB"/>
        </w:rPr>
        <w:t xml:space="preserve">The ruling in the Saipem case is in line with an earlier decision in </w:t>
      </w:r>
      <w:r>
        <w:rPr>
          <w:rFonts w:eastAsia="Calibri"/>
          <w:bCs/>
          <w:i/>
          <w:iCs/>
          <w:lang w:val="en-GB"/>
        </w:rPr>
        <w:t>Global International Drilling v FIRS</w:t>
      </w:r>
      <w:r>
        <w:rPr>
          <w:rFonts w:eastAsia="Calibri"/>
          <w:bCs/>
          <w:i/>
          <w:iCs/>
          <w:vertAlign w:val="superscript"/>
          <w:lang w:val="en-GB"/>
        </w:rPr>
        <w:footnoteReference w:id="351"/>
      </w:r>
      <w:r>
        <w:rPr>
          <w:rFonts w:eastAsia="Calibri"/>
          <w:bCs/>
          <w:i/>
          <w:iCs/>
          <w:lang w:val="en-GB"/>
        </w:rPr>
        <w:t>,</w:t>
      </w:r>
      <w:r>
        <w:rPr>
          <w:rFonts w:eastAsia="Calibri"/>
          <w:bCs/>
          <w:lang w:val="en-GB"/>
        </w:rPr>
        <w:t xml:space="preserve"> where the Court also held that the FIRS is not bound by its own opinions and circulars since the FIRS has the freedom to change its position. In other words, the FIRS has the authority under the extant laws to interpret the revenue laws and give general practice guidance to taxpayers. The decision of the Court ignores or fails to address the issue of multiple understanding of an unclear statute, or where the fact patterns of a case present a position not specifically or expressly addressed or anticipated by the statute? The Court took a rather simplistic approach to the matter and glossed over the significant and broader issue bordering on the precision of statutory provisions, thus necessitating a party’s reliance on the rulings of the tax authority. The matter in question here is whether the FIRS guidance can be relied on, where the law fails to adequately address the facts in question, or is open to multiple interpretation? The matter, therefore, goes beyond the authority of the FIRS to resile its position. </w:t>
      </w:r>
    </w:p>
    <w:p w14:paraId="2BBD544A">
      <w:pPr>
        <w:spacing w:after="160" w:line="480" w:lineRule="auto"/>
        <w:jc w:val="both"/>
        <w:rPr>
          <w:rFonts w:eastAsia="Calibri"/>
          <w:bCs/>
          <w:lang w:val="en-GB"/>
        </w:rPr>
      </w:pPr>
      <w:r>
        <w:rPr>
          <w:rFonts w:eastAsia="Calibri"/>
          <w:bCs/>
          <w:lang w:val="en-GB"/>
        </w:rPr>
        <w:t>The challenge for the Government, and policy makers, tax legislation drafting, and tax administration and dispute resolution is how to achieve clarity in policy objectives and alignment with tax legislative purpose, as well as the consistent and common understanding of tax legislation. The lack of clarity of tax legislative provisions creates the possibility of having two or more perfectly reasonable and distinct interpretations of a statutory taxing provision. This should always be avoided, as this only adds to the uncertainty in the tax system. Also, the inconsistent interpretation and application of tax legislative provisions by the revenue authority, particularly with respect to the interaction of the upstream fiscal and tax regime with the midstream and downstream sectors, as well as transactions taxes, all further contribute to the distortions and gaps in the upstream tax system.</w:t>
      </w:r>
    </w:p>
    <w:p w14:paraId="195758DA">
      <w:pPr>
        <w:spacing w:after="160" w:line="480" w:lineRule="auto"/>
        <w:jc w:val="both"/>
        <w:rPr>
          <w:rFonts w:eastAsia="Calibri"/>
          <w:bCs/>
          <w:color w:val="FF0000"/>
          <w:lang w:val="en-GB"/>
        </w:rPr>
      </w:pPr>
    </w:p>
    <w:p w14:paraId="46F85EFD">
      <w:pPr>
        <w:spacing w:after="160" w:line="480" w:lineRule="auto"/>
        <w:jc w:val="both"/>
        <w:rPr>
          <w:rFonts w:eastAsia="Calibri"/>
          <w:b/>
          <w:bCs/>
        </w:rPr>
      </w:pPr>
      <w:r>
        <w:rPr>
          <w:rFonts w:eastAsia="Calibri"/>
          <w:b/>
          <w:bCs/>
        </w:rPr>
        <w:t>4.4</w:t>
      </w:r>
      <w:r>
        <w:rPr>
          <w:rFonts w:eastAsia="Calibri"/>
          <w:b/>
          <w:bCs/>
        </w:rPr>
        <w:tab/>
      </w:r>
      <w:r>
        <w:rPr>
          <w:rFonts w:eastAsia="Calibri"/>
          <w:b/>
          <w:bCs/>
        </w:rPr>
        <w:t xml:space="preserve"> THE JUDICIAL PROCESS AND THE CHALLENGE OF ACHIEVING CERTAINTY IN UPSTREAM PETROLEUM TAXATION.</w:t>
      </w:r>
    </w:p>
    <w:p w14:paraId="4160E7CD">
      <w:pPr>
        <w:spacing w:after="160" w:line="480" w:lineRule="auto"/>
        <w:jc w:val="both"/>
        <w:rPr>
          <w:rFonts w:eastAsia="Calibri"/>
          <w:bCs/>
          <w:lang w:val="en-GB"/>
        </w:rPr>
      </w:pPr>
      <w:r>
        <w:rPr>
          <w:rFonts w:eastAsia="Calibri"/>
          <w:bCs/>
          <w:lang w:val="en-GB"/>
        </w:rPr>
        <w:t>Certainty in the tax system requires that taxpayers and the tax administration act according to law, and the tax tribunals and courts provide independent reviews of tax administration</w:t>
      </w:r>
      <w:r>
        <w:rPr>
          <w:rFonts w:eastAsia="Calibri"/>
          <w:bCs/>
          <w:vertAlign w:val="superscript"/>
          <w:lang w:val="en-GB"/>
        </w:rPr>
        <w:footnoteReference w:id="352"/>
      </w:r>
      <w:r>
        <w:rPr>
          <w:rFonts w:eastAsia="Calibri"/>
          <w:bCs/>
          <w:lang w:val="en-GB"/>
        </w:rPr>
        <w:t xml:space="preserve"> and taxpayer actions in the interpretation of statutory taxing provisions.</w:t>
      </w:r>
      <w:r>
        <w:rPr>
          <w:rFonts w:eastAsia="Calibri"/>
          <w:bCs/>
          <w:vertAlign w:val="superscript"/>
        </w:rPr>
        <w:footnoteReference w:id="353"/>
      </w:r>
      <w:r>
        <w:rPr>
          <w:rFonts w:eastAsia="Calibri"/>
          <w:bCs/>
        </w:rPr>
        <w:t xml:space="preserve"> </w:t>
      </w:r>
      <w:r>
        <w:rPr>
          <w:rFonts w:eastAsia="Calibri"/>
          <w:bCs/>
          <w:lang w:val="en-GB"/>
        </w:rPr>
        <w:t>The tax appeal process in Nigeria recognises the need to adjudicate tax disputes within the existing judicial system, as there are no special tax courts in Nigeria.</w:t>
      </w:r>
      <w:r>
        <w:rPr>
          <w:rFonts w:eastAsia="Calibri"/>
          <w:bCs/>
          <w:vertAlign w:val="superscript"/>
          <w:lang w:val="en-GB"/>
        </w:rPr>
        <w:footnoteReference w:id="354"/>
      </w:r>
      <w:r>
        <w:rPr>
          <w:rFonts w:eastAsia="Calibri"/>
          <w:bCs/>
          <w:lang w:val="en-GB"/>
        </w:rPr>
        <w:t xml:space="preserve"> The age of the upstream petroleum tax legislation</w:t>
      </w:r>
      <w:r>
        <w:rPr>
          <w:rFonts w:eastAsia="Calibri"/>
          <w:bCs/>
          <w:vertAlign w:val="superscript"/>
          <w:lang w:val="en-GB"/>
        </w:rPr>
        <w:footnoteReference w:id="355"/>
      </w:r>
      <w:r>
        <w:rPr>
          <w:rFonts w:eastAsia="Calibri"/>
          <w:bCs/>
          <w:lang w:val="en-GB"/>
        </w:rPr>
        <w:t xml:space="preserve"> and the absence of continued and sustained reform and simplification of the fiscal and tax system for a complex industry as the petroleum industry are all important factors affecting the nature and substance of petroleum taxation, administration and compliance. Also, the non-existence of tax courts, as well as the non-specialization of judicial officers in tax or revenue matters impact upstream petroleum taxation and the slow evolution of clear upstream petroleum tax jurisprudence. </w:t>
      </w:r>
    </w:p>
    <w:p w14:paraId="3DA97FC9">
      <w:pPr>
        <w:spacing w:after="160" w:line="480" w:lineRule="auto"/>
        <w:jc w:val="both"/>
        <w:rPr>
          <w:rFonts w:eastAsia="Calibri"/>
          <w:bCs/>
          <w:lang w:val="en-GB"/>
        </w:rPr>
      </w:pPr>
      <w:r>
        <w:rPr>
          <w:rFonts w:eastAsia="Calibri"/>
          <w:bCs/>
          <w:lang w:val="en-GB"/>
        </w:rPr>
        <w:t>A taxpayer may object to an assessment and can also appeal to the TAT against a tax assessment, while the taxpayer’s objection against the assessment is yet to be resolved by FIRS</w:t>
      </w:r>
      <w:r>
        <w:rPr>
          <w:rFonts w:eastAsia="Calibri"/>
          <w:bCs/>
          <w:vertAlign w:val="superscript"/>
          <w:lang w:val="en-GB"/>
        </w:rPr>
        <w:footnoteReference w:id="356"/>
      </w:r>
      <w:r>
        <w:rPr>
          <w:rFonts w:eastAsia="Calibri"/>
          <w:bCs/>
          <w:lang w:val="en-GB"/>
        </w:rPr>
        <w:t>. The common approach of judicial officers has been to apply the traditional approaches to statutory interpretation</w:t>
      </w:r>
      <w:r>
        <w:rPr>
          <w:rFonts w:eastAsia="Calibri"/>
          <w:bCs/>
          <w:vertAlign w:val="superscript"/>
          <w:lang w:val="en-GB"/>
        </w:rPr>
        <w:footnoteReference w:id="357"/>
      </w:r>
      <w:r>
        <w:rPr>
          <w:rFonts w:eastAsia="Calibri"/>
          <w:bCs/>
          <w:lang w:val="en-GB"/>
        </w:rPr>
        <w:t xml:space="preserve"> which wrestles with words and their meaning, even in tax matters. </w:t>
      </w:r>
    </w:p>
    <w:p w14:paraId="2A981378">
      <w:pPr>
        <w:spacing w:after="160" w:line="480" w:lineRule="auto"/>
        <w:jc w:val="both"/>
      </w:pPr>
      <w:r>
        <w:rPr>
          <w:rFonts w:eastAsia="Calibri"/>
          <w:bCs/>
          <w:lang w:val="en-GB"/>
        </w:rPr>
        <w:t xml:space="preserve">The intervention of the TAT in tax matters is the first administrative, quasi-judicial mechanism for resolving tax disputes where the taxpayer disputes the assessment of the tax authority. The TAT and the courts are required to apply the tax provisions by giving a strict literal interpretation to the words and terms used in the taxing statutes. The clear objective is to </w:t>
      </w:r>
      <w:r>
        <w:rPr>
          <w:rFonts w:eastAsia="Calibri"/>
          <w:bCs/>
        </w:rPr>
        <w:t xml:space="preserve">strike the right balance between the clarity of taxing provisions, avoidance of gaps and conflicting terms and confusing objectives of policy and statutes, the facilitation of compliance, as well as curbing aggressive tax planning. It also enhances </w:t>
      </w:r>
      <w:r>
        <w:rPr>
          <w:bCs/>
        </w:rPr>
        <w:t>the capacity to make an accurate assessment of the tax, as well as the compliance costs associated with an investment or the continuation of an investment over the life cycle of the investment by achieving voluntary compliance by taxpayers, in a way that both respects the letter and the spirit of the law, and prevents the intentional use of the tax law or a combination of tax laws and /or tax treaties in a way that leads to taxation that is not in line with the spirit and purpose of the relevant tax laws</w:t>
      </w:r>
      <w:r>
        <w:rPr>
          <w:rFonts w:eastAsia="Calibri"/>
          <w:bCs/>
          <w:lang w:val="en-GB"/>
        </w:rPr>
        <w:t xml:space="preserve">. </w:t>
      </w:r>
    </w:p>
    <w:p w14:paraId="272FA714">
      <w:pPr>
        <w:spacing w:after="160" w:line="480" w:lineRule="auto"/>
        <w:jc w:val="both"/>
        <w:rPr>
          <w:bCs/>
        </w:rPr>
      </w:pPr>
      <w:r>
        <w:rPr>
          <w:rFonts w:eastAsia="Calibri"/>
          <w:bCs/>
          <w:lang w:val="en-GB"/>
        </w:rPr>
        <w:t xml:space="preserve">In the </w:t>
      </w:r>
      <w:r>
        <w:rPr>
          <w:rFonts w:eastAsia="Calibri"/>
          <w:bCs/>
          <w:i/>
          <w:lang w:val="en-GB"/>
        </w:rPr>
        <w:t>FIRS v Total E&amp;P Nigeria Limited (Total) case,</w:t>
      </w:r>
      <w:r>
        <w:rPr>
          <w:rFonts w:eastAsia="Calibri"/>
          <w:bCs/>
          <w:i/>
          <w:vertAlign w:val="superscript"/>
          <w:lang w:val="en-GB"/>
        </w:rPr>
        <w:footnoteReference w:id="358"/>
      </w:r>
      <w:r>
        <w:rPr>
          <w:bCs/>
        </w:rPr>
        <w:t xml:space="preserve">Total, had in 2010 and 2011, sold its </w:t>
      </w:r>
      <w:r>
        <w:rPr>
          <w:rFonts w:eastAsia="Calibri"/>
          <w:bCs/>
        </w:rPr>
        <w:t>interest in OMLs 4, 38 &amp; 41 and 2 &amp; 42, respectively. In computing the balancing charges applicable to the disposal, Total split the sales proceeds between tangible and intangible assets and computed balancing charge on only the tangible assets. The tangible assets included wells, in-field pipelines, flow lines, manifolds, and flow stations while intangible assets comprised hydrocarbon accumulation data, right to win, work and exploit petroleum in the OML area.</w:t>
      </w:r>
      <w:r>
        <w:rPr>
          <w:bCs/>
        </w:rPr>
        <w:t xml:space="preserve"> </w:t>
      </w:r>
      <w:r>
        <w:rPr>
          <w:rFonts w:eastAsia="Calibri"/>
          <w:bCs/>
          <w:lang w:val="en-GB"/>
        </w:rPr>
        <w:t>Several issues came up for determination. One of the issues was with respect to</w:t>
      </w:r>
      <w:r>
        <w:rPr>
          <w:rFonts w:eastAsia="Calibri"/>
          <w:bCs/>
          <w:i/>
          <w:lang w:val="en-GB"/>
        </w:rPr>
        <w:t xml:space="preserve"> </w:t>
      </w:r>
      <w:r>
        <w:rPr>
          <w:rFonts w:eastAsia="Calibri"/>
          <w:bCs/>
          <w:lang w:val="en-GB"/>
        </w:rPr>
        <w:t xml:space="preserve">the disposal by Total E&amp;P of its interest in some oil mining leases (OML’s). </w:t>
      </w:r>
      <w:r>
        <w:rPr>
          <w:rFonts w:eastAsia="Calibri"/>
          <w:bCs/>
        </w:rPr>
        <w:t>Total split the sales proceeds of the interest in the relevant OML’s between tangible and intangible assets and computed the balancing charge on only the tangible assets. The FIRS challenged the split and submitted that all the assets were qualifying expenditure in line with paragraph 1</w:t>
      </w:r>
      <w:r>
        <w:rPr>
          <w:rFonts w:eastAsia="Calibri"/>
          <w:bCs/>
          <w:vertAlign w:val="superscript"/>
        </w:rPr>
        <w:footnoteReference w:id="359"/>
      </w:r>
      <w:r>
        <w:rPr>
          <w:rFonts w:eastAsia="Calibri"/>
          <w:bCs/>
        </w:rPr>
        <w:t xml:space="preserve"> of the Second Schedule of the PPTA. The FIRS included the petroleum investment allowance (PIA) on the assets in determining the capital allowance (CA) claimed and computed additional Tertiary Education Tax (TET) on the resulting balancing charge.  The PPTA, however, did not specifically address the subject matter or anticipate the split in sale proceeds for balancing charge purposes, whilst the second schedule to the PPTA failed to provide adequately and clearly for the treatment of the sales proceeds of interests in OML’s.  </w:t>
      </w:r>
    </w:p>
    <w:p w14:paraId="6A2984DA">
      <w:pPr>
        <w:spacing w:after="160" w:line="480" w:lineRule="auto"/>
        <w:jc w:val="both"/>
        <w:rPr>
          <w:rFonts w:eastAsia="Calibri"/>
          <w:bCs/>
        </w:rPr>
      </w:pPr>
      <w:r>
        <w:rPr>
          <w:rFonts w:eastAsia="Calibri"/>
          <w:bCs/>
        </w:rPr>
        <w:t>On a second issue of interest on loans obtained by Total from Total Finance, a related party, the FIRS disallowed the interest deduction on the basis that s13(2)(c) of PPTA precluded interest on related party loans as an allowable expense for PPT purposes. On yet another issue of dividends distributed, Total had declared dividends out of its O&amp;G profits without applying withholding tax on the dividends distributed from the gas profits. The FIRS maintained that the dividend declared out of the respondent's gas profits was liable to withholding tax (WHT), since gas profits were subject to tax under the CITA, and not PPTA, which exempts dividends distributed from WHT.</w:t>
      </w:r>
      <w:r>
        <w:rPr>
          <w:rFonts w:eastAsia="Calibri"/>
          <w:bCs/>
          <w:vertAlign w:val="superscript"/>
        </w:rPr>
        <w:footnoteReference w:id="360"/>
      </w:r>
    </w:p>
    <w:p w14:paraId="55DA9030">
      <w:pPr>
        <w:spacing w:after="160" w:line="480" w:lineRule="auto"/>
        <w:jc w:val="both"/>
        <w:rPr>
          <w:rFonts w:eastAsia="Calibri"/>
          <w:bCs/>
        </w:rPr>
      </w:pPr>
      <w:r>
        <w:rPr>
          <w:rFonts w:eastAsia="Calibri"/>
          <w:bCs/>
        </w:rPr>
        <w:t>Aggrieved with the FIRS' position on these issues arising from its upstream petroleum operations, which should normally be subject to tax under the PPTA, Total approached the TAT. The TAT held as follows:</w:t>
      </w:r>
    </w:p>
    <w:p w14:paraId="3CDA57FB">
      <w:pPr>
        <w:numPr>
          <w:ilvl w:val="0"/>
          <w:numId w:val="26"/>
        </w:numPr>
        <w:spacing w:after="160" w:line="480" w:lineRule="auto"/>
        <w:jc w:val="both"/>
        <w:rPr>
          <w:rFonts w:eastAsia="Calibri"/>
          <w:bCs/>
        </w:rPr>
      </w:pPr>
      <w:r>
        <w:rPr>
          <w:rFonts w:eastAsia="Calibri"/>
          <w:bCs/>
        </w:rPr>
        <w:t>Total was not required to include the intangible interest in the OML assets purchased and disposed of in the same accounting period in the calculation of the balancing charge as no CA had been validly claimed in respect of the assets in line with the Second Schedule to the PPTA.</w:t>
      </w:r>
    </w:p>
    <w:p w14:paraId="1F6E0A28">
      <w:pPr>
        <w:numPr>
          <w:ilvl w:val="0"/>
          <w:numId w:val="26"/>
        </w:numPr>
        <w:spacing w:after="160" w:line="480" w:lineRule="auto"/>
        <w:jc w:val="both"/>
        <w:rPr>
          <w:rFonts w:eastAsia="Calibri"/>
          <w:bCs/>
        </w:rPr>
      </w:pPr>
      <w:r>
        <w:rPr>
          <w:rFonts w:eastAsia="Calibri"/>
          <w:bCs/>
        </w:rPr>
        <w:t>PIA and Annual Allowance (AA) are separate and distinct allowances. Therefore, PIA should not be added to AA for computing the balancing charge under Paragraph 9 of the Second Schedule to the PPTA.</w:t>
      </w:r>
    </w:p>
    <w:p w14:paraId="5B886F6E">
      <w:pPr>
        <w:numPr>
          <w:ilvl w:val="0"/>
          <w:numId w:val="26"/>
        </w:numPr>
        <w:spacing w:after="160" w:line="480" w:lineRule="auto"/>
        <w:jc w:val="both"/>
        <w:rPr>
          <w:rFonts w:eastAsia="Calibri"/>
          <w:bCs/>
        </w:rPr>
      </w:pPr>
      <w:r>
        <w:rPr>
          <w:rFonts w:eastAsia="Calibri"/>
          <w:bCs/>
        </w:rPr>
        <w:t>Assessable profit on which TET</w:t>
      </w:r>
      <w:r>
        <w:rPr>
          <w:rFonts w:eastAsia="Calibri"/>
          <w:bCs/>
          <w:vertAlign w:val="superscript"/>
        </w:rPr>
        <w:footnoteReference w:id="361"/>
      </w:r>
      <w:r>
        <w:rPr>
          <w:rFonts w:eastAsia="Calibri"/>
          <w:bCs/>
        </w:rPr>
        <w:t xml:space="preserve"> is charged is not inclusive of the balancing charge. Thus, Total was not liable to pay any additional TET.</w:t>
      </w:r>
    </w:p>
    <w:p w14:paraId="1C27B311">
      <w:pPr>
        <w:numPr>
          <w:ilvl w:val="0"/>
          <w:numId w:val="26"/>
        </w:numPr>
        <w:spacing w:after="160" w:line="480" w:lineRule="auto"/>
        <w:jc w:val="both"/>
        <w:rPr>
          <w:rFonts w:eastAsia="Calibri"/>
          <w:bCs/>
        </w:rPr>
      </w:pPr>
      <w:r>
        <w:rPr>
          <w:rFonts w:eastAsia="Calibri"/>
          <w:bCs/>
        </w:rPr>
        <w:t>Interest paid on intercompany loans qualifies as a deductible expense under s 10(1) (g) of the PPTA, provided that the interest rate conforms to the arm's length principle. The interest paid by Total Nigeria to Total Finance Ltd conformed with the arm's length principle and therefore qualified as a tax-deductible expense for PPT purpose.</w:t>
      </w:r>
    </w:p>
    <w:p w14:paraId="3A0D606D">
      <w:pPr>
        <w:numPr>
          <w:ilvl w:val="0"/>
          <w:numId w:val="26"/>
        </w:numPr>
        <w:spacing w:after="160" w:line="480" w:lineRule="auto"/>
        <w:jc w:val="both"/>
        <w:rPr>
          <w:rFonts w:eastAsia="Calibri"/>
          <w:bCs/>
        </w:rPr>
      </w:pPr>
      <w:r>
        <w:rPr>
          <w:rFonts w:eastAsia="Calibri"/>
          <w:bCs/>
        </w:rPr>
        <w:t>Total was liable to pay WHT on the dividend attributable to profits from its gas income as the company failed to separate the dividend attributable to its gas income from oil income. Therefore, Total should rely on FIRS' diligence and fairness mechanism to arrive at the percentage of the dividend attributable to its gas income and compute the WHT payable thereon.</w:t>
      </w:r>
    </w:p>
    <w:p w14:paraId="2E3919DA">
      <w:pPr>
        <w:spacing w:after="160" w:line="480" w:lineRule="auto"/>
        <w:jc w:val="both"/>
        <w:rPr>
          <w:rFonts w:eastAsia="Calibri"/>
          <w:bCs/>
        </w:rPr>
      </w:pPr>
      <w:r>
        <w:rPr>
          <w:rFonts w:eastAsia="Calibri"/>
          <w:bCs/>
        </w:rPr>
        <w:t>On appeal by FIRS to t</w:t>
      </w:r>
      <w:r>
        <w:rPr>
          <w:rFonts w:eastAsia="Calibri"/>
          <w:bCs/>
          <w:lang w:val="en-GB"/>
        </w:rPr>
        <w:t xml:space="preserve">he </w:t>
      </w:r>
      <w:r>
        <w:rPr>
          <w:rFonts w:eastAsia="Calibri"/>
          <w:bCs/>
        </w:rPr>
        <w:t>FHC, the TAT judgment with respect to the balancing charge and PIA – see items 1 &amp; 2 of the TAT decision above were overturned. The FHC held that PIA should be included in the computation of the balancing charge on disposal of assets used for petroleum operations. More specifically, the FHC held that PIA granted by Paragraph 5 of the Second Schedule to the PPTA</w:t>
      </w:r>
      <w:r>
        <w:rPr>
          <w:rFonts w:eastAsia="Calibri"/>
          <w:bCs/>
          <w:vertAlign w:val="superscript"/>
        </w:rPr>
        <w:footnoteReference w:id="362"/>
      </w:r>
      <w:r>
        <w:rPr>
          <w:rFonts w:eastAsia="Calibri"/>
          <w:bCs/>
        </w:rPr>
        <w:t xml:space="preserve"> states that,</w:t>
      </w:r>
    </w:p>
    <w:p w14:paraId="5FA19B62">
      <w:pPr>
        <w:spacing w:after="160" w:line="480" w:lineRule="auto"/>
        <w:ind w:left="720" w:firstLine="60"/>
        <w:jc w:val="both"/>
        <w:rPr>
          <w:rFonts w:eastAsia="Calibri"/>
          <w:bCs/>
        </w:rPr>
      </w:pPr>
      <w:r>
        <w:rPr>
          <w:rFonts w:eastAsia="Calibri"/>
          <w:bCs/>
        </w:rPr>
        <w:t xml:space="preserve">(1)  “For the purposes of this Act, and subject to the provisions of this Schedule, where a company has incurred any qualifying capital expenditure (QCE) wholly, exclusively and necessarily for the purposes of petroleum operations carried out by it, there shall be due to that company, for the accounting period in which that asset was first used or for the purposes of such operations, an allowance (in this Schedule called PIA) at the appropriate rate per cent, set forth in Table I to this Schedule, of such expenditure”. </w:t>
      </w:r>
    </w:p>
    <w:p w14:paraId="55D2DA9D">
      <w:pPr>
        <w:spacing w:after="160" w:line="480" w:lineRule="auto"/>
        <w:ind w:left="720"/>
        <w:jc w:val="both"/>
        <w:rPr>
          <w:rFonts w:eastAsia="Calibri"/>
          <w:bCs/>
        </w:rPr>
      </w:pPr>
      <w:r>
        <w:rPr>
          <w:rFonts w:eastAsia="Calibri"/>
          <w:bCs/>
        </w:rPr>
        <w:t>ss.2, states further that; “for the purpose of this Act, the PIA shall be added to the AA computed under paragraph 6 of this Schedule and shall be subject to the same rules under this Act”.</w:t>
      </w:r>
    </w:p>
    <w:p w14:paraId="151994FA">
      <w:pPr>
        <w:spacing w:after="160" w:line="480" w:lineRule="auto"/>
        <w:jc w:val="both"/>
        <w:rPr>
          <w:rFonts w:eastAsia="Calibri"/>
          <w:bCs/>
        </w:rPr>
      </w:pPr>
      <w:r>
        <w:rPr>
          <w:rFonts w:eastAsia="Calibri"/>
          <w:bCs/>
        </w:rPr>
        <w:t>The FHC held that the PIA should be added to the AA claimed on the assets, for the purpose of computing balancing charge for disposed assets, based on paragraph 5(2) of the Second Schedule to the PPTA, which provides that PIA shall be added to the AA computed under paragraph 6 of this Schedule and shall be subject to the same rules under the Act. The real issue was</w:t>
      </w:r>
      <w:r>
        <w:rPr>
          <w:bCs/>
        </w:rPr>
        <w:t xml:space="preserve"> whether the TAT was right in disallowing the Appellant’s addition of PIA and annual allowance of the </w:t>
      </w:r>
      <w:r>
        <w:rPr>
          <w:rFonts w:eastAsia="Calibri"/>
          <w:bCs/>
        </w:rPr>
        <w:t>Respondent to compute the balancing charge, considering Paragraph 5(2) of the Second Schedule to the PPTA, since a balancing charge is not a profit of a company and therefore also not subject to TET</w:t>
      </w:r>
      <w:r>
        <w:rPr>
          <w:rStyle w:val="23"/>
          <w:rFonts w:eastAsia="Calibri"/>
          <w:bCs/>
        </w:rPr>
        <w:footnoteReference w:id="363"/>
      </w:r>
      <w:r>
        <w:rPr>
          <w:rFonts w:eastAsia="Calibri"/>
          <w:bCs/>
        </w:rPr>
        <w:t>.</w:t>
      </w:r>
    </w:p>
    <w:p w14:paraId="1174E96E">
      <w:pPr>
        <w:spacing w:after="160" w:line="480" w:lineRule="auto"/>
        <w:jc w:val="both"/>
        <w:rPr>
          <w:rFonts w:eastAsia="Calibri"/>
          <w:bCs/>
        </w:rPr>
      </w:pPr>
      <w:r>
        <w:rPr>
          <w:rFonts w:eastAsia="Calibri"/>
          <w:bCs/>
        </w:rPr>
        <w:t>In arriving at the above decision, the FHC noted that:</w:t>
      </w:r>
    </w:p>
    <w:p w14:paraId="4D2BD3B0">
      <w:pPr>
        <w:spacing w:after="160" w:line="480" w:lineRule="auto"/>
        <w:ind w:left="720" w:hanging="720"/>
        <w:jc w:val="both"/>
        <w:rPr>
          <w:rFonts w:eastAsia="Calibri"/>
          <w:bCs/>
        </w:rPr>
      </w:pPr>
      <w:r>
        <w:rPr>
          <w:rFonts w:eastAsia="Calibri"/>
          <w:bCs/>
        </w:rPr>
        <w:t>•</w:t>
      </w:r>
      <w:r>
        <w:rPr>
          <w:rFonts w:eastAsia="Calibri"/>
          <w:bCs/>
        </w:rPr>
        <w:tab/>
      </w:r>
      <w:r>
        <w:rPr>
          <w:rFonts w:eastAsia="Calibri"/>
          <w:bCs/>
        </w:rPr>
        <w:t xml:space="preserve">The word </w:t>
      </w:r>
      <w:r>
        <w:rPr>
          <w:rFonts w:eastAsia="Calibri"/>
          <w:bCs/>
          <w:i/>
        </w:rPr>
        <w:t>“shall</w:t>
      </w:r>
      <w:r>
        <w:rPr>
          <w:rFonts w:eastAsia="Calibri"/>
          <w:bCs/>
        </w:rPr>
        <w:t xml:space="preserve">” in the provision is a mandatory command to do exactly as the law says and entertains no discretion.  Therefore, PIA is to be added to the AA in computing the balancing charge.  </w:t>
      </w:r>
    </w:p>
    <w:p w14:paraId="2564DFA8">
      <w:pPr>
        <w:spacing w:after="160" w:line="480" w:lineRule="auto"/>
        <w:ind w:left="720" w:hanging="720"/>
        <w:jc w:val="both"/>
        <w:rPr>
          <w:rFonts w:eastAsia="Calibri"/>
          <w:bCs/>
        </w:rPr>
      </w:pPr>
      <w:r>
        <w:rPr>
          <w:rFonts w:eastAsia="Calibri"/>
          <w:bCs/>
        </w:rPr>
        <w:t>•</w:t>
      </w:r>
      <w:r>
        <w:rPr>
          <w:rFonts w:eastAsia="Calibri"/>
          <w:bCs/>
        </w:rPr>
        <w:tab/>
      </w:r>
      <w:r>
        <w:rPr>
          <w:rFonts w:eastAsia="Calibri"/>
          <w:bCs/>
        </w:rPr>
        <w:t>When there is no ambiguity, the law must be construed literally, and the words given their plain meanings.</w:t>
      </w:r>
    </w:p>
    <w:p w14:paraId="29E4E5E8">
      <w:pPr>
        <w:spacing w:after="160" w:line="480" w:lineRule="auto"/>
        <w:jc w:val="both"/>
        <w:rPr>
          <w:rFonts w:eastAsia="Calibri"/>
          <w:bCs/>
        </w:rPr>
      </w:pPr>
      <w:r>
        <w:rPr>
          <w:rFonts w:eastAsia="Calibri"/>
          <w:bCs/>
        </w:rPr>
        <w:t xml:space="preserve">With respect to the split of the base for calculating the interest in the OML disposed of by Total, the FIRS adopted a disjunctive rather than a conjunctive interpretation of the provisions of the Second Schedule on QCE in disallowing the split between tangible and intangible assets.  The FHC ruling on the matter seemed to agree with the FIRS basis for computing the balancing charge. However, this position ignored the provisions of paras 8 and 9 of the Second Schedule of PPTA, which provide for two variables to be used in determining the balancing allowance or charge on disposal, which is “the residue of the QCE” and “the sales value of the QCE” at the date of disposal.  Specifically, Paragraph 10 of the Second Schedule defines the residue of a QCE at any date as “the total qualifying expenditure incurred on or before that date, by the owner thereof at that date, in respect of that asset, less the total of any AA due to the owner, in respect of that asset, before that date.” The failure to refer to the specific distinction clearly meant that the express specific provisions of paras 8 &amp; 9 of the Second Schedule were overridden by the general provision on QCE in para 5 of the Second Schedule.  The FIRS approach seemed to be revenue driven, rather than the literal interpretation of the said provisions of the Second Schedule of the PPTA. It also exposed the fact that where rights and obligations are not clearly and adequately provided for in tax legislation, the failure of the judicial body to apply either the literal meaning of words or the mischief rule of statutory interpretation to cure the defect or mischief only fuels the uncertainty and lack of predictability required from legislation. </w:t>
      </w:r>
    </w:p>
    <w:p w14:paraId="4D54BFC2">
      <w:pPr>
        <w:spacing w:after="160" w:line="480" w:lineRule="auto"/>
        <w:jc w:val="both"/>
        <w:rPr>
          <w:rFonts w:eastAsia="Calibri"/>
          <w:bCs/>
        </w:rPr>
      </w:pPr>
      <w:r>
        <w:rPr>
          <w:rFonts w:eastAsia="Calibri"/>
          <w:bCs/>
        </w:rPr>
        <w:t>The consequence was the inclusion of PIA in the computation of balancing charge, contrary to the objective of the CA provision. The judgment also casts doubt on the fact that PIA is an uplift</w:t>
      </w:r>
      <w:r>
        <w:rPr>
          <w:rFonts w:eastAsia="Calibri"/>
          <w:bCs/>
          <w:vertAlign w:val="superscript"/>
        </w:rPr>
        <w:footnoteReference w:id="364"/>
      </w:r>
      <w:r>
        <w:rPr>
          <w:rFonts w:eastAsia="Calibri"/>
          <w:bCs/>
        </w:rPr>
        <w:t xml:space="preserve"> on CA, rather than part of QCE for CA purposes. In effect, the judgment failed to consider whether the specific provision of Paragraph 10 of the Second Schedule defining the residue of QCE should take precedence over the general provision of Paragraph 5(2) of the same Schedule, or more appropriately should have been read along with the general provision which references the addition of PIA to AA, subjecting both to the same treatment under the Act.  It would also be correct to state that the FHC ruling failed to consider the principle of ‘expressio unius est exclusio alterius’ (the expression of one thing is the exclusion of the other), given that Paragraph 5(2) only mentions AA, whilst para 8 &amp; 9 addressed the specific requirements. Simply stated, clarity of expression in taxing statutes, and the use of simple language, is key to competent and structured legislative drafting and interpretation. </w:t>
      </w:r>
    </w:p>
    <w:p w14:paraId="474D6472">
      <w:pPr>
        <w:spacing w:after="160" w:line="480" w:lineRule="auto"/>
        <w:jc w:val="both"/>
        <w:rPr>
          <w:rFonts w:eastAsia="Calibri"/>
          <w:bCs/>
        </w:rPr>
      </w:pPr>
      <w:r>
        <w:rPr>
          <w:rFonts w:eastAsia="Calibri"/>
          <w:bCs/>
        </w:rPr>
        <w:t>The other issue on appeal is related to the basis for calculating TET. The FHC held that the balancing charge should not be included in determining the assessable profit of a company for TET purposes. It relied on the express provision of the TETA.</w:t>
      </w:r>
      <w:r>
        <w:rPr>
          <w:rFonts w:eastAsia="Calibri"/>
          <w:bCs/>
          <w:vertAlign w:val="superscript"/>
        </w:rPr>
        <w:footnoteReference w:id="365"/>
      </w:r>
      <w:r>
        <w:rPr>
          <w:rFonts w:eastAsia="Calibri"/>
          <w:bCs/>
        </w:rPr>
        <w:t xml:space="preserve"> The FHC held that “since TET is assessed on and calculated on assessable profit of the company which is the adjusted profit to which balancing charge is not normally included, Total Nigeria is not liable to pay TET on the balancing charge”. In arriving at this decision, the FHC reaffirmed the decision of the TAT that Total had paid TET on its assessable profit as provided by Section 1, ss. (1), (2) and (3) of the TETA.  Specifically, Section 1(3) of the TETA provides that, </w:t>
      </w:r>
    </w:p>
    <w:p w14:paraId="7F1343A0">
      <w:pPr>
        <w:spacing w:after="160" w:line="480" w:lineRule="auto"/>
        <w:ind w:left="720"/>
        <w:jc w:val="both"/>
        <w:rPr>
          <w:rFonts w:eastAsia="Calibri"/>
          <w:bCs/>
        </w:rPr>
      </w:pPr>
      <w:r>
        <w:rPr>
          <w:rFonts w:eastAsia="Calibri"/>
          <w:bCs/>
        </w:rPr>
        <w:t xml:space="preserve">“The assessable profit of a company shall be ascertained in the manner specified in the CITA or the PPTA as the case may be”.  </w:t>
      </w:r>
    </w:p>
    <w:p w14:paraId="211645A4">
      <w:pPr>
        <w:spacing w:after="160" w:line="480" w:lineRule="auto"/>
        <w:jc w:val="both"/>
        <w:rPr>
          <w:rFonts w:eastAsia="Calibri"/>
          <w:bCs/>
        </w:rPr>
      </w:pPr>
      <w:r>
        <w:rPr>
          <w:rFonts w:eastAsia="Calibri"/>
          <w:bCs/>
        </w:rPr>
        <w:t>This underscores the need for specific provisions to deal with specific facts or subject matters. Considering the specific and express provision on the subject, the FHC readily agreed with the TAT’s view that the balancing charge is not included in the assessable profits of a company and therefore not liable to TET. Para 9 of the Second Schedule requires that the balancing charge should be treated as income of a company in an accounting period for the purposes of Section 9(1)(a) of the PPTA.  i.e., as a part of the proceeds of sale of all chargeable oil sold in that period.</w:t>
      </w:r>
      <w:r>
        <w:rPr>
          <w:rFonts w:eastAsia="Calibri"/>
          <w:bCs/>
          <w:vertAlign w:val="superscript"/>
        </w:rPr>
        <w:footnoteReference w:id="366"/>
      </w:r>
      <w:r>
        <w:rPr>
          <w:rFonts w:eastAsia="Calibri"/>
          <w:bCs/>
        </w:rPr>
        <w:t xml:space="preserve">  </w:t>
      </w:r>
    </w:p>
    <w:p w14:paraId="6E7A696F">
      <w:pPr>
        <w:spacing w:after="160" w:line="480" w:lineRule="auto"/>
        <w:jc w:val="both"/>
        <w:rPr>
          <w:rFonts w:eastAsia="Calibri"/>
          <w:bCs/>
        </w:rPr>
      </w:pPr>
      <w:r>
        <w:rPr>
          <w:rFonts w:eastAsia="Calibri"/>
          <w:bCs/>
        </w:rPr>
        <w:t xml:space="preserve">In summary, the </w:t>
      </w:r>
      <w:r>
        <w:rPr>
          <w:rFonts w:eastAsia="Calibri"/>
          <w:bCs/>
          <w:i/>
        </w:rPr>
        <w:t>Total case</w:t>
      </w:r>
      <w:r>
        <w:rPr>
          <w:rFonts w:eastAsia="Calibri"/>
          <w:bCs/>
        </w:rPr>
        <w:t xml:space="preserve"> dealt with issues touching on clarity of policy objectives, words and express rules for law making and interpretation. The case highlights the importance and role of competent legislative drafting and competent tribunals in interpreting tax provisions. For instance, the Court’s position on the basis for computing the PIA, by reading paragraphs 5, 8, 9 &amp; 10 of the Second Schedule disjunctively, rather than conjunctively, ignored the specific provisions of paragraphs 9 &amp; 10 of the Second Schedule. </w:t>
      </w:r>
    </w:p>
    <w:p w14:paraId="692BC4C1">
      <w:pPr>
        <w:spacing w:after="160" w:line="480" w:lineRule="auto"/>
        <w:jc w:val="both"/>
        <w:rPr>
          <w:rFonts w:eastAsia="Calibri"/>
          <w:bCs/>
          <w:lang w:val="en-GB"/>
        </w:rPr>
      </w:pPr>
      <w:r>
        <w:rPr>
          <w:rFonts w:eastAsia="Calibri"/>
          <w:bCs/>
          <w:lang w:val="en-GB"/>
        </w:rPr>
        <w:t xml:space="preserve">On the important issue of jurisdiction of Tribunals and Courts in tax revenue matters, in the </w:t>
      </w:r>
      <w:r>
        <w:rPr>
          <w:rFonts w:eastAsia="Calibri"/>
          <w:bCs/>
          <w:i/>
          <w:lang w:val="en-GB"/>
        </w:rPr>
        <w:t>Shell (Nig.) Exploration and</w:t>
      </w:r>
      <w:r>
        <w:rPr>
          <w:rFonts w:eastAsia="Calibri"/>
          <w:b/>
          <w:bCs/>
          <w:i/>
          <w:lang w:val="en-GB"/>
        </w:rPr>
        <w:t xml:space="preserve"> </w:t>
      </w:r>
      <w:r>
        <w:rPr>
          <w:rFonts w:eastAsia="Calibri"/>
          <w:bCs/>
          <w:i/>
          <w:lang w:val="en-GB"/>
        </w:rPr>
        <w:t>Production Ltd &amp; 3 others v Federal Inland Revenue Service case,</w:t>
      </w:r>
      <w:r>
        <w:rPr>
          <w:rFonts w:eastAsia="Calibri"/>
          <w:bCs/>
          <w:vertAlign w:val="superscript"/>
          <w:lang w:val="en-GB"/>
        </w:rPr>
        <w:footnoteReference w:id="367"/>
      </w:r>
      <w:r>
        <w:rPr>
          <w:rFonts w:eastAsia="Calibri"/>
          <w:bCs/>
          <w:lang w:val="en-GB"/>
        </w:rPr>
        <w:t xml:space="preserve"> the Court gave a rather confusing signal with respect to Section 251(1)</w:t>
      </w:r>
      <w:r>
        <w:rPr>
          <w:rFonts w:eastAsia="Calibri"/>
          <w:bCs/>
          <w:vertAlign w:val="superscript"/>
          <w:lang w:val="en-GB"/>
        </w:rPr>
        <w:footnoteReference w:id="368"/>
      </w:r>
      <w:r>
        <w:rPr>
          <w:rFonts w:eastAsia="Calibri"/>
          <w:bCs/>
          <w:lang w:val="en-GB"/>
        </w:rPr>
        <w:t xml:space="preserve"> of the 1999 Constitution. The ruling states as follows: </w:t>
      </w:r>
    </w:p>
    <w:p w14:paraId="4F27FCA6">
      <w:pPr>
        <w:spacing w:after="160" w:line="480" w:lineRule="auto"/>
        <w:ind w:left="720"/>
        <w:jc w:val="both"/>
        <w:rPr>
          <w:rFonts w:eastAsia="Calibri"/>
          <w:bCs/>
          <w:lang w:val="en-GB"/>
        </w:rPr>
      </w:pPr>
      <w:r>
        <w:rPr>
          <w:rFonts w:eastAsia="Calibri"/>
          <w:bCs/>
          <w:lang w:val="en-GB"/>
        </w:rPr>
        <w:t>“The above provision is a clear statement, that when it comes to the revenue of the Government of Nigeria or its organ and on matters pertaining to taxation of companies and other bodies carrying on business in Nigeria, it is the Federal High Court that has exclusive jurisdiction to adjudicate upon same. There is no dispute about it. Therefore, the claims filed before the tribunal, being substantially tax disputes, the tribunal would not have jurisdiction to pronounce upon them, as they are not arbitrable”</w:t>
      </w:r>
      <w:r>
        <w:rPr>
          <w:rFonts w:eastAsia="Calibri"/>
          <w:bCs/>
          <w:vertAlign w:val="superscript"/>
          <w:lang w:val="en-GB"/>
        </w:rPr>
        <w:footnoteReference w:id="369"/>
      </w:r>
    </w:p>
    <w:p w14:paraId="4C1452A8">
      <w:pPr>
        <w:spacing w:after="160" w:line="480" w:lineRule="auto"/>
        <w:jc w:val="both"/>
        <w:rPr>
          <w:rFonts w:eastAsia="Calibri"/>
          <w:bCs/>
          <w:lang w:val="en-GB"/>
        </w:rPr>
      </w:pPr>
      <w:r>
        <w:rPr>
          <w:rFonts w:eastAsia="Calibri"/>
          <w:bCs/>
          <w:lang w:val="en-GB"/>
        </w:rPr>
        <w:t>The rationale of the Court in arriving at its decision that the FHC has exclusive jurisdiction to resolve tax disputes which are therefore not arbitrable in Nigeria is questionable. The Court’s reliance on section 251(1) of the 1999 Constitution,</w:t>
      </w:r>
      <w:r>
        <w:rPr>
          <w:rFonts w:eastAsia="Calibri"/>
          <w:bCs/>
          <w:vertAlign w:val="superscript"/>
          <w:lang w:val="en-GB"/>
        </w:rPr>
        <w:footnoteReference w:id="370"/>
      </w:r>
      <w:r>
        <w:rPr>
          <w:rFonts w:eastAsia="Calibri"/>
          <w:bCs/>
          <w:lang w:val="en-GB"/>
        </w:rPr>
        <w:t xml:space="preserve"> was flawed since section 251 of the Constitution states as follows: </w:t>
      </w:r>
    </w:p>
    <w:p w14:paraId="42B3D584">
      <w:pPr>
        <w:spacing w:after="160" w:line="480" w:lineRule="auto"/>
        <w:ind w:left="720"/>
        <w:jc w:val="both"/>
        <w:rPr>
          <w:rFonts w:eastAsia="Calibri"/>
          <w:bCs/>
          <w:lang w:val="en-GB"/>
        </w:rPr>
      </w:pPr>
      <w:r>
        <w:rPr>
          <w:rFonts w:eastAsia="Calibri"/>
          <w:bCs/>
          <w:lang w:val="en-GB"/>
        </w:rPr>
        <w:t>“The FHC shall have and exercise jurisdiction to the exclusion of any other Court to determine matters relating to the revenue of the Federal Government of Nigeria, and taxation matters.”</w:t>
      </w:r>
    </w:p>
    <w:p w14:paraId="081304AB">
      <w:pPr>
        <w:spacing w:after="160" w:line="480" w:lineRule="auto"/>
        <w:jc w:val="both"/>
        <w:rPr>
          <w:rFonts w:eastAsia="Calibri"/>
          <w:bCs/>
          <w:lang w:val="en-GB"/>
        </w:rPr>
      </w:pPr>
      <w:r>
        <w:rPr>
          <w:rFonts w:eastAsia="Calibri"/>
          <w:bCs/>
          <w:lang w:val="en-GB"/>
        </w:rPr>
        <w:t xml:space="preserve">Construed strictly and literally, section 251 only excludes “Courts” (i.e., the various State High Courts, which exercise general civil jurisdiction, and the National Industrial Courts, which exercise jurisdiction in labour and employment claims). It does not expressly or specifically exclude “arbitration tribunals” which have always been regarded as separate dispute resolution mechanisms and have never been regarded or classified as Courts under Nigerian legal jurisprudence. Furthermore, if the Court’s argument on the “exclusive jurisdiction” of the FHC is strictly applied, it is difficult to comprehend the basis of the Court’s acceptance that the TAT (an administrative tax complaints tribunal created by the FIRSA) somehow shares in the “exclusive jurisdiction” of the FHC to hear and determine tax disputes in Nigeria, when appeals from the TAT go to the FHC. This further underscores the need for the decisions of the Courts to be clear, precise, predictable, and consistent with the provisions of statute. It also emphasizes the importance of having competent revenue and tax-knowledgeable judges and special revenue or tax courts to handle tax disputes, given the high degree of certainty required in tax matters that pertain to the complex upstream oil and gas or energy sector. </w:t>
      </w:r>
    </w:p>
    <w:p w14:paraId="5CA6D42F">
      <w:pPr>
        <w:spacing w:after="160" w:line="480" w:lineRule="auto"/>
        <w:jc w:val="both"/>
        <w:rPr>
          <w:rFonts w:eastAsia="Calibri"/>
          <w:bCs/>
          <w:lang w:val="en-GB"/>
        </w:rPr>
      </w:pPr>
    </w:p>
    <w:p w14:paraId="0726F488">
      <w:pPr>
        <w:spacing w:after="160" w:line="480" w:lineRule="auto"/>
        <w:jc w:val="both"/>
        <w:rPr>
          <w:rFonts w:eastAsia="Calibri"/>
          <w:b/>
          <w:lang w:val="en-GB"/>
        </w:rPr>
      </w:pPr>
      <w:r>
        <w:rPr>
          <w:rFonts w:eastAsia="Calibri"/>
          <w:b/>
          <w:lang w:val="en-GB"/>
        </w:rPr>
        <w:t>CONCLUSION:</w:t>
      </w:r>
    </w:p>
    <w:p w14:paraId="7C7FB6A1">
      <w:pPr>
        <w:spacing w:after="160" w:line="480" w:lineRule="auto"/>
        <w:jc w:val="both"/>
        <w:rPr>
          <w:rFonts w:eastAsia="Calibri"/>
          <w:bCs/>
        </w:rPr>
      </w:pPr>
      <w:r>
        <w:rPr>
          <w:rFonts w:eastAsia="Calibri"/>
          <w:bCs/>
          <w:iCs/>
          <w:lang w:val="en-GB"/>
        </w:rPr>
        <w:t xml:space="preserve">As discussed in this chapter, the age of PPTA, the gaps in the legislation and the various piecemeal amendments to the different legislation affecting upstream petroleum operations, as well as the interaction of fiscal regimes and laws affecting upstream petroleum taxation, have created overlaps and several ambiguities in the treatment of key aspects of, and provisions of the upstream PPTA as amended by the PSC Act and other related Taxing Acts. The interaction of this special PPT regime with the other fiscal regimes and taxing statutes has in many instances resulted in multiple or dual interpretations of provisions and terms and words, as the boundaries are not always well defined or certain.  </w:t>
      </w:r>
      <w:r>
        <w:rPr>
          <w:rFonts w:eastAsia="Calibri"/>
          <w:bCs/>
          <w:lang w:val="en-GB"/>
        </w:rPr>
        <w:t xml:space="preserve">Also, ill-defined words, concepts, and terms present their challenges, whilst lack of clarity in fiscal and tax objectives all contribute to creating uncertainty in the PPTA as amended by the PSC Act. The failure of articulating and designing the appropriate and responsive fiscal and tax policy to address the needs and challenges of Nigerian petroleum tax system in general and upstream petroleum taxation laws and regulations in particular, has informed the need for the comprehensive review of the petroleum tax system and regulations. The Petroleum Industry Act enacted in August 2021 is examined in Chapter 9 of this thesis. It will assess how effectively the areas and gaps contributing to the uncertainty in the upstream petroleum taxation system have been addressed.  </w:t>
      </w:r>
    </w:p>
    <w:p w14:paraId="4A8E4BA7">
      <w:pPr>
        <w:spacing w:after="200" w:line="360" w:lineRule="auto"/>
        <w:jc w:val="center"/>
        <w:rPr>
          <w:rFonts w:eastAsia="DengXian"/>
          <w:b/>
          <w:bCs/>
          <w:sz w:val="32"/>
          <w:szCs w:val="32"/>
          <w:u w:val="single"/>
        </w:rPr>
      </w:pPr>
    </w:p>
    <w:p w14:paraId="4FF92799">
      <w:pPr>
        <w:spacing w:after="200" w:line="360" w:lineRule="auto"/>
        <w:jc w:val="center"/>
        <w:rPr>
          <w:rFonts w:eastAsia="DengXian"/>
          <w:b/>
          <w:bCs/>
          <w:sz w:val="32"/>
          <w:szCs w:val="32"/>
          <w:u w:val="single"/>
        </w:rPr>
      </w:pPr>
    </w:p>
    <w:p w14:paraId="247101EF">
      <w:pPr>
        <w:spacing w:after="200" w:line="288" w:lineRule="auto"/>
        <w:jc w:val="center"/>
        <w:rPr>
          <w:rFonts w:eastAsia="DengXian"/>
          <w:b/>
        </w:rPr>
      </w:pPr>
    </w:p>
    <w:p w14:paraId="1E63F023">
      <w:pPr>
        <w:spacing w:after="200" w:line="288" w:lineRule="auto"/>
        <w:jc w:val="center"/>
        <w:rPr>
          <w:rFonts w:eastAsia="DengXian"/>
          <w:b/>
        </w:rPr>
      </w:pPr>
    </w:p>
    <w:p w14:paraId="7B003F09">
      <w:pPr>
        <w:spacing w:after="200" w:line="288" w:lineRule="auto"/>
        <w:jc w:val="center"/>
        <w:rPr>
          <w:rFonts w:eastAsia="DengXian"/>
          <w:b/>
        </w:rPr>
      </w:pPr>
    </w:p>
    <w:p w14:paraId="537F31AE">
      <w:pPr>
        <w:spacing w:after="200" w:line="288" w:lineRule="auto"/>
        <w:jc w:val="center"/>
        <w:rPr>
          <w:rFonts w:eastAsia="DengXian"/>
          <w:b/>
        </w:rPr>
      </w:pPr>
    </w:p>
    <w:p w14:paraId="51A1D253">
      <w:pPr>
        <w:spacing w:after="200" w:line="288" w:lineRule="auto"/>
        <w:jc w:val="center"/>
        <w:rPr>
          <w:rFonts w:eastAsia="DengXian"/>
          <w:b/>
        </w:rPr>
      </w:pPr>
    </w:p>
    <w:p w14:paraId="480EAC7E">
      <w:pPr>
        <w:spacing w:after="200" w:line="288" w:lineRule="auto"/>
        <w:jc w:val="center"/>
        <w:rPr>
          <w:rFonts w:eastAsia="DengXian"/>
          <w:b/>
        </w:rPr>
      </w:pPr>
    </w:p>
    <w:p w14:paraId="75FC3EA7">
      <w:pPr>
        <w:spacing w:after="200" w:line="288" w:lineRule="auto"/>
        <w:jc w:val="center"/>
        <w:rPr>
          <w:rFonts w:eastAsia="DengXian"/>
          <w:b/>
        </w:rPr>
      </w:pPr>
    </w:p>
    <w:p w14:paraId="68FC878C">
      <w:pPr>
        <w:spacing w:after="200" w:line="288" w:lineRule="auto"/>
        <w:jc w:val="center"/>
        <w:rPr>
          <w:rFonts w:eastAsia="DengXian"/>
          <w:b/>
        </w:rPr>
      </w:pPr>
    </w:p>
    <w:p w14:paraId="0B3CEACA">
      <w:pPr>
        <w:spacing w:after="200" w:line="288" w:lineRule="auto"/>
        <w:jc w:val="center"/>
        <w:rPr>
          <w:rFonts w:eastAsia="DengXian"/>
          <w:b/>
        </w:rPr>
      </w:pPr>
    </w:p>
    <w:p w14:paraId="3ABFAC26">
      <w:pPr>
        <w:spacing w:after="200" w:line="288" w:lineRule="auto"/>
        <w:jc w:val="center"/>
        <w:rPr>
          <w:rFonts w:eastAsia="DengXian"/>
          <w:b/>
        </w:rPr>
      </w:pPr>
    </w:p>
    <w:p w14:paraId="267CE7F2">
      <w:pPr>
        <w:spacing w:after="200" w:line="288" w:lineRule="auto"/>
        <w:jc w:val="center"/>
        <w:rPr>
          <w:rFonts w:eastAsia="DengXian"/>
          <w:b/>
        </w:rPr>
      </w:pPr>
    </w:p>
    <w:p w14:paraId="0A5F4EA8">
      <w:pPr>
        <w:spacing w:after="200" w:line="288" w:lineRule="auto"/>
        <w:jc w:val="center"/>
        <w:rPr>
          <w:rFonts w:eastAsia="DengXian"/>
          <w:b/>
        </w:rPr>
      </w:pPr>
    </w:p>
    <w:p w14:paraId="4A2B2F4C">
      <w:pPr>
        <w:spacing w:after="200" w:line="288" w:lineRule="auto"/>
        <w:jc w:val="center"/>
        <w:rPr>
          <w:rFonts w:eastAsia="DengXian"/>
          <w:b/>
        </w:rPr>
      </w:pPr>
    </w:p>
    <w:p w14:paraId="3884353F">
      <w:pPr>
        <w:spacing w:after="200" w:line="288" w:lineRule="auto"/>
        <w:jc w:val="center"/>
        <w:rPr>
          <w:rFonts w:eastAsia="DengXian"/>
          <w:b/>
        </w:rPr>
      </w:pPr>
    </w:p>
    <w:p w14:paraId="45C7C047">
      <w:pPr>
        <w:spacing w:after="200" w:line="288" w:lineRule="auto"/>
        <w:jc w:val="center"/>
        <w:rPr>
          <w:rFonts w:eastAsia="DengXian"/>
          <w:b/>
        </w:rPr>
      </w:pPr>
    </w:p>
    <w:p w14:paraId="3AE901DE">
      <w:pPr>
        <w:spacing w:after="200" w:line="288" w:lineRule="auto"/>
        <w:jc w:val="center"/>
        <w:rPr>
          <w:rFonts w:eastAsia="DengXian"/>
          <w:b/>
        </w:rPr>
      </w:pPr>
      <w:r>
        <w:rPr>
          <w:rFonts w:eastAsia="DengXian"/>
          <w:b/>
        </w:rPr>
        <w:t xml:space="preserve">CHAPTER 5 </w:t>
      </w:r>
    </w:p>
    <w:p w14:paraId="17F96CBB">
      <w:pPr>
        <w:spacing w:after="200" w:line="288" w:lineRule="auto"/>
        <w:rPr>
          <w:rFonts w:eastAsia="DengXian"/>
          <w:bCs/>
        </w:rPr>
      </w:pPr>
    </w:p>
    <w:p w14:paraId="56CCF58F">
      <w:pPr>
        <w:spacing w:after="200" w:line="288" w:lineRule="auto"/>
        <w:jc w:val="center"/>
        <w:rPr>
          <w:rFonts w:eastAsia="DengXian"/>
          <w:b/>
        </w:rPr>
      </w:pPr>
      <w:r>
        <w:rPr>
          <w:rFonts w:eastAsia="DengXian"/>
          <w:b/>
        </w:rPr>
        <w:t>POLICY AND TAX LAW MAKING IN THE NIGERIAN UPSTREAM PETROLEUM</w:t>
      </w:r>
    </w:p>
    <w:p w14:paraId="0FF54E90">
      <w:pPr>
        <w:spacing w:after="200" w:line="288" w:lineRule="auto"/>
        <w:jc w:val="center"/>
        <w:rPr>
          <w:rFonts w:eastAsia="DengXian"/>
          <w:b/>
        </w:rPr>
      </w:pPr>
      <w:r>
        <w:rPr>
          <w:rFonts w:eastAsia="DengXian"/>
          <w:b/>
        </w:rPr>
        <w:t>INDUSTRY</w:t>
      </w:r>
    </w:p>
    <w:p w14:paraId="50D39519">
      <w:pPr>
        <w:spacing w:after="200" w:line="480" w:lineRule="auto"/>
        <w:jc w:val="both"/>
        <w:rPr>
          <w:rFonts w:eastAsia="DengXian"/>
          <w:b/>
          <w:bCs/>
          <w:lang w:val="en-GB"/>
        </w:rPr>
      </w:pPr>
    </w:p>
    <w:p w14:paraId="600BAF0E">
      <w:pPr>
        <w:spacing w:after="200" w:line="480" w:lineRule="auto"/>
        <w:jc w:val="both"/>
        <w:rPr>
          <w:rFonts w:eastAsia="DengXian"/>
          <w:b/>
          <w:bCs/>
          <w:lang w:val="en-GB"/>
        </w:rPr>
      </w:pPr>
      <w:r>
        <w:rPr>
          <w:rFonts w:eastAsia="DengXian"/>
          <w:b/>
          <w:bCs/>
          <w:lang w:val="en-GB"/>
        </w:rPr>
        <w:t>5.0</w:t>
      </w:r>
      <w:r>
        <w:rPr>
          <w:rFonts w:eastAsia="DengXian"/>
          <w:b/>
          <w:bCs/>
          <w:lang w:val="en-GB"/>
        </w:rPr>
        <w:tab/>
      </w:r>
      <w:r>
        <w:rPr>
          <w:rFonts w:eastAsia="DengXian"/>
          <w:b/>
          <w:bCs/>
          <w:lang w:val="en-GB"/>
        </w:rPr>
        <w:t xml:space="preserve"> INTRODUCTION </w:t>
      </w:r>
    </w:p>
    <w:p w14:paraId="3B479729">
      <w:pPr>
        <w:spacing w:after="200" w:line="480" w:lineRule="auto"/>
        <w:jc w:val="both"/>
        <w:rPr>
          <w:rFonts w:eastAsia="DengXian"/>
        </w:rPr>
      </w:pPr>
      <w:r>
        <w:rPr>
          <w:rFonts w:eastAsia="DengXian"/>
        </w:rPr>
        <w:t xml:space="preserve">This chapter examines the evolution and development of fiscal and tax policy, in the Nigeria upstream petroleum taxation system, and how these have impacted the form, substance, clarity, responsiveness, competitiveness, and level of tax legislation certainty. </w:t>
      </w:r>
    </w:p>
    <w:p w14:paraId="447EC906">
      <w:pPr>
        <w:spacing w:after="200" w:line="480" w:lineRule="auto"/>
        <w:jc w:val="both"/>
        <w:rPr>
          <w:rFonts w:eastAsia="DengXian"/>
        </w:rPr>
      </w:pPr>
      <w:r>
        <w:rPr>
          <w:rFonts w:eastAsia="DengXian"/>
        </w:rPr>
        <w:t>Natural resource projects are subject to considerable uncertainty</w:t>
      </w:r>
      <w:r>
        <w:rPr>
          <w:rFonts w:eastAsia="DengXian"/>
          <w:vertAlign w:val="superscript"/>
        </w:rPr>
        <w:footnoteReference w:id="371"/>
      </w:r>
      <w:r>
        <w:rPr>
          <w:rFonts w:eastAsia="DengXian"/>
        </w:rPr>
        <w:t xml:space="preserve"> at all stages, from exploration through development to production and abandonment, as may be true in many other sectors, such as the chemical industry, requiring intensive research and development, high technology and significant finance or capital injection. The complexity of the natural resource industry, the inherent uncertainties and the longevity of the production period and the cost of abandonment, and its importance to many countries and the unusual ways it is taxed, all exacerbate the challenges, thus requiring a proactive and responsive fiscal and legislative design, and reform model or strategy, for the system to remain adequately precise, efficient, responsive, and competitive. The history and governance structures of the resource owning country, as well as the international nature of the petroleum industry and price fluctuation, are factors impacting the evolution and development of the petroleum industry and the level of certainty and predictability in the upstream petroleum taxation system. </w:t>
      </w:r>
    </w:p>
    <w:p w14:paraId="4EF2CFCF">
      <w:pPr>
        <w:spacing w:after="200" w:line="480" w:lineRule="auto"/>
        <w:jc w:val="both"/>
        <w:rPr>
          <w:rFonts w:eastAsia="DengXian"/>
        </w:rPr>
      </w:pPr>
      <w:r>
        <w:rPr>
          <w:rFonts w:eastAsia="DengXian"/>
        </w:rPr>
        <w:t>The strategy and policy that governments therefore choose to develop their hydrocarbon resources, as in the case of the United Kingdom, discussed in chapter 7, and for Canada, in chapter 8, are significant in the development of the fiscal, legislative and tax regime, as well as the clarity, stability, and competitiveness of the petroleum tax and regulatory environment.</w:t>
      </w:r>
    </w:p>
    <w:p w14:paraId="541B0FDD">
      <w:pPr>
        <w:spacing w:after="200" w:line="480" w:lineRule="auto"/>
        <w:jc w:val="both"/>
        <w:rPr>
          <w:rFonts w:eastAsia="DengXian"/>
        </w:rPr>
      </w:pPr>
      <w:r>
        <w:rPr>
          <w:rFonts w:eastAsia="DengXian"/>
        </w:rPr>
        <w:t>There are essentially three main options in terms of strategy that an oil producing country may choose in designing its fiscal regime and regulatory framework</w:t>
      </w:r>
      <w:r>
        <w:rPr>
          <w:rFonts w:eastAsia="DengXian"/>
          <w:vertAlign w:val="superscript"/>
        </w:rPr>
        <w:footnoteReference w:id="372"/>
      </w:r>
      <w:r>
        <w:rPr>
          <w:rFonts w:eastAsia="DengXian"/>
        </w:rPr>
        <w:t xml:space="preserve">. It may decide to ‘go-it alone or embark on the private ownership route. The third option, which has been the model adopted by Nigeria is the joint working arrangement of the international oil company and the national oil company (IOC–NOC) approach. This involves cooperation or partnership between the IOCs and the NOCs. Under the private ownership model, the practice is to apply concessionary regimes, as is the case in OECD countries and many developing countries. The IOC-NOC model involves a hybrid strategy and a wider selection of regimes, varying between concessionary, production sharing agreements and risk service agreements, which has been the case in Nigeria. </w:t>
      </w:r>
    </w:p>
    <w:p w14:paraId="2D3C7F0E">
      <w:pPr>
        <w:spacing w:after="200" w:line="480" w:lineRule="auto"/>
        <w:jc w:val="both"/>
        <w:rPr>
          <w:rFonts w:eastAsia="DengXian"/>
        </w:rPr>
      </w:pPr>
      <w:r>
        <w:rPr>
          <w:rFonts w:eastAsia="DengXian"/>
        </w:rPr>
        <w:t xml:space="preserve">To sustain the petroleum industry’s competitiveness, the policy framework, and the petroleum fiscal regime (PFR) are expected to be flexible and suitable to the key stakeholders to attract investment into the host country. Clarity of objectives, certainty of terms and stability in the system are all prerequisites for sustained development.  </w:t>
      </w:r>
    </w:p>
    <w:p w14:paraId="04E319E6">
      <w:pPr>
        <w:spacing w:after="200" w:line="480" w:lineRule="auto"/>
        <w:jc w:val="both"/>
        <w:rPr>
          <w:rFonts w:eastAsia="DengXian"/>
        </w:rPr>
      </w:pPr>
      <w:r>
        <w:rPr>
          <w:rFonts w:eastAsia="DengXian"/>
        </w:rPr>
        <w:t>The regulatory framework under the Petroleum Act and Regulation</w:t>
      </w:r>
      <w:r>
        <w:rPr>
          <w:rFonts w:eastAsia="DengXian"/>
          <w:vertAlign w:val="superscript"/>
        </w:rPr>
        <w:footnoteReference w:id="373"/>
      </w:r>
      <w:r>
        <w:rPr>
          <w:rFonts w:eastAsia="DengXian"/>
        </w:rPr>
        <w:t xml:space="preserve"> discussed in chapters 3, permitted a hybrid arrangement. Under the subsisting Constitutional fiscal federalism, which has defined how the tax system has developed, there is a three-tiered tax structure of the Federal, State and local governments, each of which have different tax and legislative powers</w:t>
      </w:r>
      <w:r>
        <w:rPr>
          <w:rFonts w:eastAsia="DengXian"/>
          <w:color w:val="000000"/>
        </w:rPr>
        <w:t>.</w:t>
      </w:r>
      <w:r>
        <w:rPr>
          <w:color w:val="FF0000"/>
        </w:rPr>
        <w:t xml:space="preserve"> T</w:t>
      </w:r>
      <w:r>
        <w:rPr>
          <w:rFonts w:eastAsia="DengXian"/>
        </w:rPr>
        <w:t>he FGN had exclusive control for petroleum policy and tax legislation making, as well as the control of petroleum operations. The control by the FGN did not, however, always produce the required structured and sustained regular fiscal, tax policy and legislative reviews for achieving policy and legislative clarity and certainty for the country, even though petroleum has been the dominant revenue earner for the country. As discussed in chapter 2 of the thesis, following the commercial discovery of petroleum in late 1956 in Oloibiri in present day Bayelsa State</w:t>
      </w:r>
      <w:r>
        <w:rPr>
          <w:rFonts w:eastAsia="DengXian"/>
          <w:vertAlign w:val="superscript"/>
        </w:rPr>
        <w:footnoteReference w:id="374"/>
      </w:r>
      <w:r>
        <w:rPr>
          <w:rFonts w:eastAsia="DengXian"/>
        </w:rPr>
        <w:t xml:space="preserve">, there have been several petroleum development arrangements. The petroleum arrangements began with the British colonial government granting a sole concession to a consortium of Shell-BP. Subsequently the concession arrangement was followed by participation arrangements, i.e., Joint Venture (JV), and thereafter the Contract (Risk Service and the Production Sharing Contracts), arrangements formally introduced by the PSC Act in 1990. </w:t>
      </w:r>
    </w:p>
    <w:p w14:paraId="17654FEB">
      <w:pPr>
        <w:spacing w:after="200" w:line="480" w:lineRule="auto"/>
        <w:jc w:val="both"/>
        <w:rPr>
          <w:rFonts w:eastAsia="DengXian"/>
        </w:rPr>
      </w:pPr>
      <w:r>
        <w:rPr>
          <w:rFonts w:eastAsia="DengXian"/>
        </w:rPr>
        <w:t xml:space="preserve">In the following sections of this chapter, we examine the evolution and development of the fiscal and tax policy objectives for the petroleum industry and how these have impacted the creation of a progressive and certain tax legislative and regulatory framework for the Nigerian petroleum industry. </w:t>
      </w:r>
    </w:p>
    <w:p w14:paraId="24B7A92A">
      <w:pPr>
        <w:spacing w:after="200" w:line="480" w:lineRule="auto"/>
        <w:jc w:val="both"/>
        <w:rPr>
          <w:rFonts w:eastAsia="DengXian"/>
          <w:b/>
        </w:rPr>
      </w:pPr>
      <w:r>
        <w:rPr>
          <w:rFonts w:eastAsia="DengXian"/>
          <w:b/>
          <w:lang w:val="en-ZA"/>
        </w:rPr>
        <w:t>5.1</w:t>
      </w:r>
      <w:r>
        <w:rPr>
          <w:rFonts w:eastAsia="DengXian"/>
          <w:b/>
          <w:lang w:val="en-ZA"/>
        </w:rPr>
        <w:tab/>
      </w:r>
      <w:r>
        <w:rPr>
          <w:rFonts w:eastAsia="DengXian"/>
          <w:b/>
          <w:lang w:val="en-ZA"/>
        </w:rPr>
        <w:t xml:space="preserve"> TAXATION AND POLICY EVOLUTION IN THE NIGERIAN PETROLEUM INDUSTRY</w:t>
      </w:r>
      <w:r>
        <w:rPr>
          <w:rFonts w:eastAsia="DengXian"/>
          <w:b/>
        </w:rPr>
        <w:t xml:space="preserve"> </w:t>
      </w:r>
    </w:p>
    <w:p w14:paraId="34E16BFA">
      <w:pPr>
        <w:spacing w:after="200" w:line="480" w:lineRule="auto"/>
        <w:jc w:val="both"/>
        <w:rPr>
          <w:rFonts w:eastAsia="DengXian"/>
        </w:rPr>
      </w:pPr>
      <w:r>
        <w:rPr>
          <w:rFonts w:eastAsia="DengXian"/>
        </w:rPr>
        <w:t>The history of petroleum operations in Nigeria and the dependence of the Nigerian economy on oil rents has meant that there is immense pressure to raise optimal revenues from the sales of crude oil and the taxation of the petroleum industry.</w:t>
      </w:r>
      <w:r>
        <w:t xml:space="preserve"> </w:t>
      </w:r>
      <w:r>
        <w:rPr>
          <w:rFonts w:eastAsia="DengXian"/>
        </w:rPr>
        <w:t xml:space="preserve">At different points in time, there have been over 40 different taxes and levies shared by all three levels of government in Nigeria </w:t>
      </w:r>
      <w:r>
        <w:rPr>
          <w:rStyle w:val="23"/>
          <w:rFonts w:eastAsia="DengXian"/>
        </w:rPr>
        <w:footnoteReference w:id="375"/>
      </w:r>
      <w:r>
        <w:rPr>
          <w:rFonts w:eastAsia="DengXian"/>
        </w:rPr>
        <w:t>. The FGN tended to focus more on generating sufficient revenues for development and governance, at the expense of a structured and well defined and clearly stated national fiscal and tax objectives, which consider investor concerns and the need to attract investment and grow the industry. Although the FGN had exclusive responsibility for economy and the petroleum industry, the government’s economic policy goals, and the role of the national oil company, (NNPC), was not adequately defined or articulated, and lacked the national vision for evolving and growing the industry</w:t>
      </w:r>
      <w:r>
        <w:rPr>
          <w:rFonts w:eastAsia="DengXian"/>
          <w:vertAlign w:val="superscript"/>
        </w:rPr>
        <w:footnoteReference w:id="376"/>
      </w:r>
      <w:r>
        <w:rPr>
          <w:rFonts w:eastAsia="DengXian"/>
        </w:rPr>
        <w:t xml:space="preserve">, thus resulting in old and sometimes unclear and conflicting polices and legislation. </w:t>
      </w:r>
    </w:p>
    <w:p w14:paraId="46F826BE">
      <w:pPr>
        <w:spacing w:after="200" w:line="480" w:lineRule="auto"/>
        <w:jc w:val="both"/>
        <w:rPr>
          <w:rFonts w:eastAsia="DengXian"/>
          <w:lang w:val="en-GB"/>
        </w:rPr>
      </w:pPr>
      <w:r>
        <w:rPr>
          <w:rFonts w:eastAsia="DengXian"/>
          <w:lang w:val="en-GB"/>
        </w:rPr>
        <w:t xml:space="preserve">For extended periods in the Nigeria petroleum industry, fiscal policy development was slow and unclear </w:t>
      </w:r>
      <w:r>
        <w:rPr>
          <w:rFonts w:eastAsia="DengXian"/>
        </w:rPr>
        <w:t>and through the period of the oil boom of 1973/4, when the federally collected revenue rose from 26.3 per cent in 1970 to 81.8, 72.6 and 76.3 in 1979, 1989 and 1999, respectively</w:t>
      </w:r>
      <w:r>
        <w:rPr>
          <w:rFonts w:eastAsia="DengXian"/>
          <w:vertAlign w:val="superscript"/>
        </w:rPr>
        <w:footnoteReference w:id="377"/>
      </w:r>
      <w:r>
        <w:rPr>
          <w:rFonts w:eastAsia="DengXian"/>
        </w:rPr>
        <w:t xml:space="preserve">, traditional tax revenue never really assumed a strong role in the country’s management of fiscal policy. Instead of transforming or diversifying the existing revenue base, fiscal management merely transited from one primary product-based revenue to another, making the economy susceptible to fluctuations in the international oil market. </w:t>
      </w:r>
      <w:r>
        <w:rPr>
          <w:rFonts w:eastAsia="DengXian"/>
          <w:lang w:val="en-GB"/>
        </w:rPr>
        <w:t xml:space="preserve">The pre-occupation of </w:t>
      </w:r>
      <w:r>
        <w:rPr>
          <w:rFonts w:eastAsia="DengXian"/>
        </w:rPr>
        <w:t>the FG was increased government take from the oil industry through royalty and tax. The FG introduced incentives under the Memorandum of Understanding (MOU)</w:t>
      </w:r>
      <w:r>
        <w:rPr>
          <w:rFonts w:eastAsia="DengXian"/>
          <w:vertAlign w:val="superscript"/>
        </w:rPr>
        <w:footnoteReference w:id="378"/>
      </w:r>
      <w:r>
        <w:rPr>
          <w:rFonts w:eastAsia="DengXian"/>
        </w:rPr>
        <w:t>, with guaranteed profit margins and reserves addition, special pricing and payment agreements, gas incentives for associated gas production and the PSC arrangements in the early 1990’s to address the joint venture’s funding challenges, and to encourage the development of the deep offshore fields in the era of low oil prices.</w:t>
      </w:r>
    </w:p>
    <w:p w14:paraId="38F32775">
      <w:pPr>
        <w:spacing w:after="200" w:line="480" w:lineRule="auto"/>
        <w:jc w:val="both"/>
        <w:rPr>
          <w:rFonts w:eastAsia="DengXian"/>
          <w:lang w:val="en-GB"/>
        </w:rPr>
      </w:pPr>
      <w:r>
        <w:rPr>
          <w:rFonts w:eastAsia="DengXian"/>
        </w:rPr>
        <w:t>The fiscal policy of the country as it affects the upstream petroleum industry,</w:t>
      </w:r>
      <w:r>
        <w:rPr>
          <w:rFonts w:eastAsia="DengXian"/>
          <w:vertAlign w:val="superscript"/>
        </w:rPr>
        <w:footnoteReference w:id="379"/>
      </w:r>
      <w:r>
        <w:rPr>
          <w:rFonts w:eastAsia="DengXian"/>
        </w:rPr>
        <w:t>was reactive and designed to counter economic cycles, manage inflation, and support measured growth, rather than address current needs and future competitiveness</w:t>
      </w:r>
      <w:r>
        <w:rPr>
          <w:rFonts w:eastAsia="DengXian"/>
          <w:vertAlign w:val="superscript"/>
        </w:rPr>
        <w:footnoteReference w:id="380"/>
      </w:r>
      <w:r>
        <w:rPr>
          <w:rFonts w:eastAsia="DengXian"/>
        </w:rPr>
        <w:t xml:space="preserve"> of the petroleum industry. </w:t>
      </w:r>
      <w:r>
        <w:rPr>
          <w:rFonts w:eastAsia="DengXian"/>
          <w:lang w:val="en-GB"/>
        </w:rPr>
        <w:t>The challenge of designing a competitive, clear and a fiscally efficient legislative and regulatory framework for the Nigerian petroleum industry, included how to induce maximum effort from the oil companies while ensuring that the FG is adequately compensated. Some of the critical questions that had to be addressed included how to ensure clarity and certainty of the terms, and the effect of the fiscal regime on petroleum output? Also, whether the fiscal system encourages or discourages the development of small and marginal fields and whether it influences the pace of development, or favours early abandonment? The other important factor is whether it is sensitive to oil and gas price and cost variation? In other words, how flexible, neutral, or stable is the fiscal regime and what are the implications for taxation?</w:t>
      </w:r>
      <w:r>
        <w:rPr>
          <w:rFonts w:eastAsia="DengXian"/>
          <w:vertAlign w:val="superscript"/>
          <w:lang w:val="en-GB"/>
        </w:rPr>
        <w:footnoteReference w:id="381"/>
      </w:r>
      <w:r>
        <w:rPr>
          <w:rFonts w:eastAsia="DengXian"/>
          <w:lang w:val="en-GB"/>
        </w:rPr>
        <w:t xml:space="preserve">  </w:t>
      </w:r>
    </w:p>
    <w:p w14:paraId="633D8493">
      <w:pPr>
        <w:spacing w:after="200" w:line="480" w:lineRule="auto"/>
        <w:jc w:val="both"/>
      </w:pPr>
      <w:r>
        <w:rPr>
          <w:rFonts w:eastAsia="DengXian"/>
        </w:rPr>
        <w:t xml:space="preserve">The approach to policy and tax law making for upstream petroleum tax system was characterized largely by ad hoc amendments of old laws and inconsistent policy interventions, project specific incentives, and the absence of structured law reform. These were distortionary in nature, with uncertain consequences and complicated by the existence of multiple taxes and levies at the federating state and local government levels. </w:t>
      </w:r>
      <w:r>
        <w:rPr>
          <w:rFonts w:eastAsia="DengXian"/>
          <w:lang w:val="en-GB"/>
        </w:rPr>
        <w:t xml:space="preserve">The grant of targeted or project specific investment incentives to create the enabling environment for capital inflow into the industry, such as </w:t>
      </w:r>
      <w:r>
        <w:rPr>
          <w:rFonts w:eastAsia="DengXian"/>
        </w:rPr>
        <w:t>the Associated Gas Framework Agreements (AGFA), and the memoranda of understanding with the IOC’s etc.</w:t>
      </w:r>
      <w:r>
        <w:rPr>
          <w:rFonts w:eastAsia="DengXian"/>
          <w:vertAlign w:val="superscript"/>
          <w:lang w:val="en-GB"/>
        </w:rPr>
        <w:footnoteReference w:id="382"/>
      </w:r>
      <w:r>
        <w:rPr>
          <w:rFonts w:eastAsia="DengXian"/>
          <w:lang w:val="en-GB"/>
        </w:rPr>
        <w:t>, proved inadequate to address the lack of direction and clarity in the regime in the face of a volatile market price</w:t>
      </w:r>
      <w:r>
        <w:rPr>
          <w:rFonts w:eastAsia="DengXian"/>
          <w:vertAlign w:val="superscript"/>
          <w:lang w:val="en-GB"/>
        </w:rPr>
        <w:footnoteReference w:id="383"/>
      </w:r>
      <w:r>
        <w:rPr>
          <w:rFonts w:eastAsia="DengXian"/>
          <w:lang w:val="en-GB"/>
        </w:rPr>
        <w:t xml:space="preserve">. Rather, it contributed to the lack of neutrality, stability, and competitiveness of the Nigeria petroleum fiscal and taxation environment, especially in the light of poor policy articulation, high operational costs, low prices, and poor legislative review, and law amendment. Studies have shown that downturns in oil prices have in some cases led to external and fiscal </w:t>
      </w:r>
      <w:r>
        <w:rPr>
          <w:rFonts w:eastAsia="DengXian"/>
          <w:color w:val="000000"/>
          <w:lang w:val="en-GB"/>
        </w:rPr>
        <w:t>crisis</w:t>
      </w:r>
      <w:r>
        <w:rPr>
          <w:color w:val="000000"/>
          <w:lang w:val="en-GB"/>
        </w:rPr>
        <w:t xml:space="preserve"> </w:t>
      </w:r>
      <w:r>
        <w:rPr>
          <w:rFonts w:eastAsia="DengXian"/>
          <w:lang w:val="en-GB"/>
        </w:rPr>
        <w:t>and a pattern of fluctuating fiscal expenditures associated with oil price volatility resulting in significant economic and social costs for several oil producers.</w:t>
      </w:r>
      <w:r>
        <w:rPr>
          <w:rFonts w:eastAsia="DengXian"/>
          <w:vertAlign w:val="superscript"/>
          <w:lang w:val="en-GB"/>
        </w:rPr>
        <w:footnoteReference w:id="384"/>
      </w:r>
    </w:p>
    <w:p w14:paraId="4A13E9C5">
      <w:pPr>
        <w:spacing w:after="200" w:line="480" w:lineRule="auto"/>
        <w:jc w:val="both"/>
        <w:rPr>
          <w:rFonts w:eastAsia="DengXian"/>
        </w:rPr>
      </w:pPr>
      <w:r>
        <w:rPr>
          <w:rFonts w:eastAsia="DengXian"/>
        </w:rPr>
        <w:t>Further to these ad-hoc incentives to encourage continuous flow of revenues to the FGN, the tax policy reviews of 1991 and 2003</w:t>
      </w:r>
      <w:r>
        <w:rPr>
          <w:rFonts w:eastAsia="DengXian"/>
          <w:vertAlign w:val="superscript"/>
        </w:rPr>
        <w:footnoteReference w:id="385"/>
      </w:r>
      <w:r>
        <w:rPr>
          <w:rFonts w:eastAsia="DengXian"/>
        </w:rPr>
        <w:t xml:space="preserve">highlighted the need to increase tax revenue from various sources within the country and reduce expenditure as the major fiscal issue. The yearly budget amendments were therefore geared towards increased revenue capture from the oil industry and trade taxes. In practical terms, Nigeria’s tax and fiscal policy measures appeared to have been largely driven by the need to promote the rapid growth of the economy, generate employment, maintain price levels, and improve the balance-of-payment conditions of the country. </w:t>
      </w:r>
    </w:p>
    <w:p w14:paraId="78FC19C2">
      <w:pPr>
        <w:spacing w:after="200" w:line="480" w:lineRule="auto"/>
        <w:jc w:val="both"/>
        <w:rPr>
          <w:rFonts w:eastAsia="DengXian"/>
          <w:lang w:val="en-GB"/>
        </w:rPr>
      </w:pPr>
      <w:r>
        <w:rPr>
          <w:rFonts w:eastAsia="DengXian"/>
        </w:rPr>
        <w:t>In 2012, the FG embarked on the drafting of the National Tax Policy (NTP).  The NTP of 2012</w:t>
      </w:r>
      <w:r>
        <w:rPr>
          <w:rFonts w:eastAsia="DengXian"/>
          <w:vertAlign w:val="superscript"/>
        </w:rPr>
        <w:footnoteReference w:id="386"/>
      </w:r>
      <w:r>
        <w:rPr>
          <w:rFonts w:eastAsia="DengXian"/>
        </w:rPr>
        <w:t>, was aimed at designing a vital platform for optimizing revenue generation to facilitate socio-economic development of the country. The policy was aimed at encouraging fiscal responsibility and accountability to Nigerians. The NTP was also meant to reflect the principle of fiscal federalism by ensuring equitable sharing of revenues and taxation collected.  It did not however specifically address the petroleum industry and only stated that t</w:t>
      </w:r>
      <w:r>
        <w:rPr>
          <w:rFonts w:eastAsia="DengXian"/>
          <w:lang w:val="en-GB"/>
        </w:rPr>
        <w:t>he fiscal regime for oil and gas companies in Nigeria (Petroleum Profit Tax (PPT), which applies to Joint Venture (JV) contracts, and the Production Sharing Contracts (PSC) require strengthening in view of their growing importance</w:t>
      </w:r>
      <w:r>
        <w:rPr>
          <w:rStyle w:val="23"/>
          <w:rFonts w:eastAsia="DengXian"/>
        </w:rPr>
        <w:footnoteReference w:id="387"/>
      </w:r>
      <w:r>
        <w:rPr>
          <w:rFonts w:eastAsia="DengXian"/>
          <w:lang w:val="en-GB"/>
        </w:rPr>
        <w:t xml:space="preserve">. It recommended that in view of this, all stakeholders should support the initiatives to reform the Oil and Gas sector by the passage of the Petroleum Industry Bill (PIB), which was intended to address all areas of concern in the sector. </w:t>
      </w:r>
    </w:p>
    <w:p w14:paraId="7A751698">
      <w:pPr>
        <w:spacing w:after="200" w:line="480" w:lineRule="auto"/>
        <w:jc w:val="both"/>
        <w:rPr>
          <w:rFonts w:eastAsia="DengXian"/>
          <w:lang w:val="en-GB"/>
        </w:rPr>
      </w:pPr>
      <w:r>
        <w:rPr>
          <w:rFonts w:eastAsia="DengXian"/>
        </w:rPr>
        <w:t xml:space="preserve">The NTP (2012) was revised in 2017. It failed, however, to directly </w:t>
      </w:r>
      <w:r>
        <w:rPr>
          <w:rFonts w:eastAsia="DengXian"/>
          <w:lang w:val="en-GB"/>
        </w:rPr>
        <w:t xml:space="preserve">address the petroleum industry or articulate a petroleum fiscal or tax policy. The Nigeria petroleum sector has therefore experienced long periods of sustained tax policy review neglect and clear direction. This has in turn affected regulatory and taxation legislative development and reform. This neglect and lack of tax and fiscal policy and legislative reform of the industry and the delayed enactment of the Nigeria Petroleum Industry Bill (PIB), all gave impetus to the design and articulation of the National Oil and Gas Policy, as well as the National Petroleum Fiscal Policy documents of 2016 and 2017, respectively. </w:t>
      </w:r>
    </w:p>
    <w:p w14:paraId="78F0AD71">
      <w:pPr>
        <w:spacing w:after="200" w:line="480" w:lineRule="auto"/>
        <w:jc w:val="both"/>
        <w:rPr>
          <w:rFonts w:eastAsia="DengXian"/>
        </w:rPr>
      </w:pPr>
      <w:r>
        <w:rPr>
          <w:rFonts w:eastAsia="DengXian"/>
          <w:lang w:val="en-GB"/>
        </w:rPr>
        <w:t xml:space="preserve">To achieve the required clarity of objectives and certainty of legislative terms, tax and </w:t>
      </w:r>
      <w:r>
        <w:rPr>
          <w:rFonts w:eastAsia="DengXian"/>
        </w:rPr>
        <w:t xml:space="preserve">fiscal policy must strike a balance between securing the revenues needed by governments to finance their social and economic programs and the need for a tax system that promotes innovation, productivity, and inclusive economic growth. Policy should be responsive, flexible, and adaptive and be expressed clearly to guide tax legislative development and the regulatory and administrative institutions. </w:t>
      </w:r>
      <w:r>
        <w:rPr>
          <w:rFonts w:eastAsia="DengXian"/>
          <w:lang w:val="en-GB"/>
        </w:rPr>
        <w:t>The evolution and formulation of the oil and gas, and the fiscal policy for upstream petroleum industry are examined below.</w:t>
      </w:r>
    </w:p>
    <w:p w14:paraId="443ABB5E">
      <w:pPr>
        <w:spacing w:after="200" w:line="480" w:lineRule="auto"/>
        <w:jc w:val="both"/>
        <w:rPr>
          <w:rFonts w:eastAsia="DengXian"/>
          <w:b/>
          <w:lang w:val="en-ZA"/>
        </w:rPr>
      </w:pPr>
      <w:r>
        <w:rPr>
          <w:rFonts w:eastAsia="DengXian"/>
          <w:b/>
          <w:lang w:val="en-ZA"/>
        </w:rPr>
        <w:t>5.2</w:t>
      </w:r>
      <w:r>
        <w:rPr>
          <w:rFonts w:eastAsia="DengXian"/>
          <w:b/>
          <w:lang w:val="en-ZA"/>
        </w:rPr>
        <w:tab/>
      </w:r>
      <w:r>
        <w:rPr>
          <w:rFonts w:eastAsia="DengXian"/>
          <w:b/>
          <w:lang w:val="en-ZA"/>
        </w:rPr>
        <w:t>FISCAL POLICY EVOLUTION AND UPSTREAM PETROLEUM TAXATION</w:t>
      </w:r>
    </w:p>
    <w:p w14:paraId="1C32CD9B">
      <w:pPr>
        <w:spacing w:after="200" w:line="480" w:lineRule="auto"/>
        <w:jc w:val="both"/>
        <w:rPr>
          <w:rFonts w:eastAsia="DengXian"/>
        </w:rPr>
      </w:pPr>
      <w:r>
        <w:rPr>
          <w:rFonts w:eastAsia="DengXian"/>
        </w:rPr>
        <w:t xml:space="preserve">As already stated, the FG has the exclusive authority under the 1999 Constitution, to formulate and design policies for petroleum exploration, development, and production. The FG has however focused more on generating revenue for development and as such the petroleum industry in Nigeria lacked a focused, principle-based, and well-structured approach to petroleum and fiscal policy making, amidst multiple legislations and the legislative framework. </w:t>
      </w:r>
      <w:r>
        <w:rPr>
          <w:rFonts w:eastAsia="DengXian"/>
          <w:bCs/>
        </w:rPr>
        <w:t>It employs a multi-statute and multi-agency framework arrangement</w:t>
      </w:r>
      <w:r>
        <w:rPr>
          <w:rFonts w:eastAsia="DengXian"/>
          <w:bCs/>
          <w:vertAlign w:val="superscript"/>
        </w:rPr>
        <w:footnoteReference w:id="388"/>
      </w:r>
      <w:r>
        <w:rPr>
          <w:rFonts w:eastAsia="DengXian"/>
          <w:bCs/>
        </w:rPr>
        <w:t xml:space="preserve"> ostensibly to make it flexible for investors and broaden the revenue base. </w:t>
      </w:r>
      <w:r>
        <w:rPr>
          <w:rFonts w:eastAsia="DengXian"/>
        </w:rPr>
        <w:t>The role and responsibilities among the agencies</w:t>
      </w:r>
      <w:r>
        <w:rPr>
          <w:rFonts w:eastAsia="DengXian"/>
          <w:vertAlign w:val="superscript"/>
        </w:rPr>
        <w:footnoteReference w:id="389"/>
      </w:r>
      <w:r>
        <w:rPr>
          <w:rFonts w:eastAsia="DengXian"/>
        </w:rPr>
        <w:t xml:space="preserve"> were not always clear, thus resulting in conflicts of interest and duplication of efforts on the issues of policy, strategy, operations, monitoring, and enforcement among the government functionaries within the sector. </w:t>
      </w:r>
    </w:p>
    <w:p w14:paraId="685973E2">
      <w:pPr>
        <w:spacing w:after="200" w:line="480" w:lineRule="auto"/>
        <w:jc w:val="both"/>
        <w:rPr>
          <w:rFonts w:eastAsia="DengXian"/>
        </w:rPr>
      </w:pPr>
      <w:r>
        <w:rPr>
          <w:rFonts w:eastAsia="DengXian"/>
        </w:rPr>
        <w:t xml:space="preserve">The FG aims to obtain the maximum value over time in terms of net receipts from petroleum sales and taxes for the treasury, by maximizing the wealth from </w:t>
      </w:r>
      <w:r>
        <w:rPr>
          <w:rFonts w:eastAsia="DengXian"/>
          <w:color w:val="000000"/>
        </w:rPr>
        <w:t>natural resources</w:t>
      </w:r>
      <w:r>
        <w:rPr>
          <w:color w:val="000000"/>
        </w:rPr>
        <w:t xml:space="preserve"> </w:t>
      </w:r>
      <w:r>
        <w:rPr>
          <w:rFonts w:eastAsia="DengXian"/>
        </w:rPr>
        <w:t>and, at the same time, attracting foreign investment. The oil companies on their part aim to ensure that the return on capital is consistent with the risk associated with the project and with the strategic objectives of the corporation. This underscores the need to design a fiscal and tax system for the petroleum sector that achieves the following underlisted objectives:</w:t>
      </w:r>
      <w:r>
        <w:rPr>
          <w:rFonts w:eastAsia="DengXian"/>
          <w:vertAlign w:val="superscript"/>
        </w:rPr>
        <w:footnoteReference w:id="390"/>
      </w:r>
      <w:r>
        <w:rPr>
          <w:rFonts w:eastAsia="DengXian"/>
        </w:rPr>
        <w:t xml:space="preserve"> </w:t>
      </w:r>
    </w:p>
    <w:p w14:paraId="4ABF8F80">
      <w:pPr>
        <w:numPr>
          <w:ilvl w:val="0"/>
          <w:numId w:val="27"/>
        </w:numPr>
        <w:spacing w:after="200" w:line="480" w:lineRule="auto"/>
        <w:contextualSpacing/>
        <w:jc w:val="both"/>
        <w:rPr>
          <w:rFonts w:eastAsia="DengXian"/>
        </w:rPr>
      </w:pPr>
      <w:r>
        <w:rPr>
          <w:rFonts w:eastAsia="DengXian"/>
        </w:rPr>
        <w:t xml:space="preserve">supports macroeconomic stability by providing predictable and stable tax revenue flows. </w:t>
      </w:r>
    </w:p>
    <w:p w14:paraId="31F0F8A5">
      <w:pPr>
        <w:numPr>
          <w:ilvl w:val="0"/>
          <w:numId w:val="27"/>
        </w:numPr>
        <w:spacing w:after="200" w:line="480" w:lineRule="auto"/>
        <w:contextualSpacing/>
        <w:jc w:val="both"/>
        <w:rPr>
          <w:rFonts w:eastAsia="DengXian"/>
        </w:rPr>
      </w:pPr>
      <w:r>
        <w:rPr>
          <w:rFonts w:eastAsia="DengXian"/>
        </w:rPr>
        <w:t xml:space="preserve">permits capturing a greater share of the revenue during periods of high profits. </w:t>
      </w:r>
    </w:p>
    <w:p w14:paraId="047F8EF0">
      <w:pPr>
        <w:numPr>
          <w:ilvl w:val="0"/>
          <w:numId w:val="27"/>
        </w:numPr>
        <w:spacing w:after="200" w:line="480" w:lineRule="auto"/>
        <w:contextualSpacing/>
        <w:jc w:val="both"/>
        <w:rPr>
          <w:rFonts w:eastAsia="DengXian"/>
        </w:rPr>
      </w:pPr>
      <w:r>
        <w:rPr>
          <w:rFonts w:eastAsia="DengXian"/>
        </w:rPr>
        <w:t xml:space="preserve">avoids the introduction of distorting effects through the fiscal instruments. </w:t>
      </w:r>
    </w:p>
    <w:p w14:paraId="2C9B3B1F">
      <w:pPr>
        <w:numPr>
          <w:ilvl w:val="0"/>
          <w:numId w:val="27"/>
        </w:numPr>
        <w:spacing w:after="200" w:line="480" w:lineRule="auto"/>
        <w:contextualSpacing/>
        <w:jc w:val="both"/>
        <w:rPr>
          <w:rFonts w:eastAsia="DengXian"/>
        </w:rPr>
      </w:pPr>
      <w:r>
        <w:rPr>
          <w:rFonts w:eastAsia="DengXian"/>
        </w:rPr>
        <w:t xml:space="preserve">maximizes the present value of revenue receipts by providing for appropriations during the early years of production; and </w:t>
      </w:r>
    </w:p>
    <w:p w14:paraId="5A37D500">
      <w:pPr>
        <w:numPr>
          <w:ilvl w:val="0"/>
          <w:numId w:val="27"/>
        </w:numPr>
        <w:spacing w:after="200" w:line="480" w:lineRule="auto"/>
        <w:contextualSpacing/>
        <w:jc w:val="both"/>
        <w:rPr>
          <w:rFonts w:eastAsia="DengXian"/>
        </w:rPr>
      </w:pPr>
      <w:r>
        <w:rPr>
          <w:rFonts w:eastAsia="DengXian"/>
        </w:rPr>
        <w:t>is neutral and encourages economic efficiency as a yardstick.</w:t>
      </w:r>
    </w:p>
    <w:p w14:paraId="2AF33871">
      <w:pPr>
        <w:spacing w:after="200" w:line="480" w:lineRule="auto"/>
        <w:jc w:val="both"/>
        <w:rPr>
          <w:rFonts w:eastAsia="DengXian"/>
        </w:rPr>
      </w:pPr>
      <w:r>
        <w:rPr>
          <w:rFonts w:eastAsia="DengXian"/>
        </w:rPr>
        <w:t>Invariably, a clear ‘flexible’ and ‘progressive’ fiscal regime is one that provides the government with an adequate share of economic rent under varying conditions of profitability, and targets high economic rent through taxation.</w:t>
      </w:r>
      <w:r>
        <w:t xml:space="preserve"> </w:t>
      </w:r>
      <w:r>
        <w:rPr>
          <w:rFonts w:eastAsia="DengXian"/>
        </w:rPr>
        <w:t>The further “downstream” a government goes to extract the rent, the less regressive the system. Signature bonuses paid before a discovery is made and royalties paid, whether a field yields a positive result or not are the most regressive forms of rent extraction. A fiscal regime that targets the extra revenue that is not required to persuade the investor to continue with the investment and that, if taxed away, will still allow the company to realize an acceptable return on its investment. There are various ways to do this. A flexible and progressive fiscal system could envisage a progressive income tax and a sliding scale royalty in the case of concessionary systems; or a progressive government take linked to petroleum prices or project rate of return in the case of production-sharing arrangements.</w:t>
      </w:r>
      <w:r>
        <w:rPr>
          <w:rFonts w:eastAsia="DengXian"/>
          <w:sz w:val="21"/>
          <w:szCs w:val="21"/>
        </w:rPr>
        <w:t xml:space="preserve"> </w:t>
      </w:r>
      <w:r>
        <w:rPr>
          <w:rFonts w:eastAsia="DengXian"/>
        </w:rPr>
        <w:t>The advantages of a flexible and a progressive mechanism for rent extraction and stability over time as market forces and project conditions change over time, and therefore limit the need for renegotiation</w:t>
      </w:r>
      <w:r>
        <w:rPr>
          <w:rFonts w:eastAsia="DengXian"/>
          <w:vertAlign w:val="superscript"/>
        </w:rPr>
        <w:footnoteReference w:id="391"/>
      </w:r>
      <w:r>
        <w:rPr>
          <w:rFonts w:eastAsia="DengXian"/>
        </w:rPr>
        <w:t>. A “neutral” fiscal regime</w:t>
      </w:r>
      <w:r>
        <w:rPr>
          <w:rFonts w:eastAsia="DengXian"/>
          <w:vertAlign w:val="superscript"/>
        </w:rPr>
        <w:footnoteReference w:id="392"/>
      </w:r>
      <w:r>
        <w:rPr>
          <w:rFonts w:eastAsia="DengXian"/>
        </w:rPr>
        <w:t xml:space="preserve"> on the one hand is one which neither encourages nor deters investments that would otherwise take place and does not impact resource allocation. On the other hand, stable regimes</w:t>
      </w:r>
      <w:r>
        <w:rPr>
          <w:rFonts w:eastAsia="DengXian"/>
          <w:vertAlign w:val="superscript"/>
        </w:rPr>
        <w:footnoteReference w:id="393"/>
      </w:r>
      <w:r>
        <w:rPr>
          <w:rFonts w:eastAsia="DengXian"/>
        </w:rPr>
        <w:t xml:space="preserve"> may be grouped under two categories: “freezing clauses” or guarantees and assurances that maintain the contract and/or fiscal terms unchanged for the duration of the project or for a certain defined term or period of time; and “equilibrium clauses” or balancing provisions that allow for adjustment of the contractual or fiscal and taxing terms over time so that a change in circumstances does not damage or benefit one party to the advantage or detriment of the other party</w:t>
      </w:r>
      <w:r>
        <w:rPr>
          <w:rFonts w:eastAsia="DengXian"/>
          <w:vertAlign w:val="superscript"/>
        </w:rPr>
        <w:footnoteReference w:id="394"/>
      </w:r>
      <w:r>
        <w:rPr>
          <w:rFonts w:eastAsia="DengXian"/>
        </w:rPr>
        <w:t xml:space="preserve">. </w:t>
      </w:r>
    </w:p>
    <w:p w14:paraId="4FC91FEA">
      <w:pPr>
        <w:spacing w:after="200" w:line="480" w:lineRule="auto"/>
        <w:jc w:val="both"/>
        <w:rPr>
          <w:rFonts w:eastAsia="DengXian"/>
        </w:rPr>
      </w:pPr>
      <w:r>
        <w:rPr>
          <w:rFonts w:eastAsia="DengXian"/>
        </w:rPr>
        <w:t xml:space="preserve">Nigerian petroleum operations have existed for long periods of time by combining features of a flexible and a stable regime, although stability does not necessarily equate or amount to a certain regime, just as a flexible regime does not guarantee certainty in the tax system. The flexibility and apparent stability in the system was achieved in a rather reactive manner, leaving it far from being neutral and with several in-built distortions and uncertainties. Although some uncertainty in fiscal and tax matters is an inevitable consequence of the wider uncertainties with which governments must cope in addressing their economic, political, and social objectives, a clear fiscal and tax policy, as well as administration play important roles in promoting economic growth, addressing redistributive and contractual issues, managing the complexities and uncertainties in the petroleum industry, and in achieving certainty in the tax legislative and regulatory regime of the industry.  </w:t>
      </w:r>
    </w:p>
    <w:p w14:paraId="71DA3E2E">
      <w:pPr>
        <w:spacing w:after="200" w:line="480" w:lineRule="auto"/>
        <w:jc w:val="both"/>
        <w:rPr>
          <w:rFonts w:eastAsia="DengXian"/>
        </w:rPr>
      </w:pPr>
      <w:r>
        <w:rPr>
          <w:rFonts w:eastAsia="DengXian"/>
        </w:rPr>
        <w:t>In a survey conducted by Deloitte on behalf of the Aberdeen and Grampian Chamber of Commerce, it was established that contract and fiscal stability are primary factors in determining business confidence and ranking investment opportunities</w:t>
      </w:r>
      <w:r>
        <w:rPr>
          <w:rFonts w:eastAsia="DengXian"/>
          <w:vertAlign w:val="superscript"/>
        </w:rPr>
        <w:footnoteReference w:id="395"/>
      </w:r>
      <w:r>
        <w:rPr>
          <w:rFonts w:eastAsia="DengXian"/>
        </w:rPr>
        <w:t>. From the investing company’s standpoint, this means the search for a legislative tax system that provides for:</w:t>
      </w:r>
    </w:p>
    <w:p w14:paraId="5C90534F">
      <w:pPr>
        <w:spacing w:after="200" w:line="480" w:lineRule="auto"/>
        <w:ind w:firstLine="720"/>
        <w:jc w:val="both"/>
        <w:rPr>
          <w:rFonts w:eastAsia="DengXian"/>
        </w:rPr>
      </w:pPr>
      <w:r>
        <w:rPr>
          <w:rFonts w:eastAsia="DengXian"/>
        </w:rPr>
        <w:t xml:space="preserve">(i) a minimum number of front-end loaded nonprofit-sensitive taxes; </w:t>
      </w:r>
    </w:p>
    <w:p w14:paraId="27D8ED6B">
      <w:pPr>
        <w:spacing w:after="200" w:line="480" w:lineRule="auto"/>
        <w:ind w:firstLine="720"/>
        <w:jc w:val="both"/>
        <w:rPr>
          <w:rFonts w:eastAsia="DengXian"/>
        </w:rPr>
      </w:pPr>
      <w:r>
        <w:rPr>
          <w:rFonts w:eastAsia="DengXian"/>
        </w:rPr>
        <w:t xml:space="preserve">(ii) the ability to repatriate profits to shareholders in their home countries; </w:t>
      </w:r>
    </w:p>
    <w:p w14:paraId="4818F50B">
      <w:pPr>
        <w:spacing w:after="200" w:line="480" w:lineRule="auto"/>
        <w:ind w:left="720"/>
        <w:jc w:val="both"/>
        <w:rPr>
          <w:rFonts w:eastAsia="DengXian"/>
        </w:rPr>
      </w:pPr>
      <w:r>
        <w:rPr>
          <w:rFonts w:eastAsia="DengXian"/>
        </w:rPr>
        <w:t xml:space="preserve">(iii) an overall policy environment that is transparent, predictable, stable, and based on internationally recognized industry standards and the tax legislative terms that are clear and unambiguous; and </w:t>
      </w:r>
    </w:p>
    <w:p w14:paraId="007D724E">
      <w:pPr>
        <w:spacing w:after="200" w:line="480" w:lineRule="auto"/>
        <w:ind w:left="720"/>
        <w:jc w:val="both"/>
        <w:rPr>
          <w:rFonts w:eastAsia="DengXian"/>
        </w:rPr>
      </w:pPr>
      <w:r>
        <w:rPr>
          <w:rFonts w:eastAsia="DengXian"/>
        </w:rPr>
        <w:t xml:space="preserve">(iv) a predictable judicial system which allows for expeditious resolution of disputes based on clear and certain tax legislative terms. </w:t>
      </w:r>
    </w:p>
    <w:p w14:paraId="6796BC80">
      <w:pPr>
        <w:spacing w:after="200" w:line="480" w:lineRule="auto"/>
        <w:jc w:val="both"/>
        <w:rPr>
          <w:rFonts w:eastAsia="DengXian"/>
          <w:lang w:val="en-GB"/>
        </w:rPr>
      </w:pPr>
      <w:r>
        <w:rPr>
          <w:rFonts w:eastAsia="DengXian"/>
        </w:rPr>
        <w:t>The inability of Nigeria as a resource dependent country to regularly and in a consistent manner articulate the clear fiscal policy direction and objectives for the petroleum industry, unlike the case in Norway, where the overall petroleum policy objective is to provide a framework for the profitable production of oil and gas in the long term. The petroleum taxation system in Norway is based on the rules for ordinary company taxation and are set out in the Petroleum Taxation Act of 13</w:t>
      </w:r>
      <w:r>
        <w:rPr>
          <w:rFonts w:eastAsia="DengXian"/>
          <w:vertAlign w:val="superscript"/>
        </w:rPr>
        <w:t>th</w:t>
      </w:r>
      <w:r>
        <w:rPr>
          <w:rFonts w:eastAsia="DengXian"/>
        </w:rPr>
        <w:t xml:space="preserve"> June 1975, no 35 relating to the taxation of subsea petroleum deposits. However, because of the extraordinary returns on production of petroleum resources, the oil companies are subject to an additional special tax. The ordinary company rate of 25% and the special tax rate of 53% give a marginal tax rate of 78%,</w:t>
      </w:r>
      <w:r>
        <w:rPr>
          <w:rFonts w:eastAsia="DengXian"/>
          <w:vertAlign w:val="superscript"/>
        </w:rPr>
        <w:footnoteReference w:id="396"/>
      </w:r>
      <w:r>
        <w:rPr>
          <w:rFonts w:eastAsia="DengXian"/>
        </w:rPr>
        <w:t xml:space="preserve">. The contrary is the position with the Nigeria petroleum fiscal and upstream petroleum tax system with a dedicated upstream petroleum tax interacting with various other fiscal systems and taxes. This has contributed to creating distortions, uncertainty and instability in the Nigeria upstream petroleum tax system. This has also had a negative impact on the development of a progressive, flexible and predictable legislative tax framework for upstream petroleum taxation, which has in turn negatively affected investment in-flow and investment decisions on pending projects.  It has, therefore, been argued that a simple responsive system may be more desirable than a theoretically ideal but complex to manage system, although this also begs the question whether this is achievable in a relatively complex industry as the petroleum industry. The Royalty and tax systems, with sliding scale features, are used by many countries, and are usually quite easy to manage.  Countries such as Australia, Canada, the UK, Croatia &amp; Italy, use sliding scales that allow systems to adapt to changes in project variables. For example, a sliding scale royalty adjusts the royalty rate based on production or oil prices. This can reduce the risk of negative cash flows when production or oil prices are low. </w:t>
      </w:r>
      <w:r>
        <w:rPr>
          <w:rFonts w:eastAsia="DengXian"/>
          <w:vertAlign w:val="superscript"/>
        </w:rPr>
        <w:footnoteReference w:id="397"/>
      </w:r>
      <w:r>
        <w:rPr>
          <w:rFonts w:eastAsia="DengXian"/>
        </w:rPr>
        <w:t>. It is also a generally accepted fact that the level of government take</w:t>
      </w:r>
      <w:r>
        <w:rPr>
          <w:rFonts w:eastAsia="DengXian"/>
          <w:vertAlign w:val="superscript"/>
        </w:rPr>
        <w:footnoteReference w:id="398"/>
      </w:r>
      <w:r>
        <w:rPr>
          <w:rFonts w:eastAsia="DengXian"/>
        </w:rPr>
        <w:t xml:space="preserve"> is inversely proportional to the quality and availability of investment opportunities. In the following portion of this section, we interrogate efforts and examine the policy documents and changes introduced</w:t>
      </w:r>
      <w:r>
        <w:rPr>
          <w:rFonts w:eastAsia="DengXian"/>
          <w:vertAlign w:val="superscript"/>
        </w:rPr>
        <w:footnoteReference w:id="399"/>
      </w:r>
      <w:r>
        <w:rPr>
          <w:rFonts w:eastAsia="DengXian"/>
        </w:rPr>
        <w:t xml:space="preserve">, within the context of the centralized fiscal federalism and the exclusive legislative command and control of petroleum operations by the FG, under the subsisting Nigerian federal Constitutions. </w:t>
      </w:r>
      <w:r>
        <w:rPr>
          <w:rFonts w:eastAsia="DengXian"/>
          <w:lang w:val="en-GB"/>
        </w:rPr>
        <w:t>Whilst there is nothing basically wrong with a centralised command and control framework</w:t>
      </w:r>
      <w:r>
        <w:rPr>
          <w:rStyle w:val="23"/>
          <w:rFonts w:eastAsia="DengXian"/>
        </w:rPr>
        <w:footnoteReference w:id="400"/>
      </w:r>
      <w:r>
        <w:rPr>
          <w:rFonts w:eastAsia="DengXian"/>
          <w:lang w:val="en-GB"/>
        </w:rPr>
        <w:t>, the lack of focus and well-defined strategic objectives for the sustained development of the Nigerian petroleum industry, in contrast, for instance with the Norwegian approach to petroleum industry policy and regulation, where well defined principles for the State control are enshrined in the “Ten Oil Commandments”</w:t>
      </w:r>
      <w:r>
        <w:rPr>
          <w:rFonts w:eastAsia="DengXian"/>
          <w:vertAlign w:val="superscript"/>
          <w:lang w:val="en-GB"/>
        </w:rPr>
        <w:footnoteReference w:id="401"/>
      </w:r>
      <w:r>
        <w:rPr>
          <w:rFonts w:eastAsia="DengXian"/>
          <w:lang w:val="en-GB"/>
        </w:rPr>
        <w:t xml:space="preserve">, was an issue. The principles in the Norwegian Ten Commandments provide an enforceable policy outlook for its petroleum operations and the Norwegian government controls most of its oil interests through the State oil company “Statoil” - now rebranded as Equinor. </w:t>
      </w:r>
    </w:p>
    <w:p w14:paraId="1CCA741D">
      <w:pPr>
        <w:spacing w:after="200" w:line="480" w:lineRule="auto"/>
        <w:jc w:val="both"/>
        <w:rPr>
          <w:rFonts w:eastAsia="DengXian"/>
          <w:b/>
          <w:lang w:val="en-GB"/>
        </w:rPr>
      </w:pPr>
      <w:r>
        <w:rPr>
          <w:rFonts w:eastAsia="DengXian"/>
          <w:b/>
          <w:lang w:val="en-GB"/>
        </w:rPr>
        <w:t>5.2.1</w:t>
      </w:r>
      <w:r>
        <w:rPr>
          <w:rFonts w:eastAsia="DengXian"/>
          <w:b/>
          <w:lang w:val="en-GB"/>
        </w:rPr>
        <w:tab/>
      </w:r>
      <w:r>
        <w:rPr>
          <w:rFonts w:eastAsia="DengXian"/>
          <w:b/>
          <w:lang w:val="en-GB"/>
        </w:rPr>
        <w:t>The Introduction of the Production Sharing Contract Arrangement 1973-1990</w:t>
      </w:r>
    </w:p>
    <w:p w14:paraId="1DD533E9">
      <w:pPr>
        <w:spacing w:after="200" w:line="480" w:lineRule="auto"/>
        <w:jc w:val="both"/>
        <w:rPr>
          <w:rFonts w:eastAsia="DengXian"/>
          <w:bCs/>
          <w:lang w:val="en-GB"/>
        </w:rPr>
      </w:pPr>
      <w:r>
        <w:rPr>
          <w:rFonts w:eastAsia="DengXian"/>
          <w:bCs/>
          <w:lang w:val="en-GB"/>
        </w:rPr>
        <w:t xml:space="preserve">For the Nigerian petroleum industry, the introduction of the </w:t>
      </w:r>
      <w:r>
        <w:rPr>
          <w:rFonts w:eastAsia="DengXian"/>
          <w:bCs/>
        </w:rPr>
        <w:t>Production Sharing Contract (PSC) arrangement,</w:t>
      </w:r>
      <w:r>
        <w:rPr>
          <w:rFonts w:eastAsia="DengXian"/>
          <w:bCs/>
          <w:vertAlign w:val="superscript"/>
        </w:rPr>
        <w:footnoteReference w:id="402"/>
      </w:r>
      <w:r>
        <w:rPr>
          <w:rFonts w:eastAsia="DengXian"/>
          <w:bCs/>
        </w:rPr>
        <w:t xml:space="preserve"> first in 1973 with Ashland Exploration and Production Company, and later its formal extension to the other IOCs in 1990, was a significant development and marked the beginning of a fiscal policy shift, and a broadening of the concessionary and contractual frameworks for upstream petroleum operations. This development was examined in chapter 3 of this thesis. The PSC was developed to address key issues faced by the Joint Operating Agreements (JOA’s) such as the rising cost of operations and the government’s inability to adequately fund its equity participation. This, however, failed to address the significant fiscal issues and gaps in upstream petroleum taxation and regulations and introduced its own distortions to upstream taxation, as discussed in chapter 4 of this thesis. The PSC arrangement provided certain incentives and the contractual and legal structure to encourage multinational investors in the offshore acreages.</w:t>
      </w:r>
      <w:r>
        <w:rPr>
          <w:rFonts w:eastAsia="DengXian"/>
          <w:bCs/>
          <w:lang w:val="en-GB"/>
        </w:rPr>
        <w:t xml:space="preserve"> The PSC Act amended the existing fiscal regime and the taxation framework under the PPTA</w:t>
      </w:r>
      <w:r>
        <w:rPr>
          <w:rFonts w:eastAsia="DengXian"/>
          <w:bCs/>
          <w:vertAlign w:val="superscript"/>
          <w:lang w:val="en-GB"/>
        </w:rPr>
        <w:footnoteReference w:id="403"/>
      </w:r>
      <w:r>
        <w:rPr>
          <w:rFonts w:eastAsia="DengXian"/>
          <w:bCs/>
          <w:lang w:val="en-GB"/>
        </w:rPr>
        <w:t xml:space="preserve"> and raised many more issues of interpretation and application arising from the different concepts and terms in use in the PSC regime.</w:t>
      </w:r>
    </w:p>
    <w:p w14:paraId="17352E0A">
      <w:pPr>
        <w:spacing w:after="200" w:line="480" w:lineRule="auto"/>
        <w:jc w:val="both"/>
        <w:rPr>
          <w:rFonts w:eastAsia="DengXian"/>
          <w:bCs/>
          <w:lang w:val="en-GB"/>
        </w:rPr>
      </w:pPr>
      <w:r>
        <w:rPr>
          <w:rFonts w:eastAsia="DengXian"/>
          <w:bCs/>
          <w:lang w:val="en-GB"/>
        </w:rPr>
        <w:t xml:space="preserve">The PPTA, on its own focused more on oil production and taxation, to the neglect of gas development and production. </w:t>
      </w:r>
      <w:r>
        <w:rPr>
          <w:rFonts w:eastAsia="DengXian"/>
          <w:bCs/>
        </w:rPr>
        <w:t>The need to harness natural</w:t>
      </w:r>
      <w:r>
        <w:t xml:space="preserve"> gas </w:t>
      </w:r>
      <w:r>
        <w:rPr>
          <w:rFonts w:eastAsia="DengXian"/>
          <w:bCs/>
        </w:rPr>
        <w:t xml:space="preserve">and stop the gas </w:t>
      </w:r>
      <w:r>
        <w:t xml:space="preserve">flaring </w:t>
      </w:r>
      <w:r>
        <w:rPr>
          <w:rFonts w:eastAsia="DengXian"/>
          <w:bCs/>
        </w:rPr>
        <w:t>revealed gaps in the existing petroleum laws.  The Petroleum Act and its subsidiary regulations had been enacted when hydrocarbon</w:t>
      </w:r>
      <w:r>
        <w:t xml:space="preserve"> development</w:t>
      </w:r>
      <w:r>
        <w:rPr>
          <w:rFonts w:eastAsia="DengXian"/>
          <w:bCs/>
        </w:rPr>
        <w:t xml:space="preserve"> in Nigeria focused essentially on oil. The word “oil” is used when petroleum would have captured the resource value chain and resulting policy and legislation better. Reference to oil in certain legislation, e.g. the Oil Pipelines Act, thereby inadvertently excluded gas</w:t>
      </w:r>
      <w:r>
        <w:rPr>
          <w:rFonts w:eastAsia="DengXian"/>
          <w:bCs/>
          <w:vertAlign w:val="superscript"/>
          <w:lang w:val="en-GB"/>
        </w:rPr>
        <w:footnoteReference w:id="404"/>
      </w:r>
      <w:r>
        <w:rPr>
          <w:rFonts w:eastAsia="DengXian"/>
          <w:bCs/>
        </w:rPr>
        <w:t xml:space="preserve">. </w:t>
      </w:r>
      <w:r>
        <w:rPr>
          <w:rFonts w:eastAsia="DengXian"/>
          <w:bCs/>
          <w:lang w:val="en-GB"/>
        </w:rPr>
        <w:t xml:space="preserve"> The policy initiative by government to address upstream gas development was the grant of fiscal incentives for gas development, with the grants of incentives under the </w:t>
      </w:r>
      <w:r>
        <w:rPr>
          <w:rFonts w:eastAsia="DengXian"/>
          <w:bCs/>
        </w:rPr>
        <w:t xml:space="preserve">Associated Gas (AG) and Non-Associated Gas (NAG) Framework Agreements, later enacted under the PPTA and CITA, </w:t>
      </w:r>
      <w:r>
        <w:rPr>
          <w:rFonts w:eastAsia="DengXian"/>
          <w:bCs/>
          <w:lang w:val="en-GB"/>
        </w:rPr>
        <w:t>introduced some more distortionary effects in the petroleum tax system, as the incentives leveraged on the capital expenditure for oil to develop and produce gas. The notable exception to this was the project-specific tax regime for liquefied natural gas (LNG)</w:t>
      </w:r>
      <w:r>
        <w:rPr>
          <w:rFonts w:eastAsia="DengXian"/>
          <w:bCs/>
          <w:vertAlign w:val="superscript"/>
          <w:lang w:val="en-GB"/>
        </w:rPr>
        <w:footnoteReference w:id="405"/>
      </w:r>
      <w:r>
        <w:rPr>
          <w:rFonts w:eastAsia="DengXian"/>
          <w:bCs/>
          <w:lang w:val="en-GB"/>
        </w:rPr>
        <w:t xml:space="preserve">, which consisted of assurances and guarantees, and a ring-fenced fiscal, tax and legal regime. The formal and full introduction of the PSC fiscal regime in the 1990’s under the PSC Act also triggered several contentious issues, many of which went through arbitration proceedings, and thus further exposed the many fiscal, legal, regulatory, tax, royalty, gas ownership, supply, and resource allocation issues in upstream petroleum taxation. </w:t>
      </w:r>
    </w:p>
    <w:p w14:paraId="5AD2CE34">
      <w:pPr>
        <w:spacing w:after="200" w:line="480" w:lineRule="auto"/>
        <w:jc w:val="both"/>
        <w:rPr>
          <w:rFonts w:eastAsia="DengXian"/>
          <w:b/>
          <w:lang w:val="en-GB"/>
        </w:rPr>
      </w:pPr>
      <w:r>
        <w:rPr>
          <w:rFonts w:eastAsia="DengXian"/>
          <w:b/>
          <w:lang w:val="en-GB"/>
        </w:rPr>
        <w:t>5.2.2</w:t>
      </w:r>
      <w:r>
        <w:rPr>
          <w:rFonts w:eastAsia="DengXian"/>
          <w:b/>
          <w:lang w:val="en-GB"/>
        </w:rPr>
        <w:tab/>
      </w:r>
      <w:r>
        <w:rPr>
          <w:rFonts w:eastAsia="DengXian"/>
          <w:b/>
          <w:lang w:val="en-GB"/>
        </w:rPr>
        <w:t>The Formulation of the National Oil and Gas Policy of 2007</w:t>
      </w:r>
    </w:p>
    <w:p w14:paraId="643D7555">
      <w:pPr>
        <w:spacing w:after="200" w:line="480" w:lineRule="auto"/>
        <w:jc w:val="both"/>
        <w:rPr>
          <w:rFonts w:eastAsia="DengXian"/>
          <w:bCs/>
          <w:lang w:val="en-GB"/>
        </w:rPr>
      </w:pPr>
      <w:r>
        <w:rPr>
          <w:rFonts w:eastAsia="DengXian"/>
          <w:bCs/>
          <w:lang w:val="en-GB"/>
        </w:rPr>
        <w:t>In 2007, the National Oil and Gas Policy (NOGP)</w:t>
      </w:r>
      <w:r>
        <w:rPr>
          <w:rFonts w:eastAsia="DengXian"/>
          <w:bCs/>
          <w:vertAlign w:val="superscript"/>
          <w:lang w:val="en-GB"/>
        </w:rPr>
        <w:footnoteReference w:id="406"/>
      </w:r>
      <w:r>
        <w:rPr>
          <w:rFonts w:eastAsia="DengXian"/>
          <w:bCs/>
          <w:lang w:val="en-GB"/>
        </w:rPr>
        <w:t xml:space="preserve"> was formulated. The aim of the policy was to transform the oil and gas sector in Nigeria based on the observation that both the Petroleum Act and the Nigerian National Petroleum Corporation Acts were out-dated</w:t>
      </w:r>
      <w:r>
        <w:rPr>
          <w:rFonts w:eastAsia="DengXian"/>
          <w:bCs/>
          <w:vertAlign w:val="superscript"/>
          <w:lang w:val="en-GB"/>
        </w:rPr>
        <w:footnoteReference w:id="407"/>
      </w:r>
      <w:r>
        <w:rPr>
          <w:rFonts w:eastAsia="DengXian"/>
          <w:bCs/>
          <w:lang w:val="en-GB"/>
        </w:rPr>
        <w:t>and out of tune with contemporary realities. The policy goals of the NOGP included the transformation of NNPC into a more commercially oriented entity that can compete with the likes of other commercially viable National Oil Companies. To implement this policy and the broad guidelines contained therein, the FG constituted the 2nd Oil and Gas Sector Reforms Implementation Committee (OGIC)</w:t>
      </w:r>
      <w:r>
        <w:rPr>
          <w:rFonts w:eastAsia="DengXian"/>
          <w:bCs/>
          <w:vertAlign w:val="superscript"/>
          <w:lang w:val="en-GB"/>
        </w:rPr>
        <w:footnoteReference w:id="408"/>
      </w:r>
      <w:r>
        <w:rPr>
          <w:rFonts w:eastAsia="DengXian"/>
          <w:bCs/>
          <w:lang w:val="en-GB"/>
        </w:rPr>
        <w:t>. The 2</w:t>
      </w:r>
      <w:r>
        <w:rPr>
          <w:rFonts w:eastAsia="DengXian"/>
          <w:bCs/>
          <w:vertAlign w:val="superscript"/>
          <w:lang w:val="en-GB"/>
        </w:rPr>
        <w:t>nd</w:t>
      </w:r>
      <w:r>
        <w:rPr>
          <w:rFonts w:eastAsia="DengXian"/>
          <w:bCs/>
          <w:lang w:val="en-GB"/>
        </w:rPr>
        <w:t xml:space="preserve"> Oil and Gas Sector Reforms committee mandate included the implementation of the recommendations of the 1</w:t>
      </w:r>
      <w:r>
        <w:rPr>
          <w:rFonts w:eastAsia="DengXian"/>
          <w:bCs/>
          <w:vertAlign w:val="superscript"/>
          <w:lang w:val="en-GB"/>
        </w:rPr>
        <w:t>st</w:t>
      </w:r>
      <w:r>
        <w:rPr>
          <w:rFonts w:eastAsia="DengXian"/>
          <w:bCs/>
          <w:lang w:val="en-GB"/>
        </w:rPr>
        <w:t xml:space="preserve"> committee and make recommendations on the comprehensive reform of the oil and gas sector. </w:t>
      </w:r>
    </w:p>
    <w:p w14:paraId="24CB32EB">
      <w:pPr>
        <w:spacing w:after="200" w:line="480" w:lineRule="auto"/>
        <w:jc w:val="both"/>
        <w:rPr>
          <w:rFonts w:eastAsia="DengXian"/>
          <w:b/>
          <w:lang w:val="en-GB"/>
        </w:rPr>
      </w:pPr>
      <w:r>
        <w:rPr>
          <w:rFonts w:eastAsia="DengXian"/>
          <w:b/>
          <w:lang w:val="en-GB"/>
        </w:rPr>
        <w:t>5.2.3</w:t>
      </w:r>
      <w:r>
        <w:rPr>
          <w:rFonts w:eastAsia="DengXian"/>
          <w:b/>
          <w:lang w:val="en-GB"/>
        </w:rPr>
        <w:tab/>
      </w:r>
      <w:r>
        <w:rPr>
          <w:rFonts w:eastAsia="DengXian"/>
          <w:b/>
          <w:lang w:val="en-GB"/>
        </w:rPr>
        <w:t xml:space="preserve"> The Formulation and Drafting of the Petroleum Industry Bill (PIB) 2008:</w:t>
      </w:r>
    </w:p>
    <w:p w14:paraId="226D3093">
      <w:pPr>
        <w:spacing w:after="200" w:line="480" w:lineRule="auto"/>
        <w:jc w:val="both"/>
        <w:rPr>
          <w:rFonts w:eastAsia="DengXian"/>
          <w:sz w:val="21"/>
          <w:szCs w:val="21"/>
        </w:rPr>
      </w:pPr>
      <w:r>
        <w:rPr>
          <w:rFonts w:eastAsia="DengXian"/>
          <w:bCs/>
          <w:lang w:val="en-GB"/>
        </w:rPr>
        <w:t>The activities of this committee led to the recommendation of a new regulatory regime for the oil and gas industry. This resulted in the drafting of the Petroleum Industry Bill (PIB)</w:t>
      </w:r>
      <w:r>
        <w:rPr>
          <w:rStyle w:val="23"/>
          <w:rFonts w:eastAsia="DengXian"/>
          <w:bCs/>
        </w:rPr>
        <w:footnoteReference w:id="409"/>
      </w:r>
      <w:r>
        <w:rPr>
          <w:rFonts w:eastAsia="DengXian"/>
          <w:bCs/>
          <w:lang w:val="en-GB"/>
        </w:rPr>
        <w:t>, which was presented</w:t>
      </w:r>
      <w:r>
        <w:rPr>
          <w:rFonts w:eastAsia="DengXian"/>
          <w:bCs/>
        </w:rPr>
        <w:t xml:space="preserve"> to the National Assembly (NA) in 2008. The PIB proposed a comprehensive commercial, legal, fiscal, tax and governance framework review for the Nigerian oil and gas industry. Following several years of delay in the NA</w:t>
      </w:r>
      <w:r>
        <w:rPr>
          <w:rFonts w:eastAsia="DengXian"/>
          <w:bCs/>
          <w:vertAlign w:val="superscript"/>
        </w:rPr>
        <w:footnoteReference w:id="410"/>
      </w:r>
      <w:r>
        <w:rPr>
          <w:rFonts w:eastAsia="DengXian"/>
          <w:bCs/>
        </w:rPr>
        <w:t>, the bill was unbundled into three (3) bills to deal with the different components of the fiscal, commercial, legislative, regulatory and governance framework for the industry. This included the Petroleum Industry Fiscal Policy Bill (PIFB)</w:t>
      </w:r>
      <w:r>
        <w:rPr>
          <w:rFonts w:eastAsia="DengXian"/>
          <w:bCs/>
          <w:lang w:val="en-GB"/>
        </w:rPr>
        <w:t>.</w:t>
      </w:r>
      <w:r>
        <w:rPr>
          <w:rFonts w:eastAsia="DengXian"/>
          <w:sz w:val="21"/>
          <w:szCs w:val="21"/>
        </w:rPr>
        <w:t xml:space="preserve">   </w:t>
      </w:r>
    </w:p>
    <w:p w14:paraId="51ED2AA7">
      <w:pPr>
        <w:spacing w:after="200" w:line="480" w:lineRule="auto"/>
        <w:jc w:val="both"/>
        <w:rPr>
          <w:rFonts w:eastAsia="DengXian"/>
        </w:rPr>
      </w:pPr>
      <w:r>
        <w:rPr>
          <w:rFonts w:eastAsia="DengXian"/>
        </w:rPr>
        <w:t xml:space="preserve">The unbundling of the PIB was also followed by the drafting of the </w:t>
      </w:r>
      <w:r>
        <w:rPr>
          <w:rFonts w:eastAsia="DengXian"/>
          <w:lang w:val="en-GB"/>
        </w:rPr>
        <w:t>National Oil Policy</w:t>
      </w:r>
      <w:r>
        <w:rPr>
          <w:rFonts w:eastAsia="DengXian"/>
          <w:vertAlign w:val="superscript"/>
          <w:lang w:val="en-GB"/>
        </w:rPr>
        <w:footnoteReference w:id="411"/>
      </w:r>
      <w:r>
        <w:rPr>
          <w:rFonts w:eastAsia="DengXian"/>
          <w:lang w:val="en-GB"/>
        </w:rPr>
        <w:t xml:space="preserve"> and the National Gas Policy</w:t>
      </w:r>
      <w:r>
        <w:rPr>
          <w:rFonts w:eastAsia="DengXian"/>
          <w:vertAlign w:val="superscript"/>
          <w:lang w:val="en-GB"/>
        </w:rPr>
        <w:footnoteReference w:id="412"/>
      </w:r>
      <w:r>
        <w:rPr>
          <w:rFonts w:eastAsia="DengXian"/>
          <w:lang w:val="en-GB"/>
        </w:rPr>
        <w:t xml:space="preserve">. </w:t>
      </w:r>
      <w:r>
        <w:rPr>
          <w:rFonts w:eastAsia="DengXian"/>
          <w:bCs/>
          <w:iCs/>
        </w:rPr>
        <w:t xml:space="preserve">The objective of the National Oil and Gas Policy is to move Nigeria away from crude oil exports </w:t>
      </w:r>
      <w:r>
        <w:rPr>
          <w:rFonts w:eastAsia="DengXian"/>
        </w:rPr>
        <w:t>into</w:t>
      </w:r>
      <w:r>
        <w:rPr>
          <w:rFonts w:eastAsia="DengXian"/>
          <w:vertAlign w:val="superscript"/>
        </w:rPr>
        <w:footnoteReference w:id="413"/>
      </w:r>
      <w:r>
        <w:rPr>
          <w:rFonts w:eastAsia="DengXian"/>
        </w:rPr>
        <w:t xml:space="preserve"> value-added activities in oil, namely refining and petrochemical industries and expanding from oil into gas-based industrialization, relying on the largely untapped, large gas reserves in Nigeria.  The long-term vision of the Nigerian petroleum policy is for the country to </w:t>
      </w:r>
      <w:r>
        <w:rPr>
          <w:rFonts w:eastAsia="DengXian"/>
          <w:bCs/>
          <w:iCs/>
        </w:rPr>
        <w:t>become a nation where hydrocarbons are used as a fuel for national economic growth and not simply as a source of income.</w:t>
      </w:r>
      <w:r>
        <w:rPr>
          <w:rFonts w:eastAsia="DengXian"/>
          <w:bCs/>
          <w:iCs/>
          <w:vertAlign w:val="superscript"/>
        </w:rPr>
        <w:footnoteReference w:id="414"/>
      </w:r>
      <w:r>
        <w:rPr>
          <w:rFonts w:eastAsia="DengXian"/>
          <w:bCs/>
          <w:iCs/>
        </w:rPr>
        <w:t xml:space="preserve"> </w:t>
      </w:r>
      <w:r>
        <w:rPr>
          <w:rFonts w:eastAsia="DengXian"/>
        </w:rPr>
        <w:t>The important elements of the vision include moving the Nigerian economy away from the current situation where crude oil is exported and no further uses are made of the hydrocarbon opportunities to refining and further processing crude oil within Nigeria and making Nigeria a regional and international center for crude oil refining. Further aspects of the vision are diversifying the petroleum resource base within Nigeria, to ensure security of supply, and establishing a petroleum industry with a clear division of roles between the private and public sectors. The National Oil and Gas policy objectives are briefly examined below</w:t>
      </w:r>
      <w:r>
        <w:rPr>
          <w:rFonts w:eastAsia="DengXian"/>
          <w:vertAlign w:val="superscript"/>
        </w:rPr>
        <w:footnoteReference w:id="415"/>
      </w:r>
      <w:r>
        <w:rPr>
          <w:rFonts w:eastAsia="DengXian"/>
        </w:rPr>
        <w:t>.</w:t>
      </w:r>
    </w:p>
    <w:p w14:paraId="128A2BCD">
      <w:pPr>
        <w:spacing w:after="200" w:line="480" w:lineRule="auto"/>
        <w:jc w:val="both"/>
        <w:rPr>
          <w:rFonts w:eastAsia="DengXian"/>
          <w:bCs/>
          <w:lang w:val="en-GB"/>
        </w:rPr>
      </w:pPr>
    </w:p>
    <w:p w14:paraId="59BF16DC">
      <w:pPr>
        <w:spacing w:after="200" w:line="480" w:lineRule="auto"/>
        <w:jc w:val="both"/>
        <w:rPr>
          <w:rFonts w:eastAsia="DengXian"/>
          <w:b/>
          <w:bCs/>
          <w:lang w:val="en-GB"/>
        </w:rPr>
      </w:pPr>
      <w:r>
        <w:rPr>
          <w:rFonts w:eastAsia="DengXian"/>
          <w:b/>
          <w:bCs/>
          <w:lang w:val="en-GB"/>
        </w:rPr>
        <w:t>5.2.4</w:t>
      </w:r>
      <w:r>
        <w:rPr>
          <w:rFonts w:eastAsia="DengXian"/>
          <w:b/>
          <w:bCs/>
          <w:lang w:val="en-GB"/>
        </w:rPr>
        <w:tab/>
      </w:r>
      <w:r>
        <w:rPr>
          <w:rFonts w:eastAsia="DengXian"/>
          <w:b/>
          <w:bCs/>
          <w:lang w:val="en-GB"/>
        </w:rPr>
        <w:t xml:space="preserve"> National Oil Policy (NOP) and National Gas Policy (NGP) 2016</w:t>
      </w:r>
      <w:r>
        <w:rPr>
          <w:rStyle w:val="23"/>
          <w:rFonts w:eastAsia="DengXian"/>
          <w:b/>
          <w:bCs/>
        </w:rPr>
        <w:footnoteReference w:id="416"/>
      </w:r>
      <w:r>
        <w:rPr>
          <w:rFonts w:eastAsia="DengXian"/>
          <w:b/>
          <w:bCs/>
          <w:lang w:val="en-GB"/>
        </w:rPr>
        <w:t xml:space="preserve">: </w:t>
      </w:r>
    </w:p>
    <w:p w14:paraId="12DCE964">
      <w:pPr>
        <w:spacing w:after="200" w:line="480" w:lineRule="auto"/>
        <w:jc w:val="both"/>
        <w:rPr>
          <w:rFonts w:eastAsia="DengXian"/>
          <w:bCs/>
          <w:iCs/>
        </w:rPr>
      </w:pPr>
      <w:r>
        <w:rPr>
          <w:rFonts w:eastAsia="DengXian"/>
        </w:rPr>
        <w:t xml:space="preserve">Specifically, the National Oil Policy (NOP) identified three (3) main reasons why Nigeria needed a new policy. The existing policy encourages rent seeking through crude oil export for cash business. Nigeria is also the only OPEC country without effective oil refining capacity and investments in mid-stream infrastructure (storage, terminals, transportation, and processing). Thirdly the upstream investments, and the upstream crude oil export business, suffered because of insecurity and restiveness in the Niger Delta areas where most of the petroleum operations take place in the country. Moreover, Nigerian oil and gas production has not risen in line with its potential or its peers in the Middle East or Africa. </w:t>
      </w:r>
      <w:r>
        <w:rPr>
          <w:rFonts w:eastAsia="DengXian"/>
          <w:bCs/>
          <w:iCs/>
        </w:rPr>
        <w:t xml:space="preserve">The NOP is therefore to move Nigeria away from crude oil exports </w:t>
      </w:r>
      <w:r>
        <w:rPr>
          <w:rFonts w:eastAsia="DengXian"/>
        </w:rPr>
        <w:t xml:space="preserve">into value-added activity in oil, namely refining and petrochemical industries, and expanding from oil into gas-based industrialization, relying on the largely untapped large gas reserves in Nigeria. </w:t>
      </w:r>
    </w:p>
    <w:p w14:paraId="3FF25148">
      <w:pPr>
        <w:spacing w:after="200" w:line="480" w:lineRule="auto"/>
        <w:jc w:val="both"/>
        <w:rPr>
          <w:rFonts w:eastAsia="DengXian"/>
        </w:rPr>
      </w:pPr>
      <w:r>
        <w:rPr>
          <w:rFonts w:eastAsia="DengXian"/>
        </w:rPr>
        <w:t>The National Gas Policy (NGP) on the other hand has proposed full legal separation of ownership of gas infrastructure and operations. On pricing, the policy recommends that gas pricing should be market led (without gas price regulation), except for monopoly infrastructure areas</w:t>
      </w:r>
      <w:r>
        <w:rPr>
          <w:rFonts w:eastAsia="DengXian"/>
          <w:sz w:val="20"/>
          <w:szCs w:val="20"/>
          <w:vertAlign w:val="superscript"/>
        </w:rPr>
        <w:footnoteReference w:id="417"/>
      </w:r>
      <w:r>
        <w:rPr>
          <w:rFonts w:eastAsia="DengXian"/>
        </w:rPr>
        <w:t>, where tariffs would still be regulated in a manner that will ensure cost recovery plus an adequate and reasonable return on investment</w:t>
      </w:r>
      <w:r>
        <w:rPr>
          <w:rFonts w:eastAsia="DengXian"/>
          <w:vertAlign w:val="superscript"/>
        </w:rPr>
        <w:footnoteReference w:id="418"/>
      </w:r>
      <w:r>
        <w:rPr>
          <w:rFonts w:eastAsia="DengXian"/>
        </w:rPr>
        <w:t>. The NGP addresses in part the concern by upstream (E&amp;P) companies that the current regulation of gas prices stifles investment in the sector, thus preventing them from utilizing available gas resources as well as meeting the domestic supply obligations. It seeks to prioritize the development of low-cost gas for the domestic market, by leveraging on the inherent value of Natural Gas Liquids (NGLs). It also seeks to develop the Gas Resource Master Plan (GRMP) to align the development of Nigeria’s gas resources with its socio-economic development priorities.</w:t>
      </w:r>
      <w:r>
        <w:rPr>
          <w:rFonts w:eastAsia="DengXian"/>
          <w:vertAlign w:val="superscript"/>
        </w:rPr>
        <w:footnoteReference w:id="419"/>
      </w:r>
      <w:r>
        <w:rPr>
          <w:rFonts w:eastAsia="DengXian"/>
        </w:rPr>
        <w:t xml:space="preserve"> The policy seeks to introduce a Model </w:t>
      </w:r>
      <w:r>
        <w:rPr>
          <w:rFonts w:eastAsia="DengXian"/>
          <w:bCs/>
        </w:rPr>
        <w:t>Gas Development Agreement (MGDA)</w:t>
      </w:r>
      <w:r>
        <w:rPr>
          <w:rFonts w:eastAsia="DengXian"/>
        </w:rPr>
        <w:t xml:space="preserve"> which would embody commercial and fiscal terms for the development of gas resources in PSC concessions. With respect to the problem of gas flaring, the NGP proposes a mixture of the carrot and stick approach to curb gas flaring, by enforcing the following measures:</w:t>
      </w:r>
    </w:p>
    <w:p w14:paraId="4E251A96">
      <w:pPr>
        <w:numPr>
          <w:ilvl w:val="0"/>
          <w:numId w:val="28"/>
        </w:numPr>
        <w:spacing w:after="200" w:line="480" w:lineRule="auto"/>
        <w:contextualSpacing/>
        <w:jc w:val="both"/>
        <w:rPr>
          <w:rFonts w:eastAsia="DengXian"/>
        </w:rPr>
      </w:pPr>
      <w:r>
        <w:rPr>
          <w:rFonts w:eastAsia="DengXian"/>
        </w:rPr>
        <w:t>E&amp;P companies to commercialize associated gas rather than re-injecting it</w:t>
      </w:r>
      <w:r>
        <w:rPr>
          <w:rFonts w:eastAsia="DengXian"/>
          <w:sz w:val="20"/>
          <w:szCs w:val="20"/>
          <w:vertAlign w:val="superscript"/>
        </w:rPr>
        <w:footnoteReference w:id="420"/>
      </w:r>
      <w:r>
        <w:rPr>
          <w:rFonts w:eastAsia="DengXian"/>
        </w:rPr>
        <w:t xml:space="preserve"> (unless there is no viable or economic outlet or use for the gas); and</w:t>
      </w:r>
    </w:p>
    <w:p w14:paraId="0079C7C2">
      <w:pPr>
        <w:numPr>
          <w:ilvl w:val="0"/>
          <w:numId w:val="28"/>
        </w:numPr>
        <w:spacing w:after="200" w:line="480" w:lineRule="auto"/>
        <w:jc w:val="both"/>
        <w:rPr>
          <w:rFonts w:eastAsia="DengXian"/>
        </w:rPr>
      </w:pPr>
      <w:r>
        <w:rPr>
          <w:rFonts w:eastAsia="DengXian"/>
        </w:rPr>
        <w:t>The adoption of new flare capture technologies to reduce emissions and increasing the gas flaring penalty to a level sufficient to de-incentivize gas flaring whilst introducing measures to encourage gas utilization.</w:t>
      </w:r>
    </w:p>
    <w:p w14:paraId="5AF11A18">
      <w:pPr>
        <w:spacing w:after="200" w:line="480" w:lineRule="auto"/>
        <w:jc w:val="both"/>
        <w:rPr>
          <w:rFonts w:eastAsia="DengXian"/>
        </w:rPr>
      </w:pPr>
      <w:r>
        <w:rPr>
          <w:rFonts w:eastAsia="DengXian"/>
        </w:rPr>
        <w:t xml:space="preserve">Under the NGP, E&amp;P companies are to be prohibited from engaging in green field (associated gas or dry gas) projects until they come up with an integrated plan for the development of hydrocarbons. The government will incentivize associated gas projects by granting contractors access to gas gathering systems. </w:t>
      </w:r>
    </w:p>
    <w:p w14:paraId="6E82E289">
      <w:pPr>
        <w:spacing w:after="200" w:line="480" w:lineRule="auto"/>
        <w:jc w:val="both"/>
        <w:rPr>
          <w:rFonts w:eastAsia="DengXian"/>
        </w:rPr>
      </w:pPr>
      <w:r>
        <w:rPr>
          <w:rFonts w:eastAsia="DengXian"/>
          <w:b/>
        </w:rPr>
        <w:t>5.2.5</w:t>
      </w:r>
      <w:r>
        <w:rPr>
          <w:rFonts w:eastAsia="DengXian"/>
          <w:b/>
        </w:rPr>
        <w:tab/>
      </w:r>
      <w:r>
        <w:rPr>
          <w:rFonts w:eastAsia="DengXian"/>
          <w:b/>
        </w:rPr>
        <w:t xml:space="preserve"> Nigeria National Petroleum Fiscal Policy (NPFP) 2017: </w:t>
      </w:r>
    </w:p>
    <w:p w14:paraId="2E398294">
      <w:pPr>
        <w:spacing w:after="200" w:line="480" w:lineRule="auto"/>
        <w:jc w:val="both"/>
        <w:rPr>
          <w:rFonts w:eastAsia="DengXian"/>
          <w:bCs/>
        </w:rPr>
      </w:pPr>
      <w:r>
        <w:rPr>
          <w:rFonts w:eastAsia="DengXian"/>
        </w:rPr>
        <w:t>The Nigeria National Petroleum Fiscal Policy (NPFP) document</w:t>
      </w:r>
      <w:r>
        <w:rPr>
          <w:rFonts w:eastAsia="DengXian"/>
          <w:vertAlign w:val="superscript"/>
        </w:rPr>
        <w:footnoteReference w:id="421"/>
      </w:r>
      <w:r>
        <w:rPr>
          <w:rFonts w:eastAsia="DengXian"/>
        </w:rPr>
        <w:t xml:space="preserve"> articulates </w:t>
      </w:r>
      <w:r>
        <w:rPr>
          <w:rFonts w:eastAsia="DengXian"/>
          <w:bCs/>
        </w:rPr>
        <w:t xml:space="preserve">Fiscal Rules of General Application (FRGA) through which the interests of the State and that of the investors are identified. The philosophy for the fiscal framework of petroleum policy is to set fiscal rules that are clear, transparent, globally competitive and designed to incentivize all participants. The NPFP covers seven (7) main thematic areas, which include the governance institutions or framework, funding and government participation modalities, fiscal incentives for investment, the regulatory framework and social, host community and environmental impact assessment and mitigation. </w:t>
      </w:r>
    </w:p>
    <w:p w14:paraId="6F533550">
      <w:pPr>
        <w:spacing w:after="200" w:line="480" w:lineRule="auto"/>
        <w:jc w:val="both"/>
        <w:rPr>
          <w:rFonts w:eastAsia="DengXian"/>
          <w:bCs/>
        </w:rPr>
      </w:pPr>
      <w:r>
        <w:rPr>
          <w:rFonts w:eastAsia="DengXian"/>
          <w:bCs/>
        </w:rPr>
        <w:t xml:space="preserve">The NPFP fiscal framework is a composite of trade-offs across different objectives, i.e., early revenues versus investment efficiency, progressivity versus competitiveness, and early fiscal revenues versus tax incentives that drive a critical mass of investments.  These are to be achieved through the right pricing of gas and lower royalties and clearly formulated and drafted resource tax policy and legislation. </w:t>
      </w:r>
    </w:p>
    <w:p w14:paraId="66313E30">
      <w:pPr>
        <w:spacing w:after="200" w:line="480" w:lineRule="auto"/>
        <w:jc w:val="both"/>
        <w:rPr>
          <w:rFonts w:eastAsia="DengXian"/>
          <w:bCs/>
        </w:rPr>
      </w:pPr>
      <w:r>
        <w:rPr>
          <w:rFonts w:eastAsia="DengXian"/>
          <w:bCs/>
          <w:lang w:val="en-GB"/>
        </w:rPr>
        <w:t xml:space="preserve">The new fiscal policy direction of the FG for the petroleum industry therefore seeks to create a fiscally neutral regime with respect to the types of hydrocarbons to be exploited. This new direction is to be guided by six (6) key principles and consists essentially of </w:t>
      </w:r>
      <w:r>
        <w:rPr>
          <w:rFonts w:eastAsia="DengXian"/>
          <w:bCs/>
        </w:rPr>
        <w:t xml:space="preserve">right pricing of crude oil and products, sustainability of the resources, non-consolidation, or the non-recovery of gas costs from oil income, the separate fiscal treatment of resources, and the grant of upstream incentives for gas-development, and lastly mid-stream incentives to attract investment and build capacity in this area. </w:t>
      </w:r>
    </w:p>
    <w:p w14:paraId="0A2BA8A8">
      <w:pPr>
        <w:spacing w:after="200" w:line="480" w:lineRule="auto"/>
        <w:jc w:val="both"/>
        <w:rPr>
          <w:rFonts w:eastAsia="DengXian"/>
          <w:bCs/>
        </w:rPr>
      </w:pPr>
      <w:r>
        <w:rPr>
          <w:rFonts w:eastAsia="DengXian"/>
          <w:bCs/>
          <w:lang w:val="en-GB"/>
        </w:rPr>
        <w:t>One other key area or issue requiring policy clarity or specificity on taxation treatment which is addressed by the policy is the subject of abandonment and the tax treatment of decommissioning costs.  The PPTA provisions in this regard only provided for tax deduction of actual incurred cost for decommissioning on abandonment without addressing funds accrued for decommissioning</w:t>
      </w:r>
      <w:r>
        <w:rPr>
          <w:rFonts w:eastAsia="DengXian"/>
          <w:bCs/>
          <w:vertAlign w:val="superscript"/>
          <w:lang w:val="en-GB"/>
        </w:rPr>
        <w:footnoteReference w:id="422"/>
      </w:r>
      <w:r>
        <w:rPr>
          <w:rFonts w:eastAsia="DengXian"/>
          <w:bCs/>
          <w:lang w:val="en-GB"/>
        </w:rPr>
        <w:t>. The matter therefore required clarity of fiscal policy and its alignment with the PPTA provision on the tax treatment of both actual incurred costs, as well as for funds set aside or accrued for the purpose of abandonment and decommissioning of fields or assets used for producing the field.</w:t>
      </w:r>
      <w:r>
        <w:rPr>
          <w:rFonts w:eastAsia="DengXian"/>
          <w:bCs/>
        </w:rPr>
        <w:t xml:space="preserve"> </w:t>
      </w:r>
    </w:p>
    <w:p w14:paraId="47F1FA1D">
      <w:pPr>
        <w:spacing w:after="200" w:line="480" w:lineRule="auto"/>
        <w:jc w:val="both"/>
        <w:rPr>
          <w:rFonts w:eastAsia="DengXian"/>
          <w:bCs/>
        </w:rPr>
      </w:pPr>
      <w:r>
        <w:rPr>
          <w:rFonts w:eastAsia="DengXian"/>
          <w:bCs/>
          <w:lang w:val="en-GB"/>
        </w:rPr>
        <w:t>From the foregoing,</w:t>
      </w:r>
      <w:r>
        <w:rPr>
          <w:rFonts w:eastAsia="DengXian"/>
          <w:bCs/>
        </w:rPr>
        <w:t xml:space="preserve"> </w:t>
      </w:r>
      <w:r>
        <w:rPr>
          <w:rFonts w:eastAsia="DengXian"/>
          <w:bCs/>
          <w:lang w:val="en-GB"/>
        </w:rPr>
        <w:t>it is obvious that the failure to articulate principle-guided and market- responsive fiscal and tax policies, prior to the NPFP in 2017, coupled with, or the resort to, ad-hoc project-specific fiscal incentives aimed at achieving maximum government take in terms of economic rents, and the oil and gas development goals of Government, were clearly inadequate. This approach produced many distortions in the system and failed to address or balance the competing interests, or properly respond to the oil market and price changes. Stakeholder engagement was inadequate, and tax legislative amendments were in some cases poorly drafted</w:t>
      </w:r>
      <w:r>
        <w:rPr>
          <w:rFonts w:eastAsia="DengXian"/>
          <w:bCs/>
          <w:vertAlign w:val="superscript"/>
          <w:lang w:val="en-GB"/>
        </w:rPr>
        <w:footnoteReference w:id="423"/>
      </w:r>
      <w:r>
        <w:rPr>
          <w:rFonts w:eastAsia="DengXian"/>
          <w:bCs/>
          <w:lang w:val="en-GB"/>
        </w:rPr>
        <w:t>and the enactments not carried out in a timely manner. Moreover, reviews or reform of policy were not regular or properly aligned with legislative review and amendment, and as such existing policy and legislation were unable to meet the dynamic and changing nature of upstream petroleum operations and taxation. The result of this was that the Nigeria upstream petroleum tax regime consisted of an amalgam of old legislations as amended by various instruments, statutes, and regulations.</w:t>
      </w:r>
      <w:r>
        <w:rPr>
          <w:rFonts w:eastAsia="DengXian"/>
          <w:bCs/>
          <w:vertAlign w:val="superscript"/>
          <w:lang w:val="en-GB"/>
        </w:rPr>
        <w:footnoteReference w:id="424"/>
      </w:r>
      <w:r>
        <w:rPr>
          <w:rFonts w:eastAsia="DengXian"/>
          <w:b/>
          <w:bCs/>
        </w:rPr>
        <w:t xml:space="preserve"> </w:t>
      </w:r>
      <w:r>
        <w:rPr>
          <w:rFonts w:eastAsia="DengXian"/>
          <w:bCs/>
        </w:rPr>
        <w:t xml:space="preserve">The series of policy and regulatory reforms were reactive and piecemeal, geared towards meeting the objective of maximizing revenue capture and </w:t>
      </w:r>
      <w:r>
        <w:rPr>
          <w:rFonts w:eastAsia="DengXian"/>
          <w:bCs/>
          <w:lang w:val="en-GB"/>
        </w:rPr>
        <w:t>lacking in progressivity.</w:t>
      </w:r>
      <w:r>
        <w:rPr>
          <w:rFonts w:eastAsia="DengXian"/>
          <w:bCs/>
          <w:vertAlign w:val="superscript"/>
          <w:lang w:val="en-GB"/>
        </w:rPr>
        <w:footnoteReference w:id="425"/>
      </w:r>
    </w:p>
    <w:p w14:paraId="29151682">
      <w:pPr>
        <w:spacing w:after="200" w:line="480" w:lineRule="auto"/>
        <w:jc w:val="both"/>
        <w:rPr>
          <w:rFonts w:eastAsia="DengXian"/>
          <w:bCs/>
          <w:lang w:val="en-GB"/>
        </w:rPr>
      </w:pPr>
      <w:r>
        <w:rPr>
          <w:rFonts w:eastAsia="DengXian"/>
          <w:bCs/>
          <w:lang w:val="en-GB"/>
        </w:rPr>
        <w:t>The objective of the new policies and fiscal regime under the amended or unbundled PFIB is to create a regime that is internationally competitive,</w:t>
      </w:r>
      <w:r>
        <w:rPr>
          <w:rFonts w:eastAsia="DengXian"/>
          <w:bCs/>
        </w:rPr>
        <w:t xml:space="preserve"> certain, clear, efficient, flexible, neutral, predictable, and progressive. It should also possess a risk- and revenue-sharing potential, be simple, stable, and transparent</w:t>
      </w:r>
      <w:r>
        <w:rPr>
          <w:rFonts w:eastAsia="DengXian"/>
          <w:bCs/>
          <w:vertAlign w:val="superscript"/>
        </w:rPr>
        <w:footnoteReference w:id="426"/>
      </w:r>
      <w:r>
        <w:rPr>
          <w:rFonts w:eastAsia="DengXian"/>
          <w:bCs/>
        </w:rPr>
        <w:t xml:space="preserve">. </w:t>
      </w:r>
      <w:r>
        <w:rPr>
          <w:rFonts w:eastAsia="DengXian"/>
        </w:rPr>
        <w:t xml:space="preserve">The new fiscal arrangements also seek to reduce the government take for the onshore and shallow water fields, where the burden is high and is impeding development of smaller new fields, particularly for small companies. It will also aim to increase the government’s take in deep water. </w:t>
      </w:r>
      <w:r>
        <w:rPr>
          <w:rFonts w:eastAsia="DengXian"/>
          <w:bCs/>
          <w:lang w:val="en-GB"/>
        </w:rPr>
        <w:t xml:space="preserve">The real challenge, however, is how these fiscal and tax terms are accurately translated in a timely manner into clear, certain, and consistent legislation and tax statutes. It has taken several years to draft and enact this into the Petroleum Industry Act (PIA) and the delay underscores the importance of having a structured and focused process for regular review in place. It also reinforces the need for competent and effective legislative drafting and the need to review the existing legislative process under the 1999 Constitution, which is briefly examined below. </w:t>
      </w:r>
    </w:p>
    <w:p w14:paraId="290D4940">
      <w:pPr>
        <w:spacing w:after="200" w:line="480" w:lineRule="auto"/>
        <w:jc w:val="both"/>
        <w:rPr>
          <w:rFonts w:eastAsia="DengXian"/>
          <w:b/>
          <w:bCs/>
        </w:rPr>
      </w:pPr>
      <w:r>
        <w:rPr>
          <w:rFonts w:eastAsia="DengXian"/>
          <w:b/>
          <w:bCs/>
        </w:rPr>
        <w:t>5.3</w:t>
      </w:r>
      <w:r>
        <w:rPr>
          <w:rFonts w:eastAsia="DengXian"/>
          <w:b/>
          <w:bCs/>
        </w:rPr>
        <w:tab/>
      </w:r>
      <w:r>
        <w:rPr>
          <w:rFonts w:eastAsia="DengXian"/>
          <w:b/>
          <w:bCs/>
        </w:rPr>
        <w:t>THE LEGISLATIVE PROCESS AND TAX LAW MAKING:</w:t>
      </w:r>
    </w:p>
    <w:p w14:paraId="7DBFF5C9">
      <w:pPr>
        <w:spacing w:after="200" w:line="480" w:lineRule="auto"/>
        <w:jc w:val="both"/>
        <w:rPr>
          <w:rFonts w:eastAsia="DengXian"/>
          <w:lang w:val="en-GB"/>
        </w:rPr>
      </w:pPr>
      <w:r>
        <w:rPr>
          <w:rFonts w:eastAsia="DengXian"/>
          <w:lang w:val="en-GB"/>
        </w:rPr>
        <w:t>The 1999 Nigerian federal Constitution specifically sets out the legislative process for the FG and the federating units in the Nigerian federation. The NA is responsible for enacting the Federal taxation statutes, which includes taxation of income, profits, and capital gains. The process is usually long drawn and uncoordinated between the two arms of the NA</w:t>
      </w:r>
      <w:r>
        <w:rPr>
          <w:rFonts w:eastAsia="DengXian"/>
          <w:vertAlign w:val="superscript"/>
          <w:lang w:val="en-GB"/>
        </w:rPr>
        <w:footnoteReference w:id="427"/>
      </w:r>
      <w:r>
        <w:rPr>
          <w:rFonts w:eastAsia="DengXian"/>
          <w:lang w:val="en-GB"/>
        </w:rPr>
        <w:t>. The annual finance appropriation bills generally cover annual fiscal and tax changes. However, the real challenge is in the process of translating and enacting policy and tax objectives into clear and accurate legislative language. The process is piecemeal, and experience has shown that the process of translating fiscal and tax policy into clear and certain statutes has been ambivalent, sometimes inconsistent, laborious, lacking in well-defined principles, objectives, timelines and the required speed. The absence of transparency and consistency in the process and the required law making and drafting expertise in specific subject matters in the finance committee is also generally lacking. The quality of legislation produced by the two arms of the NA and the clarity and preciseness required especially in petroleum taxation statutes leaves much to be desired as the personnel strive to understand policy and taxing objectives, and the various interests at play, as well as the current presidential system of governance in the country.</w:t>
      </w:r>
      <w:r>
        <w:rPr>
          <w:rFonts w:eastAsia="DengXian"/>
          <w:vertAlign w:val="superscript"/>
          <w:lang w:val="en-GB"/>
        </w:rPr>
        <w:footnoteReference w:id="428"/>
      </w:r>
      <w:r>
        <w:rPr>
          <w:rFonts w:eastAsia="DengXian"/>
          <w:lang w:val="en-GB"/>
        </w:rPr>
        <w:t>.</w:t>
      </w:r>
    </w:p>
    <w:p w14:paraId="4845228B">
      <w:pPr>
        <w:spacing w:after="200" w:line="480" w:lineRule="auto"/>
        <w:jc w:val="both"/>
        <w:rPr>
          <w:rFonts w:eastAsia="DengXian"/>
          <w:lang w:val="en-GB"/>
        </w:rPr>
      </w:pPr>
      <w:r>
        <w:rPr>
          <w:rFonts w:eastAsia="DengXian"/>
          <w:lang w:val="en-GB"/>
        </w:rPr>
        <w:t>The NA process of making legislation is exercised by bills</w:t>
      </w:r>
      <w:r>
        <w:rPr>
          <w:rFonts w:eastAsia="DengXian"/>
          <w:vertAlign w:val="superscript"/>
          <w:lang w:val="en-GB"/>
        </w:rPr>
        <w:footnoteReference w:id="429"/>
      </w:r>
      <w:r>
        <w:rPr>
          <w:rFonts w:eastAsia="DengXian"/>
          <w:lang w:val="en-GB"/>
        </w:rPr>
        <w:t>, which can originate in either the Senate or the House of Representatives. An executive bill or any bill presented to the NA, will go through the process of three (3) readings</w:t>
      </w:r>
      <w:r>
        <w:rPr>
          <w:rStyle w:val="23"/>
          <w:rFonts w:eastAsia="DengXian"/>
        </w:rPr>
        <w:footnoteReference w:id="430"/>
      </w:r>
      <w:r>
        <w:rPr>
          <w:rFonts w:eastAsia="DengXian"/>
          <w:lang w:val="en-GB"/>
        </w:rPr>
        <w:t>, reporting and committee stage before its engrossment for presentation to the President for assent. A bill will not become a law until the President assents</w:t>
      </w:r>
      <w:r>
        <w:rPr>
          <w:rFonts w:eastAsia="DengXian"/>
          <w:vertAlign w:val="superscript"/>
          <w:lang w:val="en-GB"/>
        </w:rPr>
        <w:footnoteReference w:id="431"/>
      </w:r>
      <w:r>
        <w:rPr>
          <w:rFonts w:eastAsia="DengXian"/>
          <w:lang w:val="en-GB"/>
        </w:rPr>
        <w:t xml:space="preserve"> to it. Where the President withholds assent, it can be presented to both the Senate and House of Representatives, after which it can become law, passed by a two-thirds majority of each house</w:t>
      </w:r>
      <w:r>
        <w:rPr>
          <w:rFonts w:eastAsia="DengXian"/>
          <w:vertAlign w:val="superscript"/>
          <w:lang w:val="en-GB"/>
        </w:rPr>
        <w:footnoteReference w:id="432"/>
      </w:r>
      <w:r>
        <w:rPr>
          <w:rFonts w:eastAsia="DengXian"/>
          <w:lang w:val="en-GB"/>
        </w:rPr>
        <w:t>. In this case, the President’s assent will not be required.  This detailed scrutiny which should ordinarily recognise the need for expertise, stakeholder engagement, speed, and a defined timeline as is the case in the UK and Canada, is not adequately defined and structured to produce the required results in the NA in Nigeria. The degree of precision and accuracy required for taxation has not always been attained. There is insufficient analysis, research, and stakeholder engagement. In the design and formulation of the NOP, NGP and the NNFP documents, there was a concerted attempt by the NNPC, the MOF and the MPR to work together. However, given the absence of existing structures and processes, the process dragged on for months before the FG approved the policy documents, and a few more years before the fiscal and regulatory bills were passed into law. There were further delays due to the ineffective coordination of the drafting of the relevant legislation by the NA and the Ministry of Justice, as well as the poor management of the various interest groups, including the private sector and the host community. The lack of structure to the process, as well as the prevailing legislative competency gaps and lack of quality assurance in the entire process clearly exacerbated the delay and uncertainty in the system. These are some of the concerns that will need to be addressed if the quality of legislation generally, and tax legislation, is to improve. The enactment of the PIB into the PIA has taken several years to happen due to the inefficiencies in the system. The lobbying and expert facilitation of policy and law making that is required is largely missing with the NA. There is an obvious need for capacity building in this and related areas. Also, the stakeholder engagement required, especially with the industry to improve quality of statutes can certainly be better. These issues and competency gaps informed the need for expert input from several ad hoc study groups and expert sub-committees to support the NA to rework the Bill and resolve the conflicting agendas and interests of the stakeholders and the host community. This intervention was quite noticeable and clearly contributed to the final enactment of the PIA with the assent of the president of Nigeria on 16</w:t>
      </w:r>
      <w:r>
        <w:rPr>
          <w:rFonts w:eastAsia="DengXian"/>
          <w:vertAlign w:val="superscript"/>
          <w:lang w:val="en-GB"/>
        </w:rPr>
        <w:t>th</w:t>
      </w:r>
      <w:r>
        <w:rPr>
          <w:rFonts w:eastAsia="DengXian"/>
          <w:lang w:val="en-GB"/>
        </w:rPr>
        <w:t xml:space="preserve"> August 2021</w:t>
      </w:r>
      <w:r>
        <w:rPr>
          <w:rFonts w:eastAsia="DengXian"/>
          <w:vertAlign w:val="superscript"/>
          <w:lang w:val="en-GB"/>
        </w:rPr>
        <w:footnoteReference w:id="433"/>
      </w:r>
      <w:r>
        <w:rPr>
          <w:rFonts w:eastAsia="DengXian"/>
          <w:lang w:val="en-GB"/>
        </w:rPr>
        <w:t xml:space="preserve">. The fiscal and legislative requirements of the petroleum industry can certainly be achieved by skills and competency improvement and more education on the dynamics of the industry to avoid misconceptions on the part of the NA. </w:t>
      </w:r>
    </w:p>
    <w:p w14:paraId="1F4B1886">
      <w:pPr>
        <w:spacing w:after="200" w:line="480" w:lineRule="auto"/>
        <w:jc w:val="both"/>
        <w:rPr>
          <w:rFonts w:eastAsia="DengXian"/>
          <w:b/>
          <w:bCs/>
        </w:rPr>
      </w:pPr>
    </w:p>
    <w:p w14:paraId="1EF880FB">
      <w:pPr>
        <w:spacing w:after="200" w:line="480" w:lineRule="auto"/>
        <w:jc w:val="both"/>
        <w:rPr>
          <w:rFonts w:eastAsia="DengXian"/>
          <w:b/>
          <w:bCs/>
        </w:rPr>
      </w:pPr>
      <w:r>
        <w:rPr>
          <w:rFonts w:eastAsia="DengXian"/>
          <w:b/>
          <w:bCs/>
        </w:rPr>
        <w:t>CONCLUSION</w:t>
      </w:r>
    </w:p>
    <w:p w14:paraId="3E78EEC8">
      <w:pPr>
        <w:spacing w:after="200" w:line="480" w:lineRule="auto"/>
        <w:jc w:val="both"/>
        <w:rPr>
          <w:rFonts w:eastAsia="DengXian"/>
        </w:rPr>
      </w:pPr>
      <w:r>
        <w:rPr>
          <w:rFonts w:eastAsia="DengXian"/>
          <w:bCs/>
        </w:rPr>
        <w:t>A well-formulated petroleum fiscal and tax policy is a prerequisite for the development of clear and certain tax legislation.</w:t>
      </w:r>
      <w:r>
        <w:rPr>
          <w:rFonts w:eastAsia="DengXian"/>
        </w:rPr>
        <w:t xml:space="preserve"> </w:t>
      </w:r>
      <w:r>
        <w:rPr>
          <w:rFonts w:eastAsia="DengXian"/>
          <w:bCs/>
        </w:rPr>
        <w:t>A well-articulated fiscal and tax policy allows for the capture of a portion of wealth extracted from the ground, and the investment of the revenues in a regulated manner to attend to short, medium, and long-term needs of the country.  The existing policies, governance framework and process in the Nigeria petroleum industry lacked focus and effective coordination. For long periods of time, it was not responsive to the volatile oil and gas market, and the existing fiscal regimes failed to complement themselves, thus resulting in distortions. The fiscal policy and legislative structure therefore lacked clarity, predictability, or the responsiveness to address the concerns of investors and the government. The existing process</w:t>
      </w:r>
      <w:r>
        <w:rPr>
          <w:rFonts w:eastAsia="DengXian"/>
        </w:rPr>
        <w:t xml:space="preserve"> lacked well-defined rules or objectives, structure, and clear timelines for translating policy and principles into clear and consistently understood tax legislation. We will in chapter 6 carry out a survey of stakeholders and experts in the industry in Nigeria, and in chapters 7 &amp; 8 examine the process and the learnings in our two comparator countries of the United Kingdom and Canada, respectively. </w:t>
      </w:r>
    </w:p>
    <w:p w14:paraId="406D4114">
      <w:pPr>
        <w:spacing w:after="200" w:line="480" w:lineRule="auto"/>
        <w:jc w:val="center"/>
        <w:rPr>
          <w:rFonts w:eastAsia="DengXian"/>
          <w:b/>
          <w:lang w:val="en-GB"/>
        </w:rPr>
      </w:pPr>
    </w:p>
    <w:p w14:paraId="3A666E9D">
      <w:pPr>
        <w:spacing w:after="200" w:line="480" w:lineRule="auto"/>
        <w:jc w:val="center"/>
        <w:rPr>
          <w:rFonts w:eastAsia="DengXian"/>
          <w:b/>
          <w:lang w:val="en-GB"/>
        </w:rPr>
      </w:pPr>
    </w:p>
    <w:p w14:paraId="06AE486B">
      <w:pPr>
        <w:spacing w:after="200" w:line="480" w:lineRule="auto"/>
        <w:jc w:val="center"/>
        <w:rPr>
          <w:rFonts w:eastAsia="DengXian"/>
          <w:b/>
          <w:lang w:val="en-GB"/>
        </w:rPr>
      </w:pPr>
    </w:p>
    <w:p w14:paraId="671CDA01">
      <w:pPr>
        <w:spacing w:after="200" w:line="480" w:lineRule="auto"/>
        <w:jc w:val="center"/>
        <w:rPr>
          <w:rFonts w:eastAsia="DengXian"/>
          <w:b/>
          <w:lang w:val="en-GB"/>
        </w:rPr>
      </w:pPr>
    </w:p>
    <w:p w14:paraId="58E44DDA">
      <w:pPr>
        <w:spacing w:after="200" w:line="480" w:lineRule="auto"/>
        <w:jc w:val="center"/>
        <w:rPr>
          <w:rFonts w:eastAsia="DengXian"/>
          <w:b/>
          <w:lang w:val="en-GB"/>
        </w:rPr>
      </w:pPr>
    </w:p>
    <w:p w14:paraId="498B76D7">
      <w:pPr>
        <w:spacing w:after="200" w:line="480" w:lineRule="auto"/>
        <w:jc w:val="center"/>
        <w:rPr>
          <w:rFonts w:eastAsia="DengXian"/>
          <w:b/>
          <w:lang w:val="en-GB"/>
        </w:rPr>
      </w:pPr>
    </w:p>
    <w:p w14:paraId="065AFD5C">
      <w:pPr>
        <w:spacing w:after="200" w:line="480" w:lineRule="auto"/>
        <w:jc w:val="center"/>
        <w:rPr>
          <w:rFonts w:eastAsia="DengXian"/>
          <w:b/>
          <w:lang w:val="en-GB"/>
        </w:rPr>
      </w:pPr>
    </w:p>
    <w:p w14:paraId="6BB6716F">
      <w:pPr>
        <w:spacing w:after="200" w:line="480" w:lineRule="auto"/>
        <w:jc w:val="center"/>
        <w:rPr>
          <w:rFonts w:eastAsia="DengXian"/>
          <w:b/>
          <w:lang w:val="en-GB"/>
        </w:rPr>
      </w:pPr>
    </w:p>
    <w:p w14:paraId="512AA64F">
      <w:pPr>
        <w:spacing w:after="200" w:line="480" w:lineRule="auto"/>
        <w:jc w:val="center"/>
        <w:rPr>
          <w:rFonts w:eastAsia="DengXian"/>
          <w:b/>
          <w:lang w:val="en-GB"/>
        </w:rPr>
      </w:pPr>
    </w:p>
    <w:p w14:paraId="6C3B0F9F">
      <w:pPr>
        <w:spacing w:after="200" w:line="480" w:lineRule="auto"/>
        <w:jc w:val="center"/>
        <w:rPr>
          <w:rFonts w:eastAsia="DengXian"/>
          <w:b/>
          <w:lang w:val="en-GB"/>
        </w:rPr>
      </w:pPr>
    </w:p>
    <w:p w14:paraId="0741C9D9">
      <w:pPr>
        <w:spacing w:after="200" w:line="480" w:lineRule="auto"/>
        <w:jc w:val="center"/>
        <w:rPr>
          <w:rFonts w:eastAsia="DengXian"/>
          <w:b/>
          <w:lang w:val="en-GB"/>
        </w:rPr>
      </w:pPr>
    </w:p>
    <w:p w14:paraId="6AC25E4D">
      <w:pPr>
        <w:spacing w:after="200" w:line="480" w:lineRule="auto"/>
        <w:jc w:val="center"/>
        <w:rPr>
          <w:rFonts w:eastAsia="DengXian"/>
          <w:b/>
          <w:lang w:val="en-GB"/>
        </w:rPr>
      </w:pPr>
    </w:p>
    <w:p w14:paraId="09EEE8E0">
      <w:pPr>
        <w:spacing w:after="200" w:line="480" w:lineRule="auto"/>
        <w:jc w:val="center"/>
        <w:rPr>
          <w:rFonts w:eastAsia="DengXian"/>
          <w:b/>
          <w:lang w:val="en-GB"/>
        </w:rPr>
      </w:pPr>
    </w:p>
    <w:p w14:paraId="1C8094EF">
      <w:pPr>
        <w:spacing w:after="200" w:line="480" w:lineRule="auto"/>
        <w:jc w:val="center"/>
        <w:rPr>
          <w:rFonts w:eastAsia="DengXian"/>
          <w:b/>
          <w:lang w:val="en-GB"/>
        </w:rPr>
      </w:pPr>
    </w:p>
    <w:p w14:paraId="6B404FDB">
      <w:pPr>
        <w:spacing w:after="200" w:line="480" w:lineRule="auto"/>
        <w:jc w:val="center"/>
        <w:rPr>
          <w:rFonts w:eastAsia="DengXian"/>
          <w:b/>
          <w:lang w:val="en-GB"/>
        </w:rPr>
      </w:pPr>
    </w:p>
    <w:p w14:paraId="6613BC46">
      <w:pPr>
        <w:spacing w:after="200" w:line="480" w:lineRule="auto"/>
        <w:jc w:val="center"/>
        <w:rPr>
          <w:rFonts w:eastAsia="DengXian"/>
          <w:b/>
          <w:lang w:val="en-GB"/>
        </w:rPr>
      </w:pPr>
    </w:p>
    <w:p w14:paraId="6A3E40C1">
      <w:pPr>
        <w:spacing w:after="200" w:line="480" w:lineRule="auto"/>
        <w:jc w:val="center"/>
        <w:rPr>
          <w:rFonts w:eastAsia="DengXian"/>
          <w:b/>
          <w:lang w:val="en-GB"/>
        </w:rPr>
      </w:pPr>
    </w:p>
    <w:p w14:paraId="30D32852">
      <w:pPr>
        <w:spacing w:after="200" w:line="480" w:lineRule="auto"/>
        <w:jc w:val="center"/>
        <w:rPr>
          <w:rFonts w:eastAsia="DengXian"/>
          <w:b/>
          <w:lang w:val="en-GB"/>
        </w:rPr>
      </w:pPr>
      <w:r>
        <w:rPr>
          <w:rFonts w:eastAsia="DengXian"/>
          <w:b/>
          <w:lang w:val="en-GB"/>
        </w:rPr>
        <w:t>CHAPTER 6</w:t>
      </w:r>
    </w:p>
    <w:p w14:paraId="2FBE9873">
      <w:pPr>
        <w:spacing w:after="200" w:line="480" w:lineRule="auto"/>
        <w:jc w:val="center"/>
        <w:rPr>
          <w:rFonts w:eastAsia="DengXian"/>
          <w:b/>
          <w:lang w:val="en-GB"/>
        </w:rPr>
      </w:pPr>
      <w:r>
        <w:rPr>
          <w:rFonts w:eastAsia="DengXian"/>
          <w:b/>
          <w:lang w:val="en-GB"/>
        </w:rPr>
        <w:t>SURVEY OF STAKEHOLDERS AND PRACTITIONERS IN THE NIGERIA UPSTREAM PETROLEUM INDUSTRY</w:t>
      </w:r>
    </w:p>
    <w:p w14:paraId="3DEB3245">
      <w:pPr>
        <w:spacing w:after="200" w:line="360" w:lineRule="auto"/>
        <w:rPr>
          <w:rFonts w:eastAsia="DengXian"/>
          <w:b/>
          <w:bCs/>
        </w:rPr>
      </w:pPr>
    </w:p>
    <w:p w14:paraId="02F44747">
      <w:pPr>
        <w:spacing w:after="200" w:line="360" w:lineRule="auto"/>
        <w:rPr>
          <w:rFonts w:eastAsia="DengXian"/>
          <w:b/>
          <w:bCs/>
        </w:rPr>
      </w:pPr>
      <w:r>
        <w:rPr>
          <w:rFonts w:eastAsia="DengXian"/>
          <w:b/>
          <w:bCs/>
        </w:rPr>
        <w:t>6.0</w:t>
      </w:r>
      <w:r>
        <w:rPr>
          <w:rFonts w:eastAsia="DengXian"/>
          <w:b/>
          <w:bCs/>
        </w:rPr>
        <w:tab/>
      </w:r>
      <w:r>
        <w:rPr>
          <w:rFonts w:eastAsia="DengXian"/>
          <w:b/>
          <w:bCs/>
        </w:rPr>
        <w:t xml:space="preserve"> INTRODUCTION </w:t>
      </w:r>
    </w:p>
    <w:p w14:paraId="705F29D5">
      <w:pPr>
        <w:spacing w:after="200" w:line="480" w:lineRule="auto"/>
        <w:jc w:val="both"/>
        <w:rPr>
          <w:rFonts w:eastAsia="DengXian"/>
          <w:bCs/>
        </w:rPr>
      </w:pPr>
      <w:r>
        <w:rPr>
          <w:rFonts w:eastAsia="DengXian"/>
          <w:bCs/>
        </w:rPr>
        <w:t xml:space="preserve">Certainty in tax matters is an important objective, and governments and businesses take a wide range of measures in its pursuit. Beyond seeking clarity, precision and avoiding ambiguity in policy and law, predictability and simplicity in tax legislation, and consistency in understanding and implementation of the substance and form of legislation, governments commonly adopt a variety of measures serving to limit their own discretion and provide certainty to businesses, taxpayers, and confidence to investors. These may include, for instance, advance rulings and pricing agreements (APSs), providing safe harbors, guarantees, stability clauses or entering into agreements or memoranda of understanding (MOUs). In the case of the Nigeria petroleum industry, these aim for fiscal stability and clarity by providing project-specific fiscal and tax incentives, guarantees and assurances and by defining objective goals, delegating powers to independent judiciaries or revenue authorities, and committing to international tax standards and tax treaties, etc. In chapters 3, 4 and 5, of this thesis, we have examined many of these issues, including the constitutional basis and impetus for fiscal federalism and the exercise of taxing powers in Nigeria as they affect the petroleum industry in Nigeria.  Whilst, we have identified that unclear, poorly or inadequately articulated and drafted policy and laws, create ambiguity, gaps and uncertainty, the process of tax policy and tax law making, and the implementation can also contribute to tax uncertainty in the tax system. Having a methodical and consultative policy and tax design process can help to improve clarity of tax policy and laws. </w:t>
      </w:r>
    </w:p>
    <w:p w14:paraId="0DD4D5AF">
      <w:pPr>
        <w:spacing w:after="200" w:line="480" w:lineRule="auto"/>
        <w:jc w:val="both"/>
        <w:rPr>
          <w:rFonts w:eastAsia="DengXian"/>
          <w:bCs/>
          <w:lang w:val="en-GB"/>
        </w:rPr>
      </w:pPr>
      <w:r>
        <w:rPr>
          <w:rFonts w:eastAsia="DengXian"/>
          <w:bCs/>
        </w:rPr>
        <w:t>The complexity or lack of clarity in the tax code, and unpredictable or inconsistent treatment by the tax authority and the tax adjudication machinery, raise two related but distinct issues, both of which are critical to improving tax certainty with respect to the clarity and transparency of the tax law and the ease of taxpayer compliance with the law. These are: (i) the policy and tax law design, the implementation and monitoring process; and (ii) the quality of law drafting itself, and use of language as discussed in Chapters 1 &amp; 2 of this thesis. Since there may be little solid empirical evidence on this, and perhaps more of anecdotal evidence, in measuring tax certainty or uncertainty, we will in this chapter examine the narrative from the survey questionnaire and results</w:t>
      </w:r>
      <w:r>
        <w:rPr>
          <w:rStyle w:val="23"/>
          <w:rFonts w:eastAsia="DengXian"/>
          <w:bCs/>
        </w:rPr>
        <w:footnoteReference w:id="434"/>
      </w:r>
      <w:r>
        <w:rPr>
          <w:rFonts w:eastAsia="DengXian"/>
          <w:bCs/>
        </w:rPr>
        <w:t xml:space="preserve"> as well as the views and thoughts of</w:t>
      </w:r>
      <w:r>
        <w:rPr>
          <w:rFonts w:eastAsia="DengXian"/>
          <w:bCs/>
          <w:lang w:val="en-GB"/>
        </w:rPr>
        <w:t xml:space="preserve"> the critical stakeholders and tax practitioners, the tax authority, academics, tax managers of the IOC/INOC, and the taxpayers etc., as they pertain to policy design and tax legislation uncertainty in the Nigerian upstream petroleum tax system. The questionnaires were distributed using the Google form link and the responses and views shared by respondents are analysed below.  It is important to state that this survey was carried out prior to the enactment and coming into force of the long-awaited Petroleum Industry Act (PIA), which is examined in chapter 9 of this Thesis.</w:t>
      </w:r>
    </w:p>
    <w:p w14:paraId="39164403">
      <w:pPr>
        <w:spacing w:after="200" w:line="360" w:lineRule="auto"/>
        <w:rPr>
          <w:rFonts w:eastAsia="DengXian"/>
          <w:b/>
          <w:bCs/>
        </w:rPr>
      </w:pPr>
      <w:r>
        <w:rPr>
          <w:rFonts w:eastAsia="DengXian"/>
          <w:b/>
          <w:bCs/>
        </w:rPr>
        <w:t>6.1</w:t>
      </w:r>
      <w:r>
        <w:rPr>
          <w:rFonts w:eastAsia="DengXian"/>
          <w:b/>
          <w:bCs/>
        </w:rPr>
        <w:tab/>
      </w:r>
      <w:r>
        <w:rPr>
          <w:rFonts w:eastAsia="DengXian"/>
          <w:b/>
          <w:bCs/>
        </w:rPr>
        <w:t xml:space="preserve"> ADMINISTRATION OF SURVEY QUESTIONNAIRE AND METHODOLOGY </w:t>
      </w:r>
    </w:p>
    <w:p w14:paraId="263BEBBA">
      <w:pPr>
        <w:spacing w:after="200" w:line="480" w:lineRule="auto"/>
        <w:jc w:val="both"/>
        <w:rPr>
          <w:rFonts w:eastAsia="DengXian"/>
        </w:rPr>
      </w:pPr>
      <w:r>
        <w:rPr>
          <w:rFonts w:eastAsia="DengXian"/>
        </w:rPr>
        <w:t>A total of one hundred and forty-six questionnaires</w:t>
      </w:r>
      <w:r>
        <w:rPr>
          <w:rFonts w:eastAsia="DengXian"/>
          <w:vertAlign w:val="superscript"/>
        </w:rPr>
        <w:footnoteReference w:id="435"/>
      </w:r>
      <w:r>
        <w:rPr>
          <w:rFonts w:eastAsia="DengXian"/>
        </w:rPr>
        <w:t xml:space="preserve"> were administered using Google online form. A total of twenty questions were asked on topics ranging from engagement on policy design and articulation, legislative drafting and enactment, legislative review and reform, tax administration and judicial interpretation and tax compliance. The information and data gathered from the survey questionnaires and the additional comments, observations and follow up calls are all examined to ascertain the degree and significance of the factors affecting policy and tax legislation design, clarity, understanding, the administration, interpretation, and compliance in the upstream petroleum industry in Nigeria.  The survey questionnaire questions and responses are reproduced as </w:t>
      </w:r>
      <w:r>
        <w:rPr>
          <w:rFonts w:eastAsia="DengXian"/>
          <w:b/>
          <w:bCs/>
        </w:rPr>
        <w:t>appendices</w:t>
      </w:r>
      <w:r>
        <w:rPr>
          <w:rFonts w:eastAsia="DengXian"/>
        </w:rPr>
        <w:t xml:space="preserve"> </w:t>
      </w:r>
      <w:r>
        <w:rPr>
          <w:rFonts w:eastAsia="DengXian"/>
          <w:b/>
          <w:bCs/>
        </w:rPr>
        <w:t>I &amp; II</w:t>
      </w:r>
      <w:r>
        <w:rPr>
          <w:rFonts w:eastAsia="DengXian"/>
        </w:rPr>
        <w:t xml:space="preserve">. The link to the questionnaire is also provided -see </w:t>
      </w:r>
      <w:r>
        <w:rPr>
          <w:rFonts w:eastAsia="DengXian"/>
          <w:b/>
          <w:bCs/>
        </w:rPr>
        <w:t>Section 6.3</w:t>
      </w:r>
      <w:r>
        <w:rPr>
          <w:rFonts w:eastAsia="DengXian"/>
        </w:rPr>
        <w:t xml:space="preserve"> below.</w:t>
      </w:r>
    </w:p>
    <w:p w14:paraId="63CF00BB">
      <w:pPr>
        <w:spacing w:after="200" w:line="360" w:lineRule="auto"/>
        <w:jc w:val="both"/>
        <w:rPr>
          <w:rFonts w:eastAsia="DengXian"/>
          <w:b/>
          <w:bCs/>
        </w:rPr>
      </w:pPr>
      <w:r>
        <w:rPr>
          <w:rFonts w:eastAsia="DengXian"/>
          <w:b/>
          <w:bCs/>
        </w:rPr>
        <w:t>Table 6.1: Analysis of Respondent Rate of Questionnaire</w:t>
      </w:r>
    </w:p>
    <w:tbl>
      <w:tblPr>
        <w:tblStyle w:val="13"/>
        <w:tblW w:w="0" w:type="auto"/>
        <w:tblInd w:w="0" w:type="dxa"/>
        <w:tblLayout w:type="autofit"/>
        <w:tblCellMar>
          <w:top w:w="0" w:type="dxa"/>
          <w:left w:w="108" w:type="dxa"/>
          <w:bottom w:w="0" w:type="dxa"/>
          <w:right w:w="108" w:type="dxa"/>
        </w:tblCellMar>
      </w:tblPr>
      <w:tblGrid>
        <w:gridCol w:w="3116"/>
        <w:gridCol w:w="3117"/>
        <w:gridCol w:w="3117"/>
      </w:tblGrid>
      <w:tr w14:paraId="5A4FA2D1">
        <w:tblPrEx>
          <w:tblCellMar>
            <w:top w:w="0" w:type="dxa"/>
            <w:left w:w="108" w:type="dxa"/>
            <w:bottom w:w="0" w:type="dxa"/>
            <w:right w:w="108" w:type="dxa"/>
          </w:tblCellMar>
        </w:tblPrEx>
        <w:tc>
          <w:tcPr>
            <w:tcW w:w="3116" w:type="dxa"/>
          </w:tcPr>
          <w:p w14:paraId="175BEEB0">
            <w:pPr>
              <w:spacing w:after="200" w:line="360" w:lineRule="auto"/>
              <w:jc w:val="both"/>
              <w:rPr>
                <w:rFonts w:eastAsia="DengXian"/>
                <w:b/>
                <w:bCs/>
              </w:rPr>
            </w:pPr>
            <w:r>
              <w:rPr>
                <w:rFonts w:eastAsia="DengXian"/>
                <w:b/>
                <w:bCs/>
              </w:rPr>
              <w:t>QUESTIONNAIRE</w:t>
            </w:r>
          </w:p>
        </w:tc>
        <w:tc>
          <w:tcPr>
            <w:tcW w:w="3117" w:type="dxa"/>
          </w:tcPr>
          <w:p w14:paraId="3CE086DE">
            <w:pPr>
              <w:spacing w:after="200" w:line="360" w:lineRule="auto"/>
              <w:jc w:val="center"/>
              <w:rPr>
                <w:rFonts w:eastAsia="DengXian"/>
                <w:b/>
                <w:bCs/>
              </w:rPr>
            </w:pPr>
            <w:r>
              <w:rPr>
                <w:rFonts w:eastAsia="DengXian"/>
                <w:b/>
                <w:bCs/>
              </w:rPr>
              <w:t>FREQUENCY</w:t>
            </w:r>
          </w:p>
        </w:tc>
        <w:tc>
          <w:tcPr>
            <w:tcW w:w="3117" w:type="dxa"/>
          </w:tcPr>
          <w:p w14:paraId="0CA2BD95">
            <w:pPr>
              <w:spacing w:after="200" w:line="360" w:lineRule="auto"/>
              <w:jc w:val="center"/>
              <w:rPr>
                <w:rFonts w:eastAsia="DengXian"/>
                <w:b/>
                <w:bCs/>
              </w:rPr>
            </w:pPr>
            <w:r>
              <w:rPr>
                <w:rFonts w:eastAsia="DengXian"/>
                <w:b/>
                <w:bCs/>
              </w:rPr>
              <w:t>VALID PERCENTAGE</w:t>
            </w:r>
          </w:p>
        </w:tc>
      </w:tr>
      <w:tr w14:paraId="07353546">
        <w:tblPrEx>
          <w:tblCellMar>
            <w:top w:w="0" w:type="dxa"/>
            <w:left w:w="108" w:type="dxa"/>
            <w:bottom w:w="0" w:type="dxa"/>
            <w:right w:w="108" w:type="dxa"/>
          </w:tblCellMar>
        </w:tblPrEx>
        <w:tc>
          <w:tcPr>
            <w:tcW w:w="3116" w:type="dxa"/>
          </w:tcPr>
          <w:p w14:paraId="3C2613C7">
            <w:pPr>
              <w:spacing w:after="200" w:line="360" w:lineRule="auto"/>
              <w:jc w:val="both"/>
              <w:rPr>
                <w:rFonts w:eastAsia="DengXian"/>
              </w:rPr>
            </w:pPr>
            <w:r>
              <w:rPr>
                <w:rFonts w:eastAsia="DengXian"/>
              </w:rPr>
              <w:t>Valid</w:t>
            </w:r>
          </w:p>
          <w:p w14:paraId="1BD189B2">
            <w:pPr>
              <w:spacing w:after="200" w:line="360" w:lineRule="auto"/>
              <w:jc w:val="both"/>
              <w:rPr>
                <w:rFonts w:eastAsia="DengXian"/>
              </w:rPr>
            </w:pPr>
            <w:r>
              <w:rPr>
                <w:rFonts w:eastAsia="DengXian"/>
              </w:rPr>
              <w:t>Unfilled</w:t>
            </w:r>
          </w:p>
        </w:tc>
        <w:tc>
          <w:tcPr>
            <w:tcW w:w="3117" w:type="dxa"/>
          </w:tcPr>
          <w:p w14:paraId="509C2151">
            <w:pPr>
              <w:spacing w:after="200" w:line="360" w:lineRule="auto"/>
              <w:jc w:val="center"/>
              <w:rPr>
                <w:rFonts w:eastAsia="DengXian"/>
              </w:rPr>
            </w:pPr>
            <w:r>
              <w:rPr>
                <w:rFonts w:eastAsia="DengXian"/>
              </w:rPr>
              <w:t>79</w:t>
            </w:r>
          </w:p>
          <w:p w14:paraId="10B70E59">
            <w:pPr>
              <w:spacing w:after="200" w:line="360" w:lineRule="auto"/>
              <w:jc w:val="center"/>
              <w:rPr>
                <w:rFonts w:eastAsia="DengXian"/>
              </w:rPr>
            </w:pPr>
            <w:r>
              <w:rPr>
                <w:rFonts w:eastAsia="DengXian"/>
              </w:rPr>
              <w:t>67</w:t>
            </w:r>
          </w:p>
        </w:tc>
        <w:tc>
          <w:tcPr>
            <w:tcW w:w="3117" w:type="dxa"/>
          </w:tcPr>
          <w:p w14:paraId="59AE31B7">
            <w:pPr>
              <w:spacing w:after="200" w:line="360" w:lineRule="auto"/>
              <w:jc w:val="center"/>
              <w:rPr>
                <w:rFonts w:eastAsia="DengXian"/>
              </w:rPr>
            </w:pPr>
            <w:r>
              <w:rPr>
                <w:rFonts w:eastAsia="DengXian"/>
              </w:rPr>
              <w:t>54.1%</w:t>
            </w:r>
          </w:p>
          <w:p w14:paraId="0AB61AF7">
            <w:pPr>
              <w:spacing w:after="200" w:line="360" w:lineRule="auto"/>
              <w:jc w:val="center"/>
              <w:rPr>
                <w:rFonts w:eastAsia="DengXian"/>
              </w:rPr>
            </w:pPr>
            <w:r>
              <w:rPr>
                <w:rFonts w:eastAsia="DengXian"/>
              </w:rPr>
              <w:t>45.9%</w:t>
            </w:r>
          </w:p>
        </w:tc>
      </w:tr>
      <w:tr w14:paraId="4A96B860">
        <w:tblPrEx>
          <w:tblCellMar>
            <w:top w:w="0" w:type="dxa"/>
            <w:left w:w="108" w:type="dxa"/>
            <w:bottom w:w="0" w:type="dxa"/>
            <w:right w:w="108" w:type="dxa"/>
          </w:tblCellMar>
        </w:tblPrEx>
        <w:tc>
          <w:tcPr>
            <w:tcW w:w="3116" w:type="dxa"/>
          </w:tcPr>
          <w:p w14:paraId="1F49731B">
            <w:pPr>
              <w:spacing w:after="200" w:line="360" w:lineRule="auto"/>
              <w:jc w:val="both"/>
              <w:rPr>
                <w:rFonts w:eastAsia="DengXian"/>
                <w:b/>
                <w:bCs/>
              </w:rPr>
            </w:pPr>
            <w:r>
              <w:rPr>
                <w:rFonts w:eastAsia="DengXian"/>
                <w:b/>
                <w:bCs/>
              </w:rPr>
              <w:t xml:space="preserve">Total </w:t>
            </w:r>
          </w:p>
        </w:tc>
        <w:tc>
          <w:tcPr>
            <w:tcW w:w="3117" w:type="dxa"/>
          </w:tcPr>
          <w:p w14:paraId="5FD1A0E2">
            <w:pPr>
              <w:spacing w:after="200" w:line="360" w:lineRule="auto"/>
              <w:jc w:val="center"/>
              <w:rPr>
                <w:rFonts w:eastAsia="DengXian"/>
              </w:rPr>
            </w:pPr>
            <w:r>
              <w:rPr>
                <w:rFonts w:eastAsia="DengXian"/>
              </w:rPr>
              <w:t>146</w:t>
            </w:r>
          </w:p>
        </w:tc>
        <w:tc>
          <w:tcPr>
            <w:tcW w:w="3117" w:type="dxa"/>
          </w:tcPr>
          <w:p w14:paraId="0815E249">
            <w:pPr>
              <w:spacing w:after="200" w:line="360" w:lineRule="auto"/>
              <w:jc w:val="center"/>
              <w:rPr>
                <w:rFonts w:eastAsia="DengXian"/>
              </w:rPr>
            </w:pPr>
            <w:r>
              <w:rPr>
                <w:rFonts w:eastAsia="DengXian"/>
              </w:rPr>
              <w:t>100%</w:t>
            </w:r>
          </w:p>
        </w:tc>
      </w:tr>
    </w:tbl>
    <w:p w14:paraId="132C1B03">
      <w:pPr>
        <w:spacing w:after="200" w:line="360" w:lineRule="auto"/>
        <w:jc w:val="both"/>
        <w:rPr>
          <w:rFonts w:eastAsia="DengXian"/>
        </w:rPr>
      </w:pPr>
      <w:r>
        <w:rPr>
          <w:rFonts w:eastAsia="DengXian"/>
        </w:rPr>
        <w:t>Source: Google Forms</w:t>
      </w:r>
    </w:p>
    <w:p w14:paraId="1E14F74B">
      <w:pPr>
        <w:spacing w:after="200" w:line="480" w:lineRule="auto"/>
        <w:jc w:val="both"/>
        <w:rPr>
          <w:rFonts w:eastAsia="DengXian"/>
        </w:rPr>
      </w:pPr>
      <w:r>
        <w:rPr>
          <w:rFonts w:eastAsia="DengXian"/>
        </w:rPr>
        <w:t xml:space="preserve">The table above shows the details of the response, which was above average. Of the 146 total expected responses, 67 persons surveyed did not respond (45.9%), while 79 respondents completed and returned their form for analysis. This reflected a 54.1% percent response rate, relevant enough to make required inferences and draw conclusions on the variables and factors examined. As already stated, many of these respondents provided additional written comments and views in the comments section provided in the questionnaire. </w:t>
      </w:r>
    </w:p>
    <w:p w14:paraId="255FAA60">
      <w:pPr>
        <w:rPr>
          <w:rFonts w:eastAsia="DengXian"/>
          <w:b/>
          <w:bCs/>
        </w:rPr>
      </w:pPr>
    </w:p>
    <w:p w14:paraId="6217EC34">
      <w:pPr>
        <w:rPr>
          <w:rFonts w:eastAsia="DengXian"/>
          <w:b/>
          <w:bCs/>
        </w:rPr>
      </w:pPr>
      <w:r>
        <w:rPr>
          <w:rFonts w:eastAsia="DengXian"/>
          <w:b/>
          <w:bCs/>
        </w:rPr>
        <w:t>6. 2</w:t>
      </w:r>
      <w:r>
        <w:rPr>
          <w:rFonts w:eastAsia="DengXian"/>
          <w:b/>
          <w:bCs/>
        </w:rPr>
        <w:tab/>
      </w:r>
      <w:r>
        <w:rPr>
          <w:rFonts w:eastAsia="DengXian"/>
          <w:b/>
          <w:bCs/>
        </w:rPr>
        <w:t xml:space="preserve"> </w:t>
      </w:r>
      <w:bookmarkStart w:id="19" w:name="_Hlk136721127"/>
      <w:r>
        <w:rPr>
          <w:rFonts w:eastAsia="DengXian"/>
          <w:b/>
          <w:bCs/>
        </w:rPr>
        <w:t xml:space="preserve">PROFILES OF RESPONDENTS </w:t>
      </w:r>
      <w:bookmarkEnd w:id="19"/>
    </w:p>
    <w:p w14:paraId="4ACD8418">
      <w:pPr>
        <w:rPr>
          <w:rFonts w:eastAsia="DengXian"/>
          <w:b/>
          <w:bCs/>
        </w:rPr>
      </w:pPr>
    </w:p>
    <w:p w14:paraId="49517A90">
      <w:pPr>
        <w:spacing w:after="200" w:line="480" w:lineRule="auto"/>
        <w:jc w:val="both"/>
        <w:rPr>
          <w:rFonts w:eastAsia="DengXian"/>
        </w:rPr>
      </w:pPr>
      <w:r>
        <w:rPr>
          <w:rFonts w:eastAsia="DengXian"/>
        </w:rPr>
        <w:t>The table below shows the profile of the respondents surveyed. These include tax practitioners, tax advisers, lawyers, academics, and consultants, finance managers, academics, and the tax administration (FIRS) officials, as well as officers of the Tax Appeal Tribunal (TAT) and the judiciary</w:t>
      </w:r>
      <w:r>
        <w:rPr>
          <w:rFonts w:eastAsia="DengXian"/>
          <w:vertAlign w:val="superscript"/>
        </w:rPr>
        <w:footnoteReference w:id="436"/>
      </w:r>
      <w:r>
        <w:rPr>
          <w:rFonts w:eastAsia="DengXian"/>
        </w:rPr>
        <w:t xml:space="preserve">. The key themes examined are fiscal policy and tax objectives setting and tax legislation making in the Nigeria upstream petroleum industry. Language and tax law interpretation and administration, tax dispute resolution process, and fiscal and tax policy review and reform process were also examined. The impact of drafting competency in achieving clarity, certainty and consistent understanding and implementation of tax policy and tax legislation were also examined. </w:t>
      </w:r>
    </w:p>
    <w:p w14:paraId="55D7CB17">
      <w:pPr>
        <w:spacing w:line="360" w:lineRule="auto"/>
        <w:jc w:val="both"/>
        <w:rPr>
          <w:rFonts w:eastAsia="DengXian"/>
          <w:b/>
          <w:bCs/>
        </w:rPr>
      </w:pPr>
      <w:r>
        <w:rPr>
          <w:rFonts w:eastAsia="DengXian"/>
          <w:b/>
          <w:bCs/>
        </w:rPr>
        <w:t>Table 6.2 Distribution of the Respondents</w:t>
      </w:r>
    </w:p>
    <w:tbl>
      <w:tblPr>
        <w:tblStyle w:val="1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127"/>
        <w:gridCol w:w="2338"/>
        <w:gridCol w:w="2338"/>
      </w:tblGrid>
      <w:tr w14:paraId="0958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4"/>
          </w:tcPr>
          <w:p w14:paraId="529716F5">
            <w:pPr>
              <w:spacing w:after="200" w:line="360" w:lineRule="auto"/>
              <w:jc w:val="center"/>
              <w:rPr>
                <w:rFonts w:eastAsia="DengXian"/>
                <w:b/>
                <w:bCs/>
              </w:rPr>
            </w:pPr>
            <w:r>
              <w:rPr>
                <w:rFonts w:eastAsia="DengXian"/>
                <w:b/>
                <w:bCs/>
              </w:rPr>
              <w:t>Distribution by Occupation</w:t>
            </w:r>
          </w:p>
        </w:tc>
      </w:tr>
      <w:tr w14:paraId="1A5F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72D31F8">
            <w:pPr>
              <w:spacing w:after="200" w:line="360" w:lineRule="auto"/>
              <w:jc w:val="both"/>
              <w:rPr>
                <w:rFonts w:eastAsia="DengXian"/>
                <w:b/>
                <w:bCs/>
              </w:rPr>
            </w:pPr>
            <w:r>
              <w:rPr>
                <w:rFonts w:eastAsia="DengXian"/>
                <w:b/>
                <w:bCs/>
              </w:rPr>
              <w:t>Occupation</w:t>
            </w:r>
          </w:p>
        </w:tc>
        <w:tc>
          <w:tcPr>
            <w:tcW w:w="2127" w:type="dxa"/>
          </w:tcPr>
          <w:p w14:paraId="0BE2B36A">
            <w:pPr>
              <w:spacing w:after="200" w:line="360" w:lineRule="auto"/>
              <w:jc w:val="center"/>
              <w:rPr>
                <w:rFonts w:eastAsia="DengXian"/>
                <w:b/>
                <w:bCs/>
              </w:rPr>
            </w:pPr>
            <w:r>
              <w:rPr>
                <w:rFonts w:eastAsia="DengXian"/>
                <w:b/>
                <w:bCs/>
              </w:rPr>
              <w:t>Frequency</w:t>
            </w:r>
          </w:p>
        </w:tc>
        <w:tc>
          <w:tcPr>
            <w:tcW w:w="2338" w:type="dxa"/>
          </w:tcPr>
          <w:p w14:paraId="1309A574">
            <w:pPr>
              <w:spacing w:after="200" w:line="360" w:lineRule="auto"/>
              <w:jc w:val="center"/>
              <w:rPr>
                <w:rFonts w:eastAsia="DengXian"/>
                <w:b/>
                <w:bCs/>
              </w:rPr>
            </w:pPr>
            <w:r>
              <w:rPr>
                <w:rFonts w:eastAsia="DengXian"/>
                <w:b/>
                <w:bCs/>
              </w:rPr>
              <w:t>% of Total</w:t>
            </w:r>
          </w:p>
        </w:tc>
        <w:tc>
          <w:tcPr>
            <w:tcW w:w="2338" w:type="dxa"/>
          </w:tcPr>
          <w:p w14:paraId="741D129A">
            <w:pPr>
              <w:spacing w:after="200" w:line="360" w:lineRule="auto"/>
              <w:jc w:val="center"/>
              <w:rPr>
                <w:rFonts w:eastAsia="DengXian"/>
                <w:b/>
                <w:bCs/>
              </w:rPr>
            </w:pPr>
            <w:r>
              <w:rPr>
                <w:rFonts w:eastAsia="DengXian"/>
                <w:b/>
                <w:bCs/>
              </w:rPr>
              <w:t>Cumulative Freq.</w:t>
            </w:r>
          </w:p>
        </w:tc>
      </w:tr>
      <w:tr w14:paraId="6A58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0659395">
            <w:pPr>
              <w:spacing w:after="200" w:line="360" w:lineRule="auto"/>
              <w:jc w:val="both"/>
              <w:rPr>
                <w:rFonts w:eastAsia="DengXian"/>
                <w:bCs/>
              </w:rPr>
            </w:pPr>
            <w:r>
              <w:rPr>
                <w:rFonts w:eastAsia="DengXian"/>
                <w:bCs/>
              </w:rPr>
              <w:t>Financial Officer</w:t>
            </w:r>
          </w:p>
        </w:tc>
        <w:tc>
          <w:tcPr>
            <w:tcW w:w="2127" w:type="dxa"/>
          </w:tcPr>
          <w:p w14:paraId="33DBACDF">
            <w:pPr>
              <w:spacing w:after="200" w:line="360" w:lineRule="auto"/>
              <w:jc w:val="center"/>
              <w:rPr>
                <w:rFonts w:eastAsia="DengXian"/>
                <w:bCs/>
              </w:rPr>
            </w:pPr>
            <w:r>
              <w:rPr>
                <w:rFonts w:eastAsia="DengXian"/>
                <w:bCs/>
              </w:rPr>
              <w:t>1</w:t>
            </w:r>
          </w:p>
        </w:tc>
        <w:tc>
          <w:tcPr>
            <w:tcW w:w="2338" w:type="dxa"/>
          </w:tcPr>
          <w:p w14:paraId="0D83B684">
            <w:pPr>
              <w:spacing w:after="200" w:line="360" w:lineRule="auto"/>
              <w:jc w:val="center"/>
              <w:rPr>
                <w:rFonts w:eastAsia="DengXian"/>
                <w:bCs/>
              </w:rPr>
            </w:pPr>
            <w:r>
              <w:rPr>
                <w:rFonts w:eastAsia="DengXian"/>
                <w:bCs/>
              </w:rPr>
              <w:t>1.3%</w:t>
            </w:r>
          </w:p>
        </w:tc>
        <w:tc>
          <w:tcPr>
            <w:tcW w:w="2338" w:type="dxa"/>
          </w:tcPr>
          <w:p w14:paraId="10FD8EB8">
            <w:pPr>
              <w:spacing w:after="200" w:line="360" w:lineRule="auto"/>
              <w:jc w:val="center"/>
              <w:rPr>
                <w:rFonts w:eastAsia="DengXian"/>
                <w:bCs/>
              </w:rPr>
            </w:pPr>
            <w:r>
              <w:rPr>
                <w:rFonts w:eastAsia="DengXian"/>
                <w:bCs/>
              </w:rPr>
              <w:t>1.3%</w:t>
            </w:r>
          </w:p>
        </w:tc>
      </w:tr>
      <w:tr w14:paraId="6D15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CF513E0">
            <w:pPr>
              <w:spacing w:after="200" w:line="360" w:lineRule="auto"/>
              <w:jc w:val="both"/>
              <w:rPr>
                <w:rFonts w:eastAsia="DengXian"/>
                <w:bCs/>
              </w:rPr>
            </w:pPr>
            <w:r>
              <w:rPr>
                <w:rFonts w:eastAsia="DengXian"/>
                <w:bCs/>
              </w:rPr>
              <w:t>Tax Authorities</w:t>
            </w:r>
          </w:p>
        </w:tc>
        <w:tc>
          <w:tcPr>
            <w:tcW w:w="2127" w:type="dxa"/>
          </w:tcPr>
          <w:p w14:paraId="11085DC2">
            <w:pPr>
              <w:spacing w:after="200" w:line="360" w:lineRule="auto"/>
              <w:jc w:val="center"/>
              <w:rPr>
                <w:rFonts w:eastAsia="DengXian"/>
                <w:bCs/>
              </w:rPr>
            </w:pPr>
            <w:r>
              <w:rPr>
                <w:rFonts w:eastAsia="DengXian"/>
                <w:bCs/>
              </w:rPr>
              <w:t>18</w:t>
            </w:r>
          </w:p>
        </w:tc>
        <w:tc>
          <w:tcPr>
            <w:tcW w:w="2338" w:type="dxa"/>
          </w:tcPr>
          <w:p w14:paraId="090185D1">
            <w:pPr>
              <w:spacing w:after="200" w:line="360" w:lineRule="auto"/>
              <w:jc w:val="center"/>
              <w:rPr>
                <w:rFonts w:eastAsia="DengXian"/>
                <w:bCs/>
              </w:rPr>
            </w:pPr>
            <w:r>
              <w:rPr>
                <w:rFonts w:eastAsia="DengXian"/>
                <w:bCs/>
              </w:rPr>
              <w:t>22.8%</w:t>
            </w:r>
          </w:p>
        </w:tc>
        <w:tc>
          <w:tcPr>
            <w:tcW w:w="2338" w:type="dxa"/>
          </w:tcPr>
          <w:p w14:paraId="1A774818">
            <w:pPr>
              <w:spacing w:after="200" w:line="360" w:lineRule="auto"/>
              <w:jc w:val="center"/>
              <w:rPr>
                <w:rFonts w:eastAsia="DengXian"/>
                <w:bCs/>
              </w:rPr>
            </w:pPr>
            <w:r>
              <w:rPr>
                <w:rFonts w:eastAsia="DengXian"/>
                <w:bCs/>
              </w:rPr>
              <w:t>24.1%</w:t>
            </w:r>
          </w:p>
        </w:tc>
      </w:tr>
      <w:tr w14:paraId="4F94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BA16DA0">
            <w:pPr>
              <w:spacing w:after="200" w:line="360" w:lineRule="auto"/>
              <w:jc w:val="both"/>
              <w:rPr>
                <w:rFonts w:eastAsia="DengXian"/>
                <w:bCs/>
              </w:rPr>
            </w:pPr>
            <w:r>
              <w:rPr>
                <w:rFonts w:eastAsia="DengXian"/>
                <w:bCs/>
              </w:rPr>
              <w:t>Professional Advisers</w:t>
            </w:r>
          </w:p>
        </w:tc>
        <w:tc>
          <w:tcPr>
            <w:tcW w:w="2127" w:type="dxa"/>
          </w:tcPr>
          <w:p w14:paraId="2AF78D09">
            <w:pPr>
              <w:spacing w:after="200" w:line="360" w:lineRule="auto"/>
              <w:jc w:val="center"/>
              <w:rPr>
                <w:rFonts w:eastAsia="DengXian"/>
                <w:bCs/>
              </w:rPr>
            </w:pPr>
            <w:r>
              <w:rPr>
                <w:rFonts w:eastAsia="DengXian"/>
                <w:bCs/>
              </w:rPr>
              <w:t>41</w:t>
            </w:r>
          </w:p>
        </w:tc>
        <w:tc>
          <w:tcPr>
            <w:tcW w:w="2338" w:type="dxa"/>
          </w:tcPr>
          <w:p w14:paraId="75EA5A1F">
            <w:pPr>
              <w:spacing w:after="200" w:line="360" w:lineRule="auto"/>
              <w:jc w:val="center"/>
              <w:rPr>
                <w:rFonts w:eastAsia="DengXian"/>
                <w:bCs/>
              </w:rPr>
            </w:pPr>
            <w:r>
              <w:rPr>
                <w:rFonts w:eastAsia="DengXian"/>
                <w:bCs/>
              </w:rPr>
              <w:t>51.9%</w:t>
            </w:r>
          </w:p>
        </w:tc>
        <w:tc>
          <w:tcPr>
            <w:tcW w:w="2338" w:type="dxa"/>
          </w:tcPr>
          <w:p w14:paraId="3A905EE2">
            <w:pPr>
              <w:spacing w:after="200" w:line="360" w:lineRule="auto"/>
              <w:jc w:val="center"/>
              <w:rPr>
                <w:rFonts w:eastAsia="DengXian"/>
                <w:bCs/>
              </w:rPr>
            </w:pPr>
            <w:r>
              <w:rPr>
                <w:rFonts w:eastAsia="DengXian"/>
                <w:bCs/>
              </w:rPr>
              <w:t>75.9%</w:t>
            </w:r>
          </w:p>
        </w:tc>
      </w:tr>
      <w:tr w14:paraId="19A2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BC5C73A">
            <w:pPr>
              <w:spacing w:after="200" w:line="360" w:lineRule="auto"/>
              <w:jc w:val="both"/>
              <w:rPr>
                <w:rFonts w:eastAsia="DengXian"/>
                <w:bCs/>
              </w:rPr>
            </w:pPr>
            <w:r>
              <w:rPr>
                <w:rFonts w:eastAsia="DengXian"/>
                <w:bCs/>
              </w:rPr>
              <w:t>Legal Officers</w:t>
            </w:r>
          </w:p>
        </w:tc>
        <w:tc>
          <w:tcPr>
            <w:tcW w:w="2127" w:type="dxa"/>
          </w:tcPr>
          <w:p w14:paraId="0D78C0C8">
            <w:pPr>
              <w:spacing w:after="200" w:line="360" w:lineRule="auto"/>
              <w:jc w:val="center"/>
              <w:rPr>
                <w:rFonts w:eastAsia="DengXian"/>
                <w:bCs/>
              </w:rPr>
            </w:pPr>
            <w:r>
              <w:rPr>
                <w:rFonts w:eastAsia="DengXian"/>
                <w:bCs/>
              </w:rPr>
              <w:t>10</w:t>
            </w:r>
          </w:p>
        </w:tc>
        <w:tc>
          <w:tcPr>
            <w:tcW w:w="2338" w:type="dxa"/>
          </w:tcPr>
          <w:p w14:paraId="6C8881C9">
            <w:pPr>
              <w:spacing w:after="200" w:line="360" w:lineRule="auto"/>
              <w:jc w:val="center"/>
              <w:rPr>
                <w:rFonts w:eastAsia="DengXian"/>
                <w:bCs/>
              </w:rPr>
            </w:pPr>
            <w:r>
              <w:rPr>
                <w:rFonts w:eastAsia="DengXian"/>
                <w:bCs/>
              </w:rPr>
              <w:t>12.7%</w:t>
            </w:r>
          </w:p>
        </w:tc>
        <w:tc>
          <w:tcPr>
            <w:tcW w:w="2338" w:type="dxa"/>
          </w:tcPr>
          <w:p w14:paraId="4BE7E0A6">
            <w:pPr>
              <w:spacing w:after="200" w:line="360" w:lineRule="auto"/>
              <w:jc w:val="center"/>
              <w:rPr>
                <w:rFonts w:eastAsia="DengXian"/>
                <w:bCs/>
              </w:rPr>
            </w:pPr>
            <w:r>
              <w:rPr>
                <w:rFonts w:eastAsia="DengXian"/>
                <w:bCs/>
              </w:rPr>
              <w:t>88.6%</w:t>
            </w:r>
          </w:p>
        </w:tc>
      </w:tr>
      <w:tr w14:paraId="50DE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A8152BB">
            <w:pPr>
              <w:spacing w:after="200" w:line="360" w:lineRule="auto"/>
              <w:jc w:val="both"/>
              <w:rPr>
                <w:rFonts w:eastAsia="DengXian"/>
                <w:bCs/>
              </w:rPr>
            </w:pPr>
            <w:r>
              <w:rPr>
                <w:rFonts w:eastAsia="DengXian"/>
                <w:bCs/>
              </w:rPr>
              <w:t>Others</w:t>
            </w:r>
          </w:p>
        </w:tc>
        <w:tc>
          <w:tcPr>
            <w:tcW w:w="2127" w:type="dxa"/>
          </w:tcPr>
          <w:p w14:paraId="4E4FCFFC">
            <w:pPr>
              <w:spacing w:after="200" w:line="360" w:lineRule="auto"/>
              <w:jc w:val="center"/>
              <w:rPr>
                <w:rFonts w:eastAsia="DengXian"/>
                <w:bCs/>
              </w:rPr>
            </w:pPr>
            <w:r>
              <w:rPr>
                <w:rFonts w:eastAsia="DengXian"/>
                <w:bCs/>
              </w:rPr>
              <w:t>9</w:t>
            </w:r>
          </w:p>
        </w:tc>
        <w:tc>
          <w:tcPr>
            <w:tcW w:w="2338" w:type="dxa"/>
          </w:tcPr>
          <w:p w14:paraId="66EAE0B8">
            <w:pPr>
              <w:spacing w:after="200" w:line="360" w:lineRule="auto"/>
              <w:jc w:val="center"/>
              <w:rPr>
                <w:rFonts w:eastAsia="DengXian"/>
                <w:bCs/>
              </w:rPr>
            </w:pPr>
            <w:r>
              <w:rPr>
                <w:rFonts w:eastAsia="DengXian"/>
                <w:bCs/>
              </w:rPr>
              <w:t>11.4%</w:t>
            </w:r>
          </w:p>
        </w:tc>
        <w:tc>
          <w:tcPr>
            <w:tcW w:w="2338" w:type="dxa"/>
          </w:tcPr>
          <w:p w14:paraId="5BBBDB71">
            <w:pPr>
              <w:spacing w:after="200" w:line="360" w:lineRule="auto"/>
              <w:jc w:val="center"/>
              <w:rPr>
                <w:rFonts w:eastAsia="DengXian"/>
                <w:bCs/>
              </w:rPr>
            </w:pPr>
            <w:r>
              <w:rPr>
                <w:rFonts w:eastAsia="DengXian"/>
                <w:bCs/>
              </w:rPr>
              <w:t>100%</w:t>
            </w:r>
          </w:p>
        </w:tc>
      </w:tr>
      <w:tr w14:paraId="3B82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0025F1BE">
            <w:pPr>
              <w:spacing w:after="200" w:line="360" w:lineRule="auto"/>
              <w:jc w:val="both"/>
              <w:rPr>
                <w:rFonts w:eastAsia="DengXian"/>
                <w:bCs/>
              </w:rPr>
            </w:pPr>
            <w:r>
              <w:rPr>
                <w:rFonts w:eastAsia="DengXian"/>
                <w:bCs/>
              </w:rPr>
              <w:t>Total</w:t>
            </w:r>
          </w:p>
        </w:tc>
        <w:tc>
          <w:tcPr>
            <w:tcW w:w="2127" w:type="dxa"/>
          </w:tcPr>
          <w:p w14:paraId="4AB7AAF6">
            <w:pPr>
              <w:spacing w:after="200" w:line="360" w:lineRule="auto"/>
              <w:jc w:val="center"/>
              <w:rPr>
                <w:rFonts w:eastAsia="DengXian"/>
                <w:bCs/>
              </w:rPr>
            </w:pPr>
            <w:r>
              <w:rPr>
                <w:rFonts w:eastAsia="DengXian"/>
                <w:bCs/>
              </w:rPr>
              <w:t>79</w:t>
            </w:r>
          </w:p>
        </w:tc>
        <w:tc>
          <w:tcPr>
            <w:tcW w:w="2338" w:type="dxa"/>
          </w:tcPr>
          <w:p w14:paraId="03268E44">
            <w:pPr>
              <w:spacing w:after="200" w:line="360" w:lineRule="auto"/>
              <w:jc w:val="center"/>
              <w:rPr>
                <w:rFonts w:eastAsia="DengXian"/>
                <w:bCs/>
              </w:rPr>
            </w:pPr>
            <w:r>
              <w:rPr>
                <w:rFonts w:eastAsia="DengXian"/>
                <w:bCs/>
              </w:rPr>
              <w:t>100%</w:t>
            </w:r>
          </w:p>
        </w:tc>
        <w:tc>
          <w:tcPr>
            <w:tcW w:w="2338" w:type="dxa"/>
          </w:tcPr>
          <w:p w14:paraId="792C81F8">
            <w:pPr>
              <w:spacing w:after="200" w:line="360" w:lineRule="auto"/>
              <w:jc w:val="center"/>
              <w:rPr>
                <w:rFonts w:eastAsia="DengXian"/>
                <w:b/>
                <w:bCs/>
              </w:rPr>
            </w:pPr>
          </w:p>
        </w:tc>
      </w:tr>
    </w:tbl>
    <w:p w14:paraId="2AE18CB3">
      <w:pPr>
        <w:spacing w:after="200" w:line="360" w:lineRule="auto"/>
        <w:jc w:val="both"/>
        <w:rPr>
          <w:rFonts w:eastAsia="DengXian"/>
          <w:b/>
          <w:bCs/>
        </w:rPr>
      </w:pPr>
      <w:r>
        <w:rPr>
          <w:rFonts w:eastAsia="DengXian"/>
          <w:b/>
          <w:bCs/>
        </w:rPr>
        <w:t xml:space="preserve">Table 6.2 highlights the distribution of the respondents. </w:t>
      </w:r>
    </w:p>
    <w:p w14:paraId="29DF7BC1">
      <w:pPr>
        <w:spacing w:after="200" w:line="480" w:lineRule="auto"/>
        <w:jc w:val="both"/>
        <w:rPr>
          <w:rFonts w:eastAsia="DengXian"/>
        </w:rPr>
      </w:pPr>
      <w:r>
        <w:rPr>
          <w:rFonts w:eastAsia="DengXian"/>
        </w:rPr>
        <w:t>From table 6.2 above, a total of 79 respondents who are either connected to, engaged in, or have provided tax advisory, administrative, judicial, or training services to the Nigeria upstream petroleum sector were sampled in this study. The breakdown of the profile of respondents shows that there was 1 (1.3%) Financial Officer, 18 (22.8%) Tax Authorities, 41 (51.9%) Professional Advisers, 10 (12.7%) Legal Officers, and 9 (11.4%) connected persons, who filled the forms. The responses to the questions are analyzed in section 6.3 below</w:t>
      </w:r>
      <w:r>
        <w:rPr>
          <w:rFonts w:eastAsia="DengXian"/>
          <w:vertAlign w:val="superscript"/>
        </w:rPr>
        <w:footnoteReference w:id="437"/>
      </w:r>
      <w:r>
        <w:rPr>
          <w:rFonts w:eastAsia="DengXian"/>
        </w:rPr>
        <w:t>.</w:t>
      </w:r>
    </w:p>
    <w:p w14:paraId="7D9B74F3">
      <w:pPr>
        <w:spacing w:after="200" w:line="360" w:lineRule="auto"/>
        <w:jc w:val="both"/>
        <w:rPr>
          <w:rFonts w:eastAsia="DengXian"/>
          <w:b/>
          <w:bCs/>
        </w:rPr>
      </w:pPr>
      <w:r>
        <w:rPr>
          <w:rFonts w:eastAsia="DengXian"/>
          <w:b/>
          <w:bCs/>
        </w:rPr>
        <w:t>6.3</w:t>
      </w:r>
      <w:r>
        <w:rPr>
          <w:rFonts w:eastAsia="DengXian"/>
          <w:b/>
          <w:bCs/>
        </w:rPr>
        <w:tab/>
      </w:r>
      <w:r>
        <w:rPr>
          <w:rFonts w:eastAsia="DengXian"/>
          <w:b/>
          <w:bCs/>
        </w:rPr>
        <w:t xml:space="preserve"> PRESENTATION AND ANALYSIS OF SURVEY RESPONSES </w:t>
      </w:r>
    </w:p>
    <w:p w14:paraId="4FE28650">
      <w:pPr>
        <w:spacing w:after="200" w:line="480" w:lineRule="auto"/>
        <w:jc w:val="both"/>
        <w:rPr>
          <w:rFonts w:eastAsia="DengXian"/>
        </w:rPr>
      </w:pPr>
      <w:r>
        <w:rPr>
          <w:rFonts w:eastAsia="DengXian"/>
        </w:rPr>
        <w:t xml:space="preserve">On a scale of 5 to 1, respondents were asked to use 5 when the factor is extremely important or significant, and lower numbers when the factor is progressively less important or significant in ascertaining how tax and fiscal policy, tax legislation language, tax administration and the regular stakeholder engagement and other related factors affect the design, understanding and application of fiscal policy and taxation. In summary, respondents specified whether they strongly agreed (SA) (5), agreed(A) (4), undecided (U) (3), disagreed (D) (2), or strongly disagreed (SD) (1) with the importance or significance of the variables surveyed. The respondents were encouraged to provide their additional comments and perspectives on the variables in the comments section of the questionnaire. Below is the link to the Google form for the responses: </w:t>
      </w:r>
    </w:p>
    <w:p w14:paraId="4047849A">
      <w:pPr>
        <w:spacing w:after="200" w:line="480" w:lineRule="auto"/>
        <w:jc w:val="both"/>
        <w:rPr>
          <w:rFonts w:eastAsia="DengXian"/>
          <w:lang w:val="en-ZA"/>
        </w:rPr>
      </w:pPr>
      <w:r>
        <w:fldChar w:fldCharType="begin"/>
      </w:r>
      <w:r>
        <w:instrText xml:space="preserve"> HYPERLINK "https://docs.google.com/forms/d/e/1FAIpQLSc1sNcvflT2jA9ZidhYs7fC1_Jayta2dEUAwvAzZ2ziiQaDw/viewform?usp=sf_link-" </w:instrText>
      </w:r>
      <w:r>
        <w:fldChar w:fldCharType="separate"/>
      </w:r>
      <w:r>
        <w:rPr>
          <w:rStyle w:val="27"/>
          <w:rFonts w:eastAsia="DengXian"/>
          <w:lang w:val="en-ZA"/>
        </w:rPr>
        <w:t>https://docs.google.com/forms/d/e/1FAIpQLSc1sNcvflT2jA9ZidhYs7fC1_Jayta2dEUAwvAzZ2ziiQaDw/viewform?usp=sf_link-</w:t>
      </w:r>
      <w:r>
        <w:rPr>
          <w:rStyle w:val="27"/>
          <w:rFonts w:eastAsia="DengXian"/>
          <w:lang w:val="en-ZA"/>
        </w:rPr>
        <w:fldChar w:fldCharType="end"/>
      </w:r>
      <w:r>
        <w:rPr>
          <w:rFonts w:eastAsia="DengXian"/>
          <w:lang w:val="en-ZA"/>
        </w:rPr>
        <w:t xml:space="preserve">. </w:t>
      </w:r>
    </w:p>
    <w:p w14:paraId="12B6E41C">
      <w:pPr>
        <w:spacing w:after="200" w:line="360" w:lineRule="auto"/>
        <w:jc w:val="both"/>
        <w:rPr>
          <w:rFonts w:eastAsia="DengXian"/>
        </w:rPr>
      </w:pPr>
      <w:r>
        <w:rPr>
          <w:rFonts w:eastAsia="DengXian"/>
        </w:rPr>
        <w:t xml:space="preserve">The tables below illustrate the frequency and percentage of responses and the explanations for each of the factors examined. </w:t>
      </w:r>
    </w:p>
    <w:p w14:paraId="0D59C9B0">
      <w:pPr>
        <w:spacing w:line="360" w:lineRule="auto"/>
        <w:jc w:val="both"/>
        <w:rPr>
          <w:rFonts w:eastAsia="DengXian"/>
          <w:b/>
          <w:bCs/>
        </w:rPr>
      </w:pPr>
    </w:p>
    <w:p w14:paraId="489B0B4D">
      <w:pPr>
        <w:spacing w:line="360" w:lineRule="auto"/>
        <w:jc w:val="both"/>
        <w:rPr>
          <w:rFonts w:eastAsia="DengXian"/>
          <w:b/>
          <w:bCs/>
        </w:rPr>
      </w:pPr>
      <w:r>
        <w:rPr>
          <w:rFonts w:eastAsia="DengXian"/>
          <w:b/>
          <w:bCs/>
        </w:rPr>
        <w:t>6.3.1.</w:t>
      </w:r>
      <w:r>
        <w:rPr>
          <w:rFonts w:eastAsia="DengXian"/>
          <w:b/>
          <w:bCs/>
        </w:rPr>
        <w:tab/>
      </w:r>
      <w:r>
        <w:rPr>
          <w:rFonts w:eastAsia="DengXian"/>
          <w:b/>
          <w:bCs/>
        </w:rPr>
        <w:t xml:space="preserve">Policy Design, Transparent Engagement and Constitutional Framework: </w:t>
      </w:r>
    </w:p>
    <w:p w14:paraId="7F0D62CF">
      <w:pPr>
        <w:spacing w:line="360" w:lineRule="auto"/>
        <w:jc w:val="both"/>
        <w:rPr>
          <w:rFonts w:eastAsia="DengXian"/>
          <w:b/>
          <w:bCs/>
        </w:rPr>
      </w:pPr>
    </w:p>
    <w:p w14:paraId="3F94973C">
      <w:pPr>
        <w:spacing w:line="360" w:lineRule="auto"/>
        <w:jc w:val="both"/>
        <w:rPr>
          <w:rFonts w:eastAsia="DengXian"/>
          <w:b/>
          <w:bCs/>
        </w:rPr>
      </w:pPr>
      <w:r>
        <w:rPr>
          <w:rFonts w:eastAsia="DengXian"/>
          <w:b/>
          <w:bCs/>
        </w:rPr>
        <w:t>Table</w:t>
      </w:r>
      <w:r>
        <w:rPr>
          <w:rFonts w:eastAsia="DengXian"/>
        </w:rPr>
        <w:t xml:space="preserve"> </w:t>
      </w:r>
      <w:r>
        <w:rPr>
          <w:rFonts w:eastAsia="DengXian"/>
          <w:b/>
          <w:bCs/>
        </w:rPr>
        <w:t>6.3.1 Frequency Distribution for Upstream Petroleum Taxing Regime</w:t>
      </w:r>
    </w:p>
    <w:tbl>
      <w:tblPr>
        <w:tblStyle w:val="13"/>
        <w:tblW w:w="9918" w:type="dxa"/>
        <w:jc w:val="center"/>
        <w:tblLayout w:type="fixed"/>
        <w:tblCellMar>
          <w:top w:w="0" w:type="dxa"/>
          <w:left w:w="108" w:type="dxa"/>
          <w:bottom w:w="0" w:type="dxa"/>
          <w:right w:w="108" w:type="dxa"/>
        </w:tblCellMar>
      </w:tblPr>
      <w:tblGrid>
        <w:gridCol w:w="638"/>
        <w:gridCol w:w="4319"/>
        <w:gridCol w:w="708"/>
        <w:gridCol w:w="851"/>
        <w:gridCol w:w="850"/>
        <w:gridCol w:w="851"/>
        <w:gridCol w:w="850"/>
        <w:gridCol w:w="851"/>
      </w:tblGrid>
      <w:tr w14:paraId="17BF3D2B">
        <w:tblPrEx>
          <w:tblCellMar>
            <w:top w:w="0" w:type="dxa"/>
            <w:left w:w="108" w:type="dxa"/>
            <w:bottom w:w="0" w:type="dxa"/>
            <w:right w:w="108" w:type="dxa"/>
          </w:tblCellMar>
        </w:tblPrEx>
        <w:trPr>
          <w:trHeight w:val="143" w:hRule="atLeast"/>
          <w:jc w:val="center"/>
        </w:trPr>
        <w:tc>
          <w:tcPr>
            <w:tcW w:w="638" w:type="dxa"/>
            <w:vMerge w:val="restart"/>
            <w:tcBorders>
              <w:top w:val="single" w:color="auto" w:sz="4" w:space="0"/>
              <w:left w:val="single" w:color="auto" w:sz="4" w:space="0"/>
              <w:bottom w:val="single" w:color="auto" w:sz="4" w:space="0"/>
              <w:right w:val="single" w:color="auto" w:sz="4" w:space="0"/>
            </w:tcBorders>
          </w:tcPr>
          <w:p w14:paraId="427AB256">
            <w:pPr>
              <w:spacing w:line="360" w:lineRule="auto"/>
              <w:jc w:val="both"/>
              <w:rPr>
                <w:rFonts w:eastAsia="DengXian"/>
                <w:b/>
                <w:bCs/>
              </w:rPr>
            </w:pPr>
            <w:r>
              <w:rPr>
                <w:rFonts w:eastAsia="DengXian"/>
                <w:b/>
                <w:bCs/>
              </w:rPr>
              <w:t xml:space="preserve">S/N </w:t>
            </w:r>
          </w:p>
        </w:tc>
        <w:tc>
          <w:tcPr>
            <w:tcW w:w="4319" w:type="dxa"/>
            <w:vMerge w:val="restart"/>
            <w:tcBorders>
              <w:top w:val="single" w:color="auto" w:sz="4" w:space="0"/>
              <w:left w:val="single" w:color="auto" w:sz="4" w:space="0"/>
              <w:bottom w:val="single" w:color="auto" w:sz="4" w:space="0"/>
              <w:right w:val="single" w:color="auto" w:sz="4" w:space="0"/>
            </w:tcBorders>
          </w:tcPr>
          <w:p w14:paraId="78186967">
            <w:pPr>
              <w:spacing w:line="360" w:lineRule="auto"/>
              <w:jc w:val="center"/>
              <w:rPr>
                <w:rFonts w:eastAsia="DengXian"/>
                <w:b/>
                <w:bCs/>
              </w:rPr>
            </w:pPr>
            <w:r>
              <w:rPr>
                <w:rFonts w:eastAsia="DengXian"/>
                <w:b/>
                <w:bCs/>
              </w:rPr>
              <w:t>QUESTIONS</w:t>
            </w:r>
          </w:p>
        </w:tc>
        <w:tc>
          <w:tcPr>
            <w:tcW w:w="4110" w:type="dxa"/>
            <w:gridSpan w:val="5"/>
            <w:tcBorders>
              <w:top w:val="single" w:color="auto" w:sz="4" w:space="0"/>
              <w:left w:val="single" w:color="auto" w:sz="4" w:space="0"/>
              <w:bottom w:val="single" w:color="auto" w:sz="4" w:space="0"/>
              <w:right w:val="single" w:color="auto" w:sz="4" w:space="0"/>
            </w:tcBorders>
          </w:tcPr>
          <w:p w14:paraId="5B907E4A">
            <w:pPr>
              <w:spacing w:line="360" w:lineRule="auto"/>
              <w:jc w:val="center"/>
              <w:rPr>
                <w:rFonts w:eastAsia="DengXian"/>
                <w:b/>
                <w:bCs/>
              </w:rPr>
            </w:pPr>
            <w:r>
              <w:rPr>
                <w:rFonts w:eastAsia="DengXian"/>
                <w:b/>
                <w:bCs/>
              </w:rPr>
              <w:t>FREQUENCY AND PERCENTAGE</w:t>
            </w:r>
          </w:p>
        </w:tc>
        <w:tc>
          <w:tcPr>
            <w:tcW w:w="851" w:type="dxa"/>
            <w:vMerge w:val="restart"/>
            <w:tcBorders>
              <w:top w:val="single" w:color="auto" w:sz="4" w:space="0"/>
              <w:left w:val="single" w:color="auto" w:sz="4" w:space="0"/>
              <w:bottom w:val="single" w:color="auto" w:sz="4" w:space="0"/>
              <w:right w:val="single" w:color="auto" w:sz="4" w:space="0"/>
            </w:tcBorders>
          </w:tcPr>
          <w:p w14:paraId="5149D00C">
            <w:pPr>
              <w:spacing w:line="360" w:lineRule="auto"/>
              <w:jc w:val="center"/>
              <w:rPr>
                <w:rFonts w:eastAsia="DengXian"/>
                <w:b/>
                <w:bCs/>
              </w:rPr>
            </w:pPr>
            <w:r>
              <w:rPr>
                <w:rFonts w:eastAsia="DengXian"/>
                <w:b/>
                <w:bCs/>
              </w:rPr>
              <w:t>TOTAL</w:t>
            </w:r>
          </w:p>
        </w:tc>
      </w:tr>
      <w:tr w14:paraId="3BE9877B">
        <w:tblPrEx>
          <w:tblCellMar>
            <w:top w:w="0" w:type="dxa"/>
            <w:left w:w="108" w:type="dxa"/>
            <w:bottom w:w="0" w:type="dxa"/>
            <w:right w:w="108" w:type="dxa"/>
          </w:tblCellMar>
        </w:tblPrEx>
        <w:trPr>
          <w:trHeight w:val="358"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1E9A682D">
            <w:pPr>
              <w:spacing w:line="360" w:lineRule="auto"/>
              <w:rPr>
                <w:rFonts w:eastAsia="DengXian"/>
                <w:b/>
                <w:bCs/>
              </w:rPr>
            </w:pPr>
          </w:p>
        </w:tc>
        <w:tc>
          <w:tcPr>
            <w:tcW w:w="4319" w:type="dxa"/>
            <w:vMerge w:val="continue"/>
            <w:tcBorders>
              <w:top w:val="single" w:color="auto" w:sz="4" w:space="0"/>
              <w:left w:val="single" w:color="auto" w:sz="4" w:space="0"/>
              <w:bottom w:val="single" w:color="auto" w:sz="4" w:space="0"/>
              <w:right w:val="single" w:color="auto" w:sz="4" w:space="0"/>
            </w:tcBorders>
            <w:vAlign w:val="center"/>
          </w:tcPr>
          <w:p w14:paraId="249B39C0">
            <w:pPr>
              <w:spacing w:line="360" w:lineRule="auto"/>
              <w:rPr>
                <w:rFonts w:eastAsia="DengXian"/>
                <w:b/>
                <w:bCs/>
              </w:rPr>
            </w:pPr>
          </w:p>
        </w:tc>
        <w:tc>
          <w:tcPr>
            <w:tcW w:w="708" w:type="dxa"/>
            <w:tcBorders>
              <w:top w:val="single" w:color="auto" w:sz="4" w:space="0"/>
              <w:left w:val="single" w:color="auto" w:sz="4" w:space="0"/>
              <w:bottom w:val="single" w:color="auto" w:sz="4" w:space="0"/>
              <w:right w:val="single" w:color="auto" w:sz="4" w:space="0"/>
            </w:tcBorders>
          </w:tcPr>
          <w:p w14:paraId="72034573">
            <w:pPr>
              <w:spacing w:line="360" w:lineRule="auto"/>
              <w:jc w:val="center"/>
              <w:rPr>
                <w:rFonts w:eastAsia="DengXian"/>
                <w:b/>
                <w:bCs/>
              </w:rPr>
            </w:pPr>
            <w:r>
              <w:rPr>
                <w:rFonts w:eastAsia="DengXian"/>
                <w:b/>
                <w:bCs/>
              </w:rPr>
              <w:t>SD</w:t>
            </w:r>
          </w:p>
          <w:p w14:paraId="028C50A8">
            <w:pPr>
              <w:spacing w:line="360" w:lineRule="auto"/>
              <w:jc w:val="center"/>
              <w:rPr>
                <w:rFonts w:eastAsia="DengXian"/>
                <w:b/>
                <w:bCs/>
              </w:rPr>
            </w:pPr>
            <w:r>
              <w:rPr>
                <w:rFonts w:eastAsia="DengXian"/>
                <w:b/>
                <w:bCs/>
              </w:rPr>
              <w:t>1</w:t>
            </w:r>
          </w:p>
        </w:tc>
        <w:tc>
          <w:tcPr>
            <w:tcW w:w="851" w:type="dxa"/>
            <w:tcBorders>
              <w:top w:val="single" w:color="auto" w:sz="4" w:space="0"/>
              <w:left w:val="single" w:color="auto" w:sz="4" w:space="0"/>
              <w:bottom w:val="single" w:color="auto" w:sz="4" w:space="0"/>
              <w:right w:val="single" w:color="auto" w:sz="4" w:space="0"/>
            </w:tcBorders>
          </w:tcPr>
          <w:p w14:paraId="5BFEE484">
            <w:pPr>
              <w:spacing w:line="360" w:lineRule="auto"/>
              <w:jc w:val="center"/>
              <w:rPr>
                <w:rFonts w:eastAsia="DengXian"/>
                <w:b/>
                <w:bCs/>
              </w:rPr>
            </w:pPr>
            <w:r>
              <w:rPr>
                <w:rFonts w:eastAsia="DengXian"/>
                <w:b/>
                <w:bCs/>
              </w:rPr>
              <w:t>D</w:t>
            </w:r>
          </w:p>
          <w:p w14:paraId="5C919197">
            <w:pPr>
              <w:spacing w:line="360" w:lineRule="auto"/>
              <w:jc w:val="center"/>
              <w:rPr>
                <w:rFonts w:eastAsia="DengXian"/>
                <w:b/>
                <w:bCs/>
              </w:rPr>
            </w:pPr>
            <w:r>
              <w:rPr>
                <w:rFonts w:eastAsia="DengXian"/>
                <w:b/>
                <w:bCs/>
              </w:rPr>
              <w:t>2</w:t>
            </w:r>
          </w:p>
        </w:tc>
        <w:tc>
          <w:tcPr>
            <w:tcW w:w="850" w:type="dxa"/>
            <w:tcBorders>
              <w:top w:val="single" w:color="auto" w:sz="4" w:space="0"/>
              <w:left w:val="single" w:color="auto" w:sz="4" w:space="0"/>
              <w:bottom w:val="single" w:color="auto" w:sz="4" w:space="0"/>
              <w:right w:val="single" w:color="auto" w:sz="4" w:space="0"/>
            </w:tcBorders>
          </w:tcPr>
          <w:p w14:paraId="578B4571">
            <w:pPr>
              <w:spacing w:line="360" w:lineRule="auto"/>
              <w:jc w:val="center"/>
              <w:rPr>
                <w:rFonts w:eastAsia="DengXian"/>
                <w:b/>
                <w:bCs/>
              </w:rPr>
            </w:pPr>
            <w:r>
              <w:rPr>
                <w:rFonts w:eastAsia="DengXian"/>
                <w:b/>
                <w:bCs/>
              </w:rPr>
              <w:t>U</w:t>
            </w:r>
          </w:p>
          <w:p w14:paraId="14F3D5FF">
            <w:pPr>
              <w:spacing w:line="360" w:lineRule="auto"/>
              <w:jc w:val="center"/>
              <w:rPr>
                <w:rFonts w:eastAsia="DengXian"/>
                <w:b/>
                <w:bCs/>
              </w:rPr>
            </w:pPr>
            <w:r>
              <w:rPr>
                <w:rFonts w:eastAsia="DengXian"/>
                <w:b/>
                <w:bCs/>
              </w:rPr>
              <w:t>3</w:t>
            </w:r>
          </w:p>
        </w:tc>
        <w:tc>
          <w:tcPr>
            <w:tcW w:w="851" w:type="dxa"/>
            <w:tcBorders>
              <w:top w:val="single" w:color="auto" w:sz="4" w:space="0"/>
              <w:left w:val="single" w:color="auto" w:sz="4" w:space="0"/>
              <w:bottom w:val="single" w:color="auto" w:sz="4" w:space="0"/>
              <w:right w:val="single" w:color="auto" w:sz="4" w:space="0"/>
            </w:tcBorders>
          </w:tcPr>
          <w:p w14:paraId="69655839">
            <w:pPr>
              <w:spacing w:line="360" w:lineRule="auto"/>
              <w:jc w:val="center"/>
              <w:rPr>
                <w:rFonts w:eastAsia="DengXian"/>
                <w:b/>
                <w:bCs/>
              </w:rPr>
            </w:pPr>
            <w:r>
              <w:rPr>
                <w:rFonts w:eastAsia="DengXian"/>
                <w:b/>
                <w:bCs/>
              </w:rPr>
              <w:t>A</w:t>
            </w:r>
          </w:p>
          <w:p w14:paraId="6FF67293">
            <w:pPr>
              <w:spacing w:line="360" w:lineRule="auto"/>
              <w:jc w:val="center"/>
              <w:rPr>
                <w:rFonts w:eastAsia="DengXian"/>
                <w:b/>
                <w:bCs/>
              </w:rPr>
            </w:pPr>
            <w:r>
              <w:rPr>
                <w:rFonts w:eastAsia="DengXian"/>
                <w:b/>
                <w:bCs/>
              </w:rPr>
              <w:t>4</w:t>
            </w:r>
          </w:p>
        </w:tc>
        <w:tc>
          <w:tcPr>
            <w:tcW w:w="850" w:type="dxa"/>
            <w:tcBorders>
              <w:top w:val="single" w:color="auto" w:sz="4" w:space="0"/>
              <w:left w:val="single" w:color="auto" w:sz="4" w:space="0"/>
              <w:bottom w:val="single" w:color="auto" w:sz="4" w:space="0"/>
              <w:right w:val="single" w:color="auto" w:sz="4" w:space="0"/>
            </w:tcBorders>
          </w:tcPr>
          <w:p w14:paraId="5C965282">
            <w:pPr>
              <w:spacing w:line="360" w:lineRule="auto"/>
              <w:jc w:val="center"/>
              <w:rPr>
                <w:rFonts w:eastAsia="DengXian"/>
                <w:b/>
                <w:bCs/>
              </w:rPr>
            </w:pPr>
            <w:r>
              <w:rPr>
                <w:rFonts w:eastAsia="DengXian"/>
                <w:b/>
                <w:bCs/>
              </w:rPr>
              <w:t>SA</w:t>
            </w:r>
          </w:p>
          <w:p w14:paraId="0DE82EA7">
            <w:pPr>
              <w:spacing w:line="360" w:lineRule="auto"/>
              <w:jc w:val="center"/>
              <w:rPr>
                <w:rFonts w:eastAsia="DengXian"/>
                <w:b/>
                <w:bCs/>
              </w:rPr>
            </w:pPr>
            <w:r>
              <w:rPr>
                <w:rFonts w:eastAsia="DengXian"/>
                <w:b/>
                <w:bCs/>
              </w:rPr>
              <w:t>5</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F5285F3">
            <w:pPr>
              <w:spacing w:line="360" w:lineRule="auto"/>
              <w:rPr>
                <w:rFonts w:eastAsia="DengXian"/>
                <w:b/>
                <w:bCs/>
              </w:rPr>
            </w:pPr>
          </w:p>
        </w:tc>
      </w:tr>
      <w:tr w14:paraId="74C25335">
        <w:tblPrEx>
          <w:tblCellMar>
            <w:top w:w="0" w:type="dxa"/>
            <w:left w:w="108" w:type="dxa"/>
            <w:bottom w:w="0" w:type="dxa"/>
            <w:right w:w="108" w:type="dxa"/>
          </w:tblCellMar>
        </w:tblPrEx>
        <w:trPr>
          <w:trHeight w:val="358" w:hRule="atLeast"/>
          <w:jc w:val="center"/>
        </w:trPr>
        <w:tc>
          <w:tcPr>
            <w:tcW w:w="638" w:type="dxa"/>
            <w:tcBorders>
              <w:top w:val="single" w:color="auto" w:sz="4" w:space="0"/>
              <w:left w:val="single" w:color="auto" w:sz="4" w:space="0"/>
              <w:bottom w:val="single" w:color="auto" w:sz="4" w:space="0"/>
              <w:right w:val="single" w:color="auto" w:sz="4" w:space="0"/>
            </w:tcBorders>
          </w:tcPr>
          <w:p w14:paraId="08FF491C">
            <w:pPr>
              <w:spacing w:line="360" w:lineRule="auto"/>
              <w:jc w:val="both"/>
              <w:rPr>
                <w:rFonts w:eastAsia="DengXian"/>
              </w:rPr>
            </w:pPr>
            <w:r>
              <w:rPr>
                <w:rFonts w:eastAsia="DengXian"/>
              </w:rPr>
              <w:t>1</w:t>
            </w:r>
          </w:p>
        </w:tc>
        <w:tc>
          <w:tcPr>
            <w:tcW w:w="4319" w:type="dxa"/>
            <w:tcBorders>
              <w:top w:val="single" w:color="auto" w:sz="4" w:space="0"/>
              <w:left w:val="single" w:color="auto" w:sz="4" w:space="0"/>
              <w:bottom w:val="single" w:color="auto" w:sz="4" w:space="0"/>
              <w:right w:val="single" w:color="auto" w:sz="4" w:space="0"/>
            </w:tcBorders>
          </w:tcPr>
          <w:p w14:paraId="44A47F54">
            <w:pPr>
              <w:autoSpaceDE w:val="0"/>
              <w:autoSpaceDN w:val="0"/>
              <w:adjustRightInd w:val="0"/>
              <w:spacing w:line="360" w:lineRule="auto"/>
              <w:jc w:val="both"/>
              <w:rPr>
                <w:rFonts w:eastAsia="TimesNewRomanPSMT"/>
              </w:rPr>
            </w:pPr>
            <w:r>
              <w:rPr>
                <w:rFonts w:eastAsia="DengXian"/>
              </w:rPr>
              <w:t xml:space="preserve">It is important to have regular and transparent engagement between the relevant agencies of government and taxpayers in the annual budgeting and fiscal objectives setting. </w:t>
            </w:r>
          </w:p>
        </w:tc>
        <w:tc>
          <w:tcPr>
            <w:tcW w:w="708" w:type="dxa"/>
            <w:tcBorders>
              <w:top w:val="single" w:color="auto" w:sz="4" w:space="0"/>
              <w:left w:val="single" w:color="auto" w:sz="4" w:space="0"/>
              <w:bottom w:val="single" w:color="auto" w:sz="4" w:space="0"/>
              <w:right w:val="single" w:color="auto" w:sz="4" w:space="0"/>
            </w:tcBorders>
          </w:tcPr>
          <w:p w14:paraId="75B59048">
            <w:pPr>
              <w:spacing w:line="360" w:lineRule="auto"/>
              <w:jc w:val="center"/>
              <w:rPr>
                <w:rFonts w:eastAsia="DengXian"/>
              </w:rPr>
            </w:pPr>
            <w:r>
              <w:rPr>
                <w:rFonts w:eastAsia="DengXian"/>
              </w:rPr>
              <w:t>0</w:t>
            </w:r>
          </w:p>
          <w:p w14:paraId="516D0108">
            <w:pPr>
              <w:spacing w:line="360" w:lineRule="auto"/>
              <w:jc w:val="center"/>
              <w:rPr>
                <w:rFonts w:eastAsia="DengXian"/>
              </w:rPr>
            </w:pPr>
            <w:r>
              <w:rPr>
                <w:rFonts w:eastAsia="DengXian"/>
              </w:rPr>
              <w:t>0%</w:t>
            </w:r>
          </w:p>
        </w:tc>
        <w:tc>
          <w:tcPr>
            <w:tcW w:w="851" w:type="dxa"/>
            <w:tcBorders>
              <w:top w:val="single" w:color="auto" w:sz="4" w:space="0"/>
              <w:left w:val="single" w:color="auto" w:sz="4" w:space="0"/>
              <w:bottom w:val="single" w:color="auto" w:sz="4" w:space="0"/>
              <w:right w:val="single" w:color="auto" w:sz="4" w:space="0"/>
            </w:tcBorders>
          </w:tcPr>
          <w:p w14:paraId="5DCD78E1">
            <w:pPr>
              <w:spacing w:line="360" w:lineRule="auto"/>
              <w:jc w:val="center"/>
              <w:rPr>
                <w:rFonts w:eastAsia="DengXian"/>
              </w:rPr>
            </w:pPr>
            <w:r>
              <w:rPr>
                <w:rFonts w:eastAsia="DengXian"/>
              </w:rPr>
              <w:t>2</w:t>
            </w:r>
          </w:p>
          <w:p w14:paraId="2EA33BF0">
            <w:pPr>
              <w:spacing w:line="360" w:lineRule="auto"/>
              <w:jc w:val="center"/>
              <w:rPr>
                <w:rFonts w:eastAsia="DengXian"/>
              </w:rPr>
            </w:pPr>
            <w:r>
              <w:rPr>
                <w:rFonts w:eastAsia="DengXian"/>
              </w:rPr>
              <w:t>2.6%</w:t>
            </w:r>
          </w:p>
        </w:tc>
        <w:tc>
          <w:tcPr>
            <w:tcW w:w="850" w:type="dxa"/>
            <w:tcBorders>
              <w:top w:val="single" w:color="auto" w:sz="4" w:space="0"/>
              <w:left w:val="single" w:color="auto" w:sz="4" w:space="0"/>
              <w:bottom w:val="single" w:color="auto" w:sz="4" w:space="0"/>
              <w:right w:val="single" w:color="auto" w:sz="4" w:space="0"/>
            </w:tcBorders>
          </w:tcPr>
          <w:p w14:paraId="473F24C1">
            <w:pPr>
              <w:spacing w:line="360" w:lineRule="auto"/>
              <w:jc w:val="center"/>
              <w:rPr>
                <w:rFonts w:eastAsia="DengXian"/>
              </w:rPr>
            </w:pPr>
            <w:r>
              <w:rPr>
                <w:rFonts w:eastAsia="DengXian"/>
              </w:rPr>
              <w:t>5</w:t>
            </w:r>
          </w:p>
          <w:p w14:paraId="5C71CD4A">
            <w:pPr>
              <w:spacing w:line="360" w:lineRule="auto"/>
              <w:jc w:val="center"/>
              <w:rPr>
                <w:rFonts w:eastAsia="DengXian"/>
              </w:rPr>
            </w:pPr>
            <w:r>
              <w:rPr>
                <w:rFonts w:eastAsia="DengXian"/>
              </w:rPr>
              <w:t>6.6%</w:t>
            </w:r>
          </w:p>
        </w:tc>
        <w:tc>
          <w:tcPr>
            <w:tcW w:w="851" w:type="dxa"/>
            <w:tcBorders>
              <w:top w:val="single" w:color="auto" w:sz="4" w:space="0"/>
              <w:left w:val="single" w:color="auto" w:sz="4" w:space="0"/>
              <w:bottom w:val="single" w:color="auto" w:sz="4" w:space="0"/>
              <w:right w:val="single" w:color="auto" w:sz="4" w:space="0"/>
            </w:tcBorders>
          </w:tcPr>
          <w:p w14:paraId="14DD6D2C">
            <w:pPr>
              <w:spacing w:line="360" w:lineRule="auto"/>
              <w:jc w:val="center"/>
              <w:rPr>
                <w:rFonts w:eastAsia="DengXian"/>
              </w:rPr>
            </w:pPr>
            <w:r>
              <w:rPr>
                <w:rFonts w:eastAsia="DengXian"/>
              </w:rPr>
              <w:t>10</w:t>
            </w:r>
          </w:p>
          <w:p w14:paraId="0DB1E9EF">
            <w:pPr>
              <w:spacing w:line="360" w:lineRule="auto"/>
              <w:jc w:val="center"/>
              <w:rPr>
                <w:rFonts w:eastAsia="DengXian"/>
              </w:rPr>
            </w:pPr>
            <w:r>
              <w:rPr>
                <w:rFonts w:eastAsia="DengXian"/>
              </w:rPr>
              <w:t>13.2%</w:t>
            </w:r>
          </w:p>
          <w:p w14:paraId="7D682B18">
            <w:pPr>
              <w:spacing w:line="360" w:lineRule="auto"/>
              <w:jc w:val="center"/>
              <w:rPr>
                <w:rFonts w:eastAsia="DengXian"/>
              </w:rPr>
            </w:pPr>
          </w:p>
        </w:tc>
        <w:tc>
          <w:tcPr>
            <w:tcW w:w="850" w:type="dxa"/>
            <w:tcBorders>
              <w:top w:val="single" w:color="auto" w:sz="4" w:space="0"/>
              <w:left w:val="single" w:color="auto" w:sz="4" w:space="0"/>
              <w:bottom w:val="single" w:color="auto" w:sz="4" w:space="0"/>
              <w:right w:val="single" w:color="auto" w:sz="4" w:space="0"/>
            </w:tcBorders>
          </w:tcPr>
          <w:p w14:paraId="204A3D8B">
            <w:pPr>
              <w:spacing w:line="360" w:lineRule="auto"/>
              <w:jc w:val="center"/>
              <w:rPr>
                <w:rFonts w:eastAsia="DengXian"/>
              </w:rPr>
            </w:pPr>
            <w:r>
              <w:rPr>
                <w:rFonts w:eastAsia="DengXian"/>
              </w:rPr>
              <w:t>59</w:t>
            </w:r>
          </w:p>
          <w:p w14:paraId="5B27C0DB">
            <w:pPr>
              <w:spacing w:line="360" w:lineRule="auto"/>
              <w:jc w:val="center"/>
              <w:rPr>
                <w:rFonts w:eastAsia="DengXian"/>
              </w:rPr>
            </w:pPr>
            <w:r>
              <w:rPr>
                <w:rFonts w:eastAsia="DengXian"/>
              </w:rPr>
              <w:t>77.6%</w:t>
            </w:r>
          </w:p>
          <w:p w14:paraId="1F1E76B7">
            <w:pPr>
              <w:spacing w:line="360" w:lineRule="auto"/>
              <w:jc w:val="center"/>
              <w:rPr>
                <w:rFonts w:eastAsia="DengXian"/>
              </w:rPr>
            </w:pPr>
          </w:p>
        </w:tc>
        <w:tc>
          <w:tcPr>
            <w:tcW w:w="851" w:type="dxa"/>
            <w:tcBorders>
              <w:top w:val="single" w:color="auto" w:sz="4" w:space="0"/>
              <w:left w:val="single" w:color="auto" w:sz="4" w:space="0"/>
              <w:bottom w:val="single" w:color="auto" w:sz="4" w:space="0"/>
              <w:right w:val="single" w:color="auto" w:sz="4" w:space="0"/>
            </w:tcBorders>
          </w:tcPr>
          <w:p w14:paraId="6EBD0632">
            <w:pPr>
              <w:spacing w:line="360" w:lineRule="auto"/>
              <w:jc w:val="center"/>
              <w:rPr>
                <w:rFonts w:eastAsia="DengXian"/>
              </w:rPr>
            </w:pPr>
            <w:r>
              <w:rPr>
                <w:rFonts w:eastAsia="DengXian"/>
              </w:rPr>
              <w:t>76</w:t>
            </w:r>
          </w:p>
          <w:p w14:paraId="64A3A373">
            <w:pPr>
              <w:spacing w:line="360" w:lineRule="auto"/>
              <w:jc w:val="center"/>
              <w:rPr>
                <w:rFonts w:eastAsia="DengXian"/>
              </w:rPr>
            </w:pPr>
            <w:r>
              <w:rPr>
                <w:rFonts w:eastAsia="DengXian"/>
              </w:rPr>
              <w:t>96.2%</w:t>
            </w:r>
          </w:p>
        </w:tc>
      </w:tr>
      <w:tr w14:paraId="043512BB">
        <w:tblPrEx>
          <w:tblCellMar>
            <w:top w:w="0" w:type="dxa"/>
            <w:left w:w="108" w:type="dxa"/>
            <w:bottom w:w="0" w:type="dxa"/>
            <w:right w:w="108" w:type="dxa"/>
          </w:tblCellMar>
        </w:tblPrEx>
        <w:trPr>
          <w:trHeight w:val="358" w:hRule="atLeast"/>
          <w:jc w:val="center"/>
        </w:trPr>
        <w:tc>
          <w:tcPr>
            <w:tcW w:w="638" w:type="dxa"/>
            <w:tcBorders>
              <w:top w:val="single" w:color="auto" w:sz="4" w:space="0"/>
              <w:left w:val="single" w:color="auto" w:sz="4" w:space="0"/>
              <w:bottom w:val="single" w:color="auto" w:sz="4" w:space="0"/>
              <w:right w:val="single" w:color="auto" w:sz="4" w:space="0"/>
            </w:tcBorders>
          </w:tcPr>
          <w:p w14:paraId="5DFF0FB0">
            <w:pPr>
              <w:spacing w:line="360" w:lineRule="auto"/>
              <w:jc w:val="both"/>
              <w:rPr>
                <w:rFonts w:eastAsia="DengXian"/>
              </w:rPr>
            </w:pPr>
            <w:r>
              <w:rPr>
                <w:rFonts w:eastAsia="DengXian"/>
              </w:rPr>
              <w:t>2</w:t>
            </w:r>
          </w:p>
        </w:tc>
        <w:tc>
          <w:tcPr>
            <w:tcW w:w="4319" w:type="dxa"/>
            <w:tcBorders>
              <w:top w:val="single" w:color="auto" w:sz="4" w:space="0"/>
              <w:left w:val="single" w:color="auto" w:sz="4" w:space="0"/>
              <w:bottom w:val="single" w:color="auto" w:sz="4" w:space="0"/>
              <w:right w:val="single" w:color="auto" w:sz="4" w:space="0"/>
            </w:tcBorders>
          </w:tcPr>
          <w:p w14:paraId="1D09C176">
            <w:pPr>
              <w:spacing w:line="360" w:lineRule="auto"/>
              <w:jc w:val="both"/>
              <w:rPr>
                <w:rFonts w:eastAsia="DengXian"/>
              </w:rPr>
            </w:pPr>
            <w:r>
              <w:rPr>
                <w:rFonts w:eastAsia="DengXian"/>
              </w:rPr>
              <w:t>Clear policy articulation is essential in drafting clear upstream oil and gas tax legislation.</w:t>
            </w:r>
          </w:p>
        </w:tc>
        <w:tc>
          <w:tcPr>
            <w:tcW w:w="708" w:type="dxa"/>
            <w:tcBorders>
              <w:top w:val="single" w:color="auto" w:sz="4" w:space="0"/>
              <w:left w:val="single" w:color="auto" w:sz="4" w:space="0"/>
              <w:bottom w:val="single" w:color="auto" w:sz="4" w:space="0"/>
              <w:right w:val="single" w:color="auto" w:sz="4" w:space="0"/>
            </w:tcBorders>
          </w:tcPr>
          <w:p w14:paraId="1A4F7C46">
            <w:pPr>
              <w:spacing w:line="360" w:lineRule="auto"/>
              <w:jc w:val="center"/>
              <w:rPr>
                <w:rFonts w:eastAsia="DengXian"/>
              </w:rPr>
            </w:pPr>
            <w:r>
              <w:rPr>
                <w:rFonts w:eastAsia="DengXian"/>
              </w:rPr>
              <w:t>0</w:t>
            </w:r>
          </w:p>
          <w:p w14:paraId="765F49F1">
            <w:pPr>
              <w:spacing w:line="360" w:lineRule="auto"/>
              <w:jc w:val="center"/>
              <w:rPr>
                <w:rFonts w:eastAsia="DengXian"/>
              </w:rPr>
            </w:pPr>
            <w:r>
              <w:rPr>
                <w:rFonts w:eastAsia="DengXian"/>
              </w:rPr>
              <w:t>0%</w:t>
            </w:r>
          </w:p>
        </w:tc>
        <w:tc>
          <w:tcPr>
            <w:tcW w:w="851" w:type="dxa"/>
            <w:tcBorders>
              <w:top w:val="single" w:color="auto" w:sz="4" w:space="0"/>
              <w:left w:val="single" w:color="auto" w:sz="4" w:space="0"/>
              <w:bottom w:val="single" w:color="auto" w:sz="4" w:space="0"/>
              <w:right w:val="single" w:color="auto" w:sz="4" w:space="0"/>
            </w:tcBorders>
          </w:tcPr>
          <w:p w14:paraId="40A48B73">
            <w:pPr>
              <w:spacing w:line="360" w:lineRule="auto"/>
              <w:jc w:val="center"/>
              <w:rPr>
                <w:rFonts w:eastAsia="DengXian"/>
              </w:rPr>
            </w:pPr>
            <w:r>
              <w:rPr>
                <w:rFonts w:eastAsia="DengXian"/>
              </w:rPr>
              <w:t>0</w:t>
            </w:r>
          </w:p>
          <w:p w14:paraId="0386A002">
            <w:pPr>
              <w:spacing w:line="360" w:lineRule="auto"/>
              <w:jc w:val="center"/>
              <w:rPr>
                <w:rFonts w:eastAsia="DengXian"/>
              </w:rPr>
            </w:pPr>
            <w:r>
              <w:rPr>
                <w:rFonts w:eastAsia="DengXian"/>
              </w:rPr>
              <w:t>0%</w:t>
            </w:r>
          </w:p>
        </w:tc>
        <w:tc>
          <w:tcPr>
            <w:tcW w:w="850" w:type="dxa"/>
            <w:tcBorders>
              <w:top w:val="single" w:color="auto" w:sz="4" w:space="0"/>
              <w:left w:val="single" w:color="auto" w:sz="4" w:space="0"/>
              <w:bottom w:val="single" w:color="auto" w:sz="4" w:space="0"/>
              <w:right w:val="single" w:color="auto" w:sz="4" w:space="0"/>
            </w:tcBorders>
          </w:tcPr>
          <w:p w14:paraId="5EB52F69">
            <w:pPr>
              <w:spacing w:line="360" w:lineRule="auto"/>
              <w:jc w:val="center"/>
              <w:rPr>
                <w:rFonts w:eastAsia="DengXian"/>
              </w:rPr>
            </w:pPr>
            <w:r>
              <w:rPr>
                <w:rFonts w:eastAsia="DengXian"/>
              </w:rPr>
              <w:t>2</w:t>
            </w:r>
          </w:p>
          <w:p w14:paraId="67E8C24F">
            <w:pPr>
              <w:spacing w:line="360" w:lineRule="auto"/>
              <w:jc w:val="center"/>
              <w:rPr>
                <w:rFonts w:eastAsia="DengXian"/>
              </w:rPr>
            </w:pPr>
            <w:r>
              <w:rPr>
                <w:rFonts w:eastAsia="DengXian"/>
              </w:rPr>
              <w:t>2.7%</w:t>
            </w:r>
          </w:p>
        </w:tc>
        <w:tc>
          <w:tcPr>
            <w:tcW w:w="851" w:type="dxa"/>
            <w:tcBorders>
              <w:top w:val="single" w:color="auto" w:sz="4" w:space="0"/>
              <w:left w:val="single" w:color="auto" w:sz="4" w:space="0"/>
              <w:bottom w:val="single" w:color="auto" w:sz="4" w:space="0"/>
              <w:right w:val="single" w:color="auto" w:sz="4" w:space="0"/>
            </w:tcBorders>
          </w:tcPr>
          <w:p w14:paraId="67733181">
            <w:pPr>
              <w:spacing w:line="360" w:lineRule="auto"/>
              <w:jc w:val="center"/>
              <w:rPr>
                <w:rFonts w:eastAsia="DengXian"/>
              </w:rPr>
            </w:pPr>
            <w:r>
              <w:rPr>
                <w:rFonts w:eastAsia="DengXian"/>
              </w:rPr>
              <w:t>12</w:t>
            </w:r>
          </w:p>
          <w:p w14:paraId="493F15C7">
            <w:pPr>
              <w:spacing w:line="360" w:lineRule="auto"/>
              <w:jc w:val="center"/>
              <w:rPr>
                <w:rFonts w:eastAsia="DengXian"/>
              </w:rPr>
            </w:pPr>
            <w:r>
              <w:rPr>
                <w:rFonts w:eastAsia="DengXian"/>
              </w:rPr>
              <w:t>16%</w:t>
            </w:r>
          </w:p>
          <w:p w14:paraId="14334D0F">
            <w:pPr>
              <w:spacing w:line="360" w:lineRule="auto"/>
              <w:jc w:val="center"/>
              <w:rPr>
                <w:rFonts w:eastAsia="DengXian"/>
              </w:rPr>
            </w:pPr>
          </w:p>
        </w:tc>
        <w:tc>
          <w:tcPr>
            <w:tcW w:w="850" w:type="dxa"/>
            <w:tcBorders>
              <w:top w:val="single" w:color="auto" w:sz="4" w:space="0"/>
              <w:left w:val="single" w:color="auto" w:sz="4" w:space="0"/>
              <w:bottom w:val="single" w:color="auto" w:sz="4" w:space="0"/>
              <w:right w:val="single" w:color="auto" w:sz="4" w:space="0"/>
            </w:tcBorders>
          </w:tcPr>
          <w:p w14:paraId="0F200328">
            <w:pPr>
              <w:spacing w:line="360" w:lineRule="auto"/>
              <w:jc w:val="center"/>
              <w:rPr>
                <w:rFonts w:eastAsia="DengXian"/>
              </w:rPr>
            </w:pPr>
            <w:r>
              <w:rPr>
                <w:rFonts w:eastAsia="DengXian"/>
              </w:rPr>
              <w:t>61</w:t>
            </w:r>
          </w:p>
          <w:p w14:paraId="5A25CCAD">
            <w:pPr>
              <w:spacing w:line="360" w:lineRule="auto"/>
              <w:jc w:val="center"/>
              <w:rPr>
                <w:rFonts w:eastAsia="DengXian"/>
              </w:rPr>
            </w:pPr>
            <w:r>
              <w:rPr>
                <w:rFonts w:eastAsia="DengXian"/>
              </w:rPr>
              <w:t>81.3%</w:t>
            </w:r>
          </w:p>
        </w:tc>
        <w:tc>
          <w:tcPr>
            <w:tcW w:w="851" w:type="dxa"/>
            <w:tcBorders>
              <w:top w:val="single" w:color="auto" w:sz="4" w:space="0"/>
              <w:left w:val="single" w:color="auto" w:sz="4" w:space="0"/>
              <w:bottom w:val="single" w:color="auto" w:sz="4" w:space="0"/>
              <w:right w:val="single" w:color="auto" w:sz="4" w:space="0"/>
            </w:tcBorders>
          </w:tcPr>
          <w:p w14:paraId="7729FD0F">
            <w:pPr>
              <w:spacing w:line="360" w:lineRule="auto"/>
              <w:jc w:val="center"/>
              <w:rPr>
                <w:rFonts w:eastAsia="DengXian"/>
              </w:rPr>
            </w:pPr>
            <w:r>
              <w:rPr>
                <w:rFonts w:eastAsia="DengXian"/>
              </w:rPr>
              <w:t>75</w:t>
            </w:r>
          </w:p>
          <w:p w14:paraId="20DE1E17">
            <w:pPr>
              <w:spacing w:line="360" w:lineRule="auto"/>
              <w:jc w:val="center"/>
              <w:rPr>
                <w:rFonts w:eastAsia="DengXian"/>
              </w:rPr>
            </w:pPr>
            <w:r>
              <w:rPr>
                <w:rFonts w:eastAsia="DengXian"/>
              </w:rPr>
              <w:t>94.9%</w:t>
            </w:r>
          </w:p>
        </w:tc>
      </w:tr>
      <w:tr w14:paraId="18A9BE4A">
        <w:tblPrEx>
          <w:tblCellMar>
            <w:top w:w="0" w:type="dxa"/>
            <w:left w:w="108" w:type="dxa"/>
            <w:bottom w:w="0" w:type="dxa"/>
            <w:right w:w="108" w:type="dxa"/>
          </w:tblCellMar>
        </w:tblPrEx>
        <w:trPr>
          <w:trHeight w:val="358" w:hRule="atLeast"/>
          <w:jc w:val="center"/>
        </w:trPr>
        <w:tc>
          <w:tcPr>
            <w:tcW w:w="638" w:type="dxa"/>
            <w:tcBorders>
              <w:top w:val="single" w:color="auto" w:sz="4" w:space="0"/>
              <w:left w:val="single" w:color="auto" w:sz="4" w:space="0"/>
              <w:bottom w:val="single" w:color="auto" w:sz="4" w:space="0"/>
              <w:right w:val="single" w:color="auto" w:sz="4" w:space="0"/>
            </w:tcBorders>
          </w:tcPr>
          <w:p w14:paraId="031C3028">
            <w:pPr>
              <w:spacing w:line="360" w:lineRule="auto"/>
              <w:jc w:val="both"/>
              <w:rPr>
                <w:rFonts w:eastAsia="DengXian"/>
              </w:rPr>
            </w:pPr>
            <w:r>
              <w:rPr>
                <w:rFonts w:eastAsia="DengXian"/>
              </w:rPr>
              <w:t>3</w:t>
            </w:r>
          </w:p>
        </w:tc>
        <w:tc>
          <w:tcPr>
            <w:tcW w:w="4319" w:type="dxa"/>
            <w:tcBorders>
              <w:top w:val="single" w:color="auto" w:sz="4" w:space="0"/>
              <w:left w:val="single" w:color="auto" w:sz="4" w:space="0"/>
              <w:bottom w:val="single" w:color="auto" w:sz="4" w:space="0"/>
              <w:right w:val="single" w:color="auto" w:sz="4" w:space="0"/>
            </w:tcBorders>
          </w:tcPr>
          <w:p w14:paraId="6B70260D">
            <w:pPr>
              <w:spacing w:line="360" w:lineRule="auto"/>
              <w:jc w:val="both"/>
              <w:rPr>
                <w:rFonts w:eastAsia="DengXian"/>
              </w:rPr>
            </w:pPr>
            <w:r>
              <w:rPr>
                <w:rFonts w:eastAsia="DengXian"/>
              </w:rPr>
              <w:t>Clear tax objectives setting is essential for drafting clear and certain upstream petroleum tax laws.</w:t>
            </w:r>
          </w:p>
        </w:tc>
        <w:tc>
          <w:tcPr>
            <w:tcW w:w="708" w:type="dxa"/>
            <w:tcBorders>
              <w:top w:val="single" w:color="auto" w:sz="4" w:space="0"/>
              <w:left w:val="single" w:color="auto" w:sz="4" w:space="0"/>
              <w:bottom w:val="single" w:color="auto" w:sz="4" w:space="0"/>
              <w:right w:val="single" w:color="auto" w:sz="4" w:space="0"/>
            </w:tcBorders>
          </w:tcPr>
          <w:p w14:paraId="4870B16B">
            <w:pPr>
              <w:spacing w:line="360" w:lineRule="auto"/>
              <w:jc w:val="center"/>
              <w:rPr>
                <w:rFonts w:eastAsia="DengXian"/>
              </w:rPr>
            </w:pPr>
            <w:r>
              <w:rPr>
                <w:rFonts w:eastAsia="DengXian"/>
              </w:rPr>
              <w:t>0</w:t>
            </w:r>
          </w:p>
          <w:p w14:paraId="2653279F">
            <w:pPr>
              <w:spacing w:line="360" w:lineRule="auto"/>
              <w:jc w:val="center"/>
              <w:rPr>
                <w:rFonts w:eastAsia="DengXian"/>
              </w:rPr>
            </w:pPr>
            <w:r>
              <w:rPr>
                <w:rFonts w:eastAsia="DengXian"/>
              </w:rPr>
              <w:t>0%</w:t>
            </w:r>
          </w:p>
        </w:tc>
        <w:tc>
          <w:tcPr>
            <w:tcW w:w="851" w:type="dxa"/>
            <w:tcBorders>
              <w:top w:val="single" w:color="auto" w:sz="4" w:space="0"/>
              <w:left w:val="single" w:color="auto" w:sz="4" w:space="0"/>
              <w:bottom w:val="single" w:color="auto" w:sz="4" w:space="0"/>
              <w:right w:val="single" w:color="auto" w:sz="4" w:space="0"/>
            </w:tcBorders>
          </w:tcPr>
          <w:p w14:paraId="5F23B8C1">
            <w:pPr>
              <w:spacing w:line="360" w:lineRule="auto"/>
              <w:jc w:val="center"/>
              <w:rPr>
                <w:rFonts w:eastAsia="DengXian"/>
              </w:rPr>
            </w:pPr>
            <w:r>
              <w:rPr>
                <w:rFonts w:eastAsia="DengXian"/>
              </w:rPr>
              <w:t>1</w:t>
            </w:r>
          </w:p>
          <w:p w14:paraId="7873B494">
            <w:pPr>
              <w:spacing w:line="360" w:lineRule="auto"/>
              <w:jc w:val="center"/>
              <w:rPr>
                <w:rFonts w:eastAsia="DengXian"/>
              </w:rPr>
            </w:pPr>
            <w:r>
              <w:rPr>
                <w:rFonts w:eastAsia="DengXian"/>
              </w:rPr>
              <w:t>1.3%</w:t>
            </w:r>
          </w:p>
        </w:tc>
        <w:tc>
          <w:tcPr>
            <w:tcW w:w="850" w:type="dxa"/>
            <w:tcBorders>
              <w:top w:val="single" w:color="auto" w:sz="4" w:space="0"/>
              <w:left w:val="single" w:color="auto" w:sz="4" w:space="0"/>
              <w:bottom w:val="single" w:color="auto" w:sz="4" w:space="0"/>
              <w:right w:val="single" w:color="auto" w:sz="4" w:space="0"/>
            </w:tcBorders>
          </w:tcPr>
          <w:p w14:paraId="09E38442">
            <w:pPr>
              <w:spacing w:line="360" w:lineRule="auto"/>
              <w:jc w:val="center"/>
              <w:rPr>
                <w:rFonts w:eastAsia="DengXian"/>
              </w:rPr>
            </w:pPr>
            <w:r>
              <w:rPr>
                <w:rFonts w:eastAsia="DengXian"/>
              </w:rPr>
              <w:t>6</w:t>
            </w:r>
          </w:p>
          <w:p w14:paraId="7855A06E">
            <w:pPr>
              <w:spacing w:line="360" w:lineRule="auto"/>
              <w:jc w:val="center"/>
              <w:rPr>
                <w:rFonts w:eastAsia="DengXian"/>
              </w:rPr>
            </w:pPr>
            <w:r>
              <w:rPr>
                <w:rFonts w:eastAsia="DengXian"/>
              </w:rPr>
              <w:t>7.9%</w:t>
            </w:r>
          </w:p>
        </w:tc>
        <w:tc>
          <w:tcPr>
            <w:tcW w:w="851" w:type="dxa"/>
            <w:tcBorders>
              <w:top w:val="single" w:color="auto" w:sz="4" w:space="0"/>
              <w:left w:val="single" w:color="auto" w:sz="4" w:space="0"/>
              <w:bottom w:val="single" w:color="auto" w:sz="4" w:space="0"/>
              <w:right w:val="single" w:color="auto" w:sz="4" w:space="0"/>
            </w:tcBorders>
          </w:tcPr>
          <w:p w14:paraId="07F88E9B">
            <w:pPr>
              <w:spacing w:line="360" w:lineRule="auto"/>
              <w:jc w:val="center"/>
              <w:rPr>
                <w:rFonts w:eastAsia="DengXian"/>
              </w:rPr>
            </w:pPr>
            <w:r>
              <w:rPr>
                <w:rFonts w:eastAsia="DengXian"/>
              </w:rPr>
              <w:t>13</w:t>
            </w:r>
          </w:p>
          <w:p w14:paraId="6583807C">
            <w:pPr>
              <w:spacing w:line="360" w:lineRule="auto"/>
              <w:jc w:val="center"/>
              <w:rPr>
                <w:rFonts w:eastAsia="DengXian"/>
              </w:rPr>
            </w:pPr>
            <w:r>
              <w:rPr>
                <w:rFonts w:eastAsia="DengXian"/>
              </w:rPr>
              <w:t>17.1%</w:t>
            </w:r>
          </w:p>
        </w:tc>
        <w:tc>
          <w:tcPr>
            <w:tcW w:w="850" w:type="dxa"/>
            <w:tcBorders>
              <w:top w:val="single" w:color="auto" w:sz="4" w:space="0"/>
              <w:left w:val="single" w:color="auto" w:sz="4" w:space="0"/>
              <w:bottom w:val="single" w:color="auto" w:sz="4" w:space="0"/>
              <w:right w:val="single" w:color="auto" w:sz="4" w:space="0"/>
            </w:tcBorders>
          </w:tcPr>
          <w:p w14:paraId="00E50D63">
            <w:pPr>
              <w:spacing w:line="360" w:lineRule="auto"/>
              <w:jc w:val="center"/>
              <w:rPr>
                <w:rFonts w:eastAsia="DengXian"/>
              </w:rPr>
            </w:pPr>
            <w:r>
              <w:rPr>
                <w:rFonts w:eastAsia="DengXian"/>
              </w:rPr>
              <w:t>56</w:t>
            </w:r>
          </w:p>
          <w:p w14:paraId="6E3F3780">
            <w:pPr>
              <w:spacing w:line="360" w:lineRule="auto"/>
              <w:jc w:val="center"/>
              <w:rPr>
                <w:rFonts w:eastAsia="DengXian"/>
              </w:rPr>
            </w:pPr>
            <w:r>
              <w:rPr>
                <w:rFonts w:eastAsia="DengXian"/>
              </w:rPr>
              <w:t>73.7%</w:t>
            </w:r>
          </w:p>
        </w:tc>
        <w:tc>
          <w:tcPr>
            <w:tcW w:w="851" w:type="dxa"/>
            <w:tcBorders>
              <w:top w:val="single" w:color="auto" w:sz="4" w:space="0"/>
              <w:left w:val="single" w:color="auto" w:sz="4" w:space="0"/>
              <w:bottom w:val="single" w:color="auto" w:sz="4" w:space="0"/>
              <w:right w:val="single" w:color="auto" w:sz="4" w:space="0"/>
            </w:tcBorders>
          </w:tcPr>
          <w:p w14:paraId="0A410D9C">
            <w:pPr>
              <w:spacing w:line="360" w:lineRule="auto"/>
              <w:jc w:val="center"/>
              <w:rPr>
                <w:rFonts w:eastAsia="DengXian"/>
              </w:rPr>
            </w:pPr>
            <w:r>
              <w:rPr>
                <w:rFonts w:eastAsia="DengXian"/>
              </w:rPr>
              <w:t>76</w:t>
            </w:r>
          </w:p>
          <w:p w14:paraId="7CB3CC18">
            <w:pPr>
              <w:spacing w:line="360" w:lineRule="auto"/>
              <w:jc w:val="center"/>
              <w:rPr>
                <w:rFonts w:eastAsia="DengXian"/>
              </w:rPr>
            </w:pPr>
            <w:r>
              <w:rPr>
                <w:rFonts w:eastAsia="DengXian"/>
              </w:rPr>
              <w:t>96.2%</w:t>
            </w:r>
          </w:p>
        </w:tc>
      </w:tr>
      <w:tr w14:paraId="67B9781E">
        <w:tblPrEx>
          <w:tblCellMar>
            <w:top w:w="0" w:type="dxa"/>
            <w:left w:w="108" w:type="dxa"/>
            <w:bottom w:w="0" w:type="dxa"/>
            <w:right w:w="108" w:type="dxa"/>
          </w:tblCellMar>
        </w:tblPrEx>
        <w:trPr>
          <w:trHeight w:val="358" w:hRule="atLeast"/>
          <w:jc w:val="center"/>
        </w:trPr>
        <w:tc>
          <w:tcPr>
            <w:tcW w:w="638" w:type="dxa"/>
            <w:tcBorders>
              <w:top w:val="single" w:color="auto" w:sz="4" w:space="0"/>
              <w:left w:val="single" w:color="auto" w:sz="4" w:space="0"/>
              <w:bottom w:val="single" w:color="auto" w:sz="4" w:space="0"/>
              <w:right w:val="single" w:color="auto" w:sz="4" w:space="0"/>
            </w:tcBorders>
          </w:tcPr>
          <w:p w14:paraId="42F5E33E">
            <w:pPr>
              <w:spacing w:line="360" w:lineRule="auto"/>
              <w:jc w:val="both"/>
              <w:rPr>
                <w:rFonts w:eastAsia="DengXian"/>
              </w:rPr>
            </w:pPr>
            <w:r>
              <w:rPr>
                <w:rFonts w:eastAsia="DengXian"/>
              </w:rPr>
              <w:t>4</w:t>
            </w:r>
          </w:p>
        </w:tc>
        <w:tc>
          <w:tcPr>
            <w:tcW w:w="4319" w:type="dxa"/>
            <w:tcBorders>
              <w:top w:val="single" w:color="auto" w:sz="4" w:space="0"/>
              <w:left w:val="single" w:color="auto" w:sz="4" w:space="0"/>
              <w:bottom w:val="single" w:color="auto" w:sz="4" w:space="0"/>
              <w:right w:val="single" w:color="auto" w:sz="4" w:space="0"/>
            </w:tcBorders>
          </w:tcPr>
          <w:p w14:paraId="6E1B8A80">
            <w:pPr>
              <w:autoSpaceDE w:val="0"/>
              <w:autoSpaceDN w:val="0"/>
              <w:adjustRightInd w:val="0"/>
              <w:spacing w:line="360" w:lineRule="auto"/>
              <w:jc w:val="both"/>
              <w:rPr>
                <w:rFonts w:eastAsia="TimesNewRomanPSMT"/>
              </w:rPr>
            </w:pPr>
            <w:r>
              <w:rPr>
                <w:rFonts w:eastAsia="DengXian"/>
              </w:rPr>
              <w:t>Clear and well-defined words and concepts are essential for the consistent understanding and interpretation of upstream petroleum fiscal and tax legislation.</w:t>
            </w:r>
          </w:p>
        </w:tc>
        <w:tc>
          <w:tcPr>
            <w:tcW w:w="708" w:type="dxa"/>
            <w:tcBorders>
              <w:top w:val="single" w:color="auto" w:sz="4" w:space="0"/>
              <w:left w:val="single" w:color="auto" w:sz="4" w:space="0"/>
              <w:bottom w:val="single" w:color="auto" w:sz="4" w:space="0"/>
              <w:right w:val="single" w:color="auto" w:sz="4" w:space="0"/>
            </w:tcBorders>
          </w:tcPr>
          <w:p w14:paraId="319D4D8E">
            <w:pPr>
              <w:spacing w:line="360" w:lineRule="auto"/>
              <w:jc w:val="center"/>
              <w:rPr>
                <w:rFonts w:eastAsia="DengXian"/>
              </w:rPr>
            </w:pPr>
            <w:r>
              <w:rPr>
                <w:rFonts w:eastAsia="DengXian"/>
              </w:rPr>
              <w:t>0</w:t>
            </w:r>
          </w:p>
          <w:p w14:paraId="7AB52091">
            <w:pPr>
              <w:spacing w:line="360" w:lineRule="auto"/>
              <w:jc w:val="center"/>
              <w:rPr>
                <w:rFonts w:eastAsia="DengXian"/>
              </w:rPr>
            </w:pPr>
            <w:r>
              <w:rPr>
                <w:rFonts w:eastAsia="DengXian"/>
              </w:rPr>
              <w:t>0%</w:t>
            </w:r>
          </w:p>
        </w:tc>
        <w:tc>
          <w:tcPr>
            <w:tcW w:w="851" w:type="dxa"/>
            <w:tcBorders>
              <w:top w:val="single" w:color="auto" w:sz="4" w:space="0"/>
              <w:left w:val="single" w:color="auto" w:sz="4" w:space="0"/>
              <w:bottom w:val="single" w:color="auto" w:sz="4" w:space="0"/>
              <w:right w:val="single" w:color="auto" w:sz="4" w:space="0"/>
            </w:tcBorders>
          </w:tcPr>
          <w:p w14:paraId="11AF4EAB">
            <w:pPr>
              <w:spacing w:line="360" w:lineRule="auto"/>
              <w:jc w:val="center"/>
              <w:rPr>
                <w:rFonts w:eastAsia="DengXian"/>
              </w:rPr>
            </w:pPr>
            <w:r>
              <w:rPr>
                <w:rFonts w:eastAsia="DengXian"/>
              </w:rPr>
              <w:t>0</w:t>
            </w:r>
          </w:p>
          <w:p w14:paraId="0D69B07E">
            <w:pPr>
              <w:spacing w:line="360" w:lineRule="auto"/>
              <w:jc w:val="center"/>
              <w:rPr>
                <w:rFonts w:eastAsia="DengXian"/>
              </w:rPr>
            </w:pPr>
            <w:r>
              <w:rPr>
                <w:rFonts w:eastAsia="DengXian"/>
              </w:rPr>
              <w:t>0%</w:t>
            </w:r>
          </w:p>
        </w:tc>
        <w:tc>
          <w:tcPr>
            <w:tcW w:w="850" w:type="dxa"/>
            <w:tcBorders>
              <w:top w:val="single" w:color="auto" w:sz="4" w:space="0"/>
              <w:left w:val="single" w:color="auto" w:sz="4" w:space="0"/>
              <w:bottom w:val="single" w:color="auto" w:sz="4" w:space="0"/>
              <w:right w:val="single" w:color="auto" w:sz="4" w:space="0"/>
            </w:tcBorders>
          </w:tcPr>
          <w:p w14:paraId="2AA4985C">
            <w:pPr>
              <w:spacing w:line="360" w:lineRule="auto"/>
              <w:jc w:val="center"/>
              <w:rPr>
                <w:rFonts w:eastAsia="DengXian"/>
              </w:rPr>
            </w:pPr>
            <w:r>
              <w:rPr>
                <w:rFonts w:eastAsia="DengXian"/>
              </w:rPr>
              <w:t>3</w:t>
            </w:r>
          </w:p>
          <w:p w14:paraId="0775B8F3">
            <w:pPr>
              <w:spacing w:line="360" w:lineRule="auto"/>
              <w:jc w:val="center"/>
              <w:rPr>
                <w:rFonts w:eastAsia="DengXian"/>
              </w:rPr>
            </w:pPr>
            <w:r>
              <w:rPr>
                <w:rFonts w:eastAsia="DengXian"/>
              </w:rPr>
              <w:t>4%</w:t>
            </w:r>
          </w:p>
        </w:tc>
        <w:tc>
          <w:tcPr>
            <w:tcW w:w="851" w:type="dxa"/>
            <w:tcBorders>
              <w:top w:val="single" w:color="auto" w:sz="4" w:space="0"/>
              <w:left w:val="single" w:color="auto" w:sz="4" w:space="0"/>
              <w:bottom w:val="single" w:color="auto" w:sz="4" w:space="0"/>
              <w:right w:val="single" w:color="auto" w:sz="4" w:space="0"/>
            </w:tcBorders>
          </w:tcPr>
          <w:p w14:paraId="4A44E63E">
            <w:pPr>
              <w:spacing w:line="360" w:lineRule="auto"/>
              <w:jc w:val="center"/>
              <w:rPr>
                <w:rFonts w:eastAsia="DengXian"/>
              </w:rPr>
            </w:pPr>
            <w:r>
              <w:rPr>
                <w:rFonts w:eastAsia="DengXian"/>
              </w:rPr>
              <w:t>10</w:t>
            </w:r>
          </w:p>
          <w:p w14:paraId="5041B98E">
            <w:pPr>
              <w:spacing w:line="360" w:lineRule="auto"/>
              <w:jc w:val="center"/>
              <w:rPr>
                <w:rFonts w:eastAsia="DengXian"/>
              </w:rPr>
            </w:pPr>
            <w:r>
              <w:rPr>
                <w:rFonts w:eastAsia="DengXian"/>
              </w:rPr>
              <w:t>13.3%</w:t>
            </w:r>
          </w:p>
        </w:tc>
        <w:tc>
          <w:tcPr>
            <w:tcW w:w="850" w:type="dxa"/>
            <w:tcBorders>
              <w:top w:val="single" w:color="auto" w:sz="4" w:space="0"/>
              <w:left w:val="single" w:color="auto" w:sz="4" w:space="0"/>
              <w:bottom w:val="single" w:color="auto" w:sz="4" w:space="0"/>
              <w:right w:val="single" w:color="auto" w:sz="4" w:space="0"/>
            </w:tcBorders>
          </w:tcPr>
          <w:p w14:paraId="04785F0C">
            <w:pPr>
              <w:spacing w:line="360" w:lineRule="auto"/>
              <w:jc w:val="center"/>
              <w:rPr>
                <w:rFonts w:eastAsia="DengXian"/>
              </w:rPr>
            </w:pPr>
            <w:r>
              <w:rPr>
                <w:rFonts w:eastAsia="DengXian"/>
              </w:rPr>
              <w:t>62</w:t>
            </w:r>
          </w:p>
          <w:p w14:paraId="18E2F666">
            <w:pPr>
              <w:spacing w:line="360" w:lineRule="auto"/>
              <w:jc w:val="center"/>
              <w:rPr>
                <w:rFonts w:eastAsia="DengXian"/>
              </w:rPr>
            </w:pPr>
            <w:r>
              <w:rPr>
                <w:rFonts w:eastAsia="DengXian"/>
              </w:rPr>
              <w:t>82.7%</w:t>
            </w:r>
          </w:p>
        </w:tc>
        <w:tc>
          <w:tcPr>
            <w:tcW w:w="851" w:type="dxa"/>
            <w:tcBorders>
              <w:top w:val="single" w:color="auto" w:sz="4" w:space="0"/>
              <w:left w:val="single" w:color="auto" w:sz="4" w:space="0"/>
              <w:bottom w:val="single" w:color="auto" w:sz="4" w:space="0"/>
              <w:right w:val="single" w:color="auto" w:sz="4" w:space="0"/>
            </w:tcBorders>
          </w:tcPr>
          <w:p w14:paraId="561372E2">
            <w:pPr>
              <w:spacing w:line="360" w:lineRule="auto"/>
              <w:jc w:val="center"/>
              <w:rPr>
                <w:rFonts w:eastAsia="DengXian"/>
              </w:rPr>
            </w:pPr>
            <w:r>
              <w:rPr>
                <w:rFonts w:eastAsia="DengXian"/>
              </w:rPr>
              <w:t>75</w:t>
            </w:r>
          </w:p>
          <w:p w14:paraId="432B1B0C">
            <w:pPr>
              <w:spacing w:line="360" w:lineRule="auto"/>
              <w:jc w:val="center"/>
              <w:rPr>
                <w:rFonts w:eastAsia="DengXian"/>
              </w:rPr>
            </w:pPr>
            <w:r>
              <w:rPr>
                <w:rFonts w:eastAsia="DengXian"/>
              </w:rPr>
              <w:t>94.9%</w:t>
            </w:r>
          </w:p>
        </w:tc>
      </w:tr>
      <w:tr w14:paraId="09B89B52">
        <w:tblPrEx>
          <w:tblCellMar>
            <w:top w:w="0" w:type="dxa"/>
            <w:left w:w="108" w:type="dxa"/>
            <w:bottom w:w="0" w:type="dxa"/>
            <w:right w:w="108" w:type="dxa"/>
          </w:tblCellMar>
        </w:tblPrEx>
        <w:trPr>
          <w:trHeight w:val="358" w:hRule="atLeast"/>
          <w:jc w:val="center"/>
        </w:trPr>
        <w:tc>
          <w:tcPr>
            <w:tcW w:w="638" w:type="dxa"/>
            <w:tcBorders>
              <w:top w:val="single" w:color="auto" w:sz="4" w:space="0"/>
              <w:left w:val="single" w:color="auto" w:sz="4" w:space="0"/>
              <w:bottom w:val="single" w:color="auto" w:sz="4" w:space="0"/>
              <w:right w:val="single" w:color="auto" w:sz="4" w:space="0"/>
            </w:tcBorders>
          </w:tcPr>
          <w:p w14:paraId="51421228">
            <w:pPr>
              <w:spacing w:line="360" w:lineRule="auto"/>
              <w:jc w:val="both"/>
              <w:rPr>
                <w:rFonts w:eastAsia="DengXian"/>
              </w:rPr>
            </w:pPr>
            <w:r>
              <w:rPr>
                <w:rFonts w:eastAsia="DengXian"/>
              </w:rPr>
              <w:t>5</w:t>
            </w:r>
          </w:p>
        </w:tc>
        <w:tc>
          <w:tcPr>
            <w:tcW w:w="4319" w:type="dxa"/>
            <w:tcBorders>
              <w:top w:val="single" w:color="auto" w:sz="4" w:space="0"/>
              <w:left w:val="single" w:color="auto" w:sz="4" w:space="0"/>
              <w:bottom w:val="single" w:color="auto" w:sz="4" w:space="0"/>
              <w:right w:val="single" w:color="auto" w:sz="4" w:space="0"/>
            </w:tcBorders>
          </w:tcPr>
          <w:p w14:paraId="6EBF5AA6">
            <w:pPr>
              <w:autoSpaceDE w:val="0"/>
              <w:autoSpaceDN w:val="0"/>
              <w:adjustRightInd w:val="0"/>
              <w:spacing w:line="360" w:lineRule="auto"/>
              <w:jc w:val="both"/>
              <w:rPr>
                <w:rFonts w:eastAsia="TimesNewRomanPSMT"/>
                <w:b/>
                <w:bCs/>
              </w:rPr>
            </w:pPr>
            <w:r>
              <w:rPr>
                <w:rFonts w:eastAsia="DengXian"/>
                <w:lang w:val="en-GB"/>
              </w:rPr>
              <w:t xml:space="preserve">The ownership of natural resources under the 1999 Nigerian Constitution creates a vertical imbalance and the competition for revenue between the FG &amp; federating units. </w:t>
            </w:r>
          </w:p>
        </w:tc>
        <w:tc>
          <w:tcPr>
            <w:tcW w:w="708" w:type="dxa"/>
            <w:tcBorders>
              <w:top w:val="single" w:color="auto" w:sz="4" w:space="0"/>
              <w:left w:val="single" w:color="auto" w:sz="4" w:space="0"/>
              <w:bottom w:val="single" w:color="auto" w:sz="4" w:space="0"/>
              <w:right w:val="single" w:color="auto" w:sz="4" w:space="0"/>
            </w:tcBorders>
          </w:tcPr>
          <w:p w14:paraId="3E059581">
            <w:pPr>
              <w:spacing w:line="360" w:lineRule="auto"/>
              <w:jc w:val="center"/>
              <w:rPr>
                <w:rFonts w:eastAsia="DengXian"/>
              </w:rPr>
            </w:pPr>
            <w:r>
              <w:rPr>
                <w:rFonts w:eastAsia="DengXian"/>
              </w:rPr>
              <w:t>0</w:t>
            </w:r>
          </w:p>
          <w:p w14:paraId="774551CC">
            <w:pPr>
              <w:spacing w:line="360" w:lineRule="auto"/>
              <w:jc w:val="center"/>
              <w:rPr>
                <w:rFonts w:eastAsia="DengXian"/>
              </w:rPr>
            </w:pPr>
            <w:r>
              <w:rPr>
                <w:rFonts w:eastAsia="DengXian"/>
              </w:rPr>
              <w:t>0%</w:t>
            </w:r>
          </w:p>
        </w:tc>
        <w:tc>
          <w:tcPr>
            <w:tcW w:w="851" w:type="dxa"/>
            <w:tcBorders>
              <w:top w:val="single" w:color="auto" w:sz="4" w:space="0"/>
              <w:left w:val="single" w:color="auto" w:sz="4" w:space="0"/>
              <w:bottom w:val="single" w:color="auto" w:sz="4" w:space="0"/>
              <w:right w:val="single" w:color="auto" w:sz="4" w:space="0"/>
            </w:tcBorders>
          </w:tcPr>
          <w:p w14:paraId="395FFA71">
            <w:pPr>
              <w:spacing w:line="360" w:lineRule="auto"/>
              <w:jc w:val="center"/>
              <w:rPr>
                <w:rFonts w:eastAsia="DengXian"/>
              </w:rPr>
            </w:pPr>
            <w:r>
              <w:rPr>
                <w:rFonts w:eastAsia="DengXian"/>
              </w:rPr>
              <w:t>2</w:t>
            </w:r>
          </w:p>
          <w:p w14:paraId="32179A4B">
            <w:pPr>
              <w:spacing w:line="360" w:lineRule="auto"/>
              <w:jc w:val="center"/>
              <w:rPr>
                <w:rFonts w:eastAsia="DengXian"/>
              </w:rPr>
            </w:pPr>
            <w:r>
              <w:rPr>
                <w:rFonts w:eastAsia="DengXian"/>
              </w:rPr>
              <w:t>2.6%</w:t>
            </w:r>
          </w:p>
        </w:tc>
        <w:tc>
          <w:tcPr>
            <w:tcW w:w="850" w:type="dxa"/>
            <w:tcBorders>
              <w:top w:val="single" w:color="auto" w:sz="4" w:space="0"/>
              <w:left w:val="single" w:color="auto" w:sz="4" w:space="0"/>
              <w:bottom w:val="single" w:color="auto" w:sz="4" w:space="0"/>
              <w:right w:val="single" w:color="auto" w:sz="4" w:space="0"/>
            </w:tcBorders>
          </w:tcPr>
          <w:p w14:paraId="4E86EF89">
            <w:pPr>
              <w:spacing w:line="360" w:lineRule="auto"/>
              <w:jc w:val="center"/>
              <w:rPr>
                <w:rFonts w:eastAsia="DengXian"/>
              </w:rPr>
            </w:pPr>
            <w:r>
              <w:rPr>
                <w:rFonts w:eastAsia="DengXian"/>
              </w:rPr>
              <w:t>16</w:t>
            </w:r>
          </w:p>
          <w:p w14:paraId="29A02EC4">
            <w:pPr>
              <w:spacing w:line="360" w:lineRule="auto"/>
              <w:jc w:val="center"/>
              <w:rPr>
                <w:rFonts w:eastAsia="DengXian"/>
              </w:rPr>
            </w:pPr>
            <w:r>
              <w:rPr>
                <w:rFonts w:eastAsia="DengXian"/>
              </w:rPr>
              <w:t>21.1%</w:t>
            </w:r>
          </w:p>
        </w:tc>
        <w:tc>
          <w:tcPr>
            <w:tcW w:w="851" w:type="dxa"/>
            <w:tcBorders>
              <w:top w:val="single" w:color="auto" w:sz="4" w:space="0"/>
              <w:left w:val="single" w:color="auto" w:sz="4" w:space="0"/>
              <w:bottom w:val="single" w:color="auto" w:sz="4" w:space="0"/>
              <w:right w:val="single" w:color="auto" w:sz="4" w:space="0"/>
            </w:tcBorders>
          </w:tcPr>
          <w:p w14:paraId="012EE06F">
            <w:pPr>
              <w:spacing w:line="360" w:lineRule="auto"/>
              <w:jc w:val="center"/>
              <w:rPr>
                <w:rFonts w:eastAsia="DengXian"/>
              </w:rPr>
            </w:pPr>
            <w:r>
              <w:rPr>
                <w:rFonts w:eastAsia="DengXian"/>
              </w:rPr>
              <w:t>25</w:t>
            </w:r>
          </w:p>
          <w:p w14:paraId="7E64C3E2">
            <w:pPr>
              <w:spacing w:line="360" w:lineRule="auto"/>
              <w:jc w:val="center"/>
              <w:rPr>
                <w:rFonts w:eastAsia="DengXian"/>
              </w:rPr>
            </w:pPr>
            <w:r>
              <w:rPr>
                <w:rFonts w:eastAsia="DengXian"/>
              </w:rPr>
              <w:t>32.9%</w:t>
            </w:r>
          </w:p>
        </w:tc>
        <w:tc>
          <w:tcPr>
            <w:tcW w:w="850" w:type="dxa"/>
            <w:tcBorders>
              <w:top w:val="single" w:color="auto" w:sz="4" w:space="0"/>
              <w:left w:val="single" w:color="auto" w:sz="4" w:space="0"/>
              <w:bottom w:val="single" w:color="auto" w:sz="4" w:space="0"/>
              <w:right w:val="single" w:color="auto" w:sz="4" w:space="0"/>
            </w:tcBorders>
          </w:tcPr>
          <w:p w14:paraId="7ABBB2D4">
            <w:pPr>
              <w:spacing w:line="360" w:lineRule="auto"/>
              <w:jc w:val="center"/>
              <w:rPr>
                <w:rFonts w:eastAsia="DengXian"/>
              </w:rPr>
            </w:pPr>
            <w:r>
              <w:rPr>
                <w:rFonts w:eastAsia="DengXian"/>
              </w:rPr>
              <w:t>33</w:t>
            </w:r>
          </w:p>
          <w:p w14:paraId="0DC872D1">
            <w:pPr>
              <w:spacing w:line="360" w:lineRule="auto"/>
              <w:jc w:val="center"/>
              <w:rPr>
                <w:rFonts w:eastAsia="DengXian"/>
              </w:rPr>
            </w:pPr>
            <w:r>
              <w:rPr>
                <w:rFonts w:eastAsia="DengXian"/>
              </w:rPr>
              <w:t>43.4%</w:t>
            </w:r>
          </w:p>
        </w:tc>
        <w:tc>
          <w:tcPr>
            <w:tcW w:w="851" w:type="dxa"/>
            <w:tcBorders>
              <w:top w:val="single" w:color="auto" w:sz="4" w:space="0"/>
              <w:left w:val="single" w:color="auto" w:sz="4" w:space="0"/>
              <w:bottom w:val="single" w:color="auto" w:sz="4" w:space="0"/>
              <w:right w:val="single" w:color="auto" w:sz="4" w:space="0"/>
            </w:tcBorders>
          </w:tcPr>
          <w:p w14:paraId="5DE982E2">
            <w:pPr>
              <w:spacing w:line="360" w:lineRule="auto"/>
              <w:jc w:val="center"/>
              <w:rPr>
                <w:rFonts w:eastAsia="DengXian"/>
              </w:rPr>
            </w:pPr>
            <w:r>
              <w:rPr>
                <w:rFonts w:eastAsia="DengXian"/>
              </w:rPr>
              <w:t>76</w:t>
            </w:r>
          </w:p>
          <w:p w14:paraId="624EF277">
            <w:pPr>
              <w:spacing w:line="360" w:lineRule="auto"/>
              <w:jc w:val="center"/>
              <w:rPr>
                <w:rFonts w:eastAsia="DengXian"/>
              </w:rPr>
            </w:pPr>
            <w:r>
              <w:rPr>
                <w:rFonts w:eastAsia="DengXian"/>
              </w:rPr>
              <w:t>96.2%</w:t>
            </w:r>
          </w:p>
        </w:tc>
      </w:tr>
    </w:tbl>
    <w:p w14:paraId="0A2B5556">
      <w:pPr>
        <w:spacing w:line="360" w:lineRule="auto"/>
        <w:jc w:val="both"/>
        <w:rPr>
          <w:rFonts w:eastAsia="DengXian"/>
        </w:rPr>
      </w:pPr>
    </w:p>
    <w:p w14:paraId="3B756EBA">
      <w:pPr>
        <w:spacing w:line="480" w:lineRule="auto"/>
        <w:jc w:val="both"/>
        <w:rPr>
          <w:rFonts w:eastAsia="Times New Roman"/>
          <w:lang w:val="en-GB"/>
        </w:rPr>
      </w:pPr>
      <w:r>
        <w:rPr>
          <w:rFonts w:eastAsia="DengXian"/>
          <w:lang w:val="en-GB"/>
        </w:rPr>
        <w:t>Drawing from table 6.3.1, fifty-nine (</w:t>
      </w:r>
      <w:r>
        <w:rPr>
          <w:rFonts w:eastAsia="DengXian"/>
          <w:color w:val="0E101A"/>
          <w:lang w:val="en-GB"/>
        </w:rPr>
        <w:t xml:space="preserve">59) respondents strongly agreed </w:t>
      </w:r>
      <w:r>
        <w:rPr>
          <w:rFonts w:eastAsia="DengXian"/>
          <w:lang w:val="en-GB"/>
        </w:rPr>
        <w:t>that transparent engagement between the relevant agencies of government and taxpayers in the fiscal objectives setting and the annual budget exercise are essential for achieving clarity, certainty, and consistency in the design and formulation of fiscal policy and tax legislation making</w:t>
      </w:r>
      <w:r>
        <w:rPr>
          <w:rFonts w:eastAsia="DengXian"/>
          <w:vertAlign w:val="superscript"/>
          <w:lang w:val="en-GB"/>
        </w:rPr>
        <w:footnoteReference w:id="438"/>
      </w:r>
      <w:r>
        <w:rPr>
          <w:rFonts w:eastAsia="DengXian"/>
          <w:lang w:val="en-GB"/>
        </w:rPr>
        <w:t xml:space="preserve">. </w:t>
      </w:r>
      <w:r>
        <w:rPr>
          <w:rFonts w:eastAsia="DengXian"/>
          <w:color w:val="0E101A"/>
          <w:lang w:val="en-GB"/>
        </w:rPr>
        <w:t xml:space="preserve"> </w:t>
      </w:r>
      <w:r>
        <w:rPr>
          <w:rFonts w:eastAsia="Times New Roman"/>
          <w:lang w:val="en-GB"/>
        </w:rPr>
        <w:t xml:space="preserve">Additionally, sixty-one (61) respondents strongly agreed that </w:t>
      </w:r>
      <w:r>
        <w:rPr>
          <w:rFonts w:eastAsia="DengXian"/>
          <w:lang w:val="en-GB"/>
        </w:rPr>
        <w:t>clear policy articulation is important in drafting clear upstream oil and gas tax legislation</w:t>
      </w:r>
      <w:r>
        <w:rPr>
          <w:rFonts w:eastAsia="Times New Roman"/>
          <w:lang w:val="en-GB"/>
        </w:rPr>
        <w:t>. Also, fifty-six (56) respondents strongly agreed that c</w:t>
      </w:r>
      <w:r>
        <w:rPr>
          <w:rFonts w:eastAsia="DengXian"/>
          <w:lang w:val="en-GB"/>
        </w:rPr>
        <w:t>lear fiscal policy objectives, principle-driven tax policy, and drafting competence by the relevant ministries and agencies</w:t>
      </w:r>
      <w:r>
        <w:rPr>
          <w:rFonts w:eastAsia="DengXian"/>
          <w:vertAlign w:val="superscript"/>
          <w:lang w:val="en-GB"/>
        </w:rPr>
        <w:footnoteReference w:id="439"/>
      </w:r>
      <w:r>
        <w:rPr>
          <w:rFonts w:eastAsia="DengXian"/>
          <w:lang w:val="en-GB"/>
        </w:rPr>
        <w:t>, play a vital role in making and drafting clear and certain upstream petroleum tax laws.</w:t>
      </w:r>
      <w:r>
        <w:rPr>
          <w:rFonts w:eastAsia="Times New Roman"/>
          <w:lang w:val="en-GB"/>
        </w:rPr>
        <w:t xml:space="preserve"> </w:t>
      </w:r>
    </w:p>
    <w:p w14:paraId="2325AF09">
      <w:pPr>
        <w:spacing w:line="360" w:lineRule="auto"/>
        <w:jc w:val="both"/>
        <w:rPr>
          <w:rFonts w:eastAsia="Times New Roman"/>
          <w:color w:val="0E101A"/>
        </w:rPr>
      </w:pPr>
    </w:p>
    <w:p w14:paraId="77B8C176">
      <w:pPr>
        <w:spacing w:line="480" w:lineRule="auto"/>
        <w:jc w:val="both"/>
        <w:rPr>
          <w:rFonts w:eastAsia="Times New Roman"/>
          <w:color w:val="0E101A"/>
          <w:lang w:val="en-GB"/>
        </w:rPr>
      </w:pPr>
      <w:r>
        <w:rPr>
          <w:rFonts w:eastAsia="Times New Roman"/>
          <w:color w:val="0E101A"/>
        </w:rPr>
        <w:t xml:space="preserve">In summary, it can be inferred that </w:t>
      </w:r>
      <w:r>
        <w:rPr>
          <w:rFonts w:eastAsia="Times New Roman"/>
          <w:color w:val="0E101A"/>
          <w:lang w:val="en-GB"/>
        </w:rPr>
        <w:t xml:space="preserve">inadequately articulated fiscal policy and tax objectives, including tax avoidance objectives, and delayed review or absence of fiscal reforms and the tax laws were some of the factors identified as contributory to the lack of clarity and predictability of the upstream petroleum tax system. It can be further inferred that structured, open and responsive, and regular engagement with stakeholders, taxpayers, governments and policy makers, tax officials, tax practitioners, professionals, and experts, as well as indigenous and international operators in the sector will facilitate the formulation, development, drafting of policy positions and legislation, and the understanding and consistent interpretation of tax policies and objectives. This underscores the need for government to demonstrate leadership in fiscal policy formulation and tax objective setting, whilst engaging with stakeholder in an open, transparent, and principle-guided manner. </w:t>
      </w:r>
    </w:p>
    <w:p w14:paraId="05E2B9DE">
      <w:pPr>
        <w:spacing w:line="480" w:lineRule="auto"/>
        <w:jc w:val="both"/>
        <w:rPr>
          <w:rFonts w:eastAsia="Times New Roman"/>
          <w:color w:val="0E101A"/>
        </w:rPr>
      </w:pPr>
      <w:r>
        <w:rPr>
          <w:rFonts w:eastAsia="Times New Roman"/>
          <w:color w:val="0E101A"/>
          <w:lang w:val="en-GB"/>
        </w:rPr>
        <w:t xml:space="preserve">Respondents were also of the view that language use, words and concepts provide the basis for expressing policy and legislation and that ambiguity in words, terms and concepts used in tax statutes have often resulted in lack of understanding of the policy and tax objectives, thus making difficult the interpretation of policy or tax objectives. Seventy-two (72) </w:t>
      </w:r>
      <w:r>
        <w:rPr>
          <w:rFonts w:eastAsia="Times New Roman"/>
          <w:color w:val="0E101A"/>
        </w:rPr>
        <w:t xml:space="preserve">respondents agreed that the use of simple language is important and essential in achieving clarity and certainty in upstream oil and gas fiscal and tax policy and tax legislation. </w:t>
      </w:r>
      <w:r>
        <w:rPr>
          <w:rFonts w:eastAsia="Times New Roman"/>
          <w:color w:val="0E101A"/>
          <w:lang w:val="en-GB"/>
        </w:rPr>
        <w:t xml:space="preserve">Rule-based legislative drafting and interpretation is therefore recommended for use, as well as the simple and easy-to-understand language and well-defined technical terms and concepts. </w:t>
      </w:r>
    </w:p>
    <w:p w14:paraId="66011FA3">
      <w:pPr>
        <w:spacing w:line="480" w:lineRule="auto"/>
        <w:jc w:val="both"/>
        <w:rPr>
          <w:rFonts w:eastAsia="Times New Roman"/>
          <w:color w:val="0E101A"/>
        </w:rPr>
      </w:pPr>
    </w:p>
    <w:p w14:paraId="54278D93">
      <w:pPr>
        <w:spacing w:line="480" w:lineRule="auto"/>
        <w:jc w:val="both"/>
        <w:rPr>
          <w:rFonts w:eastAsia="Times New Roman"/>
          <w:color w:val="0E101A"/>
          <w:lang w:val="en-GB"/>
        </w:rPr>
      </w:pPr>
      <w:r>
        <w:rPr>
          <w:rFonts w:eastAsia="Times New Roman"/>
          <w:color w:val="0E101A"/>
          <w:lang w:val="en-GB"/>
        </w:rPr>
        <w:t xml:space="preserve">Furthermore, respondents observed that the National Tax Policy (NTP) should not be a redundant policy document but be responsive in addressing issues arising from taxation generally, and the petroleum industry as a significant contributor to the GDP of the country. The NTP should as a matter of priority guide the thinking, policy formulation and execution of strategies and objectives for clarity in fiscal and tax law making and administration at all levels, including assessment, collection, and regulation. </w:t>
      </w:r>
    </w:p>
    <w:p w14:paraId="0C6F26AF">
      <w:pPr>
        <w:spacing w:line="360" w:lineRule="auto"/>
        <w:jc w:val="both"/>
        <w:rPr>
          <w:rFonts w:eastAsia="Times New Roman"/>
          <w:color w:val="0E101A"/>
        </w:rPr>
      </w:pPr>
    </w:p>
    <w:p w14:paraId="1F2BB8BB">
      <w:pPr>
        <w:spacing w:line="360" w:lineRule="auto"/>
        <w:ind w:left="360"/>
        <w:jc w:val="both"/>
        <w:rPr>
          <w:rFonts w:eastAsia="DengXian"/>
          <w:b/>
          <w:bCs/>
        </w:rPr>
      </w:pPr>
      <w:r>
        <w:rPr>
          <w:rFonts w:eastAsia="DengXian"/>
          <w:b/>
          <w:bCs/>
        </w:rPr>
        <w:t>6.3.2</w:t>
      </w:r>
      <w:r>
        <w:rPr>
          <w:rFonts w:eastAsia="DengXian"/>
          <w:b/>
          <w:bCs/>
        </w:rPr>
        <w:tab/>
      </w:r>
      <w:r>
        <w:rPr>
          <w:rFonts w:eastAsia="DengXian"/>
          <w:b/>
          <w:bCs/>
        </w:rPr>
        <w:t>Constitutional and Statutory Framework</w:t>
      </w:r>
    </w:p>
    <w:p w14:paraId="6B5A9767">
      <w:pPr>
        <w:spacing w:line="360" w:lineRule="auto"/>
        <w:jc w:val="both"/>
        <w:rPr>
          <w:rFonts w:eastAsia="DengXian"/>
          <w:b/>
          <w:bCs/>
        </w:rPr>
      </w:pPr>
      <w:r>
        <w:rPr>
          <w:rFonts w:eastAsia="DengXian"/>
          <w:b/>
          <w:bCs/>
        </w:rPr>
        <w:t>Table</w:t>
      </w:r>
      <w:r>
        <w:rPr>
          <w:rFonts w:eastAsia="DengXian"/>
        </w:rPr>
        <w:t xml:space="preserve"> </w:t>
      </w:r>
      <w:r>
        <w:rPr>
          <w:rFonts w:eastAsia="DengXian"/>
          <w:b/>
          <w:bCs/>
        </w:rPr>
        <w:t>6.3.2 Frequency Distribution for Constitutional and Statutory Framework and Regulations</w:t>
      </w:r>
    </w:p>
    <w:tbl>
      <w:tblPr>
        <w:tblStyle w:val="13"/>
        <w:tblW w:w="9634" w:type="dxa"/>
        <w:jc w:val="center"/>
        <w:tblLayout w:type="fixed"/>
        <w:tblCellMar>
          <w:top w:w="0" w:type="dxa"/>
          <w:left w:w="108" w:type="dxa"/>
          <w:bottom w:w="0" w:type="dxa"/>
          <w:right w:w="108" w:type="dxa"/>
        </w:tblCellMar>
      </w:tblPr>
      <w:tblGrid>
        <w:gridCol w:w="421"/>
        <w:gridCol w:w="3827"/>
        <w:gridCol w:w="850"/>
        <w:gridCol w:w="851"/>
        <w:gridCol w:w="850"/>
        <w:gridCol w:w="851"/>
        <w:gridCol w:w="850"/>
        <w:gridCol w:w="1134"/>
      </w:tblGrid>
      <w:tr w14:paraId="67EEF7F2">
        <w:tblPrEx>
          <w:tblCellMar>
            <w:top w:w="0" w:type="dxa"/>
            <w:left w:w="108" w:type="dxa"/>
            <w:bottom w:w="0" w:type="dxa"/>
            <w:right w:w="108" w:type="dxa"/>
          </w:tblCellMar>
        </w:tblPrEx>
        <w:trPr>
          <w:trHeight w:val="152" w:hRule="atLeast"/>
          <w:jc w:val="center"/>
        </w:trPr>
        <w:tc>
          <w:tcPr>
            <w:tcW w:w="421" w:type="dxa"/>
            <w:vMerge w:val="restart"/>
            <w:tcBorders>
              <w:top w:val="single" w:color="auto" w:sz="4" w:space="0"/>
              <w:left w:val="single" w:color="auto" w:sz="4" w:space="0"/>
              <w:bottom w:val="single" w:color="auto" w:sz="4" w:space="0"/>
              <w:right w:val="single" w:color="auto" w:sz="4" w:space="0"/>
            </w:tcBorders>
          </w:tcPr>
          <w:p w14:paraId="0D6F3079">
            <w:pPr>
              <w:spacing w:line="360" w:lineRule="auto"/>
              <w:jc w:val="both"/>
              <w:rPr>
                <w:rFonts w:eastAsia="DengXian"/>
                <w:b/>
                <w:bCs/>
              </w:rPr>
            </w:pPr>
            <w:r>
              <w:rPr>
                <w:rFonts w:eastAsia="DengXian"/>
                <w:b/>
                <w:bCs/>
              </w:rPr>
              <w:t xml:space="preserve">S/N </w:t>
            </w:r>
          </w:p>
        </w:tc>
        <w:tc>
          <w:tcPr>
            <w:tcW w:w="3827" w:type="dxa"/>
            <w:vMerge w:val="restart"/>
            <w:tcBorders>
              <w:top w:val="single" w:color="auto" w:sz="4" w:space="0"/>
              <w:left w:val="single" w:color="auto" w:sz="4" w:space="0"/>
              <w:bottom w:val="single" w:color="auto" w:sz="4" w:space="0"/>
              <w:right w:val="single" w:color="auto" w:sz="4" w:space="0"/>
            </w:tcBorders>
          </w:tcPr>
          <w:p w14:paraId="7DA354B7">
            <w:pPr>
              <w:spacing w:line="360" w:lineRule="auto"/>
              <w:jc w:val="center"/>
              <w:rPr>
                <w:rFonts w:eastAsia="DengXian"/>
                <w:b/>
                <w:bCs/>
              </w:rPr>
            </w:pPr>
            <w:r>
              <w:rPr>
                <w:rFonts w:eastAsia="DengXian"/>
                <w:b/>
                <w:bCs/>
              </w:rPr>
              <w:t>QUESTIONS</w:t>
            </w:r>
          </w:p>
        </w:tc>
        <w:tc>
          <w:tcPr>
            <w:tcW w:w="4252" w:type="dxa"/>
            <w:gridSpan w:val="5"/>
            <w:tcBorders>
              <w:top w:val="single" w:color="auto" w:sz="4" w:space="0"/>
              <w:left w:val="single" w:color="auto" w:sz="4" w:space="0"/>
              <w:bottom w:val="single" w:color="auto" w:sz="4" w:space="0"/>
              <w:right w:val="single" w:color="auto" w:sz="4" w:space="0"/>
            </w:tcBorders>
          </w:tcPr>
          <w:p w14:paraId="7DF5EA9C">
            <w:pPr>
              <w:spacing w:line="360" w:lineRule="auto"/>
              <w:jc w:val="center"/>
              <w:rPr>
                <w:rFonts w:eastAsia="DengXian"/>
                <w:b/>
                <w:bCs/>
              </w:rPr>
            </w:pPr>
            <w:r>
              <w:rPr>
                <w:rFonts w:eastAsia="DengXian"/>
                <w:b/>
                <w:bCs/>
              </w:rPr>
              <w:t>FREQUENCY AND PERCENTAGE</w:t>
            </w:r>
          </w:p>
        </w:tc>
        <w:tc>
          <w:tcPr>
            <w:tcW w:w="1134" w:type="dxa"/>
            <w:vMerge w:val="restart"/>
            <w:tcBorders>
              <w:top w:val="single" w:color="auto" w:sz="4" w:space="0"/>
              <w:left w:val="single" w:color="auto" w:sz="4" w:space="0"/>
              <w:bottom w:val="single" w:color="auto" w:sz="4" w:space="0"/>
              <w:right w:val="single" w:color="auto" w:sz="4" w:space="0"/>
            </w:tcBorders>
          </w:tcPr>
          <w:p w14:paraId="5E3665DF">
            <w:pPr>
              <w:spacing w:line="360" w:lineRule="auto"/>
              <w:jc w:val="center"/>
              <w:rPr>
                <w:rFonts w:eastAsia="DengXian"/>
                <w:b/>
                <w:bCs/>
              </w:rPr>
            </w:pPr>
            <w:r>
              <w:rPr>
                <w:rFonts w:eastAsia="DengXian"/>
                <w:b/>
                <w:bCs/>
              </w:rPr>
              <w:t>TOTAL</w:t>
            </w:r>
          </w:p>
        </w:tc>
      </w:tr>
      <w:tr w14:paraId="1C49C06E">
        <w:tblPrEx>
          <w:tblCellMar>
            <w:top w:w="0" w:type="dxa"/>
            <w:left w:w="108" w:type="dxa"/>
            <w:bottom w:w="0" w:type="dxa"/>
            <w:right w:w="108" w:type="dxa"/>
          </w:tblCellMar>
        </w:tblPrEx>
        <w:trPr>
          <w:trHeight w:val="98" w:hRule="atLeast"/>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14:paraId="55AAFA3F">
            <w:pPr>
              <w:spacing w:line="360" w:lineRule="auto"/>
              <w:rPr>
                <w:rFonts w:eastAsia="DengXian"/>
                <w:b/>
                <w:bCs/>
              </w:rPr>
            </w:pPr>
          </w:p>
        </w:tc>
        <w:tc>
          <w:tcPr>
            <w:tcW w:w="3827" w:type="dxa"/>
            <w:vMerge w:val="continue"/>
            <w:tcBorders>
              <w:top w:val="single" w:color="auto" w:sz="4" w:space="0"/>
              <w:left w:val="single" w:color="auto" w:sz="4" w:space="0"/>
              <w:bottom w:val="single" w:color="auto" w:sz="4" w:space="0"/>
              <w:right w:val="single" w:color="auto" w:sz="4" w:space="0"/>
            </w:tcBorders>
            <w:vAlign w:val="center"/>
          </w:tcPr>
          <w:p w14:paraId="1B4F1BFB">
            <w:pPr>
              <w:spacing w:line="360" w:lineRule="auto"/>
              <w:rPr>
                <w:rFonts w:eastAsia="DengXian"/>
                <w:b/>
                <w:bCs/>
              </w:rPr>
            </w:pPr>
          </w:p>
        </w:tc>
        <w:tc>
          <w:tcPr>
            <w:tcW w:w="850" w:type="dxa"/>
            <w:tcBorders>
              <w:top w:val="single" w:color="auto" w:sz="4" w:space="0"/>
              <w:left w:val="single" w:color="auto" w:sz="4" w:space="0"/>
              <w:bottom w:val="single" w:color="auto" w:sz="4" w:space="0"/>
              <w:right w:val="single" w:color="auto" w:sz="4" w:space="0"/>
            </w:tcBorders>
          </w:tcPr>
          <w:p w14:paraId="44F11E89">
            <w:pPr>
              <w:spacing w:line="360" w:lineRule="auto"/>
              <w:jc w:val="center"/>
              <w:rPr>
                <w:rFonts w:eastAsia="DengXian"/>
                <w:b/>
                <w:bCs/>
              </w:rPr>
            </w:pPr>
            <w:r>
              <w:rPr>
                <w:rFonts w:eastAsia="DengXian"/>
                <w:b/>
                <w:bCs/>
              </w:rPr>
              <w:t>SD</w:t>
            </w:r>
          </w:p>
          <w:p w14:paraId="712D4A01">
            <w:pPr>
              <w:spacing w:line="360" w:lineRule="auto"/>
              <w:jc w:val="center"/>
              <w:rPr>
                <w:rFonts w:eastAsia="DengXian"/>
                <w:b/>
                <w:bCs/>
              </w:rPr>
            </w:pPr>
            <w:r>
              <w:rPr>
                <w:rFonts w:eastAsia="DengXian"/>
                <w:b/>
                <w:bCs/>
              </w:rPr>
              <w:t>1</w:t>
            </w:r>
          </w:p>
        </w:tc>
        <w:tc>
          <w:tcPr>
            <w:tcW w:w="851" w:type="dxa"/>
            <w:tcBorders>
              <w:top w:val="single" w:color="auto" w:sz="4" w:space="0"/>
              <w:left w:val="single" w:color="auto" w:sz="4" w:space="0"/>
              <w:bottom w:val="single" w:color="auto" w:sz="4" w:space="0"/>
              <w:right w:val="single" w:color="auto" w:sz="4" w:space="0"/>
            </w:tcBorders>
          </w:tcPr>
          <w:p w14:paraId="717CF934">
            <w:pPr>
              <w:spacing w:line="360" w:lineRule="auto"/>
              <w:jc w:val="center"/>
              <w:rPr>
                <w:rFonts w:eastAsia="DengXian"/>
                <w:b/>
                <w:bCs/>
              </w:rPr>
            </w:pPr>
            <w:r>
              <w:rPr>
                <w:rFonts w:eastAsia="DengXian"/>
                <w:b/>
                <w:bCs/>
              </w:rPr>
              <w:t>D</w:t>
            </w:r>
          </w:p>
          <w:p w14:paraId="62712F02">
            <w:pPr>
              <w:spacing w:line="360" w:lineRule="auto"/>
              <w:jc w:val="center"/>
              <w:rPr>
                <w:rFonts w:eastAsia="DengXian"/>
                <w:b/>
                <w:bCs/>
              </w:rPr>
            </w:pPr>
            <w:r>
              <w:rPr>
                <w:rFonts w:eastAsia="DengXian"/>
                <w:b/>
                <w:bCs/>
              </w:rPr>
              <w:t>2</w:t>
            </w:r>
          </w:p>
        </w:tc>
        <w:tc>
          <w:tcPr>
            <w:tcW w:w="850" w:type="dxa"/>
            <w:tcBorders>
              <w:top w:val="single" w:color="auto" w:sz="4" w:space="0"/>
              <w:left w:val="single" w:color="auto" w:sz="4" w:space="0"/>
              <w:bottom w:val="single" w:color="auto" w:sz="4" w:space="0"/>
              <w:right w:val="single" w:color="auto" w:sz="4" w:space="0"/>
            </w:tcBorders>
          </w:tcPr>
          <w:p w14:paraId="2B2547F4">
            <w:pPr>
              <w:spacing w:line="360" w:lineRule="auto"/>
              <w:jc w:val="center"/>
              <w:rPr>
                <w:rFonts w:eastAsia="DengXian"/>
                <w:b/>
                <w:bCs/>
              </w:rPr>
            </w:pPr>
            <w:r>
              <w:rPr>
                <w:rFonts w:eastAsia="DengXian"/>
                <w:b/>
                <w:bCs/>
              </w:rPr>
              <w:t>U</w:t>
            </w:r>
          </w:p>
          <w:p w14:paraId="50462884">
            <w:pPr>
              <w:spacing w:line="360" w:lineRule="auto"/>
              <w:jc w:val="center"/>
              <w:rPr>
                <w:rFonts w:eastAsia="DengXian"/>
                <w:b/>
                <w:bCs/>
              </w:rPr>
            </w:pPr>
            <w:r>
              <w:rPr>
                <w:rFonts w:eastAsia="DengXian"/>
                <w:b/>
                <w:bCs/>
              </w:rPr>
              <w:t>3</w:t>
            </w:r>
          </w:p>
        </w:tc>
        <w:tc>
          <w:tcPr>
            <w:tcW w:w="851" w:type="dxa"/>
            <w:tcBorders>
              <w:top w:val="single" w:color="auto" w:sz="4" w:space="0"/>
              <w:left w:val="single" w:color="auto" w:sz="4" w:space="0"/>
              <w:bottom w:val="single" w:color="auto" w:sz="4" w:space="0"/>
              <w:right w:val="single" w:color="auto" w:sz="4" w:space="0"/>
            </w:tcBorders>
          </w:tcPr>
          <w:p w14:paraId="2E8D37BB">
            <w:pPr>
              <w:spacing w:line="360" w:lineRule="auto"/>
              <w:jc w:val="center"/>
              <w:rPr>
                <w:rFonts w:eastAsia="DengXian"/>
                <w:b/>
                <w:bCs/>
              </w:rPr>
            </w:pPr>
            <w:r>
              <w:rPr>
                <w:rFonts w:eastAsia="DengXian"/>
                <w:b/>
                <w:bCs/>
              </w:rPr>
              <w:t>A</w:t>
            </w:r>
          </w:p>
          <w:p w14:paraId="7A9FCA5C">
            <w:pPr>
              <w:spacing w:line="360" w:lineRule="auto"/>
              <w:jc w:val="center"/>
              <w:rPr>
                <w:rFonts w:eastAsia="DengXian"/>
                <w:b/>
                <w:bCs/>
              </w:rPr>
            </w:pPr>
            <w:r>
              <w:rPr>
                <w:rFonts w:eastAsia="DengXian"/>
                <w:b/>
                <w:bCs/>
              </w:rPr>
              <w:t>4</w:t>
            </w:r>
          </w:p>
        </w:tc>
        <w:tc>
          <w:tcPr>
            <w:tcW w:w="850" w:type="dxa"/>
            <w:tcBorders>
              <w:top w:val="single" w:color="auto" w:sz="4" w:space="0"/>
              <w:left w:val="single" w:color="auto" w:sz="4" w:space="0"/>
              <w:bottom w:val="single" w:color="auto" w:sz="4" w:space="0"/>
              <w:right w:val="single" w:color="auto" w:sz="4" w:space="0"/>
            </w:tcBorders>
          </w:tcPr>
          <w:p w14:paraId="5F232BEC">
            <w:pPr>
              <w:spacing w:line="360" w:lineRule="auto"/>
              <w:jc w:val="center"/>
              <w:rPr>
                <w:rFonts w:eastAsia="DengXian"/>
                <w:b/>
                <w:bCs/>
              </w:rPr>
            </w:pPr>
            <w:r>
              <w:rPr>
                <w:rFonts w:eastAsia="DengXian"/>
                <w:b/>
                <w:bCs/>
              </w:rPr>
              <w:t>SA</w:t>
            </w:r>
          </w:p>
          <w:p w14:paraId="6358EA5A">
            <w:pPr>
              <w:spacing w:line="360" w:lineRule="auto"/>
              <w:jc w:val="center"/>
              <w:rPr>
                <w:rFonts w:eastAsia="DengXian"/>
                <w:b/>
                <w:bCs/>
              </w:rPr>
            </w:pPr>
            <w:r>
              <w:rPr>
                <w:rFonts w:eastAsia="DengXian"/>
                <w:b/>
                <w:bCs/>
              </w:rPr>
              <w:t>5</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2374EE">
            <w:pPr>
              <w:spacing w:line="360" w:lineRule="auto"/>
              <w:rPr>
                <w:rFonts w:eastAsia="DengXian"/>
                <w:b/>
                <w:bCs/>
              </w:rPr>
            </w:pPr>
          </w:p>
        </w:tc>
      </w:tr>
      <w:tr w14:paraId="4774D637">
        <w:tblPrEx>
          <w:tblCellMar>
            <w:top w:w="0" w:type="dxa"/>
            <w:left w:w="108" w:type="dxa"/>
            <w:bottom w:w="0" w:type="dxa"/>
            <w:right w:w="108" w:type="dxa"/>
          </w:tblCellMar>
        </w:tblPrEx>
        <w:trPr>
          <w:trHeight w:val="357" w:hRule="atLeast"/>
          <w:jc w:val="center"/>
        </w:trPr>
        <w:tc>
          <w:tcPr>
            <w:tcW w:w="421" w:type="dxa"/>
            <w:tcBorders>
              <w:top w:val="single" w:color="auto" w:sz="4" w:space="0"/>
              <w:left w:val="single" w:color="auto" w:sz="4" w:space="0"/>
              <w:bottom w:val="single" w:color="auto" w:sz="4" w:space="0"/>
              <w:right w:val="single" w:color="auto" w:sz="4" w:space="0"/>
            </w:tcBorders>
          </w:tcPr>
          <w:p w14:paraId="5467FA00">
            <w:pPr>
              <w:spacing w:line="360" w:lineRule="auto"/>
              <w:jc w:val="both"/>
              <w:rPr>
                <w:rFonts w:eastAsia="DengXian"/>
              </w:rPr>
            </w:pPr>
            <w:r>
              <w:rPr>
                <w:rFonts w:eastAsia="DengXian"/>
              </w:rPr>
              <w:t>1</w:t>
            </w:r>
          </w:p>
        </w:tc>
        <w:tc>
          <w:tcPr>
            <w:tcW w:w="3827" w:type="dxa"/>
            <w:tcBorders>
              <w:top w:val="single" w:color="auto" w:sz="4" w:space="0"/>
              <w:left w:val="single" w:color="auto" w:sz="4" w:space="0"/>
              <w:bottom w:val="single" w:color="auto" w:sz="4" w:space="0"/>
              <w:right w:val="single" w:color="auto" w:sz="4" w:space="0"/>
            </w:tcBorders>
          </w:tcPr>
          <w:p w14:paraId="33EEBB20">
            <w:pPr>
              <w:autoSpaceDE w:val="0"/>
              <w:autoSpaceDN w:val="0"/>
              <w:adjustRightInd w:val="0"/>
              <w:spacing w:line="360" w:lineRule="auto"/>
              <w:jc w:val="both"/>
              <w:rPr>
                <w:rFonts w:eastAsia="TimesNewRomanPSMT"/>
              </w:rPr>
            </w:pPr>
            <w:r>
              <w:rPr>
                <w:rFonts w:eastAsia="DengXian"/>
              </w:rPr>
              <w:t xml:space="preserve">The exclusive control of fiscal and income and profits taxing powers over petroleum resources under the 1999 Constitution by the FG creates revenue tension and multiple levies. </w:t>
            </w:r>
          </w:p>
        </w:tc>
        <w:tc>
          <w:tcPr>
            <w:tcW w:w="850" w:type="dxa"/>
            <w:tcBorders>
              <w:top w:val="single" w:color="auto" w:sz="4" w:space="0"/>
              <w:left w:val="single" w:color="auto" w:sz="4" w:space="0"/>
              <w:bottom w:val="single" w:color="auto" w:sz="4" w:space="0"/>
              <w:right w:val="single" w:color="auto" w:sz="4" w:space="0"/>
            </w:tcBorders>
          </w:tcPr>
          <w:p w14:paraId="688D8E65">
            <w:pPr>
              <w:spacing w:line="360" w:lineRule="auto"/>
              <w:jc w:val="center"/>
              <w:rPr>
                <w:rFonts w:eastAsia="DengXian"/>
              </w:rPr>
            </w:pPr>
            <w:r>
              <w:rPr>
                <w:rFonts w:eastAsia="DengXian"/>
              </w:rPr>
              <w:t>3</w:t>
            </w:r>
          </w:p>
          <w:p w14:paraId="199C9561">
            <w:pPr>
              <w:spacing w:line="360" w:lineRule="auto"/>
              <w:jc w:val="center"/>
              <w:rPr>
                <w:rFonts w:eastAsia="DengXian"/>
              </w:rPr>
            </w:pPr>
            <w:r>
              <w:rPr>
                <w:rFonts w:eastAsia="DengXian"/>
              </w:rPr>
              <w:t>3.9%</w:t>
            </w:r>
          </w:p>
        </w:tc>
        <w:tc>
          <w:tcPr>
            <w:tcW w:w="851" w:type="dxa"/>
            <w:tcBorders>
              <w:top w:val="single" w:color="auto" w:sz="4" w:space="0"/>
              <w:left w:val="single" w:color="auto" w:sz="4" w:space="0"/>
              <w:bottom w:val="single" w:color="auto" w:sz="4" w:space="0"/>
              <w:right w:val="single" w:color="auto" w:sz="4" w:space="0"/>
            </w:tcBorders>
          </w:tcPr>
          <w:p w14:paraId="271B782A">
            <w:pPr>
              <w:spacing w:line="360" w:lineRule="auto"/>
              <w:jc w:val="center"/>
              <w:rPr>
                <w:rFonts w:eastAsia="DengXian"/>
              </w:rPr>
            </w:pPr>
            <w:r>
              <w:rPr>
                <w:rFonts w:eastAsia="DengXian"/>
              </w:rPr>
              <w:t>5</w:t>
            </w:r>
          </w:p>
          <w:p w14:paraId="63DDB980">
            <w:pPr>
              <w:spacing w:line="360" w:lineRule="auto"/>
              <w:jc w:val="center"/>
              <w:rPr>
                <w:rFonts w:eastAsia="DengXian"/>
              </w:rPr>
            </w:pPr>
            <w:r>
              <w:rPr>
                <w:rFonts w:eastAsia="DengXian"/>
              </w:rPr>
              <w:t>6.6%</w:t>
            </w:r>
          </w:p>
        </w:tc>
        <w:tc>
          <w:tcPr>
            <w:tcW w:w="850" w:type="dxa"/>
            <w:tcBorders>
              <w:top w:val="single" w:color="auto" w:sz="4" w:space="0"/>
              <w:left w:val="single" w:color="auto" w:sz="4" w:space="0"/>
              <w:bottom w:val="single" w:color="auto" w:sz="4" w:space="0"/>
              <w:right w:val="single" w:color="auto" w:sz="4" w:space="0"/>
            </w:tcBorders>
          </w:tcPr>
          <w:p w14:paraId="4C223FF6">
            <w:pPr>
              <w:spacing w:line="360" w:lineRule="auto"/>
              <w:jc w:val="center"/>
              <w:rPr>
                <w:rFonts w:eastAsia="DengXian"/>
              </w:rPr>
            </w:pPr>
            <w:r>
              <w:rPr>
                <w:rFonts w:eastAsia="DengXian"/>
              </w:rPr>
              <w:t>18</w:t>
            </w:r>
          </w:p>
          <w:p w14:paraId="58FC9FC0">
            <w:pPr>
              <w:spacing w:line="360" w:lineRule="auto"/>
              <w:jc w:val="center"/>
              <w:rPr>
                <w:rFonts w:eastAsia="DengXian"/>
              </w:rPr>
            </w:pPr>
            <w:r>
              <w:rPr>
                <w:rFonts w:eastAsia="DengXian"/>
              </w:rPr>
              <w:t>23.7%</w:t>
            </w:r>
          </w:p>
        </w:tc>
        <w:tc>
          <w:tcPr>
            <w:tcW w:w="851" w:type="dxa"/>
            <w:tcBorders>
              <w:top w:val="single" w:color="auto" w:sz="4" w:space="0"/>
              <w:left w:val="single" w:color="auto" w:sz="4" w:space="0"/>
              <w:bottom w:val="single" w:color="auto" w:sz="4" w:space="0"/>
              <w:right w:val="single" w:color="auto" w:sz="4" w:space="0"/>
            </w:tcBorders>
          </w:tcPr>
          <w:p w14:paraId="6E896B5A">
            <w:pPr>
              <w:spacing w:line="360" w:lineRule="auto"/>
              <w:jc w:val="center"/>
              <w:rPr>
                <w:rFonts w:eastAsia="DengXian"/>
              </w:rPr>
            </w:pPr>
            <w:r>
              <w:rPr>
                <w:rFonts w:eastAsia="DengXian"/>
              </w:rPr>
              <w:t>30</w:t>
            </w:r>
          </w:p>
          <w:p w14:paraId="28E85D66">
            <w:pPr>
              <w:spacing w:line="360" w:lineRule="auto"/>
              <w:jc w:val="center"/>
              <w:rPr>
                <w:rFonts w:eastAsia="DengXian"/>
              </w:rPr>
            </w:pPr>
            <w:r>
              <w:rPr>
                <w:rFonts w:eastAsia="DengXian"/>
              </w:rPr>
              <w:t>39.5%</w:t>
            </w:r>
          </w:p>
        </w:tc>
        <w:tc>
          <w:tcPr>
            <w:tcW w:w="850" w:type="dxa"/>
            <w:tcBorders>
              <w:top w:val="single" w:color="auto" w:sz="4" w:space="0"/>
              <w:left w:val="single" w:color="auto" w:sz="4" w:space="0"/>
              <w:bottom w:val="single" w:color="auto" w:sz="4" w:space="0"/>
              <w:right w:val="single" w:color="auto" w:sz="4" w:space="0"/>
            </w:tcBorders>
          </w:tcPr>
          <w:p w14:paraId="7553D5B6">
            <w:pPr>
              <w:spacing w:line="360" w:lineRule="auto"/>
              <w:jc w:val="center"/>
              <w:rPr>
                <w:rFonts w:eastAsia="DengXian"/>
              </w:rPr>
            </w:pPr>
            <w:r>
              <w:rPr>
                <w:rFonts w:eastAsia="DengXian"/>
              </w:rPr>
              <w:t>20</w:t>
            </w:r>
          </w:p>
          <w:p w14:paraId="2C3AA825">
            <w:pPr>
              <w:spacing w:line="360" w:lineRule="auto"/>
              <w:jc w:val="center"/>
              <w:rPr>
                <w:rFonts w:eastAsia="DengXian"/>
              </w:rPr>
            </w:pPr>
            <w:r>
              <w:rPr>
                <w:rFonts w:eastAsia="DengXian"/>
              </w:rPr>
              <w:t>26.3%</w:t>
            </w:r>
          </w:p>
        </w:tc>
        <w:tc>
          <w:tcPr>
            <w:tcW w:w="1134" w:type="dxa"/>
            <w:tcBorders>
              <w:top w:val="single" w:color="auto" w:sz="4" w:space="0"/>
              <w:left w:val="single" w:color="auto" w:sz="4" w:space="0"/>
              <w:bottom w:val="single" w:color="auto" w:sz="4" w:space="0"/>
              <w:right w:val="single" w:color="auto" w:sz="4" w:space="0"/>
            </w:tcBorders>
          </w:tcPr>
          <w:p w14:paraId="61516530">
            <w:pPr>
              <w:spacing w:line="360" w:lineRule="auto"/>
              <w:jc w:val="center"/>
              <w:rPr>
                <w:rFonts w:eastAsia="DengXian"/>
              </w:rPr>
            </w:pPr>
            <w:r>
              <w:rPr>
                <w:rFonts w:eastAsia="DengXian"/>
              </w:rPr>
              <w:t>76</w:t>
            </w:r>
          </w:p>
          <w:p w14:paraId="0AA3C2CD">
            <w:pPr>
              <w:spacing w:line="360" w:lineRule="auto"/>
              <w:jc w:val="center"/>
              <w:rPr>
                <w:rFonts w:eastAsia="DengXian"/>
              </w:rPr>
            </w:pPr>
            <w:r>
              <w:rPr>
                <w:rFonts w:eastAsia="DengXian"/>
              </w:rPr>
              <w:t>96.2%</w:t>
            </w:r>
          </w:p>
        </w:tc>
      </w:tr>
      <w:tr w14:paraId="4B406225">
        <w:tblPrEx>
          <w:tblCellMar>
            <w:top w:w="0" w:type="dxa"/>
            <w:left w:w="108" w:type="dxa"/>
            <w:bottom w:w="0" w:type="dxa"/>
            <w:right w:w="108" w:type="dxa"/>
          </w:tblCellMar>
        </w:tblPrEx>
        <w:trPr>
          <w:trHeight w:val="357" w:hRule="atLeast"/>
          <w:jc w:val="center"/>
        </w:trPr>
        <w:tc>
          <w:tcPr>
            <w:tcW w:w="421" w:type="dxa"/>
            <w:tcBorders>
              <w:top w:val="single" w:color="auto" w:sz="4" w:space="0"/>
              <w:left w:val="single" w:color="auto" w:sz="4" w:space="0"/>
              <w:bottom w:val="single" w:color="auto" w:sz="4" w:space="0"/>
              <w:right w:val="single" w:color="auto" w:sz="4" w:space="0"/>
            </w:tcBorders>
          </w:tcPr>
          <w:p w14:paraId="684AC81B">
            <w:pPr>
              <w:spacing w:line="360" w:lineRule="auto"/>
              <w:jc w:val="both"/>
              <w:rPr>
                <w:rFonts w:eastAsia="DengXian"/>
              </w:rPr>
            </w:pPr>
            <w:r>
              <w:rPr>
                <w:rFonts w:eastAsia="DengXian"/>
              </w:rPr>
              <w:t>2</w:t>
            </w:r>
          </w:p>
        </w:tc>
        <w:tc>
          <w:tcPr>
            <w:tcW w:w="3827" w:type="dxa"/>
            <w:tcBorders>
              <w:top w:val="single" w:color="auto" w:sz="4" w:space="0"/>
              <w:left w:val="single" w:color="auto" w:sz="4" w:space="0"/>
              <w:bottom w:val="single" w:color="auto" w:sz="4" w:space="0"/>
              <w:right w:val="single" w:color="auto" w:sz="4" w:space="0"/>
            </w:tcBorders>
          </w:tcPr>
          <w:p w14:paraId="17EBA2A1">
            <w:pPr>
              <w:spacing w:line="360" w:lineRule="auto"/>
              <w:jc w:val="both"/>
              <w:rPr>
                <w:rFonts w:eastAsia="DengXian"/>
              </w:rPr>
            </w:pPr>
            <w:r>
              <w:rPr>
                <w:rFonts w:eastAsia="DengXian"/>
              </w:rPr>
              <w:t xml:space="preserve">The interaction of fiscal regimes, taxing legislation, extra-statutory agreements, and directives are a source of uncertainty and confusion in the Upstream petroleum tax system. </w:t>
            </w:r>
          </w:p>
        </w:tc>
        <w:tc>
          <w:tcPr>
            <w:tcW w:w="850" w:type="dxa"/>
            <w:tcBorders>
              <w:top w:val="single" w:color="auto" w:sz="4" w:space="0"/>
              <w:left w:val="single" w:color="auto" w:sz="4" w:space="0"/>
              <w:bottom w:val="single" w:color="auto" w:sz="4" w:space="0"/>
              <w:right w:val="single" w:color="auto" w:sz="4" w:space="0"/>
            </w:tcBorders>
          </w:tcPr>
          <w:p w14:paraId="45CAC6C4">
            <w:pPr>
              <w:spacing w:line="360" w:lineRule="auto"/>
              <w:jc w:val="center"/>
              <w:rPr>
                <w:rFonts w:eastAsia="DengXian"/>
              </w:rPr>
            </w:pPr>
            <w:r>
              <w:rPr>
                <w:rFonts w:eastAsia="DengXian"/>
              </w:rPr>
              <w:t>1</w:t>
            </w:r>
          </w:p>
          <w:p w14:paraId="0F382399">
            <w:pPr>
              <w:spacing w:line="360" w:lineRule="auto"/>
              <w:jc w:val="center"/>
              <w:rPr>
                <w:rFonts w:eastAsia="DengXian"/>
              </w:rPr>
            </w:pPr>
            <w:r>
              <w:rPr>
                <w:rFonts w:eastAsia="DengXian"/>
              </w:rPr>
              <w:t>1.3%</w:t>
            </w:r>
          </w:p>
        </w:tc>
        <w:tc>
          <w:tcPr>
            <w:tcW w:w="851" w:type="dxa"/>
            <w:tcBorders>
              <w:top w:val="single" w:color="auto" w:sz="4" w:space="0"/>
              <w:left w:val="single" w:color="auto" w:sz="4" w:space="0"/>
              <w:bottom w:val="single" w:color="auto" w:sz="4" w:space="0"/>
              <w:right w:val="single" w:color="auto" w:sz="4" w:space="0"/>
            </w:tcBorders>
          </w:tcPr>
          <w:p w14:paraId="77BA689D">
            <w:pPr>
              <w:spacing w:line="360" w:lineRule="auto"/>
              <w:jc w:val="center"/>
              <w:rPr>
                <w:rFonts w:eastAsia="DengXian"/>
              </w:rPr>
            </w:pPr>
            <w:r>
              <w:rPr>
                <w:rFonts w:eastAsia="DengXian"/>
              </w:rPr>
              <w:t>3</w:t>
            </w:r>
          </w:p>
          <w:p w14:paraId="454C4C8A">
            <w:pPr>
              <w:spacing w:line="360" w:lineRule="auto"/>
              <w:jc w:val="center"/>
              <w:rPr>
                <w:rFonts w:eastAsia="DengXian"/>
              </w:rPr>
            </w:pPr>
            <w:r>
              <w:rPr>
                <w:rFonts w:eastAsia="DengXian"/>
              </w:rPr>
              <w:t>4%</w:t>
            </w:r>
          </w:p>
        </w:tc>
        <w:tc>
          <w:tcPr>
            <w:tcW w:w="850" w:type="dxa"/>
            <w:tcBorders>
              <w:top w:val="single" w:color="auto" w:sz="4" w:space="0"/>
              <w:left w:val="single" w:color="auto" w:sz="4" w:space="0"/>
              <w:bottom w:val="single" w:color="auto" w:sz="4" w:space="0"/>
              <w:right w:val="single" w:color="auto" w:sz="4" w:space="0"/>
            </w:tcBorders>
          </w:tcPr>
          <w:p w14:paraId="1B212D91">
            <w:pPr>
              <w:spacing w:line="360" w:lineRule="auto"/>
              <w:jc w:val="center"/>
              <w:rPr>
                <w:rFonts w:eastAsia="DengXian"/>
              </w:rPr>
            </w:pPr>
            <w:r>
              <w:rPr>
                <w:rFonts w:eastAsia="DengXian"/>
              </w:rPr>
              <w:t>7</w:t>
            </w:r>
          </w:p>
          <w:p w14:paraId="62DDC893">
            <w:pPr>
              <w:spacing w:line="360" w:lineRule="auto"/>
              <w:jc w:val="center"/>
              <w:rPr>
                <w:rFonts w:eastAsia="DengXian"/>
              </w:rPr>
            </w:pPr>
            <w:r>
              <w:rPr>
                <w:rFonts w:eastAsia="DengXian"/>
              </w:rPr>
              <w:t>9.3%</w:t>
            </w:r>
          </w:p>
        </w:tc>
        <w:tc>
          <w:tcPr>
            <w:tcW w:w="851" w:type="dxa"/>
            <w:tcBorders>
              <w:top w:val="single" w:color="auto" w:sz="4" w:space="0"/>
              <w:left w:val="single" w:color="auto" w:sz="4" w:space="0"/>
              <w:bottom w:val="single" w:color="auto" w:sz="4" w:space="0"/>
              <w:right w:val="single" w:color="auto" w:sz="4" w:space="0"/>
            </w:tcBorders>
          </w:tcPr>
          <w:p w14:paraId="71649261">
            <w:pPr>
              <w:spacing w:line="360" w:lineRule="auto"/>
              <w:jc w:val="center"/>
              <w:rPr>
                <w:rFonts w:eastAsia="DengXian"/>
              </w:rPr>
            </w:pPr>
            <w:r>
              <w:rPr>
                <w:rFonts w:eastAsia="DengXian"/>
              </w:rPr>
              <w:t>31</w:t>
            </w:r>
          </w:p>
          <w:p w14:paraId="3A50916B">
            <w:pPr>
              <w:spacing w:line="360" w:lineRule="auto"/>
              <w:jc w:val="center"/>
              <w:rPr>
                <w:rFonts w:eastAsia="DengXian"/>
              </w:rPr>
            </w:pPr>
            <w:r>
              <w:rPr>
                <w:rFonts w:eastAsia="DengXian"/>
              </w:rPr>
              <w:t>41.3%</w:t>
            </w:r>
          </w:p>
        </w:tc>
        <w:tc>
          <w:tcPr>
            <w:tcW w:w="850" w:type="dxa"/>
            <w:tcBorders>
              <w:top w:val="single" w:color="auto" w:sz="4" w:space="0"/>
              <w:left w:val="single" w:color="auto" w:sz="4" w:space="0"/>
              <w:bottom w:val="single" w:color="auto" w:sz="4" w:space="0"/>
              <w:right w:val="single" w:color="auto" w:sz="4" w:space="0"/>
            </w:tcBorders>
          </w:tcPr>
          <w:p w14:paraId="3FE78B37">
            <w:pPr>
              <w:spacing w:line="360" w:lineRule="auto"/>
              <w:jc w:val="center"/>
              <w:rPr>
                <w:rFonts w:eastAsia="DengXian"/>
              </w:rPr>
            </w:pPr>
            <w:r>
              <w:rPr>
                <w:rFonts w:eastAsia="DengXian"/>
              </w:rPr>
              <w:t>33</w:t>
            </w:r>
          </w:p>
          <w:p w14:paraId="30D4928D">
            <w:pPr>
              <w:spacing w:line="360" w:lineRule="auto"/>
              <w:jc w:val="center"/>
              <w:rPr>
                <w:rFonts w:eastAsia="DengXian"/>
              </w:rPr>
            </w:pPr>
            <w:r>
              <w:rPr>
                <w:rFonts w:eastAsia="DengXian"/>
              </w:rPr>
              <w:t>44%</w:t>
            </w:r>
          </w:p>
        </w:tc>
        <w:tc>
          <w:tcPr>
            <w:tcW w:w="1134" w:type="dxa"/>
            <w:tcBorders>
              <w:top w:val="single" w:color="auto" w:sz="4" w:space="0"/>
              <w:left w:val="single" w:color="auto" w:sz="4" w:space="0"/>
              <w:bottom w:val="single" w:color="auto" w:sz="4" w:space="0"/>
              <w:right w:val="single" w:color="auto" w:sz="4" w:space="0"/>
            </w:tcBorders>
          </w:tcPr>
          <w:p w14:paraId="6606EF55">
            <w:pPr>
              <w:spacing w:line="360" w:lineRule="auto"/>
              <w:jc w:val="center"/>
              <w:rPr>
                <w:rFonts w:eastAsia="DengXian"/>
              </w:rPr>
            </w:pPr>
            <w:r>
              <w:rPr>
                <w:rFonts w:eastAsia="DengXian"/>
              </w:rPr>
              <w:t>75</w:t>
            </w:r>
          </w:p>
          <w:p w14:paraId="33186DFD">
            <w:pPr>
              <w:spacing w:line="360" w:lineRule="auto"/>
              <w:jc w:val="center"/>
              <w:rPr>
                <w:rFonts w:eastAsia="DengXian"/>
              </w:rPr>
            </w:pPr>
            <w:r>
              <w:rPr>
                <w:rFonts w:eastAsia="DengXian"/>
              </w:rPr>
              <w:t>94.9%</w:t>
            </w:r>
          </w:p>
        </w:tc>
      </w:tr>
      <w:tr w14:paraId="06529BBC">
        <w:tblPrEx>
          <w:tblCellMar>
            <w:top w:w="0" w:type="dxa"/>
            <w:left w:w="108" w:type="dxa"/>
            <w:bottom w:w="0" w:type="dxa"/>
            <w:right w:w="108" w:type="dxa"/>
          </w:tblCellMar>
        </w:tblPrEx>
        <w:trPr>
          <w:trHeight w:val="357" w:hRule="atLeast"/>
          <w:jc w:val="center"/>
        </w:trPr>
        <w:tc>
          <w:tcPr>
            <w:tcW w:w="421" w:type="dxa"/>
            <w:tcBorders>
              <w:top w:val="single" w:color="auto" w:sz="4" w:space="0"/>
              <w:left w:val="single" w:color="auto" w:sz="4" w:space="0"/>
              <w:bottom w:val="single" w:color="auto" w:sz="4" w:space="0"/>
              <w:right w:val="single" w:color="auto" w:sz="4" w:space="0"/>
            </w:tcBorders>
          </w:tcPr>
          <w:p w14:paraId="0001FA1D">
            <w:pPr>
              <w:spacing w:line="360" w:lineRule="auto"/>
              <w:jc w:val="both"/>
              <w:rPr>
                <w:rFonts w:eastAsia="DengXian"/>
              </w:rPr>
            </w:pPr>
            <w:r>
              <w:rPr>
                <w:rFonts w:eastAsia="DengXian"/>
              </w:rPr>
              <w:t>3</w:t>
            </w:r>
          </w:p>
        </w:tc>
        <w:tc>
          <w:tcPr>
            <w:tcW w:w="3827" w:type="dxa"/>
            <w:tcBorders>
              <w:top w:val="single" w:color="auto" w:sz="4" w:space="0"/>
              <w:left w:val="single" w:color="auto" w:sz="4" w:space="0"/>
              <w:bottom w:val="single" w:color="auto" w:sz="4" w:space="0"/>
              <w:right w:val="single" w:color="auto" w:sz="4" w:space="0"/>
            </w:tcBorders>
          </w:tcPr>
          <w:p w14:paraId="66E4E7C0">
            <w:pPr>
              <w:spacing w:line="360" w:lineRule="auto"/>
              <w:jc w:val="both"/>
              <w:rPr>
                <w:rFonts w:eastAsia="DengXian"/>
              </w:rPr>
            </w:pPr>
            <w:r>
              <w:rPr>
                <w:rFonts w:eastAsia="DengXian"/>
              </w:rPr>
              <w:t>The age of the various petroleum taxing statutes and regulations, and the delay or lack of reform has significantly impacted the clarity of legislation and the level of certainty in upstream taxation.</w:t>
            </w:r>
          </w:p>
        </w:tc>
        <w:tc>
          <w:tcPr>
            <w:tcW w:w="850" w:type="dxa"/>
            <w:tcBorders>
              <w:top w:val="single" w:color="auto" w:sz="4" w:space="0"/>
              <w:left w:val="single" w:color="auto" w:sz="4" w:space="0"/>
              <w:bottom w:val="single" w:color="auto" w:sz="4" w:space="0"/>
              <w:right w:val="single" w:color="auto" w:sz="4" w:space="0"/>
            </w:tcBorders>
          </w:tcPr>
          <w:p w14:paraId="769B99F3">
            <w:pPr>
              <w:spacing w:line="360" w:lineRule="auto"/>
              <w:jc w:val="center"/>
              <w:rPr>
                <w:rFonts w:eastAsia="DengXian"/>
              </w:rPr>
            </w:pPr>
            <w:r>
              <w:rPr>
                <w:rFonts w:eastAsia="DengXian"/>
              </w:rPr>
              <w:t>0</w:t>
            </w:r>
          </w:p>
          <w:p w14:paraId="4A6DE7E0">
            <w:pPr>
              <w:spacing w:line="360" w:lineRule="auto"/>
              <w:jc w:val="center"/>
              <w:rPr>
                <w:rFonts w:eastAsia="DengXian"/>
              </w:rPr>
            </w:pPr>
            <w:r>
              <w:rPr>
                <w:rFonts w:eastAsia="DengXian"/>
              </w:rPr>
              <w:t>0%</w:t>
            </w:r>
          </w:p>
        </w:tc>
        <w:tc>
          <w:tcPr>
            <w:tcW w:w="851" w:type="dxa"/>
            <w:tcBorders>
              <w:top w:val="single" w:color="auto" w:sz="4" w:space="0"/>
              <w:left w:val="single" w:color="auto" w:sz="4" w:space="0"/>
              <w:bottom w:val="single" w:color="auto" w:sz="4" w:space="0"/>
              <w:right w:val="single" w:color="auto" w:sz="4" w:space="0"/>
            </w:tcBorders>
          </w:tcPr>
          <w:p w14:paraId="75656C17">
            <w:pPr>
              <w:spacing w:line="360" w:lineRule="auto"/>
              <w:jc w:val="center"/>
              <w:rPr>
                <w:rFonts w:eastAsia="DengXian"/>
              </w:rPr>
            </w:pPr>
            <w:r>
              <w:rPr>
                <w:rFonts w:eastAsia="DengXian"/>
              </w:rPr>
              <w:t>1</w:t>
            </w:r>
          </w:p>
          <w:p w14:paraId="4EF0A7E3">
            <w:pPr>
              <w:spacing w:line="360" w:lineRule="auto"/>
              <w:jc w:val="center"/>
              <w:rPr>
                <w:rFonts w:eastAsia="DengXian"/>
              </w:rPr>
            </w:pPr>
            <w:r>
              <w:rPr>
                <w:rFonts w:eastAsia="DengXian"/>
              </w:rPr>
              <w:t>1.3%</w:t>
            </w:r>
          </w:p>
        </w:tc>
        <w:tc>
          <w:tcPr>
            <w:tcW w:w="850" w:type="dxa"/>
            <w:tcBorders>
              <w:top w:val="single" w:color="auto" w:sz="4" w:space="0"/>
              <w:left w:val="single" w:color="auto" w:sz="4" w:space="0"/>
              <w:bottom w:val="single" w:color="auto" w:sz="4" w:space="0"/>
              <w:right w:val="single" w:color="auto" w:sz="4" w:space="0"/>
            </w:tcBorders>
          </w:tcPr>
          <w:p w14:paraId="0165A149">
            <w:pPr>
              <w:spacing w:line="360" w:lineRule="auto"/>
              <w:jc w:val="center"/>
              <w:rPr>
                <w:rFonts w:eastAsia="DengXian"/>
              </w:rPr>
            </w:pPr>
            <w:r>
              <w:rPr>
                <w:rFonts w:eastAsia="DengXian"/>
              </w:rPr>
              <w:t>14</w:t>
            </w:r>
          </w:p>
          <w:p w14:paraId="32E91DA0">
            <w:pPr>
              <w:spacing w:line="360" w:lineRule="auto"/>
              <w:jc w:val="center"/>
              <w:rPr>
                <w:rFonts w:eastAsia="DengXian"/>
              </w:rPr>
            </w:pPr>
            <w:r>
              <w:rPr>
                <w:rFonts w:eastAsia="DengXian"/>
              </w:rPr>
              <w:t>18.7%</w:t>
            </w:r>
          </w:p>
        </w:tc>
        <w:tc>
          <w:tcPr>
            <w:tcW w:w="851" w:type="dxa"/>
            <w:tcBorders>
              <w:top w:val="single" w:color="auto" w:sz="4" w:space="0"/>
              <w:left w:val="single" w:color="auto" w:sz="4" w:space="0"/>
              <w:bottom w:val="single" w:color="auto" w:sz="4" w:space="0"/>
              <w:right w:val="single" w:color="auto" w:sz="4" w:space="0"/>
            </w:tcBorders>
          </w:tcPr>
          <w:p w14:paraId="34224E21">
            <w:pPr>
              <w:spacing w:line="360" w:lineRule="auto"/>
              <w:jc w:val="center"/>
              <w:rPr>
                <w:rFonts w:eastAsia="DengXian"/>
              </w:rPr>
            </w:pPr>
            <w:r>
              <w:rPr>
                <w:rFonts w:eastAsia="DengXian"/>
              </w:rPr>
              <w:t>24</w:t>
            </w:r>
          </w:p>
          <w:p w14:paraId="231C2683">
            <w:pPr>
              <w:spacing w:line="360" w:lineRule="auto"/>
              <w:jc w:val="center"/>
              <w:rPr>
                <w:rFonts w:eastAsia="DengXian"/>
              </w:rPr>
            </w:pPr>
            <w:r>
              <w:rPr>
                <w:rFonts w:eastAsia="DengXian"/>
              </w:rPr>
              <w:t>32%</w:t>
            </w:r>
          </w:p>
        </w:tc>
        <w:tc>
          <w:tcPr>
            <w:tcW w:w="850" w:type="dxa"/>
            <w:tcBorders>
              <w:top w:val="single" w:color="auto" w:sz="4" w:space="0"/>
              <w:left w:val="single" w:color="auto" w:sz="4" w:space="0"/>
              <w:bottom w:val="single" w:color="auto" w:sz="4" w:space="0"/>
              <w:right w:val="single" w:color="auto" w:sz="4" w:space="0"/>
            </w:tcBorders>
          </w:tcPr>
          <w:p w14:paraId="09FE3B9C">
            <w:pPr>
              <w:spacing w:line="360" w:lineRule="auto"/>
              <w:jc w:val="center"/>
              <w:rPr>
                <w:rFonts w:eastAsia="DengXian"/>
              </w:rPr>
            </w:pPr>
            <w:r>
              <w:rPr>
                <w:rFonts w:eastAsia="DengXian"/>
              </w:rPr>
              <w:t>36</w:t>
            </w:r>
          </w:p>
          <w:p w14:paraId="79417A7D">
            <w:pPr>
              <w:spacing w:line="360" w:lineRule="auto"/>
              <w:jc w:val="center"/>
              <w:rPr>
                <w:rFonts w:eastAsia="DengXian"/>
              </w:rPr>
            </w:pPr>
            <w:r>
              <w:rPr>
                <w:rFonts w:eastAsia="DengXian"/>
              </w:rPr>
              <w:t>48%</w:t>
            </w:r>
          </w:p>
        </w:tc>
        <w:tc>
          <w:tcPr>
            <w:tcW w:w="1134" w:type="dxa"/>
            <w:tcBorders>
              <w:top w:val="single" w:color="auto" w:sz="4" w:space="0"/>
              <w:left w:val="single" w:color="auto" w:sz="4" w:space="0"/>
              <w:bottom w:val="single" w:color="auto" w:sz="4" w:space="0"/>
              <w:right w:val="single" w:color="auto" w:sz="4" w:space="0"/>
            </w:tcBorders>
          </w:tcPr>
          <w:p w14:paraId="60051969">
            <w:pPr>
              <w:spacing w:line="360" w:lineRule="auto"/>
              <w:jc w:val="center"/>
              <w:rPr>
                <w:rFonts w:eastAsia="DengXian"/>
              </w:rPr>
            </w:pPr>
            <w:r>
              <w:rPr>
                <w:rFonts w:eastAsia="DengXian"/>
              </w:rPr>
              <w:t>75</w:t>
            </w:r>
          </w:p>
          <w:p w14:paraId="3EACCD73">
            <w:pPr>
              <w:spacing w:line="360" w:lineRule="auto"/>
              <w:jc w:val="center"/>
              <w:rPr>
                <w:rFonts w:eastAsia="DengXian"/>
              </w:rPr>
            </w:pPr>
            <w:r>
              <w:rPr>
                <w:rFonts w:eastAsia="DengXian"/>
              </w:rPr>
              <w:t>94.9%</w:t>
            </w:r>
          </w:p>
        </w:tc>
      </w:tr>
      <w:tr w14:paraId="61FBB8D6">
        <w:tblPrEx>
          <w:tblCellMar>
            <w:top w:w="0" w:type="dxa"/>
            <w:left w:w="108" w:type="dxa"/>
            <w:bottom w:w="0" w:type="dxa"/>
            <w:right w:w="108" w:type="dxa"/>
          </w:tblCellMar>
        </w:tblPrEx>
        <w:trPr>
          <w:trHeight w:val="357" w:hRule="atLeast"/>
          <w:jc w:val="center"/>
        </w:trPr>
        <w:tc>
          <w:tcPr>
            <w:tcW w:w="421" w:type="dxa"/>
            <w:tcBorders>
              <w:top w:val="single" w:color="auto" w:sz="4" w:space="0"/>
              <w:left w:val="single" w:color="auto" w:sz="4" w:space="0"/>
              <w:bottom w:val="single" w:color="auto" w:sz="4" w:space="0"/>
              <w:right w:val="single" w:color="auto" w:sz="4" w:space="0"/>
            </w:tcBorders>
          </w:tcPr>
          <w:p w14:paraId="2A2D1E71">
            <w:pPr>
              <w:spacing w:line="360" w:lineRule="auto"/>
              <w:jc w:val="both"/>
              <w:rPr>
                <w:rFonts w:eastAsia="DengXian"/>
              </w:rPr>
            </w:pPr>
            <w:r>
              <w:rPr>
                <w:rFonts w:eastAsia="DengXian"/>
              </w:rPr>
              <w:t>4</w:t>
            </w:r>
          </w:p>
        </w:tc>
        <w:tc>
          <w:tcPr>
            <w:tcW w:w="3827" w:type="dxa"/>
            <w:tcBorders>
              <w:top w:val="single" w:color="auto" w:sz="4" w:space="0"/>
              <w:left w:val="single" w:color="auto" w:sz="4" w:space="0"/>
              <w:bottom w:val="single" w:color="auto" w:sz="4" w:space="0"/>
              <w:right w:val="single" w:color="auto" w:sz="4" w:space="0"/>
            </w:tcBorders>
          </w:tcPr>
          <w:p w14:paraId="1FF58FCC">
            <w:pPr>
              <w:autoSpaceDE w:val="0"/>
              <w:autoSpaceDN w:val="0"/>
              <w:adjustRightInd w:val="0"/>
              <w:spacing w:line="360" w:lineRule="auto"/>
              <w:jc w:val="both"/>
              <w:rPr>
                <w:rFonts w:eastAsia="TimesNewRomanPSMT"/>
              </w:rPr>
            </w:pPr>
            <w:r>
              <w:rPr>
                <w:rFonts w:eastAsia="DengXian"/>
              </w:rPr>
              <w:t>Ad-hoc fiscal incentives, piecemeal amendment of the PPTA, and the extra-legal agreements, are important sources of uncertainty</w:t>
            </w:r>
            <w:r>
              <w:rPr>
                <w:rFonts w:eastAsia="DengXian"/>
                <w:vertAlign w:val="superscript"/>
              </w:rPr>
              <w:footnoteReference w:id="440"/>
            </w:r>
            <w:r>
              <w:rPr>
                <w:rFonts w:eastAsia="DengXian"/>
              </w:rPr>
              <w:t>.</w:t>
            </w:r>
          </w:p>
        </w:tc>
        <w:tc>
          <w:tcPr>
            <w:tcW w:w="850" w:type="dxa"/>
            <w:tcBorders>
              <w:top w:val="single" w:color="auto" w:sz="4" w:space="0"/>
              <w:left w:val="single" w:color="auto" w:sz="4" w:space="0"/>
              <w:bottom w:val="single" w:color="auto" w:sz="4" w:space="0"/>
              <w:right w:val="single" w:color="auto" w:sz="4" w:space="0"/>
            </w:tcBorders>
          </w:tcPr>
          <w:p w14:paraId="2A9A482C">
            <w:pPr>
              <w:spacing w:line="360" w:lineRule="auto"/>
              <w:jc w:val="center"/>
              <w:rPr>
                <w:rFonts w:eastAsia="DengXian"/>
              </w:rPr>
            </w:pPr>
            <w:r>
              <w:rPr>
                <w:rFonts w:eastAsia="DengXian"/>
              </w:rPr>
              <w:t>0</w:t>
            </w:r>
          </w:p>
          <w:p w14:paraId="7BCF8943">
            <w:pPr>
              <w:spacing w:line="360" w:lineRule="auto"/>
              <w:jc w:val="center"/>
              <w:rPr>
                <w:rFonts w:eastAsia="DengXian"/>
              </w:rPr>
            </w:pPr>
            <w:r>
              <w:rPr>
                <w:rFonts w:eastAsia="DengXian"/>
              </w:rPr>
              <w:t>0%</w:t>
            </w:r>
          </w:p>
        </w:tc>
        <w:tc>
          <w:tcPr>
            <w:tcW w:w="851" w:type="dxa"/>
            <w:tcBorders>
              <w:top w:val="single" w:color="auto" w:sz="4" w:space="0"/>
              <w:left w:val="single" w:color="auto" w:sz="4" w:space="0"/>
              <w:bottom w:val="single" w:color="auto" w:sz="4" w:space="0"/>
              <w:right w:val="single" w:color="auto" w:sz="4" w:space="0"/>
            </w:tcBorders>
          </w:tcPr>
          <w:p w14:paraId="63D1C1E7">
            <w:pPr>
              <w:spacing w:line="360" w:lineRule="auto"/>
              <w:jc w:val="center"/>
              <w:rPr>
                <w:rFonts w:eastAsia="DengXian"/>
              </w:rPr>
            </w:pPr>
            <w:r>
              <w:rPr>
                <w:rFonts w:eastAsia="DengXian"/>
              </w:rPr>
              <w:t>6</w:t>
            </w:r>
          </w:p>
          <w:p w14:paraId="0108B0C9">
            <w:pPr>
              <w:spacing w:line="360" w:lineRule="auto"/>
              <w:jc w:val="center"/>
              <w:rPr>
                <w:rFonts w:eastAsia="DengXian"/>
              </w:rPr>
            </w:pPr>
            <w:r>
              <w:rPr>
                <w:rFonts w:eastAsia="DengXian"/>
              </w:rPr>
              <w:t>8%</w:t>
            </w:r>
          </w:p>
        </w:tc>
        <w:tc>
          <w:tcPr>
            <w:tcW w:w="850" w:type="dxa"/>
            <w:tcBorders>
              <w:top w:val="single" w:color="auto" w:sz="4" w:space="0"/>
              <w:left w:val="single" w:color="auto" w:sz="4" w:space="0"/>
              <w:bottom w:val="single" w:color="auto" w:sz="4" w:space="0"/>
              <w:right w:val="single" w:color="auto" w:sz="4" w:space="0"/>
            </w:tcBorders>
          </w:tcPr>
          <w:p w14:paraId="4572B7C8">
            <w:pPr>
              <w:spacing w:line="360" w:lineRule="auto"/>
              <w:jc w:val="center"/>
              <w:rPr>
                <w:rFonts w:eastAsia="DengXian"/>
              </w:rPr>
            </w:pPr>
            <w:r>
              <w:rPr>
                <w:rFonts w:eastAsia="DengXian"/>
              </w:rPr>
              <w:t>18</w:t>
            </w:r>
          </w:p>
          <w:p w14:paraId="5D01464D">
            <w:pPr>
              <w:spacing w:line="360" w:lineRule="auto"/>
              <w:jc w:val="center"/>
              <w:rPr>
                <w:rFonts w:eastAsia="DengXian"/>
              </w:rPr>
            </w:pPr>
            <w:r>
              <w:rPr>
                <w:rFonts w:eastAsia="DengXian"/>
              </w:rPr>
              <w:t>24%</w:t>
            </w:r>
          </w:p>
        </w:tc>
        <w:tc>
          <w:tcPr>
            <w:tcW w:w="851" w:type="dxa"/>
            <w:tcBorders>
              <w:top w:val="single" w:color="auto" w:sz="4" w:space="0"/>
              <w:left w:val="single" w:color="auto" w:sz="4" w:space="0"/>
              <w:bottom w:val="single" w:color="auto" w:sz="4" w:space="0"/>
              <w:right w:val="single" w:color="auto" w:sz="4" w:space="0"/>
            </w:tcBorders>
          </w:tcPr>
          <w:p w14:paraId="14F2EAB1">
            <w:pPr>
              <w:spacing w:line="360" w:lineRule="auto"/>
              <w:jc w:val="center"/>
              <w:rPr>
                <w:rFonts w:eastAsia="DengXian"/>
              </w:rPr>
            </w:pPr>
            <w:r>
              <w:rPr>
                <w:rFonts w:eastAsia="DengXian"/>
              </w:rPr>
              <w:t>28</w:t>
            </w:r>
          </w:p>
          <w:p w14:paraId="46223F4C">
            <w:pPr>
              <w:spacing w:line="360" w:lineRule="auto"/>
              <w:jc w:val="center"/>
              <w:rPr>
                <w:rFonts w:eastAsia="DengXian"/>
              </w:rPr>
            </w:pPr>
            <w:r>
              <w:rPr>
                <w:rFonts w:eastAsia="DengXian"/>
              </w:rPr>
              <w:t>37.3%</w:t>
            </w:r>
          </w:p>
        </w:tc>
        <w:tc>
          <w:tcPr>
            <w:tcW w:w="850" w:type="dxa"/>
            <w:tcBorders>
              <w:top w:val="single" w:color="auto" w:sz="4" w:space="0"/>
              <w:left w:val="single" w:color="auto" w:sz="4" w:space="0"/>
              <w:bottom w:val="single" w:color="auto" w:sz="4" w:space="0"/>
              <w:right w:val="single" w:color="auto" w:sz="4" w:space="0"/>
            </w:tcBorders>
          </w:tcPr>
          <w:p w14:paraId="2AE32CE3">
            <w:pPr>
              <w:spacing w:line="360" w:lineRule="auto"/>
              <w:jc w:val="center"/>
              <w:rPr>
                <w:rFonts w:eastAsia="DengXian"/>
              </w:rPr>
            </w:pPr>
            <w:r>
              <w:rPr>
                <w:rFonts w:eastAsia="DengXian"/>
              </w:rPr>
              <w:t>23</w:t>
            </w:r>
          </w:p>
          <w:p w14:paraId="683DD7FB">
            <w:pPr>
              <w:spacing w:line="360" w:lineRule="auto"/>
              <w:jc w:val="center"/>
              <w:rPr>
                <w:rFonts w:eastAsia="DengXian"/>
              </w:rPr>
            </w:pPr>
            <w:r>
              <w:rPr>
                <w:rFonts w:eastAsia="DengXian"/>
              </w:rPr>
              <w:t>30.7%</w:t>
            </w:r>
          </w:p>
        </w:tc>
        <w:tc>
          <w:tcPr>
            <w:tcW w:w="1134" w:type="dxa"/>
            <w:tcBorders>
              <w:top w:val="single" w:color="auto" w:sz="4" w:space="0"/>
              <w:left w:val="single" w:color="auto" w:sz="4" w:space="0"/>
              <w:bottom w:val="single" w:color="auto" w:sz="4" w:space="0"/>
              <w:right w:val="single" w:color="auto" w:sz="4" w:space="0"/>
            </w:tcBorders>
          </w:tcPr>
          <w:p w14:paraId="27939805">
            <w:pPr>
              <w:spacing w:line="360" w:lineRule="auto"/>
              <w:jc w:val="center"/>
              <w:rPr>
                <w:rFonts w:eastAsia="DengXian"/>
              </w:rPr>
            </w:pPr>
            <w:r>
              <w:rPr>
                <w:rFonts w:eastAsia="DengXian"/>
              </w:rPr>
              <w:t>75</w:t>
            </w:r>
          </w:p>
          <w:p w14:paraId="643BB781">
            <w:pPr>
              <w:spacing w:line="360" w:lineRule="auto"/>
              <w:jc w:val="center"/>
              <w:rPr>
                <w:rFonts w:eastAsia="DengXian"/>
              </w:rPr>
            </w:pPr>
            <w:r>
              <w:rPr>
                <w:rFonts w:eastAsia="DengXian"/>
              </w:rPr>
              <w:t>94.9%</w:t>
            </w:r>
          </w:p>
        </w:tc>
      </w:tr>
    </w:tbl>
    <w:p w14:paraId="10EED5F1">
      <w:pPr>
        <w:spacing w:line="360" w:lineRule="auto"/>
        <w:jc w:val="both"/>
        <w:rPr>
          <w:rFonts w:eastAsia="DengXian"/>
        </w:rPr>
      </w:pPr>
    </w:p>
    <w:p w14:paraId="35923D1E">
      <w:pPr>
        <w:spacing w:line="480" w:lineRule="auto"/>
        <w:jc w:val="both"/>
        <w:rPr>
          <w:rFonts w:eastAsia="Times New Roman"/>
          <w:color w:val="0E101A"/>
        </w:rPr>
      </w:pPr>
      <w:r>
        <w:rPr>
          <w:rFonts w:eastAsia="DengXian"/>
        </w:rPr>
        <w:t>Re</w:t>
      </w:r>
      <w:r>
        <w:rPr>
          <w:rFonts w:eastAsia="DengXian"/>
          <w:color w:val="0E101A"/>
        </w:rPr>
        <w:t>spondents strongly agreed that</w:t>
      </w:r>
      <w:r>
        <w:rPr>
          <w:rFonts w:eastAsia="DengXian"/>
        </w:rPr>
        <w:t xml:space="preserve"> the exclusive allocation of fiscal power for income and profit taxing powers under the 1999 Nigerian Constitution to the FG, to the exclusion of the federating states and local governments, has created tensions for revenue capture, thus affecting the exercise of tax legislative powers, consistent interpretation and administration of upstream oil and gas tax legislation. </w:t>
      </w:r>
      <w:r>
        <w:rPr>
          <w:rFonts w:eastAsia="DengXian"/>
          <w:color w:val="0E101A"/>
        </w:rPr>
        <w:t>The introduction of the Taxes and Levies (Approved List for Collection) Act, as amended</w:t>
      </w:r>
      <w:r>
        <w:rPr>
          <w:rFonts w:eastAsia="DengXian"/>
          <w:color w:val="0E101A"/>
          <w:vertAlign w:val="superscript"/>
        </w:rPr>
        <w:footnoteReference w:id="441"/>
      </w:r>
      <w:r>
        <w:rPr>
          <w:rFonts w:eastAsia="DengXian"/>
          <w:color w:val="0E101A"/>
        </w:rPr>
        <w:t xml:space="preserve">, to harmonize the collection of taxes by the federating units, therefore did little to curb this confusion and the distortions of multiple taxes on petroleum taxation.  Also, respondents observed </w:t>
      </w:r>
      <w:r>
        <w:rPr>
          <w:rFonts w:eastAsia="Times New Roman"/>
          <w:color w:val="0E101A"/>
        </w:rPr>
        <w:t xml:space="preserve">that the interaction of fiscal regimes in upstream petroleum taxation, with objectives which were not always aligned or well-defined, created distortions affecting the level of clarity and predictability of taxing terms. </w:t>
      </w:r>
    </w:p>
    <w:p w14:paraId="463F7513">
      <w:pPr>
        <w:spacing w:line="480" w:lineRule="auto"/>
        <w:jc w:val="both"/>
        <w:rPr>
          <w:rFonts w:eastAsia="Times New Roman"/>
          <w:color w:val="0E101A"/>
        </w:rPr>
      </w:pPr>
    </w:p>
    <w:p w14:paraId="0B7B3731">
      <w:pPr>
        <w:spacing w:line="480" w:lineRule="auto"/>
        <w:jc w:val="both"/>
        <w:rPr>
          <w:rFonts w:eastAsia="Times New Roman"/>
          <w:color w:val="0E101A"/>
          <w:lang w:val="en-GB"/>
        </w:rPr>
      </w:pPr>
      <w:r>
        <w:rPr>
          <w:rFonts w:eastAsia="Times New Roman"/>
          <w:color w:val="0E101A"/>
        </w:rPr>
        <w:t>It was also observed that t</w:t>
      </w:r>
      <w:r>
        <w:rPr>
          <w:rFonts w:eastAsia="Times New Roman"/>
          <w:color w:val="0E101A"/>
          <w:lang w:val="en-GB"/>
        </w:rPr>
        <w:t>he PPTA, and the PA, which both predate the 1999 Constitution, have been amended piecemeal and required a principle-guided comprehensive fiscal and legislative reform to achieve clarity, preciseness and be fit for purpose as well as responsive.</w:t>
      </w:r>
      <w:r>
        <w:rPr>
          <w:rFonts w:eastAsia="DengXian"/>
        </w:rPr>
        <w:t xml:space="preserve"> </w:t>
      </w:r>
      <w:r>
        <w:rPr>
          <w:rFonts w:eastAsia="Times New Roman"/>
          <w:color w:val="0E101A"/>
        </w:rPr>
        <w:t xml:space="preserve">Respondents agreed that </w:t>
      </w:r>
      <w:r>
        <w:rPr>
          <w:rFonts w:eastAsia="Times New Roman"/>
          <w:color w:val="0E101A"/>
          <w:lang w:val="en-GB"/>
        </w:rPr>
        <w:t>ad hoc fiscal incentives and amendments present tax advantages for some companies as well as an opportunity for mischief and corruption by some agencies with quasi-regulatory functions, and by some officials.</w:t>
      </w:r>
    </w:p>
    <w:p w14:paraId="11010BC0">
      <w:pPr>
        <w:spacing w:line="480" w:lineRule="auto"/>
        <w:jc w:val="both"/>
        <w:rPr>
          <w:rFonts w:eastAsia="Times New Roman"/>
          <w:color w:val="0E101A"/>
          <w:lang w:val="en-GB"/>
        </w:rPr>
      </w:pPr>
    </w:p>
    <w:p w14:paraId="702C7A05">
      <w:pPr>
        <w:spacing w:line="360" w:lineRule="auto"/>
        <w:ind w:left="360"/>
        <w:jc w:val="both"/>
        <w:rPr>
          <w:rFonts w:eastAsia="Times New Roman"/>
          <w:b/>
          <w:bCs/>
          <w:color w:val="0E101A"/>
          <w:lang w:val="en-GB"/>
        </w:rPr>
      </w:pPr>
      <w:r>
        <w:rPr>
          <w:rFonts w:eastAsia="Times New Roman"/>
          <w:b/>
          <w:bCs/>
          <w:color w:val="0E101A"/>
          <w:lang w:val="en-GB"/>
        </w:rPr>
        <w:t>6.3.3</w:t>
      </w:r>
      <w:r>
        <w:rPr>
          <w:rFonts w:eastAsia="Times New Roman"/>
          <w:b/>
          <w:bCs/>
          <w:color w:val="0E101A"/>
          <w:lang w:val="en-GB"/>
        </w:rPr>
        <w:tab/>
      </w:r>
      <w:r>
        <w:rPr>
          <w:rFonts w:eastAsia="Times New Roman"/>
          <w:b/>
          <w:bCs/>
          <w:color w:val="0E101A"/>
          <w:lang w:val="en-GB"/>
        </w:rPr>
        <w:t>Tax Authority and Taxpayer Understanding of Legislation</w:t>
      </w:r>
    </w:p>
    <w:p w14:paraId="755217A3">
      <w:pPr>
        <w:spacing w:line="360" w:lineRule="auto"/>
        <w:jc w:val="both"/>
        <w:rPr>
          <w:rFonts w:eastAsia="DengXian"/>
          <w:b/>
          <w:bCs/>
        </w:rPr>
      </w:pPr>
      <w:r>
        <w:rPr>
          <w:rFonts w:eastAsia="DengXian"/>
          <w:b/>
          <w:bCs/>
        </w:rPr>
        <w:t>Table</w:t>
      </w:r>
      <w:r>
        <w:rPr>
          <w:rFonts w:eastAsia="DengXian"/>
        </w:rPr>
        <w:t xml:space="preserve"> </w:t>
      </w:r>
      <w:r>
        <w:rPr>
          <w:rFonts w:eastAsia="DengXian"/>
          <w:b/>
          <w:bCs/>
        </w:rPr>
        <w:t>6.3.3 Frequency Distribution for Tax Authority and the Taxpayer Understanding of Tax legislation.</w:t>
      </w:r>
    </w:p>
    <w:tbl>
      <w:tblPr>
        <w:tblStyle w:val="13"/>
        <w:tblW w:w="9776" w:type="dxa"/>
        <w:jc w:val="center"/>
        <w:tblLayout w:type="fixed"/>
        <w:tblCellMar>
          <w:top w:w="0" w:type="dxa"/>
          <w:left w:w="108" w:type="dxa"/>
          <w:bottom w:w="0" w:type="dxa"/>
          <w:right w:w="108" w:type="dxa"/>
        </w:tblCellMar>
      </w:tblPr>
      <w:tblGrid>
        <w:gridCol w:w="499"/>
        <w:gridCol w:w="3607"/>
        <w:gridCol w:w="992"/>
        <w:gridCol w:w="993"/>
        <w:gridCol w:w="850"/>
        <w:gridCol w:w="851"/>
        <w:gridCol w:w="850"/>
        <w:gridCol w:w="1134"/>
      </w:tblGrid>
      <w:tr w14:paraId="0A7BE890">
        <w:tblPrEx>
          <w:tblCellMar>
            <w:top w:w="0" w:type="dxa"/>
            <w:left w:w="108" w:type="dxa"/>
            <w:bottom w:w="0" w:type="dxa"/>
            <w:right w:w="108" w:type="dxa"/>
          </w:tblCellMar>
        </w:tblPrEx>
        <w:trPr>
          <w:trHeight w:val="70" w:hRule="atLeast"/>
          <w:jc w:val="center"/>
        </w:trPr>
        <w:tc>
          <w:tcPr>
            <w:tcW w:w="499" w:type="dxa"/>
            <w:vMerge w:val="restart"/>
            <w:tcBorders>
              <w:top w:val="single" w:color="auto" w:sz="4" w:space="0"/>
              <w:left w:val="single" w:color="auto" w:sz="4" w:space="0"/>
              <w:bottom w:val="single" w:color="auto" w:sz="4" w:space="0"/>
              <w:right w:val="single" w:color="auto" w:sz="4" w:space="0"/>
            </w:tcBorders>
          </w:tcPr>
          <w:p w14:paraId="6961B1F0">
            <w:pPr>
              <w:spacing w:line="360" w:lineRule="auto"/>
              <w:jc w:val="both"/>
              <w:rPr>
                <w:rFonts w:eastAsia="DengXian"/>
                <w:b/>
                <w:bCs/>
              </w:rPr>
            </w:pPr>
            <w:r>
              <w:rPr>
                <w:rFonts w:eastAsia="DengXian"/>
                <w:b/>
                <w:bCs/>
              </w:rPr>
              <w:t xml:space="preserve">S/N </w:t>
            </w:r>
          </w:p>
        </w:tc>
        <w:tc>
          <w:tcPr>
            <w:tcW w:w="3607" w:type="dxa"/>
            <w:vMerge w:val="restart"/>
            <w:tcBorders>
              <w:top w:val="single" w:color="auto" w:sz="4" w:space="0"/>
              <w:left w:val="single" w:color="auto" w:sz="4" w:space="0"/>
              <w:bottom w:val="single" w:color="auto" w:sz="4" w:space="0"/>
              <w:right w:val="single" w:color="auto" w:sz="4" w:space="0"/>
            </w:tcBorders>
          </w:tcPr>
          <w:p w14:paraId="63F4296A">
            <w:pPr>
              <w:spacing w:line="360" w:lineRule="auto"/>
              <w:jc w:val="center"/>
              <w:rPr>
                <w:rFonts w:eastAsia="DengXian"/>
                <w:b/>
                <w:bCs/>
              </w:rPr>
            </w:pPr>
            <w:r>
              <w:rPr>
                <w:rFonts w:eastAsia="DengXian"/>
                <w:b/>
                <w:bCs/>
              </w:rPr>
              <w:t>QUESTIONS</w:t>
            </w:r>
          </w:p>
        </w:tc>
        <w:tc>
          <w:tcPr>
            <w:tcW w:w="4536" w:type="dxa"/>
            <w:gridSpan w:val="5"/>
            <w:tcBorders>
              <w:top w:val="single" w:color="auto" w:sz="4" w:space="0"/>
              <w:left w:val="single" w:color="auto" w:sz="4" w:space="0"/>
              <w:bottom w:val="single" w:color="auto" w:sz="4" w:space="0"/>
              <w:right w:val="single" w:color="auto" w:sz="4" w:space="0"/>
            </w:tcBorders>
          </w:tcPr>
          <w:p w14:paraId="28E5B08F">
            <w:pPr>
              <w:spacing w:line="360" w:lineRule="auto"/>
              <w:jc w:val="center"/>
              <w:rPr>
                <w:rFonts w:eastAsia="DengXian"/>
                <w:b/>
                <w:bCs/>
              </w:rPr>
            </w:pPr>
            <w:r>
              <w:rPr>
                <w:rFonts w:eastAsia="DengXian"/>
                <w:b/>
                <w:bCs/>
              </w:rPr>
              <w:t>FREQUENCY AND PERCENTAGE</w:t>
            </w:r>
          </w:p>
        </w:tc>
        <w:tc>
          <w:tcPr>
            <w:tcW w:w="1134" w:type="dxa"/>
            <w:vMerge w:val="restart"/>
            <w:tcBorders>
              <w:top w:val="single" w:color="auto" w:sz="4" w:space="0"/>
              <w:left w:val="single" w:color="auto" w:sz="4" w:space="0"/>
              <w:bottom w:val="single" w:color="auto" w:sz="4" w:space="0"/>
              <w:right w:val="single" w:color="auto" w:sz="4" w:space="0"/>
            </w:tcBorders>
          </w:tcPr>
          <w:p w14:paraId="0EB32AC1">
            <w:pPr>
              <w:spacing w:line="360" w:lineRule="auto"/>
              <w:jc w:val="center"/>
              <w:rPr>
                <w:rFonts w:eastAsia="DengXian"/>
                <w:b/>
                <w:bCs/>
              </w:rPr>
            </w:pPr>
            <w:r>
              <w:rPr>
                <w:rFonts w:eastAsia="DengXian"/>
                <w:b/>
                <w:bCs/>
              </w:rPr>
              <w:t>TOTAL</w:t>
            </w:r>
          </w:p>
        </w:tc>
      </w:tr>
      <w:tr w14:paraId="61667F5A">
        <w:tblPrEx>
          <w:tblCellMar>
            <w:top w:w="0" w:type="dxa"/>
            <w:left w:w="108" w:type="dxa"/>
            <w:bottom w:w="0" w:type="dxa"/>
            <w:right w:w="108" w:type="dxa"/>
          </w:tblCellMar>
        </w:tblPrEx>
        <w:trPr>
          <w:trHeight w:val="152"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E958380">
            <w:pPr>
              <w:spacing w:line="360" w:lineRule="auto"/>
              <w:rPr>
                <w:rFonts w:eastAsia="DengXian"/>
                <w:b/>
                <w:bCs/>
              </w:rPr>
            </w:pPr>
          </w:p>
        </w:tc>
        <w:tc>
          <w:tcPr>
            <w:tcW w:w="3607" w:type="dxa"/>
            <w:vMerge w:val="continue"/>
            <w:tcBorders>
              <w:top w:val="single" w:color="auto" w:sz="4" w:space="0"/>
              <w:left w:val="single" w:color="auto" w:sz="4" w:space="0"/>
              <w:bottom w:val="single" w:color="auto" w:sz="4" w:space="0"/>
              <w:right w:val="single" w:color="auto" w:sz="4" w:space="0"/>
            </w:tcBorders>
            <w:vAlign w:val="center"/>
          </w:tcPr>
          <w:p w14:paraId="58E29F43">
            <w:pPr>
              <w:spacing w:line="360" w:lineRule="auto"/>
              <w:rPr>
                <w:rFonts w:eastAsia="DengXian"/>
                <w:b/>
                <w:bCs/>
              </w:rPr>
            </w:pPr>
          </w:p>
        </w:tc>
        <w:tc>
          <w:tcPr>
            <w:tcW w:w="992" w:type="dxa"/>
            <w:tcBorders>
              <w:top w:val="single" w:color="auto" w:sz="4" w:space="0"/>
              <w:left w:val="single" w:color="auto" w:sz="4" w:space="0"/>
              <w:bottom w:val="single" w:color="auto" w:sz="4" w:space="0"/>
              <w:right w:val="single" w:color="auto" w:sz="4" w:space="0"/>
            </w:tcBorders>
          </w:tcPr>
          <w:p w14:paraId="0904BE69">
            <w:pPr>
              <w:spacing w:line="360" w:lineRule="auto"/>
              <w:jc w:val="center"/>
              <w:rPr>
                <w:rFonts w:eastAsia="DengXian"/>
                <w:b/>
                <w:bCs/>
              </w:rPr>
            </w:pPr>
            <w:r>
              <w:rPr>
                <w:rFonts w:eastAsia="DengXian"/>
                <w:b/>
                <w:bCs/>
              </w:rPr>
              <w:t>SD</w:t>
            </w:r>
          </w:p>
          <w:p w14:paraId="1609794B">
            <w:pPr>
              <w:spacing w:line="360" w:lineRule="auto"/>
              <w:jc w:val="center"/>
              <w:rPr>
                <w:rFonts w:eastAsia="DengXian"/>
                <w:b/>
                <w:bCs/>
              </w:rPr>
            </w:pPr>
            <w:r>
              <w:rPr>
                <w:rFonts w:eastAsia="DengXian"/>
                <w:b/>
                <w:bCs/>
              </w:rPr>
              <w:t>1</w:t>
            </w:r>
          </w:p>
        </w:tc>
        <w:tc>
          <w:tcPr>
            <w:tcW w:w="993" w:type="dxa"/>
            <w:tcBorders>
              <w:top w:val="single" w:color="auto" w:sz="4" w:space="0"/>
              <w:left w:val="single" w:color="auto" w:sz="4" w:space="0"/>
              <w:bottom w:val="single" w:color="auto" w:sz="4" w:space="0"/>
              <w:right w:val="single" w:color="auto" w:sz="4" w:space="0"/>
            </w:tcBorders>
          </w:tcPr>
          <w:p w14:paraId="047F001A">
            <w:pPr>
              <w:spacing w:line="360" w:lineRule="auto"/>
              <w:jc w:val="center"/>
              <w:rPr>
                <w:rFonts w:eastAsia="DengXian"/>
                <w:b/>
                <w:bCs/>
              </w:rPr>
            </w:pPr>
            <w:r>
              <w:rPr>
                <w:rFonts w:eastAsia="DengXian"/>
                <w:b/>
                <w:bCs/>
              </w:rPr>
              <w:t>D</w:t>
            </w:r>
          </w:p>
          <w:p w14:paraId="17338E5C">
            <w:pPr>
              <w:spacing w:line="360" w:lineRule="auto"/>
              <w:jc w:val="center"/>
              <w:rPr>
                <w:rFonts w:eastAsia="DengXian"/>
                <w:b/>
                <w:bCs/>
              </w:rPr>
            </w:pPr>
            <w:r>
              <w:rPr>
                <w:rFonts w:eastAsia="DengXian"/>
                <w:b/>
                <w:bCs/>
              </w:rPr>
              <w:t>2</w:t>
            </w:r>
          </w:p>
        </w:tc>
        <w:tc>
          <w:tcPr>
            <w:tcW w:w="850" w:type="dxa"/>
            <w:tcBorders>
              <w:top w:val="single" w:color="auto" w:sz="4" w:space="0"/>
              <w:left w:val="single" w:color="auto" w:sz="4" w:space="0"/>
              <w:bottom w:val="single" w:color="auto" w:sz="4" w:space="0"/>
              <w:right w:val="single" w:color="auto" w:sz="4" w:space="0"/>
            </w:tcBorders>
          </w:tcPr>
          <w:p w14:paraId="2FE919A4">
            <w:pPr>
              <w:spacing w:line="360" w:lineRule="auto"/>
              <w:jc w:val="center"/>
              <w:rPr>
                <w:rFonts w:eastAsia="DengXian"/>
                <w:b/>
                <w:bCs/>
              </w:rPr>
            </w:pPr>
            <w:r>
              <w:rPr>
                <w:rFonts w:eastAsia="DengXian"/>
                <w:b/>
                <w:bCs/>
              </w:rPr>
              <w:t>U</w:t>
            </w:r>
          </w:p>
          <w:p w14:paraId="1C898797">
            <w:pPr>
              <w:spacing w:line="360" w:lineRule="auto"/>
              <w:jc w:val="center"/>
              <w:rPr>
                <w:rFonts w:eastAsia="DengXian"/>
                <w:b/>
                <w:bCs/>
              </w:rPr>
            </w:pPr>
            <w:r>
              <w:rPr>
                <w:rFonts w:eastAsia="DengXian"/>
                <w:b/>
                <w:bCs/>
              </w:rPr>
              <w:t>3</w:t>
            </w:r>
          </w:p>
        </w:tc>
        <w:tc>
          <w:tcPr>
            <w:tcW w:w="851" w:type="dxa"/>
            <w:tcBorders>
              <w:top w:val="single" w:color="auto" w:sz="4" w:space="0"/>
              <w:left w:val="single" w:color="auto" w:sz="4" w:space="0"/>
              <w:bottom w:val="single" w:color="auto" w:sz="4" w:space="0"/>
              <w:right w:val="single" w:color="auto" w:sz="4" w:space="0"/>
            </w:tcBorders>
          </w:tcPr>
          <w:p w14:paraId="63236B9E">
            <w:pPr>
              <w:spacing w:line="360" w:lineRule="auto"/>
              <w:jc w:val="center"/>
              <w:rPr>
                <w:rFonts w:eastAsia="DengXian"/>
                <w:b/>
                <w:bCs/>
              </w:rPr>
            </w:pPr>
            <w:r>
              <w:rPr>
                <w:rFonts w:eastAsia="DengXian"/>
                <w:b/>
                <w:bCs/>
              </w:rPr>
              <w:t>A</w:t>
            </w:r>
          </w:p>
          <w:p w14:paraId="60E47C57">
            <w:pPr>
              <w:spacing w:line="360" w:lineRule="auto"/>
              <w:jc w:val="center"/>
              <w:rPr>
                <w:rFonts w:eastAsia="DengXian"/>
                <w:b/>
                <w:bCs/>
              </w:rPr>
            </w:pPr>
            <w:r>
              <w:rPr>
                <w:rFonts w:eastAsia="DengXian"/>
                <w:b/>
                <w:bCs/>
              </w:rPr>
              <w:t>4</w:t>
            </w:r>
          </w:p>
        </w:tc>
        <w:tc>
          <w:tcPr>
            <w:tcW w:w="850" w:type="dxa"/>
            <w:tcBorders>
              <w:top w:val="single" w:color="auto" w:sz="4" w:space="0"/>
              <w:left w:val="single" w:color="auto" w:sz="4" w:space="0"/>
              <w:bottom w:val="single" w:color="auto" w:sz="4" w:space="0"/>
              <w:right w:val="single" w:color="auto" w:sz="4" w:space="0"/>
            </w:tcBorders>
          </w:tcPr>
          <w:p w14:paraId="3882FDAF">
            <w:pPr>
              <w:spacing w:line="360" w:lineRule="auto"/>
              <w:jc w:val="center"/>
              <w:rPr>
                <w:rFonts w:eastAsia="DengXian"/>
                <w:b/>
                <w:bCs/>
              </w:rPr>
            </w:pPr>
            <w:r>
              <w:rPr>
                <w:rFonts w:eastAsia="DengXian"/>
                <w:b/>
                <w:bCs/>
              </w:rPr>
              <w:t>SA</w:t>
            </w:r>
          </w:p>
          <w:p w14:paraId="144AE184">
            <w:pPr>
              <w:spacing w:line="360" w:lineRule="auto"/>
              <w:jc w:val="center"/>
              <w:rPr>
                <w:rFonts w:eastAsia="DengXian"/>
                <w:b/>
                <w:bCs/>
              </w:rPr>
            </w:pPr>
            <w:r>
              <w:rPr>
                <w:rFonts w:eastAsia="DengXian"/>
                <w:b/>
                <w:bCs/>
              </w:rPr>
              <w:t>5</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BA4E9C">
            <w:pPr>
              <w:spacing w:line="360" w:lineRule="auto"/>
              <w:rPr>
                <w:rFonts w:eastAsia="DengXian"/>
                <w:b/>
                <w:bCs/>
              </w:rPr>
            </w:pPr>
          </w:p>
        </w:tc>
      </w:tr>
      <w:tr w14:paraId="1F0B185F">
        <w:tblPrEx>
          <w:tblCellMar>
            <w:top w:w="0" w:type="dxa"/>
            <w:left w:w="108" w:type="dxa"/>
            <w:bottom w:w="0" w:type="dxa"/>
            <w:right w:w="108" w:type="dxa"/>
          </w:tblCellMar>
        </w:tblPrEx>
        <w:trPr>
          <w:trHeight w:val="357" w:hRule="atLeast"/>
          <w:jc w:val="center"/>
        </w:trPr>
        <w:tc>
          <w:tcPr>
            <w:tcW w:w="499" w:type="dxa"/>
            <w:tcBorders>
              <w:top w:val="single" w:color="auto" w:sz="4" w:space="0"/>
              <w:left w:val="single" w:color="auto" w:sz="4" w:space="0"/>
              <w:bottom w:val="single" w:color="auto" w:sz="4" w:space="0"/>
              <w:right w:val="single" w:color="auto" w:sz="4" w:space="0"/>
            </w:tcBorders>
          </w:tcPr>
          <w:p w14:paraId="343080E1">
            <w:pPr>
              <w:spacing w:line="360" w:lineRule="auto"/>
              <w:jc w:val="both"/>
              <w:rPr>
                <w:rFonts w:eastAsia="DengXian"/>
              </w:rPr>
            </w:pPr>
            <w:r>
              <w:rPr>
                <w:rFonts w:eastAsia="DengXian"/>
              </w:rPr>
              <w:t>1</w:t>
            </w:r>
          </w:p>
        </w:tc>
        <w:tc>
          <w:tcPr>
            <w:tcW w:w="3607" w:type="dxa"/>
            <w:tcBorders>
              <w:top w:val="single" w:color="auto" w:sz="4" w:space="0"/>
              <w:left w:val="single" w:color="auto" w:sz="4" w:space="0"/>
              <w:bottom w:val="single" w:color="auto" w:sz="4" w:space="0"/>
              <w:right w:val="single" w:color="auto" w:sz="4" w:space="0"/>
            </w:tcBorders>
          </w:tcPr>
          <w:p w14:paraId="43CD01C4">
            <w:pPr>
              <w:autoSpaceDE w:val="0"/>
              <w:autoSpaceDN w:val="0"/>
              <w:adjustRightInd w:val="0"/>
              <w:spacing w:line="360" w:lineRule="auto"/>
              <w:jc w:val="both"/>
              <w:rPr>
                <w:rFonts w:eastAsia="TimesNewRomanPSMT"/>
              </w:rPr>
            </w:pPr>
            <w:r>
              <w:rPr>
                <w:rFonts w:eastAsia="DengXian"/>
                <w:lang w:val="en-GB"/>
              </w:rPr>
              <w:t xml:space="preserve">Principle driven tax policy and tax legislation making is essential for consistent interpretation and application of tax legislation. </w:t>
            </w:r>
          </w:p>
        </w:tc>
        <w:tc>
          <w:tcPr>
            <w:tcW w:w="992" w:type="dxa"/>
            <w:tcBorders>
              <w:top w:val="single" w:color="auto" w:sz="4" w:space="0"/>
              <w:left w:val="single" w:color="auto" w:sz="4" w:space="0"/>
              <w:bottom w:val="single" w:color="auto" w:sz="4" w:space="0"/>
              <w:right w:val="single" w:color="auto" w:sz="4" w:space="0"/>
            </w:tcBorders>
          </w:tcPr>
          <w:p w14:paraId="2AC9A7BA">
            <w:pPr>
              <w:spacing w:line="360" w:lineRule="auto"/>
              <w:jc w:val="center"/>
              <w:rPr>
                <w:rFonts w:eastAsia="DengXian"/>
              </w:rPr>
            </w:pPr>
            <w:r>
              <w:rPr>
                <w:rFonts w:eastAsia="DengXian"/>
              </w:rPr>
              <w:t>0</w:t>
            </w:r>
          </w:p>
          <w:p w14:paraId="15345726">
            <w:pPr>
              <w:spacing w:line="360" w:lineRule="auto"/>
              <w:jc w:val="center"/>
              <w:rPr>
                <w:rFonts w:eastAsia="DengXian"/>
              </w:rPr>
            </w:pPr>
            <w:r>
              <w:rPr>
                <w:rFonts w:eastAsia="DengXian"/>
              </w:rPr>
              <w:t>0%</w:t>
            </w:r>
          </w:p>
        </w:tc>
        <w:tc>
          <w:tcPr>
            <w:tcW w:w="993" w:type="dxa"/>
            <w:tcBorders>
              <w:top w:val="single" w:color="auto" w:sz="4" w:space="0"/>
              <w:left w:val="single" w:color="auto" w:sz="4" w:space="0"/>
              <w:bottom w:val="single" w:color="auto" w:sz="4" w:space="0"/>
              <w:right w:val="single" w:color="auto" w:sz="4" w:space="0"/>
            </w:tcBorders>
          </w:tcPr>
          <w:p w14:paraId="140018B6">
            <w:pPr>
              <w:spacing w:line="360" w:lineRule="auto"/>
              <w:jc w:val="center"/>
              <w:rPr>
                <w:rFonts w:eastAsia="DengXian"/>
              </w:rPr>
            </w:pPr>
            <w:r>
              <w:rPr>
                <w:rFonts w:eastAsia="DengXian"/>
              </w:rPr>
              <w:t>0</w:t>
            </w:r>
          </w:p>
          <w:p w14:paraId="62C0B1AB">
            <w:pPr>
              <w:spacing w:line="360" w:lineRule="auto"/>
              <w:jc w:val="center"/>
              <w:rPr>
                <w:rFonts w:eastAsia="DengXian"/>
              </w:rPr>
            </w:pPr>
            <w:r>
              <w:rPr>
                <w:rFonts w:eastAsia="DengXian"/>
              </w:rPr>
              <w:t>0%</w:t>
            </w:r>
          </w:p>
        </w:tc>
        <w:tc>
          <w:tcPr>
            <w:tcW w:w="850" w:type="dxa"/>
            <w:tcBorders>
              <w:top w:val="single" w:color="auto" w:sz="4" w:space="0"/>
              <w:left w:val="single" w:color="auto" w:sz="4" w:space="0"/>
              <w:bottom w:val="single" w:color="auto" w:sz="4" w:space="0"/>
              <w:right w:val="single" w:color="auto" w:sz="4" w:space="0"/>
            </w:tcBorders>
          </w:tcPr>
          <w:p w14:paraId="156CC5C4">
            <w:pPr>
              <w:spacing w:line="360" w:lineRule="auto"/>
              <w:jc w:val="center"/>
              <w:rPr>
                <w:rFonts w:eastAsia="DengXian"/>
              </w:rPr>
            </w:pPr>
            <w:r>
              <w:rPr>
                <w:rFonts w:eastAsia="DengXian"/>
              </w:rPr>
              <w:t>4</w:t>
            </w:r>
          </w:p>
          <w:p w14:paraId="08EB9F1D">
            <w:pPr>
              <w:spacing w:line="360" w:lineRule="auto"/>
              <w:jc w:val="center"/>
              <w:rPr>
                <w:rFonts w:eastAsia="DengXian"/>
              </w:rPr>
            </w:pPr>
            <w:r>
              <w:rPr>
                <w:rFonts w:eastAsia="DengXian"/>
              </w:rPr>
              <w:t>5.3%</w:t>
            </w:r>
          </w:p>
        </w:tc>
        <w:tc>
          <w:tcPr>
            <w:tcW w:w="851" w:type="dxa"/>
            <w:tcBorders>
              <w:top w:val="single" w:color="auto" w:sz="4" w:space="0"/>
              <w:left w:val="single" w:color="auto" w:sz="4" w:space="0"/>
              <w:bottom w:val="single" w:color="auto" w:sz="4" w:space="0"/>
              <w:right w:val="single" w:color="auto" w:sz="4" w:space="0"/>
            </w:tcBorders>
          </w:tcPr>
          <w:p w14:paraId="5243C3C5">
            <w:pPr>
              <w:spacing w:line="360" w:lineRule="auto"/>
              <w:jc w:val="center"/>
              <w:rPr>
                <w:rFonts w:eastAsia="DengXian"/>
              </w:rPr>
            </w:pPr>
            <w:r>
              <w:rPr>
                <w:rFonts w:eastAsia="DengXian"/>
              </w:rPr>
              <w:t>11</w:t>
            </w:r>
          </w:p>
          <w:p w14:paraId="0CBA4B2A">
            <w:pPr>
              <w:spacing w:line="360" w:lineRule="auto"/>
              <w:jc w:val="center"/>
              <w:rPr>
                <w:rFonts w:eastAsia="DengXian"/>
              </w:rPr>
            </w:pPr>
            <w:r>
              <w:rPr>
                <w:rFonts w:eastAsia="DengXian"/>
              </w:rPr>
              <w:t>14.7%</w:t>
            </w:r>
          </w:p>
        </w:tc>
        <w:tc>
          <w:tcPr>
            <w:tcW w:w="850" w:type="dxa"/>
            <w:tcBorders>
              <w:top w:val="single" w:color="auto" w:sz="4" w:space="0"/>
              <w:left w:val="single" w:color="auto" w:sz="4" w:space="0"/>
              <w:bottom w:val="single" w:color="auto" w:sz="4" w:space="0"/>
              <w:right w:val="single" w:color="auto" w:sz="4" w:space="0"/>
            </w:tcBorders>
          </w:tcPr>
          <w:p w14:paraId="61E241A1">
            <w:pPr>
              <w:spacing w:line="360" w:lineRule="auto"/>
              <w:jc w:val="center"/>
              <w:rPr>
                <w:rFonts w:eastAsia="DengXian"/>
              </w:rPr>
            </w:pPr>
            <w:r>
              <w:rPr>
                <w:rFonts w:eastAsia="DengXian"/>
              </w:rPr>
              <w:t>60</w:t>
            </w:r>
          </w:p>
          <w:p w14:paraId="3FFCA03E">
            <w:pPr>
              <w:spacing w:line="360" w:lineRule="auto"/>
              <w:jc w:val="center"/>
              <w:rPr>
                <w:rFonts w:eastAsia="DengXian"/>
              </w:rPr>
            </w:pPr>
            <w:r>
              <w:rPr>
                <w:rFonts w:eastAsia="DengXian"/>
              </w:rPr>
              <w:t>80%</w:t>
            </w:r>
          </w:p>
        </w:tc>
        <w:tc>
          <w:tcPr>
            <w:tcW w:w="1134" w:type="dxa"/>
            <w:tcBorders>
              <w:top w:val="single" w:color="auto" w:sz="4" w:space="0"/>
              <w:left w:val="single" w:color="auto" w:sz="4" w:space="0"/>
              <w:bottom w:val="single" w:color="auto" w:sz="4" w:space="0"/>
              <w:right w:val="single" w:color="auto" w:sz="4" w:space="0"/>
            </w:tcBorders>
          </w:tcPr>
          <w:p w14:paraId="599C53CC">
            <w:pPr>
              <w:spacing w:line="360" w:lineRule="auto"/>
              <w:jc w:val="center"/>
              <w:rPr>
                <w:rFonts w:eastAsia="DengXian"/>
              </w:rPr>
            </w:pPr>
            <w:r>
              <w:rPr>
                <w:rFonts w:eastAsia="DengXian"/>
              </w:rPr>
              <w:t>75</w:t>
            </w:r>
          </w:p>
          <w:p w14:paraId="5D479AD0">
            <w:pPr>
              <w:spacing w:line="360" w:lineRule="auto"/>
              <w:jc w:val="center"/>
              <w:rPr>
                <w:rFonts w:eastAsia="DengXian"/>
              </w:rPr>
            </w:pPr>
            <w:r>
              <w:rPr>
                <w:rFonts w:eastAsia="DengXian"/>
              </w:rPr>
              <w:t>94.9%</w:t>
            </w:r>
          </w:p>
        </w:tc>
      </w:tr>
      <w:tr w14:paraId="4EADE75A">
        <w:tblPrEx>
          <w:tblCellMar>
            <w:top w:w="0" w:type="dxa"/>
            <w:left w:w="108" w:type="dxa"/>
            <w:bottom w:w="0" w:type="dxa"/>
            <w:right w:w="108" w:type="dxa"/>
          </w:tblCellMar>
        </w:tblPrEx>
        <w:trPr>
          <w:trHeight w:val="357" w:hRule="atLeast"/>
          <w:jc w:val="center"/>
        </w:trPr>
        <w:tc>
          <w:tcPr>
            <w:tcW w:w="499" w:type="dxa"/>
            <w:tcBorders>
              <w:top w:val="single" w:color="auto" w:sz="4" w:space="0"/>
              <w:left w:val="single" w:color="auto" w:sz="4" w:space="0"/>
              <w:bottom w:val="single" w:color="auto" w:sz="4" w:space="0"/>
              <w:right w:val="single" w:color="auto" w:sz="4" w:space="0"/>
            </w:tcBorders>
          </w:tcPr>
          <w:p w14:paraId="07B2C331">
            <w:pPr>
              <w:spacing w:line="360" w:lineRule="auto"/>
              <w:jc w:val="both"/>
              <w:rPr>
                <w:rFonts w:eastAsia="DengXian"/>
              </w:rPr>
            </w:pPr>
            <w:r>
              <w:rPr>
                <w:rFonts w:eastAsia="DengXian"/>
              </w:rPr>
              <w:t>2</w:t>
            </w:r>
          </w:p>
        </w:tc>
        <w:tc>
          <w:tcPr>
            <w:tcW w:w="3607" w:type="dxa"/>
            <w:tcBorders>
              <w:top w:val="single" w:color="auto" w:sz="4" w:space="0"/>
              <w:left w:val="single" w:color="auto" w:sz="4" w:space="0"/>
              <w:bottom w:val="single" w:color="auto" w:sz="4" w:space="0"/>
              <w:right w:val="single" w:color="auto" w:sz="4" w:space="0"/>
            </w:tcBorders>
          </w:tcPr>
          <w:p w14:paraId="6FF6D7A2">
            <w:pPr>
              <w:spacing w:line="360" w:lineRule="auto"/>
              <w:jc w:val="both"/>
              <w:rPr>
                <w:rFonts w:eastAsia="DengXian"/>
              </w:rPr>
            </w:pPr>
            <w:r>
              <w:rPr>
                <w:rFonts w:eastAsia="DengXian"/>
              </w:rPr>
              <w:t xml:space="preserve">Well defined words, concepts, and terms are essential for understanding and tax compliance. </w:t>
            </w:r>
          </w:p>
        </w:tc>
        <w:tc>
          <w:tcPr>
            <w:tcW w:w="992" w:type="dxa"/>
            <w:tcBorders>
              <w:top w:val="single" w:color="auto" w:sz="4" w:space="0"/>
              <w:left w:val="single" w:color="auto" w:sz="4" w:space="0"/>
              <w:bottom w:val="single" w:color="auto" w:sz="4" w:space="0"/>
              <w:right w:val="single" w:color="auto" w:sz="4" w:space="0"/>
            </w:tcBorders>
          </w:tcPr>
          <w:p w14:paraId="6BBB61D4">
            <w:pPr>
              <w:spacing w:line="360" w:lineRule="auto"/>
              <w:jc w:val="center"/>
              <w:rPr>
                <w:rFonts w:eastAsia="DengXian"/>
              </w:rPr>
            </w:pPr>
            <w:r>
              <w:rPr>
                <w:rFonts w:eastAsia="DengXian"/>
              </w:rPr>
              <w:t>0</w:t>
            </w:r>
          </w:p>
          <w:p w14:paraId="0EA4E526">
            <w:pPr>
              <w:spacing w:line="360" w:lineRule="auto"/>
              <w:jc w:val="center"/>
              <w:rPr>
                <w:rFonts w:eastAsia="DengXian"/>
              </w:rPr>
            </w:pPr>
            <w:r>
              <w:rPr>
                <w:rFonts w:eastAsia="DengXian"/>
              </w:rPr>
              <w:t>0%</w:t>
            </w:r>
          </w:p>
        </w:tc>
        <w:tc>
          <w:tcPr>
            <w:tcW w:w="993" w:type="dxa"/>
            <w:tcBorders>
              <w:top w:val="single" w:color="auto" w:sz="4" w:space="0"/>
              <w:left w:val="single" w:color="auto" w:sz="4" w:space="0"/>
              <w:bottom w:val="single" w:color="auto" w:sz="4" w:space="0"/>
              <w:right w:val="single" w:color="auto" w:sz="4" w:space="0"/>
            </w:tcBorders>
          </w:tcPr>
          <w:p w14:paraId="66F7A244">
            <w:pPr>
              <w:spacing w:line="360" w:lineRule="auto"/>
              <w:jc w:val="center"/>
              <w:rPr>
                <w:rFonts w:eastAsia="DengXian"/>
              </w:rPr>
            </w:pPr>
            <w:r>
              <w:rPr>
                <w:rFonts w:eastAsia="DengXian"/>
              </w:rPr>
              <w:t>0</w:t>
            </w:r>
          </w:p>
          <w:p w14:paraId="45190523">
            <w:pPr>
              <w:spacing w:line="360" w:lineRule="auto"/>
              <w:jc w:val="center"/>
              <w:rPr>
                <w:rFonts w:eastAsia="DengXian"/>
              </w:rPr>
            </w:pPr>
            <w:r>
              <w:rPr>
                <w:rFonts w:eastAsia="DengXian"/>
              </w:rPr>
              <w:t>0%</w:t>
            </w:r>
          </w:p>
        </w:tc>
        <w:tc>
          <w:tcPr>
            <w:tcW w:w="850" w:type="dxa"/>
            <w:tcBorders>
              <w:top w:val="single" w:color="auto" w:sz="4" w:space="0"/>
              <w:left w:val="single" w:color="auto" w:sz="4" w:space="0"/>
              <w:bottom w:val="single" w:color="auto" w:sz="4" w:space="0"/>
              <w:right w:val="single" w:color="auto" w:sz="4" w:space="0"/>
            </w:tcBorders>
          </w:tcPr>
          <w:p w14:paraId="6BE6E1E9">
            <w:pPr>
              <w:spacing w:line="360" w:lineRule="auto"/>
              <w:jc w:val="center"/>
              <w:rPr>
                <w:rFonts w:eastAsia="DengXian"/>
              </w:rPr>
            </w:pPr>
            <w:r>
              <w:rPr>
                <w:rFonts w:eastAsia="DengXian"/>
              </w:rPr>
              <w:t>2</w:t>
            </w:r>
          </w:p>
          <w:p w14:paraId="13758B74">
            <w:pPr>
              <w:spacing w:line="360" w:lineRule="auto"/>
              <w:jc w:val="center"/>
              <w:rPr>
                <w:rFonts w:eastAsia="DengXian"/>
              </w:rPr>
            </w:pPr>
            <w:r>
              <w:rPr>
                <w:rFonts w:eastAsia="DengXian"/>
              </w:rPr>
              <w:t>2.7%</w:t>
            </w:r>
          </w:p>
        </w:tc>
        <w:tc>
          <w:tcPr>
            <w:tcW w:w="851" w:type="dxa"/>
            <w:tcBorders>
              <w:top w:val="single" w:color="auto" w:sz="4" w:space="0"/>
              <w:left w:val="single" w:color="auto" w:sz="4" w:space="0"/>
              <w:bottom w:val="single" w:color="auto" w:sz="4" w:space="0"/>
              <w:right w:val="single" w:color="auto" w:sz="4" w:space="0"/>
            </w:tcBorders>
          </w:tcPr>
          <w:p w14:paraId="1F739285">
            <w:pPr>
              <w:spacing w:line="360" w:lineRule="auto"/>
              <w:jc w:val="center"/>
              <w:rPr>
                <w:rFonts w:eastAsia="DengXian"/>
              </w:rPr>
            </w:pPr>
            <w:r>
              <w:rPr>
                <w:rFonts w:eastAsia="DengXian"/>
              </w:rPr>
              <w:t>4</w:t>
            </w:r>
          </w:p>
          <w:p w14:paraId="2FC8C6B1">
            <w:pPr>
              <w:spacing w:line="360" w:lineRule="auto"/>
              <w:jc w:val="center"/>
              <w:rPr>
                <w:rFonts w:eastAsia="DengXian"/>
              </w:rPr>
            </w:pPr>
            <w:r>
              <w:rPr>
                <w:rFonts w:eastAsia="DengXian"/>
              </w:rPr>
              <w:t>5.3%</w:t>
            </w:r>
          </w:p>
        </w:tc>
        <w:tc>
          <w:tcPr>
            <w:tcW w:w="850" w:type="dxa"/>
            <w:tcBorders>
              <w:top w:val="single" w:color="auto" w:sz="4" w:space="0"/>
              <w:left w:val="single" w:color="auto" w:sz="4" w:space="0"/>
              <w:bottom w:val="single" w:color="auto" w:sz="4" w:space="0"/>
              <w:right w:val="single" w:color="auto" w:sz="4" w:space="0"/>
            </w:tcBorders>
          </w:tcPr>
          <w:p w14:paraId="447B4DFD">
            <w:pPr>
              <w:spacing w:line="360" w:lineRule="auto"/>
              <w:jc w:val="center"/>
              <w:rPr>
                <w:rFonts w:eastAsia="DengXian"/>
              </w:rPr>
            </w:pPr>
            <w:r>
              <w:rPr>
                <w:rFonts w:eastAsia="DengXian"/>
              </w:rPr>
              <w:t>69</w:t>
            </w:r>
          </w:p>
          <w:p w14:paraId="496BCD02">
            <w:pPr>
              <w:spacing w:line="360" w:lineRule="auto"/>
              <w:jc w:val="center"/>
              <w:rPr>
                <w:rFonts w:eastAsia="DengXian"/>
              </w:rPr>
            </w:pPr>
            <w:r>
              <w:rPr>
                <w:rFonts w:eastAsia="DengXian"/>
              </w:rPr>
              <w:t>92%</w:t>
            </w:r>
          </w:p>
        </w:tc>
        <w:tc>
          <w:tcPr>
            <w:tcW w:w="1134" w:type="dxa"/>
            <w:tcBorders>
              <w:top w:val="single" w:color="auto" w:sz="4" w:space="0"/>
              <w:left w:val="single" w:color="auto" w:sz="4" w:space="0"/>
              <w:bottom w:val="single" w:color="auto" w:sz="4" w:space="0"/>
              <w:right w:val="single" w:color="auto" w:sz="4" w:space="0"/>
            </w:tcBorders>
          </w:tcPr>
          <w:p w14:paraId="47A4A75C">
            <w:pPr>
              <w:spacing w:line="360" w:lineRule="auto"/>
              <w:jc w:val="center"/>
              <w:rPr>
                <w:rFonts w:eastAsia="DengXian"/>
              </w:rPr>
            </w:pPr>
            <w:r>
              <w:rPr>
                <w:rFonts w:eastAsia="DengXian"/>
              </w:rPr>
              <w:t>75</w:t>
            </w:r>
          </w:p>
          <w:p w14:paraId="12B541E7">
            <w:pPr>
              <w:spacing w:line="360" w:lineRule="auto"/>
              <w:jc w:val="center"/>
              <w:rPr>
                <w:rFonts w:eastAsia="DengXian"/>
              </w:rPr>
            </w:pPr>
            <w:r>
              <w:rPr>
                <w:rFonts w:eastAsia="DengXian"/>
              </w:rPr>
              <w:t>94.9%</w:t>
            </w:r>
          </w:p>
        </w:tc>
      </w:tr>
      <w:tr w14:paraId="3F73BB36">
        <w:tblPrEx>
          <w:tblCellMar>
            <w:top w:w="0" w:type="dxa"/>
            <w:left w:w="108" w:type="dxa"/>
            <w:bottom w:w="0" w:type="dxa"/>
            <w:right w:w="108" w:type="dxa"/>
          </w:tblCellMar>
        </w:tblPrEx>
        <w:trPr>
          <w:trHeight w:val="357" w:hRule="atLeast"/>
          <w:jc w:val="center"/>
        </w:trPr>
        <w:tc>
          <w:tcPr>
            <w:tcW w:w="499" w:type="dxa"/>
            <w:tcBorders>
              <w:top w:val="single" w:color="auto" w:sz="4" w:space="0"/>
              <w:left w:val="single" w:color="auto" w:sz="4" w:space="0"/>
              <w:bottom w:val="single" w:color="auto" w:sz="4" w:space="0"/>
              <w:right w:val="single" w:color="auto" w:sz="4" w:space="0"/>
            </w:tcBorders>
          </w:tcPr>
          <w:p w14:paraId="00913686">
            <w:pPr>
              <w:spacing w:line="360" w:lineRule="auto"/>
              <w:jc w:val="both"/>
              <w:rPr>
                <w:rFonts w:eastAsia="DengXian"/>
              </w:rPr>
            </w:pPr>
            <w:r>
              <w:rPr>
                <w:rFonts w:eastAsia="DengXian"/>
              </w:rPr>
              <w:t>3</w:t>
            </w:r>
          </w:p>
        </w:tc>
        <w:tc>
          <w:tcPr>
            <w:tcW w:w="3607" w:type="dxa"/>
            <w:tcBorders>
              <w:top w:val="single" w:color="auto" w:sz="4" w:space="0"/>
              <w:left w:val="single" w:color="auto" w:sz="4" w:space="0"/>
              <w:bottom w:val="single" w:color="auto" w:sz="4" w:space="0"/>
              <w:right w:val="single" w:color="auto" w:sz="4" w:space="0"/>
            </w:tcBorders>
          </w:tcPr>
          <w:p w14:paraId="5DE56973">
            <w:pPr>
              <w:spacing w:line="360" w:lineRule="auto"/>
              <w:jc w:val="both"/>
              <w:rPr>
                <w:rFonts w:eastAsia="DengXian"/>
              </w:rPr>
            </w:pPr>
            <w:r>
              <w:rPr>
                <w:rFonts w:eastAsia="DengXian"/>
              </w:rPr>
              <w:t>The existence of multiple tax rates for the JV concessions and its interaction with the PSC rate and incentives</w:t>
            </w:r>
            <w:r>
              <w:rPr>
                <w:rFonts w:eastAsia="DengXian"/>
                <w:vertAlign w:val="superscript"/>
              </w:rPr>
              <w:footnoteReference w:id="442"/>
            </w:r>
            <w:r>
              <w:rPr>
                <w:rFonts w:eastAsia="DengXian"/>
              </w:rPr>
              <w:t xml:space="preserve"> have significant impact on upstream petroleum taxation. </w:t>
            </w:r>
          </w:p>
        </w:tc>
        <w:tc>
          <w:tcPr>
            <w:tcW w:w="992" w:type="dxa"/>
            <w:tcBorders>
              <w:top w:val="single" w:color="auto" w:sz="4" w:space="0"/>
              <w:left w:val="single" w:color="auto" w:sz="4" w:space="0"/>
              <w:bottom w:val="single" w:color="auto" w:sz="4" w:space="0"/>
              <w:right w:val="single" w:color="auto" w:sz="4" w:space="0"/>
            </w:tcBorders>
          </w:tcPr>
          <w:p w14:paraId="450B5884">
            <w:pPr>
              <w:spacing w:line="360" w:lineRule="auto"/>
              <w:jc w:val="center"/>
              <w:rPr>
                <w:rFonts w:eastAsia="DengXian"/>
              </w:rPr>
            </w:pPr>
            <w:r>
              <w:rPr>
                <w:rFonts w:eastAsia="DengXian"/>
              </w:rPr>
              <w:t>2</w:t>
            </w:r>
          </w:p>
          <w:p w14:paraId="5F4F88EF">
            <w:pPr>
              <w:spacing w:line="360" w:lineRule="auto"/>
              <w:jc w:val="center"/>
              <w:rPr>
                <w:rFonts w:eastAsia="DengXian"/>
              </w:rPr>
            </w:pPr>
            <w:r>
              <w:rPr>
                <w:rFonts w:eastAsia="DengXian"/>
              </w:rPr>
              <w:t>2.7%</w:t>
            </w:r>
          </w:p>
        </w:tc>
        <w:tc>
          <w:tcPr>
            <w:tcW w:w="993" w:type="dxa"/>
            <w:tcBorders>
              <w:top w:val="single" w:color="auto" w:sz="4" w:space="0"/>
              <w:left w:val="single" w:color="auto" w:sz="4" w:space="0"/>
              <w:bottom w:val="single" w:color="auto" w:sz="4" w:space="0"/>
              <w:right w:val="single" w:color="auto" w:sz="4" w:space="0"/>
            </w:tcBorders>
          </w:tcPr>
          <w:p w14:paraId="09450F85">
            <w:pPr>
              <w:spacing w:line="360" w:lineRule="auto"/>
              <w:jc w:val="center"/>
              <w:rPr>
                <w:rFonts w:eastAsia="DengXian"/>
              </w:rPr>
            </w:pPr>
            <w:r>
              <w:rPr>
                <w:rFonts w:eastAsia="DengXian"/>
              </w:rPr>
              <w:t>7</w:t>
            </w:r>
          </w:p>
          <w:p w14:paraId="39711ADD">
            <w:pPr>
              <w:spacing w:line="360" w:lineRule="auto"/>
              <w:jc w:val="center"/>
              <w:rPr>
                <w:rFonts w:eastAsia="DengXian"/>
              </w:rPr>
            </w:pPr>
            <w:r>
              <w:rPr>
                <w:rFonts w:eastAsia="DengXian"/>
              </w:rPr>
              <w:t>9.3%</w:t>
            </w:r>
          </w:p>
        </w:tc>
        <w:tc>
          <w:tcPr>
            <w:tcW w:w="850" w:type="dxa"/>
            <w:tcBorders>
              <w:top w:val="single" w:color="auto" w:sz="4" w:space="0"/>
              <w:left w:val="single" w:color="auto" w:sz="4" w:space="0"/>
              <w:bottom w:val="single" w:color="auto" w:sz="4" w:space="0"/>
              <w:right w:val="single" w:color="auto" w:sz="4" w:space="0"/>
            </w:tcBorders>
          </w:tcPr>
          <w:p w14:paraId="432056F1">
            <w:pPr>
              <w:spacing w:line="360" w:lineRule="auto"/>
              <w:jc w:val="center"/>
              <w:rPr>
                <w:rFonts w:eastAsia="DengXian"/>
              </w:rPr>
            </w:pPr>
            <w:r>
              <w:rPr>
                <w:rFonts w:eastAsia="DengXian"/>
              </w:rPr>
              <w:t>28</w:t>
            </w:r>
          </w:p>
          <w:p w14:paraId="4AB44067">
            <w:pPr>
              <w:spacing w:line="360" w:lineRule="auto"/>
              <w:jc w:val="center"/>
              <w:rPr>
                <w:rFonts w:eastAsia="DengXian"/>
              </w:rPr>
            </w:pPr>
            <w:r>
              <w:rPr>
                <w:rFonts w:eastAsia="DengXian"/>
              </w:rPr>
              <w:t>37.3%</w:t>
            </w:r>
          </w:p>
        </w:tc>
        <w:tc>
          <w:tcPr>
            <w:tcW w:w="851" w:type="dxa"/>
            <w:tcBorders>
              <w:top w:val="single" w:color="auto" w:sz="4" w:space="0"/>
              <w:left w:val="single" w:color="auto" w:sz="4" w:space="0"/>
              <w:bottom w:val="single" w:color="auto" w:sz="4" w:space="0"/>
              <w:right w:val="single" w:color="auto" w:sz="4" w:space="0"/>
            </w:tcBorders>
          </w:tcPr>
          <w:p w14:paraId="00179BFE">
            <w:pPr>
              <w:spacing w:line="360" w:lineRule="auto"/>
              <w:jc w:val="center"/>
              <w:rPr>
                <w:rFonts w:eastAsia="DengXian"/>
              </w:rPr>
            </w:pPr>
            <w:r>
              <w:rPr>
                <w:rFonts w:eastAsia="DengXian"/>
              </w:rPr>
              <w:t>22</w:t>
            </w:r>
          </w:p>
          <w:p w14:paraId="24C81A52">
            <w:pPr>
              <w:spacing w:line="360" w:lineRule="auto"/>
              <w:jc w:val="center"/>
              <w:rPr>
                <w:rFonts w:eastAsia="DengXian"/>
              </w:rPr>
            </w:pPr>
            <w:r>
              <w:rPr>
                <w:rFonts w:eastAsia="DengXian"/>
              </w:rPr>
              <w:t>29.3%</w:t>
            </w:r>
          </w:p>
        </w:tc>
        <w:tc>
          <w:tcPr>
            <w:tcW w:w="850" w:type="dxa"/>
            <w:tcBorders>
              <w:top w:val="single" w:color="auto" w:sz="4" w:space="0"/>
              <w:left w:val="single" w:color="auto" w:sz="4" w:space="0"/>
              <w:bottom w:val="single" w:color="auto" w:sz="4" w:space="0"/>
              <w:right w:val="single" w:color="auto" w:sz="4" w:space="0"/>
            </w:tcBorders>
          </w:tcPr>
          <w:p w14:paraId="2BA6745D">
            <w:pPr>
              <w:spacing w:line="360" w:lineRule="auto"/>
              <w:jc w:val="center"/>
              <w:rPr>
                <w:rFonts w:eastAsia="DengXian"/>
              </w:rPr>
            </w:pPr>
            <w:r>
              <w:rPr>
                <w:rFonts w:eastAsia="DengXian"/>
              </w:rPr>
              <w:t>16</w:t>
            </w:r>
          </w:p>
          <w:p w14:paraId="2BCADA38">
            <w:pPr>
              <w:spacing w:line="360" w:lineRule="auto"/>
              <w:jc w:val="center"/>
              <w:rPr>
                <w:rFonts w:eastAsia="DengXian"/>
              </w:rPr>
            </w:pPr>
            <w:r>
              <w:rPr>
                <w:rFonts w:eastAsia="DengXian"/>
              </w:rPr>
              <w:t>21.3%</w:t>
            </w:r>
          </w:p>
        </w:tc>
        <w:tc>
          <w:tcPr>
            <w:tcW w:w="1134" w:type="dxa"/>
            <w:tcBorders>
              <w:top w:val="single" w:color="auto" w:sz="4" w:space="0"/>
              <w:left w:val="single" w:color="auto" w:sz="4" w:space="0"/>
              <w:bottom w:val="single" w:color="auto" w:sz="4" w:space="0"/>
              <w:right w:val="single" w:color="auto" w:sz="4" w:space="0"/>
            </w:tcBorders>
          </w:tcPr>
          <w:p w14:paraId="2022664B">
            <w:pPr>
              <w:spacing w:line="360" w:lineRule="auto"/>
              <w:jc w:val="center"/>
              <w:rPr>
                <w:rFonts w:eastAsia="DengXian"/>
              </w:rPr>
            </w:pPr>
            <w:r>
              <w:rPr>
                <w:rFonts w:eastAsia="DengXian"/>
              </w:rPr>
              <w:t>75</w:t>
            </w:r>
          </w:p>
          <w:p w14:paraId="62BB1DD1">
            <w:pPr>
              <w:spacing w:line="360" w:lineRule="auto"/>
              <w:jc w:val="center"/>
              <w:rPr>
                <w:rFonts w:eastAsia="DengXian"/>
              </w:rPr>
            </w:pPr>
            <w:r>
              <w:rPr>
                <w:rFonts w:eastAsia="DengXian"/>
              </w:rPr>
              <w:t>94.9%</w:t>
            </w:r>
          </w:p>
        </w:tc>
      </w:tr>
      <w:tr w14:paraId="2A95021E">
        <w:tblPrEx>
          <w:tblCellMar>
            <w:top w:w="0" w:type="dxa"/>
            <w:left w:w="108" w:type="dxa"/>
            <w:bottom w:w="0" w:type="dxa"/>
            <w:right w:w="108" w:type="dxa"/>
          </w:tblCellMar>
        </w:tblPrEx>
        <w:trPr>
          <w:trHeight w:val="357" w:hRule="atLeast"/>
          <w:jc w:val="center"/>
        </w:trPr>
        <w:tc>
          <w:tcPr>
            <w:tcW w:w="499" w:type="dxa"/>
            <w:tcBorders>
              <w:top w:val="single" w:color="auto" w:sz="4" w:space="0"/>
              <w:left w:val="single" w:color="auto" w:sz="4" w:space="0"/>
              <w:bottom w:val="single" w:color="auto" w:sz="4" w:space="0"/>
              <w:right w:val="single" w:color="auto" w:sz="4" w:space="0"/>
            </w:tcBorders>
          </w:tcPr>
          <w:p w14:paraId="55E1C9C0">
            <w:pPr>
              <w:spacing w:line="360" w:lineRule="auto"/>
              <w:jc w:val="both"/>
              <w:rPr>
                <w:rFonts w:eastAsia="DengXian"/>
              </w:rPr>
            </w:pPr>
            <w:r>
              <w:rPr>
                <w:rFonts w:eastAsia="DengXian"/>
              </w:rPr>
              <w:t>4</w:t>
            </w:r>
          </w:p>
        </w:tc>
        <w:tc>
          <w:tcPr>
            <w:tcW w:w="3607" w:type="dxa"/>
            <w:tcBorders>
              <w:top w:val="single" w:color="auto" w:sz="4" w:space="0"/>
              <w:left w:val="single" w:color="auto" w:sz="4" w:space="0"/>
              <w:bottom w:val="single" w:color="auto" w:sz="4" w:space="0"/>
              <w:right w:val="single" w:color="auto" w:sz="4" w:space="0"/>
            </w:tcBorders>
          </w:tcPr>
          <w:p w14:paraId="5205C15C">
            <w:pPr>
              <w:autoSpaceDE w:val="0"/>
              <w:autoSpaceDN w:val="0"/>
              <w:adjustRightInd w:val="0"/>
              <w:spacing w:line="360" w:lineRule="auto"/>
              <w:jc w:val="both"/>
              <w:rPr>
                <w:rFonts w:eastAsia="TimesNewRomanPSMT"/>
              </w:rPr>
            </w:pPr>
            <w:r>
              <w:rPr>
                <w:rFonts w:eastAsia="DengXian"/>
              </w:rPr>
              <w:t xml:space="preserve">The introduction of the two-tier hydrocarbon and corporate income tax regime under the proposed Petroleum Industry Act (PIA), will impact the effective tax rate (ETR) and the stability of upstream petroleum taxation.  </w:t>
            </w:r>
          </w:p>
        </w:tc>
        <w:tc>
          <w:tcPr>
            <w:tcW w:w="992" w:type="dxa"/>
            <w:tcBorders>
              <w:top w:val="single" w:color="auto" w:sz="4" w:space="0"/>
              <w:left w:val="single" w:color="auto" w:sz="4" w:space="0"/>
              <w:bottom w:val="single" w:color="auto" w:sz="4" w:space="0"/>
              <w:right w:val="single" w:color="auto" w:sz="4" w:space="0"/>
            </w:tcBorders>
          </w:tcPr>
          <w:p w14:paraId="41D7D4DE">
            <w:pPr>
              <w:spacing w:line="360" w:lineRule="auto"/>
              <w:jc w:val="center"/>
              <w:rPr>
                <w:rFonts w:eastAsia="DengXian"/>
              </w:rPr>
            </w:pPr>
            <w:r>
              <w:rPr>
                <w:rFonts w:eastAsia="DengXian"/>
              </w:rPr>
              <w:t>2</w:t>
            </w:r>
          </w:p>
          <w:p w14:paraId="100E1873">
            <w:pPr>
              <w:spacing w:line="360" w:lineRule="auto"/>
              <w:jc w:val="center"/>
              <w:rPr>
                <w:rFonts w:eastAsia="DengXian"/>
              </w:rPr>
            </w:pPr>
            <w:r>
              <w:rPr>
                <w:rFonts w:eastAsia="DengXian"/>
              </w:rPr>
              <w:t>2.7%</w:t>
            </w:r>
          </w:p>
        </w:tc>
        <w:tc>
          <w:tcPr>
            <w:tcW w:w="993" w:type="dxa"/>
            <w:tcBorders>
              <w:top w:val="single" w:color="auto" w:sz="4" w:space="0"/>
              <w:left w:val="single" w:color="auto" w:sz="4" w:space="0"/>
              <w:bottom w:val="single" w:color="auto" w:sz="4" w:space="0"/>
              <w:right w:val="single" w:color="auto" w:sz="4" w:space="0"/>
            </w:tcBorders>
          </w:tcPr>
          <w:p w14:paraId="07CCB86A">
            <w:pPr>
              <w:spacing w:line="360" w:lineRule="auto"/>
              <w:jc w:val="center"/>
              <w:rPr>
                <w:rFonts w:eastAsia="DengXian"/>
              </w:rPr>
            </w:pPr>
            <w:r>
              <w:rPr>
                <w:rFonts w:eastAsia="DengXian"/>
              </w:rPr>
              <w:t>3</w:t>
            </w:r>
          </w:p>
          <w:p w14:paraId="53CB7CAB">
            <w:pPr>
              <w:spacing w:line="360" w:lineRule="auto"/>
              <w:jc w:val="center"/>
              <w:rPr>
                <w:rFonts w:eastAsia="DengXian"/>
              </w:rPr>
            </w:pPr>
            <w:r>
              <w:rPr>
                <w:rFonts w:eastAsia="DengXian"/>
              </w:rPr>
              <w:t>4%</w:t>
            </w:r>
          </w:p>
        </w:tc>
        <w:tc>
          <w:tcPr>
            <w:tcW w:w="850" w:type="dxa"/>
            <w:tcBorders>
              <w:top w:val="single" w:color="auto" w:sz="4" w:space="0"/>
              <w:left w:val="single" w:color="auto" w:sz="4" w:space="0"/>
              <w:bottom w:val="single" w:color="auto" w:sz="4" w:space="0"/>
              <w:right w:val="single" w:color="auto" w:sz="4" w:space="0"/>
            </w:tcBorders>
          </w:tcPr>
          <w:p w14:paraId="407A94DF">
            <w:pPr>
              <w:spacing w:line="360" w:lineRule="auto"/>
              <w:jc w:val="center"/>
              <w:rPr>
                <w:rFonts w:eastAsia="DengXian"/>
              </w:rPr>
            </w:pPr>
            <w:r>
              <w:rPr>
                <w:rFonts w:eastAsia="DengXian"/>
              </w:rPr>
              <w:t>12</w:t>
            </w:r>
          </w:p>
          <w:p w14:paraId="39AE064E">
            <w:pPr>
              <w:spacing w:line="360" w:lineRule="auto"/>
              <w:jc w:val="center"/>
              <w:rPr>
                <w:rFonts w:eastAsia="DengXian"/>
              </w:rPr>
            </w:pPr>
            <w:r>
              <w:rPr>
                <w:rFonts w:eastAsia="DengXian"/>
              </w:rPr>
              <w:t>16%</w:t>
            </w:r>
          </w:p>
        </w:tc>
        <w:tc>
          <w:tcPr>
            <w:tcW w:w="851" w:type="dxa"/>
            <w:tcBorders>
              <w:top w:val="single" w:color="auto" w:sz="4" w:space="0"/>
              <w:left w:val="single" w:color="auto" w:sz="4" w:space="0"/>
              <w:bottom w:val="single" w:color="auto" w:sz="4" w:space="0"/>
              <w:right w:val="single" w:color="auto" w:sz="4" w:space="0"/>
            </w:tcBorders>
          </w:tcPr>
          <w:p w14:paraId="6434A943">
            <w:pPr>
              <w:spacing w:line="360" w:lineRule="auto"/>
              <w:jc w:val="center"/>
              <w:rPr>
                <w:rFonts w:eastAsia="DengXian"/>
              </w:rPr>
            </w:pPr>
            <w:r>
              <w:rPr>
                <w:rFonts w:eastAsia="DengXian"/>
              </w:rPr>
              <w:t>33</w:t>
            </w:r>
          </w:p>
          <w:p w14:paraId="534E61C1">
            <w:pPr>
              <w:spacing w:line="360" w:lineRule="auto"/>
              <w:jc w:val="center"/>
              <w:rPr>
                <w:rFonts w:eastAsia="DengXian"/>
              </w:rPr>
            </w:pPr>
            <w:r>
              <w:rPr>
                <w:rFonts w:eastAsia="DengXian"/>
              </w:rPr>
              <w:t>44%</w:t>
            </w:r>
          </w:p>
        </w:tc>
        <w:tc>
          <w:tcPr>
            <w:tcW w:w="850" w:type="dxa"/>
            <w:tcBorders>
              <w:top w:val="single" w:color="auto" w:sz="4" w:space="0"/>
              <w:left w:val="single" w:color="auto" w:sz="4" w:space="0"/>
              <w:bottom w:val="single" w:color="auto" w:sz="4" w:space="0"/>
              <w:right w:val="single" w:color="auto" w:sz="4" w:space="0"/>
            </w:tcBorders>
          </w:tcPr>
          <w:p w14:paraId="010910F8">
            <w:pPr>
              <w:spacing w:line="360" w:lineRule="auto"/>
              <w:jc w:val="center"/>
              <w:rPr>
                <w:rFonts w:eastAsia="DengXian"/>
              </w:rPr>
            </w:pPr>
            <w:r>
              <w:rPr>
                <w:rFonts w:eastAsia="DengXian"/>
              </w:rPr>
              <w:t>25</w:t>
            </w:r>
          </w:p>
          <w:p w14:paraId="53DCA421">
            <w:pPr>
              <w:spacing w:line="360" w:lineRule="auto"/>
              <w:jc w:val="center"/>
              <w:rPr>
                <w:rFonts w:eastAsia="DengXian"/>
              </w:rPr>
            </w:pPr>
            <w:r>
              <w:rPr>
                <w:rFonts w:eastAsia="DengXian"/>
              </w:rPr>
              <w:t>33.3%</w:t>
            </w:r>
          </w:p>
        </w:tc>
        <w:tc>
          <w:tcPr>
            <w:tcW w:w="1134" w:type="dxa"/>
            <w:tcBorders>
              <w:top w:val="single" w:color="auto" w:sz="4" w:space="0"/>
              <w:left w:val="single" w:color="auto" w:sz="4" w:space="0"/>
              <w:bottom w:val="single" w:color="auto" w:sz="4" w:space="0"/>
              <w:right w:val="single" w:color="auto" w:sz="4" w:space="0"/>
            </w:tcBorders>
          </w:tcPr>
          <w:p w14:paraId="52915C02">
            <w:pPr>
              <w:spacing w:line="360" w:lineRule="auto"/>
              <w:jc w:val="center"/>
              <w:rPr>
                <w:rFonts w:eastAsia="DengXian"/>
              </w:rPr>
            </w:pPr>
            <w:r>
              <w:rPr>
                <w:rFonts w:eastAsia="DengXian"/>
              </w:rPr>
              <w:t>75</w:t>
            </w:r>
          </w:p>
          <w:p w14:paraId="2D838BC0">
            <w:pPr>
              <w:spacing w:line="360" w:lineRule="auto"/>
              <w:jc w:val="center"/>
              <w:rPr>
                <w:rFonts w:eastAsia="DengXian"/>
              </w:rPr>
            </w:pPr>
            <w:r>
              <w:rPr>
                <w:rFonts w:eastAsia="DengXian"/>
              </w:rPr>
              <w:t>94.9%</w:t>
            </w:r>
          </w:p>
        </w:tc>
      </w:tr>
      <w:tr w14:paraId="061EAA9E">
        <w:tblPrEx>
          <w:tblCellMar>
            <w:top w:w="0" w:type="dxa"/>
            <w:left w:w="108" w:type="dxa"/>
            <w:bottom w:w="0" w:type="dxa"/>
            <w:right w:w="108" w:type="dxa"/>
          </w:tblCellMar>
        </w:tblPrEx>
        <w:trPr>
          <w:trHeight w:val="357" w:hRule="atLeast"/>
          <w:jc w:val="center"/>
        </w:trPr>
        <w:tc>
          <w:tcPr>
            <w:tcW w:w="499" w:type="dxa"/>
            <w:tcBorders>
              <w:top w:val="single" w:color="auto" w:sz="4" w:space="0"/>
              <w:left w:val="single" w:color="auto" w:sz="4" w:space="0"/>
              <w:bottom w:val="single" w:color="auto" w:sz="4" w:space="0"/>
              <w:right w:val="single" w:color="auto" w:sz="4" w:space="0"/>
            </w:tcBorders>
          </w:tcPr>
          <w:p w14:paraId="317F09AC">
            <w:pPr>
              <w:spacing w:line="360" w:lineRule="auto"/>
              <w:jc w:val="both"/>
              <w:rPr>
                <w:rFonts w:eastAsia="DengXian"/>
              </w:rPr>
            </w:pPr>
            <w:r>
              <w:rPr>
                <w:rFonts w:eastAsia="DengXian"/>
              </w:rPr>
              <w:t>5</w:t>
            </w:r>
          </w:p>
        </w:tc>
        <w:tc>
          <w:tcPr>
            <w:tcW w:w="3607" w:type="dxa"/>
            <w:tcBorders>
              <w:top w:val="single" w:color="auto" w:sz="4" w:space="0"/>
              <w:left w:val="single" w:color="auto" w:sz="4" w:space="0"/>
              <w:bottom w:val="single" w:color="auto" w:sz="4" w:space="0"/>
              <w:right w:val="single" w:color="auto" w:sz="4" w:space="0"/>
            </w:tcBorders>
          </w:tcPr>
          <w:p w14:paraId="71A2DDFA">
            <w:pPr>
              <w:autoSpaceDE w:val="0"/>
              <w:autoSpaceDN w:val="0"/>
              <w:adjustRightInd w:val="0"/>
              <w:spacing w:line="360" w:lineRule="auto"/>
              <w:jc w:val="both"/>
              <w:rPr>
                <w:rFonts w:eastAsia="TimesNewRomanPSMT"/>
                <w:b/>
                <w:bCs/>
              </w:rPr>
            </w:pPr>
            <w:r>
              <w:rPr>
                <w:rFonts w:eastAsia="DengXian"/>
              </w:rPr>
              <w:t>FIRS circulars and guidelines, and clarification have implications for consistent understanding of Nigeria upstream oil and gas tax legislation.</w:t>
            </w:r>
          </w:p>
        </w:tc>
        <w:tc>
          <w:tcPr>
            <w:tcW w:w="992" w:type="dxa"/>
            <w:tcBorders>
              <w:top w:val="single" w:color="auto" w:sz="4" w:space="0"/>
              <w:left w:val="single" w:color="auto" w:sz="4" w:space="0"/>
              <w:bottom w:val="single" w:color="auto" w:sz="4" w:space="0"/>
              <w:right w:val="single" w:color="auto" w:sz="4" w:space="0"/>
            </w:tcBorders>
          </w:tcPr>
          <w:p w14:paraId="102ABF80">
            <w:pPr>
              <w:spacing w:line="360" w:lineRule="auto"/>
              <w:jc w:val="center"/>
              <w:rPr>
                <w:rFonts w:eastAsia="DengXian"/>
              </w:rPr>
            </w:pPr>
            <w:r>
              <w:rPr>
                <w:rFonts w:eastAsia="DengXian"/>
              </w:rPr>
              <w:t>1</w:t>
            </w:r>
          </w:p>
          <w:p w14:paraId="530158C2">
            <w:pPr>
              <w:spacing w:line="360" w:lineRule="auto"/>
              <w:jc w:val="center"/>
              <w:rPr>
                <w:rFonts w:eastAsia="DengXian"/>
              </w:rPr>
            </w:pPr>
            <w:r>
              <w:rPr>
                <w:rFonts w:eastAsia="DengXian"/>
              </w:rPr>
              <w:t>1.3%</w:t>
            </w:r>
          </w:p>
        </w:tc>
        <w:tc>
          <w:tcPr>
            <w:tcW w:w="993" w:type="dxa"/>
            <w:tcBorders>
              <w:top w:val="single" w:color="auto" w:sz="4" w:space="0"/>
              <w:left w:val="single" w:color="auto" w:sz="4" w:space="0"/>
              <w:bottom w:val="single" w:color="auto" w:sz="4" w:space="0"/>
              <w:right w:val="single" w:color="auto" w:sz="4" w:space="0"/>
            </w:tcBorders>
          </w:tcPr>
          <w:p w14:paraId="75B6DA59">
            <w:pPr>
              <w:spacing w:line="360" w:lineRule="auto"/>
              <w:jc w:val="center"/>
              <w:rPr>
                <w:rFonts w:eastAsia="DengXian"/>
              </w:rPr>
            </w:pPr>
            <w:r>
              <w:rPr>
                <w:rFonts w:eastAsia="DengXian"/>
              </w:rPr>
              <w:t>5</w:t>
            </w:r>
          </w:p>
          <w:p w14:paraId="02E37A4D">
            <w:pPr>
              <w:spacing w:line="360" w:lineRule="auto"/>
              <w:jc w:val="center"/>
              <w:rPr>
                <w:rFonts w:eastAsia="DengXian"/>
              </w:rPr>
            </w:pPr>
            <w:r>
              <w:rPr>
                <w:rFonts w:eastAsia="DengXian"/>
              </w:rPr>
              <w:t>6.7%</w:t>
            </w:r>
          </w:p>
        </w:tc>
        <w:tc>
          <w:tcPr>
            <w:tcW w:w="850" w:type="dxa"/>
            <w:tcBorders>
              <w:top w:val="single" w:color="auto" w:sz="4" w:space="0"/>
              <w:left w:val="single" w:color="auto" w:sz="4" w:space="0"/>
              <w:bottom w:val="single" w:color="auto" w:sz="4" w:space="0"/>
              <w:right w:val="single" w:color="auto" w:sz="4" w:space="0"/>
            </w:tcBorders>
          </w:tcPr>
          <w:p w14:paraId="6BD79A16">
            <w:pPr>
              <w:spacing w:line="360" w:lineRule="auto"/>
              <w:jc w:val="center"/>
              <w:rPr>
                <w:rFonts w:eastAsia="DengXian"/>
              </w:rPr>
            </w:pPr>
            <w:r>
              <w:rPr>
                <w:rFonts w:eastAsia="DengXian"/>
              </w:rPr>
              <w:t>10</w:t>
            </w:r>
          </w:p>
          <w:p w14:paraId="493F2E16">
            <w:pPr>
              <w:spacing w:line="360" w:lineRule="auto"/>
              <w:jc w:val="center"/>
              <w:rPr>
                <w:rFonts w:eastAsia="DengXian"/>
              </w:rPr>
            </w:pPr>
            <w:r>
              <w:rPr>
                <w:rFonts w:eastAsia="DengXian"/>
              </w:rPr>
              <w:t>13.3%</w:t>
            </w:r>
          </w:p>
        </w:tc>
        <w:tc>
          <w:tcPr>
            <w:tcW w:w="851" w:type="dxa"/>
            <w:tcBorders>
              <w:top w:val="single" w:color="auto" w:sz="4" w:space="0"/>
              <w:left w:val="single" w:color="auto" w:sz="4" w:space="0"/>
              <w:bottom w:val="single" w:color="auto" w:sz="4" w:space="0"/>
              <w:right w:val="single" w:color="auto" w:sz="4" w:space="0"/>
            </w:tcBorders>
          </w:tcPr>
          <w:p w14:paraId="17D7E8B9">
            <w:pPr>
              <w:spacing w:line="360" w:lineRule="auto"/>
              <w:jc w:val="center"/>
              <w:rPr>
                <w:rFonts w:eastAsia="DengXian"/>
              </w:rPr>
            </w:pPr>
            <w:r>
              <w:rPr>
                <w:rFonts w:eastAsia="DengXian"/>
              </w:rPr>
              <w:t>15</w:t>
            </w:r>
          </w:p>
          <w:p w14:paraId="5107B5CE">
            <w:pPr>
              <w:spacing w:line="360" w:lineRule="auto"/>
              <w:jc w:val="center"/>
              <w:rPr>
                <w:rFonts w:eastAsia="DengXian"/>
              </w:rPr>
            </w:pPr>
            <w:r>
              <w:rPr>
                <w:rFonts w:eastAsia="DengXian"/>
              </w:rPr>
              <w:t>20%</w:t>
            </w:r>
          </w:p>
        </w:tc>
        <w:tc>
          <w:tcPr>
            <w:tcW w:w="850" w:type="dxa"/>
            <w:tcBorders>
              <w:top w:val="single" w:color="auto" w:sz="4" w:space="0"/>
              <w:left w:val="single" w:color="auto" w:sz="4" w:space="0"/>
              <w:bottom w:val="single" w:color="auto" w:sz="4" w:space="0"/>
              <w:right w:val="single" w:color="auto" w:sz="4" w:space="0"/>
            </w:tcBorders>
          </w:tcPr>
          <w:p w14:paraId="2FD68D4F">
            <w:pPr>
              <w:spacing w:line="360" w:lineRule="auto"/>
              <w:jc w:val="center"/>
              <w:rPr>
                <w:rFonts w:eastAsia="DengXian"/>
              </w:rPr>
            </w:pPr>
            <w:r>
              <w:rPr>
                <w:rFonts w:eastAsia="DengXian"/>
              </w:rPr>
              <w:t>44</w:t>
            </w:r>
          </w:p>
          <w:p w14:paraId="54F7D1A3">
            <w:pPr>
              <w:spacing w:line="360" w:lineRule="auto"/>
              <w:jc w:val="center"/>
              <w:rPr>
                <w:rFonts w:eastAsia="DengXian"/>
              </w:rPr>
            </w:pPr>
            <w:r>
              <w:rPr>
                <w:rFonts w:eastAsia="DengXian"/>
              </w:rPr>
              <w:t>58.7%</w:t>
            </w:r>
          </w:p>
        </w:tc>
        <w:tc>
          <w:tcPr>
            <w:tcW w:w="1134" w:type="dxa"/>
            <w:tcBorders>
              <w:top w:val="single" w:color="auto" w:sz="4" w:space="0"/>
              <w:left w:val="single" w:color="auto" w:sz="4" w:space="0"/>
              <w:bottom w:val="single" w:color="auto" w:sz="4" w:space="0"/>
              <w:right w:val="single" w:color="auto" w:sz="4" w:space="0"/>
            </w:tcBorders>
          </w:tcPr>
          <w:p w14:paraId="42322E0F">
            <w:pPr>
              <w:spacing w:line="360" w:lineRule="auto"/>
              <w:jc w:val="center"/>
              <w:rPr>
                <w:rFonts w:eastAsia="DengXian"/>
              </w:rPr>
            </w:pPr>
            <w:r>
              <w:rPr>
                <w:rFonts w:eastAsia="DengXian"/>
              </w:rPr>
              <w:t>75</w:t>
            </w:r>
          </w:p>
          <w:p w14:paraId="1A1DD91B">
            <w:pPr>
              <w:spacing w:line="360" w:lineRule="auto"/>
              <w:jc w:val="center"/>
              <w:rPr>
                <w:rFonts w:eastAsia="DengXian"/>
              </w:rPr>
            </w:pPr>
            <w:r>
              <w:rPr>
                <w:rFonts w:eastAsia="DengXian"/>
              </w:rPr>
              <w:t>94.9%</w:t>
            </w:r>
          </w:p>
        </w:tc>
      </w:tr>
    </w:tbl>
    <w:p w14:paraId="61841FA7">
      <w:pPr>
        <w:autoSpaceDE w:val="0"/>
        <w:autoSpaceDN w:val="0"/>
        <w:adjustRightInd w:val="0"/>
        <w:spacing w:line="360" w:lineRule="auto"/>
        <w:jc w:val="both"/>
        <w:rPr>
          <w:rFonts w:eastAsia="Times New Roman"/>
          <w:color w:val="0E101A"/>
        </w:rPr>
      </w:pPr>
    </w:p>
    <w:p w14:paraId="24BF229C">
      <w:pPr>
        <w:autoSpaceDE w:val="0"/>
        <w:autoSpaceDN w:val="0"/>
        <w:adjustRightInd w:val="0"/>
        <w:spacing w:line="480" w:lineRule="auto"/>
        <w:jc w:val="both"/>
        <w:rPr>
          <w:rFonts w:eastAsia="Times New Roman"/>
          <w:color w:val="0E101A"/>
          <w:lang w:val="en-GB"/>
        </w:rPr>
      </w:pPr>
      <w:r>
        <w:rPr>
          <w:rFonts w:eastAsia="Times New Roman"/>
          <w:color w:val="0E101A"/>
        </w:rPr>
        <w:t xml:space="preserve">From the above table 6.3.3, sixty (60) respondents strongly agreed that </w:t>
      </w:r>
      <w:r>
        <w:rPr>
          <w:rFonts w:eastAsia="DengXian"/>
          <w:lang w:val="en-GB"/>
        </w:rPr>
        <w:t>principle-driven tax policy and legislation making, and interpretation are key to the understanding and consistent application of tax legislation and compliance by the tax authority and taxpayers.</w:t>
      </w:r>
      <w:r>
        <w:rPr>
          <w:rFonts w:eastAsia="Times New Roman"/>
          <w:color w:val="0E101A"/>
        </w:rPr>
        <w:t xml:space="preserve"> Also, sixty-nine (69) respondents strongly agreed that </w:t>
      </w:r>
      <w:r>
        <w:rPr>
          <w:rFonts w:eastAsia="DengXian"/>
        </w:rPr>
        <w:t xml:space="preserve">simple language and well-defined words and concepts are required for clear understanding as well as effective compliance and administration. </w:t>
      </w:r>
      <w:r>
        <w:rPr>
          <w:rFonts w:eastAsia="Times New Roman"/>
          <w:color w:val="0E101A"/>
        </w:rPr>
        <w:t> </w:t>
      </w:r>
      <w:r>
        <w:rPr>
          <w:rFonts w:eastAsia="Times New Roman"/>
          <w:color w:val="0E101A"/>
          <w:lang w:val="en-GB"/>
        </w:rPr>
        <w:t>It was also observed that a proper understanding of the intricacies of the oil and gas industry is essential for effective tax administration</w:t>
      </w:r>
      <w:r>
        <w:rPr>
          <w:rFonts w:eastAsia="Times New Roman"/>
          <w:color w:val="0E101A"/>
          <w:vertAlign w:val="superscript"/>
          <w:lang w:val="en-GB"/>
        </w:rPr>
        <w:footnoteReference w:id="443"/>
      </w:r>
      <w:r>
        <w:rPr>
          <w:rFonts w:eastAsia="Times New Roman"/>
          <w:color w:val="0E101A"/>
          <w:lang w:val="en-GB"/>
        </w:rPr>
        <w:t xml:space="preserve">. </w:t>
      </w:r>
    </w:p>
    <w:p w14:paraId="539F8573">
      <w:pPr>
        <w:autoSpaceDE w:val="0"/>
        <w:autoSpaceDN w:val="0"/>
        <w:adjustRightInd w:val="0"/>
        <w:spacing w:line="480" w:lineRule="auto"/>
        <w:jc w:val="both"/>
        <w:rPr>
          <w:rFonts w:eastAsia="Times New Roman"/>
          <w:color w:val="0E101A"/>
          <w:lang w:val="en-GB"/>
        </w:rPr>
      </w:pPr>
    </w:p>
    <w:p w14:paraId="29CF7142">
      <w:pPr>
        <w:spacing w:line="480" w:lineRule="auto"/>
        <w:jc w:val="both"/>
        <w:rPr>
          <w:rFonts w:eastAsia="Times New Roman"/>
          <w:color w:val="0E101A"/>
        </w:rPr>
      </w:pPr>
      <w:r>
        <w:rPr>
          <w:rFonts w:eastAsia="Times New Roman"/>
          <w:color w:val="0E101A"/>
        </w:rPr>
        <w:t>It was observed that multiple tax rates applicable under the petroleum profits tax regime, under the PPTA as amended by the PSC Act</w:t>
      </w:r>
      <w:r>
        <w:rPr>
          <w:rStyle w:val="23"/>
          <w:rFonts w:eastAsia="Times New Roman"/>
          <w:color w:val="0E101A"/>
        </w:rPr>
        <w:footnoteReference w:id="444"/>
      </w:r>
      <w:r>
        <w:rPr>
          <w:rFonts w:eastAsia="Times New Roman"/>
          <w:color w:val="0E101A"/>
        </w:rPr>
        <w:t xml:space="preserve">, </w:t>
      </w:r>
      <w:r>
        <w:rPr>
          <w:rFonts w:eastAsia="DengXian"/>
        </w:rPr>
        <w:t>and the combination of the concession and contract fiscal systems have resulted in distortions and overlaps which affect clarity and the consistent interpretation and application of upstream petroleum taxation.</w:t>
      </w:r>
      <w:r>
        <w:rPr>
          <w:rFonts w:eastAsia="Times New Roman"/>
          <w:color w:val="0E101A"/>
        </w:rPr>
        <w:t xml:space="preserve"> Invariably, the improper delineation of the boundaries between the regimes has sometimes resulted in the discriminatory treatment of taxpayers and tax assets or operations</w:t>
      </w:r>
      <w:r>
        <w:rPr>
          <w:rFonts w:eastAsia="Times New Roman"/>
          <w:color w:val="0E101A"/>
          <w:vertAlign w:val="superscript"/>
        </w:rPr>
        <w:footnoteReference w:id="445"/>
      </w:r>
      <w:r>
        <w:rPr>
          <w:rFonts w:eastAsia="Times New Roman"/>
          <w:color w:val="0E101A"/>
        </w:rPr>
        <w:t xml:space="preserve">. </w:t>
      </w:r>
    </w:p>
    <w:p w14:paraId="1638BAB5">
      <w:pPr>
        <w:spacing w:line="360" w:lineRule="auto"/>
        <w:jc w:val="both"/>
        <w:rPr>
          <w:rFonts w:eastAsia="Times New Roman"/>
          <w:color w:val="0E101A"/>
        </w:rPr>
      </w:pPr>
    </w:p>
    <w:p w14:paraId="195F8168">
      <w:pPr>
        <w:spacing w:line="480" w:lineRule="auto"/>
        <w:jc w:val="both"/>
        <w:rPr>
          <w:rFonts w:eastAsia="Times New Roman"/>
          <w:color w:val="0E101A"/>
          <w:lang w:val="en-GB"/>
        </w:rPr>
      </w:pPr>
      <w:r>
        <w:rPr>
          <w:rFonts w:eastAsia="Times New Roman"/>
          <w:color w:val="0E101A"/>
        </w:rPr>
        <w:t xml:space="preserve">The respondent also stated that the </w:t>
      </w:r>
      <w:r>
        <w:rPr>
          <w:rFonts w:eastAsia="DengXian"/>
        </w:rPr>
        <w:t>introduction of hydrocarbon tax (HT) and corporate income tax (CIT) under the PIA as proposed to replace PPT upstream petroleum taxation under the PPTA</w:t>
      </w:r>
      <w:r>
        <w:rPr>
          <w:rFonts w:eastAsia="DengXian"/>
          <w:vertAlign w:val="superscript"/>
        </w:rPr>
        <w:footnoteReference w:id="446"/>
      </w:r>
      <w:r>
        <w:rPr>
          <w:rFonts w:eastAsia="DengXian"/>
        </w:rPr>
        <w:t xml:space="preserve">, </w:t>
      </w:r>
      <w:r>
        <w:rPr>
          <w:rFonts w:eastAsia="Times New Roman"/>
          <w:color w:val="0E101A"/>
        </w:rPr>
        <w:t xml:space="preserve">would have significant implications for the marginal ETR. Respondents also observed that </w:t>
      </w:r>
      <w:r>
        <w:rPr>
          <w:rFonts w:eastAsia="Times New Roman"/>
          <w:color w:val="0E101A"/>
          <w:lang w:val="en-GB"/>
        </w:rPr>
        <w:t>FIRS circulars are important in providing further clarity to tax laws, although not binding and some of the circulars tended to be revenue driven and therefore conflicting. There is therefore the need to build capacity, expertise, and experience in the administration of the PIA.</w:t>
      </w:r>
    </w:p>
    <w:p w14:paraId="7FF4297A">
      <w:pPr>
        <w:spacing w:line="480" w:lineRule="auto"/>
        <w:jc w:val="both"/>
        <w:rPr>
          <w:rFonts w:eastAsia="Times New Roman"/>
          <w:color w:val="0E101A"/>
          <w:lang w:val="en-GB"/>
        </w:rPr>
      </w:pPr>
    </w:p>
    <w:p w14:paraId="54E81E16">
      <w:pPr>
        <w:spacing w:line="360" w:lineRule="auto"/>
        <w:ind w:left="360"/>
        <w:jc w:val="both"/>
        <w:rPr>
          <w:rFonts w:eastAsia="Times New Roman"/>
          <w:b/>
          <w:bCs/>
          <w:color w:val="0E101A"/>
          <w:lang w:val="en-GB"/>
        </w:rPr>
      </w:pPr>
      <w:r>
        <w:rPr>
          <w:rFonts w:eastAsia="Times New Roman"/>
          <w:b/>
          <w:bCs/>
          <w:color w:val="0E101A"/>
          <w:lang w:val="en-GB"/>
        </w:rPr>
        <w:t>6.3.4</w:t>
      </w:r>
      <w:r>
        <w:rPr>
          <w:rFonts w:eastAsia="Times New Roman"/>
          <w:b/>
          <w:bCs/>
          <w:color w:val="0E101A"/>
          <w:lang w:val="en-GB"/>
        </w:rPr>
        <w:tab/>
      </w:r>
      <w:r>
        <w:rPr>
          <w:rFonts w:eastAsia="Times New Roman"/>
          <w:b/>
          <w:bCs/>
          <w:color w:val="0E101A"/>
          <w:lang w:val="en-GB"/>
        </w:rPr>
        <w:t>Tax Adjudication and Dispute Resolution:</w:t>
      </w:r>
    </w:p>
    <w:p w14:paraId="67D71A11">
      <w:pPr>
        <w:spacing w:line="360" w:lineRule="auto"/>
        <w:jc w:val="both"/>
        <w:rPr>
          <w:rFonts w:eastAsia="DengXian"/>
          <w:b/>
          <w:iCs/>
          <w:color w:val="000000"/>
        </w:rPr>
      </w:pPr>
      <w:r>
        <w:rPr>
          <w:rFonts w:eastAsia="DengXian"/>
          <w:b/>
          <w:bCs/>
        </w:rPr>
        <w:t>Table</w:t>
      </w:r>
      <w:r>
        <w:rPr>
          <w:rFonts w:eastAsia="DengXian"/>
        </w:rPr>
        <w:t xml:space="preserve"> </w:t>
      </w:r>
      <w:r>
        <w:rPr>
          <w:rFonts w:eastAsia="DengXian"/>
          <w:b/>
          <w:bCs/>
        </w:rPr>
        <w:t xml:space="preserve">6.3.4 Frequency Distribution for </w:t>
      </w:r>
      <w:r>
        <w:rPr>
          <w:rFonts w:eastAsia="DengXian"/>
          <w:b/>
          <w:iCs/>
          <w:color w:val="000000"/>
        </w:rPr>
        <w:t>Tax Adjudication and Dispute Resolution Process</w:t>
      </w:r>
    </w:p>
    <w:tbl>
      <w:tblPr>
        <w:tblStyle w:val="13"/>
        <w:tblW w:w="9639" w:type="dxa"/>
        <w:jc w:val="center"/>
        <w:tblLayout w:type="fixed"/>
        <w:tblCellMar>
          <w:top w:w="0" w:type="dxa"/>
          <w:left w:w="108" w:type="dxa"/>
          <w:bottom w:w="0" w:type="dxa"/>
          <w:right w:w="108" w:type="dxa"/>
        </w:tblCellMar>
      </w:tblPr>
      <w:tblGrid>
        <w:gridCol w:w="629"/>
        <w:gridCol w:w="3129"/>
        <w:gridCol w:w="984"/>
        <w:gridCol w:w="1073"/>
        <w:gridCol w:w="1073"/>
        <w:gridCol w:w="984"/>
        <w:gridCol w:w="896"/>
        <w:gridCol w:w="871"/>
      </w:tblGrid>
      <w:tr w14:paraId="47D3BD29">
        <w:tblPrEx>
          <w:tblCellMar>
            <w:top w:w="0" w:type="dxa"/>
            <w:left w:w="108" w:type="dxa"/>
            <w:bottom w:w="0" w:type="dxa"/>
            <w:right w:w="108" w:type="dxa"/>
          </w:tblCellMar>
        </w:tblPrEx>
        <w:trPr>
          <w:trHeight w:val="197" w:hRule="atLeast"/>
          <w:jc w:val="center"/>
        </w:trPr>
        <w:tc>
          <w:tcPr>
            <w:tcW w:w="629" w:type="dxa"/>
            <w:vMerge w:val="restart"/>
            <w:tcBorders>
              <w:top w:val="single" w:color="auto" w:sz="4" w:space="0"/>
              <w:left w:val="single" w:color="auto" w:sz="4" w:space="0"/>
              <w:bottom w:val="single" w:color="auto" w:sz="4" w:space="0"/>
              <w:right w:val="single" w:color="auto" w:sz="4" w:space="0"/>
            </w:tcBorders>
          </w:tcPr>
          <w:p w14:paraId="420FE37B">
            <w:pPr>
              <w:spacing w:line="360" w:lineRule="auto"/>
              <w:jc w:val="both"/>
              <w:rPr>
                <w:rFonts w:eastAsia="DengXian"/>
                <w:b/>
                <w:bCs/>
              </w:rPr>
            </w:pPr>
            <w:r>
              <w:rPr>
                <w:rFonts w:eastAsia="DengXian"/>
                <w:b/>
                <w:bCs/>
              </w:rPr>
              <w:t xml:space="preserve">S/N </w:t>
            </w:r>
          </w:p>
        </w:tc>
        <w:tc>
          <w:tcPr>
            <w:tcW w:w="3129" w:type="dxa"/>
            <w:vMerge w:val="restart"/>
            <w:tcBorders>
              <w:top w:val="single" w:color="auto" w:sz="4" w:space="0"/>
              <w:left w:val="single" w:color="auto" w:sz="4" w:space="0"/>
              <w:bottom w:val="single" w:color="auto" w:sz="4" w:space="0"/>
              <w:right w:val="single" w:color="auto" w:sz="4" w:space="0"/>
            </w:tcBorders>
          </w:tcPr>
          <w:p w14:paraId="7696AF56">
            <w:pPr>
              <w:spacing w:line="360" w:lineRule="auto"/>
              <w:jc w:val="center"/>
              <w:rPr>
                <w:rFonts w:eastAsia="DengXian"/>
                <w:b/>
                <w:bCs/>
              </w:rPr>
            </w:pPr>
            <w:r>
              <w:rPr>
                <w:rFonts w:eastAsia="DengXian"/>
                <w:b/>
                <w:bCs/>
              </w:rPr>
              <w:t>QUESTIONS</w:t>
            </w:r>
          </w:p>
        </w:tc>
        <w:tc>
          <w:tcPr>
            <w:tcW w:w="5010" w:type="dxa"/>
            <w:gridSpan w:val="5"/>
            <w:tcBorders>
              <w:top w:val="single" w:color="auto" w:sz="4" w:space="0"/>
              <w:left w:val="single" w:color="auto" w:sz="4" w:space="0"/>
              <w:bottom w:val="single" w:color="auto" w:sz="4" w:space="0"/>
              <w:right w:val="single" w:color="auto" w:sz="4" w:space="0"/>
            </w:tcBorders>
          </w:tcPr>
          <w:p w14:paraId="0DD1654A">
            <w:pPr>
              <w:spacing w:line="360" w:lineRule="auto"/>
              <w:jc w:val="center"/>
              <w:rPr>
                <w:rFonts w:eastAsia="DengXian"/>
                <w:b/>
                <w:bCs/>
              </w:rPr>
            </w:pPr>
            <w:r>
              <w:rPr>
                <w:rFonts w:eastAsia="DengXian"/>
                <w:b/>
                <w:bCs/>
              </w:rPr>
              <w:t>FREQUENCY AND PERCENTAGE</w:t>
            </w:r>
          </w:p>
        </w:tc>
        <w:tc>
          <w:tcPr>
            <w:tcW w:w="871" w:type="dxa"/>
            <w:vMerge w:val="restart"/>
            <w:tcBorders>
              <w:top w:val="single" w:color="auto" w:sz="4" w:space="0"/>
              <w:left w:val="single" w:color="auto" w:sz="4" w:space="0"/>
              <w:bottom w:val="single" w:color="auto" w:sz="4" w:space="0"/>
              <w:right w:val="single" w:color="auto" w:sz="4" w:space="0"/>
            </w:tcBorders>
          </w:tcPr>
          <w:p w14:paraId="352782DA">
            <w:pPr>
              <w:spacing w:line="360" w:lineRule="auto"/>
              <w:jc w:val="center"/>
              <w:rPr>
                <w:rFonts w:eastAsia="DengXian"/>
                <w:b/>
                <w:bCs/>
              </w:rPr>
            </w:pPr>
            <w:r>
              <w:rPr>
                <w:rFonts w:eastAsia="DengXian"/>
                <w:b/>
                <w:bCs/>
              </w:rPr>
              <w:t>TOTAL</w:t>
            </w:r>
          </w:p>
        </w:tc>
      </w:tr>
      <w:tr w14:paraId="53EA07E2">
        <w:tblPrEx>
          <w:tblCellMar>
            <w:top w:w="0" w:type="dxa"/>
            <w:left w:w="108" w:type="dxa"/>
            <w:bottom w:w="0" w:type="dxa"/>
            <w:right w:w="108" w:type="dxa"/>
          </w:tblCellMar>
        </w:tblPrEx>
        <w:trPr>
          <w:trHeight w:val="70" w:hRule="atLeast"/>
          <w:jc w:val="center"/>
        </w:trPr>
        <w:tc>
          <w:tcPr>
            <w:tcW w:w="629" w:type="dxa"/>
            <w:vMerge w:val="continue"/>
            <w:tcBorders>
              <w:top w:val="single" w:color="auto" w:sz="4" w:space="0"/>
              <w:left w:val="single" w:color="auto" w:sz="4" w:space="0"/>
              <w:bottom w:val="single" w:color="auto" w:sz="4" w:space="0"/>
              <w:right w:val="single" w:color="auto" w:sz="4" w:space="0"/>
            </w:tcBorders>
            <w:vAlign w:val="center"/>
          </w:tcPr>
          <w:p w14:paraId="210CB12D">
            <w:pPr>
              <w:spacing w:line="360" w:lineRule="auto"/>
              <w:rPr>
                <w:rFonts w:eastAsia="DengXian"/>
                <w:b/>
                <w:bCs/>
              </w:rP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7EF5D8AC">
            <w:pPr>
              <w:spacing w:line="360" w:lineRule="auto"/>
              <w:rPr>
                <w:rFonts w:eastAsia="DengXian"/>
                <w:b/>
                <w:bCs/>
              </w:rPr>
            </w:pPr>
          </w:p>
        </w:tc>
        <w:tc>
          <w:tcPr>
            <w:tcW w:w="984" w:type="dxa"/>
            <w:tcBorders>
              <w:top w:val="single" w:color="auto" w:sz="4" w:space="0"/>
              <w:left w:val="single" w:color="auto" w:sz="4" w:space="0"/>
              <w:bottom w:val="single" w:color="auto" w:sz="4" w:space="0"/>
              <w:right w:val="single" w:color="auto" w:sz="4" w:space="0"/>
            </w:tcBorders>
          </w:tcPr>
          <w:p w14:paraId="388629B5">
            <w:pPr>
              <w:spacing w:line="360" w:lineRule="auto"/>
              <w:jc w:val="center"/>
              <w:rPr>
                <w:rFonts w:eastAsia="DengXian"/>
                <w:b/>
                <w:bCs/>
              </w:rPr>
            </w:pPr>
            <w:r>
              <w:rPr>
                <w:rFonts w:eastAsia="DengXian"/>
                <w:b/>
                <w:bCs/>
              </w:rPr>
              <w:t>SD</w:t>
            </w:r>
          </w:p>
          <w:p w14:paraId="0DFADBE6">
            <w:pPr>
              <w:spacing w:line="360" w:lineRule="auto"/>
              <w:jc w:val="center"/>
              <w:rPr>
                <w:rFonts w:eastAsia="DengXian"/>
                <w:b/>
                <w:bCs/>
              </w:rPr>
            </w:pPr>
            <w:r>
              <w:rPr>
                <w:rFonts w:eastAsia="DengXian"/>
                <w:b/>
                <w:bCs/>
              </w:rPr>
              <w:t>1</w:t>
            </w:r>
          </w:p>
        </w:tc>
        <w:tc>
          <w:tcPr>
            <w:tcW w:w="1073" w:type="dxa"/>
            <w:tcBorders>
              <w:top w:val="single" w:color="auto" w:sz="4" w:space="0"/>
              <w:left w:val="single" w:color="auto" w:sz="4" w:space="0"/>
              <w:bottom w:val="single" w:color="auto" w:sz="4" w:space="0"/>
              <w:right w:val="single" w:color="auto" w:sz="4" w:space="0"/>
            </w:tcBorders>
          </w:tcPr>
          <w:p w14:paraId="6BD2C38B">
            <w:pPr>
              <w:spacing w:line="360" w:lineRule="auto"/>
              <w:jc w:val="center"/>
              <w:rPr>
                <w:rFonts w:eastAsia="DengXian"/>
                <w:b/>
                <w:bCs/>
              </w:rPr>
            </w:pPr>
            <w:r>
              <w:rPr>
                <w:rFonts w:eastAsia="DengXian"/>
                <w:b/>
                <w:bCs/>
              </w:rPr>
              <w:t>D</w:t>
            </w:r>
          </w:p>
          <w:p w14:paraId="0FA4A628">
            <w:pPr>
              <w:spacing w:line="360" w:lineRule="auto"/>
              <w:jc w:val="center"/>
              <w:rPr>
                <w:rFonts w:eastAsia="DengXian"/>
                <w:b/>
                <w:bCs/>
              </w:rPr>
            </w:pPr>
            <w:r>
              <w:rPr>
                <w:rFonts w:eastAsia="DengXian"/>
                <w:b/>
                <w:bCs/>
              </w:rPr>
              <w:t>2</w:t>
            </w:r>
          </w:p>
        </w:tc>
        <w:tc>
          <w:tcPr>
            <w:tcW w:w="1073" w:type="dxa"/>
            <w:tcBorders>
              <w:top w:val="single" w:color="auto" w:sz="4" w:space="0"/>
              <w:left w:val="single" w:color="auto" w:sz="4" w:space="0"/>
              <w:bottom w:val="single" w:color="auto" w:sz="4" w:space="0"/>
              <w:right w:val="single" w:color="auto" w:sz="4" w:space="0"/>
            </w:tcBorders>
          </w:tcPr>
          <w:p w14:paraId="3A870D58">
            <w:pPr>
              <w:spacing w:line="360" w:lineRule="auto"/>
              <w:jc w:val="center"/>
              <w:rPr>
                <w:rFonts w:eastAsia="DengXian"/>
                <w:b/>
                <w:bCs/>
              </w:rPr>
            </w:pPr>
            <w:r>
              <w:rPr>
                <w:rFonts w:eastAsia="DengXian"/>
                <w:b/>
                <w:bCs/>
              </w:rPr>
              <w:t>U</w:t>
            </w:r>
          </w:p>
          <w:p w14:paraId="6A17C760">
            <w:pPr>
              <w:spacing w:line="360" w:lineRule="auto"/>
              <w:jc w:val="center"/>
              <w:rPr>
                <w:rFonts w:eastAsia="DengXian"/>
                <w:b/>
                <w:bCs/>
              </w:rPr>
            </w:pPr>
            <w:r>
              <w:rPr>
                <w:rFonts w:eastAsia="DengXian"/>
                <w:b/>
                <w:bCs/>
              </w:rPr>
              <w:t>3</w:t>
            </w:r>
          </w:p>
        </w:tc>
        <w:tc>
          <w:tcPr>
            <w:tcW w:w="984" w:type="dxa"/>
            <w:tcBorders>
              <w:top w:val="single" w:color="auto" w:sz="4" w:space="0"/>
              <w:left w:val="single" w:color="auto" w:sz="4" w:space="0"/>
              <w:bottom w:val="single" w:color="auto" w:sz="4" w:space="0"/>
              <w:right w:val="single" w:color="auto" w:sz="4" w:space="0"/>
            </w:tcBorders>
          </w:tcPr>
          <w:p w14:paraId="2D48A8FC">
            <w:pPr>
              <w:spacing w:line="360" w:lineRule="auto"/>
              <w:jc w:val="center"/>
              <w:rPr>
                <w:rFonts w:eastAsia="DengXian"/>
                <w:b/>
                <w:bCs/>
              </w:rPr>
            </w:pPr>
            <w:r>
              <w:rPr>
                <w:rFonts w:eastAsia="DengXian"/>
                <w:b/>
                <w:bCs/>
              </w:rPr>
              <w:t>A</w:t>
            </w:r>
          </w:p>
          <w:p w14:paraId="57878FBB">
            <w:pPr>
              <w:spacing w:line="360" w:lineRule="auto"/>
              <w:jc w:val="center"/>
              <w:rPr>
                <w:rFonts w:eastAsia="DengXian"/>
                <w:b/>
                <w:bCs/>
              </w:rPr>
            </w:pPr>
            <w:r>
              <w:rPr>
                <w:rFonts w:eastAsia="DengXian"/>
                <w:b/>
                <w:bCs/>
              </w:rPr>
              <w:t>4</w:t>
            </w:r>
          </w:p>
        </w:tc>
        <w:tc>
          <w:tcPr>
            <w:tcW w:w="896" w:type="dxa"/>
            <w:tcBorders>
              <w:top w:val="single" w:color="auto" w:sz="4" w:space="0"/>
              <w:left w:val="single" w:color="auto" w:sz="4" w:space="0"/>
              <w:bottom w:val="single" w:color="auto" w:sz="4" w:space="0"/>
              <w:right w:val="single" w:color="auto" w:sz="4" w:space="0"/>
            </w:tcBorders>
          </w:tcPr>
          <w:p w14:paraId="06A1DE04">
            <w:pPr>
              <w:spacing w:line="360" w:lineRule="auto"/>
              <w:jc w:val="center"/>
              <w:rPr>
                <w:rFonts w:eastAsia="DengXian"/>
                <w:b/>
                <w:bCs/>
              </w:rPr>
            </w:pPr>
            <w:r>
              <w:rPr>
                <w:rFonts w:eastAsia="DengXian"/>
                <w:b/>
                <w:bCs/>
              </w:rPr>
              <w:t>SA</w:t>
            </w:r>
          </w:p>
          <w:p w14:paraId="0ACEF435">
            <w:pPr>
              <w:spacing w:line="360" w:lineRule="auto"/>
              <w:jc w:val="center"/>
              <w:rPr>
                <w:rFonts w:eastAsia="DengXian"/>
                <w:b/>
                <w:bCs/>
              </w:rPr>
            </w:pPr>
            <w:r>
              <w:rPr>
                <w:rFonts w:eastAsia="DengXian"/>
                <w:b/>
                <w:bCs/>
              </w:rPr>
              <w:t>5</w:t>
            </w:r>
          </w:p>
        </w:tc>
        <w:tc>
          <w:tcPr>
            <w:tcW w:w="871" w:type="dxa"/>
            <w:vMerge w:val="continue"/>
            <w:tcBorders>
              <w:top w:val="single" w:color="auto" w:sz="4" w:space="0"/>
              <w:left w:val="single" w:color="auto" w:sz="4" w:space="0"/>
              <w:bottom w:val="single" w:color="auto" w:sz="4" w:space="0"/>
              <w:right w:val="single" w:color="auto" w:sz="4" w:space="0"/>
            </w:tcBorders>
            <w:vAlign w:val="center"/>
          </w:tcPr>
          <w:p w14:paraId="407B43EF">
            <w:pPr>
              <w:spacing w:line="360" w:lineRule="auto"/>
              <w:rPr>
                <w:rFonts w:eastAsia="DengXian"/>
                <w:b/>
                <w:bCs/>
              </w:rPr>
            </w:pPr>
          </w:p>
        </w:tc>
      </w:tr>
      <w:tr w14:paraId="02837666">
        <w:tblPrEx>
          <w:tblCellMar>
            <w:top w:w="0" w:type="dxa"/>
            <w:left w:w="108" w:type="dxa"/>
            <w:bottom w:w="0" w:type="dxa"/>
            <w:right w:w="108" w:type="dxa"/>
          </w:tblCellMar>
        </w:tblPrEx>
        <w:trPr>
          <w:trHeight w:val="357" w:hRule="atLeast"/>
          <w:jc w:val="center"/>
        </w:trPr>
        <w:tc>
          <w:tcPr>
            <w:tcW w:w="629" w:type="dxa"/>
            <w:tcBorders>
              <w:top w:val="single" w:color="auto" w:sz="4" w:space="0"/>
              <w:left w:val="single" w:color="auto" w:sz="4" w:space="0"/>
              <w:bottom w:val="single" w:color="auto" w:sz="4" w:space="0"/>
              <w:right w:val="single" w:color="auto" w:sz="4" w:space="0"/>
            </w:tcBorders>
          </w:tcPr>
          <w:p w14:paraId="543D3DB2">
            <w:pPr>
              <w:spacing w:line="360" w:lineRule="auto"/>
              <w:jc w:val="both"/>
              <w:rPr>
                <w:rFonts w:eastAsia="DengXian"/>
              </w:rPr>
            </w:pPr>
            <w:r>
              <w:rPr>
                <w:rFonts w:eastAsia="DengXian"/>
              </w:rPr>
              <w:t>1</w:t>
            </w:r>
          </w:p>
        </w:tc>
        <w:tc>
          <w:tcPr>
            <w:tcW w:w="3129" w:type="dxa"/>
            <w:tcBorders>
              <w:top w:val="single" w:color="auto" w:sz="4" w:space="0"/>
              <w:left w:val="single" w:color="auto" w:sz="4" w:space="0"/>
              <w:bottom w:val="single" w:color="auto" w:sz="4" w:space="0"/>
              <w:right w:val="single" w:color="auto" w:sz="4" w:space="0"/>
            </w:tcBorders>
          </w:tcPr>
          <w:p w14:paraId="4C74B246">
            <w:pPr>
              <w:autoSpaceDE w:val="0"/>
              <w:autoSpaceDN w:val="0"/>
              <w:adjustRightInd w:val="0"/>
              <w:spacing w:line="360" w:lineRule="auto"/>
              <w:jc w:val="both"/>
              <w:rPr>
                <w:rFonts w:eastAsia="TimesNewRomanPSMT"/>
              </w:rPr>
            </w:pPr>
            <w:r>
              <w:rPr>
                <w:rFonts w:eastAsia="DengXian"/>
                <w:color w:val="000000"/>
              </w:rPr>
              <w:t xml:space="preserve">Adequate understanding of Upstream tax legislation by Tax and judicial officers is required to achieve consistent and clear judicial decisions </w:t>
            </w:r>
          </w:p>
        </w:tc>
        <w:tc>
          <w:tcPr>
            <w:tcW w:w="984" w:type="dxa"/>
            <w:tcBorders>
              <w:top w:val="single" w:color="auto" w:sz="4" w:space="0"/>
              <w:left w:val="single" w:color="auto" w:sz="4" w:space="0"/>
              <w:bottom w:val="single" w:color="auto" w:sz="4" w:space="0"/>
              <w:right w:val="single" w:color="auto" w:sz="4" w:space="0"/>
            </w:tcBorders>
          </w:tcPr>
          <w:p w14:paraId="33E814C0">
            <w:pPr>
              <w:spacing w:line="360" w:lineRule="auto"/>
              <w:jc w:val="center"/>
              <w:rPr>
                <w:rFonts w:eastAsia="DengXian"/>
              </w:rPr>
            </w:pPr>
            <w:r>
              <w:rPr>
                <w:rFonts w:eastAsia="DengXian"/>
              </w:rPr>
              <w:t>0</w:t>
            </w:r>
          </w:p>
          <w:p w14:paraId="6970E41C">
            <w:pPr>
              <w:spacing w:line="360" w:lineRule="auto"/>
              <w:jc w:val="center"/>
              <w:rPr>
                <w:rFonts w:eastAsia="DengXian"/>
              </w:rPr>
            </w:pPr>
            <w:r>
              <w:rPr>
                <w:rFonts w:eastAsia="DengXian"/>
              </w:rPr>
              <w:t>0%</w:t>
            </w:r>
          </w:p>
        </w:tc>
        <w:tc>
          <w:tcPr>
            <w:tcW w:w="1073" w:type="dxa"/>
            <w:tcBorders>
              <w:top w:val="single" w:color="auto" w:sz="4" w:space="0"/>
              <w:left w:val="single" w:color="auto" w:sz="4" w:space="0"/>
              <w:bottom w:val="single" w:color="auto" w:sz="4" w:space="0"/>
              <w:right w:val="single" w:color="auto" w:sz="4" w:space="0"/>
            </w:tcBorders>
          </w:tcPr>
          <w:p w14:paraId="2AEC08A0">
            <w:pPr>
              <w:spacing w:line="360" w:lineRule="auto"/>
              <w:jc w:val="center"/>
              <w:rPr>
                <w:rFonts w:eastAsia="DengXian"/>
              </w:rPr>
            </w:pPr>
            <w:r>
              <w:rPr>
                <w:rFonts w:eastAsia="DengXian"/>
              </w:rPr>
              <w:t>0</w:t>
            </w:r>
          </w:p>
          <w:p w14:paraId="3C139EAB">
            <w:pPr>
              <w:spacing w:line="360" w:lineRule="auto"/>
              <w:jc w:val="center"/>
              <w:rPr>
                <w:rFonts w:eastAsia="DengXian"/>
              </w:rPr>
            </w:pPr>
            <w:r>
              <w:rPr>
                <w:rFonts w:eastAsia="DengXian"/>
              </w:rPr>
              <w:t>0%</w:t>
            </w:r>
          </w:p>
        </w:tc>
        <w:tc>
          <w:tcPr>
            <w:tcW w:w="1073" w:type="dxa"/>
            <w:tcBorders>
              <w:top w:val="single" w:color="auto" w:sz="4" w:space="0"/>
              <w:left w:val="single" w:color="auto" w:sz="4" w:space="0"/>
              <w:bottom w:val="single" w:color="auto" w:sz="4" w:space="0"/>
              <w:right w:val="single" w:color="auto" w:sz="4" w:space="0"/>
            </w:tcBorders>
          </w:tcPr>
          <w:p w14:paraId="57BAD6F8">
            <w:pPr>
              <w:spacing w:line="360" w:lineRule="auto"/>
              <w:jc w:val="center"/>
              <w:rPr>
                <w:rFonts w:eastAsia="DengXian"/>
              </w:rPr>
            </w:pPr>
            <w:r>
              <w:rPr>
                <w:rFonts w:eastAsia="DengXian"/>
              </w:rPr>
              <w:t>2</w:t>
            </w:r>
          </w:p>
          <w:p w14:paraId="35D5C18F">
            <w:pPr>
              <w:spacing w:line="360" w:lineRule="auto"/>
              <w:jc w:val="center"/>
              <w:rPr>
                <w:rFonts w:eastAsia="DengXian"/>
              </w:rPr>
            </w:pPr>
            <w:r>
              <w:rPr>
                <w:rFonts w:eastAsia="DengXian"/>
              </w:rPr>
              <w:t>2.7%</w:t>
            </w:r>
          </w:p>
        </w:tc>
        <w:tc>
          <w:tcPr>
            <w:tcW w:w="984" w:type="dxa"/>
            <w:tcBorders>
              <w:top w:val="single" w:color="auto" w:sz="4" w:space="0"/>
              <w:left w:val="single" w:color="auto" w:sz="4" w:space="0"/>
              <w:bottom w:val="single" w:color="auto" w:sz="4" w:space="0"/>
              <w:right w:val="single" w:color="auto" w:sz="4" w:space="0"/>
            </w:tcBorders>
          </w:tcPr>
          <w:p w14:paraId="646F6024">
            <w:pPr>
              <w:spacing w:line="360" w:lineRule="auto"/>
              <w:jc w:val="center"/>
              <w:rPr>
                <w:rFonts w:eastAsia="DengXian"/>
              </w:rPr>
            </w:pPr>
            <w:r>
              <w:rPr>
                <w:rFonts w:eastAsia="DengXian"/>
              </w:rPr>
              <w:t>3</w:t>
            </w:r>
          </w:p>
          <w:p w14:paraId="1FC83313">
            <w:pPr>
              <w:spacing w:line="360" w:lineRule="auto"/>
              <w:jc w:val="center"/>
              <w:rPr>
                <w:rFonts w:eastAsia="DengXian"/>
              </w:rPr>
            </w:pPr>
            <w:r>
              <w:rPr>
                <w:rFonts w:eastAsia="DengXian"/>
              </w:rPr>
              <w:t>4%</w:t>
            </w:r>
          </w:p>
        </w:tc>
        <w:tc>
          <w:tcPr>
            <w:tcW w:w="896" w:type="dxa"/>
            <w:tcBorders>
              <w:top w:val="single" w:color="auto" w:sz="4" w:space="0"/>
              <w:left w:val="single" w:color="auto" w:sz="4" w:space="0"/>
              <w:bottom w:val="single" w:color="auto" w:sz="4" w:space="0"/>
              <w:right w:val="single" w:color="auto" w:sz="4" w:space="0"/>
            </w:tcBorders>
          </w:tcPr>
          <w:p w14:paraId="5E5C2C41">
            <w:pPr>
              <w:spacing w:line="360" w:lineRule="auto"/>
              <w:jc w:val="center"/>
              <w:rPr>
                <w:rFonts w:eastAsia="DengXian"/>
              </w:rPr>
            </w:pPr>
            <w:r>
              <w:rPr>
                <w:rFonts w:eastAsia="DengXian"/>
              </w:rPr>
              <w:t>70</w:t>
            </w:r>
          </w:p>
          <w:p w14:paraId="111A96FA">
            <w:pPr>
              <w:spacing w:line="360" w:lineRule="auto"/>
              <w:jc w:val="center"/>
              <w:rPr>
                <w:rFonts w:eastAsia="DengXian"/>
              </w:rPr>
            </w:pPr>
            <w:r>
              <w:rPr>
                <w:rFonts w:eastAsia="DengXian"/>
              </w:rPr>
              <w:t>93.3%</w:t>
            </w:r>
          </w:p>
        </w:tc>
        <w:tc>
          <w:tcPr>
            <w:tcW w:w="871" w:type="dxa"/>
            <w:tcBorders>
              <w:top w:val="single" w:color="auto" w:sz="4" w:space="0"/>
              <w:left w:val="single" w:color="auto" w:sz="4" w:space="0"/>
              <w:bottom w:val="single" w:color="auto" w:sz="4" w:space="0"/>
              <w:right w:val="single" w:color="auto" w:sz="4" w:space="0"/>
            </w:tcBorders>
          </w:tcPr>
          <w:p w14:paraId="441EB4BC">
            <w:pPr>
              <w:spacing w:line="360" w:lineRule="auto"/>
              <w:jc w:val="center"/>
              <w:rPr>
                <w:rFonts w:eastAsia="DengXian"/>
              </w:rPr>
            </w:pPr>
            <w:r>
              <w:rPr>
                <w:rFonts w:eastAsia="DengXian"/>
              </w:rPr>
              <w:t>75</w:t>
            </w:r>
          </w:p>
          <w:p w14:paraId="690867D0">
            <w:pPr>
              <w:spacing w:line="360" w:lineRule="auto"/>
              <w:jc w:val="center"/>
              <w:rPr>
                <w:rFonts w:eastAsia="DengXian"/>
              </w:rPr>
            </w:pPr>
            <w:r>
              <w:rPr>
                <w:rFonts w:eastAsia="DengXian"/>
              </w:rPr>
              <w:t>94.9%</w:t>
            </w:r>
          </w:p>
        </w:tc>
      </w:tr>
      <w:tr w14:paraId="1193C90F">
        <w:tblPrEx>
          <w:tblCellMar>
            <w:top w:w="0" w:type="dxa"/>
            <w:left w:w="108" w:type="dxa"/>
            <w:bottom w:w="0" w:type="dxa"/>
            <w:right w:w="108" w:type="dxa"/>
          </w:tblCellMar>
        </w:tblPrEx>
        <w:trPr>
          <w:trHeight w:val="357" w:hRule="atLeast"/>
          <w:jc w:val="center"/>
        </w:trPr>
        <w:tc>
          <w:tcPr>
            <w:tcW w:w="629" w:type="dxa"/>
            <w:tcBorders>
              <w:top w:val="single" w:color="auto" w:sz="4" w:space="0"/>
              <w:left w:val="single" w:color="auto" w:sz="4" w:space="0"/>
              <w:bottom w:val="single" w:color="auto" w:sz="4" w:space="0"/>
              <w:right w:val="single" w:color="auto" w:sz="4" w:space="0"/>
            </w:tcBorders>
          </w:tcPr>
          <w:p w14:paraId="0861E6BF">
            <w:pPr>
              <w:spacing w:line="360" w:lineRule="auto"/>
              <w:jc w:val="both"/>
              <w:rPr>
                <w:rFonts w:eastAsia="DengXian"/>
              </w:rPr>
            </w:pPr>
            <w:r>
              <w:rPr>
                <w:rFonts w:eastAsia="DengXian"/>
              </w:rPr>
              <w:t>2</w:t>
            </w:r>
          </w:p>
        </w:tc>
        <w:tc>
          <w:tcPr>
            <w:tcW w:w="3129" w:type="dxa"/>
            <w:tcBorders>
              <w:top w:val="single" w:color="auto" w:sz="4" w:space="0"/>
              <w:left w:val="single" w:color="auto" w:sz="4" w:space="0"/>
              <w:bottom w:val="single" w:color="auto" w:sz="4" w:space="0"/>
              <w:right w:val="single" w:color="auto" w:sz="4" w:space="0"/>
            </w:tcBorders>
          </w:tcPr>
          <w:p w14:paraId="2EDDF000">
            <w:pPr>
              <w:spacing w:line="360" w:lineRule="auto"/>
              <w:jc w:val="both"/>
              <w:rPr>
                <w:rFonts w:eastAsia="DengXian"/>
              </w:rPr>
            </w:pPr>
            <w:r>
              <w:rPr>
                <w:rFonts w:eastAsia="DengXian"/>
                <w:color w:val="000000"/>
              </w:rPr>
              <w:t>A transparent tax appeal process and timely tax dispute resolution is important for achieving certainty in the tax system.</w:t>
            </w:r>
          </w:p>
        </w:tc>
        <w:tc>
          <w:tcPr>
            <w:tcW w:w="984" w:type="dxa"/>
            <w:tcBorders>
              <w:top w:val="single" w:color="auto" w:sz="4" w:space="0"/>
              <w:left w:val="single" w:color="auto" w:sz="4" w:space="0"/>
              <w:bottom w:val="single" w:color="auto" w:sz="4" w:space="0"/>
              <w:right w:val="single" w:color="auto" w:sz="4" w:space="0"/>
            </w:tcBorders>
          </w:tcPr>
          <w:p w14:paraId="134D0CD4">
            <w:pPr>
              <w:spacing w:line="360" w:lineRule="auto"/>
              <w:jc w:val="center"/>
              <w:rPr>
                <w:rFonts w:eastAsia="DengXian"/>
              </w:rPr>
            </w:pPr>
            <w:r>
              <w:rPr>
                <w:rFonts w:eastAsia="DengXian"/>
              </w:rPr>
              <w:t>0</w:t>
            </w:r>
          </w:p>
          <w:p w14:paraId="0DF1EDA2">
            <w:pPr>
              <w:spacing w:line="360" w:lineRule="auto"/>
              <w:jc w:val="center"/>
              <w:rPr>
                <w:rFonts w:eastAsia="DengXian"/>
              </w:rPr>
            </w:pPr>
            <w:r>
              <w:rPr>
                <w:rFonts w:eastAsia="DengXian"/>
              </w:rPr>
              <w:t>0%</w:t>
            </w:r>
          </w:p>
        </w:tc>
        <w:tc>
          <w:tcPr>
            <w:tcW w:w="1073" w:type="dxa"/>
            <w:tcBorders>
              <w:top w:val="single" w:color="auto" w:sz="4" w:space="0"/>
              <w:left w:val="single" w:color="auto" w:sz="4" w:space="0"/>
              <w:bottom w:val="single" w:color="auto" w:sz="4" w:space="0"/>
              <w:right w:val="single" w:color="auto" w:sz="4" w:space="0"/>
            </w:tcBorders>
          </w:tcPr>
          <w:p w14:paraId="15361C0F">
            <w:pPr>
              <w:spacing w:line="360" w:lineRule="auto"/>
              <w:jc w:val="center"/>
              <w:rPr>
                <w:rFonts w:eastAsia="DengXian"/>
              </w:rPr>
            </w:pPr>
            <w:r>
              <w:rPr>
                <w:rFonts w:eastAsia="DengXian"/>
              </w:rPr>
              <w:t>0</w:t>
            </w:r>
          </w:p>
          <w:p w14:paraId="57DF301F">
            <w:pPr>
              <w:spacing w:line="360" w:lineRule="auto"/>
              <w:jc w:val="center"/>
              <w:rPr>
                <w:rFonts w:eastAsia="DengXian"/>
              </w:rPr>
            </w:pPr>
            <w:r>
              <w:rPr>
                <w:rFonts w:eastAsia="DengXian"/>
              </w:rPr>
              <w:t>0%</w:t>
            </w:r>
          </w:p>
        </w:tc>
        <w:tc>
          <w:tcPr>
            <w:tcW w:w="1073" w:type="dxa"/>
            <w:tcBorders>
              <w:top w:val="single" w:color="auto" w:sz="4" w:space="0"/>
              <w:left w:val="single" w:color="auto" w:sz="4" w:space="0"/>
              <w:bottom w:val="single" w:color="auto" w:sz="4" w:space="0"/>
              <w:right w:val="single" w:color="auto" w:sz="4" w:space="0"/>
            </w:tcBorders>
          </w:tcPr>
          <w:p w14:paraId="2845EE17">
            <w:pPr>
              <w:spacing w:line="360" w:lineRule="auto"/>
              <w:jc w:val="center"/>
              <w:rPr>
                <w:rFonts w:eastAsia="DengXian"/>
              </w:rPr>
            </w:pPr>
            <w:r>
              <w:rPr>
                <w:rFonts w:eastAsia="DengXian"/>
              </w:rPr>
              <w:t>2</w:t>
            </w:r>
          </w:p>
          <w:p w14:paraId="1DCBBBD4">
            <w:pPr>
              <w:spacing w:line="360" w:lineRule="auto"/>
              <w:jc w:val="center"/>
              <w:rPr>
                <w:rFonts w:eastAsia="DengXian"/>
              </w:rPr>
            </w:pPr>
            <w:r>
              <w:rPr>
                <w:rFonts w:eastAsia="DengXian"/>
              </w:rPr>
              <w:t>2.7%</w:t>
            </w:r>
          </w:p>
        </w:tc>
        <w:tc>
          <w:tcPr>
            <w:tcW w:w="984" w:type="dxa"/>
            <w:tcBorders>
              <w:top w:val="single" w:color="auto" w:sz="4" w:space="0"/>
              <w:left w:val="single" w:color="auto" w:sz="4" w:space="0"/>
              <w:bottom w:val="single" w:color="auto" w:sz="4" w:space="0"/>
              <w:right w:val="single" w:color="auto" w:sz="4" w:space="0"/>
            </w:tcBorders>
          </w:tcPr>
          <w:p w14:paraId="2BF174D5">
            <w:pPr>
              <w:spacing w:line="360" w:lineRule="auto"/>
              <w:jc w:val="center"/>
              <w:rPr>
                <w:rFonts w:eastAsia="DengXian"/>
              </w:rPr>
            </w:pPr>
            <w:r>
              <w:rPr>
                <w:rFonts w:eastAsia="DengXian"/>
              </w:rPr>
              <w:t>11</w:t>
            </w:r>
          </w:p>
          <w:p w14:paraId="691BC76C">
            <w:pPr>
              <w:spacing w:line="360" w:lineRule="auto"/>
              <w:jc w:val="center"/>
              <w:rPr>
                <w:rFonts w:eastAsia="DengXian"/>
              </w:rPr>
            </w:pPr>
            <w:r>
              <w:rPr>
                <w:rFonts w:eastAsia="DengXian"/>
              </w:rPr>
              <w:t>14.7%</w:t>
            </w:r>
          </w:p>
        </w:tc>
        <w:tc>
          <w:tcPr>
            <w:tcW w:w="896" w:type="dxa"/>
            <w:tcBorders>
              <w:top w:val="single" w:color="auto" w:sz="4" w:space="0"/>
              <w:left w:val="single" w:color="auto" w:sz="4" w:space="0"/>
              <w:bottom w:val="single" w:color="auto" w:sz="4" w:space="0"/>
              <w:right w:val="single" w:color="auto" w:sz="4" w:space="0"/>
            </w:tcBorders>
          </w:tcPr>
          <w:p w14:paraId="69BE7557">
            <w:pPr>
              <w:spacing w:line="360" w:lineRule="auto"/>
              <w:jc w:val="center"/>
              <w:rPr>
                <w:rFonts w:eastAsia="DengXian"/>
              </w:rPr>
            </w:pPr>
            <w:r>
              <w:rPr>
                <w:rFonts w:eastAsia="DengXian"/>
              </w:rPr>
              <w:t>62</w:t>
            </w:r>
          </w:p>
          <w:p w14:paraId="4AA87527">
            <w:pPr>
              <w:spacing w:line="360" w:lineRule="auto"/>
              <w:jc w:val="center"/>
              <w:rPr>
                <w:rFonts w:eastAsia="DengXian"/>
              </w:rPr>
            </w:pPr>
            <w:r>
              <w:rPr>
                <w:rFonts w:eastAsia="DengXian"/>
              </w:rPr>
              <w:t>82.7%</w:t>
            </w:r>
          </w:p>
          <w:p w14:paraId="3BA33E3F">
            <w:pPr>
              <w:spacing w:line="360" w:lineRule="auto"/>
              <w:jc w:val="center"/>
              <w:rPr>
                <w:rFonts w:eastAsia="DengXian"/>
              </w:rPr>
            </w:pPr>
          </w:p>
        </w:tc>
        <w:tc>
          <w:tcPr>
            <w:tcW w:w="871" w:type="dxa"/>
            <w:tcBorders>
              <w:top w:val="single" w:color="auto" w:sz="4" w:space="0"/>
              <w:left w:val="single" w:color="auto" w:sz="4" w:space="0"/>
              <w:bottom w:val="single" w:color="auto" w:sz="4" w:space="0"/>
              <w:right w:val="single" w:color="auto" w:sz="4" w:space="0"/>
            </w:tcBorders>
          </w:tcPr>
          <w:p w14:paraId="0097D201">
            <w:pPr>
              <w:spacing w:line="360" w:lineRule="auto"/>
              <w:jc w:val="center"/>
              <w:rPr>
                <w:rFonts w:eastAsia="DengXian"/>
              </w:rPr>
            </w:pPr>
            <w:r>
              <w:rPr>
                <w:rFonts w:eastAsia="DengXian"/>
              </w:rPr>
              <w:t>75</w:t>
            </w:r>
          </w:p>
          <w:p w14:paraId="5B601F0B">
            <w:pPr>
              <w:spacing w:line="360" w:lineRule="auto"/>
              <w:jc w:val="center"/>
              <w:rPr>
                <w:rFonts w:eastAsia="DengXian"/>
              </w:rPr>
            </w:pPr>
            <w:r>
              <w:rPr>
                <w:rFonts w:eastAsia="DengXian"/>
              </w:rPr>
              <w:t>94.9%</w:t>
            </w:r>
          </w:p>
        </w:tc>
      </w:tr>
      <w:tr w14:paraId="247C7937">
        <w:tblPrEx>
          <w:tblCellMar>
            <w:top w:w="0" w:type="dxa"/>
            <w:left w:w="108" w:type="dxa"/>
            <w:bottom w:w="0" w:type="dxa"/>
            <w:right w:w="108" w:type="dxa"/>
          </w:tblCellMar>
        </w:tblPrEx>
        <w:trPr>
          <w:trHeight w:val="357" w:hRule="atLeast"/>
          <w:jc w:val="center"/>
        </w:trPr>
        <w:tc>
          <w:tcPr>
            <w:tcW w:w="629" w:type="dxa"/>
            <w:tcBorders>
              <w:top w:val="single" w:color="auto" w:sz="4" w:space="0"/>
              <w:left w:val="single" w:color="auto" w:sz="4" w:space="0"/>
              <w:bottom w:val="single" w:color="auto" w:sz="4" w:space="0"/>
              <w:right w:val="single" w:color="auto" w:sz="4" w:space="0"/>
            </w:tcBorders>
          </w:tcPr>
          <w:p w14:paraId="6D94FE24">
            <w:pPr>
              <w:spacing w:line="360" w:lineRule="auto"/>
              <w:jc w:val="both"/>
              <w:rPr>
                <w:rFonts w:eastAsia="DengXian"/>
              </w:rPr>
            </w:pPr>
            <w:r>
              <w:rPr>
                <w:rFonts w:eastAsia="DengXian"/>
              </w:rPr>
              <w:t>3</w:t>
            </w:r>
          </w:p>
        </w:tc>
        <w:tc>
          <w:tcPr>
            <w:tcW w:w="3129" w:type="dxa"/>
            <w:tcBorders>
              <w:top w:val="single" w:color="auto" w:sz="4" w:space="0"/>
              <w:left w:val="single" w:color="auto" w:sz="4" w:space="0"/>
              <w:bottom w:val="single" w:color="auto" w:sz="4" w:space="0"/>
              <w:right w:val="single" w:color="auto" w:sz="4" w:space="0"/>
            </w:tcBorders>
          </w:tcPr>
          <w:p w14:paraId="07E6A60A">
            <w:pPr>
              <w:spacing w:line="360" w:lineRule="auto"/>
              <w:jc w:val="both"/>
              <w:rPr>
                <w:rFonts w:eastAsia="DengXian"/>
              </w:rPr>
            </w:pPr>
            <w:r>
              <w:rPr>
                <w:rFonts w:eastAsia="DengXian"/>
                <w:color w:val="000000"/>
              </w:rPr>
              <w:t>Clear and consistent judicial decisions are essential for achieving tax certainty.</w:t>
            </w:r>
          </w:p>
        </w:tc>
        <w:tc>
          <w:tcPr>
            <w:tcW w:w="984" w:type="dxa"/>
            <w:tcBorders>
              <w:top w:val="single" w:color="auto" w:sz="4" w:space="0"/>
              <w:left w:val="single" w:color="auto" w:sz="4" w:space="0"/>
              <w:bottom w:val="single" w:color="auto" w:sz="4" w:space="0"/>
              <w:right w:val="single" w:color="auto" w:sz="4" w:space="0"/>
            </w:tcBorders>
          </w:tcPr>
          <w:p w14:paraId="367C83F5">
            <w:pPr>
              <w:spacing w:line="360" w:lineRule="auto"/>
              <w:jc w:val="center"/>
              <w:rPr>
                <w:rFonts w:eastAsia="DengXian"/>
              </w:rPr>
            </w:pPr>
            <w:r>
              <w:rPr>
                <w:rFonts w:eastAsia="DengXian"/>
              </w:rPr>
              <w:t>0</w:t>
            </w:r>
          </w:p>
          <w:p w14:paraId="61DF1BED">
            <w:pPr>
              <w:spacing w:line="360" w:lineRule="auto"/>
              <w:jc w:val="center"/>
              <w:rPr>
                <w:rFonts w:eastAsia="DengXian"/>
              </w:rPr>
            </w:pPr>
            <w:r>
              <w:rPr>
                <w:rFonts w:eastAsia="DengXian"/>
              </w:rPr>
              <w:t>0%</w:t>
            </w:r>
          </w:p>
        </w:tc>
        <w:tc>
          <w:tcPr>
            <w:tcW w:w="1073" w:type="dxa"/>
            <w:tcBorders>
              <w:top w:val="single" w:color="auto" w:sz="4" w:space="0"/>
              <w:left w:val="single" w:color="auto" w:sz="4" w:space="0"/>
              <w:bottom w:val="single" w:color="auto" w:sz="4" w:space="0"/>
              <w:right w:val="single" w:color="auto" w:sz="4" w:space="0"/>
            </w:tcBorders>
          </w:tcPr>
          <w:p w14:paraId="473F4FB4">
            <w:pPr>
              <w:spacing w:line="360" w:lineRule="auto"/>
              <w:jc w:val="center"/>
              <w:rPr>
                <w:rFonts w:eastAsia="DengXian"/>
              </w:rPr>
            </w:pPr>
            <w:r>
              <w:rPr>
                <w:rFonts w:eastAsia="DengXian"/>
              </w:rPr>
              <w:t>7</w:t>
            </w:r>
          </w:p>
          <w:p w14:paraId="62E188DA">
            <w:pPr>
              <w:spacing w:line="360" w:lineRule="auto"/>
              <w:jc w:val="center"/>
              <w:rPr>
                <w:rFonts w:eastAsia="DengXian"/>
              </w:rPr>
            </w:pPr>
            <w:r>
              <w:rPr>
                <w:rFonts w:eastAsia="DengXian"/>
              </w:rPr>
              <w:t>9.5%</w:t>
            </w:r>
          </w:p>
        </w:tc>
        <w:tc>
          <w:tcPr>
            <w:tcW w:w="1073" w:type="dxa"/>
            <w:tcBorders>
              <w:top w:val="single" w:color="auto" w:sz="4" w:space="0"/>
              <w:left w:val="single" w:color="auto" w:sz="4" w:space="0"/>
              <w:bottom w:val="single" w:color="auto" w:sz="4" w:space="0"/>
              <w:right w:val="single" w:color="auto" w:sz="4" w:space="0"/>
            </w:tcBorders>
          </w:tcPr>
          <w:p w14:paraId="014BF295">
            <w:pPr>
              <w:spacing w:line="360" w:lineRule="auto"/>
              <w:jc w:val="center"/>
              <w:rPr>
                <w:rFonts w:eastAsia="DengXian"/>
              </w:rPr>
            </w:pPr>
            <w:r>
              <w:rPr>
                <w:rFonts w:eastAsia="DengXian"/>
              </w:rPr>
              <w:t>25</w:t>
            </w:r>
          </w:p>
          <w:p w14:paraId="59A5FA5F">
            <w:pPr>
              <w:spacing w:line="360" w:lineRule="auto"/>
              <w:jc w:val="center"/>
              <w:rPr>
                <w:rFonts w:eastAsia="DengXian"/>
              </w:rPr>
            </w:pPr>
            <w:r>
              <w:rPr>
                <w:rFonts w:eastAsia="DengXian"/>
              </w:rPr>
              <w:t>33.8%</w:t>
            </w:r>
          </w:p>
        </w:tc>
        <w:tc>
          <w:tcPr>
            <w:tcW w:w="984" w:type="dxa"/>
            <w:tcBorders>
              <w:top w:val="single" w:color="auto" w:sz="4" w:space="0"/>
              <w:left w:val="single" w:color="auto" w:sz="4" w:space="0"/>
              <w:bottom w:val="single" w:color="auto" w:sz="4" w:space="0"/>
              <w:right w:val="single" w:color="auto" w:sz="4" w:space="0"/>
            </w:tcBorders>
          </w:tcPr>
          <w:p w14:paraId="4F82E9DA">
            <w:pPr>
              <w:spacing w:line="360" w:lineRule="auto"/>
              <w:jc w:val="center"/>
              <w:rPr>
                <w:rFonts w:eastAsia="DengXian"/>
              </w:rPr>
            </w:pPr>
            <w:r>
              <w:rPr>
                <w:rFonts w:eastAsia="DengXian"/>
              </w:rPr>
              <w:t>24</w:t>
            </w:r>
          </w:p>
          <w:p w14:paraId="6C521F3E">
            <w:pPr>
              <w:spacing w:line="360" w:lineRule="auto"/>
              <w:jc w:val="center"/>
              <w:rPr>
                <w:rFonts w:eastAsia="DengXian"/>
              </w:rPr>
            </w:pPr>
            <w:r>
              <w:rPr>
                <w:rFonts w:eastAsia="DengXian"/>
              </w:rPr>
              <w:t>32.4%</w:t>
            </w:r>
          </w:p>
        </w:tc>
        <w:tc>
          <w:tcPr>
            <w:tcW w:w="896" w:type="dxa"/>
            <w:tcBorders>
              <w:top w:val="single" w:color="auto" w:sz="4" w:space="0"/>
              <w:left w:val="single" w:color="auto" w:sz="4" w:space="0"/>
              <w:bottom w:val="single" w:color="auto" w:sz="4" w:space="0"/>
              <w:right w:val="single" w:color="auto" w:sz="4" w:space="0"/>
            </w:tcBorders>
          </w:tcPr>
          <w:p w14:paraId="25857F91">
            <w:pPr>
              <w:spacing w:line="360" w:lineRule="auto"/>
              <w:jc w:val="center"/>
              <w:rPr>
                <w:rFonts w:eastAsia="DengXian"/>
              </w:rPr>
            </w:pPr>
            <w:r>
              <w:rPr>
                <w:rFonts w:eastAsia="DengXian"/>
              </w:rPr>
              <w:t>18</w:t>
            </w:r>
          </w:p>
          <w:p w14:paraId="0D7BA2D7">
            <w:pPr>
              <w:spacing w:line="360" w:lineRule="auto"/>
              <w:jc w:val="center"/>
              <w:rPr>
                <w:rFonts w:eastAsia="DengXian"/>
              </w:rPr>
            </w:pPr>
            <w:r>
              <w:rPr>
                <w:rFonts w:eastAsia="DengXian"/>
              </w:rPr>
              <w:t>24.3%</w:t>
            </w:r>
          </w:p>
        </w:tc>
        <w:tc>
          <w:tcPr>
            <w:tcW w:w="871" w:type="dxa"/>
            <w:tcBorders>
              <w:top w:val="single" w:color="auto" w:sz="4" w:space="0"/>
              <w:left w:val="single" w:color="auto" w:sz="4" w:space="0"/>
              <w:bottom w:val="single" w:color="auto" w:sz="4" w:space="0"/>
              <w:right w:val="single" w:color="auto" w:sz="4" w:space="0"/>
            </w:tcBorders>
          </w:tcPr>
          <w:p w14:paraId="5B22B851">
            <w:pPr>
              <w:spacing w:line="360" w:lineRule="auto"/>
              <w:jc w:val="center"/>
              <w:rPr>
                <w:rFonts w:eastAsia="DengXian"/>
              </w:rPr>
            </w:pPr>
            <w:r>
              <w:rPr>
                <w:rFonts w:eastAsia="DengXian"/>
              </w:rPr>
              <w:t>74</w:t>
            </w:r>
          </w:p>
          <w:p w14:paraId="5E05EDB1">
            <w:pPr>
              <w:spacing w:line="360" w:lineRule="auto"/>
              <w:jc w:val="center"/>
              <w:rPr>
                <w:rFonts w:eastAsia="DengXian"/>
              </w:rPr>
            </w:pPr>
            <w:r>
              <w:rPr>
                <w:rFonts w:eastAsia="DengXian"/>
              </w:rPr>
              <w:t>93.7%</w:t>
            </w:r>
          </w:p>
        </w:tc>
      </w:tr>
    </w:tbl>
    <w:p w14:paraId="56430B9F">
      <w:pPr>
        <w:spacing w:line="360" w:lineRule="auto"/>
        <w:jc w:val="both"/>
        <w:rPr>
          <w:rFonts w:eastAsia="DengXian"/>
        </w:rPr>
      </w:pPr>
    </w:p>
    <w:p w14:paraId="6521A807">
      <w:pPr>
        <w:spacing w:after="200" w:line="480" w:lineRule="auto"/>
        <w:jc w:val="both"/>
        <w:rPr>
          <w:rFonts w:eastAsia="DengXian"/>
          <w:lang w:val="en-GB"/>
        </w:rPr>
      </w:pPr>
      <w:r>
        <w:rPr>
          <w:rFonts w:eastAsia="DengXian"/>
        </w:rPr>
        <w:t>On the significance of t</w:t>
      </w:r>
      <w:r>
        <w:rPr>
          <w:rFonts w:eastAsia="DengXian"/>
          <w:iCs/>
          <w:color w:val="000000"/>
        </w:rPr>
        <w:t>ax adjudication and the dispute resolution process</w:t>
      </w:r>
      <w:r>
        <w:rPr>
          <w:rFonts w:eastAsia="DengXian"/>
        </w:rPr>
        <w:t xml:space="preserve">, and as may be inferred from table 6.3.4. above, seventy (70) respondents, with a percentage of 93.3% strongly agreed that it is </w:t>
      </w:r>
      <w:r>
        <w:rPr>
          <w:rFonts w:eastAsia="DengXian"/>
          <w:color w:val="000000"/>
        </w:rPr>
        <w:t xml:space="preserve">important for judicial officers, the Tribunals, and the Courts, to have adequate understanding of taxation principles and upstream fiscal policy and tax legislation. Respondents also agreed that it is essential for the clear and consistent interpretation and implementation of upstream petroleum tax legislation that the disputed resolution process must be transparent and judicial officers be properly equipped and knowledgeable in taxation principles. </w:t>
      </w:r>
      <w:r>
        <w:rPr>
          <w:rFonts w:eastAsia="DengXian"/>
          <w:lang w:val="en-GB"/>
        </w:rPr>
        <w:t>It was also observed that some of the administrative and judicial decisions may not have been based on well-defined taxing principle, but rather driven more by tax avoidance or revenue generation, thus creating conflicting taxing jurisprudence. Respondents further observed that the TAT decisions were generally more commercially consistent than the FHC decisions, in terms of speed of dispute resolution and clarity and the level of understanding of taxing principles.</w:t>
      </w:r>
    </w:p>
    <w:p w14:paraId="57380981">
      <w:pPr>
        <w:spacing w:line="360" w:lineRule="auto"/>
        <w:ind w:left="360"/>
        <w:jc w:val="both"/>
        <w:rPr>
          <w:rFonts w:eastAsia="DengXian"/>
          <w:b/>
          <w:bCs/>
        </w:rPr>
      </w:pPr>
      <w:r>
        <w:rPr>
          <w:rFonts w:eastAsia="DengXian"/>
          <w:b/>
          <w:bCs/>
        </w:rPr>
        <w:t>6.3.5</w:t>
      </w:r>
      <w:r>
        <w:rPr>
          <w:rFonts w:eastAsia="DengXian"/>
          <w:b/>
          <w:bCs/>
        </w:rPr>
        <w:tab/>
      </w:r>
      <w:r>
        <w:rPr>
          <w:rFonts w:eastAsia="DengXian"/>
          <w:b/>
          <w:bCs/>
        </w:rPr>
        <w:t>Policy and Tax law Reform</w:t>
      </w:r>
    </w:p>
    <w:p w14:paraId="1BD18876">
      <w:pPr>
        <w:spacing w:line="360" w:lineRule="auto"/>
        <w:jc w:val="both"/>
        <w:rPr>
          <w:rFonts w:eastAsia="DengXian"/>
          <w:b/>
          <w:bCs/>
        </w:rPr>
      </w:pPr>
      <w:r>
        <w:rPr>
          <w:rFonts w:eastAsia="DengXian"/>
          <w:b/>
          <w:bCs/>
        </w:rPr>
        <w:t>Table</w:t>
      </w:r>
      <w:r>
        <w:rPr>
          <w:rFonts w:eastAsia="DengXian"/>
        </w:rPr>
        <w:t xml:space="preserve"> </w:t>
      </w:r>
      <w:r>
        <w:rPr>
          <w:rFonts w:eastAsia="DengXian"/>
          <w:b/>
          <w:bCs/>
        </w:rPr>
        <w:t xml:space="preserve">6.3.5 Frequency Distribution for </w:t>
      </w:r>
      <w:r>
        <w:rPr>
          <w:rFonts w:eastAsia="DengXian"/>
          <w:b/>
          <w:iCs/>
          <w:color w:val="000000"/>
        </w:rPr>
        <w:t>Fiscal and Tax Policy and Tax Law reform</w:t>
      </w:r>
    </w:p>
    <w:tbl>
      <w:tblPr>
        <w:tblStyle w:val="13"/>
        <w:tblW w:w="9840" w:type="dxa"/>
        <w:jc w:val="center"/>
        <w:tblLayout w:type="fixed"/>
        <w:tblCellMar>
          <w:top w:w="0" w:type="dxa"/>
          <w:left w:w="108" w:type="dxa"/>
          <w:bottom w:w="0" w:type="dxa"/>
          <w:right w:w="108" w:type="dxa"/>
        </w:tblCellMar>
      </w:tblPr>
      <w:tblGrid>
        <w:gridCol w:w="562"/>
        <w:gridCol w:w="3544"/>
        <w:gridCol w:w="851"/>
        <w:gridCol w:w="853"/>
        <w:gridCol w:w="1073"/>
        <w:gridCol w:w="984"/>
        <w:gridCol w:w="896"/>
        <w:gridCol w:w="1077"/>
      </w:tblGrid>
      <w:tr w14:paraId="1E3D879A">
        <w:tblPrEx>
          <w:tblCellMar>
            <w:top w:w="0" w:type="dxa"/>
            <w:left w:w="108" w:type="dxa"/>
            <w:bottom w:w="0" w:type="dxa"/>
            <w:right w:w="108" w:type="dxa"/>
          </w:tblCellMar>
        </w:tblPrEx>
        <w:trPr>
          <w:trHeight w:val="152" w:hRule="atLeast"/>
          <w:jc w:val="center"/>
        </w:trPr>
        <w:tc>
          <w:tcPr>
            <w:tcW w:w="562" w:type="dxa"/>
            <w:vMerge w:val="restart"/>
            <w:tcBorders>
              <w:top w:val="single" w:color="auto" w:sz="4" w:space="0"/>
              <w:left w:val="single" w:color="auto" w:sz="4" w:space="0"/>
              <w:bottom w:val="single" w:color="auto" w:sz="4" w:space="0"/>
              <w:right w:val="single" w:color="auto" w:sz="4" w:space="0"/>
            </w:tcBorders>
          </w:tcPr>
          <w:p w14:paraId="506CCE3D">
            <w:pPr>
              <w:spacing w:line="360" w:lineRule="auto"/>
              <w:jc w:val="both"/>
              <w:rPr>
                <w:rFonts w:eastAsia="DengXian"/>
                <w:b/>
                <w:bCs/>
              </w:rPr>
            </w:pPr>
            <w:r>
              <w:rPr>
                <w:rFonts w:eastAsia="DengXian"/>
                <w:b/>
                <w:bCs/>
              </w:rPr>
              <w:t xml:space="preserve">S/N </w:t>
            </w:r>
          </w:p>
        </w:tc>
        <w:tc>
          <w:tcPr>
            <w:tcW w:w="3544" w:type="dxa"/>
            <w:vMerge w:val="restart"/>
            <w:tcBorders>
              <w:top w:val="single" w:color="auto" w:sz="4" w:space="0"/>
              <w:left w:val="single" w:color="auto" w:sz="4" w:space="0"/>
              <w:bottom w:val="single" w:color="auto" w:sz="4" w:space="0"/>
              <w:right w:val="single" w:color="auto" w:sz="4" w:space="0"/>
            </w:tcBorders>
          </w:tcPr>
          <w:p w14:paraId="7930DCEA">
            <w:pPr>
              <w:spacing w:line="360" w:lineRule="auto"/>
              <w:jc w:val="center"/>
              <w:rPr>
                <w:rFonts w:eastAsia="DengXian"/>
                <w:b/>
                <w:bCs/>
              </w:rPr>
            </w:pPr>
            <w:r>
              <w:rPr>
                <w:rFonts w:eastAsia="DengXian"/>
                <w:b/>
                <w:bCs/>
              </w:rPr>
              <w:t>QUESTIONS</w:t>
            </w:r>
          </w:p>
        </w:tc>
        <w:tc>
          <w:tcPr>
            <w:tcW w:w="4657" w:type="dxa"/>
            <w:gridSpan w:val="5"/>
            <w:tcBorders>
              <w:top w:val="single" w:color="auto" w:sz="4" w:space="0"/>
              <w:left w:val="single" w:color="auto" w:sz="4" w:space="0"/>
              <w:bottom w:val="single" w:color="auto" w:sz="4" w:space="0"/>
              <w:right w:val="single" w:color="auto" w:sz="4" w:space="0"/>
            </w:tcBorders>
          </w:tcPr>
          <w:p w14:paraId="6297E648">
            <w:pPr>
              <w:spacing w:line="360" w:lineRule="auto"/>
              <w:jc w:val="center"/>
              <w:rPr>
                <w:rFonts w:eastAsia="DengXian"/>
                <w:b/>
                <w:bCs/>
              </w:rPr>
            </w:pPr>
            <w:r>
              <w:rPr>
                <w:rFonts w:eastAsia="DengXian"/>
                <w:b/>
                <w:bCs/>
              </w:rPr>
              <w:t>FREQUENCY AND PERCENTAGE</w:t>
            </w:r>
          </w:p>
        </w:tc>
        <w:tc>
          <w:tcPr>
            <w:tcW w:w="1077" w:type="dxa"/>
            <w:vMerge w:val="restart"/>
            <w:tcBorders>
              <w:top w:val="single" w:color="auto" w:sz="4" w:space="0"/>
              <w:left w:val="single" w:color="auto" w:sz="4" w:space="0"/>
              <w:bottom w:val="single" w:color="auto" w:sz="4" w:space="0"/>
              <w:right w:val="single" w:color="auto" w:sz="4" w:space="0"/>
            </w:tcBorders>
          </w:tcPr>
          <w:p w14:paraId="786A39EF">
            <w:pPr>
              <w:spacing w:line="360" w:lineRule="auto"/>
              <w:jc w:val="center"/>
              <w:rPr>
                <w:rFonts w:eastAsia="DengXian"/>
                <w:b/>
                <w:bCs/>
              </w:rPr>
            </w:pPr>
            <w:r>
              <w:rPr>
                <w:rFonts w:eastAsia="DengXian"/>
                <w:b/>
                <w:bCs/>
              </w:rPr>
              <w:t>TOTAL</w:t>
            </w:r>
          </w:p>
        </w:tc>
      </w:tr>
      <w:tr w14:paraId="1A75341B">
        <w:tblPrEx>
          <w:tblCellMar>
            <w:top w:w="0" w:type="dxa"/>
            <w:left w:w="108" w:type="dxa"/>
            <w:bottom w:w="0" w:type="dxa"/>
            <w:right w:w="108" w:type="dxa"/>
          </w:tblCellMar>
        </w:tblPrEx>
        <w:trPr>
          <w:trHeight w:val="667" w:hRule="atLeast"/>
          <w:jc w:val="center"/>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3987E980">
            <w:pPr>
              <w:spacing w:line="360" w:lineRule="auto"/>
              <w:rPr>
                <w:rFonts w:eastAsia="DengXian"/>
                <w:b/>
                <w:bCs/>
              </w:rPr>
            </w:pPr>
          </w:p>
        </w:tc>
        <w:tc>
          <w:tcPr>
            <w:tcW w:w="3544" w:type="dxa"/>
            <w:vMerge w:val="continue"/>
            <w:tcBorders>
              <w:top w:val="single" w:color="auto" w:sz="4" w:space="0"/>
              <w:left w:val="single" w:color="auto" w:sz="4" w:space="0"/>
              <w:bottom w:val="single" w:color="auto" w:sz="4" w:space="0"/>
              <w:right w:val="single" w:color="auto" w:sz="4" w:space="0"/>
            </w:tcBorders>
            <w:vAlign w:val="center"/>
          </w:tcPr>
          <w:p w14:paraId="2E15A313">
            <w:pPr>
              <w:spacing w:line="360" w:lineRule="auto"/>
              <w:rPr>
                <w:rFonts w:eastAsia="DengXian"/>
                <w:b/>
                <w:bCs/>
              </w:rPr>
            </w:pPr>
          </w:p>
        </w:tc>
        <w:tc>
          <w:tcPr>
            <w:tcW w:w="851" w:type="dxa"/>
            <w:tcBorders>
              <w:top w:val="single" w:color="auto" w:sz="4" w:space="0"/>
              <w:left w:val="single" w:color="auto" w:sz="4" w:space="0"/>
              <w:bottom w:val="single" w:color="auto" w:sz="4" w:space="0"/>
              <w:right w:val="single" w:color="auto" w:sz="4" w:space="0"/>
            </w:tcBorders>
          </w:tcPr>
          <w:p w14:paraId="0F1DE600">
            <w:pPr>
              <w:spacing w:line="360" w:lineRule="auto"/>
              <w:jc w:val="center"/>
              <w:rPr>
                <w:rFonts w:eastAsia="DengXian"/>
                <w:b/>
                <w:bCs/>
              </w:rPr>
            </w:pPr>
            <w:r>
              <w:rPr>
                <w:rFonts w:eastAsia="DengXian"/>
                <w:b/>
                <w:bCs/>
              </w:rPr>
              <w:t>SD</w:t>
            </w:r>
          </w:p>
          <w:p w14:paraId="090D362A">
            <w:pPr>
              <w:spacing w:line="360" w:lineRule="auto"/>
              <w:jc w:val="center"/>
              <w:rPr>
                <w:rFonts w:eastAsia="DengXian"/>
                <w:b/>
                <w:bCs/>
              </w:rPr>
            </w:pPr>
            <w:r>
              <w:rPr>
                <w:rFonts w:eastAsia="DengXian"/>
                <w:b/>
                <w:bCs/>
              </w:rPr>
              <w:t>1</w:t>
            </w:r>
          </w:p>
        </w:tc>
        <w:tc>
          <w:tcPr>
            <w:tcW w:w="853" w:type="dxa"/>
            <w:tcBorders>
              <w:top w:val="single" w:color="auto" w:sz="4" w:space="0"/>
              <w:left w:val="single" w:color="auto" w:sz="4" w:space="0"/>
              <w:bottom w:val="single" w:color="auto" w:sz="4" w:space="0"/>
              <w:right w:val="single" w:color="auto" w:sz="4" w:space="0"/>
            </w:tcBorders>
          </w:tcPr>
          <w:p w14:paraId="5AE3AA85">
            <w:pPr>
              <w:spacing w:line="360" w:lineRule="auto"/>
              <w:jc w:val="center"/>
              <w:rPr>
                <w:rFonts w:eastAsia="DengXian"/>
                <w:b/>
                <w:bCs/>
              </w:rPr>
            </w:pPr>
            <w:r>
              <w:rPr>
                <w:rFonts w:eastAsia="DengXian"/>
                <w:b/>
                <w:bCs/>
              </w:rPr>
              <w:t>D</w:t>
            </w:r>
          </w:p>
          <w:p w14:paraId="6B11922C">
            <w:pPr>
              <w:spacing w:line="360" w:lineRule="auto"/>
              <w:jc w:val="center"/>
              <w:rPr>
                <w:rFonts w:eastAsia="DengXian"/>
                <w:b/>
                <w:bCs/>
              </w:rPr>
            </w:pPr>
            <w:r>
              <w:rPr>
                <w:rFonts w:eastAsia="DengXian"/>
                <w:b/>
                <w:bCs/>
              </w:rPr>
              <w:t>2</w:t>
            </w:r>
          </w:p>
        </w:tc>
        <w:tc>
          <w:tcPr>
            <w:tcW w:w="1073" w:type="dxa"/>
            <w:tcBorders>
              <w:top w:val="single" w:color="auto" w:sz="4" w:space="0"/>
              <w:left w:val="single" w:color="auto" w:sz="4" w:space="0"/>
              <w:bottom w:val="single" w:color="auto" w:sz="4" w:space="0"/>
              <w:right w:val="single" w:color="auto" w:sz="4" w:space="0"/>
            </w:tcBorders>
          </w:tcPr>
          <w:p w14:paraId="1C21845E">
            <w:pPr>
              <w:spacing w:line="360" w:lineRule="auto"/>
              <w:jc w:val="center"/>
              <w:rPr>
                <w:rFonts w:eastAsia="DengXian"/>
                <w:b/>
                <w:bCs/>
              </w:rPr>
            </w:pPr>
            <w:r>
              <w:rPr>
                <w:rFonts w:eastAsia="DengXian"/>
                <w:b/>
                <w:bCs/>
              </w:rPr>
              <w:t>U</w:t>
            </w:r>
          </w:p>
          <w:p w14:paraId="4CDFD0A8">
            <w:pPr>
              <w:spacing w:line="360" w:lineRule="auto"/>
              <w:jc w:val="center"/>
              <w:rPr>
                <w:rFonts w:eastAsia="DengXian"/>
                <w:b/>
                <w:bCs/>
              </w:rPr>
            </w:pPr>
            <w:r>
              <w:rPr>
                <w:rFonts w:eastAsia="DengXian"/>
                <w:b/>
                <w:bCs/>
              </w:rPr>
              <w:t>3</w:t>
            </w:r>
          </w:p>
        </w:tc>
        <w:tc>
          <w:tcPr>
            <w:tcW w:w="984" w:type="dxa"/>
            <w:tcBorders>
              <w:top w:val="single" w:color="auto" w:sz="4" w:space="0"/>
              <w:left w:val="single" w:color="auto" w:sz="4" w:space="0"/>
              <w:bottom w:val="single" w:color="auto" w:sz="4" w:space="0"/>
              <w:right w:val="single" w:color="auto" w:sz="4" w:space="0"/>
            </w:tcBorders>
          </w:tcPr>
          <w:p w14:paraId="415493F3">
            <w:pPr>
              <w:spacing w:line="360" w:lineRule="auto"/>
              <w:jc w:val="center"/>
              <w:rPr>
                <w:rFonts w:eastAsia="DengXian"/>
                <w:b/>
                <w:bCs/>
              </w:rPr>
            </w:pPr>
            <w:r>
              <w:rPr>
                <w:rFonts w:eastAsia="DengXian"/>
                <w:b/>
                <w:bCs/>
              </w:rPr>
              <w:t>A</w:t>
            </w:r>
          </w:p>
          <w:p w14:paraId="64BC9FBA">
            <w:pPr>
              <w:spacing w:line="360" w:lineRule="auto"/>
              <w:jc w:val="center"/>
              <w:rPr>
                <w:rFonts w:eastAsia="DengXian"/>
                <w:b/>
                <w:bCs/>
              </w:rPr>
            </w:pPr>
            <w:r>
              <w:rPr>
                <w:rFonts w:eastAsia="DengXian"/>
                <w:b/>
                <w:bCs/>
              </w:rPr>
              <w:t>4</w:t>
            </w:r>
          </w:p>
        </w:tc>
        <w:tc>
          <w:tcPr>
            <w:tcW w:w="896" w:type="dxa"/>
            <w:tcBorders>
              <w:top w:val="single" w:color="auto" w:sz="4" w:space="0"/>
              <w:left w:val="single" w:color="auto" w:sz="4" w:space="0"/>
              <w:bottom w:val="single" w:color="auto" w:sz="4" w:space="0"/>
              <w:right w:val="single" w:color="auto" w:sz="4" w:space="0"/>
            </w:tcBorders>
          </w:tcPr>
          <w:p w14:paraId="3348833B">
            <w:pPr>
              <w:spacing w:line="360" w:lineRule="auto"/>
              <w:jc w:val="center"/>
              <w:rPr>
                <w:rFonts w:eastAsia="DengXian"/>
                <w:b/>
                <w:bCs/>
              </w:rPr>
            </w:pPr>
            <w:r>
              <w:rPr>
                <w:rFonts w:eastAsia="DengXian"/>
                <w:b/>
                <w:bCs/>
              </w:rPr>
              <w:t>SA</w:t>
            </w:r>
          </w:p>
          <w:p w14:paraId="7FDF2E0B">
            <w:pPr>
              <w:spacing w:line="360" w:lineRule="auto"/>
              <w:jc w:val="center"/>
              <w:rPr>
                <w:rFonts w:eastAsia="DengXian"/>
                <w:b/>
                <w:bCs/>
              </w:rPr>
            </w:pPr>
            <w:r>
              <w:rPr>
                <w:rFonts w:eastAsia="DengXian"/>
                <w:b/>
                <w:bCs/>
              </w:rPr>
              <w:t>5</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14:paraId="2FF6645E">
            <w:pPr>
              <w:spacing w:line="360" w:lineRule="auto"/>
              <w:rPr>
                <w:rFonts w:eastAsia="DengXian"/>
                <w:b/>
                <w:bCs/>
              </w:rPr>
            </w:pPr>
          </w:p>
        </w:tc>
      </w:tr>
      <w:tr w14:paraId="02CB2023">
        <w:tblPrEx>
          <w:tblCellMar>
            <w:top w:w="0" w:type="dxa"/>
            <w:left w:w="108" w:type="dxa"/>
            <w:bottom w:w="0" w:type="dxa"/>
            <w:right w:w="108" w:type="dxa"/>
          </w:tblCellMar>
        </w:tblPrEx>
        <w:trPr>
          <w:trHeight w:val="357" w:hRule="atLeast"/>
          <w:jc w:val="center"/>
        </w:trPr>
        <w:tc>
          <w:tcPr>
            <w:tcW w:w="562" w:type="dxa"/>
            <w:tcBorders>
              <w:top w:val="single" w:color="auto" w:sz="4" w:space="0"/>
              <w:left w:val="single" w:color="auto" w:sz="4" w:space="0"/>
              <w:bottom w:val="single" w:color="auto" w:sz="4" w:space="0"/>
              <w:right w:val="single" w:color="auto" w:sz="4" w:space="0"/>
            </w:tcBorders>
          </w:tcPr>
          <w:p w14:paraId="1D5CAE00">
            <w:pPr>
              <w:spacing w:line="360" w:lineRule="auto"/>
              <w:jc w:val="both"/>
              <w:rPr>
                <w:rFonts w:eastAsia="DengXian"/>
              </w:rPr>
            </w:pPr>
            <w:r>
              <w:rPr>
                <w:rFonts w:eastAsia="DengXian"/>
              </w:rPr>
              <w:t>1</w:t>
            </w:r>
          </w:p>
        </w:tc>
        <w:tc>
          <w:tcPr>
            <w:tcW w:w="3544" w:type="dxa"/>
            <w:tcBorders>
              <w:top w:val="single" w:color="auto" w:sz="4" w:space="0"/>
              <w:left w:val="single" w:color="auto" w:sz="4" w:space="0"/>
              <w:bottom w:val="single" w:color="auto" w:sz="4" w:space="0"/>
              <w:right w:val="single" w:color="auto" w:sz="4" w:space="0"/>
            </w:tcBorders>
          </w:tcPr>
          <w:p w14:paraId="078C06B4">
            <w:pPr>
              <w:autoSpaceDE w:val="0"/>
              <w:autoSpaceDN w:val="0"/>
              <w:adjustRightInd w:val="0"/>
              <w:spacing w:line="360" w:lineRule="auto"/>
              <w:jc w:val="both"/>
              <w:rPr>
                <w:rFonts w:eastAsia="TimesNewRomanPSMT"/>
              </w:rPr>
            </w:pPr>
            <w:r>
              <w:rPr>
                <w:rFonts w:eastAsia="DengXian"/>
              </w:rPr>
              <w:t xml:space="preserve">The </w:t>
            </w:r>
            <w:r>
              <w:rPr>
                <w:rFonts w:eastAsia="DengXian"/>
                <w:color w:val="000000"/>
              </w:rPr>
              <w:t>regular structured fiscal and tax policy review and tax law reform is a requirement for achieving clarity in tax law and certainty in the tax system.</w:t>
            </w:r>
          </w:p>
        </w:tc>
        <w:tc>
          <w:tcPr>
            <w:tcW w:w="851" w:type="dxa"/>
            <w:tcBorders>
              <w:top w:val="single" w:color="auto" w:sz="4" w:space="0"/>
              <w:left w:val="single" w:color="auto" w:sz="4" w:space="0"/>
              <w:bottom w:val="single" w:color="auto" w:sz="4" w:space="0"/>
              <w:right w:val="single" w:color="auto" w:sz="4" w:space="0"/>
            </w:tcBorders>
          </w:tcPr>
          <w:p w14:paraId="21E9CC8F">
            <w:pPr>
              <w:spacing w:line="360" w:lineRule="auto"/>
              <w:jc w:val="center"/>
              <w:rPr>
                <w:rFonts w:eastAsia="DengXian"/>
              </w:rPr>
            </w:pPr>
            <w:r>
              <w:rPr>
                <w:rFonts w:eastAsia="DengXian"/>
              </w:rPr>
              <w:t>0</w:t>
            </w:r>
          </w:p>
          <w:p w14:paraId="21594106">
            <w:pPr>
              <w:spacing w:line="360" w:lineRule="auto"/>
              <w:jc w:val="center"/>
              <w:rPr>
                <w:rFonts w:eastAsia="DengXian"/>
              </w:rPr>
            </w:pPr>
            <w:r>
              <w:rPr>
                <w:rFonts w:eastAsia="DengXian"/>
              </w:rPr>
              <w:t>0%</w:t>
            </w:r>
          </w:p>
        </w:tc>
        <w:tc>
          <w:tcPr>
            <w:tcW w:w="853" w:type="dxa"/>
            <w:tcBorders>
              <w:top w:val="single" w:color="auto" w:sz="4" w:space="0"/>
              <w:left w:val="single" w:color="auto" w:sz="4" w:space="0"/>
              <w:bottom w:val="single" w:color="auto" w:sz="4" w:space="0"/>
              <w:right w:val="single" w:color="auto" w:sz="4" w:space="0"/>
            </w:tcBorders>
          </w:tcPr>
          <w:p w14:paraId="78204A0F">
            <w:pPr>
              <w:spacing w:line="360" w:lineRule="auto"/>
              <w:jc w:val="center"/>
              <w:rPr>
                <w:rFonts w:eastAsia="DengXian"/>
              </w:rPr>
            </w:pPr>
            <w:r>
              <w:rPr>
                <w:rFonts w:eastAsia="DengXian"/>
              </w:rPr>
              <w:t>0</w:t>
            </w:r>
          </w:p>
          <w:p w14:paraId="09C61B36">
            <w:pPr>
              <w:spacing w:line="360" w:lineRule="auto"/>
              <w:jc w:val="center"/>
              <w:rPr>
                <w:rFonts w:eastAsia="DengXian"/>
              </w:rPr>
            </w:pPr>
            <w:r>
              <w:rPr>
                <w:rFonts w:eastAsia="DengXian"/>
              </w:rPr>
              <w:t>0%</w:t>
            </w:r>
          </w:p>
        </w:tc>
        <w:tc>
          <w:tcPr>
            <w:tcW w:w="1073" w:type="dxa"/>
            <w:tcBorders>
              <w:top w:val="single" w:color="auto" w:sz="4" w:space="0"/>
              <w:left w:val="single" w:color="auto" w:sz="4" w:space="0"/>
              <w:bottom w:val="single" w:color="auto" w:sz="4" w:space="0"/>
              <w:right w:val="single" w:color="auto" w:sz="4" w:space="0"/>
            </w:tcBorders>
          </w:tcPr>
          <w:p w14:paraId="100EA08A">
            <w:pPr>
              <w:spacing w:line="360" w:lineRule="auto"/>
              <w:jc w:val="center"/>
              <w:rPr>
                <w:rFonts w:eastAsia="DengXian"/>
              </w:rPr>
            </w:pPr>
            <w:r>
              <w:rPr>
                <w:rFonts w:eastAsia="DengXian"/>
              </w:rPr>
              <w:t>5</w:t>
            </w:r>
          </w:p>
          <w:p w14:paraId="1C319145">
            <w:pPr>
              <w:spacing w:line="360" w:lineRule="auto"/>
              <w:jc w:val="center"/>
              <w:rPr>
                <w:rFonts w:eastAsia="DengXian"/>
              </w:rPr>
            </w:pPr>
            <w:r>
              <w:rPr>
                <w:rFonts w:eastAsia="DengXian"/>
              </w:rPr>
              <w:t>6.6%</w:t>
            </w:r>
          </w:p>
        </w:tc>
        <w:tc>
          <w:tcPr>
            <w:tcW w:w="984" w:type="dxa"/>
            <w:tcBorders>
              <w:top w:val="single" w:color="auto" w:sz="4" w:space="0"/>
              <w:left w:val="single" w:color="auto" w:sz="4" w:space="0"/>
              <w:bottom w:val="single" w:color="auto" w:sz="4" w:space="0"/>
              <w:right w:val="single" w:color="auto" w:sz="4" w:space="0"/>
            </w:tcBorders>
          </w:tcPr>
          <w:p w14:paraId="349ED451">
            <w:pPr>
              <w:spacing w:line="360" w:lineRule="auto"/>
              <w:jc w:val="center"/>
              <w:rPr>
                <w:rFonts w:eastAsia="DengXian"/>
              </w:rPr>
            </w:pPr>
            <w:r>
              <w:rPr>
                <w:rFonts w:eastAsia="DengXian"/>
              </w:rPr>
              <w:t>22</w:t>
            </w:r>
          </w:p>
          <w:p w14:paraId="4C43EF82">
            <w:pPr>
              <w:spacing w:line="360" w:lineRule="auto"/>
              <w:jc w:val="center"/>
              <w:rPr>
                <w:rFonts w:eastAsia="DengXian"/>
              </w:rPr>
            </w:pPr>
            <w:r>
              <w:rPr>
                <w:rFonts w:eastAsia="DengXian"/>
              </w:rPr>
              <w:t>28.9%</w:t>
            </w:r>
          </w:p>
        </w:tc>
        <w:tc>
          <w:tcPr>
            <w:tcW w:w="896" w:type="dxa"/>
            <w:tcBorders>
              <w:top w:val="single" w:color="auto" w:sz="4" w:space="0"/>
              <w:left w:val="single" w:color="auto" w:sz="4" w:space="0"/>
              <w:bottom w:val="single" w:color="auto" w:sz="4" w:space="0"/>
              <w:right w:val="single" w:color="auto" w:sz="4" w:space="0"/>
            </w:tcBorders>
          </w:tcPr>
          <w:p w14:paraId="65481E06">
            <w:pPr>
              <w:spacing w:line="360" w:lineRule="auto"/>
              <w:jc w:val="center"/>
              <w:rPr>
                <w:rFonts w:eastAsia="DengXian"/>
              </w:rPr>
            </w:pPr>
            <w:r>
              <w:rPr>
                <w:rFonts w:eastAsia="DengXian"/>
              </w:rPr>
              <w:t>49</w:t>
            </w:r>
          </w:p>
          <w:p w14:paraId="1AB4B72E">
            <w:pPr>
              <w:spacing w:line="360" w:lineRule="auto"/>
              <w:jc w:val="center"/>
              <w:rPr>
                <w:rFonts w:eastAsia="DengXian"/>
              </w:rPr>
            </w:pPr>
            <w:r>
              <w:rPr>
                <w:rFonts w:eastAsia="DengXian"/>
              </w:rPr>
              <w:t>64.5%</w:t>
            </w:r>
          </w:p>
        </w:tc>
        <w:tc>
          <w:tcPr>
            <w:tcW w:w="1077" w:type="dxa"/>
            <w:tcBorders>
              <w:top w:val="single" w:color="auto" w:sz="4" w:space="0"/>
              <w:left w:val="single" w:color="auto" w:sz="4" w:space="0"/>
              <w:bottom w:val="single" w:color="auto" w:sz="4" w:space="0"/>
              <w:right w:val="single" w:color="auto" w:sz="4" w:space="0"/>
            </w:tcBorders>
          </w:tcPr>
          <w:p w14:paraId="21E421E0">
            <w:pPr>
              <w:spacing w:line="360" w:lineRule="auto"/>
              <w:jc w:val="center"/>
              <w:rPr>
                <w:rFonts w:eastAsia="DengXian"/>
              </w:rPr>
            </w:pPr>
            <w:r>
              <w:rPr>
                <w:rFonts w:eastAsia="DengXian"/>
              </w:rPr>
              <w:t>76</w:t>
            </w:r>
          </w:p>
          <w:p w14:paraId="47F450C3">
            <w:pPr>
              <w:spacing w:line="360" w:lineRule="auto"/>
              <w:jc w:val="center"/>
              <w:rPr>
                <w:rFonts w:eastAsia="DengXian"/>
              </w:rPr>
            </w:pPr>
            <w:r>
              <w:rPr>
                <w:rFonts w:eastAsia="DengXian"/>
              </w:rPr>
              <w:t>96.2%</w:t>
            </w:r>
          </w:p>
        </w:tc>
      </w:tr>
      <w:tr w14:paraId="53DBBBF7">
        <w:tblPrEx>
          <w:tblCellMar>
            <w:top w:w="0" w:type="dxa"/>
            <w:left w:w="108" w:type="dxa"/>
            <w:bottom w:w="0" w:type="dxa"/>
            <w:right w:w="108" w:type="dxa"/>
          </w:tblCellMar>
        </w:tblPrEx>
        <w:trPr>
          <w:trHeight w:val="357" w:hRule="atLeast"/>
          <w:jc w:val="center"/>
        </w:trPr>
        <w:tc>
          <w:tcPr>
            <w:tcW w:w="562" w:type="dxa"/>
            <w:tcBorders>
              <w:top w:val="single" w:color="auto" w:sz="4" w:space="0"/>
              <w:left w:val="single" w:color="auto" w:sz="4" w:space="0"/>
              <w:bottom w:val="single" w:color="auto" w:sz="4" w:space="0"/>
              <w:right w:val="single" w:color="auto" w:sz="4" w:space="0"/>
            </w:tcBorders>
          </w:tcPr>
          <w:p w14:paraId="459C8348">
            <w:pPr>
              <w:spacing w:line="360" w:lineRule="auto"/>
              <w:jc w:val="both"/>
              <w:rPr>
                <w:rFonts w:eastAsia="DengXian"/>
              </w:rPr>
            </w:pPr>
            <w:r>
              <w:rPr>
                <w:rFonts w:eastAsia="DengXian"/>
              </w:rPr>
              <w:t>2</w:t>
            </w:r>
          </w:p>
        </w:tc>
        <w:tc>
          <w:tcPr>
            <w:tcW w:w="3544" w:type="dxa"/>
            <w:tcBorders>
              <w:top w:val="single" w:color="auto" w:sz="4" w:space="0"/>
              <w:left w:val="single" w:color="auto" w:sz="4" w:space="0"/>
              <w:bottom w:val="single" w:color="auto" w:sz="4" w:space="0"/>
              <w:right w:val="single" w:color="auto" w:sz="4" w:space="0"/>
            </w:tcBorders>
          </w:tcPr>
          <w:p w14:paraId="20652D37">
            <w:pPr>
              <w:spacing w:line="360" w:lineRule="auto"/>
              <w:jc w:val="both"/>
              <w:rPr>
                <w:rFonts w:eastAsia="DengXian"/>
              </w:rPr>
            </w:pPr>
            <w:r>
              <w:rPr>
                <w:rFonts w:eastAsia="DengXian"/>
                <w:color w:val="000000"/>
              </w:rPr>
              <w:t>The timely fiscal and tax policy and tax law reform creates certainty in the tax system</w:t>
            </w:r>
          </w:p>
        </w:tc>
        <w:tc>
          <w:tcPr>
            <w:tcW w:w="851" w:type="dxa"/>
            <w:tcBorders>
              <w:top w:val="single" w:color="auto" w:sz="4" w:space="0"/>
              <w:left w:val="single" w:color="auto" w:sz="4" w:space="0"/>
              <w:bottom w:val="single" w:color="auto" w:sz="4" w:space="0"/>
              <w:right w:val="single" w:color="auto" w:sz="4" w:space="0"/>
            </w:tcBorders>
          </w:tcPr>
          <w:p w14:paraId="6484491B">
            <w:pPr>
              <w:spacing w:line="360" w:lineRule="auto"/>
              <w:jc w:val="center"/>
              <w:rPr>
                <w:rFonts w:eastAsia="DengXian"/>
              </w:rPr>
            </w:pPr>
            <w:r>
              <w:rPr>
                <w:rFonts w:eastAsia="DengXian"/>
              </w:rPr>
              <w:t>0</w:t>
            </w:r>
          </w:p>
          <w:p w14:paraId="41F57E81">
            <w:pPr>
              <w:spacing w:line="360" w:lineRule="auto"/>
              <w:jc w:val="center"/>
              <w:rPr>
                <w:rFonts w:eastAsia="DengXian"/>
              </w:rPr>
            </w:pPr>
            <w:r>
              <w:rPr>
                <w:rFonts w:eastAsia="DengXian"/>
              </w:rPr>
              <w:t>0%</w:t>
            </w:r>
          </w:p>
        </w:tc>
        <w:tc>
          <w:tcPr>
            <w:tcW w:w="853" w:type="dxa"/>
            <w:tcBorders>
              <w:top w:val="single" w:color="auto" w:sz="4" w:space="0"/>
              <w:left w:val="single" w:color="auto" w:sz="4" w:space="0"/>
              <w:bottom w:val="single" w:color="auto" w:sz="4" w:space="0"/>
              <w:right w:val="single" w:color="auto" w:sz="4" w:space="0"/>
            </w:tcBorders>
          </w:tcPr>
          <w:p w14:paraId="0202F1B6">
            <w:pPr>
              <w:spacing w:line="360" w:lineRule="auto"/>
              <w:jc w:val="center"/>
              <w:rPr>
                <w:rFonts w:eastAsia="DengXian"/>
              </w:rPr>
            </w:pPr>
            <w:r>
              <w:rPr>
                <w:rFonts w:eastAsia="DengXian"/>
              </w:rPr>
              <w:t>1</w:t>
            </w:r>
          </w:p>
          <w:p w14:paraId="45FF743C">
            <w:pPr>
              <w:spacing w:line="360" w:lineRule="auto"/>
              <w:jc w:val="center"/>
              <w:rPr>
                <w:rFonts w:eastAsia="DengXian"/>
              </w:rPr>
            </w:pPr>
            <w:r>
              <w:rPr>
                <w:rFonts w:eastAsia="DengXian"/>
              </w:rPr>
              <w:t>1.3%</w:t>
            </w:r>
          </w:p>
        </w:tc>
        <w:tc>
          <w:tcPr>
            <w:tcW w:w="1073" w:type="dxa"/>
            <w:tcBorders>
              <w:top w:val="single" w:color="auto" w:sz="4" w:space="0"/>
              <w:left w:val="single" w:color="auto" w:sz="4" w:space="0"/>
              <w:bottom w:val="single" w:color="auto" w:sz="4" w:space="0"/>
              <w:right w:val="single" w:color="auto" w:sz="4" w:space="0"/>
            </w:tcBorders>
          </w:tcPr>
          <w:p w14:paraId="741B0693">
            <w:pPr>
              <w:spacing w:line="360" w:lineRule="auto"/>
              <w:jc w:val="center"/>
              <w:rPr>
                <w:rFonts w:eastAsia="DengXian"/>
              </w:rPr>
            </w:pPr>
            <w:r>
              <w:rPr>
                <w:rFonts w:eastAsia="DengXian"/>
              </w:rPr>
              <w:t>11</w:t>
            </w:r>
          </w:p>
          <w:p w14:paraId="4BD83202">
            <w:pPr>
              <w:spacing w:line="360" w:lineRule="auto"/>
              <w:jc w:val="center"/>
              <w:rPr>
                <w:rFonts w:eastAsia="DengXian"/>
              </w:rPr>
            </w:pPr>
            <w:r>
              <w:rPr>
                <w:rFonts w:eastAsia="DengXian"/>
              </w:rPr>
              <w:t>14.5%</w:t>
            </w:r>
          </w:p>
        </w:tc>
        <w:tc>
          <w:tcPr>
            <w:tcW w:w="984" w:type="dxa"/>
            <w:tcBorders>
              <w:top w:val="single" w:color="auto" w:sz="4" w:space="0"/>
              <w:left w:val="single" w:color="auto" w:sz="4" w:space="0"/>
              <w:bottom w:val="single" w:color="auto" w:sz="4" w:space="0"/>
              <w:right w:val="single" w:color="auto" w:sz="4" w:space="0"/>
            </w:tcBorders>
          </w:tcPr>
          <w:p w14:paraId="40035343">
            <w:pPr>
              <w:spacing w:line="360" w:lineRule="auto"/>
              <w:jc w:val="center"/>
              <w:rPr>
                <w:rFonts w:eastAsia="DengXian"/>
              </w:rPr>
            </w:pPr>
            <w:r>
              <w:rPr>
                <w:rFonts w:eastAsia="DengXian"/>
              </w:rPr>
              <w:t>17</w:t>
            </w:r>
          </w:p>
          <w:p w14:paraId="5A9E17B1">
            <w:pPr>
              <w:spacing w:line="360" w:lineRule="auto"/>
              <w:jc w:val="center"/>
              <w:rPr>
                <w:rFonts w:eastAsia="DengXian"/>
              </w:rPr>
            </w:pPr>
            <w:r>
              <w:rPr>
                <w:rFonts w:eastAsia="DengXian"/>
              </w:rPr>
              <w:t>22.4%</w:t>
            </w:r>
          </w:p>
        </w:tc>
        <w:tc>
          <w:tcPr>
            <w:tcW w:w="896" w:type="dxa"/>
            <w:tcBorders>
              <w:top w:val="single" w:color="auto" w:sz="4" w:space="0"/>
              <w:left w:val="single" w:color="auto" w:sz="4" w:space="0"/>
              <w:bottom w:val="single" w:color="auto" w:sz="4" w:space="0"/>
              <w:right w:val="single" w:color="auto" w:sz="4" w:space="0"/>
            </w:tcBorders>
          </w:tcPr>
          <w:p w14:paraId="7DFFBFC8">
            <w:pPr>
              <w:spacing w:line="360" w:lineRule="auto"/>
              <w:jc w:val="center"/>
              <w:rPr>
                <w:rFonts w:eastAsia="DengXian"/>
              </w:rPr>
            </w:pPr>
            <w:r>
              <w:rPr>
                <w:rFonts w:eastAsia="DengXian"/>
              </w:rPr>
              <w:t>47</w:t>
            </w:r>
          </w:p>
          <w:p w14:paraId="576D5DBB">
            <w:pPr>
              <w:spacing w:line="360" w:lineRule="auto"/>
              <w:jc w:val="center"/>
              <w:rPr>
                <w:rFonts w:eastAsia="DengXian"/>
              </w:rPr>
            </w:pPr>
            <w:r>
              <w:rPr>
                <w:rFonts w:eastAsia="DengXian"/>
              </w:rPr>
              <w:t>61.8%</w:t>
            </w:r>
          </w:p>
        </w:tc>
        <w:tc>
          <w:tcPr>
            <w:tcW w:w="1077" w:type="dxa"/>
            <w:tcBorders>
              <w:top w:val="single" w:color="auto" w:sz="4" w:space="0"/>
              <w:left w:val="single" w:color="auto" w:sz="4" w:space="0"/>
              <w:bottom w:val="single" w:color="auto" w:sz="4" w:space="0"/>
              <w:right w:val="single" w:color="auto" w:sz="4" w:space="0"/>
            </w:tcBorders>
          </w:tcPr>
          <w:p w14:paraId="19B1B55D">
            <w:pPr>
              <w:spacing w:line="360" w:lineRule="auto"/>
              <w:jc w:val="center"/>
              <w:rPr>
                <w:rFonts w:eastAsia="DengXian"/>
              </w:rPr>
            </w:pPr>
            <w:r>
              <w:rPr>
                <w:rFonts w:eastAsia="DengXian"/>
              </w:rPr>
              <w:t>76</w:t>
            </w:r>
          </w:p>
          <w:p w14:paraId="51876FE0">
            <w:pPr>
              <w:spacing w:line="360" w:lineRule="auto"/>
              <w:jc w:val="center"/>
              <w:rPr>
                <w:rFonts w:eastAsia="DengXian"/>
              </w:rPr>
            </w:pPr>
            <w:r>
              <w:rPr>
                <w:rFonts w:eastAsia="DengXian"/>
              </w:rPr>
              <w:t>96.2%</w:t>
            </w:r>
          </w:p>
        </w:tc>
      </w:tr>
      <w:tr w14:paraId="18C17089">
        <w:tblPrEx>
          <w:tblCellMar>
            <w:top w:w="0" w:type="dxa"/>
            <w:left w:w="108" w:type="dxa"/>
            <w:bottom w:w="0" w:type="dxa"/>
            <w:right w:w="108" w:type="dxa"/>
          </w:tblCellMar>
        </w:tblPrEx>
        <w:trPr>
          <w:trHeight w:val="357" w:hRule="atLeast"/>
          <w:jc w:val="center"/>
        </w:trPr>
        <w:tc>
          <w:tcPr>
            <w:tcW w:w="562" w:type="dxa"/>
            <w:tcBorders>
              <w:top w:val="single" w:color="auto" w:sz="4" w:space="0"/>
              <w:left w:val="single" w:color="auto" w:sz="4" w:space="0"/>
              <w:bottom w:val="single" w:color="auto" w:sz="4" w:space="0"/>
              <w:right w:val="single" w:color="auto" w:sz="4" w:space="0"/>
            </w:tcBorders>
          </w:tcPr>
          <w:p w14:paraId="2FC6D989">
            <w:pPr>
              <w:spacing w:line="360" w:lineRule="auto"/>
              <w:jc w:val="both"/>
              <w:rPr>
                <w:rFonts w:eastAsia="DengXian"/>
              </w:rPr>
            </w:pPr>
            <w:r>
              <w:rPr>
                <w:rFonts w:eastAsia="DengXian"/>
              </w:rPr>
              <w:t>3</w:t>
            </w:r>
          </w:p>
        </w:tc>
        <w:tc>
          <w:tcPr>
            <w:tcW w:w="3544" w:type="dxa"/>
            <w:tcBorders>
              <w:top w:val="single" w:color="auto" w:sz="4" w:space="0"/>
              <w:left w:val="single" w:color="auto" w:sz="4" w:space="0"/>
              <w:bottom w:val="single" w:color="auto" w:sz="4" w:space="0"/>
              <w:right w:val="single" w:color="auto" w:sz="4" w:space="0"/>
            </w:tcBorders>
          </w:tcPr>
          <w:p w14:paraId="7A941856">
            <w:pPr>
              <w:spacing w:line="360" w:lineRule="auto"/>
              <w:jc w:val="both"/>
              <w:rPr>
                <w:rFonts w:eastAsia="DengXian"/>
              </w:rPr>
            </w:pPr>
            <w:r>
              <w:rPr>
                <w:rFonts w:eastAsia="DengXian"/>
              </w:rPr>
              <w:t>The proposed two-tier income tax system, of hydrocarbon tax (HT) and the company income tax (CIT) under the Petroleum Industry Act (PIA) will reduce the effective tax rate (ETR) for upstream petroleum taxation.</w:t>
            </w:r>
          </w:p>
        </w:tc>
        <w:tc>
          <w:tcPr>
            <w:tcW w:w="851" w:type="dxa"/>
            <w:tcBorders>
              <w:top w:val="single" w:color="auto" w:sz="4" w:space="0"/>
              <w:left w:val="single" w:color="auto" w:sz="4" w:space="0"/>
              <w:bottom w:val="single" w:color="auto" w:sz="4" w:space="0"/>
              <w:right w:val="single" w:color="auto" w:sz="4" w:space="0"/>
            </w:tcBorders>
          </w:tcPr>
          <w:p w14:paraId="1E768498">
            <w:pPr>
              <w:spacing w:line="360" w:lineRule="auto"/>
              <w:jc w:val="center"/>
              <w:rPr>
                <w:rFonts w:eastAsia="DengXian"/>
              </w:rPr>
            </w:pPr>
            <w:r>
              <w:rPr>
                <w:rFonts w:eastAsia="DengXian"/>
              </w:rPr>
              <w:t>0</w:t>
            </w:r>
          </w:p>
          <w:p w14:paraId="43C97DAE">
            <w:pPr>
              <w:spacing w:line="360" w:lineRule="auto"/>
              <w:jc w:val="center"/>
              <w:rPr>
                <w:rFonts w:eastAsia="DengXian"/>
              </w:rPr>
            </w:pPr>
            <w:r>
              <w:rPr>
                <w:rFonts w:eastAsia="DengXian"/>
              </w:rPr>
              <w:t>0%</w:t>
            </w:r>
          </w:p>
        </w:tc>
        <w:tc>
          <w:tcPr>
            <w:tcW w:w="853" w:type="dxa"/>
            <w:tcBorders>
              <w:top w:val="single" w:color="auto" w:sz="4" w:space="0"/>
              <w:left w:val="single" w:color="auto" w:sz="4" w:space="0"/>
              <w:bottom w:val="single" w:color="auto" w:sz="4" w:space="0"/>
              <w:right w:val="single" w:color="auto" w:sz="4" w:space="0"/>
            </w:tcBorders>
          </w:tcPr>
          <w:p w14:paraId="23E75A79">
            <w:pPr>
              <w:spacing w:line="360" w:lineRule="auto"/>
              <w:jc w:val="center"/>
              <w:rPr>
                <w:rFonts w:eastAsia="DengXian"/>
              </w:rPr>
            </w:pPr>
            <w:r>
              <w:rPr>
                <w:rFonts w:eastAsia="DengXian"/>
              </w:rPr>
              <w:t>4</w:t>
            </w:r>
          </w:p>
          <w:p w14:paraId="7D869AC3">
            <w:pPr>
              <w:spacing w:line="360" w:lineRule="auto"/>
              <w:jc w:val="center"/>
              <w:rPr>
                <w:rFonts w:eastAsia="DengXian"/>
              </w:rPr>
            </w:pPr>
            <w:r>
              <w:rPr>
                <w:rFonts w:eastAsia="DengXian"/>
              </w:rPr>
              <w:t>5.3%</w:t>
            </w:r>
          </w:p>
        </w:tc>
        <w:tc>
          <w:tcPr>
            <w:tcW w:w="1073" w:type="dxa"/>
            <w:tcBorders>
              <w:top w:val="single" w:color="auto" w:sz="4" w:space="0"/>
              <w:left w:val="single" w:color="auto" w:sz="4" w:space="0"/>
              <w:bottom w:val="single" w:color="auto" w:sz="4" w:space="0"/>
              <w:right w:val="single" w:color="auto" w:sz="4" w:space="0"/>
            </w:tcBorders>
          </w:tcPr>
          <w:p w14:paraId="2FEC1DA2">
            <w:pPr>
              <w:spacing w:line="360" w:lineRule="auto"/>
              <w:jc w:val="center"/>
              <w:rPr>
                <w:rFonts w:eastAsia="DengXian"/>
              </w:rPr>
            </w:pPr>
            <w:r>
              <w:rPr>
                <w:rFonts w:eastAsia="DengXian"/>
              </w:rPr>
              <w:t>10</w:t>
            </w:r>
          </w:p>
          <w:p w14:paraId="10398DD2">
            <w:pPr>
              <w:spacing w:line="360" w:lineRule="auto"/>
              <w:jc w:val="center"/>
              <w:rPr>
                <w:rFonts w:eastAsia="DengXian"/>
              </w:rPr>
            </w:pPr>
            <w:r>
              <w:rPr>
                <w:rFonts w:eastAsia="DengXian"/>
              </w:rPr>
              <w:t>13.3%</w:t>
            </w:r>
          </w:p>
        </w:tc>
        <w:tc>
          <w:tcPr>
            <w:tcW w:w="984" w:type="dxa"/>
            <w:tcBorders>
              <w:top w:val="single" w:color="auto" w:sz="4" w:space="0"/>
              <w:left w:val="single" w:color="auto" w:sz="4" w:space="0"/>
              <w:bottom w:val="single" w:color="auto" w:sz="4" w:space="0"/>
              <w:right w:val="single" w:color="auto" w:sz="4" w:space="0"/>
            </w:tcBorders>
          </w:tcPr>
          <w:p w14:paraId="0B026D16">
            <w:pPr>
              <w:spacing w:line="360" w:lineRule="auto"/>
              <w:jc w:val="center"/>
              <w:rPr>
                <w:rFonts w:eastAsia="DengXian"/>
              </w:rPr>
            </w:pPr>
            <w:r>
              <w:rPr>
                <w:rFonts w:eastAsia="DengXian"/>
              </w:rPr>
              <w:t>39</w:t>
            </w:r>
          </w:p>
          <w:p w14:paraId="771F9684">
            <w:pPr>
              <w:spacing w:line="360" w:lineRule="auto"/>
              <w:jc w:val="center"/>
              <w:rPr>
                <w:rFonts w:eastAsia="DengXian"/>
              </w:rPr>
            </w:pPr>
            <w:r>
              <w:rPr>
                <w:rFonts w:eastAsia="DengXian"/>
              </w:rPr>
              <w:t>52%</w:t>
            </w:r>
          </w:p>
        </w:tc>
        <w:tc>
          <w:tcPr>
            <w:tcW w:w="896" w:type="dxa"/>
            <w:tcBorders>
              <w:top w:val="single" w:color="auto" w:sz="4" w:space="0"/>
              <w:left w:val="single" w:color="auto" w:sz="4" w:space="0"/>
              <w:bottom w:val="single" w:color="auto" w:sz="4" w:space="0"/>
              <w:right w:val="single" w:color="auto" w:sz="4" w:space="0"/>
            </w:tcBorders>
          </w:tcPr>
          <w:p w14:paraId="11DE48A2">
            <w:pPr>
              <w:spacing w:line="360" w:lineRule="auto"/>
              <w:jc w:val="center"/>
              <w:rPr>
                <w:rFonts w:eastAsia="DengXian"/>
              </w:rPr>
            </w:pPr>
            <w:r>
              <w:rPr>
                <w:rFonts w:eastAsia="DengXian"/>
              </w:rPr>
              <w:t>22</w:t>
            </w:r>
          </w:p>
          <w:p w14:paraId="179519F0">
            <w:pPr>
              <w:spacing w:line="360" w:lineRule="auto"/>
              <w:jc w:val="center"/>
              <w:rPr>
                <w:rFonts w:eastAsia="DengXian"/>
              </w:rPr>
            </w:pPr>
            <w:r>
              <w:rPr>
                <w:rFonts w:eastAsia="DengXian"/>
              </w:rPr>
              <w:t>29.3%</w:t>
            </w:r>
          </w:p>
        </w:tc>
        <w:tc>
          <w:tcPr>
            <w:tcW w:w="1077" w:type="dxa"/>
            <w:tcBorders>
              <w:top w:val="single" w:color="auto" w:sz="4" w:space="0"/>
              <w:left w:val="single" w:color="auto" w:sz="4" w:space="0"/>
              <w:bottom w:val="single" w:color="auto" w:sz="4" w:space="0"/>
              <w:right w:val="single" w:color="auto" w:sz="4" w:space="0"/>
            </w:tcBorders>
          </w:tcPr>
          <w:p w14:paraId="4E10D0AC">
            <w:pPr>
              <w:spacing w:line="360" w:lineRule="auto"/>
              <w:jc w:val="center"/>
              <w:rPr>
                <w:rFonts w:eastAsia="DengXian"/>
              </w:rPr>
            </w:pPr>
            <w:r>
              <w:rPr>
                <w:rFonts w:eastAsia="DengXian"/>
              </w:rPr>
              <w:t>75</w:t>
            </w:r>
          </w:p>
          <w:p w14:paraId="76223112">
            <w:pPr>
              <w:spacing w:line="360" w:lineRule="auto"/>
              <w:jc w:val="center"/>
              <w:rPr>
                <w:rFonts w:eastAsia="DengXian"/>
              </w:rPr>
            </w:pPr>
            <w:r>
              <w:rPr>
                <w:rFonts w:eastAsia="DengXian"/>
              </w:rPr>
              <w:t>94.9%</w:t>
            </w:r>
          </w:p>
        </w:tc>
      </w:tr>
    </w:tbl>
    <w:p w14:paraId="5006E7F3">
      <w:pPr>
        <w:spacing w:line="360" w:lineRule="auto"/>
        <w:jc w:val="both"/>
        <w:rPr>
          <w:rFonts w:eastAsia="DengXian"/>
          <w:i/>
          <w:iCs/>
        </w:rPr>
      </w:pPr>
    </w:p>
    <w:p w14:paraId="33FD2740">
      <w:pPr>
        <w:spacing w:line="480" w:lineRule="auto"/>
        <w:jc w:val="both"/>
        <w:rPr>
          <w:rFonts w:eastAsia="Times New Roman"/>
          <w:color w:val="0E101A"/>
        </w:rPr>
      </w:pPr>
      <w:r>
        <w:rPr>
          <w:rFonts w:eastAsia="Times New Roman"/>
          <w:color w:val="0E101A"/>
        </w:rPr>
        <w:t xml:space="preserve">From table 6.3.5, which deals with </w:t>
      </w:r>
      <w:r>
        <w:rPr>
          <w:rFonts w:eastAsia="DengXian"/>
          <w:iCs/>
          <w:color w:val="000000"/>
        </w:rPr>
        <w:t>fiscal and tax law reform</w:t>
      </w:r>
      <w:r>
        <w:rPr>
          <w:rFonts w:eastAsia="Times New Roman"/>
          <w:color w:val="0E101A"/>
        </w:rPr>
        <w:t>; respondents strongly agreed that a</w:t>
      </w:r>
      <w:r>
        <w:rPr>
          <w:rFonts w:eastAsia="DengXian"/>
          <w:color w:val="000000"/>
        </w:rPr>
        <w:t xml:space="preserve"> structured and timely fiscal and tax policy review program, and tax law reform and amendment are required to achieve clarity, predictability, and consistent understanding of upstream petroleum tax legislation. The delay in fiscal and tax law review and reform is therefore a major contributor to the uncertainty, and lack of competitiveness of upstream petroleum taxation in Nigeria. </w:t>
      </w:r>
    </w:p>
    <w:p w14:paraId="11D79127">
      <w:pPr>
        <w:spacing w:line="480" w:lineRule="auto"/>
        <w:jc w:val="both"/>
        <w:rPr>
          <w:rFonts w:eastAsia="Times New Roman"/>
          <w:color w:val="0E101A"/>
        </w:rPr>
      </w:pPr>
    </w:p>
    <w:p w14:paraId="15E842E9">
      <w:pPr>
        <w:spacing w:after="200" w:line="480" w:lineRule="auto"/>
        <w:jc w:val="both"/>
        <w:rPr>
          <w:rFonts w:eastAsia="DengXian"/>
          <w:b/>
          <w:lang w:val="en-GB"/>
        </w:rPr>
      </w:pPr>
      <w:r>
        <w:rPr>
          <w:rFonts w:eastAsia="DengXian"/>
          <w:b/>
          <w:lang w:val="en-GB"/>
        </w:rPr>
        <w:t>SUMMARY OF FINDINGS FROM THE SURVEY:</w:t>
      </w:r>
    </w:p>
    <w:p w14:paraId="0A5BB1E6">
      <w:pPr>
        <w:spacing w:after="200" w:line="480" w:lineRule="auto"/>
        <w:jc w:val="both"/>
        <w:rPr>
          <w:rFonts w:eastAsia="DengXian"/>
          <w:bCs/>
        </w:rPr>
      </w:pPr>
      <w:r>
        <w:rPr>
          <w:rFonts w:eastAsia="DengXian"/>
          <w:bCs/>
        </w:rPr>
        <w:t xml:space="preserve">The survey and our analysis of the responses to the questionnaire, and the views expressed by some respondents, especially the subject matter experts, indicate that, despite the absence of solid empirical evidence which may make it difficult to measure tax uncertainty, the following key findings and conclusions may be drawn from the survey: </w:t>
      </w:r>
    </w:p>
    <w:p w14:paraId="7AC48271">
      <w:pPr>
        <w:numPr>
          <w:ilvl w:val="0"/>
          <w:numId w:val="29"/>
        </w:numPr>
        <w:spacing w:after="200" w:line="480" w:lineRule="auto"/>
        <w:contextualSpacing/>
        <w:jc w:val="both"/>
        <w:rPr>
          <w:rFonts w:eastAsia="DengXian"/>
          <w:bCs/>
        </w:rPr>
      </w:pPr>
      <w:r>
        <w:rPr>
          <w:rFonts w:eastAsia="DengXian"/>
          <w:bCs/>
        </w:rPr>
        <w:t xml:space="preserve">A clear, progressive, and properly defined fiscal and principle-driven tax policy objective is critical to articulating and making clear tax laws and regulations, as well as the design and formulation of a competitive and neutral tax system for a complex industry such as the petroleum industry, with its fair share of uncertain variables. </w:t>
      </w:r>
    </w:p>
    <w:p w14:paraId="5FCD2A9A">
      <w:pPr>
        <w:numPr>
          <w:ilvl w:val="0"/>
          <w:numId w:val="29"/>
        </w:numPr>
        <w:spacing w:after="200" w:line="480" w:lineRule="auto"/>
        <w:contextualSpacing/>
        <w:jc w:val="both"/>
        <w:rPr>
          <w:rFonts w:eastAsia="DengXian"/>
          <w:bCs/>
        </w:rPr>
      </w:pPr>
      <w:r>
        <w:rPr>
          <w:rFonts w:eastAsia="DengXian"/>
          <w:bCs/>
        </w:rPr>
        <w:t xml:space="preserve">Mutual trust and understanding between the government, the industry operators and other stakeholders can be achieved through open, transparent, and structured engagement. This will facilitate the design, formulation and implementation of tax legislative terms and create an environment for effective compliance. This mutual trust will enhance the articulation of better objectives and a clearer vision of its economic and fiscal goals. </w:t>
      </w:r>
    </w:p>
    <w:p w14:paraId="5CE83208">
      <w:pPr>
        <w:numPr>
          <w:ilvl w:val="0"/>
          <w:numId w:val="29"/>
        </w:numPr>
        <w:spacing w:after="200" w:line="480" w:lineRule="auto"/>
        <w:contextualSpacing/>
        <w:jc w:val="both"/>
        <w:rPr>
          <w:rFonts w:eastAsia="DengXian"/>
          <w:bCs/>
        </w:rPr>
      </w:pPr>
      <w:r>
        <w:rPr>
          <w:rFonts w:eastAsia="DengXian"/>
          <w:bCs/>
        </w:rPr>
        <w:t xml:space="preserve">The age and the language of the legislation and regulations, and the centralized constitutional and fiscal federalism pitches the commanding control of the Nigerian FG against the federating units, and evidently contributes to creating distortions in the tax system and the incidence of multiple taxes and levies in the petroleum tax system. </w:t>
      </w:r>
    </w:p>
    <w:p w14:paraId="52D43FD0">
      <w:pPr>
        <w:numPr>
          <w:ilvl w:val="0"/>
          <w:numId w:val="29"/>
        </w:numPr>
        <w:spacing w:after="200" w:line="480" w:lineRule="auto"/>
        <w:contextualSpacing/>
        <w:jc w:val="both"/>
        <w:rPr>
          <w:rFonts w:eastAsia="DengXian"/>
          <w:bCs/>
        </w:rPr>
      </w:pPr>
      <w:r>
        <w:rPr>
          <w:rFonts w:eastAsia="DengXian"/>
          <w:bCs/>
        </w:rPr>
        <w:t xml:space="preserve">The delay in the review and the lack of a comprehensive reform agenda, and the piecemeal amendments of the fiscal regimes and the interaction between the various income and transaction taxes in the Nigerian upstream petroleum industry contribute to creating the distortions in the upstream petroleum tax system. </w:t>
      </w:r>
    </w:p>
    <w:p w14:paraId="33A0DF69">
      <w:pPr>
        <w:numPr>
          <w:ilvl w:val="0"/>
          <w:numId w:val="29"/>
        </w:numPr>
        <w:spacing w:after="200" w:line="480" w:lineRule="auto"/>
        <w:contextualSpacing/>
        <w:jc w:val="both"/>
        <w:rPr>
          <w:rFonts w:eastAsia="DengXian"/>
          <w:bCs/>
        </w:rPr>
      </w:pPr>
      <w:r>
        <w:rPr>
          <w:rFonts w:eastAsia="DengXian"/>
          <w:bCs/>
        </w:rPr>
        <w:t xml:space="preserve">Research and professional expertise as well as sustained fiscal and tax policy direction are required for formulating clear objectives and the drafting of legislation. To remain competitive, an open-book, rule-based engagement is important. </w:t>
      </w:r>
    </w:p>
    <w:p w14:paraId="3DA7989C">
      <w:pPr>
        <w:numPr>
          <w:ilvl w:val="0"/>
          <w:numId w:val="29"/>
        </w:numPr>
        <w:spacing w:after="200" w:line="480" w:lineRule="auto"/>
        <w:contextualSpacing/>
        <w:jc w:val="both"/>
        <w:rPr>
          <w:rFonts w:eastAsia="DengXian"/>
          <w:bCs/>
        </w:rPr>
      </w:pPr>
      <w:r>
        <w:rPr>
          <w:rFonts w:eastAsia="DengXian"/>
          <w:bCs/>
        </w:rPr>
        <w:t xml:space="preserve">The interaction of different fiscal and tax regimes with different concepts and inadequately defined terms creates a complex or confusing eco-system for effective taxation. This invariably results in contentious issues and multiple interpretations of tax legislation, which may be perfectly legitimate. </w:t>
      </w:r>
    </w:p>
    <w:p w14:paraId="61966DDD">
      <w:pPr>
        <w:numPr>
          <w:ilvl w:val="0"/>
          <w:numId w:val="29"/>
        </w:numPr>
        <w:spacing w:after="200" w:line="480" w:lineRule="auto"/>
        <w:contextualSpacing/>
        <w:jc w:val="both"/>
        <w:rPr>
          <w:rFonts w:eastAsia="DengXian"/>
          <w:bCs/>
        </w:rPr>
      </w:pPr>
      <w:r>
        <w:rPr>
          <w:rFonts w:eastAsia="DengXian"/>
          <w:bCs/>
        </w:rPr>
        <w:t>The treatment of tax issues by the tax authority in a simple and predictable manner, as well as the real or perceived inconsistency in judicial decisions, are major sources of uncertainty in tax legislative interpretation, implementation, and compliance. For effective tax administration, there is a need for clear and timely issuance of binding rulings and technical interpretations based on clear tax provisions which impose charging obligations.</w:t>
      </w:r>
    </w:p>
    <w:p w14:paraId="6301A547">
      <w:pPr>
        <w:spacing w:after="200" w:line="480" w:lineRule="auto"/>
        <w:jc w:val="both"/>
        <w:rPr>
          <w:rFonts w:eastAsia="DengXian"/>
          <w:bCs/>
        </w:rPr>
      </w:pPr>
    </w:p>
    <w:p w14:paraId="512E8782">
      <w:pPr>
        <w:spacing w:after="200" w:line="480" w:lineRule="auto"/>
        <w:jc w:val="both"/>
        <w:rPr>
          <w:rFonts w:eastAsia="DengXian"/>
          <w:bCs/>
          <w:lang w:val="en-GB"/>
        </w:rPr>
      </w:pPr>
      <w:r>
        <w:rPr>
          <w:rFonts w:eastAsia="DengXian"/>
          <w:bCs/>
        </w:rPr>
        <w:t>In conclusion, t</w:t>
      </w:r>
      <w:r>
        <w:rPr>
          <w:rFonts w:eastAsia="DengXian"/>
          <w:bCs/>
          <w:lang w:val="en-GB"/>
        </w:rPr>
        <w:t xml:space="preserve">he survey establishes the linkages between fiscal uncertainty, tax legislative certainty, and regular stakeholder engagement. Advance draft policy and draft legislation should be circulated for interaction by relevant stakeholder, as this enhances understanding, and the clarity of tax terms and the language used in tax legislation. It also reinforces the need for responsive fiscal policy </w:t>
      </w:r>
      <w:r>
        <w:rPr>
          <w:rFonts w:eastAsia="DengXian"/>
          <w:bCs/>
        </w:rPr>
        <w:t xml:space="preserve">and tax law reform. </w:t>
      </w:r>
    </w:p>
    <w:p w14:paraId="01116397">
      <w:pPr>
        <w:spacing w:after="200" w:line="480" w:lineRule="auto"/>
        <w:jc w:val="both"/>
        <w:rPr>
          <w:rFonts w:eastAsia="DengXian"/>
          <w:bCs/>
        </w:rPr>
      </w:pPr>
      <w:r>
        <w:rPr>
          <w:rFonts w:eastAsia="DengXian"/>
          <w:bCs/>
        </w:rPr>
        <w:t xml:space="preserve">The substance and nature of policy must be properly articulated, and the legislation and regulations competently drafted to reflect the substance of clear fiscal and tax policy objectives. The policy objectives should be to achieve a fair share of returns on the assets and investments, as this impact acceptance, understanding, trust and compliance levels. </w:t>
      </w:r>
    </w:p>
    <w:p w14:paraId="132657C6">
      <w:pPr>
        <w:spacing w:after="200" w:line="480" w:lineRule="auto"/>
        <w:jc w:val="both"/>
        <w:rPr>
          <w:rFonts w:eastAsia="DengXian"/>
          <w:bCs/>
          <w:lang w:val="en-GB"/>
        </w:rPr>
      </w:pPr>
      <w:r>
        <w:rPr>
          <w:rFonts w:eastAsia="DengXian"/>
          <w:bCs/>
          <w:lang w:val="en-GB"/>
        </w:rPr>
        <w:t>In the following chapters 7 &amp; 8 of the thesis, we examine how these factors and issues are addressed in our two comparator jurisdictions of the United Kingdom and Canada respectively, and any learnings for the Nigeria upstream petroleum industry tax system.</w:t>
      </w:r>
    </w:p>
    <w:p w14:paraId="4101F816">
      <w:pPr>
        <w:spacing w:after="200" w:line="480" w:lineRule="auto"/>
        <w:jc w:val="both"/>
        <w:rPr>
          <w:rFonts w:eastAsia="DengXian"/>
          <w:bCs/>
          <w:lang w:val="en-GB"/>
        </w:rPr>
      </w:pPr>
    </w:p>
    <w:p w14:paraId="039728F8">
      <w:pPr>
        <w:spacing w:after="160" w:line="480" w:lineRule="auto"/>
        <w:jc w:val="both"/>
        <w:rPr>
          <w:b/>
          <w:lang w:val="en-GB"/>
        </w:rPr>
      </w:pPr>
    </w:p>
    <w:p w14:paraId="590B5A1B">
      <w:pPr>
        <w:spacing w:after="200" w:line="480" w:lineRule="auto"/>
        <w:jc w:val="center"/>
        <w:rPr>
          <w:rFonts w:eastAsia="Times New Roman"/>
          <w:b/>
          <w:bCs/>
          <w:lang w:val="en-GB"/>
        </w:rPr>
      </w:pPr>
      <w:bookmarkStart w:id="20" w:name="_Hlk139728578"/>
      <w:bookmarkStart w:id="21" w:name="_Hlk137658544"/>
    </w:p>
    <w:p w14:paraId="238C9780">
      <w:pPr>
        <w:spacing w:after="200" w:line="480" w:lineRule="auto"/>
        <w:jc w:val="center"/>
        <w:rPr>
          <w:rFonts w:eastAsia="Times New Roman"/>
          <w:b/>
          <w:bCs/>
          <w:lang w:val="en-GB"/>
        </w:rPr>
      </w:pPr>
    </w:p>
    <w:p w14:paraId="639CCD3C">
      <w:pPr>
        <w:spacing w:after="200" w:line="480" w:lineRule="auto"/>
        <w:jc w:val="center"/>
        <w:rPr>
          <w:rFonts w:eastAsia="Times New Roman"/>
          <w:b/>
          <w:bCs/>
          <w:lang w:val="en-GB"/>
        </w:rPr>
      </w:pPr>
    </w:p>
    <w:p w14:paraId="117A586E">
      <w:pPr>
        <w:spacing w:after="200" w:line="480" w:lineRule="auto"/>
        <w:jc w:val="center"/>
        <w:rPr>
          <w:rFonts w:eastAsia="Times New Roman"/>
          <w:b/>
          <w:bCs/>
          <w:lang w:val="en-GB"/>
        </w:rPr>
      </w:pPr>
    </w:p>
    <w:p w14:paraId="1D9F4170">
      <w:pPr>
        <w:spacing w:after="200" w:line="480" w:lineRule="auto"/>
        <w:jc w:val="center"/>
        <w:rPr>
          <w:rFonts w:eastAsia="Times New Roman"/>
          <w:b/>
          <w:bCs/>
          <w:lang w:val="en-GB"/>
        </w:rPr>
      </w:pPr>
    </w:p>
    <w:p w14:paraId="2D102FE5">
      <w:pPr>
        <w:spacing w:after="200" w:line="480" w:lineRule="auto"/>
        <w:jc w:val="center"/>
        <w:rPr>
          <w:rFonts w:eastAsia="Times New Roman"/>
          <w:b/>
          <w:bCs/>
          <w:lang w:val="en-GB"/>
        </w:rPr>
      </w:pPr>
    </w:p>
    <w:p w14:paraId="019E387D">
      <w:pPr>
        <w:spacing w:after="200" w:line="480" w:lineRule="auto"/>
        <w:jc w:val="center"/>
        <w:rPr>
          <w:rFonts w:eastAsia="Times New Roman"/>
          <w:b/>
          <w:bCs/>
          <w:lang w:val="en-GB"/>
        </w:rPr>
      </w:pPr>
      <w:r>
        <w:rPr>
          <w:rFonts w:eastAsia="Times New Roman"/>
          <w:b/>
          <w:bCs/>
          <w:lang w:val="en-GB"/>
        </w:rPr>
        <w:t>CHAPTER 7</w:t>
      </w:r>
    </w:p>
    <w:p w14:paraId="2DE9BBDF">
      <w:pPr>
        <w:spacing w:after="200" w:line="480" w:lineRule="auto"/>
        <w:jc w:val="center"/>
        <w:rPr>
          <w:rFonts w:eastAsia="Times New Roman"/>
          <w:b/>
          <w:bCs/>
          <w:lang w:val="en-GB"/>
        </w:rPr>
      </w:pPr>
      <w:r>
        <w:rPr>
          <w:rFonts w:eastAsia="Times New Roman"/>
          <w:b/>
          <w:bCs/>
          <w:lang w:val="en-GB"/>
        </w:rPr>
        <w:t>POLICY AND TAX LAW MAKING IN THE UNITED KINGDOM UPSTREAM PETROLEUM INDUSTRY – A COMPARATIVE REVIEW</w:t>
      </w:r>
    </w:p>
    <w:p w14:paraId="7AD93725">
      <w:pPr>
        <w:spacing w:after="200" w:line="480" w:lineRule="auto"/>
        <w:jc w:val="both"/>
        <w:rPr>
          <w:rFonts w:eastAsia="Times New Roman"/>
          <w:b/>
          <w:bCs/>
          <w:lang w:val="en-GB"/>
        </w:rPr>
      </w:pPr>
    </w:p>
    <w:p w14:paraId="7A2589AD">
      <w:pPr>
        <w:spacing w:after="200" w:line="480" w:lineRule="auto"/>
        <w:jc w:val="both"/>
        <w:rPr>
          <w:rFonts w:eastAsia="Times New Roman"/>
          <w:b/>
          <w:bCs/>
          <w:lang w:val="en-GB"/>
        </w:rPr>
      </w:pPr>
      <w:r>
        <w:rPr>
          <w:rFonts w:eastAsia="Times New Roman"/>
          <w:b/>
          <w:bCs/>
          <w:lang w:val="en-GB"/>
        </w:rPr>
        <w:t>7.0</w:t>
      </w:r>
      <w:r>
        <w:rPr>
          <w:rFonts w:eastAsia="Times New Roman"/>
          <w:b/>
          <w:bCs/>
          <w:lang w:val="en-GB"/>
        </w:rPr>
        <w:tab/>
      </w:r>
      <w:r>
        <w:rPr>
          <w:rFonts w:eastAsia="Times New Roman"/>
          <w:b/>
          <w:bCs/>
          <w:lang w:val="en-GB"/>
        </w:rPr>
        <w:t xml:space="preserve"> INTRODUCTION </w:t>
      </w:r>
    </w:p>
    <w:p w14:paraId="0D1FA46B">
      <w:pPr>
        <w:spacing w:after="200" w:line="480" w:lineRule="auto"/>
        <w:jc w:val="both"/>
        <w:rPr>
          <w:rFonts w:eastAsia="Times New Roman"/>
        </w:rPr>
      </w:pPr>
      <w:r>
        <w:rPr>
          <w:rFonts w:eastAsia="Times New Roman"/>
          <w:lang w:val="en-GB"/>
        </w:rPr>
        <w:t>The UK Petroleum industry plays a central role in the economy of the United Kingdom</w:t>
      </w:r>
      <w:r>
        <w:rPr>
          <w:rFonts w:eastAsia="Times New Roman"/>
          <w:vertAlign w:val="superscript"/>
          <w:lang w:val="en-GB"/>
        </w:rPr>
        <w:footnoteReference w:id="447"/>
      </w:r>
      <w:r>
        <w:rPr>
          <w:rFonts w:eastAsia="Times New Roman"/>
          <w:lang w:val="en-GB"/>
        </w:rPr>
        <w:t xml:space="preserve">. </w:t>
      </w:r>
      <w:r>
        <w:rPr>
          <w:rFonts w:eastAsia="Times New Roman"/>
        </w:rPr>
        <w:t xml:space="preserve">Successive UK administrations have developed a fiscal regime which encourages companies to explore for and develop the nation’s oil and gas reserves whilst aiming to ensure that an appropriate share of the benefits accrue to the UK economy. Although the North Sea is a relatively high-cost production area, its high-quality crude oil, political stability, and proximity to major European consumer markets have allowed it to play a major role in world oil and gas activity. Credit must be given to the clear policy objectives and the sustained direction of the UK, in terms of its tax, fiscal and monetary policy which have resulted in certainty and stability for the UK petroleum industry, even in the context of a volatile and constantly changing industry.  </w:t>
      </w:r>
    </w:p>
    <w:p w14:paraId="11F34603">
      <w:pPr>
        <w:spacing w:after="200" w:line="480" w:lineRule="auto"/>
        <w:jc w:val="both"/>
        <w:rPr>
          <w:rFonts w:eastAsia="Times New Roman"/>
          <w:lang w:val="en-GB"/>
        </w:rPr>
      </w:pPr>
      <w:r>
        <w:rPr>
          <w:rFonts w:eastAsia="Times New Roman"/>
        </w:rPr>
        <w:t>Following the discovery of gas in the Groningen area of the Netherlands and the first British discovery of gas in the West Sole field, off the coast of East Anglia,</w:t>
      </w:r>
      <w:r>
        <w:rPr>
          <w:rFonts w:eastAsia="Times New Roman"/>
          <w:vertAlign w:val="superscript"/>
        </w:rPr>
        <w:footnoteReference w:id="448"/>
      </w:r>
      <w:r>
        <w:rPr>
          <w:rFonts w:eastAsia="Times New Roman"/>
        </w:rPr>
        <w:t xml:space="preserve"> of the southern North Sea, the United Kingdom (UK) petroleum industry grew rapidly. In 1985 the UK produced more oil and gas than Saudi Arabia, i.e., 4.58 % of the world’s daily oil and gas production.</w:t>
      </w:r>
      <w:r>
        <w:rPr>
          <w:rFonts w:eastAsia="Times New Roman"/>
          <w:vertAlign w:val="superscript"/>
        </w:rPr>
        <w:footnoteReference w:id="449"/>
      </w:r>
      <w:r>
        <w:rPr>
          <w:rFonts w:eastAsia="Times New Roman"/>
        </w:rPr>
        <w:t xml:space="preserve"> Its world ranking was fifth at this time in terms of output. In subsequent years, it ranked sixth and recently in December 2019, the UK was placed 8</w:t>
      </w:r>
      <w:r>
        <w:rPr>
          <w:rFonts w:eastAsia="Times New Roman"/>
          <w:vertAlign w:val="superscript"/>
        </w:rPr>
        <w:t>th</w:t>
      </w:r>
      <w:r>
        <w:rPr>
          <w:rFonts w:eastAsia="Times New Roman"/>
        </w:rPr>
        <w:t>, ahead of Nigeria and Brazil, for planned oil and gas expansion with undeveloped and undiscovered fields adding a further 14.3 billion barrels of oil and gas – 2.5 times more than the 5.7 barrels that were currently produced</w:t>
      </w:r>
      <w:r>
        <w:rPr>
          <w:rFonts w:eastAsia="Times New Roman"/>
          <w:vertAlign w:val="superscript"/>
        </w:rPr>
        <w:footnoteReference w:id="450"/>
      </w:r>
      <w:r>
        <w:rPr>
          <w:rFonts w:eastAsia="Times New Roman"/>
        </w:rPr>
        <w:t xml:space="preserve">. </w:t>
      </w:r>
      <w:r>
        <w:rPr>
          <w:rFonts w:eastAsia="Times New Roman"/>
          <w:lang w:val="en-GB"/>
        </w:rPr>
        <w:t>Oil and Gas (O&amp;G) account for more than three-quarters of the UK's total primary energy needs</w:t>
      </w:r>
      <w:r>
        <w:rPr>
          <w:rFonts w:eastAsia="Times New Roman"/>
          <w:vertAlign w:val="superscript"/>
          <w:lang w:val="en-GB"/>
        </w:rPr>
        <w:footnoteReference w:id="451"/>
      </w:r>
      <w:r>
        <w:rPr>
          <w:rFonts w:eastAsia="Times New Roman"/>
          <w:lang w:val="en-GB"/>
        </w:rPr>
        <w:t xml:space="preserve">. Oil provides 97 per cent of the fuel for transport, and gas is a key fuel for heating and electricity generation. </w:t>
      </w:r>
      <w:r>
        <w:rPr>
          <w:rFonts w:eastAsia="Times New Roman"/>
        </w:rPr>
        <w:t>It also earns valuable export and tax revenues to support the UK economy.</w:t>
      </w:r>
      <w:r>
        <w:rPr>
          <w:rFonts w:eastAsia="Times New Roman"/>
          <w:vertAlign w:val="superscript"/>
        </w:rPr>
        <w:footnoteReference w:id="452"/>
      </w:r>
    </w:p>
    <w:p w14:paraId="3CD189DA">
      <w:pPr>
        <w:spacing w:after="200" w:line="480" w:lineRule="auto"/>
        <w:jc w:val="both"/>
        <w:rPr>
          <w:rFonts w:eastAsia="Times New Roman"/>
        </w:rPr>
      </w:pPr>
      <w:r>
        <w:rPr>
          <w:rFonts w:eastAsia="Times New Roman"/>
        </w:rPr>
        <w:t>The policy of the UK governments has ensured that the North Sea became the center of one of the world’s most productive energy industries</w:t>
      </w:r>
      <w:r>
        <w:rPr>
          <w:rStyle w:val="23"/>
          <w:rFonts w:eastAsia="Times New Roman"/>
        </w:rPr>
        <w:footnoteReference w:id="453"/>
      </w:r>
      <w:r>
        <w:rPr>
          <w:rFonts w:eastAsia="Times New Roman"/>
        </w:rPr>
        <w:t xml:space="preserve">. The North Sea has three unique characteristics, which make it a recognized O&amp;G region. These are: </w:t>
      </w:r>
    </w:p>
    <w:p w14:paraId="4DA242D7">
      <w:pPr>
        <w:spacing w:after="200" w:line="480" w:lineRule="auto"/>
        <w:jc w:val="both"/>
        <w:rPr>
          <w:rFonts w:eastAsia="Times New Roman"/>
        </w:rPr>
      </w:pPr>
      <w:r>
        <w:rPr>
          <w:rFonts w:eastAsia="Times New Roman"/>
        </w:rPr>
        <w:t xml:space="preserve">1) rapid development when the world demand for energy was heavy, and when the Organization of the Petroleum Exporting Countries (OPEC) was at its most powerful; </w:t>
      </w:r>
    </w:p>
    <w:p w14:paraId="64EB195B">
      <w:pPr>
        <w:spacing w:after="200" w:line="480" w:lineRule="auto"/>
        <w:jc w:val="both"/>
        <w:rPr>
          <w:rFonts w:eastAsia="Times New Roman"/>
        </w:rPr>
      </w:pPr>
      <w:r>
        <w:rPr>
          <w:rFonts w:eastAsia="Times New Roman"/>
        </w:rPr>
        <w:t xml:space="preserve">2) location in the center of a major refining and consuming area; and </w:t>
      </w:r>
    </w:p>
    <w:p w14:paraId="2A389D70">
      <w:pPr>
        <w:spacing w:after="200" w:line="480" w:lineRule="auto"/>
        <w:jc w:val="both"/>
        <w:rPr>
          <w:rFonts w:eastAsia="Times New Roman"/>
        </w:rPr>
      </w:pPr>
      <w:r>
        <w:rPr>
          <w:rFonts w:eastAsia="Times New Roman"/>
        </w:rPr>
        <w:t xml:space="preserve">3) the creation of highly active spot and forward markets for crude oil. </w:t>
      </w:r>
    </w:p>
    <w:p w14:paraId="58FCA24F">
      <w:pPr>
        <w:spacing w:after="200" w:line="480" w:lineRule="auto"/>
        <w:jc w:val="both"/>
        <w:rPr>
          <w:rFonts w:eastAsia="Times New Roman"/>
          <w:lang w:val="en-GB"/>
        </w:rPr>
      </w:pPr>
      <w:r>
        <w:rPr>
          <w:rFonts w:eastAsia="Times New Roman"/>
        </w:rPr>
        <w:t>The water depth and the weather conditions make the North Sea different from other O&amp;G producing areas, for example, the Middle East and the Gulf of Mexico. However, during the 1960s, the North Sea was still a new oil region, and it had development and production problems.</w:t>
      </w:r>
      <w:r>
        <w:rPr>
          <w:rFonts w:eastAsia="Times New Roman"/>
          <w:vertAlign w:val="superscript"/>
        </w:rPr>
        <w:footnoteReference w:id="454"/>
      </w:r>
      <w:r>
        <w:rPr>
          <w:rFonts w:eastAsia="Times New Roman"/>
        </w:rPr>
        <w:t xml:space="preserve"> </w:t>
      </w:r>
      <w:r>
        <w:rPr>
          <w:rFonts w:eastAsia="Times New Roman"/>
          <w:lang w:val="en-GB"/>
        </w:rPr>
        <w:t>The </w:t>
      </w:r>
      <w:r>
        <w:fldChar w:fldCharType="begin"/>
      </w:r>
      <w:r>
        <w:instrText xml:space="preserve"> HYPERLINK "https://en.wikipedia.org/wiki/United_Kingdom_Continental_Shelf" \o "United Kingdom Continental Shelf" </w:instrText>
      </w:r>
      <w:r>
        <w:fldChar w:fldCharType="separate"/>
      </w:r>
      <w:r>
        <w:rPr>
          <w:rFonts w:eastAsia="Times New Roman"/>
          <w:color w:val="000000"/>
          <w:lang w:val="en-GB"/>
        </w:rPr>
        <w:t>UK Continental Shelf</w:t>
      </w:r>
      <w:r>
        <w:rPr>
          <w:rFonts w:eastAsia="Times New Roman"/>
          <w:color w:val="000000"/>
          <w:lang w:val="en-GB"/>
        </w:rPr>
        <w:fldChar w:fldCharType="end"/>
      </w:r>
      <w:r>
        <w:rPr>
          <w:rFonts w:eastAsia="Times New Roman"/>
          <w:lang w:val="en-GB"/>
        </w:rPr>
        <w:t> production peaked in 1999, and in 2016 the sector produced 62,906,000</w:t>
      </w:r>
      <w:r>
        <w:rPr>
          <w:rFonts w:eastAsia="Times New Roman"/>
          <w:vertAlign w:val="superscript"/>
          <w:lang w:val="en-GB"/>
        </w:rPr>
        <w:footnoteReference w:id="455"/>
      </w:r>
      <w:r>
        <w:rPr>
          <w:rFonts w:eastAsia="Times New Roman"/>
          <w:lang w:val="en-GB"/>
        </w:rPr>
        <w:t> cubic metres of oil and gas, meeting more than half of the UK's O&amp;G needs. The projections are that there could still be up to 3.18 billion cubic metres of O&amp;G still to recover from the UK's offshore fields. It is further projected that O&amp;G will still provide two-thirds of UK total primary energy needs by 2035.</w:t>
      </w:r>
      <w:r>
        <w:rPr>
          <w:rFonts w:eastAsia="Times New Roman"/>
          <w:vertAlign w:val="superscript"/>
          <w:lang w:val="en-GB"/>
        </w:rPr>
        <w:footnoteReference w:id="456"/>
      </w:r>
      <w:r>
        <w:rPr>
          <w:rFonts w:eastAsia="Times New Roman"/>
          <w:lang w:val="en-GB"/>
        </w:rPr>
        <w:t xml:space="preserve"> In 2017, capital investment in the UK offshore O&amp;G industry was £5.6 billion. The O&amp;G industry has therefore been a critical contributor to the UK economy and, since 1970, the industry has paid almost £330 billion in production tax. </w:t>
      </w:r>
    </w:p>
    <w:p w14:paraId="6EEB9B9F">
      <w:pPr>
        <w:spacing w:after="200" w:line="480" w:lineRule="auto"/>
        <w:jc w:val="both"/>
        <w:rPr>
          <w:rFonts w:eastAsia="Times New Roman"/>
        </w:rPr>
      </w:pPr>
      <w:r>
        <w:rPr>
          <w:rFonts w:eastAsia="Times New Roman"/>
        </w:rPr>
        <w:t>Petroleum Revenue Tax (PRT)</w:t>
      </w:r>
      <w:r>
        <w:rPr>
          <w:rFonts w:eastAsia="Times New Roman"/>
          <w:vertAlign w:val="superscript"/>
        </w:rPr>
        <w:footnoteReference w:id="457"/>
      </w:r>
      <w:r>
        <w:rPr>
          <w:rFonts w:eastAsia="Times New Roman"/>
        </w:rPr>
        <w:t xml:space="preserve"> is a </w:t>
      </w:r>
      <w:r>
        <w:fldChar w:fldCharType="begin"/>
      </w:r>
      <w:r>
        <w:instrText xml:space="preserve"> HYPERLINK "https://en.wikipedia.org/wiki/Direct_tax" \o "Direct tax" </w:instrText>
      </w:r>
      <w:r>
        <w:fldChar w:fldCharType="separate"/>
      </w:r>
      <w:r>
        <w:rPr>
          <w:rFonts w:eastAsia="Times New Roman"/>
          <w:color w:val="000000"/>
        </w:rPr>
        <w:t>direct tax</w:t>
      </w:r>
      <w:r>
        <w:rPr>
          <w:rFonts w:eastAsia="Times New Roman"/>
          <w:color w:val="000000"/>
        </w:rPr>
        <w:fldChar w:fldCharType="end"/>
      </w:r>
      <w:r>
        <w:rPr>
          <w:rFonts w:eastAsia="Times New Roman"/>
        </w:rPr>
        <w:t> collected in the </w:t>
      </w:r>
      <w:r>
        <w:fldChar w:fldCharType="begin"/>
      </w:r>
      <w:r>
        <w:instrText xml:space="preserve"> HYPERLINK "https://en.wikipedia.org/wiki/United_Kingdom" \o "United Kingdom" </w:instrText>
      </w:r>
      <w:r>
        <w:fldChar w:fldCharType="separate"/>
      </w:r>
      <w:r>
        <w:rPr>
          <w:rFonts w:eastAsia="Times New Roman"/>
          <w:color w:val="000000"/>
        </w:rPr>
        <w:t>UK</w:t>
      </w:r>
      <w:r>
        <w:rPr>
          <w:rFonts w:eastAsia="Times New Roman"/>
          <w:color w:val="000000"/>
        </w:rPr>
        <w:fldChar w:fldCharType="end"/>
      </w:r>
      <w:r>
        <w:rPr>
          <w:rFonts w:eastAsia="Times New Roman"/>
          <w:color w:val="000000"/>
        </w:rPr>
        <w:t>.</w:t>
      </w:r>
      <w:r>
        <w:rPr>
          <w:rFonts w:eastAsia="Times New Roman"/>
        </w:rPr>
        <w:t xml:space="preserve"> It was introduced under the Oil Taxation</w:t>
      </w:r>
      <w:r>
        <w:fldChar w:fldCharType="begin"/>
      </w:r>
      <w:r>
        <w:instrText xml:space="preserve"> HYPERLINK "https://en.wikipedia.org/wiki/Oil_Taxation_Act_1975" \o "Oil Taxation Act 1975" </w:instrText>
      </w:r>
      <w:r>
        <w:fldChar w:fldCharType="separate"/>
      </w:r>
      <w:r>
        <w:rPr>
          <w:rFonts w:eastAsia="Times New Roman"/>
          <w:color w:val="000000"/>
        </w:rPr>
        <w:t xml:space="preserve"> Act 1975</w:t>
      </w:r>
      <w:r>
        <w:rPr>
          <w:rFonts w:eastAsia="Times New Roman"/>
          <w:color w:val="000000"/>
        </w:rPr>
        <w:fldChar w:fldCharType="end"/>
      </w:r>
      <w:r>
        <w:rPr>
          <w:rFonts w:eastAsia="Times New Roman"/>
          <w:vertAlign w:val="superscript"/>
          <w:lang w:val="en-GB"/>
        </w:rPr>
        <w:footnoteReference w:id="458"/>
      </w:r>
      <w:r>
        <w:rPr>
          <w:rFonts w:eastAsia="Times New Roman"/>
        </w:rPr>
        <w:t xml:space="preserve">, soon after the </w:t>
      </w:r>
      <w:r>
        <w:fldChar w:fldCharType="begin"/>
      </w:r>
      <w:r>
        <w:instrText xml:space="preserve"> HYPERLINK "https://en.wikipedia.org/wiki/Labour_Party_(UK)" \o "Labour Party (UK)" </w:instrText>
      </w:r>
      <w:r>
        <w:fldChar w:fldCharType="separate"/>
      </w:r>
      <w:r>
        <w:rPr>
          <w:rFonts w:eastAsia="Times New Roman"/>
          <w:color w:val="000000"/>
        </w:rPr>
        <w:t>Labor</w:t>
      </w:r>
      <w:r>
        <w:rPr>
          <w:rFonts w:eastAsia="Times New Roman"/>
          <w:color w:val="000000"/>
        </w:rPr>
        <w:fldChar w:fldCharType="end"/>
      </w:r>
      <w:r>
        <w:rPr>
          <w:rFonts w:eastAsia="Times New Roman"/>
          <w:color w:val="000000"/>
        </w:rPr>
        <w:t> </w:t>
      </w:r>
      <w:r>
        <w:rPr>
          <w:rFonts w:eastAsia="Times New Roman"/>
        </w:rPr>
        <w:t>government returned to power and in the immediate aftermath of the </w:t>
      </w:r>
      <w:r>
        <w:fldChar w:fldCharType="begin"/>
      </w:r>
      <w:r>
        <w:instrText xml:space="preserve"> HYPERLINK "https://en.wikipedia.org/wiki/1973_energy_crisis" \o "1973 energy crisis" </w:instrText>
      </w:r>
      <w:r>
        <w:fldChar w:fldCharType="separate"/>
      </w:r>
      <w:r>
        <w:rPr>
          <w:rFonts w:eastAsia="Times New Roman"/>
          <w:color w:val="000000"/>
        </w:rPr>
        <w:t>1973 energy crisis</w:t>
      </w:r>
      <w:r>
        <w:rPr>
          <w:rFonts w:eastAsia="Times New Roman"/>
          <w:color w:val="000000"/>
        </w:rPr>
        <w:fldChar w:fldCharType="end"/>
      </w:r>
      <w:r>
        <w:rPr>
          <w:rFonts w:eastAsia="Times New Roman"/>
          <w:color w:val="000000"/>
        </w:rPr>
        <w:t>.</w:t>
      </w:r>
      <w:r>
        <w:rPr>
          <w:rFonts w:eastAsia="Times New Roman"/>
        </w:rPr>
        <w:t xml:space="preserve"> PRT was intended to ensure a "fairer share of profits for the nation" from the exploitation of the UK's </w:t>
      </w:r>
      <w:r>
        <w:fldChar w:fldCharType="begin"/>
      </w:r>
      <w:r>
        <w:instrText xml:space="preserve"> HYPERLINK "https://en.wikipedia.org/wiki/Continental_shelf" \o "Continental shelf" </w:instrText>
      </w:r>
      <w:r>
        <w:fldChar w:fldCharType="separate"/>
      </w:r>
      <w:r>
        <w:rPr>
          <w:rFonts w:eastAsia="Times New Roman"/>
          <w:color w:val="000000"/>
        </w:rPr>
        <w:t>Continental Shelf</w:t>
      </w:r>
      <w:r>
        <w:rPr>
          <w:rFonts w:eastAsia="Times New Roman"/>
          <w:color w:val="000000"/>
        </w:rPr>
        <w:fldChar w:fldCharType="end"/>
      </w:r>
      <w:r>
        <w:rPr>
          <w:rFonts w:eastAsia="Times New Roman"/>
          <w:color w:val="000000"/>
        </w:rPr>
        <w:t>,</w:t>
      </w:r>
      <w:r>
        <w:rPr>
          <w:rFonts w:eastAsia="Times New Roman"/>
        </w:rPr>
        <w:t xml:space="preserve"> while ensuring a "suitable return" on the capital investment by oil companies.</w:t>
      </w:r>
    </w:p>
    <w:p w14:paraId="5FBE0451">
      <w:pPr>
        <w:spacing w:after="200" w:line="480" w:lineRule="auto"/>
        <w:jc w:val="both"/>
        <w:rPr>
          <w:rFonts w:eastAsia="Times New Roman"/>
        </w:rPr>
      </w:pPr>
      <w:r>
        <w:rPr>
          <w:rFonts w:eastAsia="Times New Roman"/>
        </w:rPr>
        <w:t xml:space="preserve">It is therefore the policy of the UK Government to do all it can to maximize the economic recovery of its indigenous hydrocarbon reserves, and this has clearly influenced the direction and substance of UK petroleum taxes, as well as its level of clarity and stability in operations. </w:t>
      </w:r>
    </w:p>
    <w:p w14:paraId="17B88473">
      <w:pPr>
        <w:spacing w:after="200" w:line="480" w:lineRule="auto"/>
        <w:jc w:val="both"/>
        <w:rPr>
          <w:rFonts w:eastAsia="Times New Roman"/>
          <w:b/>
          <w:bCs/>
        </w:rPr>
      </w:pPr>
    </w:p>
    <w:p w14:paraId="1CBDEE45">
      <w:pPr>
        <w:spacing w:after="200" w:line="480" w:lineRule="auto"/>
        <w:jc w:val="both"/>
        <w:rPr>
          <w:rFonts w:eastAsia="Times New Roman"/>
          <w:b/>
          <w:bCs/>
        </w:rPr>
      </w:pPr>
      <w:r>
        <w:rPr>
          <w:rFonts w:eastAsia="Times New Roman"/>
          <w:b/>
          <w:bCs/>
        </w:rPr>
        <w:t>7.1</w:t>
      </w:r>
      <w:r>
        <w:rPr>
          <w:rFonts w:eastAsia="Times New Roman"/>
          <w:b/>
          <w:bCs/>
        </w:rPr>
        <w:tab/>
      </w:r>
      <w:r>
        <w:rPr>
          <w:rFonts w:eastAsia="Times New Roman"/>
          <w:b/>
          <w:bCs/>
        </w:rPr>
        <w:t xml:space="preserve"> </w:t>
      </w:r>
      <w:bookmarkStart w:id="22" w:name="_Hlk145267476"/>
      <w:r>
        <w:rPr>
          <w:rFonts w:eastAsia="Times New Roman"/>
          <w:b/>
          <w:bCs/>
        </w:rPr>
        <w:t>POLICY, TAX LAW MAKING AND REGULATORY FRAMEWORK</w:t>
      </w:r>
      <w:bookmarkEnd w:id="22"/>
    </w:p>
    <w:p w14:paraId="3D6A9346">
      <w:pPr>
        <w:spacing w:after="200" w:line="480" w:lineRule="auto"/>
        <w:jc w:val="both"/>
        <w:rPr>
          <w:rFonts w:eastAsia="Times New Roman"/>
        </w:rPr>
      </w:pPr>
      <w:r>
        <w:rPr>
          <w:rFonts w:eastAsia="Times New Roman"/>
        </w:rPr>
        <w:t>The process for making tax policy in the UK is centralized, with control vested in the Chancellor of the Exchequer.</w:t>
      </w:r>
      <w:r>
        <w:rPr>
          <w:rFonts w:eastAsia="Times New Roman"/>
          <w:vertAlign w:val="superscript"/>
        </w:rPr>
        <w:footnoteReference w:id="459"/>
      </w:r>
      <w:r>
        <w:rPr>
          <w:rFonts w:eastAsia="Times New Roman"/>
        </w:rPr>
        <w:t xml:space="preserve"> The responsibility for the tax policy process is shared by His Majesty’s Treasury (HMT) and His Majesty’s Revenue and Customs (HMRC) with HMT doing the broad tax policy work and HMRC the technical aspects</w:t>
      </w:r>
      <w:r>
        <w:rPr>
          <w:rStyle w:val="23"/>
          <w:rFonts w:eastAsia="Times New Roman"/>
        </w:rPr>
        <w:footnoteReference w:id="460"/>
      </w:r>
      <w:r>
        <w:rPr>
          <w:rFonts w:eastAsia="Times New Roman"/>
        </w:rPr>
        <w:t>. When this shared responsibility works, it works well; however, apparently it does not always work well as not all policy is evidence based</w:t>
      </w:r>
      <w:r>
        <w:rPr>
          <w:rStyle w:val="23"/>
          <w:rFonts w:eastAsia="Times New Roman"/>
        </w:rPr>
        <w:footnoteReference w:id="461"/>
      </w:r>
      <w:r>
        <w:rPr>
          <w:rFonts w:eastAsia="Times New Roman"/>
        </w:rPr>
        <w:t xml:space="preserve">. Drafting is done separately by the Office of Parliamentary Counsel on instructions from HMRC. </w:t>
      </w:r>
    </w:p>
    <w:p w14:paraId="3CA0C5D6">
      <w:pPr>
        <w:spacing w:after="200" w:line="480" w:lineRule="auto"/>
        <w:jc w:val="both"/>
        <w:rPr>
          <w:rFonts w:eastAsia="Times New Roman"/>
        </w:rPr>
      </w:pPr>
      <w:r>
        <w:rPr>
          <w:rFonts w:eastAsia="Times New Roman"/>
        </w:rPr>
        <w:t>The government adopted a new approach to making tax policy with the publication in June 2010</w:t>
      </w:r>
      <w:r>
        <w:rPr>
          <w:rFonts w:eastAsia="Times New Roman"/>
          <w:vertAlign w:val="superscript"/>
        </w:rPr>
        <w:footnoteReference w:id="462"/>
      </w:r>
      <w:r>
        <w:rPr>
          <w:rFonts w:eastAsia="Times New Roman"/>
        </w:rPr>
        <w:t xml:space="preserve"> of Tax Policy Making (TPM): A New Approach</w:t>
      </w:r>
      <w:r>
        <w:rPr>
          <w:rFonts w:eastAsia="Times New Roman"/>
          <w:vertAlign w:val="superscript"/>
        </w:rPr>
        <w:footnoteReference w:id="463"/>
      </w:r>
      <w:r>
        <w:rPr>
          <w:rFonts w:eastAsia="Times New Roman"/>
        </w:rPr>
        <w:t xml:space="preserve">. The Treasury reaffirmed and updated the policy in December 2017. The process includes five stages of the tax policy cycle and three in the policy development phase, and two further stages. The first stage is setting out the objectives and identifying the options. The second stage is determining the best option and developing a framework for </w:t>
      </w:r>
      <w:r>
        <w:rPr>
          <w:rFonts w:eastAsia="Times New Roman"/>
          <w:color w:val="000000"/>
        </w:rPr>
        <w:t>implementation,</w:t>
      </w:r>
      <w:r>
        <w:rPr>
          <w:color w:val="000000"/>
        </w:rPr>
        <w:t xml:space="preserve"> </w:t>
      </w:r>
      <w:r>
        <w:rPr>
          <w:rFonts w:eastAsia="Times New Roman"/>
        </w:rPr>
        <w:t>including detailed policy design. The third stage is drafting the legislation to effect the proposed changes, whilst the fourth stage is implementation and monitoring the change. The fifth stage is the review and evaluation of the changes. Different types of evidence are needed at every stage of the process, and the 2010 and 2017 Treasury documents both commit to regular consultation throughout a tax policy’s development where possible. With the “TPM” approach, the government committed to consult on all tax changes, even minor ones, and at all stages of the tax policy process. Previously, consultation was increasingly a feature of the UK landscape, but the incoming government wanted to formalize the process, although consultation is a code of practice rather than a statutory requirement. This new approach appears to be working well generally, although it has not always been adhered to and some of the departures have arguably served to emphasize its importance.  The strengths of the UK tax policy process are, therefore, its:</w:t>
      </w:r>
    </w:p>
    <w:p w14:paraId="7ED281AC">
      <w:pPr>
        <w:numPr>
          <w:ilvl w:val="0"/>
          <w:numId w:val="30"/>
        </w:numPr>
        <w:spacing w:after="200" w:line="480" w:lineRule="auto"/>
        <w:jc w:val="both"/>
        <w:rPr>
          <w:rFonts w:eastAsia="Times New Roman"/>
        </w:rPr>
      </w:pPr>
      <w:r>
        <w:rPr>
          <w:rFonts w:eastAsia="Times New Roman"/>
        </w:rPr>
        <w:t>centralized decision making, with HMT having primary responsibility, and</w:t>
      </w:r>
    </w:p>
    <w:p w14:paraId="6CC5A901">
      <w:pPr>
        <w:numPr>
          <w:ilvl w:val="0"/>
          <w:numId w:val="30"/>
        </w:numPr>
        <w:spacing w:after="200" w:line="480" w:lineRule="auto"/>
        <w:jc w:val="both"/>
        <w:rPr>
          <w:rFonts w:eastAsia="Times New Roman"/>
        </w:rPr>
      </w:pPr>
      <w:r>
        <w:rPr>
          <w:rFonts w:eastAsia="Times New Roman"/>
        </w:rPr>
        <w:t>the government’s commitment to extensive public consultation on tax changes.</w:t>
      </w:r>
    </w:p>
    <w:p w14:paraId="75F17F93">
      <w:pPr>
        <w:spacing w:after="200" w:line="480" w:lineRule="auto"/>
        <w:jc w:val="both"/>
        <w:rPr>
          <w:rFonts w:eastAsia="Times New Roman"/>
        </w:rPr>
      </w:pPr>
      <w:r>
        <w:rPr>
          <w:rFonts w:eastAsia="Times New Roman"/>
        </w:rPr>
        <w:t>The weaknesses of the process are the following</w:t>
      </w:r>
      <w:r>
        <w:rPr>
          <w:rFonts w:eastAsia="Times New Roman"/>
          <w:vertAlign w:val="superscript"/>
        </w:rPr>
        <w:footnoteReference w:id="464"/>
      </w:r>
      <w:r>
        <w:rPr>
          <w:rFonts w:eastAsia="Times New Roman"/>
        </w:rPr>
        <w:t>:</w:t>
      </w:r>
    </w:p>
    <w:p w14:paraId="4CB8201D">
      <w:pPr>
        <w:numPr>
          <w:ilvl w:val="0"/>
          <w:numId w:val="31"/>
        </w:numPr>
        <w:spacing w:after="200" w:line="480" w:lineRule="auto"/>
        <w:jc w:val="both"/>
        <w:rPr>
          <w:rFonts w:eastAsia="Times New Roman"/>
        </w:rPr>
      </w:pPr>
      <w:r>
        <w:rPr>
          <w:rFonts w:eastAsia="Times New Roman"/>
        </w:rPr>
        <w:t>Extensive consultations are time-consuming and necessitate a serious commitment of human resources.</w:t>
      </w:r>
    </w:p>
    <w:p w14:paraId="4EB4E029">
      <w:pPr>
        <w:numPr>
          <w:ilvl w:val="0"/>
          <w:numId w:val="31"/>
        </w:numPr>
        <w:spacing w:after="200" w:line="480" w:lineRule="auto"/>
        <w:jc w:val="both"/>
        <w:rPr>
          <w:rFonts w:eastAsia="Times New Roman"/>
        </w:rPr>
      </w:pPr>
      <w:r>
        <w:rPr>
          <w:rFonts w:eastAsia="Times New Roman"/>
        </w:rPr>
        <w:t>HMT recruit’s generalists rather than tax specialists, and they lack experience in dealing with tax and tax policy issues. The structure of the process is not conducive to building such experience, since teams that work on policy issues are typically disbanded once a project is completed.</w:t>
      </w:r>
    </w:p>
    <w:p w14:paraId="0C0866C1">
      <w:pPr>
        <w:numPr>
          <w:ilvl w:val="0"/>
          <w:numId w:val="31"/>
        </w:numPr>
        <w:spacing w:after="200" w:line="480" w:lineRule="auto"/>
        <w:jc w:val="both"/>
        <w:rPr>
          <w:rFonts w:eastAsia="Times New Roman"/>
        </w:rPr>
      </w:pPr>
      <w:r>
        <w:rPr>
          <w:rFonts w:eastAsia="Times New Roman"/>
        </w:rPr>
        <w:t>There is seldom, if ever, a formal post-implementation review of tax legislation. There is a lack of long-term strategic thinking about the tax system, which makes it difficult to evaluate short-term changes.</w:t>
      </w:r>
    </w:p>
    <w:p w14:paraId="395AB622">
      <w:pPr>
        <w:numPr>
          <w:ilvl w:val="0"/>
          <w:numId w:val="31"/>
        </w:numPr>
        <w:spacing w:after="200" w:line="480" w:lineRule="auto"/>
        <w:jc w:val="both"/>
        <w:rPr>
          <w:rFonts w:eastAsia="Times New Roman"/>
        </w:rPr>
      </w:pPr>
      <w:r>
        <w:rPr>
          <w:rFonts w:eastAsia="Times New Roman"/>
        </w:rPr>
        <w:t>There is no competing tax policy advice, from outside government or from Parliament to the advice provided by HMT, though naturally there are many submissions from professional and business bodies and other interested parties.</w:t>
      </w:r>
    </w:p>
    <w:p w14:paraId="6809FCC8">
      <w:pPr>
        <w:spacing w:after="200" w:line="480" w:lineRule="auto"/>
        <w:jc w:val="both"/>
        <w:rPr>
          <w:rFonts w:eastAsia="Times New Roman"/>
        </w:rPr>
      </w:pPr>
      <w:r>
        <w:rPr>
          <w:rFonts w:eastAsia="Times New Roman"/>
          <w:lang w:val="en-GB"/>
        </w:rPr>
        <w:t>Following a review carried out in 2014, the Sir Ian Wood Commission</w:t>
      </w:r>
      <w:r>
        <w:rPr>
          <w:rFonts w:eastAsia="Times New Roman"/>
          <w:vertAlign w:val="superscript"/>
          <w:lang w:val="en-GB"/>
        </w:rPr>
        <w:footnoteReference w:id="465"/>
      </w:r>
      <w:r>
        <w:rPr>
          <w:rFonts w:eastAsia="Times New Roman"/>
          <w:lang w:val="en-GB"/>
        </w:rPr>
        <w:t xml:space="preserve"> recommended establishing a new regulator, the Oil and Gas Authority. The Commission also recommended a new tax system with expanded allowances to create certainty and clarity over issues such as decommissioning costs to support investment by companies based on a revised regulatory arrangement with long-term effect on the fiscal regime</w:t>
      </w:r>
      <w:r>
        <w:rPr>
          <w:rFonts w:eastAsia="Times New Roman"/>
          <w:vertAlign w:val="superscript"/>
          <w:lang w:val="en-GB"/>
        </w:rPr>
        <w:footnoteReference w:id="466"/>
      </w:r>
      <w:r>
        <w:rPr>
          <w:rFonts w:eastAsia="Times New Roman"/>
          <w:lang w:val="en-GB"/>
        </w:rPr>
        <w:t xml:space="preserve">. This was to ensure that the tax system and the regulations work together to support economic recovery as the basin matures. The clear focus of the review was to </w:t>
      </w:r>
      <w:r>
        <w:rPr>
          <w:rFonts w:eastAsia="Times New Roman"/>
        </w:rPr>
        <w:t>ensure a more competitive, simple, and predictable fiscal regime for the O&amp;G industry.</w:t>
      </w:r>
      <w:r>
        <w:rPr>
          <w:rFonts w:eastAsia="Times New Roman"/>
          <w:lang w:val="en-GB"/>
        </w:rPr>
        <w:t xml:space="preserve"> The Sir Ian Wood Commission did not recommend abandoning the UK’s current tax system, which was based on taxation of ringfenced profits</w:t>
      </w:r>
      <w:r>
        <w:rPr>
          <w:rFonts w:eastAsia="Times New Roman"/>
          <w:vertAlign w:val="superscript"/>
          <w:lang w:val="en-GB"/>
        </w:rPr>
        <w:footnoteReference w:id="467"/>
      </w:r>
      <w:r>
        <w:rPr>
          <w:rFonts w:eastAsia="Times New Roman"/>
          <w:lang w:val="en-GB"/>
        </w:rPr>
        <w:t>. The Government avoided this approach to prevent excessive disruption and uncertainty at a time when supporting investment was paramount. The review did not affect the mainstream elements of the UK tax system</w:t>
      </w:r>
      <w:r>
        <w:rPr>
          <w:rFonts w:eastAsia="Times New Roman"/>
          <w:vertAlign w:val="superscript"/>
          <w:lang w:val="en-GB"/>
        </w:rPr>
        <w:footnoteReference w:id="468"/>
      </w:r>
      <w:r>
        <w:rPr>
          <w:rFonts w:eastAsia="Times New Roman"/>
          <w:lang w:val="en-GB"/>
        </w:rPr>
        <w:t xml:space="preserve"> as they apply to the industry and its supply chain, including Income Tax, National Insurance Contributions, VAT, and mainstream Corporation Tax, as these changes are considered to have wider implications for the UK tax system.</w:t>
      </w:r>
    </w:p>
    <w:p w14:paraId="62337AF7">
      <w:pPr>
        <w:spacing w:after="200" w:line="480" w:lineRule="auto"/>
        <w:jc w:val="both"/>
        <w:rPr>
          <w:rFonts w:eastAsia="Times New Roman"/>
          <w:lang w:val="en-GB"/>
        </w:rPr>
      </w:pPr>
      <w:r>
        <w:rPr>
          <w:rFonts w:eastAsia="Times New Roman"/>
          <w:lang w:val="en-GB"/>
        </w:rPr>
        <w:t xml:space="preserve">The principal legislation governing exploration and production of crude oil, gas and shale gas in the UK is the Petroleum Act 1998 (as amended). The Petroleum Act governs all oil and gas exploration and production in the UK (other than onshore in Northern Ireland), and underpins a regime whereby licences are granted by the North Sea Transition Authority (NSTA), (and by the Welsh Ministers, for onshore oil and gas in Wales, and the Scottish Ministers, for onshore oil and gas in Scotland), to persons to “search and bore for and get” petroleum. Licence holders are granted the right to explore and develop a specified geographical area. Ownership of petroleum vests in the Crown, and petroleum produced within the licence area transfers from the Crown to the licence holder at the well head. The Petroleum Act is supplemented by the Energy Act 2016, the Infrastructure Act 2015 and various environmental and health and safety legislation. </w:t>
      </w:r>
    </w:p>
    <w:p w14:paraId="6C014EAA">
      <w:pPr>
        <w:spacing w:after="200" w:line="480" w:lineRule="auto"/>
        <w:rPr>
          <w:rFonts w:eastAsia="Times New Roman"/>
        </w:rPr>
      </w:pPr>
      <w:r>
        <w:rPr>
          <w:rFonts w:eastAsia="Times New Roman"/>
        </w:rPr>
        <w:t>Overall, it would be correct to state that the UK fiscal and tax policy, as well as the regulatory framework and process, are well-defined and structured to be responsive and timely.</w:t>
      </w:r>
      <w:r>
        <w:t xml:space="preserve"> </w:t>
      </w:r>
      <w:r>
        <w:rPr>
          <w:rFonts w:eastAsia="Times New Roman"/>
        </w:rPr>
        <w:t xml:space="preserve">This well-defined and structured policy making process has been lacking in Nigeria. It is generally ad hoc and uncoordinated particularly for the Nigeria oil and gas industry. The process also lacks in clear timelines for the Nigeria oil and gas industry. </w:t>
      </w:r>
    </w:p>
    <w:p w14:paraId="0933B00B">
      <w:pPr>
        <w:spacing w:after="200" w:line="480" w:lineRule="auto"/>
        <w:jc w:val="both"/>
        <w:rPr>
          <w:rFonts w:eastAsia="Times New Roman"/>
        </w:rPr>
      </w:pPr>
      <w:r>
        <w:rPr>
          <w:rFonts w:eastAsia="Times New Roman"/>
        </w:rPr>
        <w:t>Prior to the 2011 Budget, the Treasury Committee (TC) published a report on tax policy setting out several principles by which tax policy making should be judged. First, that tax policy should be fair. Although we may not all accept or agree on the details of what constitutes a fair tax, a tax system which is fundamentally unfair will ultimately fail to command consent. Second, the TC stated that tax policy should support growth and encourage competition, as well as provide certainty. In virtually all circumstances the application of the tax rules should be certain. It should not normally be necessary for anyone to resort to the courts to resolve how the rules operate in relation to his or her tax affairs. The TC also stated that tax policy should facilitate tax certainty which requires legal clarity. This implies that tax legislation should be based on a statute which has been subjected to proper democratic scrutiny by Parliament. TC also canvassed for simplicity, which entails that tax rules should aim to be simple, understandable, and clear in their objectives. Tax policy must ensure targeting and should be clear to taxpayers, whether they are subject to the types of charges or taxes</w:t>
      </w:r>
      <w:r>
        <w:rPr>
          <w:rFonts w:eastAsia="Times New Roman"/>
          <w:vertAlign w:val="superscript"/>
        </w:rPr>
        <w:footnoteReference w:id="469"/>
      </w:r>
      <w:r>
        <w:rPr>
          <w:rFonts w:eastAsia="Times New Roman"/>
        </w:rPr>
        <w:t>. Last, the TC report stated that when anti-avoidance legislation is passed, due regard should be given to maintaining the simplicity and certainty of the tax system. In response to the TC report</w:t>
      </w:r>
      <w:r>
        <w:rPr>
          <w:rFonts w:eastAsia="Times New Roman"/>
          <w:vertAlign w:val="superscript"/>
        </w:rPr>
        <w:footnoteReference w:id="470"/>
      </w:r>
      <w:r>
        <w:t xml:space="preserve"> </w:t>
      </w:r>
      <w:r>
        <w:rPr>
          <w:rFonts w:eastAsia="Times New Roman"/>
        </w:rPr>
        <w:t xml:space="preserve">David Gauke, the Exchequer Secretary to the Treasury, said, </w:t>
      </w:r>
    </w:p>
    <w:p w14:paraId="1EF55936">
      <w:pPr>
        <w:spacing w:after="200" w:line="480" w:lineRule="auto"/>
        <w:ind w:left="720"/>
        <w:jc w:val="both"/>
        <w:rPr>
          <w:rFonts w:eastAsia="Times New Roman"/>
        </w:rPr>
      </w:pPr>
      <w:r>
        <w:rPr>
          <w:rFonts w:eastAsia="Times New Roman"/>
        </w:rPr>
        <w:t>“The Government is committed to tackling tax avoidance. We asked Graham Aaronson to consider whether a UK GAAR could deter and counter tax avoidance, while providing certainty, retaining a tax regime that is attractive to businesses, and minimizing costs for businesses and HMRC.’’ </w:t>
      </w:r>
    </w:p>
    <w:p w14:paraId="456C1D78">
      <w:pPr>
        <w:spacing w:after="200" w:line="480" w:lineRule="auto"/>
        <w:jc w:val="both"/>
        <w:rPr>
          <w:rFonts w:eastAsia="Times New Roman"/>
        </w:rPr>
      </w:pPr>
      <w:r>
        <w:rPr>
          <w:rFonts w:eastAsia="Times New Roman"/>
        </w:rPr>
        <w:t>The changes were welcome because it should also</w:t>
      </w:r>
      <w:r>
        <w:rPr>
          <w:rFonts w:ascii="Calibri" w:hAnsi="Calibri" w:eastAsia="Times New Roman"/>
          <w:sz w:val="21"/>
          <w:szCs w:val="21"/>
        </w:rPr>
        <w:t xml:space="preserve"> </w:t>
      </w:r>
      <w:r>
        <w:rPr>
          <w:rFonts w:eastAsia="Times New Roman"/>
        </w:rPr>
        <w:t>provide stability and the changes to the underlying rules would be kept to a minimum and policy shocks be avoided. There should be a justifiable economic and/or social basis for any change to the tax rules and this justification should be made public and the underlying policy made clear. The Committee also considers that it is important that a person’s tax liability should be easy to calculate and straightforward and cheap to collect. To this end, tax policy should be practicable. The tax system must be coherent. New provisions should complement the existing tax system, not conflict with it</w:t>
      </w:r>
      <w:r>
        <w:rPr>
          <w:rFonts w:eastAsia="Times New Roman"/>
          <w:vertAlign w:val="superscript"/>
        </w:rPr>
        <w:footnoteReference w:id="471"/>
      </w:r>
      <w:r>
        <w:rPr>
          <w:rFonts w:eastAsia="Times New Roman"/>
        </w:rPr>
        <w:t>. The TC’s study and recommendation underscore the need for clear and responsive fiscal and tax policy to drive tax law certainty and tax system reform</w:t>
      </w:r>
      <w:r>
        <w:rPr>
          <w:rFonts w:eastAsia="Times New Roman"/>
          <w:vertAlign w:val="superscript"/>
        </w:rPr>
        <w:footnoteReference w:id="472"/>
      </w:r>
      <w:r>
        <w:rPr>
          <w:rFonts w:eastAsia="Times New Roman"/>
        </w:rPr>
        <w:t xml:space="preserve">. </w:t>
      </w:r>
    </w:p>
    <w:p w14:paraId="5FB36EEA">
      <w:pPr>
        <w:spacing w:after="200" w:line="480" w:lineRule="auto"/>
        <w:jc w:val="both"/>
        <w:rPr>
          <w:rFonts w:eastAsia="Times New Roman"/>
        </w:rPr>
      </w:pPr>
      <w:r>
        <w:rPr>
          <w:rFonts w:eastAsia="Times New Roman"/>
        </w:rPr>
        <w:t>The UK also suffers from ‘vertical imbalance’ in its tax system. This means that lower levels of government, which in the UK is local (e.g., city, district, or county councils) or regional government (e.g., Welsh or Northern Irish Assemblies and the Scottish Parliament), don’t raise enough money of their own to meet their spending obligations and instead need to rely on the central government for extra funds, usually paid in the forms of grants</w:t>
      </w:r>
      <w:r>
        <w:rPr>
          <w:rFonts w:eastAsia="Times New Roman"/>
          <w:vertAlign w:val="superscript"/>
        </w:rPr>
        <w:footnoteReference w:id="473"/>
      </w:r>
      <w:r>
        <w:rPr>
          <w:rFonts w:eastAsia="Times New Roman"/>
        </w:rPr>
        <w:t>. To deal with the vertical imbalance in the UK tax system, the government set up the Sir Michael Lyons Commission in 2003 to consider options for change for balancing the funding. Although no changes were made following this report of the Commission, the government set up a review of local government resources in March 2011 to investigate ways of giving local governments in England more control over their money. From 2013, local councils can decide how their grants from central government should be spent in their area</w:t>
      </w:r>
      <w:r>
        <w:rPr>
          <w:rFonts w:eastAsia="Times New Roman"/>
          <w:vertAlign w:val="superscript"/>
        </w:rPr>
        <w:footnoteReference w:id="474"/>
      </w:r>
      <w:r>
        <w:rPr>
          <w:rFonts w:eastAsia="Times New Roman"/>
        </w:rPr>
        <w:t xml:space="preserve">. </w:t>
      </w:r>
    </w:p>
    <w:p w14:paraId="01B2FD8C">
      <w:pPr>
        <w:spacing w:after="200" w:line="480" w:lineRule="auto"/>
        <w:jc w:val="both"/>
        <w:rPr>
          <w:rFonts w:eastAsia="Times New Roman"/>
        </w:rPr>
      </w:pPr>
      <w:r>
        <w:rPr>
          <w:rFonts w:eastAsia="Times New Roman"/>
        </w:rPr>
        <w:t>The critical event of the UK annual taxation calendar, which significantly affects the petroleum industry, and therefore timely and targeted changes to the petroleum tax system, is the annual Budget Statement made by the Chancellor of the Exchequer. This statement outlines the Government’s budget plans for the year, which correspondingly must be balanced with how they will raise the money to finance these plans. It is in these annual statements that most tax changes reflecting the fiscal policy objectives of the Government for the year or cycle are to be found. In 2010, the UK annual Budget Statement process which had long been criticized for lack of consultation and ad hoc changes without sufficient warning, was reviewed</w:t>
      </w:r>
      <w:r>
        <w:rPr>
          <w:rFonts w:eastAsia="Times New Roman"/>
          <w:vertAlign w:val="superscript"/>
        </w:rPr>
        <w:footnoteReference w:id="475"/>
      </w:r>
      <w:r>
        <w:rPr>
          <w:rFonts w:eastAsia="Times New Roman"/>
        </w:rPr>
        <w:t>. After a period of consultation, the coalition Government published a Draft Consultation Framework which set out five (5) concrete improvements:</w:t>
      </w:r>
    </w:p>
    <w:p w14:paraId="4AB5A4F9">
      <w:pPr>
        <w:numPr>
          <w:ilvl w:val="0"/>
          <w:numId w:val="32"/>
        </w:numPr>
        <w:spacing w:after="200" w:line="480" w:lineRule="auto"/>
        <w:jc w:val="both"/>
        <w:rPr>
          <w:rFonts w:eastAsia="Times New Roman"/>
        </w:rPr>
      </w:pPr>
      <w:r>
        <w:rPr>
          <w:rFonts w:eastAsia="Times New Roman"/>
        </w:rPr>
        <w:t>In the case of major areas of reform, the Government will set out its rationale and policy objectives.</w:t>
      </w:r>
    </w:p>
    <w:p w14:paraId="3586B861">
      <w:pPr>
        <w:numPr>
          <w:ilvl w:val="0"/>
          <w:numId w:val="32"/>
        </w:numPr>
        <w:spacing w:after="200" w:line="480" w:lineRule="auto"/>
        <w:jc w:val="both"/>
        <w:rPr>
          <w:rFonts w:eastAsia="Times New Roman"/>
        </w:rPr>
      </w:pPr>
      <w:r>
        <w:rPr>
          <w:rFonts w:eastAsia="Times New Roman"/>
        </w:rPr>
        <w:t>Tax policies are to be developed over a longer policy cycle, giving more time for consultation and reflection.</w:t>
      </w:r>
    </w:p>
    <w:p w14:paraId="0C5C3C81">
      <w:pPr>
        <w:numPr>
          <w:ilvl w:val="0"/>
          <w:numId w:val="32"/>
        </w:numPr>
        <w:spacing w:after="200" w:line="480" w:lineRule="auto"/>
        <w:jc w:val="both"/>
        <w:rPr>
          <w:rFonts w:eastAsia="Times New Roman"/>
        </w:rPr>
      </w:pPr>
      <w:r>
        <w:rPr>
          <w:rFonts w:eastAsia="Times New Roman"/>
        </w:rPr>
        <w:t>In relation to consultation, the aim is to publish more legislation in draft form, so that it can be exposed to greater scrutiny at least three months before the relevant bill is introduced.</w:t>
      </w:r>
    </w:p>
    <w:p w14:paraId="4989DD7B">
      <w:pPr>
        <w:numPr>
          <w:ilvl w:val="0"/>
          <w:numId w:val="32"/>
        </w:numPr>
        <w:spacing w:after="200" w:line="480" w:lineRule="auto"/>
        <w:jc w:val="both"/>
        <w:rPr>
          <w:rFonts w:eastAsia="Times New Roman"/>
        </w:rPr>
      </w:pPr>
      <w:r>
        <w:rPr>
          <w:rFonts w:eastAsia="Times New Roman"/>
        </w:rPr>
        <w:t>The Government will adopt a more strategic approach to tax avoidance, balancing the need to protect the system from avoidance, against the desire to keep the system stable and predictable.</w:t>
      </w:r>
    </w:p>
    <w:p w14:paraId="49028F80">
      <w:pPr>
        <w:numPr>
          <w:ilvl w:val="0"/>
          <w:numId w:val="32"/>
        </w:numPr>
        <w:spacing w:after="200" w:line="480" w:lineRule="auto"/>
        <w:jc w:val="both"/>
        <w:rPr>
          <w:rFonts w:eastAsia="Times New Roman"/>
        </w:rPr>
      </w:pPr>
      <w:r>
        <w:rPr>
          <w:rFonts w:eastAsia="Times New Roman"/>
        </w:rPr>
        <w:t xml:space="preserve">Changes in tax law will be accompanied by Tax Information and Impact notes that will explain the changes and their expected impact. </w:t>
      </w:r>
    </w:p>
    <w:p w14:paraId="0247F6D9">
      <w:pPr>
        <w:spacing w:after="200" w:line="480" w:lineRule="auto"/>
        <w:jc w:val="both"/>
        <w:rPr>
          <w:rFonts w:eastAsia="Times New Roman"/>
        </w:rPr>
      </w:pPr>
      <w:r>
        <w:rPr>
          <w:rFonts w:eastAsia="Times New Roman"/>
        </w:rPr>
        <w:t>Three further important developments in the UK tax administration were introduced by the coalition government in 2010. The first was the creation of an Office of Tax Simplification (OTS)</w:t>
      </w:r>
      <w:r>
        <w:rPr>
          <w:rFonts w:eastAsia="Times New Roman"/>
          <w:vertAlign w:val="superscript"/>
        </w:rPr>
        <w:footnoteReference w:id="476"/>
      </w:r>
      <w:r>
        <w:rPr>
          <w:rFonts w:eastAsia="Times New Roman"/>
        </w:rPr>
        <w:t xml:space="preserve">. This is an independent body, attached to the Treasury, charged with finding ways to simplify the UK tax system. </w:t>
      </w:r>
    </w:p>
    <w:p w14:paraId="1DD5920A">
      <w:pPr>
        <w:spacing w:after="200" w:line="480" w:lineRule="auto"/>
        <w:jc w:val="both"/>
        <w:rPr>
          <w:rFonts w:eastAsia="Times New Roman"/>
        </w:rPr>
      </w:pPr>
      <w:r>
        <w:rPr>
          <w:rFonts w:eastAsia="Times New Roman"/>
        </w:rPr>
        <w:t>Second, the coalition Government created the Office for Budget Responsibility</w:t>
      </w:r>
      <w:r>
        <w:rPr>
          <w:rFonts w:eastAsia="Times New Roman"/>
          <w:vertAlign w:val="superscript"/>
        </w:rPr>
        <w:footnoteReference w:id="477"/>
      </w:r>
      <w:r>
        <w:rPr>
          <w:rFonts w:eastAsia="Times New Roman"/>
        </w:rPr>
        <w:t>. This body provides independent economic forecasting and analysis for the Government to take political pressure out of important judgements of the state of the UK economy. This was also to ensure that the Treasury is held to better account by independent expertise.</w:t>
      </w:r>
    </w:p>
    <w:p w14:paraId="25504DBF">
      <w:pPr>
        <w:spacing w:after="200" w:line="480" w:lineRule="auto"/>
        <w:jc w:val="both"/>
        <w:rPr>
          <w:rFonts w:eastAsia="Times New Roman"/>
        </w:rPr>
      </w:pPr>
      <w:r>
        <w:rPr>
          <w:rFonts w:eastAsia="Times New Roman"/>
        </w:rPr>
        <w:t>Third, the new approach to policy making introduced a new process for undertaking impact assessments for policy changes. From Budget 2011</w:t>
      </w:r>
      <w:r>
        <w:rPr>
          <w:rFonts w:eastAsia="Times New Roman"/>
          <w:vertAlign w:val="superscript"/>
        </w:rPr>
        <w:footnoteReference w:id="478"/>
      </w:r>
      <w:r>
        <w:rPr>
          <w:rFonts w:eastAsia="Times New Roman"/>
        </w:rPr>
        <w:t xml:space="preserve"> onwards, the Government publishes Tax Information and Impact Notes (TIINs) for policy changes, once they become final, or nearly final. They are supposed to provide a clear statement of the policy objective of the legislative change, the impact on the Exchequer, the economy, individuals, businesses, and civil society. These deliberate attempts and process for designing fiscal and tax policy, enhancing understanding and administration of policy and legislative changes in the tax system in the UK</w:t>
      </w:r>
      <w:r>
        <w:rPr>
          <w:rFonts w:eastAsia="Times New Roman"/>
          <w:vertAlign w:val="superscript"/>
        </w:rPr>
        <w:footnoteReference w:id="479"/>
      </w:r>
      <w:r>
        <w:rPr>
          <w:rFonts w:eastAsia="Times New Roman"/>
        </w:rPr>
        <w:t xml:space="preserve"> are missing in the Nigeria budget formulation, fiscal</w:t>
      </w:r>
      <w:r>
        <w:rPr>
          <w:rFonts w:eastAsia="Times New Roman"/>
          <w:vertAlign w:val="superscript"/>
        </w:rPr>
        <w:footnoteReference w:id="480"/>
      </w:r>
      <w:r>
        <w:rPr>
          <w:rFonts w:eastAsia="Times New Roman"/>
        </w:rPr>
        <w:t xml:space="preserve"> and tax policy design and planning as well as the general legislative and tax administration process of the Nigeria tax system</w:t>
      </w:r>
      <w:r>
        <w:rPr>
          <w:rFonts w:eastAsia="Times New Roman"/>
          <w:vertAlign w:val="superscript"/>
        </w:rPr>
        <w:footnoteReference w:id="481"/>
      </w:r>
      <w:r>
        <w:rPr>
          <w:rFonts w:eastAsia="Times New Roman"/>
        </w:rPr>
        <w:t xml:space="preserve">. </w:t>
      </w:r>
    </w:p>
    <w:p w14:paraId="14C36724">
      <w:pPr>
        <w:spacing w:after="200" w:line="480" w:lineRule="auto"/>
        <w:jc w:val="both"/>
        <w:rPr>
          <w:rFonts w:eastAsia="Times New Roman"/>
        </w:rPr>
      </w:pPr>
    </w:p>
    <w:p w14:paraId="27587FE2">
      <w:pPr>
        <w:spacing w:after="200" w:line="480" w:lineRule="auto"/>
        <w:jc w:val="both"/>
        <w:rPr>
          <w:rFonts w:eastAsia="Times New Roman"/>
          <w:b/>
          <w:bCs/>
        </w:rPr>
      </w:pPr>
      <w:r>
        <w:rPr>
          <w:rFonts w:eastAsia="Times New Roman"/>
          <w:b/>
          <w:bCs/>
        </w:rPr>
        <w:t>7.2</w:t>
      </w:r>
      <w:r>
        <w:rPr>
          <w:rFonts w:eastAsia="Times New Roman"/>
          <w:b/>
          <w:bCs/>
        </w:rPr>
        <w:tab/>
      </w:r>
      <w:r>
        <w:rPr>
          <w:rFonts w:eastAsia="Times New Roman"/>
          <w:b/>
          <w:bCs/>
        </w:rPr>
        <w:t xml:space="preserve"> </w:t>
      </w:r>
      <w:bookmarkStart w:id="23" w:name="_Hlk145267350"/>
      <w:r>
        <w:rPr>
          <w:rFonts w:eastAsia="Times New Roman"/>
          <w:b/>
          <w:bCs/>
        </w:rPr>
        <w:t>THE DEVELOPMENT OF THE UK PETROLEUM FISCAL AND TAX LEGISLATIVE REGIME</w:t>
      </w:r>
      <w:bookmarkEnd w:id="23"/>
    </w:p>
    <w:p w14:paraId="092ED699">
      <w:pPr>
        <w:spacing w:after="200" w:line="480" w:lineRule="auto"/>
        <w:jc w:val="both"/>
        <w:rPr>
          <w:rFonts w:eastAsia="Times New Roman"/>
        </w:rPr>
      </w:pPr>
      <w:r>
        <w:rPr>
          <w:rFonts w:eastAsia="Times New Roman"/>
        </w:rPr>
        <w:t>Over the years in the UK petroleum industry, successive administrations have developed clear fiscal policies, with well-defined economic and tax objectives</w:t>
      </w:r>
      <w:r>
        <w:rPr>
          <w:rFonts w:eastAsia="Times New Roman"/>
          <w:vertAlign w:val="superscript"/>
        </w:rPr>
        <w:footnoteReference w:id="482"/>
      </w:r>
      <w:r>
        <w:rPr>
          <w:rFonts w:eastAsia="Times New Roman"/>
        </w:rPr>
        <w:t>. These fiscal and tax objectives are implemented through the existing budgetary and legislative process within timelines that ensure predictability, clarity, certainty, and stability in the tax regime. Under this model, which is sadly uncoordinated and slow in Nigeria</w:t>
      </w:r>
      <w:r>
        <w:rPr>
          <w:rFonts w:eastAsia="Times New Roman"/>
          <w:vertAlign w:val="superscript"/>
        </w:rPr>
        <w:footnoteReference w:id="483"/>
      </w:r>
      <w:r>
        <w:rPr>
          <w:rFonts w:eastAsia="Times New Roman"/>
        </w:rPr>
        <w:t>, the succeeding governments in the UK, whether Labour or Conservative Government, ensure that the fiscal, legislative, and regulatory framework effectively supported and sustained the smooth running of the UK economy, and the North Sea oil and gas industry functions effectively. The UK operates a concession licensing system, with three major types of taxes, which are under constant review. The annual budgets and resulting Finance Bills affecting the UK oil and gas industry, eventually get enacted as the annual Finance Acts. This process is well interrogated and researched. The well-defined macro-economic and the oil and gas fiscal and tax objectives guide the process and outputs. HM Treasury, the Chancellor of the Exchequer, HMRC and the UK Parliament engage proactively to ensure that the legislation to facilitate the implementation of the fiscal and tax objectives are enacted in a timely manner. The process builds confidence and trust in the system, and investment planning and decision making are enhanced. The certainty and stability required in the economy keeps the UK NSCS oil and gas industry competitive.  This feature is also, sadly not as effective or structured in Nigeria. The annual budgetary exercise in Nigeria focuses more on financial appropriation and expenditure, with little or no attention given to stimulating the economy and the oil and gas industry through specific fiscal and tax policies</w:t>
      </w:r>
      <w:r>
        <w:rPr>
          <w:rStyle w:val="23"/>
          <w:rFonts w:eastAsia="Times New Roman"/>
        </w:rPr>
        <w:footnoteReference w:id="484"/>
      </w:r>
      <w:r>
        <w:rPr>
          <w:rFonts w:eastAsia="Times New Roman"/>
        </w:rPr>
        <w:t>.</w:t>
      </w:r>
    </w:p>
    <w:p w14:paraId="64EB68B9">
      <w:pPr>
        <w:spacing w:after="200" w:line="480" w:lineRule="auto"/>
        <w:jc w:val="both"/>
        <w:rPr>
          <w:rFonts w:eastAsia="Times New Roman"/>
        </w:rPr>
      </w:pPr>
      <w:r>
        <w:rPr>
          <w:rFonts w:eastAsia="Times New Roman"/>
          <w:lang w:val="en-GB"/>
        </w:rPr>
        <w:t>Following a sustained engagement, review and discussions, the Parliamentary Public Accounts Committee (PAC) of the House of Lords, on the needs for the UK petroleum industry, issued its report on 14 February 1973, titled “North Sea Oil and Gas”</w:t>
      </w:r>
      <w:r>
        <w:rPr>
          <w:rFonts w:eastAsia="Times New Roman"/>
          <w:vertAlign w:val="superscript"/>
          <w:lang w:val="en-GB"/>
        </w:rPr>
        <w:footnoteReference w:id="485"/>
      </w:r>
      <w:r>
        <w:rPr>
          <w:rFonts w:eastAsia="Times New Roman"/>
          <w:lang w:val="en-GB"/>
        </w:rPr>
        <w:t>. It reflected a comprehensive review of the oil industry, government administration, regulation, and the exchequer implications</w:t>
      </w:r>
      <w:r>
        <w:rPr>
          <w:rFonts w:eastAsia="Times New Roman"/>
          <w:vertAlign w:val="superscript"/>
          <w:lang w:val="en-GB"/>
        </w:rPr>
        <w:footnoteReference w:id="486"/>
      </w:r>
      <w:r>
        <w:rPr>
          <w:rFonts w:eastAsia="Times New Roman"/>
          <w:lang w:val="en-GB"/>
        </w:rPr>
        <w:t>. The review noted that at present, the only certain revenue from many North Sea fields was the royalty and licence payments. It was particularly concerned that profits from continental shelf operations could be offset by extraneous losses and capital allowances. Consequently, the Department of Energy issued on 11 July 1974, a White Paper “United Kingdom Offshore Oil &amp; Gas Policy”</w:t>
      </w:r>
      <w:r>
        <w:rPr>
          <w:rFonts w:eastAsia="Times New Roman"/>
          <w:vertAlign w:val="superscript"/>
          <w:lang w:val="en-GB"/>
        </w:rPr>
        <w:footnoteReference w:id="487"/>
      </w:r>
      <w:r>
        <w:rPr>
          <w:rFonts w:eastAsia="Times New Roman"/>
          <w:lang w:val="en-GB"/>
        </w:rPr>
        <w:t xml:space="preserve">. It set out the Government’s two main objectives, to secure a fairer share of profit for the nation and to maximise the balance of payments benefit, while ensuring the oil companies received a suitable return on their heavy capital investment in exploration and production. The White Paper proposed that the Government should introduce what was to become Petroleum Revenue Tax (PRT) and the Corporation Tax ring fence (CTRF). These formed the basis of the first Oil Taxation Bill (OTB). </w:t>
      </w:r>
      <w:r>
        <w:rPr>
          <w:rFonts w:eastAsia="Times New Roman"/>
        </w:rPr>
        <w:t>Part I of OTB imposed a new tax, Petroleum Revenue Tax (PRT), specifically targeted on the profits from oil production in the UK and from the UK Continental Shelf. The central proposition was the use of oil as the basis of taxation.</w:t>
      </w:r>
      <w:r>
        <w:rPr>
          <w:lang w:val="en-GB"/>
        </w:rPr>
        <w:t xml:space="preserve"> </w:t>
      </w:r>
      <w:r>
        <w:rPr>
          <w:rFonts w:eastAsia="Times New Roman"/>
          <w:lang w:val="en-GB"/>
        </w:rPr>
        <w:t xml:space="preserve">This was also a major under-belly of the PPTA regime in Nigeria until the piecemeal introduction of gas fiscal incentives to the PPTA and CITA regime. </w:t>
      </w:r>
      <w:r>
        <w:rPr>
          <w:rFonts w:eastAsia="Times New Roman"/>
        </w:rPr>
        <w:t xml:space="preserve"> </w:t>
      </w:r>
    </w:p>
    <w:p w14:paraId="361D6370">
      <w:pPr>
        <w:spacing w:after="200" w:line="480" w:lineRule="auto"/>
        <w:rPr>
          <w:rFonts w:eastAsia="Times New Roman"/>
          <w:lang w:val="en-GB"/>
        </w:rPr>
      </w:pPr>
      <w:r>
        <w:rPr>
          <w:rFonts w:eastAsia="Times New Roman"/>
          <w:lang w:val="en-GB"/>
        </w:rPr>
        <w:t>The main objectives behind PRT when it was introduced in 1974/5 were to:</w:t>
      </w:r>
    </w:p>
    <w:p w14:paraId="207C9E8D">
      <w:pPr>
        <w:numPr>
          <w:ilvl w:val="0"/>
          <w:numId w:val="33"/>
        </w:numPr>
        <w:spacing w:after="200" w:line="480" w:lineRule="auto"/>
        <w:jc w:val="both"/>
        <w:rPr>
          <w:rFonts w:eastAsia="Times New Roman"/>
          <w:lang w:val="en-GB"/>
        </w:rPr>
      </w:pPr>
      <w:r>
        <w:rPr>
          <w:rFonts w:eastAsia="Times New Roman"/>
          <w:lang w:val="en-GB"/>
        </w:rPr>
        <w:t>Allow a project rapidly to recover its cost, then tax it at an appropriate rate.</w:t>
      </w:r>
    </w:p>
    <w:p w14:paraId="67DB390C">
      <w:pPr>
        <w:numPr>
          <w:ilvl w:val="0"/>
          <w:numId w:val="33"/>
        </w:numPr>
        <w:spacing w:after="200" w:line="480" w:lineRule="auto"/>
        <w:jc w:val="both"/>
        <w:rPr>
          <w:rFonts w:eastAsia="Times New Roman"/>
          <w:lang w:val="en-GB"/>
        </w:rPr>
      </w:pPr>
      <w:r>
        <w:rPr>
          <w:rFonts w:eastAsia="Times New Roman"/>
          <w:lang w:val="en-GB"/>
        </w:rPr>
        <w:t>Ensure that tax due was paid as early as possible.</w:t>
      </w:r>
    </w:p>
    <w:p w14:paraId="6028798B">
      <w:pPr>
        <w:numPr>
          <w:ilvl w:val="0"/>
          <w:numId w:val="33"/>
        </w:numPr>
        <w:spacing w:after="200" w:line="480" w:lineRule="auto"/>
        <w:jc w:val="both"/>
        <w:rPr>
          <w:rFonts w:eastAsia="Times New Roman"/>
          <w:lang w:val="en-GB"/>
        </w:rPr>
      </w:pPr>
      <w:r>
        <w:rPr>
          <w:rFonts w:eastAsia="Times New Roman"/>
          <w:lang w:val="en-GB"/>
        </w:rPr>
        <w:t>Ensure that projects where no economic rent was likely were protected from the tax.</w:t>
      </w:r>
    </w:p>
    <w:p w14:paraId="0BCBB0D3">
      <w:pPr>
        <w:spacing w:after="200" w:line="480" w:lineRule="auto"/>
        <w:jc w:val="both"/>
        <w:rPr>
          <w:rFonts w:eastAsia="Times New Roman"/>
          <w:lang w:val="en-GB"/>
        </w:rPr>
      </w:pPr>
      <w:r>
        <w:rPr>
          <w:rFonts w:eastAsia="Times New Roman"/>
          <w:lang w:val="en-GB"/>
        </w:rPr>
        <w:t xml:space="preserve">Part II of OTB introduced a ring fence around corporation tax profits from UK oil production to prevent profits from the UK oil resource being diluted by losses or allowances on other activities. There were special rules for the allowance of interest and the treatment of advanced corporation tax. PRT paid by a company would be deductible in computing ring fence income for corporation tax purposes. Part III of the OTB was directed to strengthening the then existing corporation tax transfer pricing legislation in application to petroleum companies. The OTB came into law as the Oil Taxation Act 1975. These policy statements provided much of the imperatives for the evolution and development of the UK North Sea oil and gas regulatory and taxing framework. The annual budgetary pronouncements which are usually the product of extensive fiscal and economic study and analysis, basically dictated the direction of changes and the level of clarity and certainty in the UK North Sea Oil and Gas regime. </w:t>
      </w:r>
    </w:p>
    <w:p w14:paraId="204B54A3">
      <w:pPr>
        <w:spacing w:after="200" w:line="480" w:lineRule="auto"/>
        <w:jc w:val="both"/>
        <w:rPr>
          <w:rFonts w:eastAsia="Times New Roman"/>
          <w:lang w:val="en-GB"/>
        </w:rPr>
      </w:pPr>
      <w:r>
        <w:rPr>
          <w:rFonts w:eastAsia="Times New Roman"/>
        </w:rPr>
        <w:t>With the first British oil from the Argyle field brought ashore in 1975 and followed very soon after by BP in the massive Forties field, as well as subsequent oil discoveries, several companies, both British, European, and American, took out leases on sectors of the North Sea</w:t>
      </w:r>
      <w:r>
        <w:rPr>
          <w:rFonts w:eastAsia="Times New Roman"/>
          <w:vertAlign w:val="superscript"/>
        </w:rPr>
        <w:footnoteReference w:id="488"/>
      </w:r>
      <w:r>
        <w:rPr>
          <w:rFonts w:eastAsia="Times New Roman"/>
        </w:rPr>
        <w:t>. The UK Treasury and Exchequer working closely with Parliament to ensure that an indigenous UK petroleum industry was empowered through clear fiscal and tax policies directed at generating sufficient returns to government whilst providing fair returns to encourage private international participation in the industry. The impetus was to create a progressive and fiscally neutral tax system, with clear terms.</w:t>
      </w:r>
    </w:p>
    <w:p w14:paraId="04FABDB8">
      <w:pPr>
        <w:spacing w:after="200" w:line="480" w:lineRule="auto"/>
        <w:jc w:val="both"/>
        <w:rPr>
          <w:rFonts w:eastAsia="Times New Roman"/>
        </w:rPr>
      </w:pPr>
      <w:r>
        <w:rPr>
          <w:rFonts w:eastAsia="Times New Roman"/>
        </w:rPr>
        <w:t>In effect, the evolution and development of the UK petroleum fiscal regime and legislative framework have been driven by developments in the commercial position of the industry, but also by the wider considerations of the UK’s public finances. Following another review of the UKCS by Sir Ian Wood, in the 2014 Budget cycle, the then Chancellor, George Osborne, announced the Government would “review the UK’s tax treatment of the North Sea to ensure that it continues to incentivise economic recovery as the basin matures’’</w:t>
      </w:r>
      <w:r>
        <w:rPr>
          <w:rFonts w:eastAsia="Times New Roman"/>
          <w:vertAlign w:val="superscript"/>
        </w:rPr>
        <w:footnoteReference w:id="489"/>
      </w:r>
      <w:r>
        <w:rPr>
          <w:rFonts w:eastAsia="Times New Roman"/>
        </w:rPr>
        <w:t>.  In July 2014 the Government launched a call for evidence, asking for views on how the tax regime should be reformed in the light of the challenges facing the industry in future years with very clearly defined objectives. It stated:</w:t>
      </w:r>
    </w:p>
    <w:p w14:paraId="224D00C8">
      <w:pPr>
        <w:spacing w:after="200" w:line="480" w:lineRule="auto"/>
        <w:ind w:left="720"/>
        <w:jc w:val="both"/>
        <w:rPr>
          <w:rFonts w:eastAsia="Times New Roman"/>
        </w:rPr>
      </w:pPr>
      <w:r>
        <w:rPr>
          <w:rFonts w:eastAsia="Times New Roman"/>
        </w:rPr>
        <w:t>‘The government designs the fiscal regime to support its twin objectives of maximising the economic recovery of hydrocarbon resources whilst ensuring a fair return on those resources for the nation. A ‘fair return’ implies that a share of the profits should be retained for the nation, whilst ensuring returns on the private investment needed to exploit these resources is sufficient to make extraction activity commercially attractive. This is particularly important where ownership of companies by foreign investors means corporate profits flow overseas. Overseas ownership is increasingly common with companies operating in the UKCS. In practice, the design of oil and gas taxation involves making judgements about the combination of tax measures that will achieve the right balance in meeting these objectives. A key consideration is the degree to which a lower effective tax rate will incentivise investment in more challenging fields to increase production in future. This is important not just in ensuring a future flow of tax receipts but wider economic benefits such as employment, skills, supply chain activity, exports, and security of energy supply. However, these benefits need to be balanced against the risk of incurring deadweight costs – that is, reducing the return for the nation from less economically challenging fields which would have still been commercially attractive at a higher tax rate. Another judgement is the trade-off between a simple regime which is easily understood by investors, but which fails to take account of the commercial challenges of individual fields, and a more tailored regime which seeks to match tax take to the profitability of fields, but at the cost of greater complexity. These judgements change over time as circumstances change. Some changes in tax policy are a response to changes in the commercial position of the industry, which is driven by fluctuating oil and gas prices, its cost base, and the value of future commercial opportunities. Some tax changes are a response to the wider UK fiscal position, such as the current need to reduce the fiscal deficit’</w:t>
      </w:r>
      <w:r>
        <w:rPr>
          <w:rFonts w:eastAsia="Times New Roman"/>
          <w:vertAlign w:val="superscript"/>
        </w:rPr>
        <w:footnoteReference w:id="490"/>
      </w:r>
      <w:r>
        <w:rPr>
          <w:rFonts w:eastAsia="Times New Roman"/>
        </w:rPr>
        <w:t>.</w:t>
      </w:r>
    </w:p>
    <w:p w14:paraId="7F23B053">
      <w:pPr>
        <w:spacing w:after="200" w:line="480" w:lineRule="auto"/>
        <w:jc w:val="both"/>
        <w:rPr>
          <w:rFonts w:eastAsia="Times New Roman"/>
        </w:rPr>
      </w:pPr>
      <w:r>
        <w:rPr>
          <w:rFonts w:eastAsia="Times New Roman"/>
        </w:rPr>
        <w:t>In the Autumn Statement on 3 December 2014, the Chancellor announced a cut in the Supplementary Charge (SC), as well as the withdrawal of the so-called ‘fair fuel stabilizer’</w:t>
      </w:r>
      <w:r>
        <w:rPr>
          <w:rFonts w:eastAsia="Times New Roman"/>
          <w:vertAlign w:val="superscript"/>
        </w:rPr>
        <w:footnoteReference w:id="491"/>
      </w:r>
      <w:r>
        <w:rPr>
          <w:rFonts w:eastAsia="Times New Roman"/>
        </w:rPr>
        <w:t>. The Chancellor’s announcement was accompanied by the publication of a policy document summarizing the responses received to the Government’s call for evidence</w:t>
      </w:r>
      <w:r>
        <w:rPr>
          <w:rFonts w:eastAsia="Times New Roman"/>
          <w:vertAlign w:val="superscript"/>
        </w:rPr>
        <w:footnoteReference w:id="492"/>
      </w:r>
      <w:r>
        <w:rPr>
          <w:rFonts w:eastAsia="Times New Roman"/>
        </w:rPr>
        <w:t xml:space="preserve">. The Treasury’s policy document set out the ‘key findings’ from the call for evidence as follows: </w:t>
      </w:r>
    </w:p>
    <w:p w14:paraId="17305EC9">
      <w:pPr>
        <w:spacing w:after="200" w:line="480" w:lineRule="auto"/>
        <w:ind w:left="720"/>
        <w:jc w:val="both"/>
        <w:rPr>
          <w:rFonts w:eastAsia="Times New Roman"/>
        </w:rPr>
      </w:pPr>
      <w:r>
        <w:rPr>
          <w:rFonts w:eastAsia="Times New Roman"/>
        </w:rPr>
        <w:t>‘The fundamentals of the fiscal regime remain sound, but now is the time for significant change within the ring fence in order to attract investment. UKCS operators are facing strong competition for scarce investment whilst the economics of the basin have changed fundamentally, with implications for the overall level of tax. There are opportunities to simplify the fiscal regime to provide greater certainty, less administrative burden, and fewer distortions’</w:t>
      </w:r>
      <w:r>
        <w:rPr>
          <w:rFonts w:eastAsia="Times New Roman"/>
          <w:vertAlign w:val="superscript"/>
        </w:rPr>
        <w:footnoteReference w:id="493"/>
      </w:r>
      <w:r>
        <w:rPr>
          <w:rFonts w:eastAsia="Times New Roman"/>
        </w:rPr>
        <w:t>.</w:t>
      </w:r>
    </w:p>
    <w:p w14:paraId="35B0F799">
      <w:pPr>
        <w:spacing w:after="200" w:line="480" w:lineRule="auto"/>
        <w:jc w:val="both"/>
        <w:rPr>
          <w:rFonts w:eastAsia="Times New Roman"/>
        </w:rPr>
      </w:pPr>
      <w:r>
        <w:rPr>
          <w:rFonts w:eastAsia="Times New Roman"/>
        </w:rPr>
        <w:t>The government’s view when establishing this review was that the UK’s approach, based on taxation of ring-fenced profits, remained sound. The government had not received evidence that would suggest the UK should radically change its approach. The review focused on what would be the most appropriate structures and tax rates within the ring fence regime. Within the regime, there are clearly some aspects that are working well. Oil and gas production is highly capital intensive and so the tax treatment of capital expenditure is a key element of the regime. 100% first year capital allowances are available for virtually all capital expenditure, and it was clear that this remains a vital element of the regime. Tax relief is also available for expenditure on decommissioning, and the introduction of Decommissioning Relief Deeds</w:t>
      </w:r>
      <w:r>
        <w:rPr>
          <w:rFonts w:eastAsia="Times New Roman"/>
          <w:vertAlign w:val="superscript"/>
        </w:rPr>
        <w:footnoteReference w:id="494"/>
      </w:r>
      <w:r>
        <w:rPr>
          <w:rFonts w:eastAsia="Times New Roman"/>
        </w:rPr>
        <w:t xml:space="preserve"> from 2013 was a welcome move to ensure uncertainty over future tax relief for decommissioning does not tie up capital which would otherwise be available to invest. The introduction of field allowances</w:t>
      </w:r>
      <w:r>
        <w:rPr>
          <w:rFonts w:eastAsia="Times New Roman"/>
          <w:vertAlign w:val="superscript"/>
        </w:rPr>
        <w:footnoteReference w:id="495"/>
      </w:r>
      <w:r>
        <w:rPr>
          <w:rFonts w:eastAsia="Times New Roman"/>
        </w:rPr>
        <w:t>, which reduce a company’s liability to the SC if certain qualifying criteria are met, has supported significant investment in commercially marginal developments.</w:t>
      </w:r>
      <w:r>
        <w:rPr>
          <w:rFonts w:eastAsia="Times New Roman"/>
          <w:vertAlign w:val="superscript"/>
        </w:rPr>
        <w:footnoteReference w:id="496"/>
      </w:r>
      <w:r>
        <w:rPr>
          <w:rFonts w:eastAsia="Times New Roman"/>
        </w:rPr>
        <w:t xml:space="preserve"> More generally, stakeholders have also welcomed the level of engagement they have had with the Treasury and HMRC on fiscal issues in recent years. The government was of the view that the ring fence is sound, and it intends to make radical reform within the ring fence structure.</w:t>
      </w:r>
    </w:p>
    <w:p w14:paraId="6117735C">
      <w:pPr>
        <w:spacing w:after="200" w:line="480" w:lineRule="auto"/>
        <w:jc w:val="both"/>
        <w:rPr>
          <w:rFonts w:eastAsia="Times New Roman"/>
        </w:rPr>
      </w:pPr>
      <w:r>
        <w:rPr>
          <w:rFonts w:eastAsia="Times New Roman"/>
        </w:rPr>
        <w:t>Further policy measures in response to falling oil prices were to follow in the 2015 Budget, and subsequent years’ budgets. These included Ring Fence Expenditure Supplement (RFES). As announced at Autumn Statement 2014, the government extended the RFES from 6 to 10 accounting periods for all ring fence oil and gas losses and qualifying pre-commencement expenditure incurred on or after 5 December 2013</w:t>
      </w:r>
      <w:r>
        <w:rPr>
          <w:rFonts w:eastAsia="Times New Roman"/>
          <w:vertAlign w:val="superscript"/>
        </w:rPr>
        <w:footnoteReference w:id="497"/>
      </w:r>
      <w:r>
        <w:rPr>
          <w:rFonts w:eastAsia="Times New Roman"/>
        </w:rPr>
        <w:t>. Also, high pressure, high temperature cluster area allowance was announced in the Autumn Statement 2014, which introduced an allowance to support the development of high pressure, high temperature projects and encourage exploration and appraisal activity in the surrounding area or ‘cluster’. The allowance exempted a portion of a company’s profits from the SC. The amount of profit exempt will equal 62.5% of the qualifying capital expenditure a company incurs in relation to a cluster from 3 December 2014 onwards. So also, the UK Continental Shelf Investment Allowance was introduced to support investment on the UK Continental Shelf, replacing the existing offshore field allowances and simplifying the existing regime. Further to the 2-percentage point cut in the SC announced at the Autumn Statement 2014, the government reduced the rate of the SC from 30% to 20% with effect from 1 January 2015. The government also reduced the rate of PRT from 50% to 35%, taking effect for chargeable periods ending after 31 December 2015</w:t>
      </w:r>
      <w:r>
        <w:rPr>
          <w:rFonts w:eastAsia="Times New Roman"/>
          <w:vertAlign w:val="superscript"/>
        </w:rPr>
        <w:footnoteReference w:id="498"/>
      </w:r>
      <w:r>
        <w:rPr>
          <w:rFonts w:eastAsia="Times New Roman"/>
        </w:rPr>
        <w:t>.</w:t>
      </w:r>
    </w:p>
    <w:p w14:paraId="5BB174E6">
      <w:pPr>
        <w:spacing w:after="200" w:line="480" w:lineRule="auto"/>
        <w:jc w:val="both"/>
        <w:rPr>
          <w:rFonts w:eastAsia="Times New Roman"/>
        </w:rPr>
      </w:pPr>
      <w:r>
        <w:rPr>
          <w:rFonts w:eastAsia="Times New Roman"/>
        </w:rPr>
        <w:t>The Budget 2016 delivered the next stage of the government’s plan to ensure the fiscal regime supports the objective of maximising economic recovery while obtaining a fair return on the nation’s resources. The government effectively abolished PRT by permanently reducing the rate from 35% to 0%</w:t>
      </w:r>
      <w:r>
        <w:rPr>
          <w:rFonts w:eastAsia="Times New Roman"/>
          <w:vertAlign w:val="superscript"/>
        </w:rPr>
        <w:footnoteReference w:id="499"/>
      </w:r>
      <w:r>
        <w:rPr>
          <w:rFonts w:eastAsia="Times New Roman"/>
        </w:rPr>
        <w:t>, to simplify the regime for investors and level the playing field between investment opportunities in older fields and infrastructure and new developments</w:t>
      </w:r>
      <w:r>
        <w:rPr>
          <w:rFonts w:eastAsia="Times New Roman"/>
          <w:vertAlign w:val="superscript"/>
        </w:rPr>
        <w:footnoteReference w:id="500"/>
      </w:r>
      <w:r>
        <w:rPr>
          <w:rFonts w:eastAsia="Times New Roman"/>
        </w:rPr>
        <w:t>. The SC was further reduced from 20% to 10%, to send a strong signal that the UK is open for business and in recognition of the exceptionally challenging conditions that were currently facing the sector. The change took effect from 1 January 2016</w:t>
      </w:r>
      <w:r>
        <w:rPr>
          <w:rFonts w:eastAsia="Times New Roman"/>
          <w:vertAlign w:val="superscript"/>
        </w:rPr>
        <w:footnoteReference w:id="501"/>
      </w:r>
      <w:r>
        <w:rPr>
          <w:rFonts w:eastAsia="Times New Roman"/>
        </w:rPr>
        <w:t>.</w:t>
      </w:r>
    </w:p>
    <w:p w14:paraId="41DE8BA6">
      <w:pPr>
        <w:spacing w:after="200" w:line="480" w:lineRule="auto"/>
        <w:jc w:val="both"/>
        <w:rPr>
          <w:rFonts w:eastAsia="Times New Roman"/>
        </w:rPr>
      </w:pPr>
      <w:r>
        <w:rPr>
          <w:rFonts w:eastAsia="Times New Roman"/>
        </w:rPr>
        <w:t>In the 2017 Budget, HM Treasury announced plans to change tax reliefs available to operators buying and selling assets, and as of November 2018, the purchasers of an oil and gas license may be able to acquire some of the seller’s tax history and set decommissioning losses against profits earned by the seller. This rule will mean the buyer and seller of an asset are able to decide jointly to transfer some or all the seller’s tax history to the buyer for it to claim decommissioning tax relief in the future. These changes were aimed at mitigating tax-based barriers to operators transferring ownership of assets, which could lead to earlier closure of the assets with fewer resources having been recovered. HM Treasury expected the changes to have a positive net impact on tax revenues in the next five years</w:t>
      </w:r>
      <w:r>
        <w:rPr>
          <w:rFonts w:eastAsia="Times New Roman"/>
          <w:vertAlign w:val="superscript"/>
        </w:rPr>
        <w:footnoteReference w:id="502"/>
      </w:r>
      <w:r>
        <w:rPr>
          <w:rFonts w:eastAsia="Times New Roman"/>
        </w:rPr>
        <w:t>. However, the National Audit Office (NAO’s) report noted that the liability of decommissioning “ultimately falls to the government”.</w:t>
      </w:r>
    </w:p>
    <w:p w14:paraId="11A02EF5">
      <w:pPr>
        <w:spacing w:after="200" w:line="480" w:lineRule="auto"/>
        <w:jc w:val="both"/>
        <w:rPr>
          <w:rFonts w:eastAsia="Times New Roman"/>
        </w:rPr>
      </w:pPr>
      <w:r>
        <w:rPr>
          <w:rFonts w:eastAsia="Times New Roman"/>
        </w:rPr>
        <w:t>In January 2019 the NAO published a report, Oil and Gas in the UK: offshore decommissioning, to “enable Parliament to consider whether the various government departments involved are protecting taxpayers’ interests effectively.” The report gave an overview of the operation of decommissioning tax reliefs and stated that while operators are responsible for decommissioning their assets, the government gives operators tax reliefs against their decommissioning costs. The tax reliefs allow operators to offset their decommissioning costs against their revenue, resulting in less of their profit being subject to tax. This can also result in the government repaying tax previously paid. Decommissioning is one example of capital expenditure incurred during business that companies can deduct from profits for tax purposes. It was a clearly stated objective by the HMT and HMRC to grant decommissioning tax reliefs to support the government’s objective to maximise the oil and gas that operators extract. They consider that reliefs make it more viable for operators to extend the life of existing assets or free up resources to invest in new exploration and production</w:t>
      </w:r>
      <w:r>
        <w:rPr>
          <w:rFonts w:eastAsia="Times New Roman"/>
          <w:vertAlign w:val="superscript"/>
        </w:rPr>
        <w:footnoteReference w:id="503"/>
      </w:r>
      <w:r>
        <w:rPr>
          <w:rFonts w:eastAsia="Times New Roman"/>
        </w:rPr>
        <w:t xml:space="preserve">. </w:t>
      </w:r>
    </w:p>
    <w:p w14:paraId="493623B4">
      <w:pPr>
        <w:spacing w:after="200" w:line="480" w:lineRule="auto"/>
        <w:jc w:val="both"/>
        <w:rPr>
          <w:rFonts w:eastAsia="Times New Roman"/>
        </w:rPr>
      </w:pPr>
      <w:r>
        <w:rPr>
          <w:rFonts w:eastAsia="Times New Roman"/>
        </w:rPr>
        <w:t>More recently, in the years 2021 to 2022, the government budgets introduced</w:t>
      </w:r>
      <w:r>
        <w:rPr>
          <w:rFonts w:ascii="Calibri" w:hAnsi="Calibri" w:eastAsia="Times New Roman"/>
          <w:sz w:val="21"/>
          <w:szCs w:val="21"/>
        </w:rPr>
        <w:t xml:space="preserve"> </w:t>
      </w:r>
      <w:r>
        <w:rPr>
          <w:rFonts w:eastAsia="Times New Roman"/>
        </w:rPr>
        <w:t>the Energy Profits Levy (EPL) and the Electricity Generator Levy (EGL). These have been introduced to address the cost of living which has been increasing across the UK.</w:t>
      </w:r>
      <w:r>
        <w:rPr>
          <w:rFonts w:ascii="Calibri" w:hAnsi="Calibri" w:eastAsia="Times New Roman"/>
          <w:sz w:val="21"/>
          <w:szCs w:val="21"/>
        </w:rPr>
        <w:t xml:space="preserve"> </w:t>
      </w:r>
      <w:r>
        <w:rPr>
          <w:rFonts w:eastAsia="Times New Roman"/>
        </w:rPr>
        <w:t>The Energy Profits Levy took effect from 26 May 2022. At this time the Treasury confirmed it would be legislated by a standalone Bill</w:t>
      </w:r>
      <w:r>
        <w:rPr>
          <w:rFonts w:eastAsia="Times New Roman"/>
          <w:vertAlign w:val="superscript"/>
        </w:rPr>
        <w:footnoteReference w:id="504"/>
      </w:r>
      <w:r>
        <w:rPr>
          <w:rFonts w:eastAsia="Times New Roman"/>
        </w:rPr>
        <w:t xml:space="preserve">. </w:t>
      </w:r>
    </w:p>
    <w:p w14:paraId="3D047ACC">
      <w:pPr>
        <w:spacing w:after="200" w:line="480" w:lineRule="auto"/>
        <w:jc w:val="both"/>
        <w:rPr>
          <w:rFonts w:eastAsia="Times New Roman"/>
        </w:rPr>
      </w:pPr>
      <w:r>
        <w:rPr>
          <w:rFonts w:eastAsia="Times New Roman"/>
        </w:rPr>
        <w:t>The above progressive changes to the UK fiscal regime and legislation may therefore qualify it to generally be classified as liberal and proprietorial</w:t>
      </w:r>
      <w:r>
        <w:rPr>
          <w:rFonts w:eastAsia="Times New Roman"/>
          <w:vertAlign w:val="superscript"/>
        </w:rPr>
        <w:footnoteReference w:id="505"/>
      </w:r>
      <w:r>
        <w:rPr>
          <w:rFonts w:eastAsia="Times New Roman"/>
        </w:rPr>
        <w:t xml:space="preserve">. All the conditions attached to typical licenses under this regime point in the same direction. They promote, for example, cooperation between different licenses according to geology and at the same time promote competition in the marketplace. The liberal regime allowed for the efficient management of natural resources and the unhampered development of productivity, whilst the proprietorial fiscal regime is characterized by a positive marginal rent, a reservation ground rent, which puts a threshold on the flow of investment. Excess profits are taxed, and the investor seeks to make a reservation profit on top of which the State demands a reservation ground rent. Arising from the responsiveness of successive governments, the features of UK NSCS include clarity, predictability, and relative competitiveness. </w:t>
      </w:r>
    </w:p>
    <w:p w14:paraId="6FE7A5BE">
      <w:pPr>
        <w:spacing w:after="200" w:line="480" w:lineRule="auto"/>
        <w:jc w:val="both"/>
        <w:rPr>
          <w:rFonts w:eastAsia="Times New Roman"/>
          <w:lang w:val="en-GB"/>
        </w:rPr>
      </w:pPr>
      <w:r>
        <w:rPr>
          <w:rFonts w:eastAsia="Times New Roman"/>
        </w:rPr>
        <w:t>The development of UK Petroleum Fiscal policy has had to remain flexible enough to address the reality of a harsh geological terrain and the changes in oil prices, but at the same time provide the industry with the necessary clarity and stability for future planning</w:t>
      </w:r>
      <w:r>
        <w:rPr>
          <w:rFonts w:eastAsia="Times New Roman"/>
          <w:vertAlign w:val="superscript"/>
        </w:rPr>
        <w:footnoteReference w:id="506"/>
      </w:r>
      <w:r>
        <w:rPr>
          <w:rFonts w:eastAsia="Times New Roman"/>
        </w:rPr>
        <w:t xml:space="preserve">. To sustain the objective of improving the UK public finance through sustained returns on investments, HM Treasury keenly engaged a wide range of stakeholders, including </w:t>
      </w:r>
      <w:r>
        <w:rPr>
          <w:rFonts w:eastAsia="Times New Roman"/>
          <w:lang w:val="en-GB"/>
        </w:rPr>
        <w:t xml:space="preserve">companies involved in the upstream supply chain, </w:t>
      </w:r>
      <w:r>
        <w:rPr>
          <w:rFonts w:eastAsia="Times New Roman"/>
        </w:rPr>
        <w:t xml:space="preserve">and </w:t>
      </w:r>
      <w:r>
        <w:rPr>
          <w:rFonts w:eastAsia="Times New Roman"/>
          <w:lang w:val="en-GB"/>
        </w:rPr>
        <w:t xml:space="preserve">providers of finance to the industry. </w:t>
      </w:r>
    </w:p>
    <w:p w14:paraId="24CE6EB9">
      <w:pPr>
        <w:spacing w:after="200" w:line="480" w:lineRule="auto"/>
        <w:jc w:val="both"/>
        <w:rPr>
          <w:rFonts w:eastAsia="Times New Roman"/>
        </w:rPr>
      </w:pPr>
      <w:r>
        <w:rPr>
          <w:rFonts w:eastAsia="Times New Roman"/>
        </w:rPr>
        <w:t xml:space="preserve">During this period, the Treasury worked closely with the Department of Energy and Climate Change (DECC) and HMRC on the question of how fiscal and regulatory regimes can best complement one another. The structured and responsive principle-driven design of oil and gas fiscal policy and taxation in the UK involves making judgements about the combination of tax measures that will achieve the right balance in meeting set economic objectives. A key consideration is the degree to which a lower effective tax rate (ETR) will incentivize investment in more challenging fields to increase production in the future. The advantage of the subsisting UK structured process of fiscal and economic policy articulation and legislation is that there is certainty and stability in the development of a progressive and competitive regulatory and tax legislative system for the profitable development and production of the UK North Sea and Continental Shell reserves, for the overall benefit of the UK economy. </w:t>
      </w:r>
    </w:p>
    <w:p w14:paraId="1E7A7D0F">
      <w:pPr>
        <w:spacing w:after="200" w:line="480" w:lineRule="auto"/>
        <w:jc w:val="both"/>
        <w:rPr>
          <w:rFonts w:eastAsia="Times New Roman"/>
          <w:lang w:val="en-GB"/>
        </w:rPr>
      </w:pPr>
      <w:r>
        <w:rPr>
          <w:rFonts w:eastAsia="Times New Roman"/>
          <w:lang w:val="en-GB"/>
        </w:rPr>
        <w:t>In summary, the current fiscal and tax regime for the NSCS oil and gas exploration and extraction consists, in varying degree of importance, of three elements:</w:t>
      </w:r>
    </w:p>
    <w:p w14:paraId="5C1C77B9">
      <w:pPr>
        <w:numPr>
          <w:ilvl w:val="0"/>
          <w:numId w:val="34"/>
        </w:numPr>
        <w:spacing w:after="200" w:line="480" w:lineRule="auto"/>
        <w:jc w:val="both"/>
        <w:rPr>
          <w:rFonts w:eastAsia="Times New Roman"/>
          <w:lang w:val="en-GB"/>
        </w:rPr>
      </w:pPr>
      <w:r>
        <w:rPr>
          <w:rFonts w:eastAsia="Times New Roman"/>
          <w:lang w:val="en-GB"/>
        </w:rPr>
        <w:t>Petroleum Revenue Tax (PRT) is a field-based tax charged on profits arising from individual oil fields. Effective 1 January 2016, PRT was permanently zero-rated rather than abolished to enable companies to continue to carry back losses</w:t>
      </w:r>
      <w:r>
        <w:rPr>
          <w:rFonts w:eastAsia="Times New Roman"/>
          <w:vertAlign w:val="superscript"/>
          <w:lang w:val="en-GB"/>
        </w:rPr>
        <w:footnoteReference w:id="507"/>
      </w:r>
      <w:r>
        <w:rPr>
          <w:rFonts w:eastAsia="Times New Roman"/>
          <w:lang w:val="en-GB"/>
        </w:rPr>
        <w:t>.</w:t>
      </w:r>
    </w:p>
    <w:p w14:paraId="4B29D4CA">
      <w:pPr>
        <w:numPr>
          <w:ilvl w:val="0"/>
          <w:numId w:val="34"/>
        </w:numPr>
        <w:spacing w:after="200" w:line="480" w:lineRule="auto"/>
        <w:jc w:val="both"/>
        <w:rPr>
          <w:rFonts w:eastAsia="Times New Roman"/>
          <w:lang w:val="en-GB"/>
        </w:rPr>
      </w:pPr>
      <w:r>
        <w:rPr>
          <w:rFonts w:eastAsia="Times New Roman"/>
          <w:lang w:val="en-GB"/>
        </w:rPr>
        <w:t>Ring Fence Corporation Tax (RFCT) is the standard corporation tax applicable to all companies (subject to some important modifications e.g., relating to capital allowances) with the addition of a ‘ring fence’. The ring fence prevents taxable profits from oil and gas extraction in the UK NSCS being reduced by losses from other activities</w:t>
      </w:r>
      <w:r>
        <w:rPr>
          <w:rFonts w:eastAsia="Times New Roman"/>
          <w:vertAlign w:val="superscript"/>
          <w:lang w:val="en-GB"/>
        </w:rPr>
        <w:footnoteReference w:id="508"/>
      </w:r>
      <w:r>
        <w:rPr>
          <w:rFonts w:eastAsia="Times New Roman"/>
          <w:lang w:val="en-GB"/>
        </w:rPr>
        <w:t xml:space="preserve"> or by excessive interest payments</w:t>
      </w:r>
      <w:r>
        <w:rPr>
          <w:rFonts w:eastAsia="Times New Roman"/>
          <w:vertAlign w:val="superscript"/>
          <w:lang w:val="en-GB"/>
        </w:rPr>
        <w:footnoteReference w:id="509"/>
      </w:r>
      <w:r>
        <w:rPr>
          <w:rFonts w:eastAsia="Times New Roman"/>
          <w:lang w:val="en-GB"/>
        </w:rPr>
        <w:t>. From the 1 April 2008 the main rate of RFCT was fixed at 30%.</w:t>
      </w:r>
    </w:p>
    <w:p w14:paraId="1ED52865">
      <w:pPr>
        <w:numPr>
          <w:ilvl w:val="0"/>
          <w:numId w:val="34"/>
        </w:numPr>
        <w:spacing w:after="200" w:line="480" w:lineRule="auto"/>
        <w:jc w:val="both"/>
        <w:rPr>
          <w:rFonts w:eastAsia="Times New Roman"/>
          <w:lang w:val="en-GB"/>
        </w:rPr>
      </w:pPr>
      <w:r>
        <w:rPr>
          <w:rFonts w:eastAsia="Times New Roman"/>
          <w:lang w:val="en-GB"/>
        </w:rPr>
        <w:t>Supplementary Charge (SC) is an additional charge originally set at 10% on a company’s ring fence profits excluding finance costs. The SC was introduced from 17 April 2002</w:t>
      </w:r>
      <w:r>
        <w:rPr>
          <w:rFonts w:eastAsia="Times New Roman"/>
          <w:vertAlign w:val="superscript"/>
          <w:lang w:val="en-GB"/>
        </w:rPr>
        <w:footnoteReference w:id="510"/>
      </w:r>
      <w:r>
        <w:rPr>
          <w:rFonts w:eastAsia="Times New Roman"/>
          <w:lang w:val="en-GB"/>
        </w:rPr>
        <w:t xml:space="preserve"> . The rate was increased to 20% for APs beginning on or after 1 January 2006 and 32% from 24 March 2011. The rate was then reduced back to 20% for APs beginning on or after 1 January 2015. The current rate, for APs beginning on or after 1 January 2016, is 10%.</w:t>
      </w:r>
    </w:p>
    <w:p w14:paraId="727B6A74">
      <w:pPr>
        <w:spacing w:after="200" w:line="480" w:lineRule="auto"/>
        <w:jc w:val="both"/>
        <w:rPr>
          <w:rFonts w:eastAsia="Times New Roman"/>
          <w:lang w:val="en-GB"/>
        </w:rPr>
      </w:pPr>
      <w:r>
        <w:rPr>
          <w:rFonts w:eastAsia="Times New Roman"/>
          <w:lang w:val="en-GB"/>
        </w:rPr>
        <w:t>In addition to the above taxes, a royalty</w:t>
      </w:r>
      <w:r>
        <w:rPr>
          <w:rFonts w:eastAsia="Times New Roman"/>
          <w:vertAlign w:val="superscript"/>
          <w:lang w:val="en-GB"/>
        </w:rPr>
        <w:footnoteReference w:id="511"/>
      </w:r>
      <w:r>
        <w:rPr>
          <w:rFonts w:eastAsia="Times New Roman"/>
          <w:lang w:val="en-GB"/>
        </w:rPr>
        <w:t xml:space="preserve"> was charged up to 31 December 2002, when it was abolished. It was levied at 12.5% of the gross value of oil and gas won in a particular licence area, less an allowance for the costs associated with the conveying, treating and initial storage of the oil and gas between the well head and the point of valuation, usually the terminal onshore. </w:t>
      </w:r>
    </w:p>
    <w:p w14:paraId="03AFD416">
      <w:pPr>
        <w:spacing w:after="200" w:line="480" w:lineRule="auto"/>
        <w:jc w:val="both"/>
        <w:rPr>
          <w:rFonts w:eastAsia="Times New Roman"/>
        </w:rPr>
      </w:pPr>
      <w:r>
        <w:rPr>
          <w:rFonts w:eastAsia="Times New Roman"/>
        </w:rPr>
        <w:t>Clarity of terms and predictability of the petroleum tax system has been enhanced by successive UK governments making the right judgement calls demanded by the economic circumstances of the UK and investors, which successive governments in Nigeria have failed to make on the petroleum industry in Nigeria, particularly with respect to the fiscal policy and tax law reform</w:t>
      </w:r>
      <w:r>
        <w:rPr>
          <w:rFonts w:eastAsia="Times New Roman"/>
          <w:vertAlign w:val="superscript"/>
        </w:rPr>
        <w:footnoteReference w:id="512"/>
      </w:r>
      <w:r>
        <w:rPr>
          <w:rFonts w:eastAsia="Times New Roman"/>
        </w:rPr>
        <w:t>.</w:t>
      </w:r>
    </w:p>
    <w:p w14:paraId="0B6811DC">
      <w:pPr>
        <w:spacing w:after="200" w:line="480" w:lineRule="auto"/>
        <w:jc w:val="both"/>
        <w:rPr>
          <w:rFonts w:eastAsia="Times New Roman"/>
        </w:rPr>
      </w:pPr>
    </w:p>
    <w:p w14:paraId="3866491A">
      <w:pPr>
        <w:numPr>
          <w:ilvl w:val="1"/>
          <w:numId w:val="35"/>
        </w:numPr>
        <w:spacing w:after="200" w:line="480" w:lineRule="auto"/>
        <w:contextualSpacing/>
        <w:jc w:val="both"/>
        <w:rPr>
          <w:rFonts w:eastAsia="Times New Roman"/>
          <w:b/>
          <w:bCs/>
        </w:rPr>
      </w:pPr>
      <w:bookmarkStart w:id="24" w:name="_Hlk125587100"/>
      <w:r>
        <w:rPr>
          <w:rFonts w:eastAsia="Times New Roman"/>
          <w:b/>
          <w:bCs/>
        </w:rPr>
        <w:t xml:space="preserve">  THE UK LEGISLATIVE PROCESS AND TAX LAW MAKING </w:t>
      </w:r>
      <w:bookmarkEnd w:id="24"/>
    </w:p>
    <w:p w14:paraId="470F33E0">
      <w:pPr>
        <w:spacing w:after="200" w:line="480" w:lineRule="auto"/>
        <w:jc w:val="both"/>
        <w:rPr>
          <w:rFonts w:eastAsia="Times New Roman"/>
        </w:rPr>
      </w:pPr>
      <w:r>
        <w:rPr>
          <w:rFonts w:eastAsia="Times New Roman"/>
          <w:lang w:val="en-GB"/>
        </w:rPr>
        <w:t xml:space="preserve">The UK is a parliamentary democracy with a bicameral legislature, made up of the House of Commons (HC) and the House of Lords (HL). </w:t>
      </w:r>
      <w:r>
        <w:rPr>
          <w:rFonts w:eastAsia="Times New Roman"/>
        </w:rPr>
        <w:t xml:space="preserve">HL is the second chamber of the UK Parliament. It works with the HC to </w:t>
      </w:r>
      <w:r>
        <w:rPr>
          <w:rFonts w:eastAsia="Times New Roman"/>
          <w:lang w:val="en-GB"/>
        </w:rPr>
        <w:t>make laws to check and challenge the actions of the Government and provide a forum of independent expertise. The HL Chamber spends about 60% of its time on legislation; the other 40% is spent on scrutiny, i.e., questioning Government and debating issues and policy</w:t>
      </w:r>
      <w:r>
        <w:rPr>
          <w:rFonts w:eastAsia="Times New Roman"/>
          <w:vertAlign w:val="superscript"/>
          <w:lang w:val="en-GB"/>
        </w:rPr>
        <w:footnoteReference w:id="513"/>
      </w:r>
      <w:r>
        <w:rPr>
          <w:rFonts w:eastAsia="Times New Roman"/>
          <w:lang w:val="en-GB"/>
        </w:rPr>
        <w:t xml:space="preserve">. However, the HL has limited or restricted tax legislative powers. </w:t>
      </w:r>
      <w:r>
        <w:rPr>
          <w:rFonts w:eastAsia="Times New Roman"/>
        </w:rPr>
        <w:t>The UK legislative process is also relatively straightforward</w:t>
      </w:r>
      <w:r>
        <w:rPr>
          <w:rFonts w:eastAsia="Times New Roman"/>
          <w:vertAlign w:val="superscript"/>
        </w:rPr>
        <w:footnoteReference w:id="514"/>
      </w:r>
      <w:r>
        <w:rPr>
          <w:rFonts w:eastAsia="Times New Roman"/>
        </w:rPr>
        <w:t>. Whilst HC has primacy over HL in taxation matters, the process that a bill goes through under normal circumstances is the same in both houses. A serial processing system of legislation is in place and the same bill goes through one Chamber of Parliament before then progressing through the other. A bill under normal circumstances must be agreed by both the HC and HL before it then goes on to receive Royal Assent. The exception to this is when the HC invokes the Parliament Act. This means that if the HC passes the same bill in consecutive parliamentary sessions, they can by-pass the HL by invoking the Parliament Act (for example, the HC did this with the Hunting Act in 2004)</w:t>
      </w:r>
      <w:r>
        <w:rPr>
          <w:rFonts w:eastAsia="Times New Roman"/>
          <w:vertAlign w:val="superscript"/>
        </w:rPr>
        <w:footnoteReference w:id="515"/>
      </w:r>
      <w:r>
        <w:rPr>
          <w:rFonts w:eastAsia="Times New Roman"/>
        </w:rPr>
        <w:t xml:space="preserve">. </w:t>
      </w:r>
    </w:p>
    <w:p w14:paraId="2D45F284">
      <w:pPr>
        <w:spacing w:after="200" w:line="480" w:lineRule="auto"/>
        <w:jc w:val="both"/>
        <w:rPr>
          <w:rFonts w:eastAsia="Times New Roman"/>
          <w:lang w:val="en-GB"/>
        </w:rPr>
      </w:pPr>
      <w:r>
        <w:rPr>
          <w:rFonts w:eastAsia="Times New Roman"/>
        </w:rPr>
        <w:t>The UK Acts of Parliament seek to capture the objectives and taxation principles clearly, and it is left to the administrators and courts to interpret these Acts and to provide much detail of the tax system. In addition, HMRC issues a variety of statements, notices and leaflets which explain how the law is implemented in practice. These statements are not law, and only explain the tax authorities' interpretation of the law. They are relied on unless successfully challenged in the courts. Moreover, the structured, regular, and effective engagement of the UK revenue with operators and the UK Oil Industry Taxation Committee (UKOITC) provides the platform for achieving better clarity and certainty, working closely with the Treasury.</w:t>
      </w:r>
    </w:p>
    <w:p w14:paraId="6F757922">
      <w:pPr>
        <w:spacing w:after="200" w:line="480" w:lineRule="auto"/>
        <w:jc w:val="both"/>
        <w:rPr>
          <w:rFonts w:eastAsia="Times New Roman"/>
          <w:lang w:val="en-GB"/>
        </w:rPr>
      </w:pPr>
      <w:r>
        <w:rPr>
          <w:rFonts w:eastAsia="Times New Roman"/>
          <w:lang w:val="en-GB"/>
        </w:rPr>
        <w:t xml:space="preserve">The UK process is characterized by speed, and tax measures announced in March, for example, can be enacted as early as July. </w:t>
      </w:r>
      <w:r>
        <w:rPr>
          <w:rFonts w:eastAsia="Times New Roman"/>
        </w:rPr>
        <w:t xml:space="preserve">Each year the Chancellor of the Exchequer presents the Budget, which contains all the tax measures for the year ahead. The statutory provisions to give effect to these tax measures are set out in a single Bill: the annual Finance Bill.  </w:t>
      </w:r>
      <w:r>
        <w:rPr>
          <w:rFonts w:eastAsia="Times New Roman"/>
          <w:lang w:val="en-GB"/>
        </w:rPr>
        <w:t>It has been the practice in recent years for Chancellors to make tax announcements twice a year, using the Pre-Budget Report or Autumn Statement as a second fiscal event. In the Autumn Statement in November 2016, the then Chancellor Philip Hammond announced that from autumn 2017 the Government would present a single autumn Budget, to allow for greater Parliamentary scrutiny of Budget measures ahead of their implementation. He stated:</w:t>
      </w:r>
    </w:p>
    <w:p w14:paraId="08B4FCA0">
      <w:pPr>
        <w:spacing w:after="200" w:line="480" w:lineRule="auto"/>
        <w:ind w:left="720"/>
        <w:jc w:val="both"/>
        <w:rPr>
          <w:rFonts w:eastAsia="Times New Roman"/>
        </w:rPr>
      </w:pPr>
      <w:r>
        <w:rPr>
          <w:rFonts w:eastAsia="Times New Roman"/>
        </w:rPr>
        <w:t>“Under the new cycle of a single fiscal event each year, most tax policies will continue to be developed through an established cycle, whereby a policy announcement at the Budget is followed by a policy consultation, the publication of draft legislation, and proposals are finally legislated in the next Finance Bill. However, to reflect the move of the Budget from spring to autumn, the timing of this cycle will change. Policies will be announced in the autumn and consulted on in winter and over the spring. Draft legislation will then be published in July for technical consultation ahead of the Finance Bill being introduced in the autumn.”</w:t>
      </w:r>
      <w:r>
        <w:rPr>
          <w:rFonts w:eastAsia="Times New Roman"/>
          <w:vertAlign w:val="superscript"/>
        </w:rPr>
        <w:footnoteReference w:id="516"/>
      </w:r>
      <w:r>
        <w:rPr>
          <w:rFonts w:eastAsia="Times New Roman"/>
        </w:rPr>
        <w:t xml:space="preserve"> </w:t>
      </w:r>
    </w:p>
    <w:p w14:paraId="224C2F90">
      <w:pPr>
        <w:spacing w:after="200" w:line="480" w:lineRule="auto"/>
        <w:jc w:val="both"/>
        <w:rPr>
          <w:rFonts w:eastAsia="Times New Roman"/>
        </w:rPr>
      </w:pPr>
      <w:r>
        <w:rPr>
          <w:rFonts w:eastAsia="Times New Roman"/>
        </w:rPr>
        <w:t>As with the UK, the Nigeria Federal system operates a bicameral legislature at the Federal level</w:t>
      </w:r>
      <w:r>
        <w:rPr>
          <w:rFonts w:eastAsia="Times New Roman"/>
          <w:vertAlign w:val="superscript"/>
        </w:rPr>
        <w:footnoteReference w:id="517"/>
      </w:r>
      <w:r>
        <w:rPr>
          <w:rFonts w:eastAsia="Times New Roman"/>
        </w:rPr>
        <w:t>, but a unicameral legislature at the federating States level. The comparison and the similarity end here, as the NA under the Nigerian 1999 Constitution specifically provides that legislative powers of the NA shall be exercised through bills that may originate from either of the houses of the NA. The scrutiny and responsiveness under the UK system, which ensures clarity of fiscal objectives, as well as the required alignment of the fiscal objective to the budgetary process, and speed as already highlighted above, is noticeably missing in Nigeria. Bills can only become laws when assented to by the President under the 1999 Nigerian Constitution or over-ridden by the veto of the NA</w:t>
      </w:r>
      <w:r>
        <w:rPr>
          <w:rFonts w:eastAsia="Times New Roman"/>
          <w:vertAlign w:val="superscript"/>
        </w:rPr>
        <w:footnoteReference w:id="518"/>
      </w:r>
      <w:r>
        <w:rPr>
          <w:rFonts w:eastAsia="Times New Roman"/>
        </w:rPr>
        <w:t xml:space="preserve">. Unlike in the UK, the Nigeria Budget, Finance and NA process lacks adequate reviews, established timelines, consultation and stakeholder engagement and transparency. The budget cycle in Nigeria can sometime drag on beyond the annual budget year and add generally to the fiscal and tax legislative uncertainty. </w:t>
      </w:r>
    </w:p>
    <w:p w14:paraId="5FC96BF2">
      <w:pPr>
        <w:spacing w:after="200" w:line="480" w:lineRule="auto"/>
        <w:jc w:val="both"/>
        <w:rPr>
          <w:rFonts w:eastAsia="Times New Roman"/>
        </w:rPr>
      </w:pPr>
      <w:r>
        <w:rPr>
          <w:rFonts w:eastAsia="Times New Roman"/>
        </w:rPr>
        <w:t xml:space="preserve">In the next section, we examine specific features of the UK fiscal, tax legislative process and practice that enhance and create clarity, certainty of terms, progressivity, and the predictability required in an otherwise complex oil and gas industry. These features of the UK NSCS tax regime can indeed be a model for achieving a simple, clear and certain terms and system of taxation in the Nigeria oil and gas industry which combines both the proprietorial and non-proprietorial aspects of ownership, control of operations, as well as encourage investment by operators whilst delivering profitable and fair economic returns to the resource owning country and the investors. </w:t>
      </w:r>
    </w:p>
    <w:p w14:paraId="4D3F0B70">
      <w:pPr>
        <w:spacing w:after="200" w:line="480" w:lineRule="auto"/>
        <w:jc w:val="both"/>
        <w:rPr>
          <w:rFonts w:eastAsia="Times New Roman"/>
        </w:rPr>
      </w:pPr>
    </w:p>
    <w:p w14:paraId="06A6B071">
      <w:pPr>
        <w:spacing w:after="200" w:line="480" w:lineRule="auto"/>
        <w:jc w:val="both"/>
        <w:rPr>
          <w:rFonts w:eastAsia="Times New Roman"/>
          <w:b/>
          <w:bCs/>
        </w:rPr>
      </w:pPr>
      <w:r>
        <w:rPr>
          <w:rFonts w:eastAsia="Times New Roman"/>
          <w:b/>
          <w:bCs/>
        </w:rPr>
        <w:t>7.4</w:t>
      </w:r>
      <w:r>
        <w:rPr>
          <w:rFonts w:eastAsia="Times New Roman"/>
          <w:b/>
          <w:bCs/>
        </w:rPr>
        <w:tab/>
      </w:r>
      <w:r>
        <w:rPr>
          <w:rFonts w:eastAsia="Times New Roman"/>
          <w:b/>
          <w:bCs/>
        </w:rPr>
        <w:t xml:space="preserve"> ACHIEVING CERTAINTY AND STABILITY IN UK PETROLEUM TAXATION – A COMPARATIVE ASSESSMENT AND LESSONS FOR NIGERIA</w:t>
      </w:r>
    </w:p>
    <w:p w14:paraId="43CB8FFB">
      <w:pPr>
        <w:spacing w:after="200" w:line="480" w:lineRule="auto"/>
        <w:jc w:val="both"/>
        <w:rPr>
          <w:rFonts w:eastAsia="Times New Roman"/>
        </w:rPr>
      </w:pPr>
      <w:r>
        <w:rPr>
          <w:rFonts w:eastAsia="Times New Roman"/>
        </w:rPr>
        <w:t>The foundations of the current UK fiscal regime were laid almost 100 years ago, and successive UK administrations have developed a fiscal regime which encourages companies to explore for and develop the nation’s oil and gas reserves whilst ensuring that an appropriate share of the benefits accrues to the UK economy. Despite the challenging North Sea environment, the uncertainties of the international oil market, the UK petroleum fiscal and legislative regime has kept pace and remained neutral and competitive. The UK Government commissions, and parliamentary interventions, ensured that the legislation, regulations, and agreements opened the way to the exploitation of the UK’s oil and gas reserves</w:t>
      </w:r>
      <w:r>
        <w:rPr>
          <w:rFonts w:eastAsia="Times New Roman"/>
          <w:vertAlign w:val="superscript"/>
        </w:rPr>
        <w:footnoteReference w:id="519"/>
      </w:r>
      <w:r>
        <w:rPr>
          <w:rFonts w:eastAsia="Times New Roman"/>
        </w:rPr>
        <w:t xml:space="preserve">. This provided the background to the development of the UK oil and gas royalty and subsequently the Ring-fenced Corporate Tax regime. </w:t>
      </w:r>
    </w:p>
    <w:p w14:paraId="735F5B1C">
      <w:pPr>
        <w:spacing w:after="200" w:line="480" w:lineRule="auto"/>
        <w:jc w:val="both"/>
        <w:rPr>
          <w:rFonts w:eastAsia="Times New Roman"/>
        </w:rPr>
      </w:pPr>
      <w:r>
        <w:rPr>
          <w:rFonts w:eastAsia="Times New Roman"/>
        </w:rPr>
        <w:t xml:space="preserve">With </w:t>
      </w:r>
      <w:r>
        <w:rPr>
          <w:rFonts w:eastAsia="Times New Roman"/>
          <w:lang w:val="en-GB"/>
        </w:rPr>
        <w:t xml:space="preserve">the introduction of royalty at the rate of 12.5 percent in 1964, and the oil price increase of 1973, it became clear that the tax regime was inadequate to achieve the objective of securing a fair share of the rapidly escalating oil revenues for the UK. </w:t>
      </w:r>
      <w:r>
        <w:rPr>
          <w:rFonts w:eastAsia="Times New Roman"/>
        </w:rPr>
        <w:t xml:space="preserve">This was important not just in ensuring a future flow of tax receipts but wider economic benefits such as employment, skills, supply chain activity, exports, and security of energy supply. The benefits needed to be balanced against the risk of incurring deadweight costs from less economically challenging fields which would have still been commercially attractive at a higher tax rate. </w:t>
      </w:r>
    </w:p>
    <w:p w14:paraId="2C373397">
      <w:pPr>
        <w:spacing w:after="200" w:line="480" w:lineRule="auto"/>
        <w:jc w:val="both"/>
        <w:rPr>
          <w:rFonts w:eastAsia="Times New Roman"/>
          <w:lang w:val="en-GB"/>
        </w:rPr>
      </w:pPr>
      <w:r>
        <w:rPr>
          <w:rFonts w:eastAsia="Times New Roman"/>
        </w:rPr>
        <w:t>The UK has in the last 40 years developed into one of the world’s major oil production countries, due to structured, timely and market responsive fiscal and tax system reviews. T</w:t>
      </w:r>
      <w:r>
        <w:rPr>
          <w:rFonts w:eastAsia="Times New Roman"/>
          <w:lang w:val="en-GB"/>
        </w:rPr>
        <w:t>he UK petroleum fiscal regime is a trade-off between a simple regime which is easily understood by investors, but which fails to take account of the commercial challenges of individual fields, and a more tailored regime which seeks to match tax take to the profitability of fields, but at the cost of greater complexity. The changes introduced were in response to the wider UK fiscal position, such as the need to reduce the fiscal deficit</w:t>
      </w:r>
      <w:r>
        <w:rPr>
          <w:rFonts w:eastAsia="Times New Roman"/>
          <w:vertAlign w:val="superscript"/>
          <w:lang w:val="en-GB"/>
        </w:rPr>
        <w:footnoteReference w:id="520"/>
      </w:r>
      <w:r>
        <w:rPr>
          <w:rFonts w:eastAsia="Times New Roman"/>
          <w:lang w:val="en-GB"/>
        </w:rPr>
        <w:t>. The UK Treasury and Parliamentary system have consistently used the annual budget cycle to ensure the Finance Acts capture the tax legislation clearly, efficiently and in a timely manner.</w:t>
      </w:r>
    </w:p>
    <w:p w14:paraId="5CC2E96B">
      <w:pPr>
        <w:spacing w:after="200" w:line="480" w:lineRule="auto"/>
        <w:jc w:val="both"/>
        <w:rPr>
          <w:rFonts w:eastAsia="Times New Roman"/>
          <w:lang w:val="en-GB"/>
        </w:rPr>
      </w:pPr>
      <w:r>
        <w:rPr>
          <w:rFonts w:eastAsia="Times New Roman"/>
          <w:lang w:val="en-GB"/>
        </w:rPr>
        <w:t>In addition to the subsisting royalty charge of 12.5 percent, a new tax, PRT on cash flow, starting in 1975, was chosen as the preferred instrument for increasing the government share of the oil rents. Tax avoidance was curtailed by ring fencing field operations for corporate tax purposes. Subsequently, the PRT rates were increased significantly, rising to 75% in 1982. A Supplementary Petroleum Duty (SPD) was also introduced in response to dramatically high oil prices, but this was discontinued in 1982 in favour of the higher rate of PRT and the introduction of Advance PRT to accelerate its collection. For the next ten years, there was a progressive revision in the UK petroleum fiscal regime. This involved three (3) components:</w:t>
      </w:r>
    </w:p>
    <w:p w14:paraId="3C81853D">
      <w:pPr>
        <w:numPr>
          <w:ilvl w:val="0"/>
          <w:numId w:val="36"/>
        </w:numPr>
        <w:spacing w:after="200" w:line="480" w:lineRule="auto"/>
        <w:jc w:val="both"/>
        <w:rPr>
          <w:rFonts w:eastAsia="Times New Roman"/>
          <w:lang w:val="en-GB"/>
        </w:rPr>
      </w:pPr>
      <w:r>
        <w:rPr>
          <w:rFonts w:eastAsia="Times New Roman"/>
          <w:lang w:val="en-GB"/>
        </w:rPr>
        <w:t xml:space="preserve">Targeted reductions in royalty obligations. </w:t>
      </w:r>
    </w:p>
    <w:p w14:paraId="4FE1470E">
      <w:pPr>
        <w:numPr>
          <w:ilvl w:val="0"/>
          <w:numId w:val="36"/>
        </w:numPr>
        <w:spacing w:after="200" w:line="480" w:lineRule="auto"/>
        <w:jc w:val="both"/>
        <w:rPr>
          <w:rFonts w:eastAsia="Times New Roman"/>
          <w:lang w:val="en-GB"/>
        </w:rPr>
      </w:pPr>
      <w:r>
        <w:rPr>
          <w:rFonts w:eastAsia="Times New Roman"/>
          <w:lang w:val="en-GB"/>
        </w:rPr>
        <w:t>A set of tax breaks which included breaching the original ring-fencing of PRT; and</w:t>
      </w:r>
    </w:p>
    <w:p w14:paraId="106FD262">
      <w:pPr>
        <w:numPr>
          <w:ilvl w:val="0"/>
          <w:numId w:val="36"/>
        </w:numPr>
        <w:spacing w:after="200" w:line="480" w:lineRule="auto"/>
        <w:jc w:val="both"/>
        <w:rPr>
          <w:rFonts w:eastAsia="Times New Roman"/>
          <w:lang w:val="en-GB"/>
        </w:rPr>
      </w:pPr>
      <w:r>
        <w:rPr>
          <w:rFonts w:eastAsia="Times New Roman"/>
          <w:lang w:val="en-GB"/>
        </w:rPr>
        <w:t>Reduction of the rate of PRT and its partial abolition</w:t>
      </w:r>
      <w:r>
        <w:rPr>
          <w:rFonts w:eastAsia="Times New Roman"/>
          <w:vertAlign w:val="superscript"/>
          <w:lang w:val="en-GB"/>
        </w:rPr>
        <w:footnoteReference w:id="521"/>
      </w:r>
      <w:r>
        <w:rPr>
          <w:rFonts w:eastAsia="Times New Roman"/>
          <w:lang w:val="en-GB"/>
        </w:rPr>
        <w:t xml:space="preserve">.  </w:t>
      </w:r>
    </w:p>
    <w:p w14:paraId="2CE6BB77">
      <w:pPr>
        <w:spacing w:after="200" w:line="480" w:lineRule="auto"/>
        <w:jc w:val="both"/>
        <w:rPr>
          <w:rFonts w:eastAsia="Times New Roman"/>
        </w:rPr>
      </w:pPr>
      <w:r>
        <w:rPr>
          <w:rFonts w:eastAsia="Times New Roman"/>
        </w:rPr>
        <w:t>In addition to these developments, there was also the reduction of the standard rate of CT from 52% in 1983, down to 33% in 1993.  These deliberate policy steps, backed by legislation, ensured fair returns to both government and the investors, thus making the impact and direction clear to all stakeholders. The structured intervention and progressive review of the fiscal policy for the UK petroleum tax regime was accompanied by the overall effort of simplification of legislation by the Office of Tax Simplification and creating certainty in the system. The Nigeria fiscal and tax policy generally lacked this structured and responsive approach to reform a rather old petroleum tax system under the PPTA as amended by the PSC Act.</w:t>
      </w:r>
    </w:p>
    <w:p w14:paraId="2AB2911C">
      <w:pPr>
        <w:spacing w:after="200" w:line="480" w:lineRule="auto"/>
        <w:jc w:val="both"/>
        <w:rPr>
          <w:rFonts w:eastAsia="Times New Roman"/>
        </w:rPr>
      </w:pPr>
      <w:r>
        <w:rPr>
          <w:rFonts w:eastAsia="Times New Roman"/>
        </w:rPr>
        <w:t>It has been argued that the phased removal of PRT, SPD and APRT duties defines the UK petroleum fiscal regime as a non-proprietorial regime</w:t>
      </w:r>
      <w:r>
        <w:rPr>
          <w:rFonts w:eastAsia="Times New Roman"/>
          <w:vertAlign w:val="superscript"/>
        </w:rPr>
        <w:footnoteReference w:id="522"/>
      </w:r>
      <w:r>
        <w:rPr>
          <w:rFonts w:eastAsia="Times New Roman"/>
        </w:rPr>
        <w:t>, but more importantly, the timely regular review of the UK oil and gas taxation regime has facilitated the streamlining the UK NSCS tax system for a challenging environment. regime. These developments keep the UK petroleum tax regime competitive. Also, the simplification of the tax system,</w:t>
      </w:r>
      <w:r>
        <w:rPr>
          <w:rFonts w:eastAsia="Times New Roman"/>
          <w:vertAlign w:val="superscript"/>
        </w:rPr>
        <w:footnoteReference w:id="523"/>
      </w:r>
      <w:r>
        <w:rPr>
          <w:rFonts w:eastAsia="Times New Roman"/>
        </w:rPr>
        <w:t xml:space="preserve"> though not fully achieved, may be said to proceed based on clear and well-defined fiscal and tax objectives and not just the simplification of legislative language. The consolidation of several earlier enactments, including the Petroleum and Submarine Pipelines Act 1975 and the Petroleum Act 1987 has resulted in the redrafting of certain provisions of the OTA and Petroleum Act 1998, to provide clarity. The most recent review concluded in 2023</w:t>
      </w:r>
      <w:r>
        <w:rPr>
          <w:rStyle w:val="23"/>
          <w:rFonts w:eastAsia="Times New Roman"/>
        </w:rPr>
        <w:footnoteReference w:id="524"/>
      </w:r>
      <w:r>
        <w:rPr>
          <w:rFonts w:eastAsia="Times New Roman"/>
        </w:rPr>
        <w:t>, confirm policy decisions and principles for future policy making.  The policy review supports investment through predictable and certain principles and terms for present operations and the support of investment which will inform the development of future tax response to price shocks.</w:t>
      </w:r>
    </w:p>
    <w:p w14:paraId="1F75A096">
      <w:pPr>
        <w:spacing w:after="200" w:line="480" w:lineRule="auto"/>
        <w:jc w:val="both"/>
        <w:rPr>
          <w:rFonts w:eastAsia="Times New Roman"/>
          <w:lang w:val="en-GB"/>
        </w:rPr>
      </w:pPr>
      <w:r>
        <w:rPr>
          <w:rFonts w:eastAsia="Times New Roman"/>
        </w:rPr>
        <w:t>Of particular importance is the legislation that determines the vesting of ownership of oil and gas rights within Great Britain and its territorial sea in the Crown. The grant of oil licences</w:t>
      </w:r>
      <w:r>
        <w:rPr>
          <w:rFonts w:eastAsia="Times New Roman"/>
          <w:vertAlign w:val="superscript"/>
        </w:rPr>
        <w:footnoteReference w:id="525"/>
      </w:r>
      <w:r>
        <w:rPr>
          <w:rFonts w:eastAsia="Times New Roman"/>
        </w:rPr>
        <w:t xml:space="preserve"> and the rules relating to submarine pipelines and the decommissioning of offshore installations have now been clarified to ensure a firm basis for licensing petroleum operations. </w:t>
      </w:r>
      <w:r>
        <w:rPr>
          <w:rFonts w:eastAsia="Times New Roman"/>
          <w:lang w:val="en-GB"/>
        </w:rPr>
        <w:t xml:space="preserve">The Public Accounts Committee (PAC) of the House of Lords had, in February of 1973, issued a report summarizing the discretionary licensing system that primarily had been used by the UK for the first four license rounds for the North Sea, but made no recommendation that the discretionary licensing system be changed to an auction system or that the 12.5 percent royalty rate associated with North Sea licenses be increased. </w:t>
      </w:r>
      <w:r>
        <w:rPr>
          <w:rFonts w:eastAsia="Times New Roman"/>
        </w:rPr>
        <w:t xml:space="preserve">The PAC, however reviewed the then existing U.K. corporation tax applicable to oil company profits earned from North Sea oil and gas operations and expressed a concern that the U.K. corporation tax was poorly structured in that petroleum companies could offset profits from North Sea oil and gas activity by losses from unrelated activities. The PAC consequently recommended legislative changes to the U.K. corporation tax to increase the effective U.K. tax rate on profits relating to North Sea oil and gas production. </w:t>
      </w:r>
    </w:p>
    <w:p w14:paraId="7E9E63EB">
      <w:pPr>
        <w:spacing w:after="200" w:line="480" w:lineRule="auto"/>
        <w:jc w:val="both"/>
        <w:rPr>
          <w:rFonts w:eastAsia="Times New Roman"/>
          <w:lang w:val="en-GB"/>
        </w:rPr>
      </w:pPr>
      <w:r>
        <w:rPr>
          <w:rFonts w:eastAsia="Times New Roman"/>
        </w:rPr>
        <w:t xml:space="preserve">With respect to vesting of ownership of oil and gas and the granting of licenses, the United States Tax Court in </w:t>
      </w:r>
      <w:r>
        <w:rPr>
          <w:rFonts w:eastAsia="Times New Roman"/>
          <w:i/>
          <w:iCs/>
          <w:lang w:val="en-GB"/>
        </w:rPr>
        <w:t>Exxon Corp., et al. v. Commissioner for Taxes</w:t>
      </w:r>
      <w:r>
        <w:rPr>
          <w:rFonts w:eastAsia="Times New Roman"/>
          <w:i/>
          <w:iCs/>
          <w:vertAlign w:val="superscript"/>
          <w:lang w:val="en-GB"/>
        </w:rPr>
        <w:footnoteReference w:id="526"/>
      </w:r>
      <w:r>
        <w:rPr>
          <w:rFonts w:eastAsia="Times New Roman"/>
          <w:b/>
          <w:bCs/>
          <w:i/>
          <w:iCs/>
          <w:lang w:val="en-GB"/>
        </w:rPr>
        <w:t>,</w:t>
      </w:r>
      <w:r>
        <w:rPr>
          <w:rFonts w:eastAsia="Times New Roman"/>
          <w:b/>
          <w:bCs/>
          <w:lang w:val="en-GB"/>
        </w:rPr>
        <w:t xml:space="preserve"> </w:t>
      </w:r>
      <w:r>
        <w:rPr>
          <w:rFonts w:eastAsia="Times New Roman"/>
          <w:lang w:val="en-GB"/>
        </w:rPr>
        <w:t xml:space="preserve">made useful findings of fact as to the rationale behind the UK natural resource ownership and licensing arrangement. </w:t>
      </w:r>
      <w:r>
        <w:rPr>
          <w:rFonts w:eastAsia="Times New Roman"/>
        </w:rPr>
        <w:t xml:space="preserve">The Court affirmed that with respect to the North Sea petroleum resources the licenses between the UK and Exxon were entered into in good faith. They were negotiated at arm's length and therefore constituted enforceable contracts under U.K. law. </w:t>
      </w:r>
      <w:r>
        <w:rPr>
          <w:rFonts w:eastAsia="Times New Roman"/>
          <w:lang w:val="en-GB"/>
        </w:rPr>
        <w:t>The Court observed that the purpose and objective of the UK in enacting the Ring Fence Corporation Tax and PRT were to accelerate tax revenues relating to development of North Sea petroleum resources and to tax extraordinary profits of oil and gas companies relating to the North Sea. It was also to make it more difficult for oil and gas companies to offset profits derived from the North Sea with losses and expenses from unrelated activities. The Ring Fence Tax</w:t>
      </w:r>
      <w:r>
        <w:rPr>
          <w:rFonts w:eastAsia="Times New Roman"/>
          <w:vertAlign w:val="superscript"/>
          <w:lang w:val="en-GB"/>
        </w:rPr>
        <w:footnoteReference w:id="527"/>
      </w:r>
      <w:r>
        <w:rPr>
          <w:rFonts w:eastAsia="Times New Roman"/>
          <w:lang w:val="en-GB"/>
        </w:rPr>
        <w:t xml:space="preserve"> was therefore enacted as a modified version of the U.K. corporation income tax and was made applicable to activity of oil and gas companies in the North Sea in lieu of the general provisions of the U.K. corporation tax generally applicable to U.K. corporate taxpayers. The US Court held that under its sovereign taxing power, the UK intended to and did impose PRT as a tax, not as payment for specific economic benefits. </w:t>
      </w:r>
    </w:p>
    <w:p w14:paraId="1D6C2EE0">
      <w:pPr>
        <w:spacing w:after="200" w:line="480" w:lineRule="auto"/>
        <w:jc w:val="both"/>
        <w:rPr>
          <w:rFonts w:eastAsia="Times New Roman"/>
        </w:rPr>
      </w:pPr>
      <w:r>
        <w:rPr>
          <w:rFonts w:eastAsia="Times New Roman"/>
          <w:lang w:val="en-GB"/>
        </w:rPr>
        <w:t>There is therefore clarity with respect to ownership rights, licencing operations, and the field based PRT charged on profits from individual oil fields given development consent before 16 March 1993</w:t>
      </w:r>
      <w:r>
        <w:rPr>
          <w:rFonts w:eastAsia="Times New Roman"/>
          <w:vertAlign w:val="superscript"/>
          <w:lang w:val="en-GB"/>
        </w:rPr>
        <w:footnoteReference w:id="528"/>
      </w:r>
      <w:r>
        <w:rPr>
          <w:rFonts w:eastAsia="Times New Roman"/>
          <w:lang w:val="en-GB"/>
        </w:rPr>
        <w:t>. With the ring-fenced CT as well as the treatment of decommissioning costs, the UK NSCS fiscal and tax regime offers sufficient clarity to the taxpayer for planning, without depriving government of needed revenues, and guarantees fair returns to the companies and operators in the industry</w:t>
      </w:r>
      <w:r>
        <w:rPr>
          <w:rFonts w:eastAsia="Times New Roman"/>
          <w:vertAlign w:val="superscript"/>
        </w:rPr>
        <w:footnoteReference w:id="529"/>
      </w:r>
      <w:r>
        <w:rPr>
          <w:rFonts w:eastAsia="Times New Roman"/>
        </w:rPr>
        <w:t>, with minimal frictions</w:t>
      </w:r>
      <w:r>
        <w:rPr>
          <w:rFonts w:eastAsia="Times New Roman"/>
          <w:vertAlign w:val="superscript"/>
        </w:rPr>
        <w:footnoteReference w:id="530"/>
      </w:r>
      <w:r>
        <w:rPr>
          <w:rFonts w:eastAsia="Times New Roman"/>
        </w:rPr>
        <w:t>.</w:t>
      </w:r>
      <w:r>
        <w:rPr>
          <w:rFonts w:eastAsia="Times New Roman"/>
          <w:lang w:val="en-GB"/>
        </w:rPr>
        <w:t xml:space="preserve">  </w:t>
      </w:r>
      <w:r>
        <w:rPr>
          <w:rFonts w:eastAsia="Times New Roman"/>
        </w:rPr>
        <w:t>The legislative changes and the reduction in rates and the introduction of new allowances without disrupting the existing CT regime and the overall UK tax system</w:t>
      </w:r>
      <w:r>
        <w:rPr>
          <w:rFonts w:eastAsia="Times New Roman"/>
          <w:vertAlign w:val="superscript"/>
        </w:rPr>
        <w:footnoteReference w:id="531"/>
      </w:r>
      <w:r>
        <w:rPr>
          <w:rFonts w:eastAsia="Times New Roman"/>
        </w:rPr>
        <w:t>brought into clear focus the connection between production and prices. The changes and relaxation in the regime</w:t>
      </w:r>
      <w:r>
        <w:rPr>
          <w:rFonts w:eastAsia="Times New Roman"/>
          <w:vertAlign w:val="superscript"/>
        </w:rPr>
        <w:footnoteReference w:id="532"/>
      </w:r>
      <w:r>
        <w:rPr>
          <w:rFonts w:eastAsia="Times New Roman"/>
        </w:rPr>
        <w:t xml:space="preserve"> made it more likely for the development of marginal fields, whilst the cost of reducing the royalty generally was met by increasing the burden of tax on more profitable fields. The preciseness and the timing of these regulatory responses emphasized the need to achieve certainty and clarity in the fiscal regime and the tax legislation and regulations. The above stated initiatives and developments in the UK NSCS petroleum tax system clearly contrast with the general approach of the Nigeria FG in the ad hoc fiscal reviews and the introduction of gas fiscal incentives and the PSC fiscal arrangement</w:t>
      </w:r>
      <w:r>
        <w:rPr>
          <w:rFonts w:eastAsia="Times New Roman"/>
          <w:vertAlign w:val="superscript"/>
        </w:rPr>
        <w:footnoteReference w:id="533"/>
      </w:r>
      <w:r>
        <w:rPr>
          <w:rFonts w:eastAsia="Times New Roman"/>
        </w:rPr>
        <w:t xml:space="preserve"> into the existing tax and royalty fiscal JV regime under the PPTA. </w:t>
      </w:r>
    </w:p>
    <w:p w14:paraId="5A4F0EA1">
      <w:pPr>
        <w:spacing w:after="200" w:line="480" w:lineRule="auto"/>
        <w:jc w:val="both"/>
        <w:rPr>
          <w:rFonts w:eastAsia="Times New Roman"/>
          <w:lang w:val="en-GB"/>
        </w:rPr>
      </w:pPr>
      <w:r>
        <w:rPr>
          <w:rFonts w:eastAsia="Times New Roman"/>
        </w:rPr>
        <w:t>The UK government also introduced several fiscal stimuli in the period 1983</w:t>
      </w:r>
      <w:r>
        <w:rPr>
          <w:rFonts w:eastAsia="Times New Roman"/>
          <w:vertAlign w:val="superscript"/>
        </w:rPr>
        <w:footnoteReference w:id="534"/>
      </w:r>
      <w:r>
        <w:rPr>
          <w:rFonts w:eastAsia="Times New Roman"/>
        </w:rPr>
        <w:t>to 1999</w:t>
      </w:r>
      <w:r>
        <w:rPr>
          <w:rFonts w:eastAsia="Times New Roman"/>
          <w:vertAlign w:val="superscript"/>
        </w:rPr>
        <w:footnoteReference w:id="535"/>
      </w:r>
      <w:r>
        <w:rPr>
          <w:rFonts w:eastAsia="Times New Roman"/>
        </w:rPr>
        <w:t>, which resulted in an oil production increase of 37% and gas production by 50%, even against the backdrop of low oil prices.  The introduction of 100% investment allowance for both the standard CT and the SC created an environment for smaller companies entering the UKCS and incurring losses during the early stages of development, as Ring Fence Expenditure Supplement (RFES)</w:t>
      </w:r>
      <w:r>
        <w:rPr>
          <w:rFonts w:eastAsia="Times New Roman"/>
          <w:vertAlign w:val="superscript"/>
        </w:rPr>
        <w:footnoteReference w:id="536"/>
      </w:r>
      <w:r>
        <w:rPr>
          <w:rFonts w:eastAsia="Times New Roman"/>
        </w:rPr>
        <w:t xml:space="preserve"> was introduced to help retain the value of losses incurred until they can be set off against profits, by allowing an uplift of 10%</w:t>
      </w:r>
      <w:r>
        <w:rPr>
          <w:rFonts w:eastAsia="Times New Roman"/>
          <w:vertAlign w:val="superscript"/>
        </w:rPr>
        <w:footnoteReference w:id="537"/>
      </w:r>
      <w:r>
        <w:rPr>
          <w:rFonts w:eastAsia="Times New Roman"/>
        </w:rPr>
        <w:t xml:space="preserve"> per annum, up to a maximum of six accounting periods offshore and 10 accounting periods onshore.</w:t>
      </w:r>
      <w:r>
        <w:rPr>
          <w:rFonts w:eastAsia="Times New Roman"/>
          <w:lang w:val="en-GB"/>
        </w:rPr>
        <w:t xml:space="preserve"> To further achieve clarity and certainty, the Finance Act 2012 introduced a restriction of the relief available in respect of decommissioning expenditure, as well as other reliefs affecting SC.</w:t>
      </w:r>
      <w:r>
        <w:rPr>
          <w:rFonts w:eastAsia="Times New Roman"/>
          <w:vertAlign w:val="superscript"/>
          <w:lang w:val="en-GB"/>
        </w:rPr>
        <w:footnoteReference w:id="538"/>
      </w:r>
    </w:p>
    <w:p w14:paraId="25F12CBA">
      <w:pPr>
        <w:spacing w:after="200" w:line="480" w:lineRule="auto"/>
        <w:jc w:val="both"/>
        <w:rPr>
          <w:rFonts w:eastAsia="Times New Roman"/>
        </w:rPr>
      </w:pPr>
      <w:r>
        <w:rPr>
          <w:rFonts w:eastAsia="Times New Roman"/>
          <w:lang w:val="en-GB"/>
        </w:rPr>
        <w:t>The Nigeria petroleum fiscal, tax and regulatory system and process has lacked for a long time the focus and direction, as well as the structure and the mechanism for a coordinated response approach to changes in major cost heads of operations, or the treatment of major expenditure in the era of oil price changes in the international market, as no significant changes were made to the PPTA regime for many years, until the PSC arrangement was introduced for deep offshore and inland basin petroleum operations. With respect to granting reliefs and allowances, or making appropriate structural changes to the upstream fiscal and tax regime, this did not take place until the grant of fiscal incentives and the reduced tax rate for PSC operations in the deep offshore and inland basins in the early 1990’s. As discussed in chapters 4 and 5 respectively, the approach adopted, and nature of the PSC fiscal incentives introduced by the PSC Act, which amended the PPTA, rather than make the PPTA regime competitive or neutral as perhaps envisaged, appeared to create gaps and distortions in the PPT upstream petroleum tax system</w:t>
      </w:r>
      <w:r>
        <w:rPr>
          <w:rFonts w:eastAsia="Times New Roman"/>
          <w:vertAlign w:val="superscript"/>
        </w:rPr>
        <w:footnoteReference w:id="539"/>
      </w:r>
      <w:r>
        <w:rPr>
          <w:rFonts w:eastAsia="Times New Roman"/>
        </w:rPr>
        <w:t xml:space="preserve">. </w:t>
      </w:r>
    </w:p>
    <w:p w14:paraId="304DA72D">
      <w:pPr>
        <w:spacing w:after="200" w:line="480" w:lineRule="auto"/>
        <w:jc w:val="both"/>
        <w:rPr>
          <w:rFonts w:eastAsia="Times New Roman"/>
          <w:lang w:val="en-GB"/>
        </w:rPr>
      </w:pPr>
      <w:r>
        <w:rPr>
          <w:rFonts w:eastAsia="Times New Roman"/>
        </w:rPr>
        <w:t xml:space="preserve">With respect to interpretation and enhancing understanding and compliance in the UK petroleum fiscal regime and tax legislation, the UK court system has played a significant role in achieving certainty in the petroleum tax system, as much as the legislative and fiscal changes in UK tax system. On the matter of the liability for decommissioning costs, the court provided clarity in the case of </w:t>
      </w:r>
      <w:r>
        <w:rPr>
          <w:rFonts w:eastAsia="Times New Roman"/>
          <w:i/>
          <w:iCs/>
          <w:lang w:val="en-GB"/>
        </w:rPr>
        <w:t xml:space="preserve">Apache UK Investment Limited v Esso Exploration and Production UK Limited </w:t>
      </w:r>
      <w:r>
        <w:rPr>
          <w:rFonts w:eastAsia="Times New Roman"/>
          <w:i/>
          <w:iCs/>
          <w:vertAlign w:val="superscript"/>
          <w:lang w:val="en-GB"/>
        </w:rPr>
        <w:footnoteReference w:id="540"/>
      </w:r>
      <w:r>
        <w:rPr>
          <w:rFonts w:eastAsia="Times New Roman"/>
          <w:i/>
          <w:iCs/>
          <w:lang w:val="en-GB"/>
        </w:rPr>
        <w:t>.</w:t>
      </w:r>
      <w:r>
        <w:rPr>
          <w:rFonts w:eastAsia="Times New Roman"/>
          <w:lang w:val="en-GB"/>
        </w:rPr>
        <w:t xml:space="preserve">The court affirmed that </w:t>
      </w:r>
      <w:r>
        <w:rPr>
          <w:rFonts w:eastAsia="Times New Roman"/>
        </w:rPr>
        <w:t>the decommissioning provisions in the Act are drafted widely, to protect the UK Government from being left to carry the burden of decommissioning costs</w:t>
      </w:r>
      <w:r>
        <w:rPr>
          <w:rFonts w:eastAsia="Times New Roman"/>
          <w:i/>
          <w:iCs/>
        </w:rPr>
        <w:t xml:space="preserve">.  </w:t>
      </w:r>
      <w:r>
        <w:rPr>
          <w:rFonts w:eastAsia="Times New Roman"/>
          <w:lang w:val="en-GB"/>
        </w:rPr>
        <w:t xml:space="preserve">The court also confirmed that a former licensee will not be liable for the decommissioning of wells drilled after the licensee ceased to be the owner of the relevant oil and gas assets. The background to this matter was that in 2011, Apache UK Investment Limited (Apache) acquired some North Sea oil and gas assets from Esso Exploration and Production UK Limited (Esso) under a Sale and Purchase Agreement (SPA). The parties entered into a series of bilateral Decommissioning Security Agreements (DSAs), as part of Esso’s sale to Apache of a subsidiary that held licences in several oil fields in the North Sea. The DSAs provided security for Apache’s obligation under the SPA to indemnify Esso for decommissioning obligations that Esso could be liable for. It was common practice for such DSAs to provide that the operator/licensee will prepare a “proposed plan” for each year setting out details such as an estimate of the dates on which the decommissioning will commence and an estimate of the likely decommissioning costs. The proposed plan is then used to calculate the amount of security to be provided by the relevant parties. </w:t>
      </w:r>
      <w:r>
        <w:rPr>
          <w:rFonts w:eastAsia="Times New Roman"/>
        </w:rPr>
        <w:t xml:space="preserve">The dispute in this case concerned the amount of security to be provided by Apache in respect of the decommissioning obligations. The issue of Esso’s potential exposure under the Act assumed relevance because the higher that exposure, the higher the security that Apache had to provide. The Offshore Petroleum Regulator had weighed in with the view that Esso could be liable under the Act for certain wells drilled after its sale of the fields to Apache. </w:t>
      </w:r>
      <w:r>
        <w:rPr>
          <w:rFonts w:eastAsia="Times New Roman"/>
          <w:lang w:val="en-GB"/>
        </w:rPr>
        <w:t xml:space="preserve">The </w:t>
      </w:r>
      <w:r>
        <w:rPr>
          <w:rFonts w:eastAsia="Times New Roman"/>
        </w:rPr>
        <w:t>court was of the view that the Act was drafted widely, to protect the UK Government from being left to carry the burden of decommissioning costs. This observation reinforces the importance of clarity in drafting to clearly establish a tax charge obligation, as the tax provision must be read and interpreted literally. It emphasizes the point that guidance from a regulator will not be determinative of interpretation issues arising under statute, as this remains, rightly, the province of the courts</w:t>
      </w:r>
      <w:r>
        <w:rPr>
          <w:rFonts w:eastAsia="Times New Roman"/>
          <w:vertAlign w:val="superscript"/>
        </w:rPr>
        <w:footnoteReference w:id="541"/>
      </w:r>
      <w:r>
        <w:rPr>
          <w:rFonts w:eastAsia="Times New Roman"/>
        </w:rPr>
        <w:t>. This judgement further highlights how uncertainties can arise even in comprehensively drafted agreements or legislation</w:t>
      </w:r>
      <w:r>
        <w:rPr>
          <w:rFonts w:eastAsia="Times New Roman"/>
          <w:vertAlign w:val="superscript"/>
        </w:rPr>
        <w:footnoteReference w:id="542"/>
      </w:r>
      <w:r>
        <w:rPr>
          <w:rFonts w:eastAsia="Times New Roman"/>
        </w:rPr>
        <w:t xml:space="preserve">. This further underscore the importance of the clarity of provisions and definitions and the proper application of concepts and taxing principles as these are essential and critical to achieving certainty. It also emphasizes the need for open, ruled-based drafting of tax legislation. It is indeed a reminder for clear drafting and consistent interpretation by the tribunal and courts of regulatory and legislative provisions. </w:t>
      </w:r>
    </w:p>
    <w:p w14:paraId="2FDAEA17">
      <w:pPr>
        <w:spacing w:after="200" w:line="480" w:lineRule="auto"/>
        <w:jc w:val="both"/>
        <w:rPr>
          <w:rFonts w:eastAsia="Times New Roman"/>
          <w:lang w:val="en-GB"/>
        </w:rPr>
      </w:pPr>
      <w:r>
        <w:rPr>
          <w:rFonts w:eastAsia="Times New Roman"/>
          <w:lang w:val="en-GB"/>
        </w:rPr>
        <w:t>In another respect, the UK Parliamentary Hansard debates, reports provide the background materials on substantive and subsidiary legislations and regulations in the general and petroleum legislative and tax regime. The Nigerian NA as an evolving legislature lacks the apparatus and requisite competence, even in its committee oversight role to provide the needed support to achieve legislative speed and clarity to matters affecting the petroleum industry. The absence of responsive and progressive reform of the primary and related subsidiary legislations and regulations in the Nigerian petroleum industry have indeed contributed to the delay in the reviews and the enactment of the PIA.</w:t>
      </w:r>
      <w:r>
        <w:rPr>
          <w:rStyle w:val="23"/>
          <w:rFonts w:eastAsia="Times New Roman"/>
        </w:rPr>
        <w:footnoteReference w:id="543"/>
      </w:r>
      <w:r>
        <w:rPr>
          <w:rFonts w:eastAsia="Times New Roman"/>
          <w:lang w:val="en-GB"/>
        </w:rPr>
        <w:t xml:space="preserve"> </w:t>
      </w:r>
    </w:p>
    <w:p w14:paraId="7C53481F">
      <w:pPr>
        <w:spacing w:after="200" w:line="480" w:lineRule="auto"/>
        <w:jc w:val="both"/>
        <w:rPr>
          <w:rFonts w:eastAsia="Times New Roman"/>
          <w:b/>
          <w:bCs/>
          <w:lang w:val="en-GB"/>
        </w:rPr>
      </w:pPr>
      <w:r>
        <w:rPr>
          <w:rFonts w:eastAsia="Times New Roman"/>
          <w:b/>
          <w:bCs/>
          <w:lang w:val="en-GB"/>
        </w:rPr>
        <w:t>CONCLUSION</w:t>
      </w:r>
    </w:p>
    <w:p w14:paraId="2202D050">
      <w:pPr>
        <w:spacing w:after="200" w:line="480" w:lineRule="auto"/>
        <w:jc w:val="both"/>
        <w:rPr>
          <w:rFonts w:eastAsia="Times New Roman"/>
        </w:rPr>
      </w:pPr>
      <w:r>
        <w:rPr>
          <w:rFonts w:eastAsia="Times New Roman"/>
        </w:rPr>
        <w:t xml:space="preserve">Right from the inception of the UK petroleum industry, it has been driven by clearly defined fiscal and tax objectives. Successive governments have ensured that the budgetary and legislative processes are aligned to achieve the economic goals of the country, whilst remaining competitive in an international industry with its high technology content and capital requirement. This approach has defined the development of the complex UK field-based upstream petroleum tax system, comprising of ring-fenced corporation tax, the supplementary charge and the PRT, which is now zero rated for all new fields effective January 2016. The UK tax system is responsive enough to cater for the revenue needs of the government and the profitability of the operators. Clarity of terms and the certainty in the processes for change and regular review by the Chancellor and the efficient parliamentary process have all enhanced understanding, certainty, and compliance, which unfortunately, the Nigeria petroleum tax regime lacks. </w:t>
      </w:r>
      <w:r>
        <w:rPr>
          <w:rFonts w:eastAsia="Times New Roman"/>
          <w:lang w:val="en-GB"/>
        </w:rPr>
        <w:t>The UK petroleum tax legislative system has had well defined fiscal and tax objectives at every phase and stage of its evolution. Successive UK governments have regularly reviewed the system to keep abreast of the changes in the petroleum industry, especially the oil price changes and the need to ensure fair return on revenues to government</w:t>
      </w:r>
      <w:r>
        <w:rPr>
          <w:rFonts w:eastAsia="Times New Roman"/>
          <w:vertAlign w:val="superscript"/>
          <w:lang w:val="en-GB"/>
        </w:rPr>
        <w:footnoteReference w:id="544"/>
      </w:r>
      <w:r>
        <w:rPr>
          <w:rFonts w:eastAsia="Times New Roman"/>
          <w:lang w:val="en-GB"/>
        </w:rPr>
        <w:t xml:space="preserve"> and the investing companies. The several legislative and other fiscal review and reform initiatives in the UK petroleum and general tax systems are progressive, with the objective of achieving clarity and certainty in terms and language of statutes. The UK initiative at tax statute simplification and the </w:t>
      </w:r>
      <w:r>
        <w:rPr>
          <w:rFonts w:eastAsia="Times New Roman"/>
        </w:rPr>
        <w:t>"Tax Law Rewrite" project established in 1996 with the aim of rewriting UK tax legislation in such a way that it is clearer and easier to use has contributed to achieving enhanced understanding and compliance which may be recommended for the Nigerian petroleum tax system, and the tax system as a whole</w:t>
      </w:r>
      <w:r>
        <w:rPr>
          <w:rFonts w:eastAsia="Times New Roman"/>
          <w:vertAlign w:val="superscript"/>
        </w:rPr>
        <w:footnoteReference w:id="545"/>
      </w:r>
      <w:r>
        <w:rPr>
          <w:rFonts w:eastAsia="Times New Roman"/>
        </w:rPr>
        <w:t xml:space="preserve">. The yearly FAs also enhance certainty and compliance with legislation. </w:t>
      </w:r>
    </w:p>
    <w:p w14:paraId="60FE5B10">
      <w:pPr>
        <w:spacing w:after="200" w:line="480" w:lineRule="auto"/>
        <w:jc w:val="center"/>
        <w:rPr>
          <w:rFonts w:eastAsia="Times New Roman"/>
          <w:b/>
          <w:bCs/>
          <w:lang w:val="en-GB"/>
        </w:rPr>
      </w:pPr>
    </w:p>
    <w:p w14:paraId="18F85207">
      <w:pPr>
        <w:spacing w:after="200" w:line="480" w:lineRule="auto"/>
        <w:jc w:val="center"/>
        <w:rPr>
          <w:rFonts w:eastAsia="Times New Roman"/>
          <w:b/>
          <w:bCs/>
          <w:lang w:val="en-GB"/>
        </w:rPr>
      </w:pPr>
    </w:p>
    <w:p w14:paraId="096F8886">
      <w:pPr>
        <w:spacing w:after="200" w:line="480" w:lineRule="auto"/>
        <w:jc w:val="center"/>
        <w:rPr>
          <w:rFonts w:eastAsia="Times New Roman"/>
          <w:b/>
          <w:bCs/>
          <w:lang w:val="en-GB"/>
        </w:rPr>
      </w:pPr>
    </w:p>
    <w:p w14:paraId="16D53614">
      <w:pPr>
        <w:spacing w:after="200" w:line="480" w:lineRule="auto"/>
        <w:jc w:val="center"/>
        <w:rPr>
          <w:rFonts w:eastAsia="Times New Roman"/>
          <w:b/>
          <w:bCs/>
          <w:lang w:val="en-GB"/>
        </w:rPr>
      </w:pPr>
    </w:p>
    <w:p w14:paraId="0C8855FD">
      <w:pPr>
        <w:spacing w:after="200" w:line="480" w:lineRule="auto"/>
        <w:jc w:val="center"/>
        <w:rPr>
          <w:rFonts w:eastAsia="Times New Roman"/>
          <w:b/>
          <w:bCs/>
          <w:lang w:val="en-GB"/>
        </w:rPr>
      </w:pPr>
    </w:p>
    <w:p w14:paraId="655791A4">
      <w:pPr>
        <w:spacing w:after="200" w:line="480" w:lineRule="auto"/>
        <w:jc w:val="center"/>
        <w:rPr>
          <w:rFonts w:eastAsia="Times New Roman"/>
          <w:b/>
          <w:bCs/>
          <w:lang w:val="en-GB"/>
        </w:rPr>
      </w:pPr>
    </w:p>
    <w:p w14:paraId="535CABB1">
      <w:pPr>
        <w:spacing w:after="200" w:line="480" w:lineRule="auto"/>
        <w:rPr>
          <w:rFonts w:eastAsia="Times New Roman"/>
          <w:b/>
          <w:bCs/>
          <w:lang w:val="en-GB"/>
        </w:rPr>
      </w:pPr>
    </w:p>
    <w:p w14:paraId="25C2AC76">
      <w:pPr>
        <w:spacing w:after="200" w:line="480" w:lineRule="auto"/>
        <w:rPr>
          <w:rFonts w:eastAsia="Times New Roman"/>
          <w:b/>
          <w:bCs/>
          <w:lang w:val="en-GB"/>
        </w:rPr>
      </w:pPr>
    </w:p>
    <w:p w14:paraId="2F784E9C">
      <w:pPr>
        <w:spacing w:after="200" w:line="480" w:lineRule="auto"/>
        <w:rPr>
          <w:rFonts w:eastAsia="Times New Roman"/>
          <w:b/>
          <w:bCs/>
          <w:lang w:val="en-GB"/>
        </w:rPr>
      </w:pPr>
    </w:p>
    <w:p w14:paraId="5104C39E">
      <w:pPr>
        <w:spacing w:after="200" w:line="480" w:lineRule="auto"/>
        <w:rPr>
          <w:rFonts w:eastAsia="Times New Roman"/>
          <w:b/>
          <w:bCs/>
          <w:lang w:val="en-GB"/>
        </w:rPr>
      </w:pPr>
    </w:p>
    <w:p w14:paraId="24EE7380">
      <w:pPr>
        <w:spacing w:after="200" w:line="480" w:lineRule="auto"/>
        <w:rPr>
          <w:rFonts w:eastAsia="Times New Roman"/>
          <w:b/>
          <w:bCs/>
          <w:lang w:val="en-GB"/>
        </w:rPr>
      </w:pPr>
    </w:p>
    <w:p w14:paraId="1DE66666">
      <w:pPr>
        <w:spacing w:after="200" w:line="480" w:lineRule="auto"/>
        <w:rPr>
          <w:rFonts w:eastAsia="Times New Roman"/>
          <w:b/>
          <w:bCs/>
          <w:lang w:val="en-GB"/>
        </w:rPr>
      </w:pPr>
    </w:p>
    <w:p w14:paraId="799E38EB">
      <w:pPr>
        <w:spacing w:after="200" w:line="480" w:lineRule="auto"/>
        <w:rPr>
          <w:rFonts w:eastAsia="Times New Roman"/>
          <w:b/>
          <w:bCs/>
          <w:lang w:val="en-GB"/>
        </w:rPr>
      </w:pPr>
    </w:p>
    <w:p w14:paraId="6D611AED">
      <w:pPr>
        <w:spacing w:after="200" w:line="480" w:lineRule="auto"/>
        <w:rPr>
          <w:rFonts w:eastAsia="Times New Roman"/>
          <w:b/>
          <w:bCs/>
          <w:lang w:val="en-GB"/>
        </w:rPr>
      </w:pPr>
    </w:p>
    <w:p w14:paraId="1013CD0E">
      <w:pPr>
        <w:spacing w:after="200" w:line="480" w:lineRule="auto"/>
        <w:rPr>
          <w:rFonts w:eastAsia="Times New Roman"/>
          <w:b/>
          <w:bCs/>
          <w:lang w:val="en-GB"/>
        </w:rPr>
      </w:pPr>
    </w:p>
    <w:p w14:paraId="09A23FA6">
      <w:pPr>
        <w:spacing w:after="200" w:line="480" w:lineRule="auto"/>
        <w:rPr>
          <w:rFonts w:eastAsia="Times New Roman"/>
          <w:b/>
          <w:bCs/>
          <w:lang w:val="en-GB"/>
        </w:rPr>
      </w:pPr>
    </w:p>
    <w:p w14:paraId="0E714FCB">
      <w:pPr>
        <w:spacing w:after="200" w:line="480" w:lineRule="auto"/>
        <w:rPr>
          <w:rFonts w:eastAsia="Times New Roman"/>
          <w:b/>
          <w:bCs/>
          <w:lang w:val="en-GB"/>
        </w:rPr>
      </w:pPr>
    </w:p>
    <w:p w14:paraId="25E7099B">
      <w:pPr>
        <w:spacing w:after="200" w:line="480" w:lineRule="auto"/>
        <w:rPr>
          <w:rFonts w:eastAsia="Times New Roman"/>
          <w:b/>
          <w:bCs/>
          <w:lang w:val="en-GB"/>
        </w:rPr>
      </w:pPr>
    </w:p>
    <w:p w14:paraId="25337CD2">
      <w:pPr>
        <w:spacing w:after="200" w:line="480" w:lineRule="auto"/>
        <w:jc w:val="center"/>
        <w:rPr>
          <w:rFonts w:eastAsia="Times New Roman"/>
          <w:b/>
          <w:bCs/>
          <w:lang w:val="en-GB"/>
        </w:rPr>
      </w:pPr>
      <w:r>
        <w:rPr>
          <w:rFonts w:eastAsia="Times New Roman"/>
          <w:b/>
          <w:bCs/>
          <w:lang w:val="en-GB"/>
        </w:rPr>
        <w:t>CHAPTER 8</w:t>
      </w:r>
    </w:p>
    <w:p w14:paraId="43483DC2">
      <w:pPr>
        <w:spacing w:after="200" w:line="480" w:lineRule="auto"/>
        <w:jc w:val="center"/>
        <w:rPr>
          <w:rFonts w:eastAsia="Times New Roman"/>
          <w:b/>
          <w:bCs/>
          <w:lang w:val="en-GB"/>
        </w:rPr>
      </w:pPr>
      <w:r>
        <w:rPr>
          <w:rFonts w:eastAsia="Times New Roman"/>
          <w:b/>
          <w:bCs/>
          <w:lang w:val="en-GB"/>
        </w:rPr>
        <w:t xml:space="preserve">TAX AND FISCAL POLICY AND TAX LAW MAKING IN THE CANADIAN PETROLEUM INDUSTRY – A COMPARATIVE REVIEW </w:t>
      </w:r>
    </w:p>
    <w:p w14:paraId="45762187">
      <w:pPr>
        <w:spacing w:after="200" w:line="480" w:lineRule="auto"/>
        <w:jc w:val="both"/>
        <w:rPr>
          <w:rFonts w:eastAsia="Times New Roman"/>
          <w:b/>
          <w:bCs/>
          <w:lang w:val="en-GB"/>
        </w:rPr>
      </w:pPr>
    </w:p>
    <w:p w14:paraId="5FF12104">
      <w:pPr>
        <w:spacing w:after="200" w:line="480" w:lineRule="auto"/>
        <w:jc w:val="both"/>
        <w:rPr>
          <w:rFonts w:eastAsia="Times New Roman"/>
          <w:b/>
          <w:bCs/>
          <w:lang w:val="en-GB"/>
        </w:rPr>
      </w:pPr>
      <w:r>
        <w:rPr>
          <w:rFonts w:eastAsia="Times New Roman"/>
          <w:b/>
          <w:bCs/>
          <w:lang w:val="en-GB"/>
        </w:rPr>
        <w:t>8.0</w:t>
      </w:r>
      <w:r>
        <w:rPr>
          <w:rFonts w:eastAsia="Times New Roman"/>
          <w:b/>
          <w:bCs/>
          <w:lang w:val="en-GB"/>
        </w:rPr>
        <w:tab/>
      </w:r>
      <w:r>
        <w:rPr>
          <w:rFonts w:eastAsia="Times New Roman"/>
          <w:b/>
          <w:bCs/>
          <w:lang w:val="en-GB"/>
        </w:rPr>
        <w:t xml:space="preserve"> INTRODUCTION</w:t>
      </w:r>
    </w:p>
    <w:p w14:paraId="408C82A6">
      <w:pPr>
        <w:spacing w:after="200" w:line="480" w:lineRule="auto"/>
        <w:jc w:val="both"/>
        <w:rPr>
          <w:rFonts w:eastAsia="Times New Roman"/>
          <w:lang w:val="en-GB"/>
        </w:rPr>
      </w:pPr>
      <w:r>
        <w:rPr>
          <w:rFonts w:eastAsia="Times New Roman"/>
          <w:lang w:val="en-GB"/>
        </w:rPr>
        <w:t>Canada, our second comparator country, operates a federal system like Nigeria. However, unlike Nigeria, the Canadian federal system has strong regional or provincial elements. Canada also, like Nigeria, has a viable energy industry with "significant resources of conventional and unconventional oil, natural gas and hydroelectricity".</w:t>
      </w:r>
      <w:r>
        <w:rPr>
          <w:rFonts w:eastAsia="Times New Roman"/>
          <w:vertAlign w:val="superscript"/>
          <w:lang w:val="en-GB"/>
        </w:rPr>
        <w:footnoteReference w:id="546"/>
      </w:r>
      <w:r>
        <w:rPr>
          <w:rFonts w:eastAsia="Times New Roman"/>
          <w:lang w:val="en"/>
        </w:rPr>
        <w:t xml:space="preserve"> </w:t>
      </w:r>
      <w:r>
        <w:rPr>
          <w:rFonts w:eastAsia="Times New Roman"/>
          <w:lang w:val="en-GB"/>
        </w:rPr>
        <w:t>The Canadian oil and gas industry is critically important to Canada’s economy and has a long history. It accounts for about 8 percent of Canada’s GDP, as well as for a significant share of the tax revenue collected by the government. The petroleum industry is particularly important to the provincial economies of Alberta and Saskatchewan. It contributes 30 percent of Alberta’s GDP and slightly more than 23 percent of Saskatchewan’s GDP.</w:t>
      </w:r>
      <w:r>
        <w:rPr>
          <w:rFonts w:eastAsia="Times New Roman"/>
          <w:vertAlign w:val="superscript"/>
          <w:lang w:val="en-GB"/>
        </w:rPr>
        <w:footnoteReference w:id="547"/>
      </w:r>
    </w:p>
    <w:p w14:paraId="697CFF3B">
      <w:pPr>
        <w:spacing w:after="200" w:line="480" w:lineRule="auto"/>
        <w:jc w:val="both"/>
        <w:rPr>
          <w:lang w:val="en"/>
        </w:rPr>
      </w:pPr>
      <w:r>
        <w:rPr>
          <w:rFonts w:eastAsia="Times New Roman"/>
          <w:lang w:val="en"/>
        </w:rPr>
        <w:t>The Canadian petroleum industry developed in parallel with that of the United States. The first oil well in Canada was dug by hand (rather than drilled) in 1858 by </w:t>
      </w:r>
      <w:r>
        <w:fldChar w:fldCharType="begin"/>
      </w:r>
      <w:r>
        <w:instrText xml:space="preserve"> HYPERLINK "https://en.wikipedia.org/wiki/James_Miller_Williams" \o "James Miller Williams" </w:instrText>
      </w:r>
      <w:r>
        <w:fldChar w:fldCharType="separate"/>
      </w:r>
      <w:r>
        <w:rPr>
          <w:rFonts w:eastAsia="Times New Roman"/>
          <w:color w:val="000000"/>
          <w:lang w:val="en"/>
        </w:rPr>
        <w:t>James Miller Williams</w:t>
      </w:r>
      <w:r>
        <w:rPr>
          <w:rFonts w:eastAsia="Times New Roman"/>
          <w:color w:val="000000"/>
          <w:lang w:val="en"/>
        </w:rPr>
        <w:fldChar w:fldCharType="end"/>
      </w:r>
      <w:r>
        <w:rPr>
          <w:rFonts w:eastAsia="Times New Roman"/>
          <w:lang w:val="en"/>
        </w:rPr>
        <w:t> near his asphalt plant at </w:t>
      </w:r>
      <w:r>
        <w:fldChar w:fldCharType="begin"/>
      </w:r>
      <w:r>
        <w:instrText xml:space="preserve"> HYPERLINK "https://en.wikipedia.org/wiki/Oil_Springs,_Ontario" \o "Oil Springs, Ontario" </w:instrText>
      </w:r>
      <w:r>
        <w:fldChar w:fldCharType="separate"/>
      </w:r>
      <w:r>
        <w:rPr>
          <w:rFonts w:eastAsia="Times New Roman"/>
          <w:color w:val="000000"/>
          <w:lang w:val="en"/>
        </w:rPr>
        <w:t>Oil Springs, Ontario</w:t>
      </w:r>
      <w:r>
        <w:rPr>
          <w:rFonts w:eastAsia="Times New Roman"/>
          <w:color w:val="000000"/>
          <w:lang w:val="en"/>
        </w:rPr>
        <w:fldChar w:fldCharType="end"/>
      </w:r>
      <w:r>
        <w:rPr>
          <w:rFonts w:eastAsia="Times New Roman"/>
          <w:color w:val="000000"/>
          <w:lang w:val="en"/>
        </w:rPr>
        <w:t>.</w:t>
      </w:r>
      <w:r>
        <w:rPr>
          <w:rFonts w:eastAsia="Times New Roman"/>
          <w:lang w:val="en"/>
        </w:rPr>
        <w:t xml:space="preserve"> At a depth of 4.26 meters (14.0 ft)</w:t>
      </w:r>
      <w:r>
        <w:rPr>
          <w:rFonts w:eastAsia="Times New Roman"/>
          <w:vertAlign w:val="superscript"/>
          <w:lang w:val="en"/>
        </w:rPr>
        <w:footnoteReference w:id="548"/>
      </w:r>
      <w:r>
        <w:rPr>
          <w:rFonts w:eastAsia="Times New Roman"/>
          <w:lang w:val="en"/>
        </w:rPr>
        <w:t> he struck oil, one year before "Colonel" </w:t>
      </w:r>
      <w:r>
        <w:fldChar w:fldCharType="begin"/>
      </w:r>
      <w:r>
        <w:instrText xml:space="preserve"> HYPERLINK "https://en.wikipedia.org/wiki/Edwin_Drake" \o "Edwin Drake" </w:instrText>
      </w:r>
      <w:r>
        <w:fldChar w:fldCharType="separate"/>
      </w:r>
      <w:r>
        <w:rPr>
          <w:rFonts w:eastAsia="Times New Roman"/>
          <w:color w:val="000000"/>
          <w:lang w:val="en"/>
        </w:rPr>
        <w:t>Edwin Drake</w:t>
      </w:r>
      <w:r>
        <w:rPr>
          <w:rFonts w:eastAsia="Times New Roman"/>
          <w:color w:val="000000"/>
          <w:lang w:val="en"/>
        </w:rPr>
        <w:fldChar w:fldCharType="end"/>
      </w:r>
      <w:r>
        <w:rPr>
          <w:rFonts w:eastAsia="Times New Roman"/>
          <w:lang w:val="en"/>
        </w:rPr>
        <w:t> drilled the first oil well in the United States.</w:t>
      </w:r>
      <w:r>
        <w:rPr>
          <w:rFonts w:eastAsia="Times New Roman"/>
          <w:vertAlign w:val="superscript"/>
          <w:lang w:val="en"/>
        </w:rPr>
        <w:footnoteReference w:id="549"/>
      </w:r>
      <w:r>
        <w:rPr>
          <w:rFonts w:eastAsia="Times New Roman"/>
          <w:lang w:val="en"/>
        </w:rPr>
        <w:t xml:space="preserve"> Williams later went on to establish “The Canadian Oil Company" which qualified as the world’s first </w:t>
      </w:r>
      <w:r>
        <w:fldChar w:fldCharType="begin"/>
      </w:r>
      <w:r>
        <w:instrText xml:space="preserve"> HYPERLINK "https://en.wikipedia.org/wiki/Vertical_integration" \o "Vertical integration" </w:instrText>
      </w:r>
      <w:r>
        <w:fldChar w:fldCharType="separate"/>
      </w:r>
      <w:r>
        <w:rPr>
          <w:rFonts w:eastAsia="Times New Roman"/>
          <w:color w:val="000000"/>
          <w:lang w:val="en"/>
        </w:rPr>
        <w:t>integrated oil company</w:t>
      </w:r>
      <w:r>
        <w:rPr>
          <w:rFonts w:eastAsia="Times New Roman"/>
          <w:color w:val="000000"/>
          <w:lang w:val="en"/>
        </w:rPr>
        <w:fldChar w:fldCharType="end"/>
      </w:r>
      <w:r>
        <w:rPr>
          <w:rFonts w:eastAsia="Times New Roman"/>
          <w:color w:val="000000"/>
          <w:lang w:val="en"/>
        </w:rPr>
        <w:t xml:space="preserve">. </w:t>
      </w:r>
      <w:r>
        <w:fldChar w:fldCharType="begin"/>
      </w:r>
      <w:r>
        <w:instrText xml:space="preserve"> HYPERLINK "https://en.wikipedia.org/wiki/Canada" \o "Canada" </w:instrText>
      </w:r>
      <w:r>
        <w:fldChar w:fldCharType="separate"/>
      </w:r>
      <w:r>
        <w:rPr>
          <w:rFonts w:eastAsia="Times New Roman"/>
          <w:color w:val="000000"/>
          <w:lang w:val="en-GB"/>
        </w:rPr>
        <w:t>Canada</w:t>
      </w:r>
      <w:r>
        <w:rPr>
          <w:rFonts w:eastAsia="Times New Roman"/>
          <w:color w:val="000000"/>
          <w:lang w:val="en-GB"/>
        </w:rPr>
        <w:fldChar w:fldCharType="end"/>
      </w:r>
      <w:r>
        <w:rPr>
          <w:rFonts w:eastAsia="Times New Roman"/>
          <w:lang w:val="en-GB"/>
        </w:rPr>
        <w:t> has the third largest </w:t>
      </w:r>
      <w:r>
        <w:fldChar w:fldCharType="begin"/>
      </w:r>
      <w:r>
        <w:instrText xml:space="preserve"> HYPERLINK "https://en.wikipedia.org/wiki/List_of_countries_by_proven_oil_reserves" \o "List of countries by proven oil reserves" </w:instrText>
      </w:r>
      <w:r>
        <w:fldChar w:fldCharType="separate"/>
      </w:r>
      <w:r>
        <w:rPr>
          <w:rFonts w:eastAsia="Times New Roman"/>
          <w:color w:val="000000"/>
          <w:lang w:val="en-GB"/>
        </w:rPr>
        <w:t>oil reserves</w:t>
      </w:r>
      <w:r>
        <w:rPr>
          <w:rFonts w:eastAsia="Times New Roman"/>
          <w:color w:val="000000"/>
          <w:lang w:val="en-GB"/>
        </w:rPr>
        <w:fldChar w:fldCharType="end"/>
      </w:r>
      <w:r>
        <w:rPr>
          <w:rFonts w:eastAsia="Times New Roman"/>
          <w:lang w:val="en-GB"/>
        </w:rPr>
        <w:t> in the world and is the world's fourth largest </w:t>
      </w:r>
      <w:r>
        <w:fldChar w:fldCharType="begin"/>
      </w:r>
      <w:r>
        <w:instrText xml:space="preserve"> HYPERLINK "https://en.wikipedia.org/wiki/List_of_countries_by_oil_production" \o "List of countries by oil production" </w:instrText>
      </w:r>
      <w:r>
        <w:fldChar w:fldCharType="separate"/>
      </w:r>
      <w:r>
        <w:rPr>
          <w:rFonts w:eastAsia="Times New Roman"/>
          <w:color w:val="000000"/>
          <w:lang w:val="en-GB"/>
        </w:rPr>
        <w:t>oil producer</w:t>
      </w:r>
      <w:r>
        <w:rPr>
          <w:rFonts w:eastAsia="Times New Roman"/>
          <w:color w:val="000000"/>
          <w:lang w:val="en-GB"/>
        </w:rPr>
        <w:fldChar w:fldCharType="end"/>
      </w:r>
      <w:r>
        <w:rPr>
          <w:rFonts w:eastAsia="Times New Roman"/>
          <w:color w:val="000000"/>
          <w:lang w:val="en-GB"/>
        </w:rPr>
        <w:t> </w:t>
      </w:r>
      <w:r>
        <w:rPr>
          <w:rFonts w:eastAsia="Times New Roman"/>
          <w:lang w:val="en-GB"/>
        </w:rPr>
        <w:t>and fourth largest </w:t>
      </w:r>
      <w:r>
        <w:fldChar w:fldCharType="begin"/>
      </w:r>
      <w:r>
        <w:instrText xml:space="preserve"> HYPERLINK "https://en.wikipedia.org/wiki/List_of_countries_by_oil_exports" \o "List of countries by oil exports" </w:instrText>
      </w:r>
      <w:r>
        <w:fldChar w:fldCharType="separate"/>
      </w:r>
      <w:r>
        <w:rPr>
          <w:rFonts w:eastAsia="Times New Roman"/>
          <w:color w:val="000000"/>
          <w:lang w:val="en-GB"/>
        </w:rPr>
        <w:t>oil exporter</w:t>
      </w:r>
      <w:r>
        <w:rPr>
          <w:rFonts w:eastAsia="Times New Roman"/>
          <w:color w:val="000000"/>
          <w:lang w:val="en-GB"/>
        </w:rPr>
        <w:fldChar w:fldCharType="end"/>
      </w:r>
      <w:r>
        <w:rPr>
          <w:rFonts w:eastAsia="Times New Roman"/>
          <w:lang w:val="en-GB"/>
        </w:rPr>
        <w:t>.</w:t>
      </w:r>
      <w:r>
        <w:rPr>
          <w:bCs/>
          <w:lang w:val="en"/>
        </w:rPr>
        <w:t xml:space="preserve"> </w:t>
      </w:r>
      <w:r>
        <w:rPr>
          <w:rFonts w:eastAsia="Times New Roman"/>
          <w:bCs/>
          <w:lang w:val="en"/>
        </w:rPr>
        <w:t>Approximately 97% of Canadian oil production occurs in three provinces: </w:t>
      </w:r>
      <w:r>
        <w:fldChar w:fldCharType="begin"/>
      </w:r>
      <w:r>
        <w:instrText xml:space="preserve"> HYPERLINK "https://en.wikipedia.org/wiki/Alberta" \o "Alberta" </w:instrText>
      </w:r>
      <w:r>
        <w:fldChar w:fldCharType="separate"/>
      </w:r>
      <w:r>
        <w:rPr>
          <w:rStyle w:val="27"/>
          <w:rFonts w:eastAsia="Times New Roman"/>
          <w:bCs/>
          <w:lang w:val="en"/>
        </w:rPr>
        <w:t>Alberta</w:t>
      </w:r>
      <w:r>
        <w:rPr>
          <w:rStyle w:val="27"/>
          <w:rFonts w:eastAsia="Times New Roman"/>
          <w:bCs/>
          <w:lang w:val="en"/>
        </w:rPr>
        <w:fldChar w:fldCharType="end"/>
      </w:r>
      <w:r>
        <w:rPr>
          <w:rFonts w:eastAsia="Times New Roman"/>
          <w:bCs/>
          <w:lang w:val="en"/>
        </w:rPr>
        <w:t>, </w:t>
      </w:r>
      <w:r>
        <w:fldChar w:fldCharType="begin"/>
      </w:r>
      <w:r>
        <w:instrText xml:space="preserve"> HYPERLINK "https://en.wikipedia.org/wiki/Saskatchewan" \o "Saskatchewan" </w:instrText>
      </w:r>
      <w:r>
        <w:fldChar w:fldCharType="separate"/>
      </w:r>
      <w:r>
        <w:rPr>
          <w:rStyle w:val="27"/>
          <w:rFonts w:eastAsia="Times New Roman"/>
          <w:bCs/>
          <w:lang w:val="en"/>
        </w:rPr>
        <w:t>Saskatchewan</w:t>
      </w:r>
      <w:r>
        <w:rPr>
          <w:rStyle w:val="27"/>
          <w:rFonts w:eastAsia="Times New Roman"/>
          <w:bCs/>
          <w:lang w:val="en"/>
        </w:rPr>
        <w:fldChar w:fldCharType="end"/>
      </w:r>
      <w:r>
        <w:rPr>
          <w:rFonts w:eastAsia="Times New Roman"/>
          <w:bCs/>
          <w:lang w:val="en"/>
        </w:rPr>
        <w:t>, and </w:t>
      </w:r>
      <w:r>
        <w:fldChar w:fldCharType="begin"/>
      </w:r>
      <w:r>
        <w:instrText xml:space="preserve"> HYPERLINK "https://en.wikipedia.org/wiki/Newfoundland_and_Labrador" \o "Newfoundland and Labrador" </w:instrText>
      </w:r>
      <w:r>
        <w:fldChar w:fldCharType="separate"/>
      </w:r>
      <w:r>
        <w:rPr>
          <w:rStyle w:val="27"/>
          <w:rFonts w:eastAsia="Times New Roman"/>
          <w:bCs/>
          <w:lang w:val="en"/>
        </w:rPr>
        <w:t>Newfoundland and Labrador</w:t>
      </w:r>
      <w:r>
        <w:rPr>
          <w:rStyle w:val="27"/>
          <w:rFonts w:eastAsia="Times New Roman"/>
          <w:bCs/>
          <w:lang w:val="en"/>
        </w:rPr>
        <w:fldChar w:fldCharType="end"/>
      </w:r>
      <w:r>
        <w:rPr>
          <w:rFonts w:eastAsia="Times New Roman"/>
          <w:bCs/>
          <w:lang w:val="en"/>
        </w:rPr>
        <w:t>. In 2015 Alberta produced 79.2% of Canada's oil, Saskatchewan 13.5%, and the province of Newfoundland and Labrador 4.4%. </w:t>
      </w:r>
      <w:r>
        <w:fldChar w:fldCharType="begin"/>
      </w:r>
      <w:r>
        <w:instrText xml:space="preserve"> HYPERLINK "https://en.wikipedia.org/wiki/British_Columbia" \o "British Columbia" </w:instrText>
      </w:r>
      <w:r>
        <w:fldChar w:fldCharType="separate"/>
      </w:r>
      <w:r>
        <w:rPr>
          <w:rStyle w:val="27"/>
          <w:rFonts w:eastAsia="Times New Roman"/>
          <w:bCs/>
          <w:lang w:val="en"/>
        </w:rPr>
        <w:t>British Columbia</w:t>
      </w:r>
      <w:r>
        <w:rPr>
          <w:rStyle w:val="27"/>
          <w:rFonts w:eastAsia="Times New Roman"/>
          <w:bCs/>
          <w:lang w:val="en"/>
        </w:rPr>
        <w:fldChar w:fldCharType="end"/>
      </w:r>
      <w:r>
        <w:rPr>
          <w:rFonts w:eastAsia="Times New Roman"/>
          <w:bCs/>
          <w:lang w:val="en"/>
        </w:rPr>
        <w:t> and </w:t>
      </w:r>
      <w:r>
        <w:fldChar w:fldCharType="begin"/>
      </w:r>
      <w:r>
        <w:instrText xml:space="preserve"> HYPERLINK "https://en.wikipedia.org/wiki/Manitoba" \o "Manitoba" </w:instrText>
      </w:r>
      <w:r>
        <w:fldChar w:fldCharType="separate"/>
      </w:r>
      <w:r>
        <w:rPr>
          <w:rStyle w:val="27"/>
          <w:rFonts w:eastAsia="Times New Roman"/>
          <w:bCs/>
          <w:lang w:val="en"/>
        </w:rPr>
        <w:t>Manitoba</w:t>
      </w:r>
      <w:r>
        <w:rPr>
          <w:rStyle w:val="27"/>
          <w:rFonts w:eastAsia="Times New Roman"/>
          <w:bCs/>
          <w:lang w:val="en"/>
        </w:rPr>
        <w:fldChar w:fldCharType="end"/>
      </w:r>
      <w:r>
        <w:rPr>
          <w:rFonts w:eastAsia="Times New Roman"/>
          <w:bCs/>
          <w:lang w:val="en"/>
        </w:rPr>
        <w:t> produced about 1% apiece. The four </w:t>
      </w:r>
      <w:r>
        <w:fldChar w:fldCharType="begin"/>
      </w:r>
      <w:r>
        <w:instrText xml:space="preserve"> HYPERLINK "https://en.wikipedia.org/wiki/Western_Canada" \o "Western Canada" </w:instrText>
      </w:r>
      <w:r>
        <w:fldChar w:fldCharType="separate"/>
      </w:r>
      <w:r>
        <w:rPr>
          <w:rStyle w:val="27"/>
          <w:rFonts w:eastAsia="Times New Roman"/>
          <w:bCs/>
          <w:lang w:val="en"/>
        </w:rPr>
        <w:t>Western Canada</w:t>
      </w:r>
      <w:r>
        <w:rPr>
          <w:rStyle w:val="27"/>
          <w:rFonts w:eastAsia="Times New Roman"/>
          <w:bCs/>
          <w:lang w:val="en"/>
        </w:rPr>
        <w:fldChar w:fldCharType="end"/>
      </w:r>
      <w:r>
        <w:rPr>
          <w:rFonts w:eastAsia="Times New Roman"/>
          <w:bCs/>
          <w:lang w:val="en"/>
        </w:rPr>
        <w:t> provinces of Alberta, British Columbia, Saskatchewan and Manitoba all produce their oil from the vast oil rich </w:t>
      </w:r>
      <w:r>
        <w:fldChar w:fldCharType="begin"/>
      </w:r>
      <w:r>
        <w:instrText xml:space="preserve"> HYPERLINK "https://en.wikipedia.org/wiki/Western_Canadian_Sedimentary_Basin" \o "Western Canadian Sedimentary Basin" </w:instrText>
      </w:r>
      <w:r>
        <w:fldChar w:fldCharType="separate"/>
      </w:r>
      <w:r>
        <w:rPr>
          <w:rStyle w:val="27"/>
          <w:rFonts w:eastAsia="Times New Roman"/>
          <w:bCs/>
          <w:lang w:val="en"/>
        </w:rPr>
        <w:t>Western Canadian Sedimentary Basin</w:t>
      </w:r>
      <w:r>
        <w:rPr>
          <w:rStyle w:val="27"/>
          <w:rFonts w:eastAsia="Times New Roman"/>
          <w:bCs/>
          <w:lang w:val="en"/>
        </w:rPr>
        <w:fldChar w:fldCharType="end"/>
      </w:r>
      <w:r>
        <w:rPr>
          <w:rFonts w:eastAsia="Times New Roman"/>
          <w:bCs/>
          <w:lang w:val="en"/>
        </w:rPr>
        <w:t>, which is centered on Alberta but extends into the other three Western provinces and into the </w:t>
      </w:r>
      <w:r>
        <w:fldChar w:fldCharType="begin"/>
      </w:r>
      <w:r>
        <w:instrText xml:space="preserve"> HYPERLINK "https://en.wikipedia.org/wiki/Northwest_Territories" \o "Northwest Territories" </w:instrText>
      </w:r>
      <w:r>
        <w:fldChar w:fldCharType="separate"/>
      </w:r>
      <w:r>
        <w:rPr>
          <w:rStyle w:val="27"/>
          <w:rFonts w:eastAsia="Times New Roman"/>
          <w:bCs/>
          <w:lang w:val="en"/>
        </w:rPr>
        <w:t>Northwest Territories</w:t>
      </w:r>
      <w:r>
        <w:rPr>
          <w:rStyle w:val="27"/>
          <w:rFonts w:eastAsia="Times New Roman"/>
          <w:bCs/>
          <w:lang w:val="en"/>
        </w:rPr>
        <w:fldChar w:fldCharType="end"/>
      </w:r>
      <w:r>
        <w:rPr>
          <w:rFonts w:eastAsia="Times New Roman"/>
          <w:bCs/>
          <w:lang w:val="en"/>
        </w:rPr>
        <w:t>. The province of Newfoundland and Labrador produce its oil from </w:t>
      </w:r>
      <w:r>
        <w:fldChar w:fldCharType="begin"/>
      </w:r>
      <w:r>
        <w:instrText xml:space="preserve"> HYPERLINK "https://en.wikipedia.org/wiki/Offshore_drilling" \o "Offshore drilling" </w:instrText>
      </w:r>
      <w:r>
        <w:fldChar w:fldCharType="separate"/>
      </w:r>
      <w:r>
        <w:rPr>
          <w:rStyle w:val="27"/>
          <w:rFonts w:eastAsia="Times New Roman"/>
          <w:bCs/>
          <w:lang w:val="en"/>
        </w:rPr>
        <w:t>offshore drilling</w:t>
      </w:r>
      <w:r>
        <w:rPr>
          <w:rStyle w:val="27"/>
          <w:rFonts w:eastAsia="Times New Roman"/>
          <w:bCs/>
          <w:lang w:val="en"/>
        </w:rPr>
        <w:fldChar w:fldCharType="end"/>
      </w:r>
      <w:r>
        <w:rPr>
          <w:rFonts w:eastAsia="Times New Roman"/>
          <w:bCs/>
          <w:lang w:val="en"/>
        </w:rPr>
        <w:t> on the </w:t>
      </w:r>
      <w:r>
        <w:fldChar w:fldCharType="begin"/>
      </w:r>
      <w:r>
        <w:instrText xml:space="preserve"> HYPERLINK "https://en.wikipedia.org/wiki/Grand_Banks_of_Newfoundland" \o "Grand Banks of Newfoundland" </w:instrText>
      </w:r>
      <w:r>
        <w:fldChar w:fldCharType="separate"/>
      </w:r>
      <w:r>
        <w:rPr>
          <w:rStyle w:val="27"/>
          <w:rFonts w:eastAsia="Times New Roman"/>
          <w:bCs/>
          <w:lang w:val="en"/>
        </w:rPr>
        <w:t>Grand Banks of Newfoundland</w:t>
      </w:r>
      <w:r>
        <w:rPr>
          <w:rStyle w:val="27"/>
          <w:rFonts w:eastAsia="Times New Roman"/>
          <w:bCs/>
          <w:lang w:val="en"/>
        </w:rPr>
        <w:fldChar w:fldCharType="end"/>
      </w:r>
      <w:r>
        <w:rPr>
          <w:rFonts w:eastAsia="Times New Roman"/>
          <w:bCs/>
          <w:lang w:val="en"/>
        </w:rPr>
        <w:t> in the western </w:t>
      </w:r>
      <w:r>
        <w:fldChar w:fldCharType="begin"/>
      </w:r>
      <w:r>
        <w:instrText xml:space="preserve"> HYPERLINK "https://en.wikipedia.org/wiki/Atlantic_Ocean" \o "Atlantic Ocean" </w:instrText>
      </w:r>
      <w:r>
        <w:fldChar w:fldCharType="separate"/>
      </w:r>
      <w:r>
        <w:rPr>
          <w:rStyle w:val="27"/>
          <w:rFonts w:eastAsia="Times New Roman"/>
          <w:bCs/>
          <w:lang w:val="en"/>
        </w:rPr>
        <w:t>Atlantic Ocean</w:t>
      </w:r>
      <w:r>
        <w:rPr>
          <w:rStyle w:val="27"/>
          <w:rFonts w:eastAsia="Times New Roman"/>
          <w:bCs/>
          <w:lang w:val="en"/>
        </w:rPr>
        <w:fldChar w:fldCharType="end"/>
      </w:r>
      <w:r>
        <w:rPr>
          <w:rStyle w:val="23"/>
          <w:rFonts w:eastAsia="Times New Roman"/>
        </w:rPr>
        <w:footnoteReference w:id="550"/>
      </w:r>
      <w:r>
        <w:rPr>
          <w:rFonts w:eastAsia="Times New Roman"/>
          <w:lang w:val="en"/>
        </w:rPr>
        <w:t>.</w:t>
      </w:r>
      <w:r>
        <w:rPr>
          <w:rFonts w:eastAsia="Times New Roman"/>
          <w:lang w:val="en-GB"/>
        </w:rPr>
        <w:t xml:space="preserve">  In 2019 it produced an average of 750,000 cubic metres per day (4.7 Mbbl/d) of </w:t>
      </w:r>
      <w:r>
        <w:fldChar w:fldCharType="begin"/>
      </w:r>
      <w:r>
        <w:instrText xml:space="preserve"> HYPERLINK "https://en.wikipedia.org/wiki/Crude_oil" \o "Crude oil" </w:instrText>
      </w:r>
      <w:r>
        <w:fldChar w:fldCharType="separate"/>
      </w:r>
      <w:r>
        <w:rPr>
          <w:rFonts w:eastAsia="Times New Roman"/>
          <w:color w:val="000000"/>
          <w:lang w:val="en-GB"/>
        </w:rPr>
        <w:t>crude oil</w:t>
      </w:r>
      <w:r>
        <w:rPr>
          <w:rFonts w:eastAsia="Times New Roman"/>
          <w:color w:val="000000"/>
          <w:lang w:val="en-GB"/>
        </w:rPr>
        <w:fldChar w:fldCharType="end"/>
      </w:r>
      <w:r>
        <w:rPr>
          <w:rFonts w:eastAsia="Times New Roman"/>
          <w:color w:val="000000"/>
          <w:lang w:val="en-GB"/>
        </w:rPr>
        <w:t> </w:t>
      </w:r>
      <w:r>
        <w:rPr>
          <w:rFonts w:eastAsia="Times New Roman"/>
          <w:lang w:val="en-GB"/>
        </w:rPr>
        <w:t>and equivalent. Of that amount, 64% was upgraded and non-upgraded bitumen from </w:t>
      </w:r>
      <w:r>
        <w:fldChar w:fldCharType="begin"/>
      </w:r>
      <w:r>
        <w:instrText xml:space="preserve"> HYPERLINK "https://en.wikipedia.org/wiki/Oil_sands" \o "Oil sands" </w:instrText>
      </w:r>
      <w:r>
        <w:fldChar w:fldCharType="separate"/>
      </w:r>
      <w:r>
        <w:rPr>
          <w:rFonts w:eastAsia="Times New Roman"/>
          <w:color w:val="000000"/>
          <w:lang w:val="en-GB"/>
        </w:rPr>
        <w:t>oil sands</w:t>
      </w:r>
      <w:r>
        <w:rPr>
          <w:rFonts w:eastAsia="Times New Roman"/>
          <w:color w:val="000000"/>
          <w:lang w:val="en-GB"/>
        </w:rPr>
        <w:fldChar w:fldCharType="end"/>
      </w:r>
      <w:r>
        <w:rPr>
          <w:rFonts w:eastAsia="Times New Roman"/>
          <w:color w:val="000000"/>
          <w:lang w:val="en-GB"/>
        </w:rPr>
        <w:t xml:space="preserve">, </w:t>
      </w:r>
      <w:r>
        <w:rPr>
          <w:rFonts w:eastAsia="Times New Roman"/>
          <w:lang w:val="en-GB"/>
        </w:rPr>
        <w:t>and the remainder </w:t>
      </w:r>
      <w:r>
        <w:fldChar w:fldCharType="begin"/>
      </w:r>
      <w:r>
        <w:instrText xml:space="preserve"> HYPERLINK "https://en.wikipedia.org/wiki/Light_crude_oil" \o "Light crude oil" </w:instrText>
      </w:r>
      <w:r>
        <w:fldChar w:fldCharType="separate"/>
      </w:r>
      <w:r>
        <w:rPr>
          <w:rFonts w:eastAsia="Times New Roman"/>
          <w:color w:val="000000"/>
          <w:lang w:val="en-GB"/>
        </w:rPr>
        <w:t>light crude oil</w:t>
      </w:r>
      <w:r>
        <w:rPr>
          <w:rFonts w:eastAsia="Times New Roman"/>
          <w:color w:val="000000"/>
          <w:lang w:val="en-GB"/>
        </w:rPr>
        <w:fldChar w:fldCharType="end"/>
      </w:r>
      <w:r>
        <w:rPr>
          <w:rFonts w:eastAsia="Times New Roman"/>
          <w:color w:val="000000"/>
          <w:lang w:val="en-GB"/>
        </w:rPr>
        <w:t>, </w:t>
      </w:r>
      <w:r>
        <w:fldChar w:fldCharType="begin"/>
      </w:r>
      <w:r>
        <w:instrText xml:space="preserve"> HYPERLINK "https://en.wikipedia.org/wiki/Heavy_crude_oil" \o "Heavy crude oil" </w:instrText>
      </w:r>
      <w:r>
        <w:fldChar w:fldCharType="separate"/>
      </w:r>
      <w:r>
        <w:rPr>
          <w:rFonts w:eastAsia="Times New Roman"/>
          <w:color w:val="000000"/>
          <w:lang w:val="en-GB"/>
        </w:rPr>
        <w:t>heavy crude oil</w:t>
      </w:r>
      <w:r>
        <w:rPr>
          <w:rFonts w:eastAsia="Times New Roman"/>
          <w:color w:val="000000"/>
          <w:lang w:val="en-GB"/>
        </w:rPr>
        <w:fldChar w:fldCharType="end"/>
      </w:r>
      <w:r>
        <w:rPr>
          <w:rFonts w:eastAsia="Times New Roman"/>
          <w:color w:val="000000"/>
          <w:lang w:val="en-GB"/>
        </w:rPr>
        <w:t> and </w:t>
      </w:r>
      <w:r>
        <w:fldChar w:fldCharType="begin"/>
      </w:r>
      <w:r>
        <w:instrText xml:space="preserve"> HYPERLINK "https://en.wikipedia.org/wiki/Natural-gas_condensate" \o "Natural-gas condensate" </w:instrText>
      </w:r>
      <w:r>
        <w:fldChar w:fldCharType="separate"/>
      </w:r>
      <w:r>
        <w:rPr>
          <w:rFonts w:eastAsia="Times New Roman"/>
          <w:color w:val="000000"/>
          <w:lang w:val="en-GB"/>
        </w:rPr>
        <w:t>natural-gas condensate</w:t>
      </w:r>
      <w:r>
        <w:rPr>
          <w:rFonts w:eastAsia="Times New Roman"/>
          <w:color w:val="000000"/>
          <w:lang w:val="en-GB"/>
        </w:rPr>
        <w:fldChar w:fldCharType="end"/>
      </w:r>
      <w:r>
        <w:rPr>
          <w:rFonts w:eastAsia="Times New Roman"/>
          <w:vertAlign w:val="superscript"/>
          <w:lang w:val="en-GB"/>
        </w:rPr>
        <w:footnoteReference w:id="551"/>
      </w:r>
      <w:r>
        <w:rPr>
          <w:rFonts w:eastAsia="Times New Roman"/>
          <w:color w:val="000000"/>
          <w:lang w:val="en-GB"/>
        </w:rPr>
        <w:t>.</w:t>
      </w:r>
      <w:r>
        <w:rPr>
          <w:rFonts w:eastAsia="Times New Roman"/>
          <w:lang w:val="en-GB"/>
        </w:rPr>
        <w:t xml:space="preserve"> Most of Canadian petroleum production is exported. Approximately 600,000 cubic metres per day (3.8 Mbbl/d) in 2019, with 98% of the exports going to the United States</w:t>
      </w:r>
      <w:r>
        <w:rPr>
          <w:rFonts w:eastAsia="Times New Roman"/>
          <w:vertAlign w:val="superscript"/>
          <w:lang w:val="en-GB"/>
        </w:rPr>
        <w:footnoteReference w:id="552"/>
      </w:r>
      <w:r>
        <w:rPr>
          <w:rFonts w:eastAsia="Times New Roman"/>
          <w:lang w:val="en-GB"/>
        </w:rPr>
        <w:t>.</w:t>
      </w:r>
    </w:p>
    <w:p w14:paraId="7B586DF8">
      <w:pPr>
        <w:spacing w:after="200" w:line="480" w:lineRule="auto"/>
        <w:jc w:val="both"/>
        <w:rPr>
          <w:rFonts w:eastAsia="Times New Roman"/>
        </w:rPr>
      </w:pPr>
      <w:r>
        <w:rPr>
          <w:rFonts w:eastAsia="Times New Roman"/>
        </w:rPr>
        <w:t>According to the Natural Resources Canada 2006 Report on legal and policy frameworks on energy in North America, jurisdiction over energy is divided between the </w:t>
      </w:r>
      <w:r>
        <w:fldChar w:fldCharType="begin"/>
      </w:r>
      <w:r>
        <w:instrText xml:space="preserve"> HYPERLINK "https://en.wikipedia.org/wiki/Government_of_Canada" \o "Government of Canada" </w:instrText>
      </w:r>
      <w:r>
        <w:fldChar w:fldCharType="separate"/>
      </w:r>
      <w:r>
        <w:rPr>
          <w:rFonts w:eastAsia="Times New Roman"/>
          <w:color w:val="000000"/>
        </w:rPr>
        <w:t>federal</w:t>
      </w:r>
      <w:r>
        <w:rPr>
          <w:rFonts w:eastAsia="Times New Roman"/>
          <w:color w:val="000000"/>
        </w:rPr>
        <w:fldChar w:fldCharType="end"/>
      </w:r>
      <w:r>
        <w:rPr>
          <w:rFonts w:eastAsia="Times New Roman"/>
          <w:color w:val="000000"/>
        </w:rPr>
        <w:t xml:space="preserve">,  </w:t>
      </w:r>
      <w:r>
        <w:fldChar w:fldCharType="begin"/>
      </w:r>
      <w:r>
        <w:instrText xml:space="preserve"> HYPERLINK "https://en.wikipedia.org/wiki/Provinces_and_territories_of_Canada" \o "Provinces and territories of Canada" </w:instrText>
      </w:r>
      <w:r>
        <w:fldChar w:fldCharType="separate"/>
      </w:r>
      <w:r>
        <w:rPr>
          <w:rFonts w:eastAsia="Times New Roman"/>
          <w:color w:val="000000"/>
        </w:rPr>
        <w:t>provincial and territorial governments</w:t>
      </w:r>
      <w:r>
        <w:rPr>
          <w:rFonts w:eastAsia="Times New Roman"/>
          <w:color w:val="000000"/>
        </w:rPr>
        <w:fldChar w:fldCharType="end"/>
      </w:r>
      <w:r>
        <w:rPr>
          <w:rFonts w:eastAsia="Times New Roman"/>
        </w:rPr>
        <w:t>. The Canadian federal Constitution is also clear on the ownership rights and jurisdiction over natural resources exploitation and production in Canada. Unlike the case in Nigeria, the provincial governments (PG) have jurisdiction over the exploration, development, conservation, and management of </w:t>
      </w:r>
      <w:r>
        <w:fldChar w:fldCharType="begin"/>
      </w:r>
      <w:r>
        <w:instrText xml:space="preserve"> HYPERLINK "https://en.wikipedia.org/wiki/Non-renewable_resources" \o "Non-renewable resources" </w:instrText>
      </w:r>
      <w:r>
        <w:fldChar w:fldCharType="separate"/>
      </w:r>
      <w:r>
        <w:rPr>
          <w:rFonts w:eastAsia="Times New Roman"/>
          <w:color w:val="000000"/>
        </w:rPr>
        <w:t>non-renewable resources</w:t>
      </w:r>
      <w:r>
        <w:rPr>
          <w:rFonts w:eastAsia="Times New Roman"/>
          <w:color w:val="000000"/>
        </w:rPr>
        <w:fldChar w:fldCharType="end"/>
      </w:r>
      <w:r>
        <w:rPr>
          <w:rFonts w:eastAsia="Times New Roman"/>
        </w:rPr>
        <w:t>, as well as the generation and production of </w:t>
      </w:r>
      <w:r>
        <w:fldChar w:fldCharType="begin"/>
      </w:r>
      <w:r>
        <w:instrText xml:space="preserve"> HYPERLINK "https://en.wikipedia.org/wiki/Electricity" \o "Electricity" </w:instrText>
      </w:r>
      <w:r>
        <w:fldChar w:fldCharType="separate"/>
      </w:r>
      <w:r>
        <w:rPr>
          <w:rFonts w:eastAsia="Times New Roman"/>
          <w:color w:val="000000"/>
        </w:rPr>
        <w:t>electricity</w:t>
      </w:r>
      <w:r>
        <w:rPr>
          <w:rFonts w:eastAsia="Times New Roman"/>
          <w:color w:val="000000"/>
        </w:rPr>
        <w:fldChar w:fldCharType="end"/>
      </w:r>
      <w:r>
        <w:rPr>
          <w:rFonts w:eastAsia="Times New Roman"/>
          <w:color w:val="000000"/>
        </w:rPr>
        <w:t>.</w:t>
      </w:r>
      <w:r>
        <w:rPr>
          <w:rFonts w:eastAsia="Times New Roman"/>
        </w:rPr>
        <w:t xml:space="preserve"> Federal jurisdiction in energy is primarily concerned with regulation of inter-provincial and </w:t>
      </w:r>
      <w:r>
        <w:fldChar w:fldCharType="begin"/>
      </w:r>
      <w:r>
        <w:instrText xml:space="preserve"> HYPERLINK "https://en.wikipedia.org/wiki/International_trade" \o "International trade" </w:instrText>
      </w:r>
      <w:r>
        <w:fldChar w:fldCharType="separate"/>
      </w:r>
      <w:r>
        <w:rPr>
          <w:rFonts w:eastAsia="Times New Roman"/>
          <w:color w:val="000000"/>
        </w:rPr>
        <w:t>international trade</w:t>
      </w:r>
      <w:r>
        <w:rPr>
          <w:rFonts w:eastAsia="Times New Roman"/>
          <w:color w:val="000000"/>
        </w:rPr>
        <w:fldChar w:fldCharType="end"/>
      </w:r>
      <w:r>
        <w:rPr>
          <w:rFonts w:eastAsia="Times New Roman"/>
        </w:rPr>
        <w:t> and commerce, and the management of non-renewable resources on </w:t>
      </w:r>
      <w:r>
        <w:fldChar w:fldCharType="begin"/>
      </w:r>
      <w:r>
        <w:instrText xml:space="preserve"> HYPERLINK "https://en.wikipedia.org/wiki/Federal_lands" \o "Federal lands" </w:instrText>
      </w:r>
      <w:r>
        <w:fldChar w:fldCharType="separate"/>
      </w:r>
      <w:r>
        <w:rPr>
          <w:rFonts w:eastAsia="Times New Roman"/>
          <w:color w:val="000000"/>
        </w:rPr>
        <w:t>federal lands</w:t>
      </w:r>
      <w:r>
        <w:rPr>
          <w:rFonts w:eastAsia="Times New Roman"/>
          <w:color w:val="000000"/>
        </w:rPr>
        <w:fldChar w:fldCharType="end"/>
      </w:r>
      <w:r>
        <w:rPr>
          <w:rFonts w:eastAsia="Times New Roman"/>
          <w:vertAlign w:val="superscript"/>
          <w:lang w:val="en-GB"/>
        </w:rPr>
        <w:footnoteReference w:id="553"/>
      </w:r>
      <w:r>
        <w:rPr>
          <w:rFonts w:eastAsia="Times New Roman"/>
          <w:color w:val="000000"/>
        </w:rPr>
        <w:t>.</w:t>
      </w:r>
      <w:r>
        <w:rPr>
          <w:rFonts w:eastAsia="Times New Roman"/>
        </w:rPr>
        <w:t xml:space="preserve"> </w:t>
      </w:r>
    </w:p>
    <w:p w14:paraId="0A7FC6BF">
      <w:pPr>
        <w:spacing w:after="200" w:line="480" w:lineRule="auto"/>
        <w:jc w:val="both"/>
        <w:rPr>
          <w:rFonts w:eastAsia="Times New Roman"/>
          <w:lang w:val="en-GB"/>
        </w:rPr>
      </w:pPr>
      <w:r>
        <w:rPr>
          <w:rFonts w:eastAsia="Times New Roman"/>
        </w:rPr>
        <w:t>Another major difference with respect to ownership and operation of the petroleum industry in both countries, is that whilst the Nigerian State owns and has exclusive fiscal control, legislative and taxing rights over natural resources, the reverse is the case with Canada. The PG in Canada own the natural resources and have fiscal and taxing rights over the non-renewable natural resources in the provinces. The PG therefore carry out the exploration, production, and regulate the taxation of these resources, without interference from the CG or the territories in the Canadian federation. The vertical imbalance in Nigeria which created overlaps and conflicts in revenue capture resulting in the incidence of multiple taxation in Nigeria and areas of ambiguity in taxation is avoided in Canada. Also, unlike in Nigeria, where the Nigerian State awards licenses and operates through the NNPC, as regulator and operator in petroleum operations</w:t>
      </w:r>
      <w:r>
        <w:rPr>
          <w:rFonts w:eastAsia="Times New Roman"/>
          <w:vertAlign w:val="superscript"/>
        </w:rPr>
        <w:footnoteReference w:id="554"/>
      </w:r>
      <w:r>
        <w:rPr>
          <w:rFonts w:eastAsia="Times New Roman"/>
        </w:rPr>
        <w:t>, the situation is totally different in the Canadian federation. This makes for clear separation of responsibilities, administration, and the fiscal policy and regulatory framework for taxation of natural resources between the CG and the PG’s.</w:t>
      </w:r>
    </w:p>
    <w:p w14:paraId="62F84668">
      <w:pPr>
        <w:spacing w:after="200" w:line="480" w:lineRule="auto"/>
        <w:jc w:val="both"/>
        <w:rPr>
          <w:rFonts w:eastAsia="Times New Roman"/>
          <w:lang w:val="en-GB"/>
        </w:rPr>
      </w:pPr>
      <w:r>
        <w:rPr>
          <w:rFonts w:eastAsia="Times New Roman"/>
          <w:lang w:val="en-GB"/>
        </w:rPr>
        <w:t>According to a 2015 </w:t>
      </w:r>
      <w:r>
        <w:fldChar w:fldCharType="begin"/>
      </w:r>
      <w:r>
        <w:instrText xml:space="preserve"> HYPERLINK "https://en.wikipedia.org/wiki/Canadian_Global_Affairs_Institute" \o "Canadian Global Affairs Institute" </w:instrText>
      </w:r>
      <w:r>
        <w:fldChar w:fldCharType="separate"/>
      </w:r>
      <w:r>
        <w:rPr>
          <w:rFonts w:eastAsia="Times New Roman"/>
          <w:color w:val="000000"/>
          <w:lang w:val="en-GB"/>
        </w:rPr>
        <w:t>Canadian Global Affairs Institute</w:t>
      </w:r>
      <w:r>
        <w:rPr>
          <w:rFonts w:eastAsia="Times New Roman"/>
          <w:color w:val="000000"/>
          <w:lang w:val="en-GB"/>
        </w:rPr>
        <w:fldChar w:fldCharType="end"/>
      </w:r>
      <w:r>
        <w:rPr>
          <w:rFonts w:eastAsia="Times New Roman"/>
          <w:lang w:val="en-GB"/>
        </w:rPr>
        <w:t> (CGAI), report,  the design and structure of </w:t>
      </w:r>
      <w:r>
        <w:fldChar w:fldCharType="begin"/>
      </w:r>
      <w:r>
        <w:instrText xml:space="preserve"> HYPERLINK "https://en.wikipedia.org/wiki/Canadian_federalism" \o "Canadian federalism" </w:instrText>
      </w:r>
      <w:r>
        <w:fldChar w:fldCharType="separate"/>
      </w:r>
      <w:r>
        <w:rPr>
          <w:rFonts w:eastAsia="Times New Roman"/>
          <w:color w:val="000000"/>
          <w:lang w:val="en-GB"/>
        </w:rPr>
        <w:t>Canadian federalism</w:t>
      </w:r>
      <w:r>
        <w:rPr>
          <w:rFonts w:eastAsia="Times New Roman"/>
          <w:color w:val="000000"/>
          <w:lang w:val="en-GB"/>
        </w:rPr>
        <w:fldChar w:fldCharType="end"/>
      </w:r>
      <w:r>
        <w:rPr>
          <w:rFonts w:eastAsia="Times New Roman"/>
          <w:lang w:val="en-GB"/>
        </w:rPr>
        <w:t> has resulted in an "unwillingness of the Canadian CG to commit to a national vision in most resource issues for fear of risking political capital in debates with those provinces who resist cooperative resource development”.</w:t>
      </w:r>
      <w:r>
        <w:rPr>
          <w:rFonts w:eastAsia="Times New Roman"/>
          <w:vertAlign w:val="superscript"/>
          <w:lang w:val="en-GB"/>
        </w:rPr>
        <w:footnoteReference w:id="555"/>
      </w:r>
      <w:r>
        <w:rPr>
          <w:rFonts w:eastAsia="Times New Roman"/>
          <w:vertAlign w:val="superscript"/>
          <w:lang w:val="en-GB"/>
        </w:rPr>
        <w:t> </w:t>
      </w:r>
      <w:r>
        <w:rPr>
          <w:rFonts w:eastAsia="Times New Roman"/>
          <w:lang w:val="en-GB"/>
        </w:rPr>
        <w:t> Canada was one of the few OECD countries that did not have a national energy policy and it has been maintained that Canada has one of the most divided and decentralized constitutional arrangements for energy among Western industrialized countries</w:t>
      </w:r>
      <w:r>
        <w:rPr>
          <w:rFonts w:eastAsia="Times New Roman"/>
          <w:vertAlign w:val="superscript"/>
          <w:lang w:val="en-GB"/>
        </w:rPr>
        <w:footnoteReference w:id="556"/>
      </w:r>
      <w:r>
        <w:rPr>
          <w:rFonts w:eastAsia="Times New Roman"/>
          <w:lang w:val="en-GB"/>
        </w:rPr>
        <w:t xml:space="preserve">. Consequently, Canada's "unique" political and economic reality affects its federal and provincial energy strategies, as the </w:t>
      </w:r>
      <w:r>
        <w:fldChar w:fldCharType="begin"/>
      </w:r>
      <w:r>
        <w:instrText xml:space="preserve"> HYPERLINK "https://en.wikipedia.org/wiki/Constitution_of_Canada" \o "Constitution of Canada" </w:instrText>
      </w:r>
      <w:r>
        <w:fldChar w:fldCharType="separate"/>
      </w:r>
      <w:r>
        <w:rPr>
          <w:rFonts w:eastAsia="Times New Roman"/>
          <w:color w:val="000000"/>
          <w:lang w:val="en-GB"/>
        </w:rPr>
        <w:t>Constitution of Canada</w:t>
      </w:r>
      <w:r>
        <w:rPr>
          <w:rFonts w:eastAsia="Times New Roman"/>
          <w:color w:val="000000"/>
          <w:lang w:val="en-GB"/>
        </w:rPr>
        <w:fldChar w:fldCharType="end"/>
      </w:r>
      <w:r>
        <w:rPr>
          <w:rFonts w:eastAsia="Times New Roman"/>
          <w:lang w:val="en-GB"/>
        </w:rPr>
        <w:t> places natural resources under the </w:t>
      </w:r>
      <w:r>
        <w:fldChar w:fldCharType="begin"/>
      </w:r>
      <w:r>
        <w:instrText xml:space="preserve"> HYPERLINK "https://en.wikipedia.org/wiki/Canadian_federalism" \o "Canadian federalism" </w:instrText>
      </w:r>
      <w:r>
        <w:fldChar w:fldCharType="separate"/>
      </w:r>
      <w:r>
        <w:rPr>
          <w:rFonts w:eastAsia="Times New Roman"/>
          <w:color w:val="000000"/>
          <w:lang w:val="en-GB"/>
        </w:rPr>
        <w:t>jurisdiction of the provinces</w:t>
      </w:r>
      <w:r>
        <w:rPr>
          <w:rFonts w:eastAsia="Times New Roman"/>
          <w:color w:val="000000"/>
          <w:lang w:val="en-GB"/>
        </w:rPr>
        <w:fldChar w:fldCharType="end"/>
      </w:r>
      <w:r>
        <w:rPr>
          <w:rFonts w:eastAsia="Times New Roman"/>
          <w:vertAlign w:val="superscript"/>
          <w:lang w:val="en-GB"/>
        </w:rPr>
        <w:footnoteReference w:id="557"/>
      </w:r>
      <w:r>
        <w:rPr>
          <w:rFonts w:eastAsia="Times New Roman"/>
          <w:lang w:val="en-GB"/>
        </w:rPr>
        <w:t>. However, the three </w:t>
      </w:r>
      <w:r>
        <w:fldChar w:fldCharType="begin"/>
      </w:r>
      <w:r>
        <w:instrText xml:space="preserve"> HYPERLINK "https://en.wikipedia.org/wiki/Prairie_provinces" \o "Prairie provinces" </w:instrText>
      </w:r>
      <w:r>
        <w:fldChar w:fldCharType="separate"/>
      </w:r>
      <w:r>
        <w:rPr>
          <w:rFonts w:eastAsia="Times New Roman"/>
          <w:color w:val="000000"/>
          <w:lang w:val="en-GB"/>
        </w:rPr>
        <w:t>Prairie provinces</w:t>
      </w:r>
      <w:r>
        <w:rPr>
          <w:rFonts w:eastAsia="Times New Roman"/>
          <w:color w:val="000000"/>
          <w:lang w:val="en-GB"/>
        </w:rPr>
        <w:fldChar w:fldCharType="end"/>
      </w:r>
      <w:r>
        <w:rPr>
          <w:rFonts w:eastAsia="Times New Roman"/>
          <w:color w:val="000000"/>
          <w:lang w:val="en-GB"/>
        </w:rPr>
        <w:t> </w:t>
      </w:r>
      <w:r>
        <w:rPr>
          <w:rFonts w:eastAsia="Times New Roman"/>
          <w:lang w:val="en-GB"/>
        </w:rPr>
        <w:t>of Canada originally did not control the natural resources in the provinces as a condition of their entry into the Confederation, until the </w:t>
      </w:r>
      <w:r>
        <w:fldChar w:fldCharType="begin"/>
      </w:r>
      <w:r>
        <w:instrText xml:space="preserve"> HYPERLINK "https://en.wikipedia.org/wiki/Natural_Resources_Acts" \o "Natural Resources Acts" </w:instrText>
      </w:r>
      <w:r>
        <w:fldChar w:fldCharType="separate"/>
      </w:r>
      <w:r>
        <w:rPr>
          <w:rFonts w:eastAsia="Times New Roman"/>
          <w:color w:val="000000"/>
          <w:lang w:val="en-GB"/>
        </w:rPr>
        <w:t>Natural Resources Acts</w:t>
      </w:r>
      <w:r>
        <w:rPr>
          <w:rFonts w:eastAsia="Times New Roman"/>
          <w:color w:val="000000"/>
          <w:lang w:val="en-GB"/>
        </w:rPr>
        <w:fldChar w:fldCharType="end"/>
      </w:r>
      <w:r>
        <w:rPr>
          <w:rFonts w:eastAsia="Times New Roman"/>
          <w:lang w:val="en-GB"/>
        </w:rPr>
        <w:t xml:space="preserve"> of 1930. </w:t>
      </w:r>
    </w:p>
    <w:p w14:paraId="69B1E662">
      <w:pPr>
        <w:spacing w:after="200" w:line="480" w:lineRule="auto"/>
        <w:jc w:val="both"/>
        <w:rPr>
          <w:rFonts w:eastAsia="Times New Roman"/>
          <w:lang w:val="en-GB"/>
        </w:rPr>
      </w:pPr>
      <w:r>
        <w:rPr>
          <w:rFonts w:eastAsia="Times New Roman"/>
          <w:lang w:val="en-GB"/>
        </w:rPr>
        <w:t>The Canadian CG coordinates its energy policies with those of the PG, which own most of the petroleum, natural gas and coal reserves, and control most of the electricity production</w:t>
      </w:r>
      <w:r>
        <w:rPr>
          <w:rFonts w:eastAsia="Times New Roman"/>
          <w:vertAlign w:val="superscript"/>
          <w:lang w:val="en-GB"/>
        </w:rPr>
        <w:footnoteReference w:id="558"/>
      </w:r>
      <w:r>
        <w:rPr>
          <w:rFonts w:eastAsia="Times New Roman"/>
          <w:lang w:val="en-GB"/>
        </w:rPr>
        <w:t xml:space="preserve">. The CG also </w:t>
      </w:r>
      <w:r>
        <w:rPr>
          <w:rFonts w:eastAsia="Times New Roman"/>
          <w:bCs/>
        </w:rPr>
        <w:t>has the responsibility over infrastructure between provinces, which includes pipelines</w:t>
      </w:r>
      <w:r>
        <w:rPr>
          <w:rFonts w:eastAsia="Times New Roman"/>
          <w:lang w:val="en-GB"/>
        </w:rPr>
        <w:t xml:space="preserve"> Intergovernmental conflicts sometimes arise from this structure of ownership and governance. The problem is particularly acute since the energy consuming provinces have the bulk of the population and can elect the CG which introduces policies favouring energy consumers, while the energy producing provinces can defeat such policies by exercising their constitutional authority over natural resources. Unlike the case in Canada, the federating States in Nigeria are constitutionally unable to directly influence the design and formulation of fiscal or tax policies affecting the petroleum or energy sector operations in Nigeria. </w:t>
      </w:r>
    </w:p>
    <w:p w14:paraId="68E03F4D">
      <w:pPr>
        <w:spacing w:after="200" w:line="480" w:lineRule="auto"/>
        <w:jc w:val="both"/>
        <w:rPr>
          <w:rFonts w:eastAsia="Times New Roman"/>
          <w:lang w:val="en-GB"/>
        </w:rPr>
      </w:pPr>
      <w:r>
        <w:rPr>
          <w:rFonts w:eastAsia="Times New Roman"/>
          <w:lang w:val="en-GB"/>
        </w:rPr>
        <w:t xml:space="preserve">Further, unlike in the Canadian federation, where taxation of income and profits from petroleum is the prerogative of the PG, the exclusive prerogative for taxation of income, profits and gains from petroleum resides with the FG under the Nigerian Constitution. As discussed in chapters 3 and 5 respectively of the thesis, the centralization or commanding control, ownership, and taxation of petroleum operations by the FG under the Nigeria Constitution, has not always translated into effective formulation of petroleum fiscal or tax policy, or the reform and development of legislation and regulation of the industry. Also, unlike the case in Canada and the UK, with proactive policy development in world energy environment and pricing changes, the Nigerian petroleum policy and legislative environment has failed to keep pace with developments in world energy and pricing changes.  </w:t>
      </w:r>
    </w:p>
    <w:p w14:paraId="7DE956EB">
      <w:pPr>
        <w:spacing w:after="200" w:line="480" w:lineRule="auto"/>
        <w:jc w:val="both"/>
        <w:rPr>
          <w:rFonts w:eastAsia="Times New Roman"/>
          <w:lang w:val="en-GB"/>
        </w:rPr>
      </w:pPr>
      <w:r>
        <w:rPr>
          <w:rFonts w:eastAsia="Times New Roman"/>
          <w:lang w:val="en-GB"/>
        </w:rPr>
        <w:t>An analysis conducted in 2013 of the Canadian energy and climate policies has shown that there is a lack of consistency between the CG and the regional provincial (PG) strategies</w:t>
      </w:r>
      <w:r>
        <w:rPr>
          <w:rFonts w:eastAsia="Times New Roman"/>
          <w:vertAlign w:val="superscript"/>
          <w:lang w:val="en-GB"/>
        </w:rPr>
        <w:footnoteReference w:id="559"/>
      </w:r>
      <w:r>
        <w:rPr>
          <w:rFonts w:eastAsia="Times New Roman"/>
          <w:lang w:val="en-GB"/>
        </w:rPr>
        <w:t xml:space="preserve">. The lack of consistency was attributed to the economic and environmental realities, and the diversity of energy sources and energy demands that vary greatly among the Canadian provinces. As a result of the differing energy characteristics of the provinces there has been the creation of multiple federal and provincial strategies, sometimes complementary, but often contradictory. It therefore offers useful comparisons and learnings for the policy and tax law development in the Nigerian upstream petroleum policy and tax system reform. </w:t>
      </w:r>
    </w:p>
    <w:p w14:paraId="7BB86F6D">
      <w:pPr>
        <w:spacing w:after="200" w:line="480" w:lineRule="auto"/>
        <w:jc w:val="both"/>
        <w:rPr>
          <w:rFonts w:eastAsia="Times New Roman"/>
          <w:b/>
          <w:bCs/>
          <w:lang w:val="en-GB"/>
        </w:rPr>
      </w:pPr>
      <w:r>
        <w:rPr>
          <w:rFonts w:eastAsia="Times New Roman"/>
          <w:b/>
          <w:bCs/>
          <w:lang w:val="en-GB"/>
        </w:rPr>
        <w:t>8.1</w:t>
      </w:r>
      <w:r>
        <w:rPr>
          <w:rFonts w:eastAsia="Times New Roman"/>
          <w:b/>
          <w:bCs/>
          <w:lang w:val="en-GB"/>
        </w:rPr>
        <w:tab/>
      </w:r>
      <w:r>
        <w:rPr>
          <w:rFonts w:eastAsia="Times New Roman"/>
          <w:b/>
          <w:bCs/>
          <w:lang w:val="en-GB"/>
        </w:rPr>
        <w:t xml:space="preserve"> THE ENERGY AND TAX POLICY FRAMEWORK IN CANADA</w:t>
      </w:r>
    </w:p>
    <w:p w14:paraId="6D97A4C0">
      <w:pPr>
        <w:spacing w:after="200" w:line="480" w:lineRule="auto"/>
        <w:jc w:val="both"/>
        <w:rPr>
          <w:rFonts w:eastAsia="Times New Roman"/>
          <w:lang w:val="en-GB"/>
        </w:rPr>
      </w:pPr>
      <w:r>
        <w:rPr>
          <w:rFonts w:eastAsia="Times New Roman"/>
          <w:lang w:val="en-GB"/>
        </w:rPr>
        <w:t>Canadian energy policy</w:t>
      </w:r>
      <w:r>
        <w:rPr>
          <w:rFonts w:eastAsia="Times New Roman"/>
          <w:vertAlign w:val="superscript"/>
          <w:lang w:val="en-GB"/>
        </w:rPr>
        <w:footnoteReference w:id="560"/>
      </w:r>
      <w:r>
        <w:rPr>
          <w:rFonts w:eastAsia="Times New Roman"/>
          <w:lang w:val="en-GB"/>
        </w:rPr>
        <w:t xml:space="preserve"> is based on three important principles, which also affect the taxation outcomes. These are: </w:t>
      </w:r>
    </w:p>
    <w:p w14:paraId="6D985933">
      <w:pPr>
        <w:spacing w:after="200" w:line="480" w:lineRule="auto"/>
        <w:ind w:left="720"/>
        <w:jc w:val="both"/>
        <w:rPr>
          <w:rFonts w:eastAsia="Times New Roman"/>
          <w:lang w:val="en-GB"/>
        </w:rPr>
      </w:pPr>
      <w:r>
        <w:rPr>
          <w:rFonts w:eastAsia="Times New Roman"/>
          <w:lang w:val="en-GB"/>
        </w:rPr>
        <w:t xml:space="preserve">(i) competitive markets to ensure a successful and innovative energy system capable of meeting Canadian energy needs, </w:t>
      </w:r>
    </w:p>
    <w:p w14:paraId="08A2F8AF">
      <w:pPr>
        <w:spacing w:after="200" w:line="480" w:lineRule="auto"/>
        <w:ind w:firstLine="720"/>
        <w:jc w:val="both"/>
        <w:rPr>
          <w:rFonts w:eastAsia="Times New Roman"/>
          <w:lang w:val="en-GB"/>
        </w:rPr>
      </w:pPr>
      <w:r>
        <w:rPr>
          <w:rFonts w:eastAsia="Times New Roman"/>
          <w:lang w:val="en-GB"/>
        </w:rPr>
        <w:t xml:space="preserve">(ii) respect for the jurisdiction of provinces and the central government, and </w:t>
      </w:r>
    </w:p>
    <w:p w14:paraId="6F2B0E7D">
      <w:pPr>
        <w:spacing w:after="200" w:line="480" w:lineRule="auto"/>
        <w:ind w:left="720"/>
        <w:jc w:val="both"/>
        <w:rPr>
          <w:rFonts w:eastAsia="Times New Roman"/>
          <w:lang w:val="en-GB"/>
        </w:rPr>
      </w:pPr>
      <w:r>
        <w:rPr>
          <w:rFonts w:eastAsia="Times New Roman"/>
          <w:lang w:val="en-GB"/>
        </w:rPr>
        <w:t>(iii) targeted central or federal interventions in the energy trading process ensuring that specific energy policy objectives are achieved</w:t>
      </w:r>
      <w:r>
        <w:rPr>
          <w:rFonts w:eastAsia="Times New Roman"/>
          <w:vertAlign w:val="superscript"/>
          <w:lang w:val="en-GB"/>
        </w:rPr>
        <w:footnoteReference w:id="561"/>
      </w:r>
      <w:r>
        <w:rPr>
          <w:rFonts w:eastAsia="Times New Roman"/>
          <w:lang w:val="en-GB"/>
        </w:rPr>
        <w:t>.</w:t>
      </w:r>
    </w:p>
    <w:p w14:paraId="61D7C519">
      <w:pPr>
        <w:spacing w:after="200" w:line="480" w:lineRule="auto"/>
        <w:jc w:val="both"/>
        <w:rPr>
          <w:rFonts w:eastAsia="Times New Roman"/>
        </w:rPr>
      </w:pPr>
      <w:r>
        <w:rPr>
          <w:rFonts w:eastAsia="Times New Roman"/>
          <w:lang w:val="en-GB"/>
        </w:rPr>
        <w:t>To improve the coherence of provincial and federal policies, a combination of policy tools has been instituted to facilitate collaboration between the CG and PG in Canada. These policy tools have resulted in equal balance of CG and PG in Canada, in the creation of energy policies. The CG is responsible for establishing objectives for the entire country and the PGs are responsible for enforcing these objectives and developing the methods to achieve the alignment of goals</w:t>
      </w:r>
      <w:r>
        <w:rPr>
          <w:rFonts w:eastAsia="Times New Roman"/>
          <w:vertAlign w:val="superscript"/>
          <w:lang w:val="en-GB"/>
        </w:rPr>
        <w:footnoteReference w:id="562"/>
      </w:r>
      <w:r>
        <w:rPr>
          <w:rFonts w:eastAsia="Times New Roman"/>
          <w:lang w:val="en-GB"/>
        </w:rPr>
        <w:t xml:space="preserve">. This alignment of energy policy between the CG and the PG, in the context of a very decentralised constitutional framework, is in direct contrast to the case under the Nigerian 1999 Constitution where the fiscal and legislative responsibility of designing and enforcing the energy taxation regulation rests solely on the FG of Nigeria. </w:t>
      </w:r>
    </w:p>
    <w:p w14:paraId="2DB13B4E">
      <w:pPr>
        <w:spacing w:after="200" w:line="480" w:lineRule="auto"/>
        <w:jc w:val="both"/>
        <w:rPr>
          <w:rFonts w:eastAsia="Times New Roman"/>
        </w:rPr>
      </w:pPr>
      <w:r>
        <w:rPr>
          <w:rFonts w:eastAsia="Times New Roman"/>
        </w:rPr>
        <w:t xml:space="preserve">The Tax Policy Branch (TPB) of Canada’s Department of Finance (CDF) is responsible for the design, development, and translation of tax policy at the CG level into legislation. TPB personnel </w:t>
      </w:r>
      <w:bookmarkStart w:id="25" w:name="_Hlk124348389"/>
      <w:r>
        <w:rPr>
          <w:rFonts w:eastAsia="Times New Roman"/>
        </w:rPr>
        <w:t>conduct internal research and analysis (for example, conducting economic analysis and reviewing case law) to generate ideas for tax initiatives and to analyze ideas for tax changes from other sources</w:t>
      </w:r>
      <w:bookmarkEnd w:id="25"/>
      <w:r>
        <w:rPr>
          <w:rFonts w:eastAsia="Times New Roman"/>
        </w:rPr>
        <w:t>. The Canada Revenue Agency (CRA), which administers most federal taxes, is an important source of ideas for tax initiatives. In addition, TPB personnel are in regular contact with other branches of the CDF, other federal departments, and representatives of provincial and territorial governments</w:t>
      </w:r>
      <w:r>
        <w:rPr>
          <w:rFonts w:eastAsia="Times New Roman"/>
          <w:vertAlign w:val="superscript"/>
        </w:rPr>
        <w:footnoteReference w:id="563"/>
      </w:r>
      <w:r>
        <w:rPr>
          <w:rFonts w:eastAsia="Times New Roman"/>
        </w:rPr>
        <w:t xml:space="preserve">. The conduct of internal research and analysis to generate ideas for tax initiatives and to analyze ideas for tax changes from other sources is critical to building a robust, responsive, and stable tax system. This has long been missing with respect to the Nigeria petroleum sector as NNPC, MPR and the MOF, as well as the FIRS, appear to either lack capacity, or work in silos, or at best in an uncoordinated manner. As such, the command and control of fiscal powers by the FG under the 1999 Constitution has not, until recently always produced any sustained fiscal and tax policy and law reform or change in the Nigeria O &amp; G industry. </w:t>
      </w:r>
    </w:p>
    <w:p w14:paraId="033CF668">
      <w:pPr>
        <w:spacing w:after="200" w:line="480" w:lineRule="auto"/>
        <w:jc w:val="both"/>
        <w:rPr>
          <w:rFonts w:eastAsia="Times New Roman"/>
          <w:bCs/>
        </w:rPr>
      </w:pPr>
      <w:r>
        <w:rPr>
          <w:rFonts w:eastAsia="Times New Roman"/>
        </w:rPr>
        <w:t xml:space="preserve">The TPB of the CDF is made up of five divisions: Personal Income Tax; Sales &amp; Excise Tax; Business Income Tax; Tax Legislation; and Intergovernmental Tax Policy, Evaluation and Research. All, except the Tax Legislation Division (TLD), carry out quantitative and qualitative economic research and analysis regarding contemplated policy options. Members of the TLD and the Sales &amp; Excise Tax Division review case law and commentary published by practitioners and academics. </w:t>
      </w:r>
      <w:r>
        <w:rPr>
          <w:rFonts w:eastAsia="Times New Roman"/>
          <w:bCs/>
        </w:rPr>
        <w:t>TPB staff review submissions by taxpayers, practitioners, and expert committees such as the CBA-CPA joint committee. The research undertaken depends on the nature of the issue. The CRA has developed a large database using data from taxpayers’ return information.</w:t>
      </w:r>
      <w:r>
        <w:rPr>
          <w:rFonts w:eastAsia="Times New Roman"/>
          <w:vertAlign w:val="superscript"/>
        </w:rPr>
        <w:footnoteReference w:id="564"/>
      </w:r>
      <w:r>
        <w:rPr>
          <w:rFonts w:eastAsia="Times New Roman"/>
        </w:rPr>
        <w:t>. The product of the analysis and reviews and commentaries get fed into the annual budget making and tax law changes and amendment in Canada.</w:t>
      </w:r>
    </w:p>
    <w:p w14:paraId="54C5A9CE">
      <w:pPr>
        <w:spacing w:after="200" w:line="480" w:lineRule="auto"/>
        <w:jc w:val="both"/>
        <w:rPr>
          <w:rFonts w:eastAsia="Times New Roman"/>
          <w:lang w:val="en-GB"/>
        </w:rPr>
      </w:pPr>
      <w:r>
        <w:rPr>
          <w:rFonts w:eastAsia="Times New Roman"/>
        </w:rPr>
        <w:t>Also, as is the case with the UK, the annual Canadian federal budget is the major vehicle for the introduction of new fiscal or tax policy initiatives</w:t>
      </w:r>
      <w:r>
        <w:rPr>
          <w:rFonts w:eastAsia="Times New Roman"/>
          <w:vertAlign w:val="superscript"/>
        </w:rPr>
        <w:footnoteReference w:id="565"/>
      </w:r>
      <w:r>
        <w:rPr>
          <w:rFonts w:eastAsia="Times New Roman"/>
        </w:rPr>
        <w:t xml:space="preserve">. </w:t>
      </w:r>
      <w:r>
        <w:rPr>
          <w:rFonts w:eastAsia="Times New Roman"/>
          <w:lang w:val="en-GB"/>
        </w:rPr>
        <w:t>The budget is a blueprint for how the Government wants to set the annual economic agenda for Canada. It is the job of the CDF to prepare it. The budget, usually tabled early in the year, is generally preceded in the fall by another major statement, the Economic and Fiscal Update.</w:t>
      </w:r>
      <w:r>
        <w:rPr>
          <w:rFonts w:eastAsia="Times New Roman"/>
        </w:rPr>
        <w:t xml:space="preserve"> Accordingly, the policy options analysis process normally tracks the annual budget cycle. Options are analyzed in anticipation of their potential acceptance as measures to be adopted in the budget. For measures considered for inclusion in the budget, the legislative feasibility of various policy options, their consistency with the government’s priorities and with tax policy objectives (fairness, neutrality, simplicity, etc.), the economic and distributional impacts, the cost/revenue impact, potential provincial/territorial impacts, and other considerations are all reviewed</w:t>
      </w:r>
      <w:r>
        <w:rPr>
          <w:rFonts w:eastAsia="Times New Roman"/>
          <w:vertAlign w:val="superscript"/>
        </w:rPr>
        <w:footnoteReference w:id="566"/>
      </w:r>
      <w:r>
        <w:rPr>
          <w:rFonts w:eastAsia="Times New Roman"/>
        </w:rPr>
        <w:t xml:space="preserve">. In addition, all tax measures are reviewed for their gender and environmental impact. This is done by way of preparing a briefing package for consideration for ministerial approval. Similar analysis is conducted for potential tax changes considered outside the budget cycle. </w:t>
      </w:r>
    </w:p>
    <w:p w14:paraId="3E101C41">
      <w:pPr>
        <w:spacing w:after="200" w:line="480" w:lineRule="auto"/>
        <w:jc w:val="both"/>
        <w:rPr>
          <w:rFonts w:eastAsia="Times New Roman"/>
        </w:rPr>
      </w:pPr>
      <w:r>
        <w:rPr>
          <w:rFonts w:eastAsia="Times New Roman"/>
        </w:rPr>
        <w:t>The following strengths of the Canadian tax policy and law-making process</w:t>
      </w:r>
      <w:r>
        <w:rPr>
          <w:rFonts w:eastAsia="Times New Roman"/>
          <w:vertAlign w:val="superscript"/>
        </w:rPr>
        <w:footnoteReference w:id="567"/>
      </w:r>
      <w:r>
        <w:rPr>
          <w:rFonts w:eastAsia="Times New Roman"/>
        </w:rPr>
        <w:t xml:space="preserve"> would be good learning and practice for the Nigeria petroleum industry:</w:t>
      </w:r>
    </w:p>
    <w:p w14:paraId="0B18C0FC">
      <w:pPr>
        <w:numPr>
          <w:ilvl w:val="0"/>
          <w:numId w:val="37"/>
        </w:numPr>
        <w:spacing w:after="200" w:line="480" w:lineRule="auto"/>
        <w:jc w:val="both"/>
        <w:rPr>
          <w:rFonts w:eastAsia="Times New Roman"/>
        </w:rPr>
      </w:pPr>
      <w:bookmarkStart w:id="26" w:name="_Hlk156666388"/>
      <w:r>
        <w:rPr>
          <w:rFonts w:eastAsia="Times New Roman"/>
        </w:rPr>
        <w:t xml:space="preserve">The drafting of tax legislation is an integral part of the tax policy process. This is critical for achieving clarity of objectives, speed of delivery and certainty of tax terms. </w:t>
      </w:r>
    </w:p>
    <w:p w14:paraId="4FB02F14">
      <w:pPr>
        <w:numPr>
          <w:ilvl w:val="0"/>
          <w:numId w:val="37"/>
        </w:numPr>
        <w:spacing w:after="200" w:line="480" w:lineRule="auto"/>
        <w:jc w:val="both"/>
        <w:rPr>
          <w:rFonts w:eastAsia="Times New Roman"/>
        </w:rPr>
      </w:pPr>
      <w:r>
        <w:rPr>
          <w:rFonts w:eastAsia="Times New Roman"/>
        </w:rPr>
        <w:t xml:space="preserve">The centralization of the tax policy function in the CDF means that accountability is clear and provides “one-stop shopping” for stakeholders. </w:t>
      </w:r>
    </w:p>
    <w:p w14:paraId="350B0090">
      <w:pPr>
        <w:numPr>
          <w:ilvl w:val="0"/>
          <w:numId w:val="37"/>
        </w:numPr>
        <w:spacing w:after="200" w:line="480" w:lineRule="auto"/>
        <w:jc w:val="both"/>
        <w:rPr>
          <w:rFonts w:eastAsia="Times New Roman"/>
        </w:rPr>
      </w:pPr>
      <w:r>
        <w:rPr>
          <w:rFonts w:eastAsia="Times New Roman"/>
        </w:rPr>
        <w:t xml:space="preserve">The relationship between CDF and the tax community is generally good. </w:t>
      </w:r>
    </w:p>
    <w:p w14:paraId="0221562E">
      <w:pPr>
        <w:numPr>
          <w:ilvl w:val="0"/>
          <w:numId w:val="37"/>
        </w:numPr>
        <w:spacing w:after="200" w:line="480" w:lineRule="auto"/>
        <w:jc w:val="both"/>
        <w:rPr>
          <w:rFonts w:eastAsia="Times New Roman"/>
        </w:rPr>
      </w:pPr>
      <w:r>
        <w:rPr>
          <w:rFonts w:eastAsia="Times New Roman"/>
        </w:rPr>
        <w:t>The staff of the CDF are both motivated and dedicated to contributing to the tax policy process.</w:t>
      </w:r>
    </w:p>
    <w:bookmarkEnd w:id="26"/>
    <w:p w14:paraId="53F3C939">
      <w:pPr>
        <w:spacing w:after="200" w:line="480" w:lineRule="auto"/>
        <w:jc w:val="both"/>
        <w:rPr>
          <w:rFonts w:eastAsia="Times New Roman"/>
        </w:rPr>
      </w:pPr>
      <w:r>
        <w:rPr>
          <w:rFonts w:eastAsia="Times New Roman"/>
        </w:rPr>
        <w:t xml:space="preserve">The CDF and TPB are responsible for the process of coordinating the design, formulation of policy and drafting of legislation. This framework ensures the non-interference or overlap of legislative and taxing functions of the PG and the CG. In the case of Nigeria, the coordination of the relevant agencies and departments has not always worked well or yielded the desired results in policy design, and the timely drafting of clear tax legislation for the Nigerian petroleum industry. </w:t>
      </w:r>
    </w:p>
    <w:p w14:paraId="4A7B777C">
      <w:pPr>
        <w:spacing w:after="200" w:line="480" w:lineRule="auto"/>
        <w:jc w:val="both"/>
        <w:rPr>
          <w:rFonts w:eastAsia="Times New Roman"/>
        </w:rPr>
      </w:pPr>
    </w:p>
    <w:p w14:paraId="7DA3B07A">
      <w:pPr>
        <w:spacing w:after="200" w:line="480" w:lineRule="auto"/>
        <w:jc w:val="both"/>
        <w:rPr>
          <w:rFonts w:eastAsia="Times New Roman"/>
          <w:b/>
          <w:bCs/>
        </w:rPr>
      </w:pPr>
      <w:r>
        <w:rPr>
          <w:rFonts w:eastAsia="Times New Roman"/>
          <w:b/>
          <w:bCs/>
        </w:rPr>
        <w:t>8.2</w:t>
      </w:r>
      <w:r>
        <w:rPr>
          <w:rFonts w:eastAsia="Times New Roman"/>
          <w:b/>
          <w:bCs/>
        </w:rPr>
        <w:tab/>
      </w:r>
      <w:r>
        <w:rPr>
          <w:rFonts w:eastAsia="Times New Roman"/>
          <w:b/>
          <w:bCs/>
        </w:rPr>
        <w:t xml:space="preserve"> FISCAL POLICY AND TAX LAW MAKING IN THE CANADIAN PETROLEUM INDUSTRY:</w:t>
      </w:r>
    </w:p>
    <w:p w14:paraId="0BB62FC2">
      <w:pPr>
        <w:spacing w:after="200" w:line="480" w:lineRule="auto"/>
        <w:jc w:val="both"/>
        <w:rPr>
          <w:rFonts w:eastAsia="Times New Roman"/>
        </w:rPr>
      </w:pPr>
      <w:r>
        <w:rPr>
          <w:rFonts w:eastAsia="Times New Roman"/>
        </w:rPr>
        <w:t>Canada has undertaken bold and far-sighted periods of fiscal policy innovation</w:t>
      </w:r>
      <w:r>
        <w:rPr>
          <w:rFonts w:eastAsia="Times New Roman"/>
          <w:vertAlign w:val="superscript"/>
        </w:rPr>
        <w:footnoteReference w:id="568"/>
      </w:r>
      <w:r>
        <w:rPr>
          <w:rFonts w:eastAsia="Times New Roman"/>
        </w:rPr>
        <w:t>, implementing significant, but less than universally popular policies that addressed several important fiscal concerns for the petroleum industry. Many of the policies necessarily involved provincial legislation and programs and were initiated at the provincial level, with the CG playing a leadership role in encouraging the harmonized participation of all provinces</w:t>
      </w:r>
      <w:r>
        <w:rPr>
          <w:rFonts w:eastAsia="Times New Roman"/>
          <w:vertAlign w:val="superscript"/>
        </w:rPr>
        <w:footnoteReference w:id="569"/>
      </w:r>
      <w:r>
        <w:rPr>
          <w:rFonts w:eastAsia="Times New Roman"/>
        </w:rPr>
        <w:t>. The bold and farsighted fiscal policy reforms had the objective of developing an orderly, neutral, and progressive tax system. However, the Canadian decentralized federal structure and the provincial ownership of resources was a source of two problems. One is the enormous horizontal fiscal imbalance that results from resource-rich provinces having greater ability to provide basic public services than non-resource-rich provinces</w:t>
      </w:r>
      <w:r>
        <w:rPr>
          <w:rFonts w:eastAsia="Times New Roman"/>
          <w:vertAlign w:val="superscript"/>
        </w:rPr>
        <w:footnoteReference w:id="570"/>
      </w:r>
      <w:r>
        <w:rPr>
          <w:rFonts w:eastAsia="Times New Roman"/>
        </w:rPr>
        <w:t>, and the second is the equalization system, designed to offset the effects of the horizontal imbalances arising from the limited access by the CG to natural-resource revenues.</w:t>
      </w:r>
    </w:p>
    <w:p w14:paraId="6752EDA1">
      <w:pPr>
        <w:spacing w:after="200" w:line="480" w:lineRule="auto"/>
        <w:jc w:val="both"/>
        <w:rPr>
          <w:rFonts w:eastAsia="Times New Roman"/>
          <w:lang w:val="en-GB"/>
        </w:rPr>
      </w:pPr>
      <w:r>
        <w:rPr>
          <w:rFonts w:eastAsia="Times New Roman"/>
          <w:lang w:val="en-GB"/>
        </w:rPr>
        <w:t xml:space="preserve">The ultimate objective of the </w:t>
      </w:r>
      <w:r>
        <w:rPr>
          <w:rFonts w:eastAsia="Times New Roman"/>
        </w:rPr>
        <w:t xml:space="preserve">fundamental changes in Canada’s fiscal policy and legislative systems </w:t>
      </w:r>
      <w:r>
        <w:rPr>
          <w:rFonts w:eastAsia="Times New Roman"/>
          <w:lang w:val="en-GB"/>
        </w:rPr>
        <w:t>has been to create a politically and economically robust taxation system</w:t>
      </w:r>
      <w:r>
        <w:rPr>
          <w:rFonts w:eastAsia="Times New Roman"/>
          <w:vertAlign w:val="superscript"/>
          <w:lang w:val="en-GB"/>
        </w:rPr>
        <w:footnoteReference w:id="571"/>
      </w:r>
      <w:r>
        <w:rPr>
          <w:rFonts w:eastAsia="Times New Roman"/>
          <w:lang w:val="en-GB"/>
        </w:rPr>
        <w:t xml:space="preserve"> in world market conditions. Against this background, the Canadian Royal Commission's</w:t>
      </w:r>
      <w:r>
        <w:rPr>
          <w:rFonts w:eastAsia="Times New Roman"/>
          <w:vertAlign w:val="superscript"/>
          <w:lang w:val="en-GB"/>
        </w:rPr>
        <w:footnoteReference w:id="572"/>
      </w:r>
      <w:r>
        <w:rPr>
          <w:rFonts w:eastAsia="Times New Roman"/>
          <w:lang w:val="en-GB"/>
        </w:rPr>
        <w:t xml:space="preserve"> general approach to the reform of the taxation of income from businesses was to treat all industries and types of organization as equally as possible</w:t>
      </w:r>
      <w:r>
        <w:rPr>
          <w:rFonts w:eastAsia="Times New Roman"/>
          <w:vertAlign w:val="superscript"/>
          <w:lang w:val="en-GB"/>
        </w:rPr>
        <w:footnoteReference w:id="573"/>
      </w:r>
      <w:r>
        <w:rPr>
          <w:rFonts w:eastAsia="Times New Roman"/>
          <w:lang w:val="en-GB"/>
        </w:rPr>
        <w:t>. Indeed, one of the strengths of this approach to reform the system is that its principles can be generally applied, without the need for a separate rationale and separate provisions for each industry, type of organization, and class of income</w:t>
      </w:r>
      <w:r>
        <w:rPr>
          <w:rFonts w:eastAsia="Times New Roman"/>
          <w:vertAlign w:val="superscript"/>
          <w:lang w:val="en-GB"/>
        </w:rPr>
        <w:footnoteReference w:id="574"/>
      </w:r>
      <w:r>
        <w:rPr>
          <w:rFonts w:eastAsia="Times New Roman"/>
          <w:lang w:val="en-GB"/>
        </w:rPr>
        <w:t>, whilst still maintaining the distinct interest and peculiarities of the PGs who own and tax the natural resources.</w:t>
      </w:r>
    </w:p>
    <w:p w14:paraId="7373369E">
      <w:pPr>
        <w:spacing w:after="200" w:line="480" w:lineRule="auto"/>
        <w:jc w:val="both"/>
        <w:rPr>
          <w:rFonts w:eastAsia="Times New Roman"/>
          <w:lang w:val="en-GB"/>
        </w:rPr>
      </w:pPr>
      <w:r>
        <w:rPr>
          <w:rFonts w:eastAsia="Times New Roman"/>
          <w:lang w:val="en-GB"/>
        </w:rPr>
        <w:t>Following extensive discussions and studies,</w:t>
      </w:r>
      <w:r>
        <w:rPr>
          <w:rFonts w:eastAsia="Times New Roman"/>
          <w:vertAlign w:val="superscript"/>
          <w:lang w:val="en-GB"/>
        </w:rPr>
        <w:footnoteReference w:id="575"/>
      </w:r>
      <w:r>
        <w:rPr>
          <w:rFonts w:eastAsia="Times New Roman"/>
          <w:lang w:val="en-GB"/>
        </w:rPr>
        <w:t xml:space="preserve"> the Royal Commission took the view that the possibilities for the spreading and diversification of risks were as great in the mining and petroleum industries as elsewhere in the economy, and that any tax-based disincentives to risk-taking should be addressed in a way that is equally applicable to all industries and types of organization. In particular, the Commission argued that if all gains were fully and equally taxable, and all losses fully and immediately deductible, "there would be little need for any special concessions to the mining and petroleum industries even if it was felt that they were characterized by greater risk than other industries."</w:t>
      </w:r>
      <w:r>
        <w:rPr>
          <w:rFonts w:eastAsia="Times New Roman"/>
          <w:vertAlign w:val="superscript"/>
          <w:lang w:val="en-GB"/>
        </w:rPr>
        <w:footnoteReference w:id="576"/>
      </w:r>
      <w:r>
        <w:rPr>
          <w:rFonts w:eastAsia="Times New Roman"/>
          <w:lang w:val="en-GB"/>
        </w:rPr>
        <w:t xml:space="preserve"> In view of the above and the existence of similar incentives in the United States, and the special role of energy in economic development, the Commission concluded that:</w:t>
      </w:r>
    </w:p>
    <w:p w14:paraId="26033247">
      <w:pPr>
        <w:spacing w:after="200" w:line="480" w:lineRule="auto"/>
        <w:ind w:left="720"/>
        <w:jc w:val="both"/>
        <w:rPr>
          <w:rFonts w:eastAsia="Times New Roman"/>
          <w:lang w:val="en-GB"/>
        </w:rPr>
      </w:pPr>
      <w:r>
        <w:rPr>
          <w:rFonts w:eastAsia="Times New Roman"/>
          <w:lang w:val="en-GB"/>
        </w:rPr>
        <w:t>“The need for special encouragement to mineral and petroleum exploration to compensate for a capital market bias against risky ventures is small, if it exists at all. We are also convinced that there are fiscal methods available that would be as efficient as, or more efficient than, tax concessions in encouraging exploration if this was deemed to be in the public interest’’</w:t>
      </w:r>
      <w:r>
        <w:rPr>
          <w:rFonts w:eastAsia="Times New Roman"/>
          <w:vertAlign w:val="superscript"/>
          <w:lang w:val="en-GB"/>
        </w:rPr>
        <w:footnoteReference w:id="577"/>
      </w:r>
    </w:p>
    <w:p w14:paraId="63AC9067">
      <w:pPr>
        <w:spacing w:after="200" w:line="480" w:lineRule="auto"/>
        <w:jc w:val="both"/>
        <w:rPr>
          <w:rFonts w:eastAsia="Times New Roman"/>
          <w:lang w:val="en-GB"/>
        </w:rPr>
      </w:pPr>
      <w:r>
        <w:rPr>
          <w:rFonts w:eastAsia="Times New Roman"/>
          <w:lang w:val="en-GB"/>
        </w:rPr>
        <w:t xml:space="preserve">The Commissions </w:t>
      </w:r>
      <w:r>
        <w:rPr>
          <w:rFonts w:eastAsia="Times New Roman"/>
        </w:rPr>
        <w:t>broad objectives were aimed at achieving horizontal and vertical equity, efficiency in resource allocation, full employment without inflation, and “a free society and a strong, independent federation.”</w:t>
      </w:r>
      <w:r>
        <w:rPr>
          <w:rFonts w:eastAsia="Times New Roman"/>
          <w:vertAlign w:val="superscript"/>
        </w:rPr>
        <w:footnoteReference w:id="578"/>
      </w:r>
      <w:r>
        <w:rPr>
          <w:rFonts w:eastAsia="Times New Roman"/>
        </w:rPr>
        <w:t xml:space="preserve"> The Commission’s Report also noted that efficiency in resource allocation demands that taxes be neutral with respect to choices among investment opportunities, forms of business organization, inputs used in production, and debt and equity financing. Non-neutrality may be called for if non-tax forces give rise to imperfections in markets, but the Commission, quite properly, assumed that such sources of deviation from efficiency lie beyond its purview and that the design of rational tax policy should proceed as though they did not exist. </w:t>
      </w:r>
    </w:p>
    <w:p w14:paraId="6E2CAB9D">
      <w:pPr>
        <w:spacing w:after="200" w:line="480" w:lineRule="auto"/>
        <w:jc w:val="both"/>
        <w:rPr>
          <w:rFonts w:eastAsia="Times New Roman"/>
          <w:lang w:val="en-GB"/>
        </w:rPr>
      </w:pPr>
      <w:r>
        <w:rPr>
          <w:rFonts w:eastAsia="Times New Roman"/>
          <w:lang w:val="en-GB"/>
        </w:rPr>
        <w:t>In the four years between the release of the Royal Commission's Report</w:t>
      </w:r>
      <w:r>
        <w:rPr>
          <w:rFonts w:eastAsia="Times New Roman"/>
          <w:i/>
          <w:iCs/>
          <w:lang w:val="en-GB"/>
        </w:rPr>
        <w:t xml:space="preserve"> </w:t>
      </w:r>
      <w:r>
        <w:rPr>
          <w:rFonts w:eastAsia="Times New Roman"/>
          <w:lang w:val="en-GB"/>
        </w:rPr>
        <w:t>in late 1966 and the introduction of a White Paper and Bill</w:t>
      </w:r>
      <w:r>
        <w:rPr>
          <w:rFonts w:eastAsia="Times New Roman"/>
          <w:vertAlign w:val="superscript"/>
          <w:lang w:val="en-GB"/>
        </w:rPr>
        <w:footnoteReference w:id="579"/>
      </w:r>
      <w:r>
        <w:rPr>
          <w:rFonts w:eastAsia="Times New Roman"/>
          <w:lang w:val="en-GB"/>
        </w:rPr>
        <w:t xml:space="preserve"> embodying tax reform, there were many changes made to the proposals. Responding to a combination of pressures from the extractive industries and the governments of resource-rich provinces, the Benson </w:t>
      </w:r>
      <w:r>
        <w:rPr>
          <w:rFonts w:eastAsia="Times New Roman"/>
          <w:i/>
          <w:iCs/>
          <w:lang w:val="en-GB"/>
        </w:rPr>
        <w:t>White Paper</w:t>
      </w:r>
      <w:r>
        <w:rPr>
          <w:rFonts w:eastAsia="Times New Roman"/>
          <w:i/>
          <w:iCs/>
          <w:vertAlign w:val="superscript"/>
          <w:lang w:val="en-GB"/>
        </w:rPr>
        <w:footnoteReference w:id="580"/>
      </w:r>
      <w:r>
        <w:rPr>
          <w:rFonts w:eastAsia="Times New Roman"/>
          <w:i/>
          <w:iCs/>
          <w:lang w:val="en-GB"/>
        </w:rPr>
        <w:t xml:space="preserve"> </w:t>
      </w:r>
      <w:r>
        <w:rPr>
          <w:rFonts w:eastAsia="Times New Roman"/>
          <w:lang w:val="en-GB"/>
        </w:rPr>
        <w:t xml:space="preserve">recognized: </w:t>
      </w:r>
    </w:p>
    <w:p w14:paraId="42C08AF7">
      <w:pPr>
        <w:spacing w:after="200" w:line="480" w:lineRule="auto"/>
        <w:ind w:left="720"/>
        <w:jc w:val="both"/>
        <w:rPr>
          <w:rFonts w:eastAsia="Times New Roman"/>
          <w:lang w:val="en-GB"/>
        </w:rPr>
      </w:pPr>
      <w:r>
        <w:rPr>
          <w:rFonts w:eastAsia="Times New Roman"/>
          <w:lang w:val="en-GB"/>
        </w:rPr>
        <w:t>‘That the exploration for and development of mineral deposits continue to provide special benefits to Canada and to various provinces by creating or maintaining highly productive industry in areas other than those where rapid urban and industrial growth are already occurring.... Just as scientific research and development are believed to warrant some special public support, the government feels that exploration for and development of minerals still warrant some support in a form more directly related to this activity than has been the case with past depletion. It is believed that support on a less-generous scale should suffice for this purpose</w:t>
      </w:r>
      <w:r>
        <w:rPr>
          <w:rFonts w:eastAsia="Times New Roman"/>
          <w:vertAlign w:val="superscript"/>
          <w:lang w:val="en-GB"/>
        </w:rPr>
        <w:footnoteReference w:id="581"/>
      </w:r>
      <w:r>
        <w:rPr>
          <w:rFonts w:eastAsia="Times New Roman"/>
          <w:lang w:val="en-GB"/>
        </w:rPr>
        <w:t>.</w:t>
      </w:r>
    </w:p>
    <w:p w14:paraId="6F9FF2FB">
      <w:pPr>
        <w:spacing w:after="200" w:line="480" w:lineRule="auto"/>
        <w:jc w:val="both"/>
        <w:rPr>
          <w:rFonts w:eastAsia="Times New Roman"/>
          <w:lang w:val="en-GB"/>
        </w:rPr>
      </w:pPr>
      <w:r>
        <w:rPr>
          <w:rFonts w:eastAsia="Times New Roman"/>
          <w:lang w:val="en-GB"/>
        </w:rPr>
        <w:t xml:space="preserve">The proposals contained in the </w:t>
      </w:r>
      <w:r>
        <w:rPr>
          <w:rFonts w:eastAsia="Times New Roman"/>
          <w:i/>
          <w:iCs/>
          <w:lang w:val="en-GB"/>
        </w:rPr>
        <w:t xml:space="preserve">Benson White Paper </w:t>
      </w:r>
      <w:r>
        <w:rPr>
          <w:rFonts w:eastAsia="Times New Roman"/>
          <w:lang w:val="en-GB"/>
        </w:rPr>
        <w:t>can be summarized as follows:</w:t>
      </w:r>
    </w:p>
    <w:p w14:paraId="66396B70">
      <w:pPr>
        <w:spacing w:after="200" w:line="480" w:lineRule="auto"/>
        <w:ind w:left="720"/>
        <w:jc w:val="both"/>
        <w:rPr>
          <w:rFonts w:eastAsia="Times New Roman"/>
          <w:lang w:val="en-GB"/>
        </w:rPr>
      </w:pPr>
      <w:r>
        <w:rPr>
          <w:rFonts w:eastAsia="Times New Roman"/>
          <w:lang w:val="en-GB"/>
        </w:rPr>
        <w:t>1. To retain immediate deductibility for all exploration and development expenses against all income for those principally involved in resource extraction, and against resource income for others.</w:t>
      </w:r>
    </w:p>
    <w:p w14:paraId="43DB8306">
      <w:pPr>
        <w:spacing w:after="200" w:line="480" w:lineRule="auto"/>
        <w:ind w:left="720"/>
        <w:jc w:val="both"/>
        <w:rPr>
          <w:rFonts w:eastAsia="Times New Roman"/>
          <w:lang w:val="en-GB"/>
        </w:rPr>
      </w:pPr>
      <w:r>
        <w:rPr>
          <w:rFonts w:eastAsia="Times New Roman"/>
          <w:lang w:val="en-GB"/>
        </w:rPr>
        <w:t xml:space="preserve">2. To retain full deductibility of the costs of acquiring mineral properties (subject to the same "principal business" tests as for exploration and development), but to treat gains from the sale of such properties as capital gains, and hence taxable, under the </w:t>
      </w:r>
      <w:r>
        <w:rPr>
          <w:rFonts w:eastAsia="Times New Roman"/>
          <w:i/>
          <w:iCs/>
          <w:lang w:val="en-GB"/>
        </w:rPr>
        <w:t xml:space="preserve">White Paper's </w:t>
      </w:r>
      <w:r>
        <w:rPr>
          <w:rFonts w:eastAsia="Times New Roman"/>
          <w:lang w:val="en-GB"/>
        </w:rPr>
        <w:t>general proposals for capital gains, at 50 percent of their actual value.</w:t>
      </w:r>
    </w:p>
    <w:p w14:paraId="573E6721">
      <w:pPr>
        <w:spacing w:after="200" w:line="480" w:lineRule="auto"/>
        <w:ind w:left="720"/>
        <w:jc w:val="both"/>
        <w:rPr>
          <w:rFonts w:eastAsia="Times New Roman"/>
          <w:lang w:val="en-GB"/>
        </w:rPr>
      </w:pPr>
      <w:r>
        <w:rPr>
          <w:rFonts w:eastAsia="Times New Roman"/>
          <w:lang w:val="en-GB"/>
        </w:rPr>
        <w:t>3. For operators, the 33 1/3 percent depletion allowance would be retained, but only if firms "earned" the rights to the allowance by capital expenditures of $3 for every $1 of depletion allowance claimed.</w:t>
      </w:r>
    </w:p>
    <w:p w14:paraId="100730B0">
      <w:pPr>
        <w:spacing w:after="200" w:line="480" w:lineRule="auto"/>
        <w:ind w:left="720"/>
        <w:jc w:val="both"/>
        <w:rPr>
          <w:rFonts w:eastAsia="Times New Roman"/>
          <w:lang w:val="en-GB"/>
        </w:rPr>
      </w:pPr>
      <w:r>
        <w:rPr>
          <w:rFonts w:eastAsia="Times New Roman"/>
          <w:lang w:val="en-GB"/>
        </w:rPr>
        <w:t xml:space="preserve">4. Percentage depletion for non-operators would be repealed. </w:t>
      </w:r>
    </w:p>
    <w:p w14:paraId="7EE37F4A">
      <w:pPr>
        <w:spacing w:after="200" w:line="480" w:lineRule="auto"/>
        <w:jc w:val="both"/>
        <w:rPr>
          <w:rFonts w:eastAsia="Times New Roman"/>
          <w:lang w:val="en-GB"/>
        </w:rPr>
      </w:pPr>
      <w:r>
        <w:rPr>
          <w:rFonts w:eastAsia="Times New Roman"/>
          <w:lang w:val="en-GB"/>
        </w:rPr>
        <w:t xml:space="preserve">In all major respects, the </w:t>
      </w:r>
      <w:r>
        <w:rPr>
          <w:rFonts w:eastAsia="Times New Roman"/>
          <w:i/>
          <w:iCs/>
          <w:lang w:val="en-GB"/>
        </w:rPr>
        <w:t xml:space="preserve">White Paper </w:t>
      </w:r>
      <w:r>
        <w:rPr>
          <w:rFonts w:eastAsia="Times New Roman"/>
          <w:lang w:val="en-GB"/>
        </w:rPr>
        <w:t xml:space="preserve">proposals treated oil and gas production revenues more generously than did those of the Royal Commission, but they too came under pressure from the extractive industries, especially before hearings held by Committees of the Senate and the House of Commons. During the many briefs and scores of meetings on tax reform, the Commons Finance Committee heard, once again, the arguments favouring special incentives for the extractive industries, and phrased their resulting dilemma as follows: </w:t>
      </w:r>
    </w:p>
    <w:p w14:paraId="7897324A">
      <w:pPr>
        <w:spacing w:after="200" w:line="480" w:lineRule="auto"/>
        <w:ind w:left="720"/>
        <w:jc w:val="both"/>
        <w:rPr>
          <w:rFonts w:eastAsia="Times New Roman"/>
          <w:lang w:val="en-GB"/>
        </w:rPr>
      </w:pPr>
      <w:r>
        <w:rPr>
          <w:rFonts w:eastAsia="Times New Roman"/>
          <w:lang w:val="en-GB"/>
        </w:rPr>
        <w:t>"Is Canada prepared to suffer the possibility of a reduction in the growth and development of its natural resource industries in exchange for the longer-term benefits of a more neutral and equitable tax system?"</w:t>
      </w:r>
      <w:r>
        <w:rPr>
          <w:rFonts w:eastAsia="Times New Roman"/>
          <w:vertAlign w:val="superscript"/>
          <w:lang w:val="en-GB"/>
        </w:rPr>
        <w:footnoteReference w:id="582"/>
      </w:r>
    </w:p>
    <w:p w14:paraId="5B713D30">
      <w:pPr>
        <w:spacing w:after="200" w:line="480" w:lineRule="auto"/>
        <w:jc w:val="both"/>
        <w:rPr>
          <w:rFonts w:eastAsia="Times New Roman"/>
          <w:lang w:val="en-GB"/>
        </w:rPr>
      </w:pPr>
      <w:r>
        <w:rPr>
          <w:rFonts w:eastAsia="Times New Roman"/>
          <w:lang w:val="en-GB"/>
        </w:rPr>
        <w:t>These foregoing developments therefore helped to shape corporate taxation generally and petroleum taxation at the PG and CG levels in Canada, particularly. By the early 1980s, when the federal taxes on oil and gas production were at their greatest, the equal tax treatment fought for by the industry in the aftermath of the Royal Commission looked attractive.</w:t>
      </w:r>
      <w:r>
        <w:rPr>
          <w:rFonts w:eastAsia="Times New Roman"/>
        </w:rPr>
        <w:t xml:space="preserve"> </w:t>
      </w:r>
      <w:r>
        <w:rPr>
          <w:rFonts w:eastAsia="Times New Roman"/>
          <w:lang w:val="en-GB"/>
        </w:rPr>
        <w:t>By the end of 1986, with a clear focus on maintaining neutrality, equity and simplicity and to integrate the income tax system, almost all the special federal taxes applicable to oil and gas revenues had been removed</w:t>
      </w:r>
      <w:r>
        <w:rPr>
          <w:rFonts w:eastAsia="Times New Roman"/>
          <w:vertAlign w:val="superscript"/>
          <w:lang w:val="en-GB"/>
        </w:rPr>
        <w:footnoteReference w:id="583"/>
      </w:r>
      <w:r>
        <w:rPr>
          <w:rFonts w:eastAsia="Times New Roman"/>
          <w:lang w:val="en-GB"/>
        </w:rPr>
        <w:t xml:space="preserve">, and the industry was asking for the reintroduction of a broadly based, earned depletion allowance as a means of helping firms hard hit by the 1985-86 fall of world oil prices. Furthermore, changing tax policies impose a political cost that is difficult to quantify, especially in an environment of uncertain and highly variable prices. Moreover, </w:t>
      </w:r>
      <w:r>
        <w:rPr>
          <w:rFonts w:eastAsia="Times New Roman"/>
        </w:rPr>
        <w:t>from the point of view of the political volatility of the system imposing a real cost, the efforts of each taxpayer group to increase its own benefits require real resources and offers the prospect of a tax system that has substantial non-neutralities that lower the efficiency with which the nation's resources are allocated among alternative industries and activities.</w:t>
      </w:r>
      <w:r>
        <w:rPr>
          <w:rFonts w:eastAsia="Times New Roman"/>
          <w:lang w:val="en-GB"/>
        </w:rPr>
        <w:t xml:space="preserve"> Also, the oil and gas taxation systems designed and applied in an environment of low oil price of $3 per barrel will not be sustainable, as much as the systems designed and applied with oil at US $30 per barrel will require changes when oil prices drop to US$10 or US$15</w:t>
      </w:r>
      <w:r>
        <w:rPr>
          <w:rFonts w:eastAsia="Times New Roman"/>
          <w:i/>
          <w:iCs/>
          <w:lang w:val="en-GB"/>
        </w:rPr>
        <w:t xml:space="preserve"> </w:t>
      </w:r>
      <w:r>
        <w:rPr>
          <w:rFonts w:eastAsia="Times New Roman"/>
          <w:lang w:val="en-GB"/>
        </w:rPr>
        <w:t xml:space="preserve">per barrel. </w:t>
      </w:r>
    </w:p>
    <w:p w14:paraId="22454177">
      <w:pPr>
        <w:spacing w:after="200" w:line="480" w:lineRule="auto"/>
        <w:jc w:val="both"/>
        <w:rPr>
          <w:rFonts w:eastAsia="Times New Roman"/>
        </w:rPr>
      </w:pPr>
      <w:r>
        <w:rPr>
          <w:rFonts w:eastAsia="Times New Roman"/>
        </w:rPr>
        <w:t xml:space="preserve">In the following section, we examine the process for tax law making in the Canada oil and gas industry, and how the fiscal and tax policy clarity and direction provided by the Carter Commission and Benson White paper reports and recommendations etc. have contributed to achieving certainty, predictability and competitiveness of the petroleum tax system of Canada. </w:t>
      </w:r>
    </w:p>
    <w:p w14:paraId="55ED42B4">
      <w:pPr>
        <w:spacing w:after="200" w:line="480" w:lineRule="auto"/>
        <w:jc w:val="both"/>
        <w:rPr>
          <w:rFonts w:eastAsia="Times New Roman"/>
        </w:rPr>
      </w:pPr>
    </w:p>
    <w:p w14:paraId="0A24D061">
      <w:pPr>
        <w:spacing w:after="200" w:line="480" w:lineRule="auto"/>
        <w:jc w:val="both"/>
        <w:rPr>
          <w:rFonts w:eastAsia="Times New Roman"/>
          <w:lang w:val="en-GB"/>
        </w:rPr>
      </w:pPr>
      <w:r>
        <w:rPr>
          <w:rFonts w:eastAsia="Times New Roman"/>
          <w:b/>
          <w:bCs/>
          <w:lang w:val="en-GB"/>
        </w:rPr>
        <w:t>8.3</w:t>
      </w:r>
      <w:r>
        <w:rPr>
          <w:rFonts w:eastAsia="Times New Roman"/>
          <w:b/>
          <w:bCs/>
          <w:lang w:val="en-GB"/>
        </w:rPr>
        <w:tab/>
      </w:r>
      <w:r>
        <w:rPr>
          <w:rFonts w:eastAsia="Times New Roman"/>
          <w:b/>
          <w:bCs/>
          <w:lang w:val="en-GB"/>
        </w:rPr>
        <w:t xml:space="preserve"> PETROLEUM OPERATIONS LEGISLATION, REGULATIONS AND TAXATION </w:t>
      </w:r>
    </w:p>
    <w:p w14:paraId="415ADCAD">
      <w:pPr>
        <w:spacing w:after="200" w:line="480" w:lineRule="auto"/>
        <w:jc w:val="both"/>
        <w:rPr>
          <w:rFonts w:eastAsia="Times New Roman"/>
        </w:rPr>
      </w:pPr>
      <w:r>
        <w:rPr>
          <w:rFonts w:eastAsia="Times New Roman"/>
        </w:rPr>
        <w:t>The Canadian Constitution Act, 1867 provides that “Bills for appropriating any part of the public revenue, or for imposing any Tax or Impost, shall originate in the House of Commons”</w:t>
      </w:r>
      <w:r>
        <w:rPr>
          <w:rFonts w:eastAsia="Times New Roman"/>
          <w:vertAlign w:val="superscript"/>
        </w:rPr>
        <w:footnoteReference w:id="584"/>
      </w:r>
      <w:r>
        <w:rPr>
          <w:rFonts w:eastAsia="Times New Roman"/>
        </w:rPr>
        <w:t>, a requirement echoed in the Standing Orders of the House of Commons</w:t>
      </w:r>
      <w:r>
        <w:rPr>
          <w:rFonts w:eastAsia="Times New Roman"/>
          <w:i/>
          <w:iCs/>
          <w:vertAlign w:val="superscript"/>
        </w:rPr>
        <w:footnoteReference w:id="585"/>
      </w:r>
      <w:r>
        <w:rPr>
          <w:rFonts w:eastAsia="Times New Roman"/>
        </w:rPr>
        <w:t>.</w:t>
      </w:r>
      <w:r>
        <w:rPr>
          <w:rFonts w:eastAsia="Times New Roman"/>
          <w:lang w:val="en-GB"/>
        </w:rPr>
        <w:t xml:space="preserve"> </w:t>
      </w:r>
      <w:r>
        <w:rPr>
          <w:rFonts w:eastAsia="Times New Roman"/>
        </w:rPr>
        <w:t xml:space="preserve">The CG coordinates the legislative and regulatory process and owns the major infrastructures, whilst the PG’s own, operate, legislate, and regulate the provincial petroleum activities. The 1867 Constitution restricts PG taxing powers to direct taxation within a province. Only the CG can impose indirect taxes (such as import duties). This essentially minimizes the incidence of conflicting double or multiple tax incidence on the same assets, or income tax base, as is the case in Nigeria upstream petroleum taxation. </w:t>
      </w:r>
    </w:p>
    <w:p w14:paraId="55D09E9B">
      <w:pPr>
        <w:spacing w:after="200" w:line="480" w:lineRule="auto"/>
        <w:jc w:val="both"/>
        <w:rPr>
          <w:rFonts w:eastAsia="Times New Roman"/>
          <w:lang w:val="en-GB"/>
        </w:rPr>
      </w:pPr>
      <w:r>
        <w:rPr>
          <w:rFonts w:eastAsia="Times New Roman"/>
        </w:rPr>
        <w:t>The CG and PG Legislatures have jurisdiction to levy taxes on personal and corporate income as well as impose sales taxes and enact their respective territorial or provincial laws</w:t>
      </w:r>
      <w:r>
        <w:rPr>
          <w:rFonts w:eastAsia="Times New Roman"/>
          <w:vertAlign w:val="superscript"/>
        </w:rPr>
        <w:footnoteReference w:id="586"/>
      </w:r>
      <w:r>
        <w:rPr>
          <w:rFonts w:eastAsia="Times New Roman"/>
        </w:rPr>
        <w:t xml:space="preserve">. The </w:t>
      </w:r>
      <w:r>
        <w:rPr>
          <w:rFonts w:eastAsia="Times New Roman"/>
          <w:lang w:val="en-GB"/>
        </w:rPr>
        <w:t>series of federal legislative and tax changes initiated in the 1970s</w:t>
      </w:r>
      <w:r>
        <w:rPr>
          <w:rFonts w:eastAsia="Times New Roman"/>
          <w:vertAlign w:val="superscript"/>
          <w:lang w:val="en-GB"/>
        </w:rPr>
        <w:footnoteReference w:id="587"/>
      </w:r>
      <w:r>
        <w:rPr>
          <w:rFonts w:eastAsia="Times New Roman"/>
          <w:lang w:val="en-GB"/>
        </w:rPr>
        <w:t xml:space="preserve"> and early 1980s</w:t>
      </w:r>
      <w:r>
        <w:rPr>
          <w:rFonts w:eastAsia="Times New Roman"/>
          <w:vertAlign w:val="superscript"/>
          <w:lang w:val="en-GB"/>
        </w:rPr>
        <w:footnoteReference w:id="588"/>
      </w:r>
      <w:r>
        <w:rPr>
          <w:rFonts w:eastAsia="Times New Roman"/>
          <w:lang w:val="en-GB"/>
        </w:rPr>
        <w:t xml:space="preserve">altered the federal tax treatment of oil and gas revenues so markedly and informed a need for a general reform, guided by </w:t>
      </w:r>
      <w:r>
        <w:rPr>
          <w:rFonts w:eastAsia="Times New Roman"/>
        </w:rPr>
        <w:t>goals, such as fair distribution of the tax burden based upon ability to pay; steady economic growth and continuing prosperity; voluntary compliance with tax laws, combined with enough detail to block loopholes; and, finally, a system that can be used by the provinces as well as Canada.</w:t>
      </w:r>
      <w:r>
        <w:rPr>
          <w:rFonts w:eastAsia="Times New Roman"/>
          <w:lang w:val="en-GB"/>
        </w:rPr>
        <w:t xml:space="preserve"> </w:t>
      </w:r>
    </w:p>
    <w:p w14:paraId="3F617E45">
      <w:pPr>
        <w:spacing w:after="200" w:line="480" w:lineRule="auto"/>
        <w:jc w:val="both"/>
        <w:rPr>
          <w:rFonts w:eastAsia="Times New Roman"/>
        </w:rPr>
      </w:pPr>
      <w:r>
        <w:rPr>
          <w:rFonts w:eastAsia="Times New Roman"/>
        </w:rPr>
        <w:t>The established process is that the Department of Justice (DOJ) in Canada prepares government bills for introduction in Parliament whilst tax legislation is normally tabled in Parliament by the MOF</w:t>
      </w:r>
      <w:r>
        <w:rPr>
          <w:rFonts w:eastAsia="Times New Roman"/>
          <w:vertAlign w:val="superscript"/>
        </w:rPr>
        <w:footnoteReference w:id="589"/>
      </w:r>
      <w:r>
        <w:rPr>
          <w:rFonts w:eastAsia="Times New Roman"/>
        </w:rPr>
        <w:t>. There is adequate stakeholder involvement, thus enhancing understanding and proper articulation and processing of the fiscal and tax objectives for the petroleum industry. The process is transparent and well-coordinated between the CG and the PG. It is decentralized with well-defined areas of responsibility, unlike the case in Nigeria with a centralized FG ownership, and sole fiscal responsibility</w:t>
      </w:r>
      <w:r>
        <w:rPr>
          <w:rFonts w:eastAsia="Times New Roman"/>
          <w:vertAlign w:val="superscript"/>
        </w:rPr>
        <w:footnoteReference w:id="590"/>
      </w:r>
      <w:r>
        <w:rPr>
          <w:rFonts w:eastAsia="Times New Roman"/>
        </w:rPr>
        <w:t xml:space="preserve">. </w:t>
      </w:r>
      <w:r>
        <w:rPr>
          <w:rFonts w:eastAsia="Times New Roman"/>
          <w:lang w:val="en-GB"/>
        </w:rPr>
        <w:t xml:space="preserve">The federal tax structure is kept as nearly equal as possible between industries, with the stabilizing features of the tax and royalty system designed and implemented by the PG. On the one hand, inter-regional competition results in inter-regional variations in tax and activity levels posing political and efficiency problems. </w:t>
      </w:r>
    </w:p>
    <w:p w14:paraId="1A35EE5E">
      <w:pPr>
        <w:spacing w:after="200" w:line="480" w:lineRule="auto"/>
        <w:jc w:val="both"/>
        <w:rPr>
          <w:rFonts w:eastAsia="Times New Roman"/>
          <w:lang w:val="en-GB"/>
        </w:rPr>
      </w:pPr>
      <w:r>
        <w:rPr>
          <w:rFonts w:eastAsia="Times New Roman"/>
        </w:rPr>
        <w:t xml:space="preserve">The legislative and regulatory framework follow the constitutionally recognized ownership rights and legislative responsibilities of the CG and PGs, and the need to maintain the separation of provincial and central government rights and roles for corporate income and indirect tax legislation and administration. </w:t>
      </w:r>
      <w:r>
        <w:rPr>
          <w:rFonts w:eastAsia="Times New Roman"/>
          <w:lang w:val="en-GB"/>
        </w:rPr>
        <w:t>The CG’s ownership rights are made up of oil and gas rights in Canada’s national parks and indigenous lands. These are governed by the Canada Petroleum Resources Act</w:t>
      </w:r>
      <w:r>
        <w:rPr>
          <w:rFonts w:eastAsia="Times New Roman"/>
          <w:vertAlign w:val="superscript"/>
          <w:lang w:val="en-GB"/>
        </w:rPr>
        <w:footnoteReference w:id="591"/>
      </w:r>
      <w:r>
        <w:rPr>
          <w:rFonts w:eastAsia="Times New Roman"/>
          <w:lang w:val="en-GB"/>
        </w:rPr>
        <w:t xml:space="preserve"> and the Canada Oil and Gas Operations Act</w:t>
      </w:r>
      <w:r>
        <w:rPr>
          <w:rFonts w:eastAsia="Times New Roman"/>
          <w:vertAlign w:val="superscript"/>
          <w:lang w:val="en-GB"/>
        </w:rPr>
        <w:footnoteReference w:id="592"/>
      </w:r>
      <w:r>
        <w:rPr>
          <w:rFonts w:eastAsia="Times New Roman"/>
          <w:lang w:val="en-GB"/>
        </w:rPr>
        <w:t>.  Provincially owned oil and gas rights are governed by each province’s legislation. </w:t>
      </w:r>
      <w:r>
        <w:rPr>
          <w:rFonts w:eastAsia="Times New Roman"/>
        </w:rPr>
        <w:t>Some oil and gas rights are freehold mineral rights.  For example, in the province of Alberta, approximately 8% of Alberta’s oil and gas rights are privately owned, 81% are owned by the PG and the remaining portion is owned by the CG</w:t>
      </w:r>
      <w:r>
        <w:rPr>
          <w:rFonts w:eastAsia="Times New Roman"/>
          <w:vertAlign w:val="superscript"/>
        </w:rPr>
        <w:footnoteReference w:id="593"/>
      </w:r>
      <w:r>
        <w:rPr>
          <w:rFonts w:eastAsia="Times New Roman"/>
        </w:rPr>
        <w:t>.  Of the freehold mineral rights, 90% are held by corporations or trusts.  Companies can obtain the right to explore, drill and produce oil and natural gas from private landowners by way of a privately negotiated oil and gas lease</w:t>
      </w:r>
      <w:r>
        <w:rPr>
          <w:rFonts w:eastAsia="Times New Roman"/>
          <w:vertAlign w:val="superscript"/>
        </w:rPr>
        <w:footnoteReference w:id="594"/>
      </w:r>
      <w:r>
        <w:rPr>
          <w:rFonts w:eastAsia="Times New Roman"/>
        </w:rPr>
        <w:t xml:space="preserve"> Consequently, t</w:t>
      </w:r>
      <w:r>
        <w:rPr>
          <w:rFonts w:eastAsia="Times New Roman"/>
          <w:lang w:val="en-GB"/>
        </w:rPr>
        <w:t xml:space="preserve">he regulation of the extraction of oil and gas varies depending on the jurisdiction and nature of the development. </w:t>
      </w:r>
    </w:p>
    <w:p w14:paraId="220642B3">
      <w:pPr>
        <w:spacing w:after="200" w:line="480" w:lineRule="auto"/>
        <w:jc w:val="both"/>
        <w:rPr>
          <w:rFonts w:eastAsia="Times New Roman"/>
          <w:lang w:val="en-GB"/>
        </w:rPr>
      </w:pPr>
      <w:r>
        <w:rPr>
          <w:rFonts w:eastAsia="Times New Roman"/>
          <w:lang w:val="en-GB"/>
        </w:rPr>
        <w:t xml:space="preserve">Offshore production is regulated under the National Energy Board (NEB) Act, the Energy Safety and Security Act, the Canada Oil and Gas Operations Act, Canada Petroleum Resources Act. Other regulatory Acts include the Canada-Newfoundland Atlantic Accord Implementation Act, and the Canada-Nova Scotia Offshore Petroleum Resources Accord Implementation Act.  </w:t>
      </w:r>
    </w:p>
    <w:p w14:paraId="6539897E">
      <w:pPr>
        <w:spacing w:after="200" w:line="480" w:lineRule="auto"/>
        <w:jc w:val="both"/>
        <w:rPr>
          <w:rFonts w:eastAsia="Times New Roman"/>
          <w:lang w:val="en-GB"/>
        </w:rPr>
      </w:pPr>
      <w:r>
        <w:rPr>
          <w:rFonts w:eastAsia="Times New Roman"/>
          <w:lang w:val="en-GB"/>
        </w:rPr>
        <w:t>The license to operate, the oil and natural gas rights owned by the CG and PG, as well as private individuals, are typically conveyed by private contract to participants or operators. Once a licence or lease is issued, a participant is entitled to explore for, develop and produce oil and/or natural gas in accordance with the terms of the licence or lease.  At the end of the term, or upon termination of the licence or lease, the rights granted to the participant will revert to the owner who issued the licence or lease</w:t>
      </w:r>
      <w:r>
        <w:rPr>
          <w:rFonts w:eastAsia="Times New Roman"/>
          <w:vertAlign w:val="superscript"/>
          <w:lang w:val="en-GB"/>
        </w:rPr>
        <w:footnoteReference w:id="595"/>
      </w:r>
      <w:r>
        <w:rPr>
          <w:rFonts w:eastAsia="Times New Roman"/>
          <w:lang w:val="en-GB"/>
        </w:rPr>
        <w:t xml:space="preserve">. </w:t>
      </w:r>
    </w:p>
    <w:p w14:paraId="6B5C9704">
      <w:pPr>
        <w:spacing w:after="200" w:line="480" w:lineRule="auto"/>
        <w:jc w:val="both"/>
        <w:rPr>
          <w:rFonts w:eastAsia="Times New Roman"/>
          <w:lang w:val="en-GB"/>
        </w:rPr>
      </w:pPr>
      <w:r>
        <w:rPr>
          <w:rFonts w:eastAsia="Times New Roman"/>
          <w:lang w:val="en-GB"/>
        </w:rPr>
        <w:t>Resident corporations are taxed on worldwide income, subject to certain credits. Non-resident corporations are generally subject to tax only on Canadian-sourced business income. Payments received from oil and gas production are taxed as income both federally and provincially</w:t>
      </w:r>
      <w:r>
        <w:rPr>
          <w:rFonts w:eastAsia="Times New Roman"/>
          <w:vertAlign w:val="superscript"/>
          <w:lang w:val="en-GB"/>
        </w:rPr>
        <w:footnoteReference w:id="596"/>
      </w:r>
      <w:r>
        <w:rPr>
          <w:rFonts w:eastAsia="Times New Roman"/>
          <w:lang w:val="en-GB"/>
        </w:rPr>
        <w:t xml:space="preserve"> and expenses incurred in exploring, developing, or acquiring oil and gas properties can be deducted from the income. These deductions are accomplished through tax pools available under the Federal Income Tax Act</w:t>
      </w:r>
      <w:r>
        <w:rPr>
          <w:rFonts w:eastAsia="Times New Roman"/>
          <w:vertAlign w:val="superscript"/>
          <w:lang w:val="en-GB"/>
        </w:rPr>
        <w:footnoteReference w:id="597"/>
      </w:r>
      <w:r>
        <w:rPr>
          <w:rFonts w:eastAsia="Times New Roman"/>
          <w:lang w:val="en-GB"/>
        </w:rPr>
        <w:t xml:space="preserve">. </w:t>
      </w:r>
    </w:p>
    <w:p w14:paraId="5A1A520A">
      <w:pPr>
        <w:spacing w:after="200" w:line="480" w:lineRule="auto"/>
        <w:jc w:val="both"/>
        <w:rPr>
          <w:rFonts w:eastAsia="Times New Roman"/>
        </w:rPr>
      </w:pPr>
      <w:r>
        <w:rPr>
          <w:rFonts w:eastAsia="Times New Roman"/>
          <w:lang w:val="en-GB"/>
        </w:rPr>
        <w:t>Each province has a further tax regime which can include a freehold mineral tax, lease rentals and royalties</w:t>
      </w:r>
      <w:r>
        <w:rPr>
          <w:rFonts w:eastAsia="Times New Roman"/>
          <w:vertAlign w:val="superscript"/>
          <w:lang w:val="en-GB"/>
        </w:rPr>
        <w:footnoteReference w:id="598"/>
      </w:r>
      <w:r>
        <w:rPr>
          <w:rFonts w:eastAsia="Times New Roman"/>
          <w:lang w:val="en-GB"/>
        </w:rPr>
        <w:t>. The CG and PG’s have also enacted legislation and regulations to govern the abandonment and reclamation of lands subject to oil and natural gas development.  The regulations are normally drafted with two overarching objectives: prescriptive and goal setting, with clearly defined boundaries for the CG and PG’s. Both technical and non-technical decommissioning aspects appear to attract increasing attention from governments. The areas of interest are in situ decommissioning, work optimisation, liability transfer mechanisms and waste movement. A recent study of the Canadian</w:t>
      </w:r>
      <w:r>
        <w:rPr>
          <w:rFonts w:eastAsia="Times New Roman"/>
        </w:rPr>
        <w:t xml:space="preserve"> oil and gas industry abandonment and decommissioning approach</w:t>
      </w:r>
      <w:r>
        <w:rPr>
          <w:rFonts w:eastAsia="Times New Roman"/>
          <w:vertAlign w:val="superscript"/>
        </w:rPr>
        <w:footnoteReference w:id="599"/>
      </w:r>
      <w:r>
        <w:rPr>
          <w:rFonts w:eastAsia="Times New Roman"/>
        </w:rPr>
        <w:t xml:space="preserve"> shows that companies are failing to make plans to pay for $72 billion in future decommissioning liabilities for oil and gas wells, pipelines, and facilities. Studies also show that the cleanup liabilities, collectively referred to as asset retirement obligations (AROs), are likely to result in future corporate defaults, leaving the Canadian taxpayer to pay to resolve the mess</w:t>
      </w:r>
      <w:r>
        <w:rPr>
          <w:rFonts w:eastAsia="Times New Roman"/>
          <w:vertAlign w:val="superscript"/>
        </w:rPr>
        <w:footnoteReference w:id="600"/>
      </w:r>
      <w:r>
        <w:rPr>
          <w:rFonts w:eastAsia="Times New Roman"/>
        </w:rPr>
        <w:t xml:space="preserve">. </w:t>
      </w:r>
    </w:p>
    <w:p w14:paraId="3ECA1E87">
      <w:pPr>
        <w:spacing w:after="200" w:line="480" w:lineRule="auto"/>
        <w:jc w:val="both"/>
        <w:rPr>
          <w:rFonts w:eastAsia="Times New Roman"/>
        </w:rPr>
      </w:pPr>
      <w:r>
        <w:rPr>
          <w:rFonts w:eastAsia="Times New Roman"/>
        </w:rPr>
        <w:t xml:space="preserve">In addition to the above key fiscal and legislative features which make for clarity and certainty, we examine in the section below specific features of the oil and gas tax system that enhance and achieve more clarity, predictability, certainty and progressivity in oil and gas taxation in Canada, and relevant lessons for upstream petroleum taxation in Nigeria. </w:t>
      </w:r>
    </w:p>
    <w:p w14:paraId="6B01F329">
      <w:pPr>
        <w:spacing w:after="200" w:line="480" w:lineRule="auto"/>
        <w:jc w:val="both"/>
        <w:rPr>
          <w:rFonts w:eastAsia="Times New Roman"/>
          <w:b/>
          <w:bCs/>
        </w:rPr>
      </w:pPr>
    </w:p>
    <w:p w14:paraId="44DA6F18">
      <w:pPr>
        <w:spacing w:after="200" w:line="480" w:lineRule="auto"/>
        <w:jc w:val="both"/>
        <w:rPr>
          <w:rFonts w:eastAsia="Times New Roman"/>
          <w:b/>
          <w:bCs/>
        </w:rPr>
      </w:pPr>
      <w:r>
        <w:rPr>
          <w:rFonts w:eastAsia="Times New Roman"/>
          <w:b/>
          <w:bCs/>
        </w:rPr>
        <w:t>8.4.</w:t>
      </w:r>
      <w:r>
        <w:rPr>
          <w:rFonts w:eastAsia="Times New Roman"/>
          <w:b/>
          <w:bCs/>
        </w:rPr>
        <w:tab/>
      </w:r>
      <w:r>
        <w:rPr>
          <w:rFonts w:eastAsia="Times New Roman"/>
          <w:b/>
          <w:bCs/>
        </w:rPr>
        <w:t>ACHIEVING CERTAINTY IN CANADIAN PETROLEUM TAXATION – A  COMPARATIVE REVIEW AND LESSONS FOR NIGERIA’S UPSTREAM PETROLEUM TAXATION</w:t>
      </w:r>
    </w:p>
    <w:p w14:paraId="0AE4C7A9">
      <w:pPr>
        <w:spacing w:after="200" w:line="480" w:lineRule="auto"/>
        <w:jc w:val="both"/>
        <w:rPr>
          <w:rFonts w:eastAsia="Times New Roman"/>
        </w:rPr>
      </w:pPr>
      <w:r>
        <w:rPr>
          <w:rFonts w:eastAsia="Times New Roman"/>
        </w:rPr>
        <w:t>The main thrust of the fiscal and tax policy and legislative reviews and reforms under the many Royal Commission's study and White paper reports was the attempt to equalize taxes in the petroleum industry with the general levels applicable to the rest of the business sector</w:t>
      </w:r>
      <w:r>
        <w:rPr>
          <w:rFonts w:eastAsia="Times New Roman"/>
          <w:vertAlign w:val="superscript"/>
        </w:rPr>
        <w:footnoteReference w:id="601"/>
      </w:r>
      <w:r>
        <w:rPr>
          <w:rFonts w:eastAsia="Times New Roman"/>
        </w:rPr>
        <w:t xml:space="preserve">. The focus of the exhaustive reviews was to simplify and equalize the system, whilst remaining responsive, progressive, predictable and competitive. </w:t>
      </w:r>
    </w:p>
    <w:p w14:paraId="05CC4D01">
      <w:pPr>
        <w:spacing w:after="200" w:line="480" w:lineRule="auto"/>
        <w:jc w:val="both"/>
        <w:rPr>
          <w:rFonts w:eastAsia="Times New Roman"/>
        </w:rPr>
      </w:pPr>
      <w:r>
        <w:rPr>
          <w:rFonts w:eastAsia="Times New Roman"/>
        </w:rPr>
        <w:t>In many respects, Canada’s tax environment can be said to be favorable to oil and gas activities. The CG, the PG, and the territories each levy income taxes on corporations and individuals in their separate jurisdictions.</w:t>
      </w:r>
      <w:r>
        <w:rPr>
          <w:rFonts w:eastAsia="Times New Roman"/>
          <w:vertAlign w:val="superscript"/>
        </w:rPr>
        <w:footnoteReference w:id="602"/>
      </w:r>
      <w:r>
        <w:rPr>
          <w:rFonts w:eastAsia="Times New Roman"/>
        </w:rPr>
        <w:t xml:space="preserve">  Moreover, since the governments of the oil-rich provinces are responsible for the royalty administration as well as the corporate income tax on petroleum, there is the incentive to be competitive and to ensure clarity and precision in the imposition and the tax obligation. This is not the case in Nigeria, where the FG owns, controls, regulates, and taxes petroleum operations to the exclusion of the federating States, where the resources are found.</w:t>
      </w:r>
    </w:p>
    <w:p w14:paraId="09B2D218">
      <w:pPr>
        <w:spacing w:after="200" w:line="480" w:lineRule="auto"/>
        <w:jc w:val="both"/>
        <w:rPr>
          <w:rFonts w:eastAsia="Times New Roman"/>
        </w:rPr>
      </w:pPr>
      <w:r>
        <w:rPr>
          <w:rFonts w:eastAsia="Times New Roman"/>
        </w:rPr>
        <w:t>The Canadian petroleum tax regime provides for the special treatment of; (i) exploration and development; (ii) production; (iii) processing (including separating and refining); and (iv) decommissioning, as well as deductions, allowances and credits which may be claimed either in the year of expenditure or, sometimes, in a prior or subsequent year.</w:t>
      </w:r>
      <w:r>
        <w:rPr>
          <w:rFonts w:eastAsia="Times New Roman"/>
          <w:vertAlign w:val="superscript"/>
        </w:rPr>
        <w:footnoteReference w:id="603"/>
      </w:r>
      <w:r>
        <w:rPr>
          <w:rFonts w:eastAsia="Times New Roman"/>
        </w:rPr>
        <w:t xml:space="preserve"> The income tax rate is relatively low. </w:t>
      </w:r>
      <w:r>
        <w:rPr>
          <w:rFonts w:eastAsia="Times New Roman"/>
          <w:color w:val="000000"/>
        </w:rPr>
        <w:t xml:space="preserve">There is also provision </w:t>
      </w:r>
      <w:r>
        <w:rPr>
          <w:rFonts w:eastAsia="Times New Roman"/>
        </w:rPr>
        <w:t xml:space="preserve">for rapid write-off of intangible expenses and the cost of tangible assets which permits taxpayers to recover the costs of bringing a well into production before they must pay any tax. </w:t>
      </w:r>
    </w:p>
    <w:p w14:paraId="2C329512">
      <w:pPr>
        <w:spacing w:after="200" w:line="480" w:lineRule="auto"/>
        <w:jc w:val="both"/>
        <w:rPr>
          <w:rFonts w:eastAsia="Times New Roman"/>
        </w:rPr>
      </w:pPr>
      <w:r>
        <w:rPr>
          <w:rFonts w:eastAsia="Times New Roman"/>
        </w:rPr>
        <w:t xml:space="preserve">A flow-through share mechanism allows corporations to renounce intangible expenses to investors. This allows corporations to monetize expenses that they are unable to utilize in the foreseeable future. There is also hardly any confusion or competition between the CG and PG’s as to their fiscal and taxing responsibilities under the Canadian Federal Constitution. Also, the powers of the taxing agencies are clearly delineated, and this makes for better tax management in the tax system. </w:t>
      </w:r>
    </w:p>
    <w:p w14:paraId="2B8DAFC7">
      <w:pPr>
        <w:spacing w:after="200" w:line="480" w:lineRule="auto"/>
        <w:jc w:val="both"/>
        <w:rPr>
          <w:rFonts w:eastAsia="Times New Roman"/>
        </w:rPr>
      </w:pPr>
      <w:r>
        <w:rPr>
          <w:rFonts w:eastAsia="Times New Roman"/>
        </w:rPr>
        <w:t xml:space="preserve">In addition to the above stated features of the Canadian petroleum taxation regime, it has the incentive to be competitive over its neighbor, the US, and tax deductions for intangible expenses can be carried forward indefinitely, whilst operating losses can be carried forward for as long as 20 years. This makes it almost certain that a taxpayer who does develop viable oil and gas operations will be able to use start-up losses. Only one-half of a capital gain is included in income and most capital taxes have either been eliminated or are being phased out in most jurisdictions in Canada. </w:t>
      </w:r>
    </w:p>
    <w:p w14:paraId="759D2FC5">
      <w:pPr>
        <w:spacing w:after="200" w:line="480" w:lineRule="auto"/>
        <w:jc w:val="both"/>
        <w:rPr>
          <w:rFonts w:eastAsia="Times New Roman"/>
          <w:lang w:val="en-GB"/>
        </w:rPr>
      </w:pPr>
      <w:r>
        <w:rPr>
          <w:rFonts w:eastAsia="Times New Roman"/>
          <w:lang w:val="en-GB"/>
        </w:rPr>
        <w:t>The US tax reforms of 2017</w:t>
      </w:r>
      <w:r>
        <w:rPr>
          <w:rFonts w:eastAsia="Times New Roman"/>
          <w:vertAlign w:val="superscript"/>
          <w:lang w:val="en-GB"/>
        </w:rPr>
        <w:footnoteReference w:id="604"/>
      </w:r>
      <w:r>
        <w:rPr>
          <w:rFonts w:eastAsia="Times New Roman"/>
          <w:lang w:val="en-GB"/>
        </w:rPr>
        <w:t xml:space="preserve"> further necessitated that Canada responds quickly to remain competitive. The broad overhaul of the US corporate tax system, including a large reduction in the corporate tax rate from 34 to 21 percent, and the introduction of accelerated depreciation for machinery in 2018 by the US dramatically altered the incentives to invest in the US rather than in Canada. Policy makers in Canada responded quickly by introducing temporary accelerated cost recovery for capital expenditures, stopping short of policy that would restore a significant competitive edge with regards to taxation</w:t>
      </w:r>
      <w:r>
        <w:rPr>
          <w:rFonts w:eastAsia="Times New Roman"/>
          <w:vertAlign w:val="superscript"/>
          <w:lang w:val="en-GB"/>
        </w:rPr>
        <w:footnoteReference w:id="605"/>
      </w:r>
      <w:r>
        <w:rPr>
          <w:rFonts w:eastAsia="Times New Roman"/>
          <w:lang w:val="en-GB"/>
        </w:rPr>
        <w:t xml:space="preserve">. </w:t>
      </w:r>
    </w:p>
    <w:p w14:paraId="2A3E8789">
      <w:pPr>
        <w:spacing w:after="200" w:line="480" w:lineRule="auto"/>
        <w:jc w:val="both"/>
        <w:rPr>
          <w:rFonts w:eastAsia="Times New Roman"/>
        </w:rPr>
      </w:pPr>
      <w:r>
        <w:rPr>
          <w:rFonts w:eastAsia="Times New Roman"/>
        </w:rPr>
        <w:t xml:space="preserve">The role of the CG is constitutionally defined and restricted to managing inter–provincial transactions and indirect taxation, whilst the provincial governments provide clear, competitive, and predictable petroleum taxation, which facilitates long term planning and investment decision making. On the other hand, the Nigerian upstream petroleum tax system lacked many of the features that make for clarity and precision. It also lacked the ability to respond promptly or make the required timely fiscal and legislative changes as evident in the Canadian system as well as in the UK. </w:t>
      </w:r>
    </w:p>
    <w:p w14:paraId="3BE26D0F">
      <w:pPr>
        <w:spacing w:after="200" w:line="480" w:lineRule="auto"/>
        <w:jc w:val="both"/>
        <w:rPr>
          <w:rFonts w:eastAsia="Times New Roman"/>
          <w:lang w:val="en-CA"/>
        </w:rPr>
      </w:pPr>
      <w:r>
        <w:rPr>
          <w:rFonts w:eastAsia="Times New Roman"/>
        </w:rPr>
        <w:t xml:space="preserve">With respect to Indirect taxes, the Canadian Constitution clearly makes this the constitutional responsibility of the CG and limits the legislative and taxing powers of the PG, to interprovincial or regional transactions, unlike the case in Nigeria, where it remains a source of confusion and uncertainty. </w:t>
      </w:r>
      <w:r>
        <w:rPr>
          <w:rFonts w:eastAsia="Times New Roman"/>
          <w:lang w:val="en-CA"/>
        </w:rPr>
        <w:t xml:space="preserve">The Supreme Court of Canada in the </w:t>
      </w:r>
      <w:r>
        <w:rPr>
          <w:rFonts w:eastAsia="Times New Roman"/>
          <w:i/>
          <w:iCs/>
          <w:lang w:val="en-CA"/>
        </w:rPr>
        <w:t>Canadian Industrial Gas &amp; Oil Ltd. v. Government of Saskatchewan et al</w:t>
      </w:r>
      <w:r>
        <w:rPr>
          <w:rFonts w:eastAsia="Times New Roman"/>
          <w:i/>
          <w:iCs/>
          <w:vertAlign w:val="superscript"/>
          <w:lang w:val="en-CA"/>
        </w:rPr>
        <w:footnoteReference w:id="606"/>
      </w:r>
      <w:r>
        <w:rPr>
          <w:rFonts w:eastAsia="Times New Roman"/>
          <w:i/>
          <w:iCs/>
          <w:lang w:val="en-CA"/>
        </w:rPr>
        <w:t>case</w:t>
      </w:r>
      <w:r>
        <w:rPr>
          <w:rFonts w:eastAsia="Times New Roman"/>
          <w:lang w:val="en-CA"/>
        </w:rPr>
        <w:t>, examined the constitutional validity of certain statutes enacted by the Legislature of the Province of Saskatchewan</w:t>
      </w:r>
      <w:r>
        <w:rPr>
          <w:rStyle w:val="23"/>
          <w:rFonts w:eastAsia="Times New Roman"/>
        </w:rPr>
        <w:footnoteReference w:id="607"/>
      </w:r>
      <w:r>
        <w:rPr>
          <w:rFonts w:eastAsia="Times New Roman"/>
          <w:lang w:val="en-CA"/>
        </w:rPr>
        <w:t>. In this case, the appellant’s attack on the legislation was made on two grounds: (i). It was contended that both the mineral income tax and the royalty surcharge constituted indirect taxation and are therefore beyond the power of the province to impose; the provincial legislative powers being limited to direct taxation within the province under s. 92(2) of the </w:t>
      </w:r>
      <w:r>
        <w:rPr>
          <w:rFonts w:eastAsia="Times New Roman"/>
          <w:i/>
          <w:iCs/>
          <w:lang w:val="en-CA"/>
        </w:rPr>
        <w:t>British North America Act. (</w:t>
      </w:r>
      <w:r>
        <w:rPr>
          <w:rFonts w:eastAsia="Times New Roman"/>
          <w:lang w:val="en-CA"/>
        </w:rPr>
        <w:t>ii). It was also contended that the legislation related to the regulation of interprovincial and international trade and commerce, a matter over which the Federal Parliament has exclusive legislative power under s. 91(2) of the </w:t>
      </w:r>
      <w:r>
        <w:rPr>
          <w:rFonts w:eastAsia="Times New Roman"/>
          <w:i/>
          <w:iCs/>
          <w:lang w:val="en-CA"/>
        </w:rPr>
        <w:t>British North America Act</w:t>
      </w:r>
      <w:r>
        <w:rPr>
          <w:rFonts w:eastAsia="Times New Roman"/>
          <w:lang w:val="en-CA"/>
        </w:rPr>
        <w:t xml:space="preserve">.  </w:t>
      </w:r>
    </w:p>
    <w:p w14:paraId="787EAD91">
      <w:pPr>
        <w:spacing w:after="200" w:line="480" w:lineRule="auto"/>
        <w:jc w:val="both"/>
        <w:rPr>
          <w:rFonts w:eastAsia="Times New Roman"/>
          <w:lang w:val="en-GB"/>
        </w:rPr>
      </w:pPr>
      <w:r>
        <w:rPr>
          <w:rFonts w:eastAsia="Times New Roman"/>
          <w:lang w:val="en-CA"/>
        </w:rPr>
        <w:t xml:space="preserve">The appellant was unsuccessful in seeking to obtain a declaration of their invalidity, both at trial and on appeal to the Court of Appeal for Saskatchewan. It then appealed, with leave, of the Court from the judgment of the Court of Appeal to the Canadian Supreme Court. It was held </w:t>
      </w:r>
      <w:r>
        <w:rPr>
          <w:rFonts w:eastAsia="Times New Roman"/>
          <w:lang w:val="en-GB"/>
        </w:rPr>
        <w:t>(Dickson and de Grandpré JJ. dissenting): that the appeal should be allowed. According to the Supreme Court (</w:t>
      </w:r>
      <w:r>
        <w:rPr>
          <w:rFonts w:eastAsia="Times New Roman"/>
          <w:i/>
          <w:iCs/>
          <w:lang w:val="en-GB"/>
        </w:rPr>
        <w:t>Per </w:t>
      </w:r>
      <w:r>
        <w:rPr>
          <w:rFonts w:eastAsia="Times New Roman"/>
          <w:lang w:val="en-GB"/>
        </w:rPr>
        <w:t>Laskin C.J. and Martland, Judson, Ritchie, Spence, Pigeon and Beetz JJ.); the taxation scheme comprising the mineral income tax and the royalty surcharge does not constitute direct taxation within the province and is therefore outside the scope of the provincial power under s. 92(2) of the </w:t>
      </w:r>
      <w:r>
        <w:rPr>
          <w:rFonts w:eastAsia="Times New Roman"/>
          <w:i/>
          <w:iCs/>
          <w:lang w:val="en-GB"/>
        </w:rPr>
        <w:t>British North America Act.</w:t>
      </w:r>
    </w:p>
    <w:p w14:paraId="2ED57AB4">
      <w:pPr>
        <w:spacing w:after="200" w:line="480" w:lineRule="auto"/>
        <w:jc w:val="both"/>
        <w:rPr>
          <w:rFonts w:eastAsia="Times New Roman"/>
        </w:rPr>
      </w:pPr>
      <w:r>
        <w:rPr>
          <w:rFonts w:eastAsia="Times New Roman"/>
        </w:rPr>
        <w:t>In yet another matter, the constitutionality of a provincial amendment to a Federal Act by the PG was reviewed with respect to the province of British Columbia</w:t>
      </w:r>
      <w:r>
        <w:rPr>
          <w:rFonts w:eastAsia="Times New Roman"/>
          <w:vertAlign w:val="superscript"/>
        </w:rPr>
        <w:footnoteReference w:id="608"/>
      </w:r>
      <w:r>
        <w:rPr>
          <w:rFonts w:eastAsia="Times New Roman"/>
        </w:rPr>
        <w:t>. T</w:t>
      </w:r>
      <w:r>
        <w:rPr>
          <w:rFonts w:eastAsia="Times New Roman"/>
          <w:lang w:val="en-GB"/>
        </w:rPr>
        <w:t>he Supreme Court of Canada (SCC) considered the scope of provincial jurisdiction with reference</w:t>
      </w:r>
      <w:r>
        <w:rPr>
          <w:rFonts w:eastAsia="Times New Roman"/>
          <w:i/>
          <w:iCs/>
          <w:lang w:val="en-GB"/>
        </w:rPr>
        <w:t xml:space="preserve"> </w:t>
      </w:r>
      <w:r>
        <w:rPr>
          <w:rFonts w:eastAsia="Times New Roman"/>
          <w:lang w:val="en-GB"/>
        </w:rPr>
        <w:t>to the Environmental Management Act (British Columbia)</w:t>
      </w:r>
      <w:r>
        <w:rPr>
          <w:rFonts w:eastAsia="Times New Roman"/>
          <w:vertAlign w:val="superscript"/>
          <w:lang w:val="en-GB"/>
        </w:rPr>
        <w:footnoteReference w:id="609"/>
      </w:r>
      <w:r>
        <w:rPr>
          <w:rFonts w:eastAsia="Times New Roman"/>
          <w:lang w:val="en-GB"/>
        </w:rPr>
        <w:t xml:space="preserve"> and on January 16, 2020, the SCC dismissed British Columbia’s attempt to regulate the transportation of heavy oil through the province. The nine-member panel delivered a rare oral decision from the bench, stating that it agreed with the British Columbia Court of Appeal’s (BCCA) reasons. The BCCA had unanimously held that the amendments were outside the scope of provincial jurisdiction as they primarily focused on a federal interprovincial undertaking and that their “default position” represented “an immediate and existential threat to a federal undertaking”. The BCCA had also noted that it would be impractical for “different laws and regulations to apply to an interprovincial pipeline every time it crosses a border”, as it would obstruct its operation by forcing it to “comply with different conditions governing its route, construction, cargo, safety measures, spill prevention, and the aftermath of an accidental release of oil”. It stated that parliament had constitutionally received exclusive jurisdiction to regulate these matters, “allowing a single regulator to consider interests and concerns beyond those of individual provinces”. This </w:t>
      </w:r>
      <w:r>
        <w:rPr>
          <w:rFonts w:eastAsia="Times New Roman"/>
        </w:rPr>
        <w:t>ruling, whilst providing clarity on the division of legislative powers between the CG and PG’s, also avoided the incidence of multiple charges, taxes, and levies, which is a significant issue and source of uncertainty under the Nigerian Constitution and the upstream petroleum taxation system.</w:t>
      </w:r>
    </w:p>
    <w:p w14:paraId="4ED11BF0">
      <w:pPr>
        <w:spacing w:after="200" w:line="480" w:lineRule="auto"/>
        <w:jc w:val="both"/>
        <w:rPr>
          <w:rFonts w:eastAsia="Times New Roman"/>
          <w:lang w:val="en-GB"/>
        </w:rPr>
      </w:pPr>
    </w:p>
    <w:p w14:paraId="4729AA24">
      <w:pPr>
        <w:spacing w:after="200" w:line="480" w:lineRule="auto"/>
        <w:jc w:val="both"/>
        <w:rPr>
          <w:rFonts w:eastAsia="Times New Roman"/>
        </w:rPr>
      </w:pPr>
      <w:r>
        <w:rPr>
          <w:rFonts w:eastAsia="Times New Roman"/>
          <w:lang w:val="en-GB"/>
        </w:rPr>
        <w:t xml:space="preserve">The SCC’s affirmation of the BCCA’s decision provides legal clarity on PGs regulatory jurisdiction over federal undertakings. It agreed with the BCCA’s decision that the proposed amendments should fall at the validity stage of the division of powers analysis, holding outright that provinces do not have constitutional authority to regulate interprovincial pipelines without having to apply complex doctrines including federal paramountcy. This decision importantly offered clarity on the interaction and exercise of PG and CG legislative powers under the Canadian Constitution, as it affects taxation, especially indirect taxation. </w:t>
      </w:r>
    </w:p>
    <w:p w14:paraId="24710CC2">
      <w:pPr>
        <w:spacing w:after="200" w:line="480" w:lineRule="auto"/>
        <w:jc w:val="both"/>
        <w:rPr>
          <w:rFonts w:eastAsia="Times New Roman"/>
          <w:lang w:val="en-GB"/>
        </w:rPr>
      </w:pPr>
      <w:r>
        <w:rPr>
          <w:rFonts w:eastAsia="Times New Roman"/>
          <w:lang w:val="en-GB"/>
        </w:rPr>
        <w:t xml:space="preserve">Also, in the </w:t>
      </w:r>
      <w:r>
        <w:rPr>
          <w:rFonts w:eastAsia="Times New Roman"/>
          <w:i/>
          <w:iCs/>
          <w:lang w:val="en-GB"/>
        </w:rPr>
        <w:t>Coldwater Indian Band et al v Attorney General of Canada,</w:t>
      </w:r>
      <w:r>
        <w:rPr>
          <w:rFonts w:eastAsia="Times New Roman"/>
          <w:lang w:val="en-GB"/>
        </w:rPr>
        <w:t xml:space="preserve"> the Federal Court of Appeal (FCA) had ruled in favour of the </w:t>
      </w:r>
      <w:bookmarkStart w:id="27" w:name="_Hlk145219452"/>
      <w:r>
        <w:rPr>
          <w:rFonts w:eastAsia="Times New Roman"/>
        </w:rPr>
        <w:t xml:space="preserve">Trans Mountain Expansion </w:t>
      </w:r>
      <w:bookmarkEnd w:id="27"/>
      <w:r>
        <w:rPr>
          <w:rFonts w:eastAsia="Times New Roman"/>
        </w:rPr>
        <w:t>(TMX) project approval</w:t>
      </w:r>
      <w:r>
        <w:rPr>
          <w:rFonts w:eastAsia="Times New Roman"/>
          <w:vertAlign w:val="superscript"/>
          <w:lang w:val="en-GB"/>
        </w:rPr>
        <w:footnoteReference w:id="610"/>
      </w:r>
      <w:r>
        <w:rPr>
          <w:rFonts w:eastAsia="Times New Roman"/>
          <w:lang w:val="en-GB"/>
        </w:rPr>
        <w:t>. The FCA dismissed an application for judicial review by several parties that challenged the second approval of the TMX Project. The review related to whether the Crown had adequately addressed deficiencies in its consultation efforts with Indigenous groups prior to the second approval in November 2016 of the TMX Project as being in the public interest. The FCA in 2018 found that the TMX Project’s environmental assessment was deficient and that the Crown had failed to fulfil its duty to consult</w:t>
      </w:r>
      <w:r>
        <w:rPr>
          <w:rFonts w:eastAsia="Times New Roman"/>
          <w:vertAlign w:val="superscript"/>
          <w:lang w:val="en-GB"/>
        </w:rPr>
        <w:footnoteReference w:id="611"/>
      </w:r>
      <w:r>
        <w:rPr>
          <w:rFonts w:eastAsia="Times New Roman"/>
          <w:lang w:val="en-GB"/>
        </w:rPr>
        <w:t xml:space="preserve">. On June 22, 2019, several parties sought judicial review </w:t>
      </w:r>
      <w:r>
        <w:rPr>
          <w:rFonts w:eastAsia="Times New Roman"/>
          <w:color w:val="000000"/>
          <w:lang w:val="en-GB"/>
        </w:rPr>
        <w:t>on</w:t>
      </w:r>
      <w:r>
        <w:rPr>
          <w:rFonts w:eastAsia="Times New Roman"/>
          <w:lang w:val="en-GB"/>
        </w:rPr>
        <w:t xml:space="preserve"> the same grounds as the initial Federal Court decision. The FCA dismissed the appeal, finding no basis for interfering with the second authorization of the TMX Project, which it deemed reasonable. In reaching this decision, the FCA commented that:</w:t>
      </w:r>
    </w:p>
    <w:p w14:paraId="2003349D">
      <w:pPr>
        <w:spacing w:after="200" w:line="480" w:lineRule="auto"/>
        <w:ind w:left="720"/>
        <w:jc w:val="both"/>
        <w:rPr>
          <w:rFonts w:eastAsia="Times New Roman"/>
          <w:lang w:val="en-GB"/>
        </w:rPr>
      </w:pPr>
      <w:r>
        <w:rPr>
          <w:rFonts w:eastAsia="Times New Roman"/>
          <w:lang w:val="en-GB"/>
        </w:rPr>
        <w:t>“The applicants’ submissions are essentially that the Project cannot be approved until all their concerns are resolved to their satisfaction. If we accepted those submissions, as a practical matter, there would be no end to consultation, the Project would never be approved, and the applicants would have a de facto veto right over it.”</w:t>
      </w:r>
      <w:r>
        <w:rPr>
          <w:rFonts w:eastAsia="Times New Roman"/>
          <w:vertAlign w:val="superscript"/>
          <w:lang w:val="en-GB"/>
        </w:rPr>
        <w:footnoteReference w:id="612"/>
      </w:r>
    </w:p>
    <w:p w14:paraId="36061F1C">
      <w:pPr>
        <w:spacing w:after="200" w:line="480" w:lineRule="auto"/>
        <w:jc w:val="both"/>
        <w:rPr>
          <w:rFonts w:eastAsia="Times New Roman"/>
          <w:lang w:val="en-GB"/>
        </w:rPr>
      </w:pPr>
      <w:r>
        <w:rPr>
          <w:rFonts w:eastAsia="Times New Roman"/>
          <w:lang w:val="en-GB"/>
        </w:rPr>
        <w:t xml:space="preserve">This decision represented a major victory for the TMX Project and highlighted the need for clear delineation of the Constitutional limits of the powers of the PG and the CG, especially with respect to legislative and taxing rights in trans provincial matters and indirect taxation. The precise exercise of Parliamentary authority and the demonstration of the independence and transparency of the judicial process builds confidence and trust in the tax system, thus facilitating certainty and stability in the tax system. The centralised federal system, which confers overwhelming fiscal and taxing powers on the FG, as in the case of Nigeria, fiscally incapacitates the federating States. </w:t>
      </w:r>
    </w:p>
    <w:p w14:paraId="23E4583B">
      <w:pPr>
        <w:spacing w:after="200" w:line="480" w:lineRule="auto"/>
        <w:jc w:val="both"/>
        <w:rPr>
          <w:rFonts w:eastAsia="Times New Roman"/>
        </w:rPr>
      </w:pPr>
      <w:r>
        <w:rPr>
          <w:rFonts w:eastAsia="Times New Roman"/>
          <w:lang w:val="en-GB"/>
        </w:rPr>
        <w:t>In the area of</w:t>
      </w:r>
      <w:r>
        <w:rPr>
          <w:rFonts w:eastAsia="Times New Roman"/>
        </w:rPr>
        <w:t xml:space="preserve"> tax administration, the Canadian Revenue Authority (CRA), has the responsibility for administering the tax legislation. Where the CRA identifies issues with the application of the legislation, it advises the TPB accordingly. The TPB works closely with the CDF, and TPB staff also have ongoing contact with stakeholders and review court decisions to identify issues in existing legislation. Individual taxpayers may also find that legislation has an impact that they believe is not within the policy intent of the legislation. In such circumstances, taxpayers (or their advisers) may contact the TPB. If, on review, TPB officials consider that the technical application of a particular provision is not in accord with its underlying policy intent, a senior TPB representative may issue a comfort letter advising of their intention to recommend to the minister of finance an appropriate technical amendment to the legislation. Real time interventions of this nature make for clarity in legislative intent, accuracy in legislative drafting, and effective compliance. Taxpayers (and their advisers) generally rely on such comfort letters issued by the CDF in proceeding with transactions and in preparing tax returns—although accounting standards may require certain firms to identify in their financial reports that a legislative amendment is required to support the tax position that the firm has taken. The CRA also rely on these comfort letters, either to assess tax in accordance with the policy articulated by the CDF or, in certain cases, to suspend an assessment of tax pending enactment of the change.</w:t>
      </w:r>
      <w:r>
        <w:rPr>
          <w:rFonts w:eastAsia="Times New Roman"/>
          <w:vertAlign w:val="superscript"/>
        </w:rPr>
        <w:footnoteReference w:id="613"/>
      </w:r>
      <w:r>
        <w:rPr>
          <w:rFonts w:eastAsia="Times New Roman"/>
        </w:rPr>
        <w:t xml:space="preserve"> The binding nature of rulings and the practical proactive approach makes for real time review of legislation, and for certainty and confidence in the system, which features are missing in the tax administration of upstream petroleum taxation in Nigeria.</w:t>
      </w:r>
    </w:p>
    <w:p w14:paraId="0A1987DC">
      <w:pPr>
        <w:spacing w:after="200" w:line="480" w:lineRule="auto"/>
        <w:jc w:val="both"/>
        <w:rPr>
          <w:rFonts w:eastAsia="Times New Roman"/>
          <w:b/>
          <w:bCs/>
          <w:lang w:val="en-GB"/>
        </w:rPr>
      </w:pPr>
      <w:r>
        <w:rPr>
          <w:rFonts w:eastAsia="Times New Roman"/>
          <w:b/>
          <w:bCs/>
          <w:lang w:val="en-GB"/>
        </w:rPr>
        <w:t xml:space="preserve">CONCLUSION </w:t>
      </w:r>
    </w:p>
    <w:p w14:paraId="107DADC9">
      <w:pPr>
        <w:spacing w:after="200" w:line="480" w:lineRule="auto"/>
        <w:jc w:val="both"/>
        <w:rPr>
          <w:rFonts w:eastAsia="Times New Roman"/>
          <w:lang w:val="en-GB"/>
        </w:rPr>
      </w:pPr>
      <w:bookmarkStart w:id="28" w:name="_Hlk166427106"/>
      <w:r>
        <w:rPr>
          <w:rFonts w:eastAsia="Times New Roman"/>
          <w:lang w:val="en-GB"/>
        </w:rPr>
        <w:t xml:space="preserve">The decentralised fiscal federalism under the Canadian Constitution ensures that the CG and PG’s are fiscally responsible and exercise tax legislative powers on income and direct taxes, in their respective jurisdictions thus avoiding overlaps and the uncertainty associated with taxation of oil and gas, as is the case in Nigeria. The ownership of oil and gas by the provincial governments and the alignment of policy making and legislative drafting between the CG and the PG, enhance the timely enactment of tax legislation which are well researched, clear, precise and predictable. </w:t>
      </w:r>
    </w:p>
    <w:bookmarkEnd w:id="28"/>
    <w:p w14:paraId="4080A799">
      <w:pPr>
        <w:spacing w:after="200" w:line="480" w:lineRule="auto"/>
        <w:jc w:val="both"/>
        <w:rPr>
          <w:rFonts w:eastAsia="Times New Roman"/>
          <w:lang w:val="en-GB"/>
        </w:rPr>
      </w:pPr>
      <w:r>
        <w:rPr>
          <w:rFonts w:eastAsia="Times New Roman"/>
          <w:lang w:val="en-GB"/>
        </w:rPr>
        <w:t>The policy reforms undertaken in the income tax system highlight some of the challenges with clear fiscal and tax objective setting and drafting new or evaluating existing tax rules, as well as reconciling different and competing aspirations of the country and investors. The linkages between created and the well-defined responsibilities and reform initiatives facilitate the responsive evolution of clear, neutral and competitive tax system capable of generating sufficient revenue for governments as well as fair returns to the investors. In this regard, the direct linkage of tax and fiscal policy design and formulation to legislative drafting is significant for achieving clarity and timely enactment of tax legislation.</w:t>
      </w:r>
      <w:r>
        <w:rPr>
          <w:rFonts w:eastAsia="Times New Roman"/>
          <w:lang w:val="en-GB"/>
        </w:rPr>
        <w:tab/>
      </w:r>
    </w:p>
    <w:p w14:paraId="22AA7F89">
      <w:pPr>
        <w:spacing w:after="200" w:line="480" w:lineRule="auto"/>
        <w:jc w:val="both"/>
        <w:rPr>
          <w:rFonts w:eastAsia="Times New Roman"/>
          <w:lang w:val="en-GB"/>
        </w:rPr>
      </w:pPr>
      <w:r>
        <w:rPr>
          <w:rFonts w:eastAsia="Times New Roman"/>
          <w:lang w:val="en-GB"/>
        </w:rPr>
        <w:t>The single petroleum income tax system in place also contributes to the creation of a neutral tax system and tax administration. The Canadian petroleum tax system has been managed effectively relatively, despite the decentralized Canadian federal structure and the provincial pressures. The interplay of these factors ensure that taxes are determined accurately for timely payments and collections</w:t>
      </w:r>
      <w:r>
        <w:rPr>
          <w:rFonts w:eastAsia="Times New Roman"/>
          <w:vertAlign w:val="superscript"/>
          <w:lang w:val="en-GB"/>
        </w:rPr>
        <w:footnoteReference w:id="614"/>
      </w:r>
      <w:r>
        <w:rPr>
          <w:rFonts w:eastAsia="Times New Roman"/>
          <w:lang w:val="en-GB"/>
        </w:rPr>
        <w:t xml:space="preserve">. </w:t>
      </w:r>
    </w:p>
    <w:p w14:paraId="01EB7447">
      <w:pPr>
        <w:spacing w:after="200" w:line="480" w:lineRule="auto"/>
        <w:jc w:val="both"/>
        <w:rPr>
          <w:rFonts w:eastAsia="Times New Roman"/>
          <w:lang w:val="en-GB"/>
        </w:rPr>
      </w:pPr>
    </w:p>
    <w:p w14:paraId="40D88289">
      <w:pPr>
        <w:spacing w:after="200" w:line="480" w:lineRule="auto"/>
        <w:jc w:val="both"/>
        <w:rPr>
          <w:rFonts w:eastAsia="Times New Roman"/>
          <w:lang w:val="en-GB"/>
        </w:rPr>
      </w:pPr>
    </w:p>
    <w:p w14:paraId="4D14AB32">
      <w:pPr>
        <w:spacing w:after="160" w:line="480" w:lineRule="auto"/>
        <w:jc w:val="center"/>
        <w:rPr>
          <w:rFonts w:eastAsia="Calibri"/>
          <w:b/>
          <w:bCs/>
        </w:rPr>
      </w:pPr>
    </w:p>
    <w:p w14:paraId="2CF87D73">
      <w:pPr>
        <w:spacing w:after="160" w:line="480" w:lineRule="auto"/>
        <w:jc w:val="center"/>
        <w:rPr>
          <w:rFonts w:eastAsia="Calibri"/>
          <w:b/>
          <w:bCs/>
        </w:rPr>
      </w:pPr>
    </w:p>
    <w:p w14:paraId="53F167EA">
      <w:pPr>
        <w:spacing w:after="160" w:line="480" w:lineRule="auto"/>
        <w:jc w:val="center"/>
        <w:rPr>
          <w:rFonts w:eastAsia="Calibri"/>
          <w:b/>
          <w:bCs/>
        </w:rPr>
      </w:pPr>
    </w:p>
    <w:p w14:paraId="01B73767">
      <w:pPr>
        <w:spacing w:after="160" w:line="480" w:lineRule="auto"/>
        <w:rPr>
          <w:rFonts w:eastAsia="Calibri"/>
          <w:b/>
          <w:bCs/>
        </w:rPr>
      </w:pPr>
    </w:p>
    <w:p w14:paraId="5B05B07B">
      <w:pPr>
        <w:spacing w:after="160" w:line="480" w:lineRule="auto"/>
        <w:jc w:val="center"/>
        <w:rPr>
          <w:rFonts w:eastAsia="Calibri"/>
          <w:b/>
          <w:bCs/>
        </w:rPr>
      </w:pPr>
    </w:p>
    <w:p w14:paraId="489B572C">
      <w:pPr>
        <w:spacing w:after="160" w:line="480" w:lineRule="auto"/>
        <w:jc w:val="center"/>
        <w:rPr>
          <w:rFonts w:eastAsia="Calibri"/>
          <w:b/>
          <w:bCs/>
        </w:rPr>
      </w:pPr>
    </w:p>
    <w:p w14:paraId="7C0806CE">
      <w:pPr>
        <w:spacing w:after="160" w:line="480" w:lineRule="auto"/>
        <w:jc w:val="center"/>
        <w:rPr>
          <w:rFonts w:eastAsia="Calibri"/>
          <w:b/>
          <w:bCs/>
        </w:rPr>
      </w:pPr>
    </w:p>
    <w:p w14:paraId="73387D62">
      <w:pPr>
        <w:spacing w:after="160" w:line="480" w:lineRule="auto"/>
        <w:jc w:val="center"/>
        <w:rPr>
          <w:rFonts w:eastAsia="Calibri"/>
          <w:b/>
          <w:bCs/>
        </w:rPr>
      </w:pPr>
    </w:p>
    <w:p w14:paraId="36C74260">
      <w:pPr>
        <w:spacing w:after="160" w:line="480" w:lineRule="auto"/>
        <w:jc w:val="center"/>
        <w:rPr>
          <w:rFonts w:eastAsia="Calibri"/>
          <w:b/>
          <w:bCs/>
        </w:rPr>
      </w:pPr>
    </w:p>
    <w:p w14:paraId="6CD516A0">
      <w:pPr>
        <w:spacing w:after="160" w:line="480" w:lineRule="auto"/>
        <w:jc w:val="center"/>
        <w:rPr>
          <w:rFonts w:eastAsia="Calibri"/>
          <w:b/>
          <w:bCs/>
        </w:rPr>
      </w:pPr>
      <w:r>
        <w:rPr>
          <w:rFonts w:eastAsia="Calibri"/>
          <w:b/>
          <w:bCs/>
        </w:rPr>
        <w:t>CHAPTER 9</w:t>
      </w:r>
    </w:p>
    <w:p w14:paraId="45D1D869">
      <w:pPr>
        <w:spacing w:after="160" w:line="480" w:lineRule="auto"/>
        <w:jc w:val="center"/>
        <w:rPr>
          <w:rFonts w:eastAsia="Calibri"/>
          <w:b/>
          <w:bCs/>
        </w:rPr>
      </w:pPr>
      <w:bookmarkStart w:id="29" w:name="_Hlk97812663"/>
      <w:r>
        <w:rPr>
          <w:rFonts w:eastAsia="Calibri"/>
          <w:b/>
          <w:bCs/>
        </w:rPr>
        <w:t>THE PETROLEUM INDUSTRY ACT (PIA) – A NEW FRAMEWORK.</w:t>
      </w:r>
    </w:p>
    <w:bookmarkEnd w:id="29"/>
    <w:p w14:paraId="1E680E49">
      <w:pPr>
        <w:spacing w:after="160" w:line="480" w:lineRule="auto"/>
        <w:jc w:val="both"/>
        <w:rPr>
          <w:rFonts w:eastAsia="Calibri"/>
          <w:b/>
          <w:lang w:val="en-GB"/>
        </w:rPr>
      </w:pPr>
    </w:p>
    <w:p w14:paraId="18F8CDB4">
      <w:pPr>
        <w:spacing w:after="160" w:line="480" w:lineRule="auto"/>
        <w:jc w:val="both"/>
        <w:rPr>
          <w:rFonts w:eastAsia="Calibri"/>
          <w:b/>
          <w:lang w:val="en-GB"/>
        </w:rPr>
      </w:pPr>
      <w:r>
        <w:rPr>
          <w:rFonts w:eastAsia="Calibri"/>
          <w:b/>
          <w:lang w:val="en-GB"/>
        </w:rPr>
        <w:t>9.0</w:t>
      </w:r>
      <w:r>
        <w:rPr>
          <w:rFonts w:eastAsia="Calibri"/>
          <w:b/>
          <w:lang w:val="en-GB"/>
        </w:rPr>
        <w:tab/>
      </w:r>
      <w:r>
        <w:rPr>
          <w:rFonts w:eastAsia="Calibri"/>
          <w:b/>
          <w:lang w:val="en-GB"/>
        </w:rPr>
        <w:t xml:space="preserve"> INTRODUCTION </w:t>
      </w:r>
    </w:p>
    <w:p w14:paraId="1BF83B4C">
      <w:pPr>
        <w:spacing w:after="160" w:line="480" w:lineRule="auto"/>
        <w:jc w:val="both"/>
        <w:rPr>
          <w:rFonts w:eastAsia="Calibri"/>
          <w:bCs/>
        </w:rPr>
      </w:pPr>
      <w:r>
        <w:rPr>
          <w:rFonts w:eastAsia="Calibri"/>
          <w:bCs/>
        </w:rPr>
        <w:t xml:space="preserve">The Nigerian petroleum industry has been in dire need </w:t>
      </w:r>
      <w:r>
        <w:rPr>
          <w:rFonts w:eastAsia="Calibri"/>
          <w:bCs/>
          <w:lang w:val="en-GB"/>
        </w:rPr>
        <w:t>for holistic reforms in the areas of governance, policy, law, taxation, ease of doing business, and local content and participation in the industry. This research clearly highlights the uncertainties in the areas of fiscal policy, and upstream petroleum taxation and the need to achieve clarity and predictability required for the growth and development of the industry and the country. The 2008 Nigeria Petroleum Industry Bill (NPIB)</w:t>
      </w:r>
      <w:r>
        <w:rPr>
          <w:rFonts w:eastAsia="Calibri"/>
          <w:bCs/>
          <w:vertAlign w:val="superscript"/>
          <w:lang w:val="en-GB"/>
        </w:rPr>
        <w:footnoteReference w:id="615"/>
      </w:r>
      <w:r>
        <w:rPr>
          <w:rFonts w:eastAsia="Calibri"/>
          <w:bCs/>
          <w:lang w:val="en-GB"/>
        </w:rPr>
        <w:t xml:space="preserve"> was a major response by the FGN to comprehensively reform the commercial, fiscal, tax, legislative and regulatory framework and administration of the petroleum industry. However, it has taken close to two decades for the NPIB to be enacted as the Petroleum Industry Act, (PIA) 2021</w:t>
      </w:r>
      <w:r>
        <w:rPr>
          <w:rFonts w:eastAsia="Calibri"/>
          <w:bCs/>
          <w:vertAlign w:val="superscript"/>
          <w:lang w:val="en-GB"/>
        </w:rPr>
        <w:footnoteReference w:id="616"/>
      </w:r>
      <w:r>
        <w:rPr>
          <w:rFonts w:eastAsia="Calibri"/>
          <w:bCs/>
          <w:lang w:val="en-GB"/>
        </w:rPr>
        <w:t>. The principal objective of the PIA is to provide a clear, transparent, and simple to administer legislative, fiscal and taxation system and regulation of the Nigerian Petroleum Industry. The PIA further seeks to balance the government’s quest for increased revenue generation with the promotion of sustainable investment in the industry, whilst ensuring a fair return and profits for investing companies through a clear, predictable, and stable regulatory, fiscal and tax system</w:t>
      </w:r>
      <w:r>
        <w:rPr>
          <w:rFonts w:eastAsia="Calibri"/>
          <w:bCs/>
          <w:vertAlign w:val="superscript"/>
          <w:lang w:val="en-GB"/>
        </w:rPr>
        <w:footnoteReference w:id="617"/>
      </w:r>
      <w:r>
        <w:rPr>
          <w:rFonts w:eastAsia="Calibri"/>
          <w:bCs/>
          <w:lang w:val="en-GB"/>
        </w:rPr>
        <w:t xml:space="preserve">. </w:t>
      </w:r>
      <w:r>
        <w:rPr>
          <w:rFonts w:eastAsia="Calibri"/>
          <w:bCs/>
        </w:rPr>
        <w:t xml:space="preserve"> The PIA further</w:t>
      </w:r>
      <w:r>
        <w:rPr>
          <w:rFonts w:eastAsia="Calibri"/>
          <w:bCs/>
          <w:lang w:val="en-GB"/>
        </w:rPr>
        <w:t xml:space="preserve"> attempts to address environmental concerns arising from oil industry operations, as well as the development of host communities</w:t>
      </w:r>
      <w:r>
        <w:rPr>
          <w:rFonts w:eastAsia="Calibri"/>
          <w:bCs/>
          <w:vertAlign w:val="superscript"/>
          <w:lang w:val="en-GB"/>
        </w:rPr>
        <w:footnoteReference w:id="618"/>
      </w:r>
      <w:r>
        <w:rPr>
          <w:rFonts w:eastAsia="Calibri"/>
          <w:bCs/>
          <w:lang w:val="en-GB"/>
        </w:rPr>
        <w:t>.</w:t>
      </w:r>
      <w:r>
        <w:rPr>
          <w:rFonts w:eastAsia="Calibri"/>
          <w:bCs/>
        </w:rPr>
        <w:t xml:space="preserve"> </w:t>
      </w:r>
    </w:p>
    <w:p w14:paraId="1D07A256">
      <w:pPr>
        <w:spacing w:after="160" w:line="480" w:lineRule="auto"/>
        <w:jc w:val="both"/>
        <w:rPr>
          <w:rFonts w:eastAsia="Calibri"/>
          <w:bCs/>
        </w:rPr>
      </w:pPr>
      <w:r>
        <w:rPr>
          <w:rFonts w:eastAsia="Calibri"/>
          <w:bCs/>
        </w:rPr>
        <w:t>In this chapter, we examine the provisions of the PIA 2021</w:t>
      </w:r>
      <w:r>
        <w:rPr>
          <w:rFonts w:eastAsia="Calibri"/>
          <w:bCs/>
          <w:vertAlign w:val="superscript"/>
        </w:rPr>
        <w:footnoteReference w:id="619"/>
      </w:r>
      <w:r>
        <w:rPr>
          <w:rFonts w:eastAsia="Calibri"/>
          <w:bCs/>
        </w:rPr>
        <w:t xml:space="preserve">, as they address the uncertainties and gaps in policy, tax, and regulatory framework in the upstream petroleum taxation system examined in this thesis.  The specific changes to the licensing, regulatory, upstream resource and income taxation, royalty, marginal field operations and the tax administrative and dispute resolution system for the upstream petroleum industry introduced by the PIA form the subject matter of this analysis. </w:t>
      </w:r>
    </w:p>
    <w:p w14:paraId="48EB7AE8">
      <w:pPr>
        <w:spacing w:after="160" w:line="480" w:lineRule="auto"/>
        <w:jc w:val="both"/>
        <w:rPr>
          <w:rFonts w:eastAsia="Calibri"/>
          <w:bCs/>
        </w:rPr>
      </w:pPr>
      <w:r>
        <w:rPr>
          <w:rFonts w:eastAsia="Calibri"/>
          <w:bCs/>
        </w:rPr>
        <w:t>Taxation by its very nature</w:t>
      </w:r>
      <w:r>
        <w:rPr>
          <w:rFonts w:eastAsia="Calibri"/>
          <w:bCs/>
          <w:vertAlign w:val="superscript"/>
        </w:rPr>
        <w:footnoteReference w:id="620"/>
      </w:r>
      <w:r>
        <w:rPr>
          <w:rFonts w:eastAsia="Calibri"/>
          <w:bCs/>
        </w:rPr>
        <w:t xml:space="preserve"> can be complex and for a complex and dynamic international industry</w:t>
      </w:r>
      <w:r>
        <w:rPr>
          <w:rFonts w:eastAsia="Calibri"/>
          <w:bCs/>
          <w:vertAlign w:val="superscript"/>
        </w:rPr>
        <w:footnoteReference w:id="621"/>
      </w:r>
      <w:r>
        <w:rPr>
          <w:rFonts w:eastAsia="Calibri"/>
          <w:bCs/>
        </w:rPr>
        <w:t>, such as the petroleum industry, achieving clarity, certainty and consistent understanding of the fiscal policy and tax legislation and regulatory framework has been a persistent problem and challenge in Nigeria, as is the case in many resource producing countries</w:t>
      </w:r>
      <w:r>
        <w:rPr>
          <w:rFonts w:eastAsia="Calibri"/>
          <w:bCs/>
          <w:vertAlign w:val="superscript"/>
          <w:lang w:val="en-GB"/>
        </w:rPr>
        <w:footnoteReference w:id="622"/>
      </w:r>
      <w:r>
        <w:rPr>
          <w:rFonts w:eastAsia="Calibri"/>
          <w:bCs/>
        </w:rPr>
        <w:t>. To address the peculiar uncertainties and gaps identified in the constitutional, fiscal, legislative, and regulatory framework and basis of the old PPTA/PSC upstream petroleum tax system</w:t>
      </w:r>
      <w:r>
        <w:rPr>
          <w:rStyle w:val="23"/>
          <w:rFonts w:eastAsia="Calibri"/>
          <w:bCs/>
        </w:rPr>
        <w:footnoteReference w:id="623"/>
      </w:r>
      <w:r>
        <w:rPr>
          <w:rFonts w:eastAsia="Calibri"/>
          <w:bCs/>
        </w:rPr>
        <w:t>, which are identified and examined in our preceding chapters</w:t>
      </w:r>
      <w:r>
        <w:rPr>
          <w:rStyle w:val="23"/>
          <w:rFonts w:eastAsia="Calibri"/>
          <w:bCs/>
        </w:rPr>
        <w:footnoteReference w:id="624"/>
      </w:r>
      <w:r>
        <w:rPr>
          <w:rFonts w:eastAsia="Calibri"/>
          <w:bCs/>
        </w:rPr>
        <w:t xml:space="preserve">, we analyze the following aspects and changes introduced under the PIA: </w:t>
      </w:r>
    </w:p>
    <w:p w14:paraId="0CD702EE">
      <w:pPr>
        <w:numPr>
          <w:ilvl w:val="0"/>
          <w:numId w:val="38"/>
        </w:numPr>
        <w:spacing w:after="160" w:line="480" w:lineRule="auto"/>
        <w:contextualSpacing/>
        <w:jc w:val="both"/>
        <w:rPr>
          <w:rFonts w:eastAsia="Calibri"/>
          <w:bCs/>
        </w:rPr>
      </w:pPr>
      <w:r>
        <w:rPr>
          <w:rFonts w:eastAsia="Calibri"/>
          <w:bCs/>
        </w:rPr>
        <w:t>a new regulatory and licensing framework</w:t>
      </w:r>
    </w:p>
    <w:p w14:paraId="2F982679">
      <w:pPr>
        <w:numPr>
          <w:ilvl w:val="0"/>
          <w:numId w:val="38"/>
        </w:numPr>
        <w:spacing w:after="160" w:line="480" w:lineRule="auto"/>
        <w:contextualSpacing/>
        <w:jc w:val="both"/>
        <w:rPr>
          <w:rFonts w:eastAsia="Calibri"/>
          <w:bCs/>
        </w:rPr>
      </w:pPr>
      <w:r>
        <w:rPr>
          <w:rFonts w:eastAsia="Calibri"/>
          <w:bCs/>
        </w:rPr>
        <w:t xml:space="preserve">a separate and dedicated fiscal regime for oil and gas </w:t>
      </w:r>
    </w:p>
    <w:p w14:paraId="7B08CAC4">
      <w:pPr>
        <w:numPr>
          <w:ilvl w:val="0"/>
          <w:numId w:val="38"/>
        </w:numPr>
        <w:spacing w:after="160" w:line="480" w:lineRule="auto"/>
        <w:contextualSpacing/>
        <w:jc w:val="both"/>
        <w:rPr>
          <w:rFonts w:eastAsia="Calibri"/>
          <w:bCs/>
        </w:rPr>
      </w:pPr>
      <w:r>
        <w:rPr>
          <w:rFonts w:eastAsia="Calibri"/>
          <w:bCs/>
        </w:rPr>
        <w:t>a new Tax and Royalty system</w:t>
      </w:r>
    </w:p>
    <w:p w14:paraId="1B57C71A">
      <w:pPr>
        <w:numPr>
          <w:ilvl w:val="0"/>
          <w:numId w:val="38"/>
        </w:numPr>
        <w:spacing w:after="160" w:line="480" w:lineRule="auto"/>
        <w:contextualSpacing/>
        <w:jc w:val="both"/>
        <w:rPr>
          <w:rFonts w:eastAsia="Calibri"/>
          <w:bCs/>
        </w:rPr>
      </w:pPr>
      <w:r>
        <w:rPr>
          <w:rFonts w:eastAsia="Calibri"/>
          <w:bCs/>
        </w:rPr>
        <w:t>a new marginal field fiscal and tax regime</w:t>
      </w:r>
    </w:p>
    <w:p w14:paraId="117DFAB4">
      <w:pPr>
        <w:numPr>
          <w:ilvl w:val="0"/>
          <w:numId w:val="38"/>
        </w:numPr>
        <w:spacing w:after="160" w:line="480" w:lineRule="auto"/>
        <w:contextualSpacing/>
        <w:jc w:val="both"/>
        <w:rPr>
          <w:rFonts w:eastAsia="Calibri"/>
          <w:bCs/>
        </w:rPr>
      </w:pPr>
      <w:r>
        <w:rPr>
          <w:rFonts w:eastAsia="Calibri"/>
          <w:bCs/>
        </w:rPr>
        <w:t>a revised tax and dispute resolution framework.</w:t>
      </w:r>
    </w:p>
    <w:p w14:paraId="29077F18">
      <w:pPr>
        <w:spacing w:after="160" w:line="480" w:lineRule="auto"/>
        <w:contextualSpacing/>
        <w:jc w:val="both"/>
        <w:rPr>
          <w:rFonts w:eastAsia="Calibri"/>
          <w:bCs/>
        </w:rPr>
      </w:pPr>
    </w:p>
    <w:p w14:paraId="1FA37BEF">
      <w:pPr>
        <w:shd w:val="clear" w:color="auto" w:fill="FFFFFF"/>
        <w:spacing w:before="100" w:beforeAutospacing="1" w:after="100" w:afterAutospacing="1" w:line="480" w:lineRule="auto"/>
        <w:rPr>
          <w:rFonts w:eastAsia="Times New Roman"/>
          <w:b/>
          <w:bCs/>
          <w:color w:val="212529"/>
          <w:lang w:val="en-GB" w:eastAsia="en-GB"/>
        </w:rPr>
      </w:pPr>
      <w:r>
        <w:rPr>
          <w:rFonts w:eastAsia="Times New Roman"/>
          <w:b/>
          <w:color w:val="212529"/>
          <w:lang w:eastAsia="en-GB"/>
        </w:rPr>
        <w:t xml:space="preserve">9.1 </w:t>
      </w:r>
      <w:r>
        <w:rPr>
          <w:rFonts w:eastAsia="Times New Roman"/>
          <w:b/>
          <w:color w:val="212529"/>
          <w:lang w:eastAsia="en-GB"/>
        </w:rPr>
        <w:tab/>
      </w:r>
      <w:bookmarkStart w:id="30" w:name="_Hlk146489739"/>
      <w:r>
        <w:rPr>
          <w:rFonts w:eastAsia="Times New Roman"/>
          <w:b/>
          <w:color w:val="212529"/>
          <w:lang w:eastAsia="en-GB"/>
        </w:rPr>
        <w:t xml:space="preserve">THE </w:t>
      </w:r>
      <w:r>
        <w:rPr>
          <w:rFonts w:eastAsia="Times New Roman"/>
          <w:b/>
          <w:bCs/>
          <w:color w:val="212529"/>
          <w:lang w:val="en-GB" w:eastAsia="en-GB"/>
        </w:rPr>
        <w:t xml:space="preserve">NEW LICENCES AND REGULATORY REGIME UNDER THE PIA </w:t>
      </w:r>
    </w:p>
    <w:bookmarkEnd w:id="30"/>
    <w:p w14:paraId="5DD64CD9">
      <w:pPr>
        <w:shd w:val="clear" w:color="auto" w:fill="FFFFFF"/>
        <w:spacing w:before="100" w:beforeAutospacing="1" w:after="100" w:afterAutospacing="1" w:line="480" w:lineRule="auto"/>
        <w:jc w:val="both"/>
        <w:rPr>
          <w:rFonts w:eastAsia="Times New Roman"/>
          <w:bCs/>
          <w:color w:val="212529"/>
          <w:lang w:eastAsia="en-GB"/>
        </w:rPr>
      </w:pPr>
      <w:r>
        <w:rPr>
          <w:rFonts w:eastAsia="Times New Roman"/>
          <w:bCs/>
          <w:color w:val="212529"/>
          <w:lang w:val="en-GB" w:eastAsia="en-GB"/>
        </w:rPr>
        <w:t>In line with the 1999 Nigeria Federal Constitution, t</w:t>
      </w:r>
      <w:r>
        <w:rPr>
          <w:rFonts w:eastAsia="Times New Roman"/>
          <w:bCs/>
          <w:color w:val="212529"/>
          <w:lang w:eastAsia="en-GB"/>
        </w:rPr>
        <w:t>he PIA</w:t>
      </w:r>
      <w:r>
        <w:rPr>
          <w:rStyle w:val="23"/>
          <w:rFonts w:eastAsia="Times New Roman"/>
          <w:bCs/>
          <w:color w:val="212529"/>
          <w:lang w:eastAsia="en-GB"/>
        </w:rPr>
        <w:footnoteReference w:id="625"/>
      </w:r>
      <w:r>
        <w:rPr>
          <w:rFonts w:eastAsia="Times New Roman"/>
          <w:bCs/>
          <w:color w:val="212529"/>
          <w:lang w:eastAsia="en-GB"/>
        </w:rPr>
        <w:t xml:space="preserve"> confers the exclusive ownership and control of mineral and natural resources, including oil and gas</w:t>
      </w:r>
      <w:r>
        <w:rPr>
          <w:rStyle w:val="23"/>
          <w:rFonts w:eastAsia="Times New Roman"/>
          <w:bCs/>
          <w:color w:val="212529"/>
          <w:lang w:eastAsia="en-GB"/>
        </w:rPr>
        <w:footnoteReference w:id="626"/>
      </w:r>
      <w:r>
        <w:rPr>
          <w:rFonts w:eastAsia="Times New Roman"/>
          <w:bCs/>
          <w:color w:val="212529"/>
          <w:lang w:eastAsia="en-GB"/>
        </w:rPr>
        <w:t xml:space="preserve"> on the FG. The FG is also granted the exclusive fiscal</w:t>
      </w:r>
      <w:r>
        <w:rPr>
          <w:rStyle w:val="23"/>
          <w:rFonts w:eastAsia="Times New Roman"/>
          <w:bCs/>
          <w:color w:val="212529"/>
          <w:lang w:eastAsia="en-GB"/>
        </w:rPr>
        <w:footnoteReference w:id="627"/>
      </w:r>
      <w:r>
        <w:rPr>
          <w:rFonts w:eastAsia="Times New Roman"/>
          <w:bCs/>
          <w:color w:val="212529"/>
          <w:lang w:eastAsia="en-GB"/>
        </w:rPr>
        <w:t xml:space="preserve"> and income taxing powers under the 1999 Constitution</w:t>
      </w:r>
      <w:r>
        <w:rPr>
          <w:rStyle w:val="23"/>
          <w:rFonts w:eastAsia="Times New Roman"/>
          <w:bCs/>
          <w:color w:val="212529"/>
          <w:lang w:eastAsia="en-GB"/>
        </w:rPr>
        <w:footnoteReference w:id="628"/>
      </w:r>
      <w:r>
        <w:rPr>
          <w:rFonts w:eastAsia="Times New Roman"/>
          <w:bCs/>
          <w:color w:val="212529"/>
          <w:lang w:eastAsia="en-GB"/>
        </w:rPr>
        <w:t xml:space="preserve">. The FG has ownership, control and authority to regulate petroleum and natural resources operations. The FG also has the exclusive right to tax incomes, profits and capital gains and this has created a vertical imbalance between the FG and the federating States and local councils. As discussed in chapter 3 of this thesis, whilst the FG has sole responsibility to legislate matters in the Exclusive legislative lists, under the Constitution, the federating States are constitutionally entitled to legislate matters on the Concurrent list, along with the FGN, as well as on matters in the residual list of the Constitution. The exercise of these legislative powers has sometimes resulted in ambiguities in the taxation, governance and regulatory regime, and the administration of petroleum operations. The governance, licensing and regulatory framework under the PA and in the PPTA regime as amended by the PSC Act, are some of the issues requiring clarity </w:t>
      </w:r>
      <w:r>
        <w:rPr>
          <w:rFonts w:eastAsia="Times New Roman"/>
          <w:bCs/>
          <w:color w:val="000000"/>
          <w:lang w:eastAsia="en-GB"/>
        </w:rPr>
        <w:t>and certainty</w:t>
      </w:r>
      <w:r>
        <w:rPr>
          <w:color w:val="FF0000"/>
        </w:rPr>
        <w:t xml:space="preserve"> </w:t>
      </w:r>
      <w:r>
        <w:rPr>
          <w:rFonts w:eastAsia="Times New Roman"/>
          <w:bCs/>
          <w:color w:val="212529"/>
          <w:lang w:eastAsia="en-GB"/>
        </w:rPr>
        <w:t>that the PIA sets out to address.</w:t>
      </w:r>
    </w:p>
    <w:p w14:paraId="5220BA0C">
      <w:pPr>
        <w:shd w:val="clear" w:color="auto" w:fill="FFFFFF"/>
        <w:spacing w:before="100" w:beforeAutospacing="1" w:after="100" w:afterAutospacing="1" w:line="480" w:lineRule="auto"/>
        <w:jc w:val="both"/>
        <w:rPr>
          <w:rFonts w:eastAsia="Times New Roman"/>
          <w:bCs/>
          <w:color w:val="212529"/>
          <w:lang w:val="en-GB" w:eastAsia="en-GB"/>
        </w:rPr>
      </w:pPr>
      <w:r>
        <w:rPr>
          <w:rFonts w:eastAsia="Times New Roman"/>
          <w:bCs/>
          <w:color w:val="212529"/>
          <w:lang w:val="en-GB" w:eastAsia="en-GB"/>
        </w:rPr>
        <w:t xml:space="preserve">The PIA has introduced a new regulatory and licensing framework which replaces the </w:t>
      </w:r>
      <w:r>
        <w:rPr>
          <w:rFonts w:eastAsia="Times New Roman"/>
          <w:bCs/>
          <w:color w:val="000000"/>
          <w:lang w:val="en-GB" w:eastAsia="en-GB"/>
        </w:rPr>
        <w:t>licencing</w:t>
      </w:r>
      <w:r>
        <w:rPr>
          <w:color w:val="000000"/>
          <w:lang w:val="en-GB"/>
        </w:rPr>
        <w:t xml:space="preserve"> </w:t>
      </w:r>
      <w:r>
        <w:rPr>
          <w:rFonts w:eastAsia="Times New Roman"/>
          <w:bCs/>
          <w:color w:val="000000"/>
          <w:lang w:val="en-GB" w:eastAsia="en-GB"/>
        </w:rPr>
        <w:t>and</w:t>
      </w:r>
      <w:r>
        <w:rPr>
          <w:rFonts w:eastAsia="Times New Roman"/>
          <w:bCs/>
          <w:color w:val="FF0000"/>
          <w:lang w:val="en-GB" w:eastAsia="en-GB"/>
        </w:rPr>
        <w:t xml:space="preserve"> </w:t>
      </w:r>
      <w:r>
        <w:rPr>
          <w:rFonts w:eastAsia="Times New Roman"/>
          <w:bCs/>
          <w:color w:val="212529"/>
          <w:lang w:val="en-GB" w:eastAsia="en-GB"/>
        </w:rPr>
        <w:t xml:space="preserve">regulatory framework under the PA and Regulations. The PIA regulatory regime deals with oil and gas as well as condensates, unlike the focus on oil alone under the PPTA and PA regime. Under the PA, some of the terms and the role of the agencies responsible for the licensing arrangement were ambiguous and not fit for purpose. Also, the process of renewals or change was always long drawn, giving too much allowance for administrative and ministerial interference. The regulatory framework was rather ill-defined under the PA and resided with the Department of Petroleum Resources (DPR) and the NNPC. The NNPC also doubled as the national oil company.  </w:t>
      </w:r>
    </w:p>
    <w:p w14:paraId="4C8E3940">
      <w:pPr>
        <w:shd w:val="clear" w:color="auto" w:fill="FFFFFF"/>
        <w:spacing w:before="100" w:beforeAutospacing="1" w:after="100" w:afterAutospacing="1" w:line="480" w:lineRule="auto"/>
        <w:jc w:val="both"/>
        <w:rPr>
          <w:rFonts w:eastAsia="Times New Roman"/>
          <w:bCs/>
          <w:color w:val="212529"/>
          <w:lang w:eastAsia="en-GB"/>
        </w:rPr>
      </w:pPr>
      <w:r>
        <w:rPr>
          <w:rFonts w:eastAsia="Times New Roman"/>
          <w:bCs/>
          <w:color w:val="212529"/>
          <w:lang w:eastAsia="en-GB"/>
        </w:rPr>
        <w:t xml:space="preserve">The new regulatory framework consists of the </w:t>
      </w:r>
      <w:r>
        <w:rPr>
          <w:rFonts w:eastAsia="Times New Roman"/>
          <w:bCs/>
          <w:color w:val="212529"/>
          <w:lang w:val="en-GB" w:eastAsia="en-GB"/>
        </w:rPr>
        <w:t xml:space="preserve">Nigerian Upstream Petroleum Regulatory Commission (NUPRC or the </w:t>
      </w:r>
      <w:r>
        <w:rPr>
          <w:rFonts w:eastAsia="Times New Roman"/>
          <w:bCs/>
          <w:color w:val="212529"/>
          <w:lang w:eastAsia="en-GB"/>
        </w:rPr>
        <w:t>Commission) for upstream petroleum operations,</w:t>
      </w:r>
      <w:r>
        <w:rPr>
          <w:rFonts w:eastAsia="Times New Roman"/>
          <w:bCs/>
          <w:color w:val="212529"/>
          <w:lang w:val="en-GB" w:eastAsia="en-GB"/>
        </w:rPr>
        <w:t xml:space="preserve"> and the Nigerian Midstream and Downstream Petroleum Regulatory Authority (NMDPRA) for midstream and downstream petroleum operations. These two agencies are responsible for the technical and commercial regulation of petroleum operations in their respective sectors. The agencies have the power to acquire, hold, and dispose of property, as well as sue and be sued in their own name. </w:t>
      </w:r>
      <w:r>
        <w:rPr>
          <w:rFonts w:eastAsia="Times New Roman"/>
          <w:bCs/>
          <w:color w:val="212529"/>
          <w:lang w:eastAsia="en-GB"/>
        </w:rPr>
        <w:t>Arbitration is however the preferred method of dispute resolution in the petroleum industry</w:t>
      </w:r>
      <w:r>
        <w:rPr>
          <w:rFonts w:eastAsia="Times New Roman"/>
          <w:bCs/>
          <w:color w:val="212529"/>
          <w:vertAlign w:val="superscript"/>
          <w:lang w:val="en-GB" w:eastAsia="en-GB"/>
        </w:rPr>
        <w:footnoteReference w:id="629"/>
      </w:r>
      <w:r>
        <w:rPr>
          <w:rFonts w:eastAsia="Times New Roman"/>
          <w:bCs/>
          <w:color w:val="212529"/>
          <w:lang w:val="en-GB" w:eastAsia="en-GB"/>
        </w:rPr>
        <w:t xml:space="preserve">. </w:t>
      </w:r>
      <w:r>
        <w:rPr>
          <w:rFonts w:eastAsia="Times New Roman"/>
          <w:bCs/>
          <w:color w:val="212529"/>
          <w:lang w:eastAsia="en-GB"/>
        </w:rPr>
        <w:t>The technical and commercial regulation of upstream petroleum operations were originally carried out by the DPR and NNPC. With the PIA, the DPR has ceased to exist, while NNPC has been incorporated as a commercial limited liability company (NNPC Ltd). The Commission is responsible for the issuance of licenses and leases for carrying out petroleum operations</w:t>
      </w:r>
      <w:r>
        <w:rPr>
          <w:rFonts w:eastAsia="Times New Roman"/>
          <w:bCs/>
          <w:color w:val="212529"/>
          <w:lang w:val="en-GB" w:eastAsia="en-GB"/>
        </w:rPr>
        <w:t>.</w:t>
      </w:r>
      <w:r>
        <w:rPr>
          <w:bCs/>
        </w:rPr>
        <w:t xml:space="preserve"> There are three types of licences which replace the licensing framework which existed under the PA. The new nomenclature of the licences reflects the focus on the entire petroleum resource supply chain and not just oil as was the case with the PA. There are three types of licenses, as was the case under the PA. The first is the </w:t>
      </w:r>
      <w:r>
        <w:rPr>
          <w:rFonts w:eastAsia="Times New Roman"/>
          <w:bCs/>
          <w:color w:val="212529"/>
          <w:lang w:eastAsia="en-GB"/>
        </w:rPr>
        <w:t>Petroleum Exploration License (PEL) which replaces the Oil Exploration License (OEL). The PEL gives the licensee the exploratory rights on a non-exclusive basis for a single renewable 3-year term. The second is the Petroleum Prospecting License (PPL) which replaces the Oil Prospecting License (OPL). The PPL gives licensees the exclusive right to drill exploration and appraisal wells, do corresponding test production and a non-exclusive right to carry out petroleum exploration for a maximum of 6 years for onshore and shallow water acreages and 10 years for deep offshore and frontier acreages. The third is the Petroleum Mining Lease (PML), which replaces the Oil Mining Lease (OML). This is granted to qualified applicants to win and dispose of crude oil, condensates, and natural gas for a maximum of 20 years. The administration of the licenses (including approvals and revocation) will be handled by the Commission and no longer solely under the purview of the Minister as is the case under the PA.</w:t>
      </w:r>
    </w:p>
    <w:p w14:paraId="073717DB">
      <w:pPr>
        <w:spacing w:before="100" w:beforeAutospacing="1" w:after="100" w:afterAutospacing="1" w:line="480" w:lineRule="auto"/>
        <w:jc w:val="both"/>
        <w:rPr>
          <w:rFonts w:eastAsia="Times New Roman"/>
          <w:bCs/>
          <w:color w:val="212529"/>
          <w:lang w:eastAsia="en-GB"/>
        </w:rPr>
      </w:pPr>
      <w:r>
        <w:rPr>
          <w:rFonts w:eastAsia="Times New Roman"/>
          <w:bCs/>
          <w:color w:val="212529"/>
          <w:lang w:val="en-GB" w:eastAsia="en-GB"/>
        </w:rPr>
        <w:t xml:space="preserve">The new regulatory and licensing framework for petroleum operations brings more clarity and stability to petroleum prospecting and mining leases as the terms and the process of renewal are clearly articulated. Model licenses are to be made part of the petroleum contracts. </w:t>
      </w:r>
      <w:r>
        <w:rPr>
          <w:rFonts w:eastAsia="Times New Roman"/>
          <w:bCs/>
          <w:color w:val="212529"/>
          <w:lang w:eastAsia="en-GB"/>
        </w:rPr>
        <w:t xml:space="preserve">To transit into the new licensing regime, the PIA requires holders of OPLs and OMLs granted under the PA to opt into the new regime by converting their respective OPLs and OMLs into appropriate licenses or leases to be issued under the PIA. The two key considerations for upstream operators converting the licenses are the ﬁscal framework and the downsizing of the license or lease acreages within their portfolio. An application for conversion is required to be submitted under the Regulations made pursuant to sections 92,93, 94 of the </w:t>
      </w:r>
      <w:r>
        <w:rPr>
          <w:rFonts w:eastAsia="Times New Roman"/>
          <w:bCs/>
          <w:color w:val="000000"/>
          <w:lang w:eastAsia="en-GB"/>
        </w:rPr>
        <w:t>PIA</w:t>
      </w:r>
      <w:r>
        <w:rPr>
          <w:rFonts w:eastAsia="Times New Roman"/>
          <w:bCs/>
          <w:color w:val="212529"/>
          <w:lang w:eastAsia="en-GB"/>
        </w:rPr>
        <w:t xml:space="preserve"> </w:t>
      </w:r>
      <w:r>
        <w:rPr>
          <w:rStyle w:val="23"/>
          <w:rFonts w:eastAsia="Times New Roman"/>
          <w:bCs/>
          <w:color w:val="212529"/>
          <w:lang w:eastAsia="en-GB"/>
        </w:rPr>
        <w:footnoteReference w:id="630"/>
      </w:r>
      <w:r>
        <w:rPr>
          <w:rFonts w:eastAsia="Times New Roman"/>
          <w:bCs/>
          <w:color w:val="212529"/>
          <w:lang w:eastAsia="en-GB"/>
        </w:rPr>
        <w:t>, and for the renewal of Oil Mining Leases, made pursuant to section 303 (1) of the PIA. These Regulations shall not apply to renewals of petroleum mining leases granted pursuant to the section 86(6) of the PIA and the Acreage Management and Drilling and Production Regulations, 2022.  For application for conversion made pursuant to Sections 92, 93 and section 94 or s.303(1) of the PIA respectively, the Commission shall within 30 days and 90 days make a recommendation to the Minister to grant the applicable license or lease after determining that the application has merit and has met the requirements for conversion</w:t>
      </w:r>
      <w:r>
        <w:rPr>
          <w:rStyle w:val="23"/>
          <w:rFonts w:eastAsia="Times New Roman"/>
          <w:bCs/>
          <w:color w:val="212529"/>
          <w:lang w:eastAsia="en-GB"/>
        </w:rPr>
        <w:footnoteReference w:id="631"/>
      </w:r>
      <w:r>
        <w:rPr>
          <w:rFonts w:eastAsia="Times New Roman"/>
          <w:bCs/>
          <w:color w:val="212529"/>
          <w:lang w:eastAsia="en-GB"/>
        </w:rPr>
        <w:t>.</w:t>
      </w:r>
      <w:r>
        <w:t xml:space="preserve"> </w:t>
      </w:r>
      <w:r>
        <w:rPr>
          <w:rFonts w:eastAsia="Times New Roman"/>
          <w:bCs/>
          <w:color w:val="212529"/>
          <w:lang w:eastAsia="en-GB"/>
        </w:rPr>
        <w:t>The Conversion to the new regime will terminate all unconcluded court and arbitration cases relating to OPL/OMLs, guarantees and stabilization clauses provided by NNPC including capital allowance on investments enjoyed for gas production. Upon conversion, the OML holders will be required to relinquish up to 60% of their existing acreage. The conversions shall be concluded or be effective at the earlier expiry dates of the current licenses or 18 months from the effective date of the Act which is February 2023. Where OPL or OML holders choose not to convert to the PIA regime, the current regime will continue to apply to them until the expiration of the licenses. Upon expiration, the new regime will apply to the renewed licenses. Also, all existing and producing Marginal Fields are to be granted separate PMLs. All Marginal Fields (declared prior to 1 January 2021) that are not yet producing or in development are to be converted to PPLs and will benefit from the terms for new acreages under the Act.</w:t>
      </w:r>
    </w:p>
    <w:p w14:paraId="679AEA99">
      <w:pPr>
        <w:spacing w:before="100" w:beforeAutospacing="1" w:after="100" w:afterAutospacing="1" w:line="480" w:lineRule="auto"/>
        <w:jc w:val="both"/>
        <w:rPr>
          <w:rFonts w:eastAsia="Times New Roman"/>
          <w:bCs/>
          <w:color w:val="212529"/>
          <w:lang w:eastAsia="en-GB"/>
        </w:rPr>
      </w:pPr>
      <w:r>
        <w:rPr>
          <w:rFonts w:eastAsia="Times New Roman"/>
          <w:bCs/>
          <w:color w:val="212529"/>
          <w:lang w:eastAsia="en-GB"/>
        </w:rPr>
        <w:t xml:space="preserve">Upstream petroleum companies would therefore have to evaluate the best course of action to take in respect of each license or lease they currently operate based on the inherent peculiarities of the geological formations within those assets and the best value that can be derived from exploiting the assets, </w:t>
      </w:r>
      <w:r>
        <w:rPr>
          <w:rFonts w:eastAsia="Times New Roman"/>
          <w:bCs/>
          <w:color w:val="212529"/>
          <w:lang w:val="en-GB" w:eastAsia="en-GB"/>
        </w:rPr>
        <w:t>as the holders of licences/leases may elect to remain under the existing regime rather than convert to the fiscal regime under the PIA</w:t>
      </w:r>
      <w:r>
        <w:rPr>
          <w:rFonts w:eastAsia="Times New Roman"/>
          <w:bCs/>
          <w:color w:val="212529"/>
          <w:vertAlign w:val="superscript"/>
          <w:lang w:val="en-GB" w:eastAsia="en-GB"/>
        </w:rPr>
        <w:footnoteReference w:id="632"/>
      </w:r>
      <w:r>
        <w:rPr>
          <w:rFonts w:eastAsia="Times New Roman"/>
          <w:bCs/>
          <w:color w:val="212529"/>
          <w:lang w:val="en-GB" w:eastAsia="en-GB"/>
        </w:rPr>
        <w:t>. Companies that voluntarily convert</w:t>
      </w:r>
      <w:r>
        <w:rPr>
          <w:rFonts w:eastAsia="Times New Roman"/>
          <w:bCs/>
          <w:color w:val="212529"/>
          <w:lang w:eastAsia="en-GB"/>
        </w:rPr>
        <w:t xml:space="preserve"> shall benefit from the fiscal provisions under the PIA</w:t>
      </w:r>
      <w:r>
        <w:rPr>
          <w:rFonts w:eastAsia="Times New Roman"/>
          <w:bCs/>
          <w:color w:val="212529"/>
          <w:vertAlign w:val="superscript"/>
          <w:lang w:eastAsia="en-GB"/>
        </w:rPr>
        <w:footnoteReference w:id="633"/>
      </w:r>
      <w:r>
        <w:rPr>
          <w:rFonts w:eastAsia="Times New Roman"/>
          <w:bCs/>
          <w:color w:val="212529"/>
          <w:lang w:eastAsia="en-GB"/>
        </w:rPr>
        <w:t>. It</w:t>
      </w:r>
      <w:r>
        <w:rPr>
          <w:rFonts w:eastAsia="Times New Roman"/>
          <w:bCs/>
          <w:color w:val="212529"/>
          <w:lang w:val="en-GB" w:eastAsia="en-GB"/>
        </w:rPr>
        <w:t xml:space="preserve"> is, however, not clear if gas fiscal incentives </w:t>
      </w:r>
      <w:r>
        <w:rPr>
          <w:rFonts w:eastAsia="Times New Roman"/>
          <w:bCs/>
          <w:color w:val="212529"/>
          <w:lang w:eastAsia="en-GB"/>
        </w:rPr>
        <w:t>granted under sections 11 and 12 of the PPTA for the utilisation of associated and non-associated gas</w:t>
      </w:r>
      <w:r>
        <w:rPr>
          <w:color w:val="212529"/>
          <w:vertAlign w:val="superscript"/>
          <w:lang w:val="en-GB"/>
        </w:rPr>
        <w:t xml:space="preserve"> </w:t>
      </w:r>
      <w:r>
        <w:rPr>
          <w:rFonts w:eastAsia="Times New Roman"/>
          <w:bCs/>
          <w:color w:val="212529"/>
          <w:lang w:val="en-GB" w:eastAsia="en-GB"/>
        </w:rPr>
        <w:t xml:space="preserve">will continue or cease to apply to the new licenses granted under the PIA.  It is important to note that </w:t>
      </w:r>
      <w:r>
        <w:rPr>
          <w:rFonts w:eastAsia="Times New Roman"/>
          <w:bCs/>
          <w:color w:val="212529"/>
          <w:lang w:eastAsia="en-GB"/>
        </w:rPr>
        <w:t>OPLs or OMLs that fail to convert at the expiration of the contract period shall be relinquished or renewed on the new fiscal terms under the PIA. Furthermore, new entrants arising from bid rounds carried out after the passage and coming into force of the PIA shall automatically be subject to the provision of the PIA.</w:t>
      </w:r>
      <w:r>
        <w:rPr>
          <w:rFonts w:eastAsia="Times New Roman"/>
          <w:bCs/>
          <w:color w:val="212529"/>
          <w:vertAlign w:val="superscript"/>
          <w:lang w:eastAsia="en-GB"/>
        </w:rPr>
        <w:footnoteReference w:id="634"/>
      </w:r>
      <w:r>
        <w:rPr>
          <w:rFonts w:eastAsia="Times New Roman"/>
          <w:bCs/>
          <w:color w:val="212529"/>
          <w:lang w:eastAsia="en-GB"/>
        </w:rPr>
        <w:t>.</w:t>
      </w:r>
    </w:p>
    <w:p w14:paraId="3D26D8B5">
      <w:pPr>
        <w:shd w:val="clear" w:color="auto" w:fill="FFFFFF"/>
        <w:spacing w:before="100" w:beforeAutospacing="1" w:after="100" w:afterAutospacing="1" w:line="480" w:lineRule="auto"/>
        <w:jc w:val="both"/>
        <w:rPr>
          <w:rFonts w:eastAsia="Times New Roman"/>
          <w:bCs/>
          <w:color w:val="212529"/>
          <w:lang w:eastAsia="en-GB"/>
        </w:rPr>
      </w:pPr>
      <w:r>
        <w:rPr>
          <w:rFonts w:eastAsia="Times New Roman"/>
          <w:bCs/>
          <w:color w:val="212529"/>
          <w:lang w:eastAsia="en-GB"/>
        </w:rPr>
        <w:t>The PIA better defines the powers of the Minister for Petroleum</w:t>
      </w:r>
      <w:r>
        <w:rPr>
          <w:rFonts w:eastAsia="Times New Roman"/>
          <w:bCs/>
          <w:color w:val="212529"/>
          <w:vertAlign w:val="superscript"/>
          <w:lang w:eastAsia="en-GB"/>
        </w:rPr>
        <w:footnoteReference w:id="635"/>
      </w:r>
      <w:r>
        <w:rPr>
          <w:rFonts w:eastAsia="Times New Roman"/>
          <w:bCs/>
          <w:color w:val="212529"/>
          <w:lang w:eastAsia="en-GB"/>
        </w:rPr>
        <w:t xml:space="preserve"> Resources (MPR) and restricts it to general supervisory powers over the industry, and the right to order cutbacks in crude oil or condensate production in the context of international oil pricing agreements supported by Nigeria. This hopefully will enhance the clarity and the times lines for processes, whilst curtailing the tendency for abuse of ministerial powers with respect to award licences, etc., as was noticeable under the PA.</w:t>
      </w:r>
    </w:p>
    <w:p w14:paraId="16546B87">
      <w:pPr>
        <w:shd w:val="clear" w:color="auto" w:fill="FFFFFF"/>
        <w:spacing w:before="100" w:beforeAutospacing="1" w:after="100" w:afterAutospacing="1"/>
        <w:rPr>
          <w:rFonts w:eastAsia="Times New Roman"/>
          <w:b/>
          <w:color w:val="212529"/>
          <w:lang w:eastAsia="en-GB"/>
        </w:rPr>
      </w:pPr>
      <w:r>
        <w:rPr>
          <w:rFonts w:eastAsia="Times New Roman"/>
          <w:b/>
          <w:color w:val="212529"/>
          <w:lang w:eastAsia="en-GB"/>
        </w:rPr>
        <w:t>9.2</w:t>
      </w:r>
      <w:r>
        <w:rPr>
          <w:rFonts w:eastAsia="Times New Roman"/>
          <w:b/>
          <w:color w:val="212529"/>
          <w:lang w:eastAsia="en-GB"/>
        </w:rPr>
        <w:tab/>
      </w:r>
      <w:bookmarkStart w:id="31" w:name="_Hlk146489918"/>
      <w:r>
        <w:rPr>
          <w:rFonts w:eastAsia="Times New Roman"/>
          <w:b/>
          <w:color w:val="212529"/>
          <w:lang w:eastAsia="en-GB"/>
        </w:rPr>
        <w:t>THE NEW OIL AND GAS FISCAL REGIME UNDER THE PIA</w:t>
      </w:r>
    </w:p>
    <w:bookmarkEnd w:id="31"/>
    <w:p w14:paraId="3FADD05E">
      <w:pPr>
        <w:spacing w:after="160" w:line="480" w:lineRule="auto"/>
        <w:jc w:val="both"/>
        <w:rPr>
          <w:rFonts w:eastAsia="Calibri"/>
          <w:bCs/>
          <w:lang w:val="en-GB"/>
        </w:rPr>
      </w:pPr>
      <w:r>
        <w:rPr>
          <w:rFonts w:eastAsia="Calibri"/>
          <w:bCs/>
          <w:lang w:val="en-GB"/>
        </w:rPr>
        <w:t xml:space="preserve">We have in chapters 3 &amp; 4 of this thesis examined the terms of the fiscal regimes under the PPTA as amended by the PSC Act, the uncertainties in terms, as well as the interaction of the PPTA/PSC regimes with the CITA and the gas fiscal incentives granted to encourage gas development. In addition to the issues and uncertainties identified and arising from the interaction of the multiple fiscal regimes affecting upstream petroleum operations under the PPTA, and the focus on oil as the basis for PPT, there </w:t>
      </w:r>
      <w:r>
        <w:rPr>
          <w:rFonts w:eastAsia="Calibri"/>
          <w:bCs/>
          <w:color w:val="000000"/>
          <w:lang w:val="en-GB"/>
        </w:rPr>
        <w:t>are</w:t>
      </w:r>
      <w:r>
        <w:rPr>
          <w:rFonts w:eastAsia="Calibri"/>
          <w:bCs/>
          <w:lang w:val="en-GB"/>
        </w:rPr>
        <w:t xml:space="preserve"> issues of ascertainment of revenues, profits subject to tax, pricing, nature of allowances and the treatment of cost, including decommissioning and abandonment costs. There are also issues of poor definition of terms and concepts, as well as the incidence of various taxes and charges affecting upstream petroleum operations, as well as the challenge of competent drafting of substantive provisions of fiscal and tax legislation affecting upstream petroleum operations. </w:t>
      </w:r>
    </w:p>
    <w:p w14:paraId="0A1F7414">
      <w:pPr>
        <w:spacing w:after="160" w:line="480" w:lineRule="auto"/>
        <w:jc w:val="both"/>
        <w:rPr>
          <w:rFonts w:eastAsia="Calibri"/>
          <w:bCs/>
          <w:lang w:val="en-GB"/>
        </w:rPr>
      </w:pPr>
      <w:r>
        <w:rPr>
          <w:rFonts w:eastAsia="Calibri"/>
          <w:bCs/>
          <w:lang w:val="en-GB"/>
        </w:rPr>
        <w:t>The draft</w:t>
      </w:r>
      <w:r>
        <w:rPr>
          <w:lang w:val="en-GB"/>
        </w:rPr>
        <w:t xml:space="preserve"> </w:t>
      </w:r>
      <w:r>
        <w:rPr>
          <w:rFonts w:eastAsia="Calibri"/>
          <w:bCs/>
          <w:color w:val="000000"/>
          <w:lang w:val="en-GB"/>
        </w:rPr>
        <w:t xml:space="preserve">PIB </w:t>
      </w:r>
      <w:r>
        <w:rPr>
          <w:rFonts w:eastAsia="Calibri"/>
          <w:bCs/>
          <w:lang w:val="en-GB"/>
        </w:rPr>
        <w:t>submitted to the NA in 2008 by the executive and the 2016</w:t>
      </w:r>
      <w:r>
        <w:rPr>
          <w:color w:val="000000"/>
          <w:lang w:val="en-GB"/>
        </w:rPr>
        <w:t>/</w:t>
      </w:r>
      <w:r>
        <w:rPr>
          <w:rFonts w:eastAsia="Calibri"/>
          <w:bCs/>
          <w:color w:val="000000"/>
          <w:lang w:val="en-GB"/>
        </w:rPr>
        <w:t xml:space="preserve">2017 Nigeria Oil and Gas Policy documents and </w:t>
      </w:r>
      <w:r>
        <w:rPr>
          <w:rFonts w:eastAsia="Calibri"/>
          <w:bCs/>
          <w:lang w:val="en-GB"/>
        </w:rPr>
        <w:t xml:space="preserve">the Petroleum Fiscal policy review carried out by the MPR, NNPC and the MOF, sought to extensively address many of these issues and reform the fiscal regime, legislation and regulations affecting the entire petroleum industry. After several amendments and the unbundling of the PIB into separate parts dealing with fiscal, commercial, and governance aspect of the petroleum regime, the PIA was enacted in 2021. A principal element of the PIA is the Petroleum Industry Fiscal Framework (PIFF). The fiscal framework clearly separated the upstream, the mid and downstream petroleum fiscal and taxation systems, as well as articulated the separate basis of gas taxation which was a major factor creating distortions, gaps and uncertainty in upstream petroleum taxation. </w:t>
      </w:r>
    </w:p>
    <w:p w14:paraId="73B4D324">
      <w:pPr>
        <w:spacing w:after="160" w:line="480" w:lineRule="auto"/>
        <w:jc w:val="both"/>
        <w:rPr>
          <w:rFonts w:eastAsia="Calibri"/>
          <w:bCs/>
          <w:lang w:val="en-GB"/>
        </w:rPr>
      </w:pPr>
      <w:r>
        <w:rPr>
          <w:rFonts w:eastAsia="Calibri"/>
          <w:bCs/>
          <w:lang w:val="en-GB"/>
        </w:rPr>
        <w:t>The PIFF seeks to establish a progressive fiscal framework that encourages investment in the different terrains and assets, whilst balancing rewards with risk, and thereby enhancing revenues to the FG. It provides a forward-looking fiscal framework</w:t>
      </w:r>
      <w:r>
        <w:rPr>
          <w:rFonts w:eastAsia="Calibri"/>
          <w:bCs/>
          <w:vertAlign w:val="superscript"/>
          <w:lang w:val="en-GB"/>
        </w:rPr>
        <w:footnoteReference w:id="636"/>
      </w:r>
      <w:r>
        <w:rPr>
          <w:rFonts w:eastAsia="Calibri"/>
          <w:bCs/>
          <w:lang w:val="en-GB"/>
        </w:rPr>
        <w:t xml:space="preserve"> that is based on core principles of clarity, dynamism, and fiscal rules of general application. The PIA also has as a priority the simplification of the administration of petroleum taxation for upstream, mid, and downstream petroleum operations. The promotion of equity and transparency in the petroleum industry fiscal regime was therefore paramount. Whether these objectives are appropriately reflected in the legislative terms and language of the PIA is something that we address in our analysis of the provisions of the PIA.</w:t>
      </w:r>
    </w:p>
    <w:p w14:paraId="7B150EE6">
      <w:pPr>
        <w:spacing w:after="160" w:line="480" w:lineRule="auto"/>
        <w:jc w:val="both"/>
        <w:rPr>
          <w:rFonts w:eastAsia="Calibri"/>
          <w:bCs/>
          <w:lang w:val="en-GB"/>
        </w:rPr>
      </w:pPr>
      <w:r>
        <w:rPr>
          <w:rFonts w:eastAsia="Calibri"/>
          <w:bCs/>
          <w:lang w:val="en-GB"/>
        </w:rPr>
        <w:t>T</w:t>
      </w:r>
      <w:r>
        <w:rPr>
          <w:rFonts w:eastAsia="Calibri"/>
          <w:bCs/>
        </w:rPr>
        <w:t>he PIA fiscal framework</w:t>
      </w:r>
      <w:r>
        <w:rPr>
          <w:rFonts w:eastAsia="Calibri"/>
          <w:bCs/>
          <w:vertAlign w:val="superscript"/>
          <w:lang w:val="en-GB"/>
        </w:rPr>
        <w:footnoteReference w:id="637"/>
      </w:r>
      <w:r>
        <w:rPr>
          <w:rFonts w:eastAsia="Calibri"/>
          <w:bCs/>
        </w:rPr>
        <w:t xml:space="preserve"> is a composite of trade-offs across different objectives, i.e., early revenues versus investment efficiency, progressivity versus competitiveness, and tax incentives that are intended to drive a critical mass of investments.  With the introduction of a Hydrocarbon Tax (HT) and Company Income Tax (CITA) to upstream petroleum operations, the </w:t>
      </w:r>
      <w:r>
        <w:rPr>
          <w:rFonts w:eastAsia="Calibri"/>
          <w:bCs/>
          <w:lang w:val="en-GB"/>
        </w:rPr>
        <w:t xml:space="preserve">challenge for the PIA is how this will establish a fiscally neutral and predictable regime, which addresses distortions and ambiguities in revenue valuation, pricing, allowances, and cost treatment noticed under the PPTA, without creating new ones in the legislative and compliance framework. </w:t>
      </w:r>
    </w:p>
    <w:p w14:paraId="71E99373">
      <w:pPr>
        <w:spacing w:after="160" w:line="480" w:lineRule="auto"/>
        <w:jc w:val="both"/>
        <w:rPr>
          <w:rFonts w:eastAsia="Calibri"/>
          <w:bCs/>
          <w:lang w:val="en-GB"/>
        </w:rPr>
      </w:pPr>
      <w:r>
        <w:rPr>
          <w:rFonts w:eastAsia="Calibri"/>
          <w:bCs/>
          <w:lang w:val="en-GB"/>
        </w:rPr>
        <w:t xml:space="preserve">With respect to the types of hydrocarbons to be exploited, the PIA introduces six (6) key guiding principles for the taxation of oil and gas produced from different terrains. These are </w:t>
      </w:r>
      <w:r>
        <w:rPr>
          <w:rFonts w:eastAsia="Calibri"/>
          <w:bCs/>
        </w:rPr>
        <w:t xml:space="preserve">right pricing of crude oil and gas, and the products, the sustainability of the resources, non-consolidation, or the non-recovery of gas costs from oil income which was the case under the PPTA regime. This entails separate fiscal treatment of the different resources to minimize the arbitrage and distortions, with a view to enhancing overall fiscal neutrality, clarity, stability, progressiveness, and competitiveness of the tax regime. </w:t>
      </w:r>
    </w:p>
    <w:p w14:paraId="28CA9365">
      <w:pPr>
        <w:spacing w:after="160" w:line="480" w:lineRule="auto"/>
        <w:jc w:val="both"/>
        <w:rPr>
          <w:rFonts w:eastAsia="Calibri"/>
          <w:bCs/>
          <w:lang w:val="en-GB"/>
        </w:rPr>
      </w:pPr>
      <w:r>
        <w:rPr>
          <w:rFonts w:eastAsia="Calibri"/>
          <w:bCs/>
          <w:lang w:val="en-GB"/>
        </w:rPr>
        <w:t>To achieve the above stated objectives for upstream petroleum taxation, and based on the guiding principles of distinct asset and terrain, non-consolidation of oil and gas, and non-recovery of gas costs from oil, the PIFF under the PIA splits the PPT regime into two namely, Hydrocarbon Tax (HT) and Companies Income Tax (CIT), which now apply to companies engaged in upstream petroleum operations onshore, whilst the deep offshore and frontier acreages are both exempted from HT. HT is at a significantly reduced rate to replace PPT, and an additional income tax, based on the provisions of the CITA imposed on upstream petroleum operations. The application of these two distinct taxes to upstream petroleum operations essentially presents the challenge of proper cost and income attribution. The interaction of the PIA two-tier fiscal regime and the royalty system for the different licences and upstream petroleum terrains still presents opportunities for over-laps and for arbitrages. This arrangement cannot therefore be said to have entirely achieved a simplified, neutral, and progressive fiscal and tax regime, even though there is a clear separation of oil and gas</w:t>
      </w:r>
      <w:r>
        <w:rPr>
          <w:rFonts w:eastAsia="Calibri"/>
          <w:bCs/>
          <w:vertAlign w:val="superscript"/>
          <w:lang w:val="en-GB"/>
        </w:rPr>
        <w:footnoteReference w:id="638"/>
      </w:r>
      <w:r>
        <w:rPr>
          <w:rFonts w:eastAsia="Calibri"/>
          <w:bCs/>
          <w:lang w:val="en-GB"/>
        </w:rPr>
        <w:t xml:space="preserve">, and the headline tax and ETR are reduced. </w:t>
      </w:r>
    </w:p>
    <w:p w14:paraId="7E8563D4">
      <w:pPr>
        <w:spacing w:after="160" w:line="480" w:lineRule="auto"/>
        <w:jc w:val="both"/>
        <w:rPr>
          <w:rFonts w:eastAsia="Calibri"/>
          <w:bCs/>
          <w:lang w:val="en-GB"/>
        </w:rPr>
      </w:pPr>
      <w:r>
        <w:rPr>
          <w:rFonts w:eastAsia="Calibri"/>
          <w:bCs/>
          <w:lang w:val="en-GB"/>
        </w:rPr>
        <w:t xml:space="preserve">The PIA states that companies engaged in upstream petroleum operations will be required to settle their CIT liability on an actual year basis, using a similar estimate mechanism to that provided for HT. To achieve this separation in the treatment of costs for oil and gas and for calculating HT and CIT, the PIA provides that all allowable expenses for the purposes of calculating HT must be directly related to the production operations, whilst the non-direct costs will be deductible under CIT. HT will however not be deductible for CIT purposes. CIT will also be applied as an entity-based tax, thereby allowing for consolidation of results across terrains, and as such the PSC Contract Area ring fence taxation challenge and revenue losses under the PPTA as amended by the PSC Act, is largely addressed for CIT purposes.  </w:t>
      </w:r>
    </w:p>
    <w:p w14:paraId="5E53A98F">
      <w:pPr>
        <w:spacing w:after="160" w:line="480" w:lineRule="auto"/>
        <w:jc w:val="both"/>
        <w:rPr>
          <w:rFonts w:eastAsia="Calibri"/>
          <w:bCs/>
          <w:iCs/>
        </w:rPr>
      </w:pPr>
      <w:r>
        <w:rPr>
          <w:rFonts w:eastAsia="Calibri"/>
          <w:bCs/>
          <w:lang w:val="en-GB"/>
        </w:rPr>
        <w:t xml:space="preserve">The PIFF under the PIA has also introduced a dichotomy in the treatment of IOC’s and the indigenous and small operators in that it creates a special fiscal regime for the deep offshore and frontier acreage operations, as an incentive for investment in the deep offshore. This incentive, though designed to achieve a clear purpose, is seen as discriminatory and potentially may result in divestment from onshore and shallow water acreages to offshore terrains. </w:t>
      </w:r>
      <w:r>
        <w:rPr>
          <w:rFonts w:eastAsia="Calibri"/>
          <w:bCs/>
        </w:rPr>
        <w:t xml:space="preserve">The </w:t>
      </w:r>
      <w:bookmarkStart w:id="32" w:name="_Hlk126092688"/>
      <w:r>
        <w:rPr>
          <w:rFonts w:eastAsia="Calibri"/>
          <w:bCs/>
        </w:rPr>
        <w:t>PIFF fiscal arrangement under the PIA maintains a</w:t>
      </w:r>
      <w:r>
        <w:rPr>
          <w:rFonts w:eastAsia="Calibri"/>
          <w:bCs/>
          <w:lang w:val="en-GB"/>
        </w:rPr>
        <w:t xml:space="preserve"> </w:t>
      </w:r>
      <w:r>
        <w:rPr>
          <w:rFonts w:eastAsia="Calibri"/>
          <w:bCs/>
          <w:iCs/>
        </w:rPr>
        <w:t>full legal separation of petroleum infrastructure ownership and operations, and separate companies are to be registered to conduct different activities</w:t>
      </w:r>
      <w:r>
        <w:rPr>
          <w:rFonts w:eastAsia="Calibri"/>
          <w:bCs/>
          <w:iCs/>
          <w:vertAlign w:val="superscript"/>
        </w:rPr>
        <w:footnoteReference w:id="639"/>
      </w:r>
      <w:r>
        <w:rPr>
          <w:rFonts w:eastAsia="Calibri"/>
          <w:bCs/>
          <w:iCs/>
        </w:rPr>
        <w:t>.</w:t>
      </w:r>
      <w:r>
        <w:rPr>
          <w:rFonts w:eastAsia="Calibri"/>
          <w:bCs/>
        </w:rPr>
        <w:t xml:space="preserve"> </w:t>
      </w:r>
      <w:r>
        <w:rPr>
          <w:rFonts w:eastAsia="Calibri"/>
          <w:bCs/>
          <w:iCs/>
        </w:rPr>
        <w:t xml:space="preserve"> </w:t>
      </w:r>
      <w:bookmarkEnd w:id="32"/>
    </w:p>
    <w:p w14:paraId="4A9CC25E">
      <w:pPr>
        <w:spacing w:after="160" w:line="480" w:lineRule="auto"/>
        <w:jc w:val="both"/>
        <w:rPr>
          <w:rFonts w:eastAsia="Calibri"/>
          <w:bCs/>
          <w:lang w:val="en-GB"/>
        </w:rPr>
      </w:pPr>
      <w:r>
        <w:rPr>
          <w:rFonts w:eastAsia="Calibri"/>
          <w:bCs/>
          <w:iCs/>
        </w:rPr>
        <w:t xml:space="preserve">The PIA has </w:t>
      </w:r>
      <w:r>
        <w:rPr>
          <w:rFonts w:eastAsia="Calibri"/>
          <w:bCs/>
        </w:rPr>
        <w:t>introduced several other fiscal changes affecting marginal field petroleum operations and taxation, a modified royalty regime</w:t>
      </w:r>
      <w:r>
        <w:rPr>
          <w:rFonts w:eastAsia="Calibri"/>
          <w:bCs/>
          <w:vertAlign w:val="superscript"/>
        </w:rPr>
        <w:footnoteReference w:id="640"/>
      </w:r>
      <w:r>
        <w:rPr>
          <w:rFonts w:eastAsia="Calibri"/>
          <w:bCs/>
        </w:rPr>
        <w:t>, the ascertainment of crude oil revenue</w:t>
      </w:r>
      <w:r>
        <w:rPr>
          <w:rFonts w:eastAsia="Calibri"/>
          <w:bCs/>
          <w:vertAlign w:val="superscript"/>
        </w:rPr>
        <w:footnoteReference w:id="641"/>
      </w:r>
      <w:r>
        <w:rPr>
          <w:rFonts w:eastAsia="Calibri"/>
          <w:bCs/>
        </w:rPr>
        <w:t>, and decommissioning and abandonment treatment, which we examine in further detail in section 9.3 below. Another</w:t>
      </w:r>
      <w:r>
        <w:rPr>
          <w:rFonts w:eastAsia="Calibri"/>
          <w:bCs/>
          <w:lang w:val="en-GB"/>
        </w:rPr>
        <w:t xml:space="preserve"> potentially contentious PIA fiscal change is the fact that the fiscal regime shall only apply to operational companies, upon the voluntary conversion of existing Oil Prospecting Licences (OPLs) and Oil Mining Leases (OMLs) to Petroleum Prospecting Licences (PPLs) and Petroleum Mining Licences (PMLs), respectively, or the termination or expiration of unconverted licenses, and the renewal of OMLs</w:t>
      </w:r>
      <w:r>
        <w:rPr>
          <w:rStyle w:val="23"/>
          <w:lang w:val="en-GB"/>
        </w:rPr>
        <w:footnoteReference w:id="642"/>
      </w:r>
      <w:r>
        <w:rPr>
          <w:rFonts w:eastAsia="Calibri"/>
          <w:bCs/>
          <w:lang w:val="en-GB"/>
        </w:rPr>
        <w:t>. In effect, holders of OPLs and OMLs that do not convert to PPLs and PMLs will continue to operate and be taxed under the PPTA fiscal regime, pending the expiration of their licences. This will be an area of continuing uncertainty along with the management of the transition from the old to the new fiscal framework under the PIA.</w:t>
      </w:r>
    </w:p>
    <w:p w14:paraId="7AD96DCE">
      <w:pPr>
        <w:spacing w:after="160" w:line="480" w:lineRule="auto"/>
        <w:jc w:val="both"/>
        <w:rPr>
          <w:lang w:val="en-GB"/>
        </w:rPr>
      </w:pPr>
    </w:p>
    <w:p w14:paraId="025679FE">
      <w:pPr>
        <w:spacing w:after="160" w:line="480" w:lineRule="auto"/>
        <w:jc w:val="both"/>
        <w:rPr>
          <w:rFonts w:eastAsia="Calibri"/>
          <w:b/>
        </w:rPr>
      </w:pPr>
      <w:r>
        <w:rPr>
          <w:rFonts w:eastAsia="Calibri"/>
          <w:b/>
        </w:rPr>
        <w:t>9.3</w:t>
      </w:r>
      <w:r>
        <w:rPr>
          <w:rFonts w:eastAsia="Calibri"/>
          <w:b/>
        </w:rPr>
        <w:tab/>
      </w:r>
      <w:r>
        <w:rPr>
          <w:rFonts w:eastAsia="Calibri"/>
          <w:b/>
        </w:rPr>
        <w:t>A NEW TAX REGIME – HYDROCARBON AND COMPANY INCOME TAX</w:t>
      </w:r>
    </w:p>
    <w:p w14:paraId="4A92A604">
      <w:pPr>
        <w:spacing w:after="160" w:line="480" w:lineRule="auto"/>
        <w:jc w:val="both"/>
        <w:rPr>
          <w:rFonts w:eastAsia="Calibri"/>
          <w:bCs/>
          <w:lang w:val="en-GB"/>
        </w:rPr>
      </w:pPr>
      <w:r>
        <w:rPr>
          <w:rFonts w:eastAsia="Calibri"/>
          <w:bCs/>
          <w:lang w:val="en-GB"/>
        </w:rPr>
        <w:t>Under the PPTA/PSC regime, the primary fiscal objective was high government take</w:t>
      </w:r>
      <w:r>
        <w:rPr>
          <w:rStyle w:val="23"/>
          <w:rFonts w:eastAsia="Calibri"/>
          <w:bCs/>
        </w:rPr>
        <w:footnoteReference w:id="643"/>
      </w:r>
      <w:r>
        <w:rPr>
          <w:rFonts w:eastAsia="Calibri"/>
          <w:bCs/>
          <w:lang w:val="en-GB"/>
        </w:rPr>
        <w:t xml:space="preserve">. The high government take from PPT/PSC tax and royalty under the PPTA, failed to properly ring fence the expenditure and income treatment despite the attempt to introduce the concepts of ‘contract area’, ‘cost oil’, ‘profit oil’ and ‘Tax oil’ as these concepts and terms were inadequately defined and the rather clear objectives of the PSC arrangement. There were also losses and distortions arising from the multiple tax rates, and the lack of clarity in the treatment of gas. This was further complicated by the leveraging of gas capital expenditure on oil capital expenditure and lack of well-defined cost attribution or allocation principles. The incidence of multiple taxes and levies on upstream petroleum operations all added to creating the distortions and lack of clarity in upstream taxation. </w:t>
      </w:r>
    </w:p>
    <w:p w14:paraId="76F7CFC1">
      <w:pPr>
        <w:spacing w:after="160" w:line="480" w:lineRule="auto"/>
        <w:jc w:val="both"/>
      </w:pPr>
      <w:r>
        <w:rPr>
          <w:rFonts w:eastAsia="Calibri"/>
          <w:bCs/>
          <w:lang w:val="en-GB"/>
        </w:rPr>
        <w:t>With the introduction of Hydrocarbon Tax (HT),</w:t>
      </w:r>
      <w:r>
        <w:rPr>
          <w:rFonts w:eastAsia="Calibri"/>
          <w:bCs/>
          <w:vertAlign w:val="superscript"/>
        </w:rPr>
        <w:t xml:space="preserve"> </w:t>
      </w:r>
      <w:r>
        <w:rPr>
          <w:rFonts w:eastAsia="Calibri"/>
          <w:bCs/>
          <w:vertAlign w:val="superscript"/>
        </w:rPr>
        <w:footnoteReference w:id="644"/>
      </w:r>
      <w:r>
        <w:rPr>
          <w:rFonts w:eastAsia="Calibri"/>
          <w:bCs/>
        </w:rPr>
        <w:t xml:space="preserve"> </w:t>
      </w:r>
      <w:r>
        <w:rPr>
          <w:rFonts w:eastAsia="Calibri"/>
          <w:bCs/>
          <w:lang w:val="en-GB"/>
        </w:rPr>
        <w:t xml:space="preserve"> and corporate income tax (CIT)</w:t>
      </w:r>
      <w:r>
        <w:rPr>
          <w:rFonts w:eastAsia="Calibri"/>
          <w:bCs/>
          <w:vertAlign w:val="superscript"/>
        </w:rPr>
        <w:t xml:space="preserve"> </w:t>
      </w:r>
      <w:r>
        <w:rPr>
          <w:rFonts w:eastAsia="Calibri"/>
          <w:bCs/>
          <w:vertAlign w:val="superscript"/>
        </w:rPr>
        <w:footnoteReference w:id="645"/>
      </w:r>
      <w:r>
        <w:rPr>
          <w:rFonts w:eastAsia="Calibri"/>
          <w:bCs/>
          <w:lang w:val="en-GB"/>
        </w:rPr>
        <w:t xml:space="preserve"> by the PIA for upstream petroleum operations, to replace the PPT under the PPTA tax regime as amended by the PSC Act, the PIA attempt to better ascertain revenue and define cost for determining chargeable profits for upstream petroleum taxation. While HT applies to crude oil, field condensates and natural gas liquids from associated gas, it does not apply to associated gas, non-associated gas, and frontier acreage. Also, unlike the case with PPT which applied to onshore, shallow and PSC petroleum operations in the deep offshore under the PPTA as amended by the PSC Act, the PIA clearly exempts the deep offshore upstream petroleum operations from HT, to encourage exploration activities in the deep offshore acreage</w:t>
      </w:r>
      <w:r>
        <w:rPr>
          <w:rFonts w:eastAsia="Calibri"/>
          <w:bCs/>
        </w:rPr>
        <w:t>. To determine the chargeable tax for the relevant terrains and operations, section 267 of the PIA states that the chargeable tax for any accounting period of a company shall be a percentage of the aggregated chargeable profit for that period. For holders of petroleum mining leases with respect to offshore and shallow water areas, the chargeable tax shall be 30% of crude oil profits, while for holders of petroleum prospecting licenses for onshore and shallow waters, the chargeable tax shall be 15% of crude oil profits.</w:t>
      </w:r>
    </w:p>
    <w:p w14:paraId="1BEA09F7">
      <w:pPr>
        <w:spacing w:after="160" w:line="480" w:lineRule="auto"/>
        <w:jc w:val="both"/>
        <w:rPr>
          <w:rFonts w:eastAsia="Calibri"/>
          <w:bCs/>
          <w:lang w:val="en-GB"/>
        </w:rPr>
      </w:pPr>
      <w:r>
        <w:rPr>
          <w:rFonts w:eastAsia="Calibri"/>
          <w:bCs/>
          <w:lang w:val="en-GB"/>
        </w:rPr>
        <w:t>The introduction of the CIT to upstream petroleum taxation</w:t>
      </w:r>
      <w:r>
        <w:rPr>
          <w:rFonts w:eastAsia="Calibri"/>
          <w:bCs/>
          <w:vertAlign w:val="superscript"/>
          <w:lang w:val="en-GB"/>
        </w:rPr>
        <w:footnoteReference w:id="646"/>
      </w:r>
      <w:r>
        <w:rPr>
          <w:rFonts w:eastAsia="Calibri"/>
          <w:bCs/>
          <w:lang w:val="en-GB"/>
        </w:rPr>
        <w:t xml:space="preserve"> at the applicable CITA rate in line with the provisions of the CITA</w:t>
      </w:r>
      <w:r>
        <w:rPr>
          <w:rFonts w:eastAsia="Calibri"/>
          <w:bCs/>
          <w:vertAlign w:val="superscript"/>
          <w:lang w:val="en-GB"/>
        </w:rPr>
        <w:footnoteReference w:id="647"/>
      </w:r>
      <w:r>
        <w:rPr>
          <w:rFonts w:eastAsia="Calibri"/>
          <w:bCs/>
          <w:lang w:val="en-GB"/>
        </w:rPr>
        <w:t xml:space="preserve">, results in the application of two distinct taxes to upstream petroleum operations under the PIA framework. A single consolidated income or profit tax on upstream petroleum operations would have avoided the creation of opportunistic distortions and challenges to compliance and administration in the upstream petroleum tax system. A single consolidated income or profit tax would be revenue neutral with proper adjustment to the applicable rate. Moreover, with a significant royalty regime in place, which guarantees early revenue streams to government, a reduced number of tax incidence would have facilitated the creation of a simple tax system with the reduced cost of compliance and administration. </w:t>
      </w:r>
    </w:p>
    <w:p w14:paraId="7C8CFD1A">
      <w:pPr>
        <w:spacing w:after="160" w:line="480" w:lineRule="auto"/>
        <w:jc w:val="both"/>
        <w:rPr>
          <w:rFonts w:ascii="Calibri" w:hAnsi="Calibri" w:eastAsia="Calibri"/>
          <w:bCs/>
          <w:color w:val="FF0000"/>
          <w:sz w:val="22"/>
          <w:szCs w:val="22"/>
          <w:lang w:val="en-GB"/>
        </w:rPr>
      </w:pPr>
      <w:r>
        <w:rPr>
          <w:rFonts w:eastAsia="Calibri"/>
          <w:bCs/>
          <w:color w:val="000000"/>
          <w:lang w:val="en-GB"/>
        </w:rPr>
        <w:t xml:space="preserve">Under the PPTA/PSC regime, with </w:t>
      </w:r>
      <w:r>
        <w:rPr>
          <w:rFonts w:eastAsia="Calibri"/>
          <w:bCs/>
          <w:lang w:val="en-GB"/>
        </w:rPr>
        <w:t xml:space="preserve">multiple </w:t>
      </w:r>
      <w:r>
        <w:rPr>
          <w:rFonts w:eastAsia="Calibri"/>
          <w:bCs/>
        </w:rPr>
        <w:t xml:space="preserve">PPT rates ranging from 50% for PSC for the deep offshore, and the tax rate of 65.75% under the PPTA for the first five (5) years of a company yet to attain full commercial production and continuous sales, to the top rate of 85% PPT, for onshore and shallow water acreage, this created various overlaps and distortions. The replacement of the PPT regime by the PIA with HT and CIT largely addresses the issue of multiple PPT rates as well as reduced the ETR. It has however created a two-tier income tax regime for upstream petroleum operations based on asset type and terrains as illustrated in the table below. </w:t>
      </w:r>
    </w:p>
    <w:p w14:paraId="47D6CD60">
      <w:pPr>
        <w:spacing w:after="160" w:line="480" w:lineRule="auto"/>
        <w:jc w:val="both"/>
        <w:rPr>
          <w:rFonts w:eastAsia="Calibri"/>
          <w:b/>
          <w:lang w:val="en-GB"/>
        </w:rPr>
      </w:pPr>
      <w:r>
        <w:rPr>
          <w:rFonts w:eastAsia="Calibri"/>
          <w:b/>
          <w:lang w:val="en-GB"/>
        </w:rPr>
        <w:t>HT &amp; CIT Tax Rates under the PIA:</w:t>
      </w:r>
    </w:p>
    <w:p w14:paraId="1691AA54">
      <w:pPr>
        <w:spacing w:after="160" w:line="480" w:lineRule="auto"/>
        <w:jc w:val="both"/>
        <w:rPr>
          <w:rFonts w:eastAsia="Calibri"/>
          <w:bCs/>
          <w:lang w:val="en-GB"/>
        </w:rPr>
      </w:pPr>
      <w:r>
        <w:rPr>
          <w:rFonts w:eastAsia="Calibri"/>
          <w:bCs/>
          <w:lang w:val="en-GB" w:eastAsia="en-GB"/>
        </w:rPr>
        <w:drawing>
          <wp:inline distT="0" distB="0" distL="0" distR="0">
            <wp:extent cx="5873750" cy="271335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38"/>
                    <a:srcRect/>
                    <a:stretch>
                      <a:fillRect/>
                    </a:stretch>
                  </pic:blipFill>
                  <pic:spPr>
                    <a:xfrm>
                      <a:off x="0" y="0"/>
                      <a:ext cx="5873750" cy="2713355"/>
                    </a:xfrm>
                    <a:prstGeom prst="rect">
                      <a:avLst/>
                    </a:prstGeom>
                    <a:noFill/>
                    <a:ln>
                      <a:noFill/>
                    </a:ln>
                  </pic:spPr>
                </pic:pic>
              </a:graphicData>
            </a:graphic>
          </wp:inline>
        </w:drawing>
      </w:r>
    </w:p>
    <w:p w14:paraId="6D4012CF">
      <w:pPr>
        <w:spacing w:after="160" w:line="480" w:lineRule="auto"/>
        <w:jc w:val="both"/>
        <w:rPr>
          <w:rFonts w:eastAsia="Calibri"/>
          <w:bCs/>
        </w:rPr>
      </w:pPr>
      <w:r>
        <w:rPr>
          <w:rFonts w:eastAsia="Calibri"/>
          <w:bCs/>
          <w:lang w:val="en-GB"/>
        </w:rPr>
        <w:t>With CIT, now applicable to upstream petroleum operation, the confusion on whether gas income produced along with oil within an integrated petroleum operation should attract tax at PPT or CIT</w:t>
      </w:r>
      <w:r>
        <w:rPr>
          <w:rFonts w:eastAsia="Calibri"/>
          <w:bCs/>
          <w:vertAlign w:val="superscript"/>
          <w:lang w:val="en-GB"/>
        </w:rPr>
        <w:footnoteReference w:id="648"/>
      </w:r>
      <w:r>
        <w:rPr>
          <w:rFonts w:eastAsia="Calibri"/>
          <w:bCs/>
          <w:lang w:val="en-GB"/>
        </w:rPr>
        <w:t>, has also now been addressed under the PIA. However, the two-tier income tax system applies different tax rates to concessions, terrain, and asset types, and presents challenges to creating a simplified, neutral, and single petroleum income tax system for upstream petroleum operations</w:t>
      </w:r>
      <w:r>
        <w:rPr>
          <w:rFonts w:eastAsia="Calibri"/>
          <w:bCs/>
          <w:vertAlign w:val="superscript"/>
          <w:lang w:val="en-GB"/>
        </w:rPr>
        <w:footnoteReference w:id="649"/>
      </w:r>
      <w:r>
        <w:rPr>
          <w:rFonts w:eastAsia="Calibri"/>
          <w:bCs/>
          <w:lang w:val="en-GB"/>
        </w:rPr>
        <w:t xml:space="preserve"> as </w:t>
      </w:r>
      <w:r>
        <w:rPr>
          <w:rFonts w:eastAsia="Calibri"/>
          <w:bCs/>
        </w:rPr>
        <w:t>there is lack of clarity in the cost attribution to asset types, terrain, and licences for HT and CIT respectively, for determining the chargeable tax</w:t>
      </w:r>
      <w:r>
        <w:rPr>
          <w:rFonts w:eastAsia="Calibri"/>
          <w:bCs/>
          <w:vertAlign w:val="superscript"/>
        </w:rPr>
        <w:footnoteReference w:id="650"/>
      </w:r>
      <w:r>
        <w:rPr>
          <w:rFonts w:eastAsia="Calibri"/>
          <w:bCs/>
        </w:rPr>
        <w:t>. In addition to the cost base for HT and CIT</w:t>
      </w:r>
      <w:r>
        <w:rPr>
          <w:rFonts w:eastAsia="Calibri"/>
          <w:bCs/>
          <w:vertAlign w:val="superscript"/>
        </w:rPr>
        <w:footnoteReference w:id="651"/>
      </w:r>
      <w:r>
        <w:rPr>
          <w:rFonts w:eastAsia="Calibri"/>
          <w:bCs/>
        </w:rPr>
        <w:t>, the determination of the fiscal oil price</w:t>
      </w:r>
      <w:r>
        <w:rPr>
          <w:rFonts w:eastAsia="Calibri"/>
          <w:bCs/>
          <w:vertAlign w:val="superscript"/>
        </w:rPr>
        <w:footnoteReference w:id="652"/>
      </w:r>
      <w:r>
        <w:rPr>
          <w:rFonts w:eastAsia="Calibri"/>
          <w:bCs/>
        </w:rPr>
        <w:t xml:space="preserve"> which is determined by NUPRC, </w:t>
      </w:r>
      <w:r>
        <w:rPr>
          <w:rFonts w:eastAsia="Calibri"/>
          <w:bCs/>
          <w:lang w:val="en-GB"/>
        </w:rPr>
        <w:t>is another potential source of confusion and uncertainty with respect to ascertainment of value of crude oil revenues, treatment of expenses and pricing.  The PIA has however separately addressed the subject of PSC petroleum operations</w:t>
      </w:r>
      <w:r>
        <w:rPr>
          <w:rStyle w:val="23"/>
          <w:rFonts w:eastAsia="Calibri"/>
          <w:bCs/>
        </w:rPr>
        <w:footnoteReference w:id="653"/>
      </w:r>
      <w:r>
        <w:rPr>
          <w:rFonts w:eastAsia="Calibri"/>
          <w:bCs/>
          <w:lang w:val="en-GB"/>
        </w:rPr>
        <w:t xml:space="preserve">. </w:t>
      </w:r>
    </w:p>
    <w:p w14:paraId="4E1E752D">
      <w:pPr>
        <w:spacing w:after="160" w:line="480" w:lineRule="auto"/>
        <w:jc w:val="both"/>
        <w:rPr>
          <w:rFonts w:eastAsia="Calibri"/>
          <w:bCs/>
        </w:rPr>
      </w:pPr>
      <w:r>
        <w:rPr>
          <w:rFonts w:eastAsia="Calibri"/>
          <w:bCs/>
          <w:lang w:val="en-GB"/>
        </w:rPr>
        <w:t xml:space="preserve">The PIA specifically addresses the subject of PSCs executed prior to the commencement of the PIA. It states that HT will be charged separately on the profits upon conversion to a PML and paid during each accounting period in accordance with the provisions of section 92 of the PIA. </w:t>
      </w:r>
      <w:r>
        <w:rPr>
          <w:rFonts w:eastAsia="Calibri"/>
          <w:bCs/>
        </w:rPr>
        <w:t xml:space="preserve">However, the </w:t>
      </w:r>
      <w:r>
        <w:rPr>
          <w:rFonts w:eastAsia="Calibri"/>
          <w:bCs/>
          <w:lang w:val="en-GB"/>
        </w:rPr>
        <w:t>deep offshore and the frontier acreage upstream petroleum operations are exempt from HT until reclassified under section 68(3)</w:t>
      </w:r>
      <w:r>
        <w:rPr>
          <w:rFonts w:eastAsia="Calibri"/>
          <w:bCs/>
          <w:vertAlign w:val="superscript"/>
          <w:lang w:val="en-GB"/>
        </w:rPr>
        <w:footnoteReference w:id="654"/>
      </w:r>
      <w:r>
        <w:rPr>
          <w:rFonts w:eastAsia="Calibri"/>
          <w:bCs/>
          <w:lang w:val="en-GB"/>
        </w:rPr>
        <w:t xml:space="preserve"> of the PIA. This exemption is aimed at incentivising exploration and investment in the deep offshore and frontier acreage. It has however been suggested that this preferential treatment of the deep offshore operations may result in the IOCs divesting from onshore assets, to focus on offshore operations as this also “technically” exempts the IOCs from the 3 percent contribution to the Host Community Development Trust Fund (HCDTF)</w:t>
      </w:r>
      <w:r>
        <w:rPr>
          <w:rFonts w:eastAsia="Calibri"/>
          <w:bCs/>
          <w:vertAlign w:val="superscript"/>
          <w:lang w:val="en-GB"/>
        </w:rPr>
        <w:footnoteReference w:id="655"/>
      </w:r>
      <w:r>
        <w:rPr>
          <w:rFonts w:eastAsia="Calibri"/>
          <w:bCs/>
          <w:lang w:val="en-GB"/>
        </w:rPr>
        <w:t xml:space="preserve"> and confers some cost advantages on the IOCs, over the indigenous oil companies, who are disadvantaged to compete and grow.</w:t>
      </w:r>
    </w:p>
    <w:p w14:paraId="0182216F">
      <w:pPr>
        <w:spacing w:after="160" w:line="480" w:lineRule="auto"/>
        <w:jc w:val="both"/>
        <w:rPr>
          <w:rFonts w:eastAsia="Calibri"/>
          <w:bCs/>
          <w:lang w:val="en-GB"/>
        </w:rPr>
      </w:pPr>
      <w:r>
        <w:rPr>
          <w:rFonts w:eastAsia="Calibri"/>
          <w:bCs/>
          <w:lang w:val="en-GB"/>
        </w:rPr>
        <w:t>It is important to state that the PIA has brought more clarity to the determination of the value of chargeable crude oil revenue for ascertaining profits chargeable to HT. Under the PPTA / PSC regime the scope of the provisions of section 9 of the PPTA</w:t>
      </w:r>
      <w:r>
        <w:rPr>
          <w:rFonts w:eastAsia="Calibri"/>
          <w:bCs/>
          <w:vertAlign w:val="superscript"/>
          <w:lang w:val="en-GB"/>
        </w:rPr>
        <w:footnoteReference w:id="656"/>
      </w:r>
      <w:r>
        <w:rPr>
          <w:rFonts w:eastAsia="Calibri"/>
          <w:bCs/>
          <w:lang w:val="en-GB"/>
        </w:rPr>
        <w:t>, as amended by sections 2 &amp; 3 of the PSC Act</w:t>
      </w:r>
      <w:r>
        <w:rPr>
          <w:rFonts w:eastAsia="Calibri"/>
          <w:bCs/>
          <w:vertAlign w:val="superscript"/>
          <w:lang w:val="en-GB"/>
        </w:rPr>
        <w:footnoteReference w:id="657"/>
      </w:r>
      <w:r>
        <w:rPr>
          <w:rFonts w:eastAsia="Calibri"/>
          <w:bCs/>
          <w:lang w:val="en-GB"/>
        </w:rPr>
        <w:t xml:space="preserve"> was too broad and open to different interpretations</w:t>
      </w:r>
      <w:r>
        <w:rPr>
          <w:rFonts w:eastAsia="Calibri"/>
          <w:bCs/>
          <w:vertAlign w:val="superscript"/>
          <w:lang w:val="en-GB"/>
        </w:rPr>
        <w:footnoteReference w:id="658"/>
      </w:r>
      <w:r>
        <w:rPr>
          <w:rFonts w:eastAsia="Calibri"/>
          <w:bCs/>
          <w:lang w:val="en-GB"/>
        </w:rPr>
        <w:t>.  The PIA has addressed this ambiguity under the PPTA</w:t>
      </w:r>
      <w:r>
        <w:rPr>
          <w:rFonts w:eastAsia="Calibri"/>
          <w:bCs/>
          <w:vertAlign w:val="superscript"/>
          <w:lang w:val="en-GB"/>
        </w:rPr>
        <w:footnoteReference w:id="659"/>
      </w:r>
      <w:r>
        <w:rPr>
          <w:rFonts w:eastAsia="Calibri"/>
          <w:bCs/>
          <w:lang w:val="en-GB"/>
        </w:rPr>
        <w:t xml:space="preserve"> as it relates to the basis for ascertaining the value of crude oil for the purposes of calculating HT. Section 262 of the PIA states that:</w:t>
      </w:r>
    </w:p>
    <w:p w14:paraId="784949E1">
      <w:pPr>
        <w:spacing w:after="160" w:line="480" w:lineRule="auto"/>
        <w:ind w:left="720"/>
        <w:jc w:val="both"/>
        <w:rPr>
          <w:rFonts w:eastAsia="Calibri"/>
          <w:bCs/>
          <w:lang w:val="en-GB"/>
        </w:rPr>
      </w:pPr>
      <w:r>
        <w:rPr>
          <w:rFonts w:eastAsia="Calibri"/>
          <w:bCs/>
          <w:lang w:val="en-GB"/>
        </w:rPr>
        <w:t>“The crude oil revenue of a corporation for any accounting period, shall be the value of any chargeable oil adjusted to the measurement points, based on the – (a) the revenues from the sale of all chargeable oil; and (b) the total amount of chargeable oil disposed of….”</w:t>
      </w:r>
    </w:p>
    <w:p w14:paraId="2EA44389">
      <w:pPr>
        <w:spacing w:after="160" w:line="480" w:lineRule="auto"/>
        <w:jc w:val="both"/>
        <w:rPr>
          <w:rFonts w:eastAsia="Calibri"/>
          <w:bCs/>
          <w:lang w:val="en-GB"/>
        </w:rPr>
      </w:pPr>
      <w:r>
        <w:rPr>
          <w:rFonts w:eastAsia="Calibri"/>
          <w:bCs/>
          <w:lang w:val="en-GB"/>
        </w:rPr>
        <w:t>By virtue of this provision, the extraction, storage, and transportation costs of crude oil will not be included in ascertaining the taxable revenue for HT purposes. Also, there are always challenges in determining what income is incidental and which income is directly due from petroleum operations, to ascertain the chargeable profits of the company, as this is now limited to proceeds of valuable oil sold and the value of chargeable oil disposed. With this clarification, incidental income would now be liable to tax under CITA. Accordingly, the value of chargeable oil disposed shall be based on the aggregate value of crude oil determined for royalties for all fields. As stated earlier, the fiscal price is as determined or advised by the Commission (NUPRC) and will be set on an “export parity”</w:t>
      </w:r>
      <w:r>
        <w:rPr>
          <w:rFonts w:eastAsia="Calibri"/>
          <w:bCs/>
          <w:vertAlign w:val="superscript"/>
          <w:lang w:val="en-GB"/>
        </w:rPr>
        <w:footnoteReference w:id="660"/>
      </w:r>
      <w:r>
        <w:rPr>
          <w:rFonts w:eastAsia="Calibri"/>
          <w:bCs/>
          <w:lang w:val="en-GB"/>
        </w:rPr>
        <w:t xml:space="preserve"> basis which is responsive to fiscal changes etc. This is another potential contentious issue for determining the realisable price under the PPTA and the MOU signed between the FG and the IOCs, examined in chapter 4 of the thesis</w:t>
      </w:r>
      <w:r>
        <w:rPr>
          <w:rStyle w:val="23"/>
          <w:rFonts w:eastAsia="Calibri"/>
          <w:bCs/>
        </w:rPr>
        <w:footnoteReference w:id="661"/>
      </w:r>
      <w:r>
        <w:rPr>
          <w:rFonts w:eastAsia="Calibri"/>
          <w:bCs/>
          <w:lang w:val="en-GB"/>
        </w:rPr>
        <w:t xml:space="preserve">. </w:t>
      </w:r>
    </w:p>
    <w:p w14:paraId="6EBFBB74">
      <w:pPr>
        <w:spacing w:after="160" w:line="480" w:lineRule="auto"/>
        <w:jc w:val="both"/>
        <w:rPr>
          <w:rFonts w:eastAsia="Calibri"/>
          <w:bCs/>
        </w:rPr>
      </w:pPr>
      <w:r>
        <w:rPr>
          <w:rFonts w:eastAsia="Calibri"/>
          <w:bCs/>
        </w:rPr>
        <w:t>The PIA has achieved the reduction of the headline tax rate and ETR for all terrains and assets compared to the PPTA, however the consolidation of the HT and CIT would have avoided the ambiguities and potential arbitrages due to different costs base and simplified the administration of the upstream income or profit tax regime, as is the case in Canada discussed in chapter 8, or the evolving taxing framework for the UK field-based CIT for the petroleum industry examined in chapter 7, following the abolition of PRT</w:t>
      </w:r>
      <w:r>
        <w:rPr>
          <w:rFonts w:eastAsia="Calibri"/>
          <w:bCs/>
          <w:vertAlign w:val="superscript"/>
        </w:rPr>
        <w:footnoteReference w:id="662"/>
      </w:r>
      <w:r>
        <w:rPr>
          <w:rFonts w:eastAsia="Calibri"/>
          <w:bCs/>
        </w:rPr>
        <w:t xml:space="preserve"> and Royalty</w:t>
      </w:r>
      <w:r>
        <w:rPr>
          <w:rFonts w:eastAsia="Calibri"/>
          <w:bCs/>
          <w:vertAlign w:val="superscript"/>
        </w:rPr>
        <w:footnoteReference w:id="663"/>
      </w:r>
      <w:r>
        <w:rPr>
          <w:rFonts w:eastAsia="Calibri"/>
          <w:bCs/>
        </w:rPr>
        <w:t xml:space="preserve"> respectively.  </w:t>
      </w:r>
    </w:p>
    <w:p w14:paraId="4C87456E">
      <w:pPr>
        <w:spacing w:after="160" w:line="480" w:lineRule="auto"/>
        <w:jc w:val="both"/>
        <w:rPr>
          <w:rFonts w:eastAsia="Calibri"/>
          <w:bCs/>
          <w:lang w:val="en-GB"/>
        </w:rPr>
      </w:pPr>
      <w:r>
        <w:rPr>
          <w:rFonts w:eastAsia="Calibri"/>
          <w:bCs/>
          <w:lang w:val="en-GB"/>
        </w:rPr>
        <w:t>The PIA fiscal and taxing framework has however resolved several uncertainties, including the controversy relating to the applicable legislation for condensates and NGLs that are subsequently commingled with oil. The applicability of HT will depend on whether the volumes of the condensate or NGLs can be determined at the measurement point or exit of the gas processing plant. The measurement point is defined as downstream of the flow station. The gas, condensates and NGLs from non-associated petroleum gas will not be subject to HT even when commingled with oil, provided that the related volumes can be determined at the measurement points or at the exit of the gas processing plant.</w:t>
      </w:r>
    </w:p>
    <w:p w14:paraId="7C7F6333">
      <w:pPr>
        <w:spacing w:after="160" w:line="480" w:lineRule="auto"/>
        <w:jc w:val="both"/>
        <w:rPr>
          <w:rFonts w:eastAsia="Calibri"/>
          <w:bCs/>
          <w:lang w:val="en-GB"/>
        </w:rPr>
      </w:pPr>
    </w:p>
    <w:p w14:paraId="3E0D9E5A">
      <w:pPr>
        <w:spacing w:after="160" w:line="480" w:lineRule="auto"/>
        <w:jc w:val="both"/>
        <w:rPr>
          <w:rFonts w:eastAsia="Calibri"/>
          <w:b/>
          <w:lang w:val="en-GB"/>
        </w:rPr>
      </w:pPr>
      <w:r>
        <w:rPr>
          <w:rFonts w:eastAsia="Calibri"/>
          <w:b/>
          <w:lang w:val="en-GB"/>
        </w:rPr>
        <w:t>9.3.1.</w:t>
      </w:r>
      <w:r>
        <w:rPr>
          <w:rFonts w:eastAsia="Calibri"/>
          <w:b/>
          <w:lang w:val="en-GB"/>
        </w:rPr>
        <w:tab/>
      </w:r>
      <w:r>
        <w:rPr>
          <w:rFonts w:eastAsia="Calibri"/>
          <w:b/>
          <w:lang w:val="en-GB"/>
        </w:rPr>
        <w:t>THE PIA TAX EXPENDITURE FRAMEWORK:</w:t>
      </w:r>
    </w:p>
    <w:p w14:paraId="2B80C23B">
      <w:pPr>
        <w:spacing w:after="160" w:line="480" w:lineRule="auto"/>
        <w:jc w:val="both"/>
        <w:rPr>
          <w:rFonts w:eastAsia="Calibri"/>
          <w:bCs/>
        </w:rPr>
      </w:pPr>
      <w:r>
        <w:rPr>
          <w:rFonts w:eastAsia="Calibri"/>
          <w:bCs/>
          <w:lang w:val="en-GB"/>
        </w:rPr>
        <w:t xml:space="preserve">Under the PPTA, there were over-laps and lack of clarity in the tax treatment of certain expenditures, such as interest income, difference in exchange, CBN commissions and charges and contributions, decommissioning costs, etc, as discussed in chapter 4 of the thesis. To bring more clarity and certainty to the tax treatment of these expenditures, the PIA has expanded the </w:t>
      </w:r>
      <w:r>
        <w:rPr>
          <w:rFonts w:eastAsia="Calibri"/>
          <w:bCs/>
        </w:rPr>
        <w:t>criteria for deductibility and non-deductibility of expenditure from the “wholly, exclusively, and necessarily” (WEN) test as existed under the PPTA, with the inclusion of a ‘reasonably’(WREN)</w:t>
      </w:r>
      <w:r>
        <w:rPr>
          <w:rFonts w:eastAsia="Calibri"/>
          <w:bCs/>
          <w:vertAlign w:val="superscript"/>
        </w:rPr>
        <w:footnoteReference w:id="664"/>
      </w:r>
      <w:r>
        <w:rPr>
          <w:rFonts w:eastAsia="Calibri"/>
          <w:bCs/>
        </w:rPr>
        <w:t xml:space="preserve"> or reasonability element. The PIA, however, still fails to define each of the elements of the criteria, as was the case under the PPTA as amended. Consequently, these remain open to interpretational challenges</w:t>
      </w:r>
      <w:r>
        <w:rPr>
          <w:rFonts w:eastAsia="Calibri"/>
          <w:bCs/>
          <w:vertAlign w:val="superscript"/>
        </w:rPr>
        <w:footnoteReference w:id="665"/>
      </w:r>
      <w:r>
        <w:rPr>
          <w:rFonts w:eastAsia="Calibri"/>
          <w:bCs/>
        </w:rPr>
        <w:t>. The PIA has also introduced a 65% cap of gross revenue for deductible costs for computing HT</w:t>
      </w:r>
      <w:r>
        <w:rPr>
          <w:rFonts w:eastAsia="Calibri"/>
          <w:bCs/>
          <w:vertAlign w:val="superscript"/>
        </w:rPr>
        <w:footnoteReference w:id="666"/>
      </w:r>
      <w:r>
        <w:rPr>
          <w:rFonts w:eastAsia="Calibri"/>
          <w:bCs/>
        </w:rPr>
        <w:t xml:space="preserve">. This includes capital allowances, and all operating expenses except for certain exemptions such as rent, royalty etc. Where costs exceed the cost price ratio limit of 65% of gross revenue, they will be carried forward to subsequent years of assessment, but subject to the same cap. This is a significant limitation as it affects several heads of expenditure and allowances and is new. </w:t>
      </w:r>
    </w:p>
    <w:p w14:paraId="05A81B9E">
      <w:pPr>
        <w:spacing w:after="160" w:line="480" w:lineRule="auto"/>
        <w:jc w:val="both"/>
        <w:rPr>
          <w:rFonts w:eastAsia="Calibri"/>
          <w:bCs/>
          <w:lang w:val="en-GB"/>
        </w:rPr>
      </w:pPr>
      <w:r>
        <w:rPr>
          <w:rFonts w:eastAsia="Calibri"/>
          <w:bCs/>
          <w:lang w:val="en-GB"/>
        </w:rPr>
        <w:t>Tax allowable expenses for upstream petroleum operations under the PIA now include rentals paid for petroleum mining lease (PML) or petroleum prospecting license (PPL), royalties, repair and maintenance expenses, drilling expenditure of the first exploration well and the first two appraisal wells in the same field.  The PIA states that direct costs of upstream production activities shall be deducted for HT and indirect costs are to be deducted under CIT</w:t>
      </w:r>
      <w:r>
        <w:rPr>
          <w:rFonts w:eastAsia="Calibri"/>
          <w:bCs/>
          <w:vertAlign w:val="superscript"/>
          <w:lang w:val="en-GB"/>
        </w:rPr>
        <w:footnoteReference w:id="667"/>
      </w:r>
      <w:r>
        <w:rPr>
          <w:rFonts w:eastAsia="Calibri"/>
          <w:bCs/>
          <w:lang w:val="en-GB"/>
        </w:rPr>
        <w:t>. This provision, without more, is an avoidable ambiguity on the basis for separating direct and indirect cost under the PIA. Also, in line with section 263(d) of the PIA, an expenditure, (tangible or intangible costs) directly incurred in connection with the drilling of the first exploration well and the first two appraisal wells in the same field will be deductible for tax purposes.  This is different from what applied under section 10(1)(j) of PPTA</w:t>
      </w:r>
      <w:r>
        <w:rPr>
          <w:rFonts w:eastAsia="Calibri"/>
          <w:bCs/>
          <w:vertAlign w:val="superscript"/>
          <w:lang w:val="en-GB"/>
        </w:rPr>
        <w:footnoteReference w:id="668"/>
      </w:r>
      <w:r>
        <w:rPr>
          <w:rFonts w:eastAsia="Calibri"/>
          <w:bCs/>
          <w:lang w:val="en-GB"/>
        </w:rPr>
        <w:t xml:space="preserve"> which allowed any other expenditure, including tangible drilling costs directly incurred in connection with drilling and appraisal of a development well, but excluding expenditure which is qualifying expenditure for the purpose of computing capital allowances (CA) under the Second Schedule to the Act. This provision of the PIA as it stands restricts the deductibility of costs relating to an exploration well to only the first well. With the capital-intensive nature of upstream petroleum operations, and since exploration wells are the first set of wells to be drilled, it would only have been appropriate if companies are allowed to take full deduction of costs incurred bearing in mind the Cost-Price Ratio (CPR)</w:t>
      </w:r>
      <w:r>
        <w:rPr>
          <w:rFonts w:eastAsia="Calibri"/>
          <w:bCs/>
          <w:vertAlign w:val="superscript"/>
          <w:lang w:val="en-GB"/>
        </w:rPr>
        <w:footnoteReference w:id="669"/>
      </w:r>
      <w:r>
        <w:rPr>
          <w:rFonts w:eastAsia="Calibri"/>
          <w:bCs/>
          <w:lang w:val="en-GB"/>
        </w:rPr>
        <w:t xml:space="preserve"> capping of 65% gross revenue per year already imposed by PIA. </w:t>
      </w:r>
    </w:p>
    <w:p w14:paraId="1D382922">
      <w:pPr>
        <w:spacing w:after="160" w:line="480" w:lineRule="auto"/>
        <w:jc w:val="both"/>
        <w:rPr>
          <w:rFonts w:eastAsia="Calibri"/>
          <w:bCs/>
          <w:lang w:val="en-GB"/>
        </w:rPr>
      </w:pPr>
      <w:r>
        <w:rPr>
          <w:rFonts w:eastAsia="Calibri"/>
          <w:bCs/>
        </w:rPr>
        <w:t>The PIA has replaced the Investment Tax Allowance (ITA) and Investment Tax Credit (ITC), that existed under the PPTA, with production allowances</w:t>
      </w:r>
      <w:r>
        <w:rPr>
          <w:rFonts w:eastAsia="Calibri"/>
          <w:bCs/>
          <w:vertAlign w:val="superscript"/>
          <w:lang w:val="en-GB"/>
        </w:rPr>
        <w:footnoteReference w:id="670"/>
      </w:r>
      <w:r>
        <w:rPr>
          <w:rFonts w:eastAsia="Calibri"/>
          <w:bCs/>
        </w:rPr>
        <w:t xml:space="preserve"> on crude oil for new acreages, at the lower of 20% of the fiscal oil price and US$ 8 per barrel volume, and for converted acreages, at the lower of 20% of the fiscal oil price and US$ 2.50 per barrel for production of up to 500million barrels and US$ 4 for post 500million barrels produced. It is to be noted that the ITA &amp; ITC had contentious issues and had gone to arbitration, and in some cases to the High court, especially under the PSC regime</w:t>
      </w:r>
      <w:r>
        <w:rPr>
          <w:rStyle w:val="23"/>
          <w:rFonts w:eastAsia="Calibri"/>
          <w:bCs/>
        </w:rPr>
        <w:footnoteReference w:id="671"/>
      </w:r>
      <w:r>
        <w:rPr>
          <w:rFonts w:eastAsia="Calibri"/>
          <w:bCs/>
        </w:rPr>
        <w:t xml:space="preserve">. </w:t>
      </w:r>
      <w:r>
        <w:rPr>
          <w:rFonts w:eastAsia="Calibri"/>
          <w:bCs/>
          <w:lang w:val="en-GB"/>
        </w:rPr>
        <w:t>Production allowance will not apply to deep offshore operations</w:t>
      </w:r>
      <w:r>
        <w:rPr>
          <w:rFonts w:eastAsia="Calibri"/>
          <w:bCs/>
          <w:vertAlign w:val="superscript"/>
          <w:lang w:val="en-GB"/>
        </w:rPr>
        <w:footnoteReference w:id="672"/>
      </w:r>
      <w:r>
        <w:rPr>
          <w:rFonts w:eastAsia="Calibri"/>
          <w:bCs/>
          <w:lang w:val="en-GB"/>
        </w:rPr>
        <w:t xml:space="preserve"> which are not subject to HT, since deep offshore upstream petroleum operations are statutorily exempt from HT, but subject to CIT. These provisions on allowable deductions have several ambiguities and the CPR capping constitute avoidable distortions to the treatment of expenditure and the basis for ascertaining the chargeable profits for HT and CT on upstream petroleum operations.</w:t>
      </w:r>
    </w:p>
    <w:p w14:paraId="0E8EC1B1">
      <w:pPr>
        <w:spacing w:after="160" w:line="480" w:lineRule="auto"/>
        <w:jc w:val="both"/>
        <w:rPr>
          <w:rFonts w:eastAsia="Calibri"/>
          <w:bCs/>
        </w:rPr>
      </w:pPr>
    </w:p>
    <w:p w14:paraId="15A94998">
      <w:pPr>
        <w:spacing w:after="160" w:line="480" w:lineRule="auto"/>
        <w:jc w:val="both"/>
        <w:rPr>
          <w:rFonts w:eastAsia="Calibri"/>
          <w:b/>
        </w:rPr>
      </w:pPr>
      <w:r>
        <w:rPr>
          <w:rFonts w:eastAsia="Calibri"/>
          <w:b/>
        </w:rPr>
        <w:t xml:space="preserve"> 9.3.2</w:t>
      </w:r>
      <w:r>
        <w:rPr>
          <w:rFonts w:eastAsia="Calibri"/>
          <w:bCs/>
        </w:rPr>
        <w:t xml:space="preserve"> </w:t>
      </w:r>
      <w:r>
        <w:rPr>
          <w:rFonts w:eastAsia="Calibri"/>
          <w:b/>
        </w:rPr>
        <w:t xml:space="preserve">DECOMMISSIONING AND ABANDONMENT COST UNDER THE PIA  </w:t>
      </w:r>
    </w:p>
    <w:p w14:paraId="1A78F8BB">
      <w:pPr>
        <w:spacing w:after="160" w:line="480" w:lineRule="auto"/>
        <w:jc w:val="both"/>
        <w:rPr>
          <w:rFonts w:eastAsia="Calibri"/>
          <w:bCs/>
          <w:lang w:val="en-GB"/>
        </w:rPr>
      </w:pPr>
      <w:r>
        <w:rPr>
          <w:rFonts w:eastAsia="Calibri"/>
          <w:bCs/>
        </w:rPr>
        <w:t>The treatment of Decommissioning and Abandonment (D&amp;A) expenditure was another subject which was uncertain under the PPTA/PSC fiscal regime</w:t>
      </w:r>
      <w:r>
        <w:rPr>
          <w:rFonts w:eastAsia="Calibri"/>
          <w:bCs/>
          <w:vertAlign w:val="superscript"/>
        </w:rPr>
        <w:footnoteReference w:id="673"/>
      </w:r>
      <w:r>
        <w:rPr>
          <w:rFonts w:eastAsia="Calibri"/>
          <w:bCs/>
        </w:rPr>
        <w:t>. The PIA has addressed the subject by clarifying the tax treatment of D&amp;A expenditure for HT purposes. The PIA states that it shall be in line with the best petroleum industry best practice.</w:t>
      </w:r>
      <w:r>
        <w:rPr>
          <w:rFonts w:eastAsia="Calibri"/>
          <w:bCs/>
          <w:lang w:val="en-GB"/>
        </w:rPr>
        <w:t xml:space="preserve"> However, </w:t>
      </w:r>
      <w:r>
        <w:rPr>
          <w:rFonts w:eastAsia="Calibri"/>
          <w:bCs/>
        </w:rPr>
        <w:t>D&amp;A expenditure shall not take place without the written approval of the Commission or Authority and the responsibility and liabilities relating to D&amp;A shall be that of the licensee or lessee or contractor under the PSC.</w:t>
      </w:r>
      <w:r>
        <w:rPr>
          <w:rFonts w:eastAsia="Calibri"/>
          <w:bCs/>
          <w:lang w:val="en-GB"/>
        </w:rPr>
        <w:t xml:space="preserve"> </w:t>
      </w:r>
      <w:r>
        <w:rPr>
          <w:rFonts w:eastAsia="Calibri"/>
          <w:bCs/>
        </w:rPr>
        <w:t>Each lessee and licensee shall be required to set up, maintain, and manage a D&amp;A Fund held by a financial institution that is not an affiliate of the lessee or licensee. It will be in the form of an escrow account accessible by and approved by the Commission</w:t>
      </w:r>
      <w:r>
        <w:rPr>
          <w:rFonts w:eastAsia="Calibri"/>
          <w:bCs/>
          <w:vertAlign w:val="superscript"/>
          <w:lang w:val="en-GB"/>
        </w:rPr>
        <w:footnoteReference w:id="674"/>
      </w:r>
      <w:r>
        <w:rPr>
          <w:rFonts w:eastAsia="Calibri"/>
          <w:bCs/>
        </w:rPr>
        <w:t xml:space="preserve"> or the Authority as the case may be.</w:t>
      </w:r>
      <w:r>
        <w:rPr>
          <w:rFonts w:eastAsia="Calibri"/>
          <w:bCs/>
          <w:lang w:val="en-GB"/>
        </w:rPr>
        <w:t xml:space="preserve"> </w:t>
      </w:r>
      <w:r>
        <w:rPr>
          <w:rFonts w:eastAsia="Calibri"/>
          <w:bCs/>
        </w:rPr>
        <w:t>The new escrow account shall include any funds that have accrued prior to the effective date of the PIA, and the funds shall form part of the Fund under the PIA. The D&amp;A plan shall establish the yearly amount to be contributed to the respective D&amp;A Fund which shall be based on a reasonable estimate by the licensee or lessee and be subject to approval by the Commission.</w:t>
      </w:r>
      <w:r>
        <w:rPr>
          <w:rFonts w:eastAsia="Calibri"/>
          <w:bCs/>
          <w:lang w:val="en-GB"/>
        </w:rPr>
        <w:t xml:space="preserve"> The </w:t>
      </w:r>
      <w:r>
        <w:rPr>
          <w:rFonts w:eastAsia="Calibri"/>
          <w:bCs/>
        </w:rPr>
        <w:t xml:space="preserve">bank account shall be controlled by the investor, and the Commission can have direct access to the funds in case of default. The lessee or licensee is to provide a statement of account every year, to the Commission, Authority and Service. </w:t>
      </w:r>
    </w:p>
    <w:p w14:paraId="2DEACD5D">
      <w:pPr>
        <w:spacing w:after="160" w:line="480" w:lineRule="auto"/>
        <w:jc w:val="both"/>
        <w:rPr>
          <w:rFonts w:eastAsia="Calibri"/>
          <w:bCs/>
          <w:lang w:val="en-GB"/>
        </w:rPr>
      </w:pPr>
      <w:r>
        <w:rPr>
          <w:rFonts w:eastAsia="Calibri"/>
          <w:bCs/>
          <w:lang w:val="en-GB"/>
        </w:rPr>
        <w:t>The D&amp;A contributions paid into a Fund approved by the Commission are now tax deductible provided the balance is subject to tax under the PIA at the end of the life of the field where the lessee receives the surplus.</w:t>
      </w:r>
      <w:r>
        <w:rPr>
          <w:rFonts w:eastAsia="Calibri"/>
          <w:sz w:val="22"/>
          <w:szCs w:val="22"/>
          <w:lang w:val="en-GB"/>
        </w:rPr>
        <w:t xml:space="preserve"> </w:t>
      </w:r>
      <w:r>
        <w:rPr>
          <w:rFonts w:eastAsia="Calibri"/>
          <w:lang w:val="en-GB"/>
        </w:rPr>
        <w:t xml:space="preserve">This was not the case under the PPTA which ostensibly disallowed funds accrued for D&amp;A, and only allowed actual incurred D&amp;A expenditure. </w:t>
      </w:r>
      <w:r>
        <w:rPr>
          <w:rFonts w:eastAsia="Calibri"/>
          <w:bCs/>
          <w:lang w:val="en-GB"/>
        </w:rPr>
        <w:t>The PIA provision on tax deductibility of D&amp;A expense or contributions is certainly an improvement on the position under the PPTA, although the Commission’s role should be under clear guidelines.</w:t>
      </w:r>
    </w:p>
    <w:p w14:paraId="23D541CD">
      <w:pPr>
        <w:spacing w:after="160" w:line="480" w:lineRule="auto"/>
        <w:jc w:val="both"/>
        <w:rPr>
          <w:rFonts w:eastAsia="Calibri"/>
          <w:b/>
          <w:bCs/>
          <w:lang w:val="en-GB"/>
        </w:rPr>
      </w:pPr>
    </w:p>
    <w:p w14:paraId="474A2738">
      <w:pPr>
        <w:spacing w:after="160" w:line="480" w:lineRule="auto"/>
        <w:jc w:val="both"/>
        <w:rPr>
          <w:rFonts w:eastAsia="Calibri"/>
          <w:b/>
          <w:bCs/>
          <w:lang w:val="en-GB"/>
        </w:rPr>
      </w:pPr>
      <w:r>
        <w:rPr>
          <w:rFonts w:eastAsia="Calibri"/>
          <w:b/>
          <w:bCs/>
          <w:lang w:val="en-GB"/>
        </w:rPr>
        <w:t xml:space="preserve">9.3.3 </w:t>
      </w:r>
      <w:r>
        <w:rPr>
          <w:rFonts w:eastAsia="Calibri"/>
          <w:b/>
          <w:bCs/>
          <w:lang w:val="en-GB"/>
        </w:rPr>
        <w:tab/>
      </w:r>
      <w:r>
        <w:rPr>
          <w:rFonts w:eastAsia="Calibri"/>
          <w:b/>
          <w:bCs/>
          <w:lang w:val="en-GB"/>
        </w:rPr>
        <w:t xml:space="preserve">GAS TAXATION UNDER THE PIA </w:t>
      </w:r>
    </w:p>
    <w:p w14:paraId="02CF6FB5">
      <w:pPr>
        <w:spacing w:after="160" w:line="480" w:lineRule="auto"/>
        <w:jc w:val="both"/>
        <w:rPr>
          <w:rFonts w:eastAsia="Calibri"/>
          <w:bCs/>
          <w:color w:val="000000"/>
        </w:rPr>
      </w:pPr>
      <w:r>
        <w:rPr>
          <w:rFonts w:eastAsia="Calibri"/>
          <w:bCs/>
          <w:lang w:val="en-GB"/>
        </w:rPr>
        <w:t>Under the PPTA/CITA regime, certain fiscal incentives were granted to encourage the development and production of associated and non-associated gas</w:t>
      </w:r>
      <w:r>
        <w:rPr>
          <w:rFonts w:eastAsia="Calibri"/>
          <w:bCs/>
          <w:vertAlign w:val="superscript"/>
          <w:lang w:val="en-GB"/>
        </w:rPr>
        <w:footnoteReference w:id="675"/>
      </w:r>
      <w:r>
        <w:rPr>
          <w:rFonts w:eastAsia="Calibri"/>
          <w:bCs/>
          <w:lang w:val="en-GB"/>
        </w:rPr>
        <w:t>, as the PPTA focused on oil development and production as the basis for taxation. The fiscal incentives for gas development leveraged on the oil capital expenditure, under the PPTA, whilst gas income was taxed under CITA terms.</w:t>
      </w:r>
      <w:r>
        <w:rPr>
          <w:lang w:val="en-GB"/>
        </w:rPr>
        <w:t xml:space="preserve"> </w:t>
      </w:r>
      <w:r>
        <w:rPr>
          <w:rFonts w:eastAsia="Calibri"/>
          <w:bCs/>
          <w:lang w:val="en-GB"/>
        </w:rPr>
        <w:t xml:space="preserve">Until the decision in the Agip case discussed in chapter 4 of the thesis, there was a lingering confusion on the interaction of the PPTA and CITA with respect to treatment of gas development capital expenditure under PPTA oil capex, and gas income under CITA rules. To address the distortion arising from the interaction of the PPTA and CITA regime, as well as broaden the basis of taxation to cater for gas, and the regulation of gas prices, the PIA has clearly </w:t>
      </w:r>
      <w:r>
        <w:rPr>
          <w:rFonts w:eastAsia="Calibri"/>
          <w:bCs/>
          <w:color w:val="000000"/>
          <w:lang w:val="en-GB"/>
        </w:rPr>
        <w:t xml:space="preserve">separated the development, production, and </w:t>
      </w:r>
      <w:r>
        <w:rPr>
          <w:rFonts w:eastAsia="Calibri"/>
          <w:bCs/>
          <w:color w:val="000000"/>
        </w:rPr>
        <w:t xml:space="preserve">taxation of gas upstream, midstream, and downstream respectively. The PIA, however, </w:t>
      </w:r>
      <w:r>
        <w:rPr>
          <w:rFonts w:eastAsia="Calibri"/>
          <w:bCs/>
          <w:color w:val="000000"/>
          <w:lang w:val="en-GB"/>
        </w:rPr>
        <w:t xml:space="preserve">retains the fiscal incentives for gas in integrated petroleum operations. The PIA states clearly </w:t>
      </w:r>
      <w:r>
        <w:rPr>
          <w:rFonts w:eastAsia="Calibri"/>
          <w:bCs/>
          <w:color w:val="000000"/>
        </w:rPr>
        <w:t>that gas produced from upstream operations will be subject to income tax in line with the provisions of CITA</w:t>
      </w:r>
      <w:r>
        <w:rPr>
          <w:rFonts w:eastAsia="Calibri"/>
          <w:bCs/>
          <w:color w:val="000000"/>
          <w:vertAlign w:val="superscript"/>
        </w:rPr>
        <w:footnoteReference w:id="676"/>
      </w:r>
      <w:r>
        <w:rPr>
          <w:rFonts w:eastAsia="Calibri"/>
          <w:bCs/>
          <w:color w:val="000000"/>
        </w:rPr>
        <w:t xml:space="preserve">. In effect, both cost and income will be subject to CITA requirements and HT as a resource tax will not apply to expenditure or profits from gas produced upstream, as was the case under the PPTA. </w:t>
      </w:r>
    </w:p>
    <w:p w14:paraId="6AFD167E">
      <w:pPr>
        <w:spacing w:after="160" w:line="480" w:lineRule="auto"/>
        <w:jc w:val="both"/>
        <w:rPr>
          <w:rFonts w:eastAsia="Calibri"/>
          <w:bCs/>
        </w:rPr>
      </w:pPr>
      <w:r>
        <w:rPr>
          <w:rFonts w:eastAsia="Calibri"/>
          <w:bCs/>
          <w:color w:val="000000"/>
          <w:lang w:val="en-GB"/>
        </w:rPr>
        <w:t>T</w:t>
      </w:r>
      <w:r>
        <w:rPr>
          <w:rFonts w:eastAsia="Calibri"/>
          <w:bCs/>
          <w:color w:val="000000"/>
        </w:rPr>
        <w:t xml:space="preserve">he PIA further provides a clear royalty regime for gas at the rate of 5% for natural gas and natural gas liquids production. This royalty rate is reduced to 2.5% where the natural gas is produced and utilized in Nigeria. </w:t>
      </w:r>
      <w:r>
        <w:rPr>
          <w:rFonts w:eastAsia="Calibri"/>
          <w:bCs/>
          <w:lang w:val="en-GB"/>
        </w:rPr>
        <w:t xml:space="preserve">Furthermore, </w:t>
      </w:r>
      <w:r>
        <w:rPr>
          <w:rFonts w:eastAsia="Calibri"/>
          <w:bCs/>
        </w:rPr>
        <w:t>the PIA has introduced changes that provide the much-required regulatory framework for natural gas development and taxation</w:t>
      </w:r>
      <w:r>
        <w:rPr>
          <w:rFonts w:eastAsia="Calibri"/>
          <w:bCs/>
          <w:vertAlign w:val="superscript"/>
        </w:rPr>
        <w:footnoteReference w:id="677"/>
      </w:r>
      <w:r>
        <w:rPr>
          <w:rFonts w:eastAsia="Calibri"/>
          <w:bCs/>
        </w:rPr>
        <w:t xml:space="preserve">.  The PIA has commenced the deregulation of the gas market by establishing a progressive cost-reflective pricing framework with a structure for market intervention through the domestic gas supply obligations and a wholesale natural gas market. </w:t>
      </w:r>
    </w:p>
    <w:p w14:paraId="0A54D245">
      <w:pPr>
        <w:spacing w:after="160" w:line="480" w:lineRule="auto"/>
        <w:jc w:val="both"/>
        <w:rPr>
          <w:rFonts w:eastAsia="Calibri"/>
          <w:bCs/>
          <w:lang w:val="en-GB"/>
        </w:rPr>
      </w:pPr>
      <w:r>
        <w:rPr>
          <w:rFonts w:eastAsia="Calibri"/>
          <w:bCs/>
          <w:lang w:val="en-GB"/>
        </w:rPr>
        <w:t xml:space="preserve">To enhance the protection of the environment, the PIA has introduced measures and penalties to prohibit the flaring of gas except in cases of emergency, in pursuance of an exemption granted by the Commission or as an acceptable safety practice under established regulations. Upstream operators involved in the production of natural gas in an integrated oil and gas operation are to submit, within 12 months of the effective date of the PIA, a natural gas flare elimination and monetisation plan in accordance with Regulations to be issued by the Commission. </w:t>
      </w:r>
      <w:r>
        <w:rPr>
          <w:rFonts w:eastAsia="Calibri"/>
          <w:bCs/>
        </w:rPr>
        <w:t>A Midstream and Downstream Gas Infrastructure Fund (MDGIF) has been established under the PIA. It is expected to promote equity investments in midstream and downstream gas infrastructure projects. Also, to create long term stability and predictability for the prices of marketable natural gas, the pricing framework is provided for in the PIA</w:t>
      </w:r>
      <w:r>
        <w:rPr>
          <w:rFonts w:eastAsia="Calibri"/>
          <w:bCs/>
          <w:vertAlign w:val="superscript"/>
        </w:rPr>
        <w:footnoteReference w:id="678"/>
      </w:r>
      <w:r>
        <w:rPr>
          <w:rFonts w:eastAsia="Calibri"/>
          <w:bCs/>
        </w:rPr>
        <w:t>.</w:t>
      </w:r>
      <w:r>
        <w:rPr>
          <w:rFonts w:eastAsia="Calibri"/>
          <w:bCs/>
          <w:lang w:val="en-GB"/>
        </w:rPr>
        <w:t xml:space="preserve"> This clarity of terms and treatment and market intervention requirement were absent under the PPTA / CITA gas income taxation regime, whilst the confusion on the tax treatment of gas flared charges has also been properly addressed under the PIA. </w:t>
      </w:r>
    </w:p>
    <w:p w14:paraId="73135A3C">
      <w:pPr>
        <w:spacing w:after="160" w:line="480" w:lineRule="auto"/>
        <w:jc w:val="both"/>
        <w:rPr>
          <w:color w:val="000000"/>
        </w:rPr>
      </w:pPr>
      <w:r>
        <w:rPr>
          <w:rFonts w:eastAsia="Calibri"/>
          <w:bCs/>
          <w:color w:val="000000"/>
        </w:rPr>
        <w:t xml:space="preserve">The PIA extends the grant of tax incentives to midstream petroleum operations, as this was previously limited to upstream integrated oil and gas operations and downstream operations. These incentives include ten (10) years tax holiday for investment in the gas pipeline, and a contribution of 3% of annual operating expenditure to a Host Community Trust Fund. With the more precisely stated obligations and well-defined terms and rates, under the PIA, and the enhanced regulatory framework for compliance, the confusion, uncertainty, and the lack of well-defined boundaries in the treatment of gas produced upstream, mid-stream and downstream, have been addressed. </w:t>
      </w:r>
    </w:p>
    <w:p w14:paraId="4879A057">
      <w:pPr>
        <w:spacing w:after="160" w:line="480" w:lineRule="auto"/>
        <w:jc w:val="both"/>
        <w:rPr>
          <w:rFonts w:eastAsia="Calibri"/>
          <w:bCs/>
          <w:color w:val="000000"/>
          <w:lang w:val="en-GB"/>
        </w:rPr>
      </w:pPr>
    </w:p>
    <w:p w14:paraId="7D08FCD9">
      <w:pPr>
        <w:spacing w:after="160" w:line="480" w:lineRule="auto"/>
        <w:jc w:val="both"/>
        <w:rPr>
          <w:rFonts w:eastAsia="Calibri"/>
          <w:b/>
          <w:bCs/>
        </w:rPr>
      </w:pPr>
      <w:r>
        <w:rPr>
          <w:rFonts w:eastAsia="Calibri"/>
          <w:b/>
          <w:bCs/>
        </w:rPr>
        <w:t>9.4</w:t>
      </w:r>
      <w:r>
        <w:rPr>
          <w:rFonts w:eastAsia="Calibri"/>
          <w:b/>
          <w:bCs/>
        </w:rPr>
        <w:tab/>
      </w:r>
      <w:r>
        <w:rPr>
          <w:rFonts w:eastAsia="Calibri"/>
          <w:b/>
          <w:bCs/>
        </w:rPr>
        <w:t xml:space="preserve">THE NEW ROYALTY SYSTEM </w:t>
      </w:r>
      <w:r>
        <w:rPr>
          <w:rFonts w:eastAsia="Calibri"/>
          <w:b/>
          <w:bCs/>
          <w:color w:val="000000"/>
        </w:rPr>
        <w:t>UNDER THE PIA</w:t>
      </w:r>
      <w:r>
        <w:rPr>
          <w:b/>
          <w:color w:val="000000"/>
        </w:rPr>
        <w:t xml:space="preserve"> </w:t>
      </w:r>
    </w:p>
    <w:p w14:paraId="5CD90977">
      <w:pPr>
        <w:spacing w:after="160" w:line="480" w:lineRule="auto"/>
        <w:jc w:val="both"/>
        <w:rPr>
          <w:rFonts w:eastAsia="Calibri"/>
          <w:bCs/>
          <w:lang w:val="en-GB"/>
        </w:rPr>
      </w:pPr>
      <w:r>
        <w:rPr>
          <w:rFonts w:eastAsia="Calibri"/>
          <w:bCs/>
        </w:rPr>
        <w:t xml:space="preserve">Under the Petroleum Act (PA) and the PPTA as amended by the PSC Act, the </w:t>
      </w:r>
      <w:r>
        <w:rPr>
          <w:rFonts w:eastAsia="Calibri"/>
          <w:bCs/>
          <w:lang w:val="en-GB"/>
        </w:rPr>
        <w:t>holder of an OPL or OML shall pay royalties to the FG as soon as production starts</w:t>
      </w:r>
      <w:r>
        <w:rPr>
          <w:rFonts w:eastAsia="Calibri"/>
          <w:bCs/>
          <w:vertAlign w:val="superscript"/>
          <w:lang w:val="en-GB"/>
        </w:rPr>
        <w:footnoteReference w:id="679"/>
      </w:r>
      <w:r>
        <w:rPr>
          <w:rFonts w:eastAsia="Calibri"/>
          <w:bCs/>
          <w:lang w:val="en-GB"/>
        </w:rPr>
        <w:t>. This is usually a monthly cash payment at the prescribed rate or by way of royalty oil under the PSC arrangement. Royalty as an economic rent is essentially non-neutral and a regressive tax</w:t>
      </w:r>
      <w:r>
        <w:rPr>
          <w:rFonts w:eastAsia="Calibri"/>
          <w:bCs/>
          <w:vertAlign w:val="superscript"/>
          <w:lang w:val="en-GB"/>
        </w:rPr>
        <w:footnoteReference w:id="680"/>
      </w:r>
      <w:r>
        <w:rPr>
          <w:rFonts w:eastAsia="Calibri"/>
          <w:bCs/>
          <w:lang w:val="en-GB"/>
        </w:rPr>
        <w:t xml:space="preserve"> and has been abolished in some jurisdictions, such as in the UK</w:t>
      </w:r>
      <w:r>
        <w:rPr>
          <w:rFonts w:eastAsia="Calibri"/>
          <w:bCs/>
          <w:vertAlign w:val="superscript"/>
          <w:lang w:val="en-GB"/>
        </w:rPr>
        <w:footnoteReference w:id="681"/>
      </w:r>
      <w:r>
        <w:rPr>
          <w:rFonts w:eastAsia="Calibri"/>
          <w:bCs/>
          <w:lang w:val="en-GB"/>
        </w:rPr>
        <w:t> and Norway, and presently being proposed in Australia, New Zealand, and Canada</w:t>
      </w:r>
      <w:r>
        <w:rPr>
          <w:rFonts w:eastAsia="Calibri"/>
          <w:bCs/>
          <w:vertAlign w:val="superscript"/>
          <w:lang w:val="en-GB"/>
        </w:rPr>
        <w:footnoteReference w:id="682"/>
      </w:r>
      <w:r>
        <w:rPr>
          <w:rFonts w:eastAsia="Calibri"/>
          <w:bCs/>
          <w:lang w:val="en-GB"/>
        </w:rPr>
        <w:t>. As much as royalty remains a means for capturing early economic rents, which makes it attractive for countries like Nigeria, the absence of expenditure reliefs, even in the event of reduced rates, still encourage investment delay leading to deferral and/or loss in fiscal revenues, as well as difficulty of formulating a certain fiscal regime that suits various regions</w:t>
      </w:r>
      <w:r>
        <w:rPr>
          <w:rFonts w:eastAsia="Calibri"/>
          <w:bCs/>
          <w:vertAlign w:val="superscript"/>
          <w:lang w:val="en-GB"/>
        </w:rPr>
        <w:footnoteReference w:id="683"/>
      </w:r>
      <w:r>
        <w:rPr>
          <w:rFonts w:eastAsia="Calibri"/>
          <w:bCs/>
          <w:lang w:val="en-GB"/>
        </w:rPr>
        <w:t xml:space="preserve"> with different geology and cost structures, and smaller fields.</w:t>
      </w:r>
    </w:p>
    <w:p w14:paraId="0D4D0528">
      <w:pPr>
        <w:spacing w:after="160" w:line="480" w:lineRule="auto"/>
        <w:jc w:val="both"/>
        <w:rPr>
          <w:rFonts w:eastAsia="Calibri"/>
          <w:bCs/>
          <w:lang w:val="en-GB"/>
        </w:rPr>
      </w:pPr>
      <w:r>
        <w:rPr>
          <w:rFonts w:eastAsia="Calibri"/>
          <w:bCs/>
          <w:lang w:val="en-GB"/>
        </w:rPr>
        <w:t>The PA licensing and royalty regime for upstream petroleum operations as examined in chapter 3 &amp; 4, identified the contentious issues beyond rates and terrains (onshore, shallow water and deep offshore), as well as lack of clarity of terms on issues such as the basis, the applicable production volumes, the fiscal point, and the price ascertainment for royalty, as well as the price thresholds and timing for amendment. After several years of non-review and allegations of revenue loss by government, in 2019, a price-reflective royalties’ scheme was introduced. Also introduced is an 8-year periodic review of the PSC to enhance the regime. The penalties for non-compliance as existed under the PSC Act had not been initiated or failed to address the uncertainties in the royalty system</w:t>
      </w:r>
      <w:r>
        <w:rPr>
          <w:rFonts w:eastAsia="Calibri"/>
          <w:bCs/>
          <w:vertAlign w:val="superscript"/>
          <w:lang w:val="en-GB"/>
        </w:rPr>
        <w:footnoteReference w:id="684"/>
      </w:r>
      <w:r>
        <w:rPr>
          <w:rFonts w:eastAsia="Calibri"/>
          <w:bCs/>
          <w:lang w:val="en-GB"/>
        </w:rPr>
        <w:t>. A revised penalty has now been introduced under the 2019 amendment to the PSC Act.</w:t>
      </w:r>
    </w:p>
    <w:p w14:paraId="5ECB8AB9">
      <w:pPr>
        <w:spacing w:after="160" w:line="480" w:lineRule="auto"/>
        <w:jc w:val="both"/>
        <w:rPr>
          <w:rFonts w:eastAsia="Calibri"/>
          <w:bCs/>
        </w:rPr>
      </w:pPr>
      <w:r>
        <w:rPr>
          <w:rFonts w:eastAsia="Calibri"/>
          <w:bCs/>
          <w:lang w:val="en-GB"/>
        </w:rPr>
        <w:t>Whereas t</w:t>
      </w:r>
      <w:r>
        <w:rPr>
          <w:rFonts w:eastAsia="Calibri"/>
          <w:bCs/>
        </w:rPr>
        <w:t xml:space="preserve">he old royalty scheme was a function of terrain and production volumes, until amended in 2019 under the PSC Act, which sought to rectify the failure and loss of revenues under section 16 of the PSC Act, the PIA </w:t>
      </w:r>
      <w:r>
        <w:rPr>
          <w:rFonts w:eastAsia="Calibri"/>
          <w:bCs/>
          <w:lang w:val="en-GB"/>
        </w:rPr>
        <w:t>has revised the royalty regime and retained a slightly modified terrain /asset based, production and price reflective rate.</w:t>
      </w:r>
      <w:r>
        <w:rPr>
          <w:rFonts w:eastAsia="Calibri"/>
          <w:bCs/>
        </w:rPr>
        <w:t xml:space="preserve"> So, aside from the delineation of terrain, there had been lack of clarity on the production volumes and price correction mechanism as well as the measurement point for royalty purposes. Following the PIA terms, for royalty purposes, condensates will be treated as crude oil and natural gas liquids as natural gas. With respect to production, the applicable rates on chargeable volumes in the relevant areas are different for crude oil and natural gas, depending on the terrain. For oil produced onshore, the royalty rate is 15%, whilst shallow water attracts 12.5%, and the deep offshore and frontier basins attract 7.5%, as shown in the table below. </w:t>
      </w:r>
    </w:p>
    <w:p w14:paraId="4195C814">
      <w:pPr>
        <w:spacing w:after="160" w:line="480" w:lineRule="auto"/>
        <w:jc w:val="both"/>
        <w:rPr>
          <w:rFonts w:eastAsia="Calibri"/>
          <w:b/>
          <w:bCs/>
        </w:rPr>
      </w:pPr>
      <w: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344805</wp:posOffset>
                </wp:positionV>
                <wp:extent cx="5935345" cy="1635760"/>
                <wp:effectExtent l="0" t="0" r="0" b="2540"/>
                <wp:wrapThrough wrapText="bothSides">
                  <wp:wrapPolygon>
                    <wp:start x="0" y="0"/>
                    <wp:lineTo x="0" y="21634"/>
                    <wp:lineTo x="21561" y="21634"/>
                    <wp:lineTo x="21561" y="0"/>
                    <wp:lineTo x="0" y="0"/>
                  </wp:wrapPolygon>
                </wp:wrapThrough>
                <wp:docPr id="1808771879" name="Group 111"/>
                <wp:cNvGraphicFramePr/>
                <a:graphic xmlns:a="http://schemas.openxmlformats.org/drawingml/2006/main">
                  <a:graphicData uri="http://schemas.microsoft.com/office/word/2010/wordprocessingGroup">
                    <wpg:wgp>
                      <wpg:cNvGrpSpPr/>
                      <wpg:grpSpPr>
                        <a:xfrm>
                          <a:off x="0" y="0"/>
                          <a:ext cx="5935345" cy="1635760"/>
                          <a:chOff x="0" y="0"/>
                          <a:chExt cx="5734685" cy="1635827"/>
                        </a:xfrm>
                        <a:effectLst/>
                      </wpg:grpSpPr>
                      <pic:pic xmlns:pic="http://schemas.openxmlformats.org/drawingml/2006/picture">
                        <pic:nvPicPr>
                          <pic:cNvPr id="1539458581" name="Picture 1"/>
                          <pic:cNvPicPr>
                            <a:picLocks noChangeAspect="1"/>
                          </pic:cNvPicPr>
                        </pic:nvPicPr>
                        <pic:blipFill>
                          <a:blip r:embed="rId39"/>
                          <a:srcRect/>
                          <a:stretch>
                            <a:fillRect/>
                          </a:stretch>
                        </pic:blipFill>
                        <pic:spPr>
                          <a:xfrm>
                            <a:off x="0" y="0"/>
                            <a:ext cx="5734685" cy="1524000"/>
                          </a:xfrm>
                          <a:prstGeom prst="rect">
                            <a:avLst/>
                          </a:prstGeom>
                          <a:noFill/>
                          <a:ln>
                            <a:noFill/>
                          </a:ln>
                          <a:effectLst/>
                        </pic:spPr>
                      </pic:pic>
                      <wps:wsp>
                        <wps:cNvPr id="217" name="Text Box 2"/>
                        <wps:cNvSpPr txBox="1">
                          <a:spLocks noChangeArrowheads="1"/>
                        </wps:cNvSpPr>
                        <wps:spPr bwMode="auto">
                          <a:xfrm>
                            <a:off x="0" y="1347537"/>
                            <a:ext cx="5710989" cy="288290"/>
                          </a:xfrm>
                          <a:prstGeom prst="rect">
                            <a:avLst/>
                          </a:prstGeom>
                          <a:solidFill>
                            <a:srgbClr val="E7E6E6"/>
                          </a:solidFill>
                          <a:ln w="9525">
                            <a:solidFill>
                              <a:srgbClr val="000000"/>
                            </a:solidFill>
                            <a:miter lim="800000"/>
                          </a:ln>
                          <a:effectLst/>
                        </wps:spPr>
                        <wps:txbx>
                          <w:txbxContent>
                            <w:p w14:paraId="2193AE2E">
                              <w:pPr>
                                <w:rPr>
                                  <w:sz w:val="26"/>
                                  <w:szCs w:val="26"/>
                                </w:rPr>
                              </w:pPr>
                              <w:r>
                                <w:rPr>
                                  <w:sz w:val="26"/>
                                  <w:szCs w:val="26"/>
                                </w:rPr>
                                <w:t xml:space="preserve">      Onshore               Shallow Water             Deep Water             Frontier Basin</w:t>
                              </w:r>
                            </w:p>
                          </w:txbxContent>
                        </wps:txbx>
                        <wps:bodyPr rot="0" vert="horz" wrap="square" lIns="91440" tIns="45720" rIns="91440" bIns="45720" anchor="t" anchorCtr="0">
                          <a:noAutofit/>
                        </wps:bodyPr>
                      </wps:wsp>
                    </wpg:wgp>
                  </a:graphicData>
                </a:graphic>
              </wp:anchor>
            </w:drawing>
          </mc:Choice>
          <mc:Fallback>
            <w:pict>
              <v:group id="Group 111" o:spid="_x0000_s1026" o:spt="203" style="position:absolute;left:0pt;margin-top:27.15pt;height:128.8pt;width:467.35pt;mso-position-horizontal:right;mso-position-horizontal-relative:margin;mso-wrap-distance-left:9pt;mso-wrap-distance-right:9pt;z-index:251659264;mso-width-relative:page;mso-height-relative:page;" coordsize="5734685,1635827" wrapcoords="0 0 0 21634 21561 21634 21561 0 0 0" o:gfxdata="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">
                <o:lock v:ext="edit" aspectratio="f"/>
                <v:shape id="Picture 1" o:spid="_x0000_s1026" o:spt="75" type="#_x0000_t75" style="position:absolute;left:0;top:0;height:1524000;width:5734685;" filled="f" o:preferrelative="t" stroked="f" coordsize="21600,21600" o:gfxdata="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8P&#10;3V7CAAAA4wAAAA8AAAAAAAAAAQAgAAAAIgAAAGRycy9kb3ducmV2LnhtbFBLAQIUABQAAAAIAIdO&#10;4kAzLwWeOwAAADkAAAAQAAAAAAAAAAEAIAAAABEBAABkcnMvc2hhcGV4bWwueG1sUEsFBgAAAAAG&#10;AAYAWwEAALsDAAAAAA==&#10;">
                  <v:fill on="f" focussize="0,0"/>
                  <v:stroke on="f"/>
                  <v:imagedata r:id="rId39" o:title=""/>
                  <o:lock v:ext="edit" aspectratio="t"/>
                </v:shape>
                <v:shape id="Text Box 2" o:spid="_x0000_s1026" o:spt="202" type="#_x0000_t202" style="position:absolute;left:0;top:1347537;height:288290;width:5710989;" fillcolor="#E7E6E6" filled="t" stroked="t" coordsize="21600,21600" o:gfxdata="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9xb&#10;ysEAAADc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w:txbxContent>
                      <w:p w14:paraId="2193AE2E">
                        <w:pPr>
                          <w:rPr>
                            <w:sz w:val="26"/>
                            <w:szCs w:val="26"/>
                          </w:rPr>
                        </w:pPr>
                        <w:r>
                          <w:rPr>
                            <w:sz w:val="26"/>
                            <w:szCs w:val="26"/>
                          </w:rPr>
                          <w:t xml:space="preserve">      Onshore               Shallow Water             Deep Water             Frontier Basin</w:t>
                        </w:r>
                      </w:p>
                    </w:txbxContent>
                  </v:textbox>
                </v:shape>
                <w10:wrap type="through"/>
              </v:group>
            </w:pict>
          </mc:Fallback>
        </mc:AlternateContent>
      </w:r>
      <w:r>
        <w:rPr>
          <w:rFonts w:eastAsia="Calibri"/>
          <w:b/>
          <w:bCs/>
        </w:rPr>
        <w:t>Royalty Rates by Production - Oil</w:t>
      </w:r>
    </w:p>
    <w:p w14:paraId="2A297E2F">
      <w:pPr>
        <w:spacing w:after="160" w:line="480" w:lineRule="auto"/>
        <w:jc w:val="both"/>
        <w:rPr>
          <w:rFonts w:eastAsia="Calibri"/>
          <w:bCs/>
        </w:rPr>
      </w:pPr>
    </w:p>
    <w:p w14:paraId="14DA9F87">
      <w:pPr>
        <w:spacing w:after="160" w:line="480" w:lineRule="auto"/>
        <w:jc w:val="both"/>
        <w:rPr>
          <w:rFonts w:eastAsia="Calibri"/>
          <w:bCs/>
        </w:rPr>
      </w:pPr>
      <w:r>
        <w:rPr>
          <w:rFonts w:eastAsia="Calibri"/>
          <w:bCs/>
        </w:rPr>
        <w:t>For deep water operations with production in a month of not more than 50,000 bopd, the royalty rate is 5%. For production over and above 50,000 bopd, it is at the rate specified above, and for onshore and shallow water fields, including marginal fields with crude oil and condensate production not more than 10,000 bopd during a month, the royalty rate is, for the first 5,000 bopd, 5%, and for the next 5,000 bopd, 7.5%. Fields with crude oil and condensate production above 10,000 bopd during a month, the share of production above 10,000 barrels is at the rate specified in the table above.</w:t>
      </w:r>
    </w:p>
    <w:p w14:paraId="2226B857">
      <w:pPr>
        <w:spacing w:after="160" w:line="480" w:lineRule="auto"/>
        <w:jc w:val="both"/>
        <w:rPr>
          <w:rFonts w:eastAsia="Calibri"/>
          <w:b/>
          <w:bCs/>
        </w:rPr>
      </w:pPr>
      <w:r>
        <mc:AlternateContent>
          <mc:Choice Requires="wpg">
            <w:drawing>
              <wp:anchor distT="0" distB="0" distL="114300" distR="114300" simplePos="0" relativeHeight="251748352" behindDoc="0" locked="0" layoutInCell="1" allowOverlap="1">
                <wp:simplePos x="0" y="0"/>
                <wp:positionH relativeFrom="margin">
                  <wp:align>right</wp:align>
                </wp:positionH>
                <wp:positionV relativeFrom="paragraph">
                  <wp:posOffset>443230</wp:posOffset>
                </wp:positionV>
                <wp:extent cx="5935345" cy="1330960"/>
                <wp:effectExtent l="0" t="0" r="0" b="2540"/>
                <wp:wrapNone/>
                <wp:docPr id="103734560" name="Group 110"/>
                <wp:cNvGraphicFramePr/>
                <a:graphic xmlns:a="http://schemas.openxmlformats.org/drawingml/2006/main">
                  <a:graphicData uri="http://schemas.microsoft.com/office/word/2010/wordprocessingGroup">
                    <wpg:wgp>
                      <wpg:cNvGrpSpPr/>
                      <wpg:grpSpPr>
                        <a:xfrm>
                          <a:off x="0" y="0"/>
                          <a:ext cx="5935345" cy="1330960"/>
                          <a:chOff x="0" y="0"/>
                          <a:chExt cx="5684520" cy="1330792"/>
                        </a:xfrm>
                        <a:effectLst/>
                      </wpg:grpSpPr>
                      <pic:pic xmlns:pic="http://schemas.openxmlformats.org/drawingml/2006/picture">
                        <pic:nvPicPr>
                          <pic:cNvPr id="1360338483" name="Picture 1360338483" descr="A green squares with white text&#10;&#10;Description automatically generated"/>
                          <pic:cNvPicPr>
                            <a:picLocks noChangeAspect="1"/>
                          </pic:cNvPicPr>
                        </pic:nvPicPr>
                        <pic:blipFill>
                          <a:blip r:embed="rId40"/>
                          <a:srcRect/>
                          <a:stretch>
                            <a:fillRect/>
                          </a:stretch>
                        </pic:blipFill>
                        <pic:spPr>
                          <a:xfrm>
                            <a:off x="0" y="0"/>
                            <a:ext cx="5684520" cy="1156970"/>
                          </a:xfrm>
                          <a:prstGeom prst="rect">
                            <a:avLst/>
                          </a:prstGeom>
                          <a:noFill/>
                          <a:ln>
                            <a:noFill/>
                          </a:ln>
                          <a:effectLst/>
                        </pic:spPr>
                      </pic:pic>
                      <wps:wsp>
                        <wps:cNvPr id="1358343347" name="Text Box 2"/>
                        <wps:cNvSpPr txBox="1">
                          <a:spLocks noChangeArrowheads="1"/>
                        </wps:cNvSpPr>
                        <wps:spPr bwMode="auto">
                          <a:xfrm>
                            <a:off x="0" y="1050757"/>
                            <a:ext cx="5654675" cy="280035"/>
                          </a:xfrm>
                          <a:prstGeom prst="rect">
                            <a:avLst/>
                          </a:prstGeom>
                          <a:solidFill>
                            <a:srgbClr val="E7E6E6"/>
                          </a:solidFill>
                          <a:ln w="9525">
                            <a:solidFill>
                              <a:srgbClr val="000000"/>
                            </a:solidFill>
                            <a:miter lim="800000"/>
                          </a:ln>
                          <a:effectLst/>
                        </wps:spPr>
                        <wps:txbx>
                          <w:txbxContent>
                            <w:p w14:paraId="69FF2221">
                              <w:r>
                                <w:rPr>
                                  <w:sz w:val="26"/>
                                  <w:szCs w:val="26"/>
                                </w:rPr>
                                <w:t xml:space="preserve">   </w:t>
                              </w:r>
                              <w:r>
                                <w:t>Onshore             Shallow Water       Deep Water         Frontier Basin            Domestic Gas</w:t>
                              </w:r>
                            </w:p>
                          </w:txbxContent>
                        </wps:txbx>
                        <wps:bodyPr rot="0" vert="horz" wrap="square" lIns="91440" tIns="45720" rIns="91440" bIns="45720" anchor="t" anchorCtr="0">
                          <a:noAutofit/>
                        </wps:bodyPr>
                      </wps:wsp>
                    </wpg:wgp>
                  </a:graphicData>
                </a:graphic>
              </wp:anchor>
            </w:drawing>
          </mc:Choice>
          <mc:Fallback>
            <w:pict>
              <v:group id="Group 110" o:spid="_x0000_s1026" o:spt="203" style="position:absolute;left:0pt;margin-top:34.9pt;height:104.8pt;width:467.35pt;mso-position-horizontal:right;mso-position-horizontal-relative:margin;z-index:251748352;mso-width-relative:page;mso-height-relative:page;" coordsize="5684520,1330792" o:gfxdata="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">
                <o:lock v:ext="edit" aspectratio="f"/>
                <v:shape id="_x0000_s1026" o:spid="_x0000_s1026" o:spt="75" alt="A green squares with white text&#10;&#10;Description automatically generated" type="#_x0000_t75" style="position:absolute;left:0;top:0;height:1156970;width:5684520;" filled="f" o:preferrelative="t" stroked="f" coordsize="21600,21600" o:gfxdata="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PNSnwwAAAOMAAAAPAAAAAAAAAAEAIAAAACIAAABkcnMvZG93bnJldi54bWxQSwECFAAUAAAACACH&#10;TuJAMy8FnjsAAAA5AAAAEAAAAAAAAAABACAAAAASAQAAZHJzL3NoYXBleG1sLnhtbFBLBQYAAAAA&#10;BgAGAFsBAAC8AwAAAAA=&#10;">
                  <v:fill on="f" focussize="0,0"/>
                  <v:stroke on="f"/>
                  <v:imagedata r:id="rId40" o:title=""/>
                  <o:lock v:ext="edit" aspectratio="t"/>
                </v:shape>
                <v:shape id="Text Box 2" o:spid="_x0000_s1026" o:spt="202" type="#_x0000_t202" style="position:absolute;left:0;top:1050757;height:280035;width:5654675;" fillcolor="#E7E6E6" filled="t" stroked="t" coordsize="21600,21600" o:gfxdata="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j1bqLFAAAA4wAAAA8AAAAAAAAAAQAgAAAAIgAAAGRycy9kb3ducmV2LnhtbFBLAQIUABQAAAAI&#10;AIdO4kAzLwWeOwAAADkAAAAQAAAAAAAAAAEAIAAAABQBAABkcnMvc2hhcGV4bWwueG1sUEsFBgAA&#10;AAAGAAYAWwEAAL4DAAAAAA==&#10;">
                  <v:fill on="t" focussize="0,0"/>
                  <v:stroke color="#000000" miterlimit="8" joinstyle="miter"/>
                  <v:imagedata o:title=""/>
                  <o:lock v:ext="edit" aspectratio="f"/>
                  <v:textbox>
                    <w:txbxContent>
                      <w:p w14:paraId="69FF2221">
                        <w:r>
                          <w:rPr>
                            <w:sz w:val="26"/>
                            <w:szCs w:val="26"/>
                          </w:rPr>
                          <w:t xml:space="preserve">   </w:t>
                        </w:r>
                        <w:r>
                          <w:t>Onshore             Shallow Water       Deep Water         Frontier Basin            Domestic Gas</w:t>
                        </w:r>
                      </w:p>
                    </w:txbxContent>
                  </v:textbox>
                </v:shape>
              </v:group>
            </w:pict>
          </mc:Fallback>
        </mc:AlternateContent>
      </w:r>
      <w:r>
        <w:rPr>
          <w:rFonts w:eastAsia="Calibri"/>
          <w:b/>
          <w:bCs/>
        </w:rPr>
        <w:t xml:space="preserve">The Royalty rates by Production – Gas </w:t>
      </w:r>
    </w:p>
    <w:p w14:paraId="427AA138">
      <w:pPr>
        <w:spacing w:after="160" w:line="480" w:lineRule="auto"/>
        <w:jc w:val="both"/>
        <w:rPr>
          <w:rFonts w:eastAsia="Calibri"/>
          <w:bCs/>
        </w:rPr>
      </w:pPr>
    </w:p>
    <w:p w14:paraId="7587C359">
      <w:pPr>
        <w:spacing w:after="160" w:line="480" w:lineRule="auto"/>
        <w:jc w:val="both"/>
        <w:rPr>
          <w:rFonts w:eastAsia="Calibri"/>
          <w:bCs/>
        </w:rPr>
      </w:pPr>
    </w:p>
    <w:p w14:paraId="745E1DA6">
      <w:pPr>
        <w:spacing w:after="160" w:line="480" w:lineRule="auto"/>
        <w:jc w:val="both"/>
        <w:rPr>
          <w:rFonts w:eastAsia="Calibri"/>
          <w:bCs/>
        </w:rPr>
      </w:pPr>
    </w:p>
    <w:p w14:paraId="59A44DEF">
      <w:pPr>
        <w:spacing w:after="160" w:line="480" w:lineRule="auto"/>
        <w:jc w:val="both"/>
        <w:rPr>
          <w:rFonts w:eastAsia="Calibri"/>
          <w:bCs/>
        </w:rPr>
      </w:pPr>
    </w:p>
    <w:p w14:paraId="0F4EA192">
      <w:pPr>
        <w:spacing w:after="160" w:line="480" w:lineRule="auto"/>
        <w:jc w:val="both"/>
        <w:rPr>
          <w:rFonts w:eastAsia="Calibri"/>
          <w:bCs/>
        </w:rPr>
      </w:pPr>
      <w:r>
        <w:rPr>
          <w:rFonts w:eastAsia="Calibri"/>
          <w:bCs/>
        </w:rPr>
        <w:t xml:space="preserve">The Royalty rates for gas production is 5% for onshore and shallow waters, and 5% for deep offshore </w:t>
      </w:r>
      <w:r>
        <w:rPr>
          <w:rFonts w:eastAsia="Calibri"/>
          <w:bCs/>
          <w:color w:val="000000"/>
        </w:rPr>
        <w:t>and frontier basin</w:t>
      </w:r>
      <w:r>
        <w:rPr>
          <w:rFonts w:eastAsia="Calibri"/>
          <w:bCs/>
        </w:rPr>
        <w:t xml:space="preserve">. The PIA has equalized these rates to encourage gas development and utilization. </w:t>
      </w:r>
    </w:p>
    <w:p w14:paraId="5699060D">
      <w:pPr>
        <w:spacing w:after="160" w:line="480" w:lineRule="auto"/>
        <w:jc w:val="both"/>
        <w:rPr>
          <w:rFonts w:eastAsia="Calibri"/>
          <w:bCs/>
        </w:rPr>
      </w:pPr>
      <w:r>
        <w:rPr>
          <w:rFonts w:eastAsia="Calibri"/>
          <w:bCs/>
        </w:rPr>
        <w:t>The PIA has also introduced a price-based royalty for crude oil and condensates. The price ranges for crude oil and condensate below US$ 50, the rate is 0%, and for prices of US$ 100, and above, up to US$150, the rate is 5%, and above US$150 (</w:t>
      </w:r>
      <w:r>
        <w:rPr>
          <w:rFonts w:eastAsia="Calibri"/>
          <w:bCs/>
          <w:color w:val="000000"/>
        </w:rPr>
        <w:t xml:space="preserve">and above), </w:t>
      </w:r>
      <w:r>
        <w:rPr>
          <w:rFonts w:eastAsia="Calibri"/>
          <w:bCs/>
        </w:rPr>
        <w:t xml:space="preserve">the royalty rate is 10%, </w:t>
      </w:r>
      <w:r>
        <w:rPr>
          <w:rFonts w:eastAsia="Calibri"/>
          <w:bCs/>
          <w:lang w:val="en-GB"/>
        </w:rPr>
        <w:t xml:space="preserve">per barrel, as per the table below. </w:t>
      </w:r>
    </w:p>
    <w:p w14:paraId="4789FA69">
      <w:pPr>
        <w:spacing w:after="160" w:line="480" w:lineRule="auto"/>
        <w:jc w:val="both"/>
        <w:rPr>
          <w:rFonts w:eastAsia="Calibri"/>
          <w:b/>
          <w:bCs/>
          <w:lang w:val="en-GB"/>
        </w:rPr>
      </w:pPr>
      <w:r>
        <w:rPr>
          <w:rFonts w:eastAsia="Calibri"/>
          <w:b/>
          <w:bCs/>
          <w:lang w:val="en-GB"/>
        </w:rPr>
        <w:t>Royalty by Price</w:t>
      </w:r>
    </w:p>
    <w:p w14:paraId="1358783F">
      <w:pPr>
        <w:spacing w:after="160" w:line="480" w:lineRule="auto"/>
        <w:jc w:val="both"/>
        <w:rPr>
          <w:rFonts w:eastAsia="Calibri"/>
          <w:bCs/>
          <w:lang w:val="en-GB"/>
        </w:rPr>
      </w:pPr>
      <w:r>
        <w:rPr>
          <w:rFonts w:eastAsia="Calibri"/>
          <w:bCs/>
          <w:lang w:val="en-GB" w:eastAsia="en-GB"/>
        </w:rPr>
        <w:drawing>
          <wp:inline distT="0" distB="0" distL="0" distR="0">
            <wp:extent cx="5821680" cy="1150620"/>
            <wp:effectExtent l="0" t="0" r="7620" b="0"/>
            <wp:docPr id="11" name="Picture 6" descr="A close-up of a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 close-up of a barrel&#10;&#10;Description automatically generated"/>
                    <pic:cNvPicPr>
                      <a:picLocks noChangeAspect="1" noChangeArrowheads="1"/>
                    </pic:cNvPicPr>
                  </pic:nvPicPr>
                  <pic:blipFill>
                    <a:blip r:embed="rId41"/>
                    <a:srcRect/>
                    <a:stretch>
                      <a:fillRect/>
                    </a:stretch>
                  </pic:blipFill>
                  <pic:spPr>
                    <a:xfrm>
                      <a:off x="0" y="0"/>
                      <a:ext cx="5821680" cy="1150620"/>
                    </a:xfrm>
                    <a:prstGeom prst="rect">
                      <a:avLst/>
                    </a:prstGeom>
                    <a:noFill/>
                    <a:ln>
                      <a:noFill/>
                    </a:ln>
                  </pic:spPr>
                </pic:pic>
              </a:graphicData>
            </a:graphic>
          </wp:inline>
        </w:drawing>
      </w:r>
    </w:p>
    <w:p w14:paraId="4409C428">
      <w:pPr>
        <w:spacing w:after="160" w:line="480" w:lineRule="auto"/>
        <w:jc w:val="both"/>
        <w:rPr>
          <w:rFonts w:eastAsia="Calibri"/>
          <w:bCs/>
          <w:lang w:val="en-GB"/>
        </w:rPr>
      </w:pPr>
      <w:r>
        <w:rPr>
          <w:rFonts w:eastAsia="Calibri"/>
          <w:bCs/>
          <w:lang w:val="en-GB"/>
        </w:rPr>
        <w:t>The price is on a linear interpolation basis. For instance, an oil price of US$ 75 per barrel would mean a royalty of 2.5%</w:t>
      </w:r>
      <w:r>
        <w:rPr>
          <w:rFonts w:eastAsia="Calibri"/>
          <w:bCs/>
          <w:vertAlign w:val="superscript"/>
          <w:lang w:val="en-GB"/>
        </w:rPr>
        <w:footnoteReference w:id="685"/>
      </w:r>
      <w:r>
        <w:rPr>
          <w:rFonts w:eastAsia="Calibri"/>
          <w:bCs/>
          <w:lang w:val="en-GB"/>
        </w:rPr>
        <w:t>.</w:t>
      </w:r>
      <w:r>
        <w:rPr>
          <w:rFonts w:eastAsia="Calibri"/>
          <w:b/>
          <w:bCs/>
        </w:rPr>
        <w:t xml:space="preserve"> </w:t>
      </w:r>
      <w:r>
        <w:rPr>
          <w:rFonts w:eastAsia="Calibri"/>
          <w:bCs/>
        </w:rPr>
        <w:t>The price benchmarks are to be adjusted yearly for inflation by adding 2% per year to the benchmark price.</w:t>
      </w:r>
      <w:r>
        <w:rPr>
          <w:rFonts w:eastAsia="Calibri"/>
          <w:bCs/>
          <w:lang w:val="en-GB"/>
        </w:rPr>
        <w:t xml:space="preserve"> </w:t>
      </w:r>
      <w:r>
        <w:rPr>
          <w:rFonts w:eastAsia="Calibri"/>
          <w:bCs/>
        </w:rPr>
        <w:t>Royalty derived by price shall be for the credit of the Nigerian Sovereign Investment Authority.</w:t>
      </w:r>
      <w:r>
        <w:rPr>
          <w:rFonts w:eastAsia="Calibri"/>
          <w:bCs/>
          <w:lang w:val="en-GB"/>
        </w:rPr>
        <w:t xml:space="preserve"> </w:t>
      </w:r>
      <w:r>
        <w:rPr>
          <w:rFonts w:eastAsia="Calibri"/>
          <w:bCs/>
        </w:rPr>
        <w:t>Where any royalty due and payable under the PIA is not paid within two (2) months after the month in which the royalty is due, then it qualifies to be a debt and shall attract: (a) 10% penalty plus LIBOR (foreign currency) and NIBOR (local currency) plus 10% basis points, (b) subsequent defaults: first  day of default - N10m or US$ equivalent, or N2m /US$ equivalent for each day the failure continues. There is however no royalty by price for gas and frontier acreages.</w:t>
      </w:r>
    </w:p>
    <w:p w14:paraId="45B70002">
      <w:pPr>
        <w:spacing w:after="160" w:line="480" w:lineRule="auto"/>
        <w:jc w:val="both"/>
        <w:rPr>
          <w:rFonts w:eastAsia="Calibri"/>
          <w:bCs/>
        </w:rPr>
      </w:pPr>
      <w:r>
        <w:rPr>
          <w:rFonts w:eastAsia="Calibri"/>
          <w:bCs/>
        </w:rPr>
        <w:t>The terms and the characterization of royalty under the PIA are more precise and this makes for clarity. Gas production receives special attention to incentivize production and domestic gas utilization and capacity building. The penalty for non-payment of due royalty, any unpaid royalties are a debt owing after 30 days from the due date and shall be subject to interest at prevailing CBN rates, unlike the case of delayed price review and royalties under the PPTA as amended by the PSC Act</w:t>
      </w:r>
      <w:r>
        <w:rPr>
          <w:rFonts w:eastAsia="Calibri"/>
          <w:bCs/>
          <w:vertAlign w:val="superscript"/>
        </w:rPr>
        <w:footnoteReference w:id="686"/>
      </w:r>
      <w:r>
        <w:rPr>
          <w:rFonts w:eastAsia="Calibri"/>
          <w:bCs/>
        </w:rPr>
        <w:t>. The PIA also states that where a single field covers two or more PMLs, the royalty rate shall be determined based on total production from the field. Where a field is located partially onshore and in shallow water, or partially in shallow water and deep offshore areas, the weighted average royalty shall be calculated in accordance with the Regulations released by the Commission from time to time</w:t>
      </w:r>
      <w:r>
        <w:rPr>
          <w:rFonts w:eastAsia="Calibri"/>
          <w:bCs/>
          <w:vertAlign w:val="superscript"/>
        </w:rPr>
        <w:footnoteReference w:id="687"/>
      </w:r>
      <w:r>
        <w:rPr>
          <w:rFonts w:eastAsia="Calibri"/>
          <w:bCs/>
        </w:rPr>
        <w:t>.</w:t>
      </w:r>
    </w:p>
    <w:p w14:paraId="18881F86">
      <w:pPr>
        <w:spacing w:after="160" w:line="480" w:lineRule="auto"/>
        <w:jc w:val="both"/>
        <w:rPr>
          <w:rFonts w:eastAsia="Calibri"/>
          <w:bCs/>
        </w:rPr>
      </w:pPr>
    </w:p>
    <w:p w14:paraId="392E2681">
      <w:pPr>
        <w:spacing w:after="160" w:line="480" w:lineRule="auto"/>
        <w:jc w:val="both"/>
        <w:rPr>
          <w:rFonts w:eastAsia="Calibri"/>
          <w:b/>
          <w:bCs/>
          <w:lang w:val="en-GB"/>
        </w:rPr>
      </w:pPr>
      <w:r>
        <w:rPr>
          <w:rFonts w:eastAsia="Calibri"/>
          <w:b/>
          <w:bCs/>
          <w:lang w:val="en-GB"/>
        </w:rPr>
        <w:t>9.5</w:t>
      </w:r>
      <w:r>
        <w:rPr>
          <w:rFonts w:eastAsia="Calibri"/>
          <w:b/>
          <w:bCs/>
          <w:lang w:val="en-GB"/>
        </w:rPr>
        <w:tab/>
      </w:r>
      <w:r>
        <w:rPr>
          <w:rFonts w:eastAsia="Calibri"/>
          <w:b/>
          <w:bCs/>
          <w:lang w:val="en-GB"/>
        </w:rPr>
        <w:t xml:space="preserve"> MARGINAL FIELDS FISCAL REGIME AND TAXATION </w:t>
      </w:r>
    </w:p>
    <w:p w14:paraId="3A880000">
      <w:pPr>
        <w:spacing w:after="160" w:line="480" w:lineRule="auto"/>
        <w:jc w:val="both"/>
        <w:rPr>
          <w:rFonts w:eastAsia="Calibri"/>
          <w:bCs/>
        </w:rPr>
      </w:pPr>
      <w:r>
        <w:rPr>
          <w:rFonts w:eastAsia="Calibri"/>
          <w:bCs/>
        </w:rPr>
        <w:t>The PIA has also brought structure and more clarity with respect to the fiscal and tax regime for all marginal field operations and operators in Nigeria</w:t>
      </w:r>
      <w:r>
        <w:rPr>
          <w:rFonts w:eastAsia="Calibri"/>
          <w:bCs/>
          <w:vertAlign w:val="superscript"/>
        </w:rPr>
        <w:footnoteReference w:id="688"/>
      </w:r>
      <w:r>
        <w:rPr>
          <w:rFonts w:eastAsia="Calibri"/>
          <w:bCs/>
        </w:rPr>
        <w:t>. Under the PPTA fiscal regime, fiscal terms and taxation of marginal field operations had been fluid and uncertain for extended periods. Fiscal incentives were granted as specific awards to individual operators to develop the small or marginal fields. The PIA has addressed the concerns of operators, and the terms include the reduced tax and royalty rates</w:t>
      </w:r>
      <w:r>
        <w:rPr>
          <w:rFonts w:eastAsia="Calibri"/>
          <w:bCs/>
          <w:vertAlign w:val="superscript"/>
        </w:rPr>
        <w:footnoteReference w:id="689"/>
      </w:r>
      <w:r>
        <w:rPr>
          <w:rFonts w:eastAsia="Calibri"/>
          <w:bCs/>
        </w:rPr>
        <w:t xml:space="preserve">. Section 94 of the PIA defines a marginal field as ‘a field or discovery which is declared a marginal field prior to 1st January 2021, or which has been lying fallow without activity for seven years after its discovery prior to the effective date of the PIA’. The PIA identifies two categories of marginal fields. These are producing and non-producing marginal fields. The operators of producing marginal fields are to continue operating under the original royalty rates and farm out agreements. However, a conversion to a PML is required within 18 months from the effective date of the PIA. A PML is granted for a term of 20 years. For renewal of either the whole leased area or any part thereof, the holder of a PML can apply to the Commission, not less than 12 months before the expiration of the lease. </w:t>
      </w:r>
    </w:p>
    <w:p w14:paraId="0E74D160">
      <w:pPr>
        <w:spacing w:after="160" w:line="480" w:lineRule="auto"/>
        <w:jc w:val="both"/>
        <w:rPr>
          <w:rFonts w:eastAsia="Calibri"/>
          <w:bCs/>
        </w:rPr>
      </w:pPr>
      <w:r>
        <w:rPr>
          <w:rFonts w:eastAsia="Calibri"/>
          <w:bCs/>
        </w:rPr>
        <w:t>The non-producing marginal fields are fields declared as marginal fields prior to 1st January 2021, but which are not producing. Such fields are converted to a PPL. The PPL for onshore and shallow water acreages will be valid for a maximum period of 6 years, consisting of an initial exploration period of 3 years and an optional extension period of 3 years. For a marginal field that is not transferred to the government within 3 years of the effective date of the PIA, the holder of the oil mining lease would have to provide a field development plan or in the alternative, farmout the discovery with the consent of the Commission. Where the above-mentioned conditions are not fulfilled, the field will be relinquished. For the field transferred to the government, the Commission has the right to offer a PPL for the relinquished field under a fresh bid round</w:t>
      </w:r>
      <w:r>
        <w:rPr>
          <w:rFonts w:eastAsia="Calibri"/>
          <w:bCs/>
          <w:vertAlign w:val="superscript"/>
        </w:rPr>
        <w:footnoteReference w:id="690"/>
      </w:r>
      <w:r>
        <w:rPr>
          <w:rFonts w:eastAsia="Calibri"/>
          <w:bCs/>
        </w:rPr>
        <w:t>.</w:t>
      </w:r>
    </w:p>
    <w:p w14:paraId="32910D64">
      <w:pPr>
        <w:spacing w:after="160" w:line="480" w:lineRule="auto"/>
        <w:jc w:val="both"/>
        <w:rPr>
          <w:rFonts w:eastAsia="Calibri"/>
          <w:bCs/>
        </w:rPr>
      </w:pPr>
    </w:p>
    <w:p w14:paraId="01BB940B">
      <w:pPr>
        <w:spacing w:after="160" w:line="480" w:lineRule="auto"/>
        <w:jc w:val="both"/>
        <w:rPr>
          <w:rFonts w:eastAsia="Calibri"/>
          <w:b/>
          <w:lang w:val="en-GB"/>
        </w:rPr>
      </w:pPr>
      <w:r>
        <w:rPr>
          <w:rFonts w:eastAsia="Calibri"/>
          <w:b/>
          <w:lang w:val="en-GB"/>
        </w:rPr>
        <w:t xml:space="preserve">9.6 </w:t>
      </w:r>
      <w:r>
        <w:rPr>
          <w:rFonts w:eastAsia="Calibri"/>
          <w:b/>
          <w:lang w:val="en-GB"/>
        </w:rPr>
        <w:tab/>
      </w:r>
      <w:r>
        <w:rPr>
          <w:rFonts w:eastAsia="Calibri"/>
          <w:b/>
          <w:lang w:val="en-GB"/>
        </w:rPr>
        <w:t>TREATMENT OF FEES, FINES AND MULTIPLE LEVIES AND CHARGES UNDER THE PIA</w:t>
      </w:r>
    </w:p>
    <w:p w14:paraId="52C09788">
      <w:pPr>
        <w:spacing w:after="160" w:line="480" w:lineRule="auto"/>
        <w:jc w:val="both"/>
        <w:rPr>
          <w:rFonts w:eastAsia="Calibri"/>
          <w:bCs/>
          <w:lang w:val="en-GB"/>
        </w:rPr>
      </w:pPr>
      <w:r>
        <w:rPr>
          <w:rFonts w:eastAsia="Calibri"/>
          <w:bCs/>
          <w:lang w:val="en-GB"/>
        </w:rPr>
        <w:t>The interface of the PPT/PSC fiscal regime with the various special purpose taxes, indirect and transaction taxes and the incidences of multiple levies, charges, and fees present the challenge of increased tax burden due to the number of the taxes, levies, and charges. In addition to the uncertainties arising from ill-defined boundaries between taxes and imprecise charging terms in statute, there is also constitutional conflicts arising from the nature of the taxes. In some cases, these taxes also raise double taxation issues. The question also arises as to whether these taxes are deductible or non-deductible, and whether they are creditable against upstream PPT. The taxes include special purpose taxes such as the Tertiary Education Tax (TET)</w:t>
      </w:r>
      <w:r>
        <w:rPr>
          <w:rStyle w:val="23"/>
          <w:rFonts w:eastAsia="Calibri"/>
          <w:bCs/>
        </w:rPr>
        <w:footnoteReference w:id="691"/>
      </w:r>
      <w:r>
        <w:rPr>
          <w:rFonts w:eastAsia="Calibri"/>
          <w:bCs/>
          <w:lang w:val="en-GB"/>
        </w:rPr>
        <w:t xml:space="preserve">, 3% Niger Delta Development Charge (NDDC) and the 1% Nigeria Local Content Charge (NLCC). The transaction taxes, levies and charges include the Value Added Tax (VAT), which is Zero-rated for petroleum, </w:t>
      </w:r>
    </w:p>
    <w:p w14:paraId="4182139F">
      <w:pPr>
        <w:spacing w:after="160" w:line="480" w:lineRule="auto"/>
        <w:jc w:val="both"/>
        <w:rPr>
          <w:rFonts w:eastAsia="Calibri"/>
          <w:bCs/>
          <w:lang w:val="en-GB"/>
        </w:rPr>
      </w:pPr>
      <w:r>
        <w:rPr>
          <w:rFonts w:eastAsia="Calibri"/>
          <w:bCs/>
          <w:lang w:val="en-GB"/>
        </w:rPr>
        <w:t>The lack of clarity surrounding the treatment of these tax expenses, as well as the various other States and local council fees and charges, all contribute to creating uncertainty in the upstream petroleum tax system. There is some clarity on the treatment of the gas flare charges as it demands strict adherence to a gas flaring plan, along with gas utilization plans</w:t>
      </w:r>
      <w:r>
        <w:rPr>
          <w:rFonts w:eastAsia="Calibri"/>
          <w:bCs/>
          <w:vertAlign w:val="superscript"/>
          <w:lang w:val="en-GB"/>
        </w:rPr>
        <w:footnoteReference w:id="692"/>
      </w:r>
      <w:r>
        <w:rPr>
          <w:rFonts w:eastAsia="Calibri"/>
          <w:bCs/>
          <w:lang w:val="en-GB"/>
        </w:rPr>
        <w:t>. The PIA provides for the non-tax deduction of the charges and penalty</w:t>
      </w:r>
      <w:r>
        <w:rPr>
          <w:rStyle w:val="23"/>
          <w:rFonts w:eastAsia="Calibri"/>
          <w:bCs/>
        </w:rPr>
        <w:footnoteReference w:id="693"/>
      </w:r>
      <w:r>
        <w:rPr>
          <w:rFonts w:eastAsia="Calibri"/>
          <w:bCs/>
          <w:lang w:val="en-GB"/>
        </w:rPr>
        <w:t xml:space="preserve"> paid for gas flared, and the non-cost recoverability of gas flared penalty for PSC petroleum operations. The PIA however fails to adequately provide for the treatment of the other indirect and transaction taxes imposed by the FG and the federating States. It fails to address the multiplicity of these taxes and essentially provides that expenses must be wholly, reasonably, exclusively, and necessarily (WREN) incurred for petroleum operations to be deductible for upstream petroleum tax. The WREN test of deductibility presents its own challenges, as the WREN test is subject to varying interpretation by the tax authority, the taxpayer, and by the Courts</w:t>
      </w:r>
      <w:r>
        <w:rPr>
          <w:rStyle w:val="23"/>
          <w:rFonts w:eastAsia="Calibri"/>
          <w:bCs/>
        </w:rPr>
        <w:footnoteReference w:id="694"/>
      </w:r>
      <w:r>
        <w:rPr>
          <w:rFonts w:eastAsia="Calibri"/>
          <w:bCs/>
          <w:lang w:val="en-GB"/>
        </w:rPr>
        <w:t>, which have held that WREN test is cumulative and must satisfy the primary purpose of the statutory provision</w:t>
      </w:r>
      <w:r>
        <w:rPr>
          <w:rStyle w:val="23"/>
          <w:rFonts w:eastAsia="Calibri"/>
          <w:bCs/>
        </w:rPr>
        <w:footnoteReference w:id="695"/>
      </w:r>
      <w:r>
        <w:rPr>
          <w:rFonts w:eastAsia="Calibri"/>
          <w:bCs/>
          <w:lang w:val="en-GB"/>
        </w:rPr>
        <w:t xml:space="preserve">. </w:t>
      </w:r>
    </w:p>
    <w:p w14:paraId="3637A516">
      <w:pPr>
        <w:spacing w:after="160" w:line="480" w:lineRule="auto"/>
        <w:jc w:val="both"/>
        <w:rPr>
          <w:rFonts w:eastAsia="Calibri"/>
        </w:rPr>
      </w:pPr>
      <w:r>
        <w:rPr>
          <w:rFonts w:eastAsia="Calibri"/>
          <w:bCs/>
        </w:rPr>
        <w:t xml:space="preserve">The PIA has also introduced certain levies and charges which potentially </w:t>
      </w:r>
      <w:r>
        <w:rPr>
          <w:rFonts w:eastAsia="Calibri"/>
        </w:rPr>
        <w:t>present compliance challenges. The levies and charges include 0.5% of the wholesale price of petroleum products sold in Nigeria to fund the Regulatory Authority, and 0.5% of the wholesale price of petroleum products and natural gas sold in Nigeria to fund the midstream and downstream gas infrastructure fund</w:t>
      </w:r>
      <w:r>
        <w:rPr>
          <w:rFonts w:eastAsia="Calibri"/>
          <w:vertAlign w:val="superscript"/>
        </w:rPr>
        <w:footnoteReference w:id="696"/>
      </w:r>
      <w:r>
        <w:rPr>
          <w:rFonts w:eastAsia="Calibri"/>
        </w:rPr>
        <w:t>. The PIA, however, makes provision for the consolidation of costs for companies involved in upstream petroleum operations across terrains, for the purpose of CIT</w:t>
      </w:r>
      <w:r>
        <w:rPr>
          <w:rStyle w:val="23"/>
          <w:rFonts w:eastAsia="Calibri"/>
        </w:rPr>
        <w:footnoteReference w:id="697"/>
      </w:r>
      <w:r>
        <w:rPr>
          <w:rFonts w:eastAsia="Calibri"/>
        </w:rPr>
        <w:t> and for HT</w:t>
      </w:r>
      <w:r>
        <w:rPr>
          <w:rStyle w:val="23"/>
          <w:rFonts w:eastAsia="Calibri"/>
        </w:rPr>
        <w:footnoteReference w:id="698"/>
      </w:r>
      <w:r>
        <w:rPr>
          <w:rFonts w:eastAsia="Calibri"/>
        </w:rPr>
        <w:t xml:space="preserve"> the consolidation of costs solely in respect of assets for licenses and leases granted in accordance with Section 267 of the PIA. On the other hand, contractors </w:t>
      </w:r>
      <w:r>
        <w:rPr>
          <w:rFonts w:eastAsia="Calibri"/>
          <w:lang w:val="en-GB"/>
        </w:rPr>
        <w:t xml:space="preserve">who execute PSCs or other contracts after the commencement of the PIA, would no longer be able to benefit from any fiscal stabilization clauses in such contracts, where the change affects the contractor with respect to the generally applicable taxes, such as WHT, CIT, TET and VAT, levies, or charges. </w:t>
      </w:r>
      <w:r>
        <w:rPr>
          <w:rFonts w:eastAsia="Calibri"/>
        </w:rPr>
        <w:t xml:space="preserve">It is to be noted that the treatment of multiple levies, charges and taxes imposed by the federating States and local councils remain a challenge by virtue of the nature of allocation of fiscal and taxing powers under the 1999 Constitution.  To achieve more clarity and certainty in this respect would require either a Constitutional amendment or a definitive ruling by the SC, on the taxing powers of the constituent units of the federation, as the PIA fails to consolidate or clarify the treatment of these taxes and expenses for HT or CT purposes.  </w:t>
      </w:r>
    </w:p>
    <w:p w14:paraId="0FC50D2B">
      <w:pPr>
        <w:spacing w:after="160" w:line="480" w:lineRule="auto"/>
        <w:jc w:val="both"/>
        <w:rPr>
          <w:b/>
          <w:lang w:val="en-GB"/>
        </w:rPr>
      </w:pPr>
    </w:p>
    <w:p w14:paraId="1596EBBD">
      <w:pPr>
        <w:spacing w:after="160" w:line="480" w:lineRule="auto"/>
        <w:jc w:val="both"/>
        <w:rPr>
          <w:rFonts w:eastAsia="Calibri"/>
          <w:b/>
          <w:lang w:val="en-GB"/>
        </w:rPr>
      </w:pPr>
      <w:r>
        <w:rPr>
          <w:rFonts w:eastAsia="Calibri"/>
          <w:b/>
          <w:lang w:val="en-GB"/>
        </w:rPr>
        <w:t>9.7</w:t>
      </w:r>
      <w:r>
        <w:rPr>
          <w:rFonts w:eastAsia="Calibri"/>
          <w:b/>
          <w:lang w:val="en-GB"/>
        </w:rPr>
        <w:tab/>
      </w:r>
      <w:r>
        <w:rPr>
          <w:rFonts w:eastAsia="Calibri"/>
          <w:b/>
          <w:lang w:val="en-GB"/>
        </w:rPr>
        <w:t>PETROLEUM HOST COMMUNITY DEVELOPMENT PROGRAM</w:t>
      </w:r>
    </w:p>
    <w:p w14:paraId="59DE5F37">
      <w:pPr>
        <w:spacing w:after="160" w:line="480" w:lineRule="auto"/>
        <w:jc w:val="both"/>
        <w:rPr>
          <w:rFonts w:eastAsia="Calibri"/>
          <w:bCs/>
          <w:lang w:val="en-GB"/>
        </w:rPr>
      </w:pPr>
      <w:r>
        <w:rPr>
          <w:rFonts w:eastAsia="Calibri"/>
          <w:bCs/>
          <w:lang w:val="en-GB"/>
        </w:rPr>
        <w:t>The PIA has introduced a completely new sustainable community development program with the establishment of the Petroleum Host Community Development (PHCD)</w:t>
      </w:r>
      <w:r>
        <w:rPr>
          <w:rFonts w:eastAsia="Calibri"/>
          <w:bCs/>
          <w:vertAlign w:val="superscript"/>
          <w:lang w:val="en-GB"/>
        </w:rPr>
        <w:footnoteReference w:id="699"/>
      </w:r>
      <w:r>
        <w:rPr>
          <w:rFonts w:eastAsia="Calibri"/>
          <w:bCs/>
          <w:lang w:val="en-GB"/>
        </w:rPr>
        <w:t xml:space="preserve"> fund. The objective of PHCD fund is to foster sustainable prosperity within host communities and to protect the environment. This was non-existent under the PPTA. The IOC’s and the indigenous oil companies’ host community intervention programmes were seen as inadequate and unsustainable. Restiveness in the communities added to the costs and uncertainties in petroleum operations and taxation. It is, however, unclear whether the HCDTF</w:t>
      </w:r>
      <w:r>
        <w:rPr>
          <w:rFonts w:eastAsia="Calibri"/>
          <w:bCs/>
          <w:vertAlign w:val="superscript"/>
          <w:lang w:val="en-GB"/>
        </w:rPr>
        <w:footnoteReference w:id="700"/>
      </w:r>
      <w:r>
        <w:rPr>
          <w:rFonts w:eastAsia="Calibri"/>
          <w:bCs/>
          <w:lang w:val="en-GB"/>
        </w:rPr>
        <w:t xml:space="preserve"> financial obligation is additional to the 3% Niger Delta development levy, or whether it will be an aggregation of all the levies under the PIA. </w:t>
      </w:r>
    </w:p>
    <w:p w14:paraId="42F7AB9B">
      <w:pPr>
        <w:spacing w:after="160" w:line="480" w:lineRule="auto"/>
        <w:jc w:val="both"/>
        <w:rPr>
          <w:rFonts w:eastAsia="Calibri"/>
          <w:bCs/>
          <w:lang w:val="en-GB"/>
        </w:rPr>
      </w:pPr>
    </w:p>
    <w:p w14:paraId="327F1EFE">
      <w:pPr>
        <w:spacing w:after="160" w:line="480" w:lineRule="auto"/>
        <w:jc w:val="both"/>
        <w:rPr>
          <w:rFonts w:eastAsia="Calibri"/>
          <w:b/>
          <w:lang w:val="en-GB"/>
        </w:rPr>
      </w:pPr>
      <w:r>
        <w:rPr>
          <w:rFonts w:eastAsia="Calibri"/>
          <w:b/>
          <w:lang w:val="en-GB"/>
        </w:rPr>
        <w:t>9.8</w:t>
      </w:r>
      <w:r>
        <w:rPr>
          <w:rFonts w:eastAsia="Calibri"/>
          <w:b/>
          <w:lang w:val="en-GB"/>
        </w:rPr>
        <w:tab/>
      </w:r>
      <w:r>
        <w:rPr>
          <w:rFonts w:eastAsia="Calibri"/>
          <w:b/>
          <w:lang w:val="en-GB"/>
        </w:rPr>
        <w:t xml:space="preserve"> TAX ADMINISTRATION AND DISPUTE RESOLUTION PROCESS UNDER THE PIA</w:t>
      </w:r>
    </w:p>
    <w:p w14:paraId="51D4CD44">
      <w:pPr>
        <w:spacing w:after="160" w:line="480" w:lineRule="auto"/>
        <w:jc w:val="both"/>
        <w:rPr>
          <w:rFonts w:eastAsia="Calibri"/>
          <w:bCs/>
          <w:lang w:val="en-GB"/>
        </w:rPr>
      </w:pPr>
      <w:r>
        <w:rPr>
          <w:rFonts w:eastAsia="Calibri"/>
          <w:bCs/>
          <w:lang w:val="en-GB"/>
        </w:rPr>
        <w:t xml:space="preserve">The PIA generally adopts a simplified language. There are however still some ambiguities in the terms, concepts and provisions of the PIA. Terms such as “host community” and “frontier basin”, and requirements, such as “fiscal price’’ “cost price ratio’’ etc are not well defined. The existence of a two-tier income tax regime for upstream petroleum taxation, as well as the absence of clear basis and definition of allowances and the treatment of expenditure and income as they relate particularly to the calculation of HT and CT for different terrains and assets are avoidable sources of uncertainty. Also, the </w:t>
      </w:r>
      <w:r>
        <w:rPr>
          <w:lang w:val="en-GB"/>
        </w:rPr>
        <w:t xml:space="preserve">PIA defers </w:t>
      </w:r>
      <w:r>
        <w:rPr>
          <w:rFonts w:eastAsia="Calibri"/>
          <w:bCs/>
          <w:lang w:val="en-GB"/>
        </w:rPr>
        <w:t>to the Commission on the definition of “frontier basin” and to license holders on the definition of “host community.” The shared responsibility for setting the fiscal price, etc. potentially introduce distortions and create multiple and inconsistent understanding, interpretation of PIA terms</w:t>
      </w:r>
      <w:r>
        <w:rPr>
          <w:rFonts w:eastAsia="Calibri"/>
          <w:bCs/>
          <w:vertAlign w:val="superscript"/>
          <w:lang w:val="en-GB"/>
        </w:rPr>
        <w:footnoteReference w:id="701"/>
      </w:r>
      <w:r>
        <w:rPr>
          <w:rFonts w:eastAsia="Calibri"/>
          <w:bCs/>
          <w:lang w:val="en-GB"/>
        </w:rPr>
        <w:t>.</w:t>
      </w:r>
    </w:p>
    <w:p w14:paraId="187F0C8A">
      <w:pPr>
        <w:spacing w:after="160" w:line="480" w:lineRule="auto"/>
        <w:jc w:val="both"/>
        <w:rPr>
          <w:rFonts w:eastAsia="Calibri"/>
          <w:lang w:val="en-GB"/>
        </w:rPr>
      </w:pPr>
      <w:r>
        <w:rPr>
          <w:rFonts w:eastAsia="Calibri"/>
          <w:lang w:val="en-GB"/>
        </w:rPr>
        <w:t>By virtue of the FIRS Act establishing the Federal Inland Revenue Service (FIRS)</w:t>
      </w:r>
      <w:r>
        <w:rPr>
          <w:rFonts w:eastAsia="Calibri"/>
          <w:vertAlign w:val="superscript"/>
          <w:lang w:val="en-GB"/>
        </w:rPr>
        <w:footnoteReference w:id="702"/>
      </w:r>
      <w:r>
        <w:rPr>
          <w:rFonts w:eastAsia="Calibri"/>
          <w:lang w:val="en-GB"/>
        </w:rPr>
        <w:t>, the administration of petroleum taxation is the primary responsibility of the FIRS. This position does not change with the enactment of the PIA. The challenge remains that of building a professional and efficient administrative structure for cost effective and transparent upstream petroleum tax administration, able to provide clear and precise tax information and circulars for the guidance of taxpayers based on verifiable taxing principles and terms.  The arrangement between the Commission and the FIRS under the PIA creates overlaps of functions and potentially leaves room for conflict in practice and delayed collection of revenues and the administration of applicable regulations</w:t>
      </w:r>
      <w:r>
        <w:rPr>
          <w:rFonts w:eastAsia="Calibri"/>
          <w:vertAlign w:val="superscript"/>
          <w:lang w:val="en-GB"/>
        </w:rPr>
        <w:footnoteReference w:id="703"/>
      </w:r>
      <w:r>
        <w:rPr>
          <w:rFonts w:eastAsia="Calibri"/>
          <w:lang w:val="en-GB"/>
        </w:rPr>
        <w:t>. The good news is that the PIA properly defines the role of the TAT and the FHC</w:t>
      </w:r>
      <w:r>
        <w:rPr>
          <w:rStyle w:val="23"/>
          <w:rFonts w:eastAsia="Calibri"/>
        </w:rPr>
        <w:footnoteReference w:id="704"/>
      </w:r>
      <w:r>
        <w:rPr>
          <w:rFonts w:eastAsia="Calibri"/>
          <w:lang w:val="en-GB"/>
        </w:rPr>
        <w:t xml:space="preserve"> in tax dispute resolution. This should facilitate the</w:t>
      </w:r>
      <w:r>
        <w:rPr>
          <w:rFonts w:eastAsia="Calibri"/>
          <w:bCs/>
          <w:lang w:val="en-GB"/>
        </w:rPr>
        <w:t xml:space="preserve"> timely, transparent, and consistent judicial intervention and interpretation of legislation and therefore enhance understanding and clearer dispute resolution and compliance. </w:t>
      </w:r>
    </w:p>
    <w:p w14:paraId="5D10C939">
      <w:pPr>
        <w:spacing w:after="160" w:line="480" w:lineRule="auto"/>
        <w:jc w:val="both"/>
        <w:rPr>
          <w:rFonts w:eastAsia="Calibri"/>
          <w:lang w:val="en-GB"/>
        </w:rPr>
      </w:pPr>
      <w:r>
        <w:rPr>
          <w:rFonts w:eastAsia="Calibri"/>
          <w:lang w:val="en-GB"/>
        </w:rPr>
        <w:t xml:space="preserve">There is the need to build better understanding of the PIA regime as well as the professional expertise of the FIRS and the judiciary in taxation matters. The challenge in designing and drafting of tax legislation to correctly capture the taxing objectives and the key fiscal terms. This is evident in the </w:t>
      </w:r>
      <w:r>
        <w:rPr>
          <w:color w:val="000000"/>
          <w:lang w:val="en-GB"/>
        </w:rPr>
        <w:t>PIA</w:t>
      </w:r>
      <w:r>
        <w:rPr>
          <w:rFonts w:eastAsia="Calibri"/>
          <w:lang w:val="en-GB"/>
        </w:rPr>
        <w:t xml:space="preserve"> as it has taken close to two decades to enact the PIA. The areas of the PIA requiring building capacity to achieve clarity, certainty and responsiveness of the legislation and processes, include the new regulatory regime and management of the funds accruing under the PIA. A structured and well phased transition from the various fiscal and tax legislative systems under the PPTA as amended by the PSC Act, the CITA and other related taxation statutes affecting upstream petroleum taxation, would be a first step to achieving the appropriate level of certainty and stability in the PIA</w:t>
      </w:r>
      <w:r>
        <w:rPr>
          <w:rFonts w:eastAsia="Calibri"/>
          <w:vertAlign w:val="superscript"/>
          <w:lang w:val="en-GB"/>
        </w:rPr>
        <w:footnoteReference w:id="705"/>
      </w:r>
      <w:r>
        <w:rPr>
          <w:rFonts w:eastAsia="Calibri"/>
          <w:lang w:val="en-GB"/>
        </w:rPr>
        <w:t>.  There is also the need to examine the interaction</w:t>
      </w:r>
      <w:r>
        <w:rPr>
          <w:rFonts w:eastAsia="Calibri"/>
          <w:b/>
          <w:bCs/>
          <w:lang w:val="en-GB"/>
        </w:rPr>
        <w:t xml:space="preserve"> </w:t>
      </w:r>
      <w:r>
        <w:rPr>
          <w:rFonts w:eastAsia="Calibri"/>
          <w:lang w:val="en-GB"/>
        </w:rPr>
        <w:t xml:space="preserve">of the PIA provisions with other specific Tax Acts, such as Tertiary Education Tax (TET), and the Nigeria Local Development (NLCD) levy, etc, as these may require amendment in certain respects to align with the provisions of PIA generally and on specific subject matters </w:t>
      </w:r>
      <w:r>
        <w:rPr>
          <w:rFonts w:eastAsia="Calibri"/>
          <w:vertAlign w:val="superscript"/>
          <w:lang w:val="en-GB"/>
        </w:rPr>
        <w:footnoteReference w:id="706"/>
      </w:r>
      <w:r>
        <w:rPr>
          <w:rFonts w:eastAsia="Calibri"/>
          <w:lang w:val="en-GB"/>
        </w:rPr>
        <w:t xml:space="preserve">. </w:t>
      </w:r>
      <w:r>
        <w:rPr>
          <w:rFonts w:eastAsia="Calibri"/>
        </w:rPr>
        <w:t xml:space="preserve"> </w:t>
      </w:r>
    </w:p>
    <w:p w14:paraId="0BFBB56A">
      <w:pPr>
        <w:spacing w:after="160" w:line="480" w:lineRule="auto"/>
        <w:jc w:val="both"/>
        <w:rPr>
          <w:rFonts w:eastAsia="Calibri"/>
        </w:rPr>
      </w:pPr>
      <w:r>
        <w:rPr>
          <w:rFonts w:eastAsia="Calibri"/>
          <w:lang w:val="en-GB"/>
        </w:rPr>
        <w:t>NNPC Limited has been established to operate as a </w:t>
      </w:r>
      <w:r>
        <w:fldChar w:fldCharType="begin"/>
      </w:r>
      <w:r>
        <w:instrText xml:space="preserve"> HYPERLINK "https://en.wikipedia.org/wiki/For_profit" \o "For profit" </w:instrText>
      </w:r>
      <w:r>
        <w:fldChar w:fldCharType="separate"/>
      </w:r>
      <w:r>
        <w:rPr>
          <w:rStyle w:val="27"/>
          <w:rFonts w:eastAsia="Calibri"/>
          <w:lang w:val="en-GB"/>
        </w:rPr>
        <w:t>for-profit</w:t>
      </w:r>
      <w:r>
        <w:rPr>
          <w:rStyle w:val="27"/>
          <w:rFonts w:eastAsia="Calibri"/>
          <w:lang w:val="en-GB"/>
        </w:rPr>
        <w:fldChar w:fldCharType="end"/>
      </w:r>
      <w:r>
        <w:rPr>
          <w:rFonts w:eastAsia="Calibri"/>
          <w:lang w:val="en-GB"/>
        </w:rPr>
        <w:t xml:space="preserve"> oil company, and </w:t>
      </w:r>
      <w:r>
        <w:rPr>
          <w:rFonts w:eastAsia="Calibri"/>
        </w:rPr>
        <w:t>it remains to be seen how the creation of NNPC Ltd and the separation of operational and regulatory roles of NNPC</w:t>
      </w:r>
      <w:r>
        <w:rPr>
          <w:rFonts w:eastAsia="Calibri"/>
          <w:vertAlign w:val="superscript"/>
        </w:rPr>
        <w:footnoteReference w:id="707"/>
      </w:r>
      <w:r>
        <w:rPr>
          <w:rFonts w:eastAsia="Calibri"/>
        </w:rPr>
        <w:t xml:space="preserve"> will bring stability and certainty to petroleum taxation and administration under the PIA. Also, with the creation and effective functioning of the two regulatory agencies</w:t>
      </w:r>
      <w:r>
        <w:rPr>
          <w:rFonts w:eastAsia="Calibri"/>
          <w:vertAlign w:val="superscript"/>
        </w:rPr>
        <w:footnoteReference w:id="708"/>
      </w:r>
      <w:r>
        <w:rPr>
          <w:rFonts w:eastAsia="Calibri"/>
        </w:rPr>
        <w:t xml:space="preserve"> it is hoped that there will be a more effective regulation of the petroleum industry. </w:t>
      </w:r>
    </w:p>
    <w:p w14:paraId="52595595">
      <w:pPr>
        <w:spacing w:after="160" w:line="480" w:lineRule="auto"/>
        <w:jc w:val="both"/>
        <w:rPr>
          <w:rFonts w:eastAsia="Calibri"/>
          <w:b/>
          <w:bCs/>
          <w:lang w:val="en-GB"/>
        </w:rPr>
      </w:pPr>
    </w:p>
    <w:p w14:paraId="3932733F">
      <w:pPr>
        <w:spacing w:after="160" w:line="480" w:lineRule="auto"/>
        <w:jc w:val="both"/>
        <w:rPr>
          <w:rFonts w:eastAsia="Calibri"/>
          <w:b/>
          <w:bCs/>
          <w:lang w:val="en-GB"/>
        </w:rPr>
      </w:pPr>
    </w:p>
    <w:p w14:paraId="33AA364C">
      <w:pPr>
        <w:spacing w:after="160" w:line="480" w:lineRule="auto"/>
        <w:jc w:val="both"/>
        <w:rPr>
          <w:rFonts w:eastAsia="Calibri"/>
          <w:b/>
          <w:bCs/>
          <w:lang w:val="en-GB"/>
        </w:rPr>
      </w:pPr>
    </w:p>
    <w:p w14:paraId="526B5F13">
      <w:pPr>
        <w:spacing w:after="160" w:line="480" w:lineRule="auto"/>
        <w:jc w:val="both"/>
        <w:rPr>
          <w:rFonts w:eastAsia="Calibri"/>
          <w:b/>
          <w:bCs/>
          <w:lang w:val="en-GB"/>
        </w:rPr>
      </w:pPr>
      <w:r>
        <w:rPr>
          <w:rFonts w:eastAsia="Calibri"/>
          <w:b/>
          <w:bCs/>
          <w:lang w:val="en-GB"/>
        </w:rPr>
        <w:t>CONCLUSION:</w:t>
      </w:r>
    </w:p>
    <w:p w14:paraId="7C2B4540">
      <w:pPr>
        <w:spacing w:after="160" w:line="480" w:lineRule="auto"/>
        <w:jc w:val="both"/>
        <w:rPr>
          <w:rFonts w:eastAsia="Calibri"/>
          <w:lang w:val="en-GB"/>
        </w:rPr>
      </w:pPr>
      <w:r>
        <w:rPr>
          <w:rFonts w:eastAsia="Calibri"/>
          <w:lang w:val="en-GB"/>
        </w:rPr>
        <w:t xml:space="preserve">The PIA represents a significant effort at comprehensively reforming the entire Nigerian petroleum industry. With respect to the Nigeria upstream petroleum industry, the PIA has essentially restructured and redefined the fiscal regime and revised the tax, as well as the royalty system by introducing a price-sensitive, asset-based royalty scheme. Upstream petroleum taxation is by a terrain and asset-based HT and CT to replace the multiple fiscal and tax rates and concession, and production and service contracts based PPT /PSC tax and royalty system. </w:t>
      </w:r>
    </w:p>
    <w:p w14:paraId="230C90ED">
      <w:pPr>
        <w:spacing w:after="160" w:line="480" w:lineRule="auto"/>
        <w:jc w:val="both"/>
        <w:rPr>
          <w:rFonts w:eastAsia="Calibri"/>
          <w:bCs/>
          <w:lang w:val="en-GB"/>
        </w:rPr>
      </w:pPr>
      <w:r>
        <w:rPr>
          <w:rFonts w:eastAsia="Calibri"/>
          <w:lang w:val="en-GB"/>
        </w:rPr>
        <w:t>The PIA provides for the separate taxation of upstream, midstream, and downstream oil and gas operations. With the clear identification of oil and gas as the basis of revenue recognition and taxation, and the introduction of HT and CIT to onshore and shallow water acreage and CIT to deep offshore upstream petroleum taxation respectively, there is more clarity to upstream petroleum taxation and administration</w:t>
      </w:r>
      <w:r>
        <w:rPr>
          <w:rFonts w:eastAsia="Calibri"/>
          <w:color w:val="FF0000"/>
          <w:lang w:val="en-GB"/>
        </w:rPr>
        <w:t>.</w:t>
      </w:r>
      <w:r>
        <w:rPr>
          <w:rFonts w:eastAsia="Calibri"/>
          <w:lang w:val="en-GB"/>
        </w:rPr>
        <w:t xml:space="preserve"> The separate application of gas fiscal incentives to the upstream and downstream gas operations, also enhances the clarity to the tax system. The reduced headline tax rates for offshore, shallow, and deep-water petroleum operations mean reduced ETR, especially for upstream petroleum taxation. </w:t>
      </w:r>
      <w:r>
        <w:rPr>
          <w:rFonts w:eastAsia="Calibri"/>
          <w:bCs/>
          <w:lang w:val="en-GB"/>
        </w:rPr>
        <w:t xml:space="preserve">There is however the need for more clarity in the interaction of HT and CIT and in the treatment of expenses and allowances for the different terrains and assets, notwithstanding the consolidation of cost across terrains and assets for both HT and CIT. The non-application of HT to deep offshore seeks to incentivise deep offshore upstream tax operations. This is seen as discriminatory against companies engaged in onshore and shallow water petroleum operations. The ambiguity on the tax treatment of decommissioning and abandonment cost under the PPTA has now been addressed by the PIA, and more clarity also brought to bear on marginal field taxation. </w:t>
      </w:r>
    </w:p>
    <w:p w14:paraId="3420A47F">
      <w:pPr>
        <w:spacing w:after="160" w:line="480" w:lineRule="auto"/>
        <w:jc w:val="both"/>
        <w:rPr>
          <w:rFonts w:eastAsia="Calibri"/>
          <w:bCs/>
          <w:lang w:val="en-GB"/>
        </w:rPr>
      </w:pPr>
      <w:r>
        <w:rPr>
          <w:rFonts w:eastAsia="Calibri"/>
          <w:bCs/>
          <w:lang w:val="en-GB"/>
        </w:rPr>
        <w:t xml:space="preserve">The attempt to keep the language of the PIA simple is welcome. However, competent rule-based legislative drafting is required to achieve accuracy and clarity of provisions, and deal with any ambiguities in aspects of the PIA legislative language. The transition from the old licencing and regulatory to the new licensing and regulatory regime, conversion of post PIA to PPLs and PMLs will need to be managed effectively. A Constitutional amendment to address the </w:t>
      </w:r>
      <w:r>
        <w:rPr>
          <w:rFonts w:eastAsia="Calibri"/>
          <w:bCs/>
        </w:rPr>
        <w:t xml:space="preserve">vertical fiscal imbalance under the 1999 Constitution, and the use of simple language and well-defined terms and concepts in the PIA will clearly enhance the understanding and interpretation of PIA provisions. Also, the clear definition of the functions and powers of the regulatory agencies will facilitate proper administration of the PIA and enhance compliance. An important development with the enactment of the PIA is the clarity provided with respect to the role of the TAT and FHC in the resolution of tax disputes. There is a need for a PIA response and review mechanism to make it fiscally and legislatively responsive to the needs and challenges of the energy industry, with price shocks and climate change policy demands. </w:t>
      </w:r>
    </w:p>
    <w:p w14:paraId="63537227">
      <w:pPr>
        <w:spacing w:after="160" w:line="480" w:lineRule="auto"/>
        <w:jc w:val="center"/>
        <w:rPr>
          <w:rFonts w:eastAsia="Calibri"/>
          <w:b/>
          <w:bCs/>
          <w:lang w:val="en-ZA"/>
        </w:rPr>
      </w:pPr>
    </w:p>
    <w:p w14:paraId="134F3017">
      <w:pPr>
        <w:spacing w:after="160" w:line="480" w:lineRule="auto"/>
        <w:jc w:val="center"/>
        <w:rPr>
          <w:rFonts w:eastAsia="Calibri"/>
          <w:b/>
          <w:bCs/>
          <w:lang w:val="en-ZA"/>
        </w:rPr>
      </w:pPr>
    </w:p>
    <w:bookmarkEnd w:id="20"/>
    <w:bookmarkEnd w:id="21"/>
    <w:p w14:paraId="5FF4A7BD">
      <w:pPr>
        <w:spacing w:after="160" w:line="480" w:lineRule="auto"/>
        <w:jc w:val="center"/>
        <w:rPr>
          <w:rFonts w:eastAsia="Calibri"/>
          <w:b/>
          <w:bCs/>
          <w:lang w:val="en-ZA"/>
        </w:rPr>
      </w:pPr>
    </w:p>
    <w:p w14:paraId="47D3DF24">
      <w:pPr>
        <w:spacing w:after="160" w:line="480" w:lineRule="auto"/>
        <w:jc w:val="center"/>
        <w:rPr>
          <w:rFonts w:eastAsia="Calibri"/>
          <w:b/>
          <w:bCs/>
          <w:lang w:val="en-ZA"/>
        </w:rPr>
      </w:pPr>
    </w:p>
    <w:p w14:paraId="26244DFC">
      <w:pPr>
        <w:spacing w:after="160" w:line="480" w:lineRule="auto"/>
        <w:jc w:val="center"/>
        <w:rPr>
          <w:rFonts w:eastAsia="Calibri"/>
          <w:b/>
          <w:bCs/>
          <w:lang w:val="en-ZA"/>
        </w:rPr>
      </w:pPr>
    </w:p>
    <w:p w14:paraId="59D07138">
      <w:pPr>
        <w:spacing w:after="160" w:line="480" w:lineRule="auto"/>
        <w:jc w:val="center"/>
        <w:rPr>
          <w:rFonts w:eastAsia="Calibri"/>
          <w:b/>
          <w:bCs/>
          <w:lang w:val="en-ZA"/>
        </w:rPr>
      </w:pPr>
    </w:p>
    <w:p w14:paraId="2C9465C9">
      <w:pPr>
        <w:spacing w:after="160" w:line="480" w:lineRule="auto"/>
        <w:jc w:val="center"/>
        <w:rPr>
          <w:rFonts w:eastAsia="Calibri"/>
          <w:b/>
          <w:bCs/>
          <w:lang w:val="en-ZA"/>
        </w:rPr>
      </w:pPr>
    </w:p>
    <w:p w14:paraId="54118DD6">
      <w:pPr>
        <w:spacing w:after="160" w:line="480" w:lineRule="auto"/>
        <w:jc w:val="center"/>
        <w:rPr>
          <w:rFonts w:eastAsia="Calibri"/>
          <w:b/>
          <w:bCs/>
          <w:lang w:val="en-ZA"/>
        </w:rPr>
      </w:pPr>
    </w:p>
    <w:p w14:paraId="407B1EF6">
      <w:pPr>
        <w:spacing w:after="160" w:line="480" w:lineRule="auto"/>
        <w:jc w:val="center"/>
        <w:rPr>
          <w:rFonts w:eastAsia="Calibri"/>
          <w:b/>
          <w:bCs/>
          <w:lang w:val="en-ZA"/>
        </w:rPr>
      </w:pPr>
    </w:p>
    <w:p w14:paraId="504A5FED">
      <w:pPr>
        <w:spacing w:after="160" w:line="480" w:lineRule="auto"/>
        <w:jc w:val="center"/>
        <w:rPr>
          <w:rFonts w:eastAsia="Calibri"/>
          <w:b/>
          <w:bCs/>
          <w:lang w:val="en-ZA"/>
        </w:rPr>
      </w:pPr>
    </w:p>
    <w:p w14:paraId="7D6B9092">
      <w:pPr>
        <w:spacing w:after="160" w:line="480" w:lineRule="auto"/>
        <w:jc w:val="center"/>
        <w:rPr>
          <w:rFonts w:eastAsia="Calibri"/>
          <w:b/>
          <w:bCs/>
          <w:lang w:val="en-ZA"/>
        </w:rPr>
      </w:pPr>
    </w:p>
    <w:p w14:paraId="74FD7F83">
      <w:pPr>
        <w:spacing w:after="160" w:line="480" w:lineRule="auto"/>
        <w:jc w:val="center"/>
        <w:rPr>
          <w:rFonts w:eastAsia="Calibri"/>
          <w:b/>
          <w:bCs/>
          <w:lang w:val="en-ZA"/>
        </w:rPr>
      </w:pPr>
    </w:p>
    <w:p w14:paraId="0EAF28FB">
      <w:pPr>
        <w:spacing w:after="160" w:line="480" w:lineRule="auto"/>
        <w:jc w:val="center"/>
        <w:rPr>
          <w:rFonts w:eastAsia="Calibri"/>
          <w:b/>
          <w:bCs/>
          <w:lang w:val="en-ZA"/>
        </w:rPr>
      </w:pPr>
    </w:p>
    <w:p w14:paraId="232DCAA6">
      <w:pPr>
        <w:spacing w:after="160" w:line="480" w:lineRule="auto"/>
        <w:jc w:val="center"/>
        <w:rPr>
          <w:rFonts w:eastAsia="Calibri"/>
          <w:b/>
          <w:bCs/>
          <w:lang w:val="en-ZA"/>
        </w:rPr>
      </w:pPr>
    </w:p>
    <w:p w14:paraId="104E9E86">
      <w:pPr>
        <w:spacing w:after="160" w:line="480" w:lineRule="auto"/>
        <w:jc w:val="center"/>
        <w:rPr>
          <w:rFonts w:eastAsia="Calibri"/>
          <w:b/>
          <w:bCs/>
          <w:lang w:val="en-ZA"/>
        </w:rPr>
      </w:pPr>
    </w:p>
    <w:p w14:paraId="0C5C599B">
      <w:pPr>
        <w:spacing w:after="160" w:line="480" w:lineRule="auto"/>
        <w:jc w:val="center"/>
        <w:rPr>
          <w:rFonts w:eastAsia="Calibri"/>
          <w:b/>
          <w:bCs/>
          <w:lang w:val="en-ZA"/>
        </w:rPr>
      </w:pPr>
    </w:p>
    <w:p w14:paraId="163263F8">
      <w:pPr>
        <w:spacing w:after="160" w:line="480" w:lineRule="auto"/>
        <w:jc w:val="center"/>
        <w:rPr>
          <w:rFonts w:eastAsia="Calibri"/>
          <w:b/>
          <w:bCs/>
          <w:lang w:val="en-ZA"/>
        </w:rPr>
      </w:pPr>
    </w:p>
    <w:p w14:paraId="4F0E1335">
      <w:pPr>
        <w:spacing w:after="160" w:line="480" w:lineRule="auto"/>
        <w:jc w:val="center"/>
        <w:rPr>
          <w:rFonts w:eastAsia="Calibri"/>
          <w:b/>
          <w:bCs/>
          <w:lang w:val="en-ZA"/>
        </w:rPr>
      </w:pPr>
    </w:p>
    <w:p w14:paraId="33E75F37">
      <w:pPr>
        <w:spacing w:after="160" w:line="480" w:lineRule="auto"/>
        <w:jc w:val="center"/>
        <w:rPr>
          <w:rFonts w:eastAsia="Calibri"/>
          <w:b/>
          <w:bCs/>
          <w:lang w:val="en-ZA"/>
        </w:rPr>
      </w:pPr>
      <w:r>
        <w:rPr>
          <w:rFonts w:eastAsia="Calibri"/>
          <w:b/>
          <w:bCs/>
          <w:lang w:val="en-ZA"/>
        </w:rPr>
        <w:t>CHAPTER 10</w:t>
      </w:r>
    </w:p>
    <w:p w14:paraId="4E3C7F8C">
      <w:pPr>
        <w:spacing w:after="160" w:line="480" w:lineRule="auto"/>
        <w:jc w:val="center"/>
        <w:rPr>
          <w:rFonts w:eastAsia="Calibri"/>
          <w:b/>
          <w:bCs/>
          <w:lang w:val="en-ZA"/>
        </w:rPr>
      </w:pPr>
    </w:p>
    <w:p w14:paraId="6BF0D7EB">
      <w:pPr>
        <w:spacing w:after="160" w:line="480" w:lineRule="auto"/>
        <w:jc w:val="center"/>
        <w:rPr>
          <w:rFonts w:eastAsia="Calibri"/>
          <w:b/>
          <w:lang w:val="en-ZA"/>
        </w:rPr>
      </w:pPr>
      <w:r>
        <w:rPr>
          <w:rFonts w:eastAsia="Calibri"/>
          <w:b/>
          <w:bCs/>
          <w:lang w:val="en-ZA"/>
        </w:rPr>
        <w:t>SUMMARY OF RESEARCH, CONCLUSIONS AND RECOMMENDATIONS</w:t>
      </w:r>
    </w:p>
    <w:p w14:paraId="11984AB6">
      <w:pPr>
        <w:spacing w:after="160" w:line="480" w:lineRule="auto"/>
        <w:jc w:val="both"/>
        <w:rPr>
          <w:rFonts w:eastAsia="Calibri"/>
          <w:b/>
          <w:bCs/>
          <w:iCs/>
        </w:rPr>
      </w:pPr>
      <w:r>
        <w:rPr>
          <w:rFonts w:eastAsia="Calibri"/>
          <w:b/>
          <w:bCs/>
          <w:iCs/>
          <w:lang w:val="en-GB"/>
        </w:rPr>
        <w:t>10.1</w:t>
      </w:r>
      <w:r>
        <w:rPr>
          <w:rFonts w:eastAsia="Calibri"/>
          <w:b/>
          <w:bCs/>
          <w:iCs/>
          <w:lang w:val="en-GB"/>
        </w:rPr>
        <w:tab/>
      </w:r>
      <w:r>
        <w:rPr>
          <w:rFonts w:eastAsia="Calibri"/>
          <w:b/>
          <w:bCs/>
          <w:iCs/>
          <w:lang w:val="en-GB"/>
        </w:rPr>
        <w:t>SUMMARY OF RESEARCH</w:t>
      </w:r>
    </w:p>
    <w:p w14:paraId="1A76D0CE">
      <w:pPr>
        <w:spacing w:after="160" w:line="480" w:lineRule="auto"/>
        <w:jc w:val="both"/>
        <w:rPr>
          <w:rFonts w:eastAsia="Calibri"/>
          <w:bCs/>
          <w:iCs/>
        </w:rPr>
      </w:pPr>
      <w:r>
        <w:rPr>
          <w:rFonts w:eastAsia="Calibri"/>
          <w:bCs/>
          <w:iCs/>
        </w:rPr>
        <w:t xml:space="preserve">This research has examined the thesis that achieving clarity, certainty and consistency in understanding and implementation in the Nigerian upstream petroleum fiscal and tax system, requires clearly defined fiscal and tax objectives. It also demands competent legislative drafting and law making in a dynamic industry such as the petroleum industry with domestic and international implications. The thesis further posits that sustained policy and legislative review and reform with the objective of evolving and creating a responsive, progressive, predictable, and competitive tax system is an absolute necessity. The research also interrogated the role and impact of the fiscal federalism and the resource ownership structure under the 1999 Constitution, and how these affect the clarity and certainty of tax obligations. </w:t>
      </w:r>
    </w:p>
    <w:p w14:paraId="5B353A83">
      <w:pPr>
        <w:spacing w:after="160" w:line="480" w:lineRule="auto"/>
        <w:jc w:val="both"/>
        <w:rPr>
          <w:rFonts w:eastAsia="Calibri"/>
          <w:bCs/>
          <w:iCs/>
        </w:rPr>
      </w:pPr>
      <w:r>
        <w:rPr>
          <w:rFonts w:eastAsia="Calibri"/>
          <w:bCs/>
          <w:iCs/>
        </w:rPr>
        <w:t>From the inception of commercial petroleum operations in Nigeria, the country relied on the old inherited legislation and policies. The Petroleum Act (PA) and Regulations (1968), as well as the Petroleum Profits Tax Act (PPTA 1958), were the principal legislations providing the legislative, regulatory and tax framework for petroleum operations in Nigeria. These legislations and regulations were always amended piecemeal from time to time</w:t>
      </w:r>
      <w:r>
        <w:rPr>
          <w:rStyle w:val="23"/>
          <w:rFonts w:eastAsia="Calibri"/>
          <w:bCs/>
          <w:iCs/>
        </w:rPr>
        <w:footnoteReference w:id="709"/>
      </w:r>
      <w:r>
        <w:rPr>
          <w:rFonts w:eastAsia="Calibri"/>
          <w:bCs/>
          <w:iCs/>
        </w:rPr>
        <w:t xml:space="preserve">. </w:t>
      </w:r>
    </w:p>
    <w:p w14:paraId="24129EF7">
      <w:pPr>
        <w:spacing w:after="160" w:line="480" w:lineRule="auto"/>
        <w:jc w:val="both"/>
        <w:rPr>
          <w:rFonts w:eastAsia="Calibri"/>
          <w:bCs/>
          <w:iCs/>
        </w:rPr>
      </w:pPr>
      <w:r>
        <w:rPr>
          <w:rFonts w:eastAsia="Calibri"/>
          <w:bCs/>
          <w:iCs/>
        </w:rPr>
        <w:t>The research also posits that the central objective in designing the appropriate fiscal regime and tax system in most resource owning and producing countries is the need to acquire for the State a fair share of the wealth accruing from the extraction of that resource, whilst encouraging investors to ensure optimal economic recovery of the hydrocarbon resources. This requires alignment of the fiscal and tax policy objectives with the legislative framework and regulations for the profitable and competitive development and growth of the petroleum industry</w:t>
      </w:r>
      <w:r>
        <w:rPr>
          <w:rFonts w:eastAsia="Calibri"/>
          <w:bCs/>
          <w:iCs/>
          <w:vertAlign w:val="superscript"/>
        </w:rPr>
        <w:footnoteReference w:id="710"/>
      </w:r>
      <w:r>
        <w:rPr>
          <w:rFonts w:eastAsia="Calibri"/>
          <w:bCs/>
          <w:iCs/>
        </w:rPr>
        <w:t xml:space="preserve">. </w:t>
      </w:r>
    </w:p>
    <w:p w14:paraId="7969285E">
      <w:pPr>
        <w:spacing w:after="160" w:line="480" w:lineRule="auto"/>
        <w:jc w:val="both"/>
        <w:rPr>
          <w:rFonts w:eastAsia="Calibri"/>
          <w:bCs/>
          <w:iCs/>
        </w:rPr>
      </w:pPr>
      <w:r>
        <w:rPr>
          <w:rFonts w:eastAsia="Calibri"/>
          <w:bCs/>
          <w:iCs/>
          <w:lang w:val="en-GB"/>
        </w:rPr>
        <w:t xml:space="preserve">The research observes that at the root of the uncertainty in fiscal and tax policy and taxation of upstream operations under the Petroleum Profits Tax Act (PPTA) as amended by the PSC Act, is the absence of, or lack of clearly and consistently defined fiscal and tax objectives which secure adequate petroleum revenues for government and profitable returns on investment to investors, as well as establishes a clear, predictable, competitive and responsive system which is understood and certain for all parties to comply to and discharge their obligations in line with the provisions of the legislation. Consequently, the failure to consistently articulate and translate the substance of the macro-economic policy into clearly defined fiscal and tax policy and legislation for petroleum operations, has meant that upstream petroleum taxation policy and taxation have been ambivalent and inconsistent, as they affect upstream petroleum tax legislation.  These developments have resulted in poorly </w:t>
      </w:r>
      <w:r>
        <w:rPr>
          <w:rFonts w:eastAsia="Calibri"/>
          <w:bCs/>
          <w:iCs/>
        </w:rPr>
        <w:t>designed fiscal and tax policy objectives and legislation for the upstream petroleum industry</w:t>
      </w:r>
      <w:r>
        <w:rPr>
          <w:rFonts w:eastAsia="Calibri"/>
          <w:bCs/>
          <w:iCs/>
          <w:vertAlign w:val="superscript"/>
        </w:rPr>
        <w:footnoteReference w:id="711"/>
      </w:r>
      <w:r>
        <w:rPr>
          <w:rFonts w:eastAsia="Calibri"/>
          <w:bCs/>
          <w:iCs/>
        </w:rPr>
        <w:t xml:space="preserve">. </w:t>
      </w:r>
    </w:p>
    <w:p w14:paraId="523E98A8">
      <w:pPr>
        <w:spacing w:after="160" w:line="480" w:lineRule="auto"/>
        <w:jc w:val="both"/>
        <w:rPr>
          <w:rFonts w:eastAsia="Calibri"/>
          <w:bCs/>
          <w:iCs/>
        </w:rPr>
      </w:pPr>
      <w:r>
        <w:rPr>
          <w:rFonts w:eastAsia="Calibri"/>
          <w:bCs/>
          <w:iCs/>
          <w:lang w:val="en-GB"/>
        </w:rPr>
        <w:t>The alignment of fiscal and tax policy making and legislative drafting which results in the timely enactment of legislation will enhance clarity, responsiveness and the preciseness required in tax legislation. Also, the accurate determination of liability and the timely payments and collections</w:t>
      </w:r>
      <w:r>
        <w:rPr>
          <w:rFonts w:eastAsia="Calibri"/>
          <w:bCs/>
          <w:iCs/>
          <w:vertAlign w:val="superscript"/>
          <w:lang w:val="en-GB"/>
        </w:rPr>
        <w:footnoteReference w:id="712"/>
      </w:r>
      <w:r>
        <w:rPr>
          <w:rFonts w:eastAsia="Calibri"/>
          <w:bCs/>
          <w:iCs/>
          <w:lang w:val="en-GB"/>
        </w:rPr>
        <w:t xml:space="preserve">, will require real time review of issues and the structured reform of the legislation to achieve the changes required in the upstream petroleum tax system. </w:t>
      </w:r>
      <w:r>
        <w:rPr>
          <w:rFonts w:eastAsia="Calibri"/>
          <w:bCs/>
          <w:iCs/>
        </w:rPr>
        <w:t>Frequent changes in the tax system must however be avoided and mass changes introduced into tax legislation, sometimes described as “legislative inflation” must be avoided, so as not to create a “constant flux of tax laws”</w:t>
      </w:r>
      <w:r>
        <w:rPr>
          <w:rFonts w:eastAsia="Calibri"/>
          <w:bCs/>
          <w:iCs/>
          <w:vertAlign w:val="superscript"/>
        </w:rPr>
        <w:footnoteReference w:id="713"/>
      </w:r>
      <w:r>
        <w:rPr>
          <w:rFonts w:eastAsia="Calibri"/>
          <w:bCs/>
          <w:iCs/>
        </w:rPr>
        <w:t xml:space="preserve">, such as the inadequately conceived or drafted PSC Act amendment to the PPTA, </w:t>
      </w:r>
    </w:p>
    <w:p w14:paraId="46733E45">
      <w:pPr>
        <w:spacing w:after="160" w:line="480" w:lineRule="auto"/>
        <w:jc w:val="both"/>
        <w:rPr>
          <w:rFonts w:eastAsia="Calibri"/>
          <w:bCs/>
          <w:iCs/>
        </w:rPr>
      </w:pPr>
      <w:r>
        <w:rPr>
          <w:rFonts w:eastAsia="Calibri"/>
          <w:bCs/>
          <w:iCs/>
        </w:rPr>
        <w:t>The comparative review of the UK and Canada petroleum tax system</w:t>
      </w:r>
      <w:r>
        <w:rPr>
          <w:rStyle w:val="23"/>
          <w:rFonts w:eastAsia="Calibri"/>
          <w:bCs/>
          <w:iCs/>
        </w:rPr>
        <w:footnoteReference w:id="714"/>
      </w:r>
      <w:r>
        <w:rPr>
          <w:rFonts w:eastAsia="Calibri"/>
          <w:bCs/>
          <w:iCs/>
        </w:rPr>
        <w:t xml:space="preserve"> demonstrate the fact that a systematic evolution and development of a country’s petroleum fiscal, tax, legislative and regulatory framework, based on well-defined macro-economic and fiscal and tax objectives and the wider public finance considerations ensure the creation of clear, predictable, fit for purpose and competitive regimes. Also, important is the nature of the industry and developments in the international market and pricing</w:t>
      </w:r>
      <w:r>
        <w:rPr>
          <w:rStyle w:val="23"/>
          <w:rFonts w:eastAsia="Calibri"/>
          <w:bCs/>
          <w:iCs/>
        </w:rPr>
        <w:footnoteReference w:id="715"/>
      </w:r>
      <w:r>
        <w:rPr>
          <w:rFonts w:eastAsia="Calibri"/>
          <w:bCs/>
          <w:iCs/>
        </w:rPr>
        <w:t>. This was not always the case for Nigeria, as discussed in chapter 5.  The review of the results of the survey of stakeholder in the Nigeria petroleum industry</w:t>
      </w:r>
      <w:r>
        <w:rPr>
          <w:rStyle w:val="23"/>
          <w:rFonts w:eastAsia="Calibri"/>
          <w:bCs/>
          <w:iCs/>
        </w:rPr>
        <w:footnoteReference w:id="716"/>
      </w:r>
      <w:r>
        <w:rPr>
          <w:rFonts w:eastAsia="Calibri"/>
          <w:bCs/>
          <w:iCs/>
        </w:rPr>
        <w:t xml:space="preserve"> basically affirm the impact of these variables as they affect the historical and sustained evolution and development of upstream petroleum taxation in Nigeria. With the focus of the FGN on raising as much revenue as possible, through high government take and the sales of crude oil from petroleum operations, the Nigerian fiscal and tax legislative process was ad hoc and piecemeal, and project driven</w:t>
      </w:r>
      <w:r>
        <w:rPr>
          <w:rStyle w:val="23"/>
          <w:rFonts w:eastAsia="Calibri"/>
          <w:bCs/>
          <w:iCs/>
        </w:rPr>
        <w:footnoteReference w:id="717"/>
      </w:r>
      <w:r>
        <w:rPr>
          <w:rFonts w:eastAsia="Calibri"/>
          <w:bCs/>
          <w:iCs/>
        </w:rPr>
        <w:t xml:space="preserve">. The macro-economic objective of growing the industry, through structured evidence-based research and engagement of all stakeholders, where the government’s share of profits adjusts well to the realized profitability of the industry and its growth, and fair returns for investors, was therefore largely non-existent. </w:t>
      </w:r>
    </w:p>
    <w:p w14:paraId="4E28C3B8">
      <w:pPr>
        <w:spacing w:after="160" w:line="480" w:lineRule="auto"/>
        <w:jc w:val="both"/>
        <w:rPr>
          <w:rFonts w:eastAsia="Calibri"/>
          <w:bCs/>
          <w:iCs/>
          <w:lang w:val="en-GB"/>
        </w:rPr>
      </w:pPr>
      <w:r>
        <w:rPr>
          <w:rFonts w:eastAsia="Calibri"/>
          <w:bCs/>
          <w:iCs/>
        </w:rPr>
        <w:t>The black letter analysis of the relevant petroleum tax legislation further highlighted the need for competent rule-based legislative drafting</w:t>
      </w:r>
      <w:r>
        <w:rPr>
          <w:rFonts w:eastAsia="Calibri"/>
          <w:bCs/>
          <w:iCs/>
          <w:vertAlign w:val="superscript"/>
        </w:rPr>
        <w:footnoteReference w:id="718"/>
      </w:r>
      <w:r>
        <w:rPr>
          <w:rFonts w:eastAsia="Calibri"/>
          <w:bCs/>
          <w:iCs/>
        </w:rPr>
        <w:t xml:space="preserve">. The PIB enacted as the Petroleum Industry Act (PIA) </w:t>
      </w:r>
      <w:r>
        <w:rPr>
          <w:rFonts w:eastAsia="Calibri"/>
          <w:bCs/>
          <w:iCs/>
          <w:color w:val="000000"/>
        </w:rPr>
        <w:t>in 2021</w:t>
      </w:r>
      <w:r>
        <w:rPr>
          <w:rFonts w:eastAsia="Calibri"/>
          <w:bCs/>
          <w:iCs/>
        </w:rPr>
        <w:t xml:space="preserve">, was the government’s delayed response to comprehensively review and reform the fiscal tax and regulatory framework, which historically was made up </w:t>
      </w:r>
      <w:r>
        <w:rPr>
          <w:rFonts w:eastAsia="Calibri"/>
          <w:bCs/>
          <w:iCs/>
          <w:color w:val="000000"/>
        </w:rPr>
        <w:t>of</w:t>
      </w:r>
      <w:r>
        <w:rPr>
          <w:rFonts w:eastAsia="Calibri"/>
          <w:bCs/>
          <w:iCs/>
          <w:color w:val="FF0000"/>
        </w:rPr>
        <w:t xml:space="preserve"> </w:t>
      </w:r>
      <w:r>
        <w:rPr>
          <w:rFonts w:eastAsia="Calibri"/>
          <w:bCs/>
          <w:iCs/>
        </w:rPr>
        <w:t>several old fiscal and legislative arrangements</w:t>
      </w:r>
      <w:r>
        <w:rPr>
          <w:rFonts w:eastAsia="Calibri"/>
          <w:bCs/>
          <w:iCs/>
          <w:vertAlign w:val="superscript"/>
          <w:lang w:val="en-GB"/>
        </w:rPr>
        <w:footnoteReference w:id="719"/>
      </w:r>
      <w:r>
        <w:rPr>
          <w:rFonts w:eastAsia="Calibri"/>
          <w:bCs/>
          <w:iCs/>
          <w:lang w:val="en-GB"/>
        </w:rPr>
        <w:t xml:space="preserve">. Our analysis of the key fiscal and tax changes and terms introduced by the PIA also highlight the need for clarity of policy and taxing objectives in tax law making and legislative drafting, policy and legal certainty and clarity. These key changes are summarised in the following section. </w:t>
      </w:r>
    </w:p>
    <w:p w14:paraId="0CE93DD8">
      <w:pPr>
        <w:spacing w:after="160" w:line="480" w:lineRule="auto"/>
        <w:jc w:val="both"/>
        <w:rPr>
          <w:rFonts w:eastAsia="Calibri"/>
          <w:b/>
          <w:iCs/>
        </w:rPr>
      </w:pPr>
    </w:p>
    <w:p w14:paraId="6AF62C55">
      <w:pPr>
        <w:spacing w:after="160" w:line="480" w:lineRule="auto"/>
        <w:jc w:val="both"/>
        <w:rPr>
          <w:rFonts w:eastAsia="Calibri"/>
          <w:b/>
          <w:iCs/>
        </w:rPr>
      </w:pPr>
      <w:r>
        <w:rPr>
          <w:rFonts w:eastAsia="Calibri"/>
          <w:b/>
          <w:iCs/>
        </w:rPr>
        <w:t xml:space="preserve">10.2 </w:t>
      </w:r>
      <w:r>
        <w:rPr>
          <w:rFonts w:eastAsia="Calibri"/>
          <w:b/>
          <w:iCs/>
        </w:rPr>
        <w:tab/>
      </w:r>
      <w:r>
        <w:rPr>
          <w:rFonts w:eastAsia="Calibri"/>
          <w:b/>
          <w:iCs/>
        </w:rPr>
        <w:t>CONCLUSIONS AND RECOMMENDATIONS</w:t>
      </w:r>
    </w:p>
    <w:p w14:paraId="010FA0CF">
      <w:pPr>
        <w:spacing w:after="160" w:line="480" w:lineRule="auto"/>
        <w:jc w:val="both"/>
        <w:rPr>
          <w:rFonts w:eastAsia="Calibri"/>
          <w:bCs/>
          <w:iCs/>
        </w:rPr>
      </w:pPr>
      <w:r>
        <w:rPr>
          <w:rFonts w:eastAsia="Calibri"/>
          <w:bCs/>
          <w:iCs/>
        </w:rPr>
        <w:t xml:space="preserve">The common theme of this research is that the need to achieve clarity, certainty and consistency of understanding, interpretation and implementation of upstream petroleum taxation extends beyond being an aspirational concept or principle. It goes beyond the use of language and efficient rule-based legislative drafting. It is a matter of practical macro-economic importance for the governments and the taxpayers. It requires sustained engagement, objective research, clear and responsive fiscal and tax policy objectives setting, as well as maintaining a balance between the State revenue needs or aspirations with the ‘investors’ legitimate expectation for fair returns on investment. </w:t>
      </w:r>
    </w:p>
    <w:p w14:paraId="4F98D647">
      <w:pPr>
        <w:spacing w:after="160" w:line="480" w:lineRule="auto"/>
        <w:jc w:val="both"/>
        <w:rPr>
          <w:rFonts w:eastAsia="Calibri"/>
          <w:bCs/>
          <w:iCs/>
        </w:rPr>
      </w:pPr>
      <w:r>
        <w:rPr>
          <w:rFonts w:eastAsia="Calibri"/>
          <w:bCs/>
          <w:iCs/>
        </w:rPr>
        <w:t xml:space="preserve">The relevance of this study is that it commenced long before the enactment of the PIA. Many of the issues identified with respect to policy inconsistency and lack of clarity in fiscal and tax policy objectives, as well as clarity in tax legislative language and the distortions caused by project specific incentives etc. have been addressed in the new fiscal framework and tax legislation enacted as the PIA. The delay in designing the new policy framework and enacting the PIA, as well as the absence of a comprehensive reform of the fiscal and tax system for the upstream petroleum system created more confusion and conflicts for the investing community, leading </w:t>
      </w:r>
      <w:r>
        <w:rPr>
          <w:rFonts w:eastAsia="Calibri"/>
          <w:bCs/>
          <w:iCs/>
          <w:color w:val="000000"/>
        </w:rPr>
        <w:t>to</w:t>
      </w:r>
      <w:r>
        <w:rPr>
          <w:rFonts w:eastAsia="Calibri"/>
          <w:bCs/>
          <w:iCs/>
        </w:rPr>
        <w:t xml:space="preserve"> delays in investment decisions and several investors exiting the country. The piecemeal reviews and amendment further contributed to uncertainty, and lack of confidence in the PPTA regime, as amended by the PSC Act. The introduction </w:t>
      </w:r>
      <w:r>
        <w:rPr>
          <w:rFonts w:eastAsia="Calibri"/>
          <w:bCs/>
          <w:iCs/>
          <w:color w:val="000000"/>
        </w:rPr>
        <w:t>of</w:t>
      </w:r>
      <w:r>
        <w:rPr>
          <w:rFonts w:eastAsia="Calibri"/>
          <w:bCs/>
          <w:iCs/>
        </w:rPr>
        <w:t xml:space="preserve"> commercial and production sharing contract concepts into the PPTA fiscal regime only added to the confusion and revenue leakages and contentious issues which went for arbitration. The focus of the Petroleum Act (PA), and the PPTA on oil production was inadequate for the complex demands of the petroleum industry. </w:t>
      </w:r>
    </w:p>
    <w:p w14:paraId="35613AA9">
      <w:pPr>
        <w:spacing w:after="160" w:line="480" w:lineRule="auto"/>
        <w:jc w:val="both"/>
        <w:rPr>
          <w:rFonts w:eastAsia="Calibri"/>
          <w:bCs/>
          <w:iCs/>
        </w:rPr>
      </w:pPr>
      <w:r>
        <w:rPr>
          <w:rFonts w:eastAsia="Calibri"/>
          <w:bCs/>
          <w:iCs/>
        </w:rPr>
        <w:t xml:space="preserve">Nigeria also lacked a structured and sustained tax and fiscal policy making process, resulting in policy ambivalence and inconsistencies. Furthermore, there was a clear lack </w:t>
      </w:r>
      <w:r>
        <w:t xml:space="preserve">of </w:t>
      </w:r>
      <w:r>
        <w:rPr>
          <w:rFonts w:eastAsia="Calibri"/>
          <w:bCs/>
          <w:iCs/>
          <w:color w:val="000000"/>
        </w:rPr>
        <w:t xml:space="preserve">technical capacity </w:t>
      </w:r>
      <w:r>
        <w:rPr>
          <w:rFonts w:eastAsia="Calibri"/>
          <w:bCs/>
          <w:iCs/>
        </w:rPr>
        <w:t>and financial resources and legal drafting competencies which all added to delayed reforms. The eventual enactment of the Petroleum Industry Act (PIA)</w:t>
      </w:r>
      <w:r>
        <w:rPr>
          <w:rFonts w:eastAsia="Calibri"/>
          <w:bCs/>
          <w:iCs/>
          <w:vertAlign w:val="superscript"/>
        </w:rPr>
        <w:footnoteReference w:id="720"/>
      </w:r>
      <w:r>
        <w:rPr>
          <w:rFonts w:eastAsia="Calibri"/>
          <w:bCs/>
          <w:iCs/>
        </w:rPr>
        <w:t xml:space="preserve"> after close to two decades of deliberations</w:t>
      </w:r>
      <w:r>
        <w:rPr>
          <w:rFonts w:eastAsia="Calibri"/>
          <w:bCs/>
          <w:iCs/>
          <w:color w:val="FF0000"/>
        </w:rPr>
        <w:t>,</w:t>
      </w:r>
      <w:r>
        <w:rPr>
          <w:rFonts w:eastAsia="Calibri"/>
          <w:bCs/>
          <w:iCs/>
        </w:rPr>
        <w:t xml:space="preserve"> amendments or variations to the terms of the PIB, highlighted some of the systemic and governance issues affecting the industry in Nigeria. As demonstrated in our analysis of the major changes introduced by the PIA in chapter 9, the PIA has brought more clarity to several issues and legislation affecting upstream petroleum taxation</w:t>
      </w:r>
      <w:r>
        <w:rPr>
          <w:rStyle w:val="23"/>
          <w:rFonts w:eastAsia="Calibri"/>
          <w:bCs/>
          <w:iCs/>
        </w:rPr>
        <w:footnoteReference w:id="721"/>
      </w:r>
      <w:r>
        <w:rPr>
          <w:rFonts w:eastAsia="Calibri"/>
          <w:bCs/>
          <w:iCs/>
        </w:rPr>
        <w:t>. The PIA has also brought more clarity to the royalty system, marginal fields taxation and the tax treatment of expenses, and decommissioning and abandonment (D&amp;A) expenditure</w:t>
      </w:r>
      <w:r>
        <w:rPr>
          <w:rStyle w:val="23"/>
          <w:rFonts w:eastAsia="Calibri"/>
          <w:bCs/>
          <w:iCs/>
        </w:rPr>
        <w:footnoteReference w:id="722"/>
      </w:r>
      <w:r>
        <w:rPr>
          <w:rFonts w:eastAsia="Calibri"/>
          <w:bCs/>
          <w:iCs/>
        </w:rPr>
        <w:t>. Specifically, the PIA has effected the following changes and brought more clarity and certainty to upstream petroleum taxation:</w:t>
      </w:r>
    </w:p>
    <w:p w14:paraId="6E1434AB">
      <w:pPr>
        <w:pStyle w:val="52"/>
        <w:numPr>
          <w:ilvl w:val="0"/>
          <w:numId w:val="39"/>
        </w:numPr>
        <w:spacing w:after="16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PIA has created a new basis for the taxation of oil and gas, different from what existed under the PPTA as amended by the PSC fiscal regime. The focus of the PPTA was on oil. The attempt to leverage oil to develop gas taxation created many distortions and gaps in the treatment of revenue and expense. The new basis introduced under the PIA eliminates the distortions by separating the tax treatment of oil and gas expenditure and income treatment for HT and CIT. Additionally, the PIA has established the fiscal basis for the separate arm’s length taxation of the upstream, midstream, and downstream assets. Gas development and production expenditure and income will now be taxed under CITA provisions, but with the subsisting incentives to encourage upstream, midstream, and downstream gas development and production.   </w:t>
      </w:r>
    </w:p>
    <w:p w14:paraId="183564B5">
      <w:pPr>
        <w:pStyle w:val="52"/>
        <w:numPr>
          <w:ilvl w:val="0"/>
          <w:numId w:val="40"/>
        </w:numPr>
        <w:spacing w:after="160"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 two-tier income tax regime, i.e. hydrocarbon tax (HT) and company income tax (CIT), for upstream petroleum taxation, facilitates the clarification and the ascertainment of chargeable revenue for HT and CIT purposes and broadened the basis of tax deduction of expenditure incurred for upstream petroleum operations to wholly, reasonably, exclusively and necessarily (WREN) incurred expenditure</w:t>
      </w:r>
      <w:r>
        <w:rPr>
          <w:rStyle w:val="23"/>
          <w:rFonts w:ascii="Times New Roman" w:hAnsi="Times New Roman" w:cs="Times New Roman"/>
          <w:bCs/>
          <w:iCs/>
          <w:sz w:val="24"/>
          <w:szCs w:val="24"/>
        </w:rPr>
        <w:footnoteReference w:id="723"/>
      </w:r>
      <w:r>
        <w:rPr>
          <w:rFonts w:ascii="Times New Roman" w:hAnsi="Times New Roman" w:cs="Times New Roman"/>
          <w:bCs/>
          <w:iCs/>
          <w:sz w:val="24"/>
          <w:szCs w:val="24"/>
        </w:rPr>
        <w:t>. The WREN test does not however resolve the issue of uncertainty highlighted with the previously existing wholly, exclusively and necessarily (WEN) incurred test under the PPTA. Both these tests of deductibility remain questions of fact, which in most cases are subject to varying interpretation and views by the tax authority, the taxpayers and the court</w:t>
      </w:r>
      <w:r>
        <w:rPr>
          <w:rStyle w:val="23"/>
          <w:rFonts w:ascii="Times New Roman" w:hAnsi="Times New Roman" w:cs="Times New Roman"/>
          <w:bCs/>
          <w:iCs/>
          <w:sz w:val="24"/>
          <w:szCs w:val="24"/>
        </w:rPr>
        <w:footnoteReference w:id="724"/>
      </w:r>
      <w:r>
        <w:rPr>
          <w:rFonts w:ascii="Times New Roman" w:hAnsi="Times New Roman" w:cs="Times New Roman"/>
          <w:bCs/>
          <w:iCs/>
          <w:sz w:val="24"/>
          <w:szCs w:val="24"/>
        </w:rPr>
        <w:t xml:space="preserve">. </w:t>
      </w:r>
    </w:p>
    <w:p w14:paraId="53652C79">
      <w:pPr>
        <w:pStyle w:val="52"/>
        <w:numPr>
          <w:ilvl w:val="0"/>
          <w:numId w:val="40"/>
        </w:numPr>
        <w:spacing w:after="16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PIA, however, fails to resolve the issue of tax treatment of certain special purpose taxes and charges for upstream petroleum taxation. This remains a distorting factor and needs to be addressed as either tax deductible or tax creditable expense. </w:t>
      </w:r>
    </w:p>
    <w:p w14:paraId="6B680B0D">
      <w:pPr>
        <w:pStyle w:val="52"/>
        <w:numPr>
          <w:ilvl w:val="0"/>
          <w:numId w:val="40"/>
        </w:numPr>
        <w:spacing w:after="16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Deep Offshore petroleum operations are exempt from HT and the change in the allowances and fiscal incentives granted under the PIA are aimed at encouraging investment in the Deep Offshore. It is, however, seen as discriminatory against the companies operating onshore, and small companies with potential for distortions and abuse. </w:t>
      </w:r>
    </w:p>
    <w:p w14:paraId="117CDD8C">
      <w:pPr>
        <w:pStyle w:val="52"/>
        <w:numPr>
          <w:ilvl w:val="0"/>
          <w:numId w:val="40"/>
        </w:numPr>
        <w:spacing w:after="16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PIA also has achieved the much-needed clarity with respect to the treatment of decommissioning and abandonment costs. The effect of the tax treatment of decommissioning cost on investment planning and decision making can now be better managed by investors. </w:t>
      </w:r>
    </w:p>
    <w:p w14:paraId="7E4C0605">
      <w:pPr>
        <w:pStyle w:val="52"/>
        <w:numPr>
          <w:ilvl w:val="0"/>
          <w:numId w:val="40"/>
        </w:numPr>
        <w:spacing w:after="16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marginal fields taxation regime is also much more certain. A special marginal field regime is established by the PIA, with a revised tax rate. Investment and development of small fields can be better managed and encouraged. </w:t>
      </w:r>
    </w:p>
    <w:p w14:paraId="458FD691">
      <w:pPr>
        <w:pStyle w:val="52"/>
        <w:numPr>
          <w:ilvl w:val="0"/>
          <w:numId w:val="40"/>
        </w:numPr>
        <w:spacing w:line="480" w:lineRule="auto"/>
        <w:ind w:left="714" w:hanging="357"/>
        <w:rPr>
          <w:rFonts w:ascii="Times New Roman" w:hAnsi="Times New Roman" w:cs="Times New Roman"/>
          <w:bCs/>
          <w:iCs/>
          <w:sz w:val="24"/>
          <w:szCs w:val="24"/>
        </w:rPr>
      </w:pPr>
      <w:r>
        <w:rPr>
          <w:rFonts w:ascii="Times New Roman" w:hAnsi="Times New Roman" w:cs="Times New Roman"/>
          <w:bCs/>
          <w:iCs/>
          <w:sz w:val="24"/>
          <w:szCs w:val="24"/>
        </w:rPr>
        <w:t xml:space="preserve">The PIA also retains the Royalty regime with amendments to make it price, terrain and production reflective, in addition to the various special purpose taxes, charges, and levies. </w:t>
      </w:r>
    </w:p>
    <w:p w14:paraId="3A27501E">
      <w:pPr>
        <w:pStyle w:val="52"/>
        <w:numPr>
          <w:ilvl w:val="0"/>
          <w:numId w:val="40"/>
        </w:numPr>
        <w:spacing w:after="160" w:line="480" w:lineRule="auto"/>
        <w:jc w:val="both"/>
        <w:rPr>
          <w:rFonts w:ascii="Times New Roman" w:hAnsi="Times New Roman" w:cs="Times New Roman"/>
          <w:sz w:val="24"/>
          <w:szCs w:val="24"/>
        </w:rPr>
      </w:pPr>
      <w:r>
        <w:rPr>
          <w:rFonts w:ascii="Times New Roman" w:hAnsi="Times New Roman" w:cs="Times New Roman"/>
          <w:sz w:val="24"/>
          <w:szCs w:val="24"/>
          <w:lang w:val="en-GB"/>
        </w:rPr>
        <w:t>The simplification of PIA language is helpful</w:t>
      </w:r>
      <w:r>
        <w:rPr>
          <w:rFonts w:ascii="Times New Roman" w:hAnsi="Times New Roman" w:cs="Times New Roman"/>
          <w:sz w:val="24"/>
          <w:szCs w:val="24"/>
          <w:vertAlign w:val="superscript"/>
          <w:lang w:val="en-GB"/>
        </w:rPr>
        <w:footnoteReference w:id="725"/>
      </w:r>
      <w:r>
        <w:rPr>
          <w:rFonts w:ascii="Times New Roman" w:hAnsi="Times New Roman" w:cs="Times New Roman"/>
          <w:sz w:val="24"/>
          <w:szCs w:val="24"/>
          <w:lang w:val="en-GB"/>
        </w:rPr>
        <w:t>. However, building legislative drafting competency is necessary as it</w:t>
      </w:r>
      <w:r>
        <w:rPr>
          <w:rFonts w:ascii="Times New Roman" w:hAnsi="Times New Roman" w:cs="Times New Roman"/>
          <w:sz w:val="24"/>
          <w:szCs w:val="24"/>
        </w:rPr>
        <w:t xml:space="preserve"> is hardly possible to name another area of law</w:t>
      </w:r>
      <w:r>
        <w:rPr>
          <w:rFonts w:ascii="Times New Roman" w:hAnsi="Times New Roman" w:cs="Times New Roman"/>
          <w:sz w:val="24"/>
          <w:szCs w:val="24"/>
          <w:vertAlign w:val="superscript"/>
        </w:rPr>
        <w:footnoteReference w:id="726"/>
      </w:r>
      <w:r>
        <w:rPr>
          <w:rFonts w:ascii="Times New Roman" w:hAnsi="Times New Roman" w:cs="Times New Roman"/>
          <w:sz w:val="24"/>
          <w:szCs w:val="24"/>
        </w:rPr>
        <w:t>, where an erroneously constructed phrase, a gap between a thought and its textual expression, an incorrectly or inappropriately used word or term can lead to grave consequences as in the sphere of taxation, and go to the root of uncertainty in the legal and tax system. The absence of statutorily defined terms and concepts is an area that needs improvement in the PIA</w:t>
      </w:r>
    </w:p>
    <w:p w14:paraId="113967C4">
      <w:pPr>
        <w:spacing w:after="160" w:line="480" w:lineRule="auto"/>
        <w:jc w:val="both"/>
        <w:rPr>
          <w:rFonts w:eastAsia="Calibri"/>
          <w:bCs/>
          <w:iCs/>
          <w:color w:val="000000"/>
        </w:rPr>
      </w:pPr>
      <w:r>
        <w:rPr>
          <w:rFonts w:eastAsia="Calibri"/>
          <w:bCs/>
          <w:iCs/>
          <w:lang w:val="en-GB"/>
        </w:rPr>
        <w:t xml:space="preserve">The PIA properly identifies need to create a simple upstream petroleum tax regime which generates adequate revenues for the country and permits profitable or fair financial returns for the investors and shareholders. </w:t>
      </w:r>
      <w:r>
        <w:rPr>
          <w:rFonts w:eastAsia="Calibri"/>
          <w:bCs/>
          <w:iCs/>
        </w:rPr>
        <w:t xml:space="preserve">However, how the government responds to changes and proactively addresses fiscal and legislative </w:t>
      </w:r>
      <w:r>
        <w:rPr>
          <w:rFonts w:eastAsia="Calibri"/>
          <w:bCs/>
          <w:iCs/>
          <w:color w:val="000000"/>
        </w:rPr>
        <w:t xml:space="preserve">review and reform </w:t>
      </w:r>
      <w:r>
        <w:rPr>
          <w:rFonts w:eastAsia="Calibri"/>
          <w:bCs/>
          <w:iCs/>
        </w:rPr>
        <w:t xml:space="preserve">remains a challenge that will impact the effectiveness of the new fiscal and legislative regime. The review process to deal with new developments, financing arrangements and technologies, as Nigeria strives to attain energy security and funding for development requires commitment from government and the fiscal federalism under the 1999 Constitution would require decentralization. The pressure for revenue capture by all tiers of government </w:t>
      </w:r>
      <w:r>
        <w:rPr>
          <w:rFonts w:eastAsia="Calibri"/>
          <w:bCs/>
          <w:iCs/>
          <w:color w:val="000000"/>
        </w:rPr>
        <w:t xml:space="preserve">will continue to present fiscal and tax challenges, unless and until there is more clarity under the Constitution on the fiscal and legislative responsibility of the federating entities. </w:t>
      </w:r>
    </w:p>
    <w:p w14:paraId="624E8E03">
      <w:pPr>
        <w:spacing w:after="160" w:line="480" w:lineRule="auto"/>
        <w:jc w:val="both"/>
        <w:rPr>
          <w:rFonts w:eastAsia="Calibri"/>
          <w:bCs/>
          <w:iCs/>
          <w:color w:val="000000"/>
        </w:rPr>
      </w:pPr>
      <w:r>
        <w:rPr>
          <w:rFonts w:eastAsia="Calibri"/>
          <w:bCs/>
          <w:iCs/>
          <w:lang w:val="en-GB"/>
        </w:rPr>
        <w:t xml:space="preserve">The objective for simplification of the tax system for petroleum operations has made significant progress under the PIA. </w:t>
      </w:r>
      <w:r>
        <w:rPr>
          <w:rFonts w:eastAsia="Calibri"/>
          <w:bCs/>
          <w:iCs/>
          <w:color w:val="000000"/>
        </w:rPr>
        <w:t>However, under the PIA, the interaction of the general Corporate Income Tax Act (CITA) with Hydrocarbon Tax Act (HT), and modified Royalty regime for upstream petroleum operations is still fragmented with respect to the fiscal regimes, and the income and profit tax basis applicable to different terrains, assets and category of companies operating onshore, and offshore and frontier basin etc. These fragmentations potentially will continue to create distortions, arbitrages, and gaps in the treatment of ascertainment of revenue, chargeable income and expenses, as well as the consistent application and understanding of taxing principles, understanding, interpretation and compliance for both the taxpayer and the tax authority.</w:t>
      </w:r>
    </w:p>
    <w:p w14:paraId="7AAAF1B0">
      <w:pPr>
        <w:spacing w:after="160" w:line="480" w:lineRule="auto"/>
        <w:jc w:val="both"/>
        <w:rPr>
          <w:rFonts w:eastAsia="Calibri"/>
          <w:bCs/>
          <w:iCs/>
          <w:color w:val="000000"/>
          <w:lang w:val="en-GB"/>
        </w:rPr>
      </w:pPr>
      <w:r>
        <w:rPr>
          <w:rFonts w:eastAsia="Calibri"/>
          <w:bCs/>
          <w:iCs/>
          <w:color w:val="000000"/>
          <w:lang w:val="en-GB"/>
        </w:rPr>
        <w:t xml:space="preserve">It is recommended that a </w:t>
      </w:r>
      <w:r>
        <w:rPr>
          <w:rFonts w:eastAsia="Calibri"/>
          <w:bCs/>
          <w:iCs/>
          <w:lang w:val="en-GB"/>
        </w:rPr>
        <w:t xml:space="preserve">single corporate income tax regime for petroleum operations, in addition to a royalty regime which yields early revenues may go a long way to simplifying the upstream petroleum tax system. </w:t>
      </w:r>
      <w:r>
        <w:rPr>
          <w:rFonts w:eastAsia="Calibri"/>
          <w:bCs/>
          <w:iCs/>
          <w:color w:val="000000"/>
        </w:rPr>
        <w:t>There are various ways to do this. One example could envisage a progressive income tax and a sliding scale royalty in the case of concessionary systems; or a progressive government take linked to petroleum prices or project rate of return in the case of production-sharing arrangements.</w:t>
      </w:r>
    </w:p>
    <w:p w14:paraId="0B06DCA9">
      <w:pPr>
        <w:spacing w:after="160" w:line="480" w:lineRule="auto"/>
        <w:jc w:val="both"/>
        <w:rPr>
          <w:rFonts w:eastAsia="Calibri"/>
          <w:bCs/>
          <w:iCs/>
          <w:color w:val="000000"/>
          <w:lang w:val="en-GB"/>
        </w:rPr>
      </w:pPr>
      <w:r>
        <w:rPr>
          <w:rFonts w:eastAsia="Calibri"/>
          <w:bCs/>
          <w:iCs/>
          <w:color w:val="000000"/>
        </w:rPr>
        <w:t xml:space="preserve">The PIA is silent on the treatment of the special purpose and transactions taxes, as well as the incidence of multiple taxes, charges and levies. Barring a Constitutional amendment to address </w:t>
      </w:r>
      <w:r>
        <w:rPr>
          <w:rFonts w:eastAsia="Calibri"/>
          <w:bCs/>
          <w:iCs/>
          <w:color w:val="000000"/>
          <w:lang w:val="en-GB"/>
        </w:rPr>
        <w:t xml:space="preserve">the over-centralised fiscal federalism under the Nigerian Constitution, as well as re- </w:t>
      </w:r>
      <w:r>
        <w:rPr>
          <w:rFonts w:eastAsia="Calibri"/>
          <w:bCs/>
          <w:iCs/>
          <w:color w:val="000000"/>
        </w:rPr>
        <w:t>define and delineate properly the fiscal responsibilities and taxing powers of the FG and the States and local government councils in the federation, a deliberate policy change would be required to</w:t>
      </w:r>
      <w:r>
        <w:rPr>
          <w:rFonts w:eastAsia="Calibri"/>
          <w:bCs/>
          <w:iCs/>
          <w:color w:val="000000"/>
          <w:lang w:val="en-GB"/>
        </w:rPr>
        <w:t xml:space="preserve"> either eliminate multiple taxes and levies, or consolidate all of these special purpose taxes which impact upstream petroleum taxation and increase the cost of operations. </w:t>
      </w:r>
      <w:r>
        <w:rPr>
          <w:rFonts w:eastAsia="Calibri"/>
          <w:bCs/>
          <w:iCs/>
          <w:color w:val="000000"/>
        </w:rPr>
        <w:t>This is an area requiring further research, and legislative amendment as it pertains to uncertainties for petroleum taxation.</w:t>
      </w:r>
    </w:p>
    <w:p w14:paraId="214BEC47">
      <w:pPr>
        <w:spacing w:after="160" w:line="480" w:lineRule="auto"/>
        <w:jc w:val="both"/>
        <w:rPr>
          <w:rFonts w:eastAsia="Calibri"/>
          <w:bCs/>
          <w:iCs/>
          <w:color w:val="000000"/>
          <w:lang w:val="en-GB"/>
        </w:rPr>
      </w:pPr>
      <w:r>
        <w:rPr>
          <w:rFonts w:eastAsia="Calibri"/>
          <w:bCs/>
          <w:iCs/>
          <w:color w:val="000000"/>
          <w:lang w:val="en-GB"/>
        </w:rPr>
        <w:t xml:space="preserve">Finally, it is recommended that tax certainty for upstream petroleum taxation in Nigeria should be a sustainable, robust and flexible framework of rules and procedural standards, geared towards providing conditions suitable for investment and the profitable exploitation of the petroleum and related resources by the country. The system should render adequate or fair returns to the country and the investors. It should reflect clearly articulated fiscal policy and tax objectives of the resource owners, with well-defined tax obligation for all parties. The tax laws and regulations should be clear, and enhance the capacity of the tax and customs administration, to administer and the taxpayer to discharge their obligations. The system should also provide for the swift and transparent mechanisms for dispute resolution. </w:t>
      </w:r>
      <w:r>
        <w:rPr>
          <w:rFonts w:eastAsia="Calibri"/>
          <w:bCs/>
          <w:iCs/>
          <w:color w:val="000000"/>
        </w:rPr>
        <w:t>The PIA has attempted to achieve many of these broad objectives and a simplified language, which will facilitate administration, although there are noticeable gaps and areas of fragmentation in the treatment of assets and revenue.</w:t>
      </w:r>
    </w:p>
    <w:p w14:paraId="78B43210">
      <w:pPr>
        <w:spacing w:after="160" w:line="480" w:lineRule="auto"/>
        <w:jc w:val="both"/>
        <w:rPr>
          <w:rFonts w:eastAsia="Calibri"/>
          <w:bCs/>
          <w:iCs/>
          <w:color w:val="000000"/>
        </w:rPr>
      </w:pPr>
      <w:r>
        <w:rPr>
          <w:rFonts w:eastAsia="Calibri"/>
          <w:bCs/>
          <w:iCs/>
          <w:color w:val="000000"/>
        </w:rPr>
        <w:t xml:space="preserve">Clear, accurate, coherent legislation does not necessarily guarantee tax certainty if it is not accompanied by a coherent, fair, timely and efficient implementation. Ineffective and unpredictable implementation, where there is a gap between the tax legislation and its application, is likely to increase uncertainty. Sustained, timely and responsive structured policy and tax law review and reform, as the UK experience and the Canadian integrated evidenced based and flexible approach demonstrate, is required for continued clarity, certainty and consistency (CCC) in designing, understanding, interpretation and implementation of tax legislation, as well as predictability for planning, administration and compliance. </w:t>
      </w:r>
    </w:p>
    <w:p w14:paraId="33F17A96">
      <w:pPr>
        <w:spacing w:after="160" w:line="480" w:lineRule="auto"/>
        <w:jc w:val="both"/>
        <w:rPr>
          <w:color w:val="FF0000"/>
        </w:rPr>
      </w:pPr>
    </w:p>
    <w:p w14:paraId="51F8A030">
      <w:pPr>
        <w:spacing w:after="160" w:line="480" w:lineRule="auto"/>
        <w:jc w:val="both"/>
        <w:rPr>
          <w:color w:val="FF0000"/>
        </w:rPr>
      </w:pPr>
    </w:p>
    <w:p w14:paraId="4A262728">
      <w:pPr>
        <w:spacing w:after="160" w:line="480" w:lineRule="auto"/>
        <w:jc w:val="both"/>
        <w:rPr>
          <w:rFonts w:eastAsia="Calibri"/>
          <w:bCs/>
          <w:iCs/>
          <w:lang w:val="en-GB"/>
        </w:rPr>
      </w:pPr>
    </w:p>
    <w:p w14:paraId="34B8FB94">
      <w:pPr>
        <w:spacing w:after="160" w:line="480" w:lineRule="auto"/>
        <w:jc w:val="both"/>
        <w:rPr>
          <w:rFonts w:eastAsia="Calibri"/>
          <w:bCs/>
          <w:iCs/>
          <w:color w:val="FF0000"/>
        </w:rPr>
      </w:pPr>
    </w:p>
    <w:p w14:paraId="379832A2">
      <w:pPr>
        <w:spacing w:after="160" w:line="480" w:lineRule="auto"/>
        <w:jc w:val="both"/>
        <w:rPr>
          <w:rFonts w:eastAsia="Calibri"/>
          <w:b/>
          <w:bCs/>
          <w:lang w:val="en-ZA"/>
        </w:rPr>
      </w:pPr>
      <w:r>
        <w:rPr>
          <w:rFonts w:eastAsia="Calibri"/>
          <w:b/>
          <w:bCs/>
          <w:lang w:val="en-ZA"/>
        </w:rPr>
        <w:t>DATE OF STATEMENT OF LAW FOR THE RESEARCH:  DECEMBER 2023</w:t>
      </w:r>
    </w:p>
    <w:p w14:paraId="64DB50D5">
      <w:pPr>
        <w:spacing w:after="160" w:line="480" w:lineRule="auto"/>
        <w:jc w:val="both"/>
        <w:rPr>
          <w:rFonts w:eastAsia="Calibri"/>
          <w:b/>
          <w:bCs/>
        </w:rPr>
      </w:pPr>
    </w:p>
    <w:p w14:paraId="4CB8EF5E">
      <w:pPr>
        <w:spacing w:after="160" w:line="480" w:lineRule="auto"/>
        <w:jc w:val="both"/>
        <w:rPr>
          <w:rFonts w:eastAsia="Calibri"/>
          <w:b/>
          <w:bCs/>
        </w:rPr>
      </w:pPr>
    </w:p>
    <w:p w14:paraId="6DC3C9E1">
      <w:pPr>
        <w:spacing w:after="160" w:line="480" w:lineRule="auto"/>
        <w:jc w:val="both"/>
        <w:rPr>
          <w:rFonts w:eastAsia="Calibri"/>
          <w:b/>
          <w:bCs/>
        </w:rPr>
      </w:pPr>
    </w:p>
    <w:p w14:paraId="0B24A9B0">
      <w:pPr>
        <w:spacing w:after="160" w:line="480" w:lineRule="auto"/>
        <w:jc w:val="both"/>
        <w:rPr>
          <w:rFonts w:eastAsia="Calibri"/>
          <w:b/>
          <w:bCs/>
        </w:rPr>
      </w:pPr>
    </w:p>
    <w:p w14:paraId="2D4F44F0">
      <w:pPr>
        <w:spacing w:after="160" w:line="480" w:lineRule="auto"/>
        <w:jc w:val="both"/>
        <w:rPr>
          <w:b/>
          <w:sz w:val="28"/>
        </w:rPr>
      </w:pPr>
    </w:p>
    <w:p w14:paraId="551483FA">
      <w:pPr>
        <w:spacing w:after="160" w:line="480" w:lineRule="auto"/>
        <w:jc w:val="both"/>
        <w:rPr>
          <w:rFonts w:eastAsia="Calibri"/>
          <w:b/>
          <w:bCs/>
          <w:sz w:val="28"/>
          <w:szCs w:val="28"/>
        </w:rPr>
      </w:pPr>
    </w:p>
    <w:p w14:paraId="11E7E6AF">
      <w:pPr>
        <w:spacing w:after="160" w:line="480" w:lineRule="auto"/>
        <w:jc w:val="both"/>
        <w:rPr>
          <w:rFonts w:eastAsia="Calibri"/>
          <w:b/>
          <w:bCs/>
          <w:sz w:val="28"/>
          <w:szCs w:val="28"/>
        </w:rPr>
      </w:pPr>
    </w:p>
    <w:p w14:paraId="1EE340A5">
      <w:pPr>
        <w:spacing w:after="160" w:line="480" w:lineRule="auto"/>
        <w:jc w:val="both"/>
        <w:rPr>
          <w:rFonts w:eastAsia="Calibri"/>
          <w:b/>
          <w:bCs/>
          <w:sz w:val="28"/>
          <w:szCs w:val="28"/>
        </w:rPr>
      </w:pPr>
    </w:p>
    <w:p w14:paraId="4EEF3841">
      <w:pPr>
        <w:spacing w:after="160" w:line="480" w:lineRule="auto"/>
        <w:jc w:val="both"/>
        <w:rPr>
          <w:rFonts w:eastAsia="Calibri"/>
          <w:b/>
          <w:bCs/>
          <w:sz w:val="28"/>
          <w:szCs w:val="28"/>
        </w:rPr>
      </w:pPr>
    </w:p>
    <w:p w14:paraId="2CC2517A">
      <w:pPr>
        <w:spacing w:after="160" w:line="480" w:lineRule="auto"/>
        <w:jc w:val="center"/>
        <w:rPr>
          <w:rFonts w:eastAsia="Calibri"/>
          <w:b/>
          <w:bCs/>
          <w:sz w:val="28"/>
          <w:szCs w:val="28"/>
        </w:rPr>
      </w:pPr>
    </w:p>
    <w:p w14:paraId="0F17F107">
      <w:pPr>
        <w:spacing w:after="160" w:line="480" w:lineRule="auto"/>
        <w:jc w:val="center"/>
        <w:rPr>
          <w:rFonts w:eastAsia="Calibri"/>
          <w:b/>
          <w:bCs/>
          <w:sz w:val="28"/>
          <w:szCs w:val="28"/>
        </w:rPr>
      </w:pPr>
      <w:r>
        <w:rPr>
          <w:rFonts w:eastAsia="Calibri"/>
          <w:b/>
          <w:bCs/>
          <w:sz w:val="28"/>
          <w:szCs w:val="28"/>
        </w:rPr>
        <w:t>BIBLIOGRAPHY</w:t>
      </w:r>
    </w:p>
    <w:p w14:paraId="24865FE7">
      <w:pPr>
        <w:spacing w:after="160" w:line="480" w:lineRule="auto"/>
        <w:ind w:firstLine="720"/>
        <w:jc w:val="both"/>
        <w:rPr>
          <w:rFonts w:eastAsia="Calibri"/>
        </w:rPr>
      </w:pPr>
      <w:r>
        <w:rPr>
          <w:rFonts w:eastAsia="Calibri"/>
        </w:rPr>
        <w:t xml:space="preserve">BOOKS </w:t>
      </w:r>
    </w:p>
    <w:p w14:paraId="5219E9E6">
      <w:pPr>
        <w:spacing w:after="160" w:line="480" w:lineRule="auto"/>
        <w:ind w:firstLine="720"/>
        <w:jc w:val="both"/>
        <w:rPr>
          <w:rFonts w:eastAsia="Calibri"/>
        </w:rPr>
      </w:pPr>
      <w:r>
        <w:rPr>
          <w:rFonts w:eastAsia="Calibri"/>
        </w:rPr>
        <w:t>ARTICLES AND JOURNALS</w:t>
      </w:r>
    </w:p>
    <w:p w14:paraId="472EF33F">
      <w:pPr>
        <w:spacing w:after="160" w:line="480" w:lineRule="auto"/>
        <w:ind w:firstLine="720"/>
        <w:jc w:val="both"/>
        <w:rPr>
          <w:rFonts w:eastAsia="Calibri"/>
        </w:rPr>
      </w:pPr>
      <w:r>
        <w:rPr>
          <w:rFonts w:eastAsia="Calibri"/>
        </w:rPr>
        <w:t>LIST OF LEGISLATIONS AND REGULATIONS</w:t>
      </w:r>
    </w:p>
    <w:p w14:paraId="6F3697CB">
      <w:pPr>
        <w:spacing w:after="160" w:line="480" w:lineRule="auto"/>
        <w:ind w:firstLine="720"/>
        <w:jc w:val="both"/>
        <w:rPr>
          <w:rFonts w:eastAsia="Calibri"/>
        </w:rPr>
      </w:pPr>
      <w:r>
        <w:rPr>
          <w:rFonts w:eastAsia="Calibri"/>
        </w:rPr>
        <w:t xml:space="preserve">LIST OF CASES AND JUDICIAL DECISIONS </w:t>
      </w:r>
    </w:p>
    <w:p w14:paraId="1C6A33C5">
      <w:pPr>
        <w:spacing w:after="160" w:line="480" w:lineRule="auto"/>
        <w:ind w:firstLine="720"/>
        <w:jc w:val="both"/>
        <w:rPr>
          <w:rFonts w:eastAsia="Calibri"/>
        </w:rPr>
      </w:pPr>
      <w:r>
        <w:rPr>
          <w:rFonts w:eastAsia="Calibri"/>
        </w:rPr>
        <w:t xml:space="preserve">LIST OF AGREEMENTS AND POLICY DOCUMENTS  </w:t>
      </w:r>
    </w:p>
    <w:p w14:paraId="7FEE493A">
      <w:pPr>
        <w:spacing w:after="160" w:line="480" w:lineRule="auto"/>
        <w:ind w:firstLine="720"/>
        <w:jc w:val="both"/>
        <w:rPr>
          <w:rFonts w:eastAsia="Calibri"/>
        </w:rPr>
      </w:pPr>
    </w:p>
    <w:p w14:paraId="3150CB22">
      <w:pPr>
        <w:spacing w:after="160" w:line="480" w:lineRule="auto"/>
        <w:ind w:firstLine="720"/>
        <w:jc w:val="center"/>
        <w:rPr>
          <w:b/>
          <w:sz w:val="28"/>
        </w:rPr>
      </w:pPr>
      <w:r>
        <w:rPr>
          <w:b/>
          <w:sz w:val="28"/>
        </w:rPr>
        <w:t>APPENDICES</w:t>
      </w:r>
    </w:p>
    <w:p w14:paraId="038DA488">
      <w:pPr>
        <w:spacing w:after="160" w:line="480" w:lineRule="auto"/>
        <w:jc w:val="both"/>
        <w:rPr>
          <w:rFonts w:eastAsia="Calibri"/>
        </w:rPr>
      </w:pPr>
      <w:r>
        <w:rPr>
          <w:rFonts w:eastAsia="Calibri"/>
        </w:rPr>
        <w:tab/>
      </w:r>
      <w:r>
        <w:rPr>
          <w:rFonts w:eastAsia="Calibri"/>
        </w:rPr>
        <w:t>APPENDIX I – SURVEY QUESTIONNAIRE</w:t>
      </w:r>
    </w:p>
    <w:p w14:paraId="6BEDAC54">
      <w:pPr>
        <w:spacing w:after="160" w:line="480" w:lineRule="auto"/>
        <w:jc w:val="both"/>
        <w:rPr>
          <w:rFonts w:eastAsia="Calibri"/>
        </w:rPr>
      </w:pPr>
      <w:r>
        <w:rPr>
          <w:rFonts w:eastAsia="Calibri"/>
        </w:rPr>
        <w:tab/>
      </w:r>
      <w:r>
        <w:rPr>
          <w:rFonts w:eastAsia="Calibri"/>
        </w:rPr>
        <w:t>APPENDIX II – SURVEY RESPONSE</w:t>
      </w:r>
    </w:p>
    <w:p w14:paraId="17F8F1D4">
      <w:pPr>
        <w:spacing w:after="160" w:line="480" w:lineRule="auto"/>
        <w:jc w:val="both"/>
        <w:rPr>
          <w:rFonts w:eastAsia="Calibri"/>
        </w:rPr>
      </w:pPr>
      <w:r>
        <w:rPr>
          <w:rFonts w:eastAsia="Calibri"/>
        </w:rPr>
        <w:tab/>
      </w:r>
      <w:r>
        <w:rPr>
          <w:rFonts w:eastAsia="Calibri"/>
        </w:rPr>
        <w:t>APPENDIX III – NATIONAL TAX POLICY 2012 &amp; 2016</w:t>
      </w:r>
    </w:p>
    <w:p w14:paraId="4462074A">
      <w:pPr>
        <w:spacing w:after="160" w:line="480" w:lineRule="auto"/>
        <w:jc w:val="both"/>
        <w:rPr>
          <w:rFonts w:eastAsia="Calibri"/>
        </w:rPr>
      </w:pPr>
      <w:r>
        <w:rPr>
          <w:rFonts w:eastAsia="Calibri"/>
        </w:rPr>
        <w:tab/>
      </w:r>
      <w:r>
        <w:rPr>
          <w:rFonts w:eastAsia="Calibri"/>
        </w:rPr>
        <w:t>APPENDIX IV – NATIONAL OIL AND GAS POLICY 2016 &amp; 2017</w:t>
      </w:r>
    </w:p>
    <w:p w14:paraId="7FBE8157">
      <w:pPr>
        <w:spacing w:after="160" w:line="480" w:lineRule="auto"/>
        <w:jc w:val="both"/>
        <w:rPr>
          <w:rFonts w:eastAsia="Calibri"/>
        </w:rPr>
      </w:pPr>
      <w:r>
        <w:rPr>
          <w:rFonts w:eastAsia="Calibri"/>
        </w:rPr>
        <w:tab/>
      </w:r>
      <w:r>
        <w:rPr>
          <w:rFonts w:eastAsia="Calibri"/>
        </w:rPr>
        <w:t>APPENDIX V – PETROLEUM INDUSTRY BILL 2008 - 2020</w:t>
      </w:r>
    </w:p>
    <w:p w14:paraId="4A74D02E">
      <w:pPr>
        <w:spacing w:after="160" w:line="480" w:lineRule="auto"/>
        <w:jc w:val="both"/>
        <w:rPr>
          <w:rFonts w:eastAsia="Calibri"/>
        </w:rPr>
      </w:pPr>
      <w:r>
        <w:rPr>
          <w:rFonts w:eastAsia="Calibri"/>
        </w:rPr>
        <w:tab/>
      </w:r>
      <w:r>
        <w:rPr>
          <w:rFonts w:eastAsia="Calibri"/>
        </w:rPr>
        <w:t>APPENDIX VI – NATIONAL PETROLEUM POLICY -approved by FEC July 2017</w:t>
      </w:r>
    </w:p>
    <w:p w14:paraId="7E634C00">
      <w:pPr>
        <w:spacing w:after="160" w:line="480" w:lineRule="auto"/>
        <w:jc w:val="both"/>
        <w:rPr>
          <w:rFonts w:eastAsia="Calibri"/>
          <w:b/>
          <w:bCs/>
          <w:color w:val="FF0000"/>
        </w:rPr>
      </w:pPr>
    </w:p>
    <w:p w14:paraId="42678D4B">
      <w:pPr>
        <w:spacing w:after="160" w:line="480" w:lineRule="auto"/>
        <w:jc w:val="center"/>
        <w:rPr>
          <w:rFonts w:eastAsia="Calibri"/>
          <w:b/>
          <w:bCs/>
        </w:rPr>
      </w:pPr>
    </w:p>
    <w:p w14:paraId="19A4424D">
      <w:pPr>
        <w:spacing w:after="160" w:line="480" w:lineRule="auto"/>
        <w:jc w:val="center"/>
        <w:rPr>
          <w:rFonts w:eastAsia="Calibri"/>
          <w:b/>
          <w:bCs/>
        </w:rPr>
      </w:pPr>
    </w:p>
    <w:p w14:paraId="4D904576">
      <w:pPr>
        <w:spacing w:after="160" w:line="480" w:lineRule="auto"/>
        <w:jc w:val="center"/>
        <w:rPr>
          <w:rFonts w:eastAsia="Calibri"/>
          <w:b/>
          <w:bCs/>
        </w:rPr>
      </w:pPr>
    </w:p>
    <w:p w14:paraId="32C59044">
      <w:pPr>
        <w:spacing w:after="160" w:line="480" w:lineRule="auto"/>
        <w:jc w:val="center"/>
        <w:rPr>
          <w:rFonts w:eastAsia="Calibri"/>
          <w:b/>
          <w:bCs/>
        </w:rPr>
      </w:pPr>
    </w:p>
    <w:p w14:paraId="19913A53">
      <w:pPr>
        <w:spacing w:after="160" w:line="480" w:lineRule="auto"/>
        <w:jc w:val="center"/>
        <w:rPr>
          <w:rFonts w:eastAsia="Calibri"/>
          <w:b/>
          <w:bCs/>
        </w:rPr>
      </w:pPr>
    </w:p>
    <w:p w14:paraId="421CF2F5">
      <w:pPr>
        <w:spacing w:after="160" w:line="480" w:lineRule="auto"/>
        <w:jc w:val="center"/>
        <w:rPr>
          <w:rFonts w:eastAsia="Calibri"/>
          <w:b/>
          <w:bCs/>
        </w:rPr>
      </w:pPr>
    </w:p>
    <w:p w14:paraId="1151FAB5">
      <w:pPr>
        <w:spacing w:after="160" w:line="480" w:lineRule="auto"/>
        <w:jc w:val="center"/>
        <w:rPr>
          <w:rFonts w:eastAsia="Calibri"/>
          <w:b/>
          <w:bCs/>
        </w:rPr>
      </w:pPr>
    </w:p>
    <w:p w14:paraId="603C56B8">
      <w:pPr>
        <w:spacing w:after="160" w:line="480" w:lineRule="auto"/>
        <w:jc w:val="center"/>
        <w:rPr>
          <w:rFonts w:eastAsia="Calibri"/>
          <w:b/>
          <w:bCs/>
          <w:u w:val="single"/>
        </w:rPr>
      </w:pPr>
      <w:r>
        <w:rPr>
          <w:rFonts w:eastAsia="Calibri"/>
          <w:b/>
          <w:bCs/>
        </w:rPr>
        <w:t>BIBLIOGRAPHY</w:t>
      </w:r>
    </w:p>
    <w:p w14:paraId="05D7BEC4">
      <w:pPr>
        <w:spacing w:after="160" w:line="480" w:lineRule="auto"/>
        <w:jc w:val="both"/>
        <w:rPr>
          <w:rFonts w:eastAsia="Calibri"/>
          <w:b/>
          <w:bCs/>
        </w:rPr>
      </w:pPr>
      <w:bookmarkStart w:id="33" w:name="_Toc14"/>
    </w:p>
    <w:p w14:paraId="40BE2A96">
      <w:pPr>
        <w:spacing w:after="160" w:line="480" w:lineRule="auto"/>
        <w:jc w:val="both"/>
        <w:rPr>
          <w:rFonts w:eastAsia="Calibri"/>
          <w:b/>
          <w:bCs/>
          <w:u w:val="single"/>
        </w:rPr>
      </w:pPr>
      <w:r>
        <w:rPr>
          <w:rFonts w:eastAsia="Calibri"/>
          <w:b/>
          <w:bCs/>
        </w:rPr>
        <w:t>B</w:t>
      </w:r>
      <w:bookmarkEnd w:id="33"/>
      <w:r>
        <w:rPr>
          <w:rFonts w:eastAsia="Calibri"/>
          <w:b/>
          <w:bCs/>
        </w:rPr>
        <w:t>OOKS</w:t>
      </w:r>
    </w:p>
    <w:p w14:paraId="5A749DF9">
      <w:pPr>
        <w:spacing w:after="160" w:line="480" w:lineRule="auto"/>
        <w:jc w:val="both"/>
        <w:rPr>
          <w:rFonts w:eastAsia="Calibri"/>
        </w:rPr>
      </w:pPr>
      <w:r>
        <w:rPr>
          <w:rFonts w:eastAsia="Calibri"/>
        </w:rPr>
        <w:t xml:space="preserve">Abbas Ghandi and Cynthia Lin, </w:t>
      </w:r>
      <w:r>
        <w:rPr>
          <w:rFonts w:eastAsia="Calibri"/>
          <w:i/>
        </w:rPr>
        <w:t xml:space="preserve">Oil and Gas Service Contracts around the World: A Review </w:t>
      </w:r>
      <w:r>
        <w:rPr>
          <w:rFonts w:eastAsia="Calibri"/>
        </w:rPr>
        <w:t xml:space="preserve">(University of California, United States, 2013) </w:t>
      </w:r>
    </w:p>
    <w:p w14:paraId="46DD3F5C">
      <w:pPr>
        <w:spacing w:after="160" w:line="480" w:lineRule="auto"/>
        <w:jc w:val="both"/>
        <w:rPr>
          <w:rFonts w:eastAsia="Calibri"/>
        </w:rPr>
      </w:pPr>
      <w:r>
        <w:rPr>
          <w:rFonts w:eastAsia="Calibri"/>
        </w:rPr>
        <w:t xml:space="preserve">Abdulrazaq M, </w:t>
      </w:r>
      <w:r>
        <w:rPr>
          <w:rFonts w:eastAsia="Calibri"/>
          <w:i/>
          <w:iCs/>
        </w:rPr>
        <w:t xml:space="preserve">Cases and Materials on Nigerian Taxation </w:t>
      </w:r>
      <w:r>
        <w:rPr>
          <w:rFonts w:eastAsia="Calibri"/>
        </w:rPr>
        <w:t>(Eastern Book Company 2016)</w:t>
      </w:r>
    </w:p>
    <w:p w14:paraId="30D48776">
      <w:pPr>
        <w:spacing w:after="160" w:line="480" w:lineRule="auto"/>
        <w:jc w:val="both"/>
        <w:rPr>
          <w:rFonts w:eastAsia="Calibri"/>
        </w:rPr>
      </w:pPr>
      <w:r>
        <w:rPr>
          <w:rFonts w:eastAsia="Calibri"/>
        </w:rPr>
        <w:t xml:space="preserve">Abdulrazaq M, </w:t>
      </w:r>
      <w:r>
        <w:rPr>
          <w:rFonts w:eastAsia="Calibri"/>
          <w:i/>
          <w:iCs/>
        </w:rPr>
        <w:t>Judicial Review in Nigerian Taxation</w:t>
      </w:r>
      <w:r>
        <w:rPr>
          <w:rFonts w:eastAsia="Calibri"/>
        </w:rPr>
        <w:t xml:space="preserve"> (Maples &amp; Temples 1997)  </w:t>
      </w:r>
    </w:p>
    <w:p w14:paraId="645D87F1">
      <w:pPr>
        <w:spacing w:after="160" w:line="480" w:lineRule="auto"/>
        <w:jc w:val="both"/>
        <w:rPr>
          <w:rFonts w:eastAsia="Calibri"/>
        </w:rPr>
      </w:pPr>
      <w:r>
        <w:rPr>
          <w:rFonts w:eastAsia="Calibri"/>
        </w:rPr>
        <w:t xml:space="preserve">Abdulrazaq M, </w:t>
      </w:r>
      <w:r>
        <w:rPr>
          <w:rFonts w:eastAsia="Calibri"/>
          <w:i/>
          <w:iCs/>
        </w:rPr>
        <w:t xml:space="preserve">Nigerian Revenue Law </w:t>
      </w:r>
      <w:r>
        <w:rPr>
          <w:rFonts w:eastAsia="Calibri"/>
        </w:rPr>
        <w:t>(Lagos: Malthouse Press Ltd 2005)</w:t>
      </w:r>
    </w:p>
    <w:p w14:paraId="73350CBA">
      <w:pPr>
        <w:spacing w:after="160" w:line="480" w:lineRule="auto"/>
        <w:jc w:val="both"/>
        <w:rPr>
          <w:rFonts w:eastAsia="Calibri"/>
        </w:rPr>
      </w:pPr>
      <w:r>
        <w:rPr>
          <w:rFonts w:eastAsia="Calibri"/>
        </w:rPr>
        <w:t xml:space="preserve">Abdulrazaq M, </w:t>
      </w:r>
      <w:r>
        <w:rPr>
          <w:rFonts w:eastAsia="Calibri"/>
          <w:i/>
          <w:iCs/>
        </w:rPr>
        <w:t xml:space="preserve">Nigerian Tax Guide and Statutes </w:t>
      </w:r>
      <w:r>
        <w:rPr>
          <w:rFonts w:eastAsia="Calibri"/>
        </w:rPr>
        <w:t>(Lagos: Chartered Institute of Taxation of Nigeria 2002)</w:t>
      </w:r>
    </w:p>
    <w:p w14:paraId="55363627">
      <w:pPr>
        <w:spacing w:after="160" w:line="480" w:lineRule="auto"/>
        <w:jc w:val="both"/>
        <w:rPr>
          <w:rFonts w:eastAsia="Calibri"/>
        </w:rPr>
      </w:pPr>
      <w:r>
        <w:rPr>
          <w:rFonts w:eastAsia="Calibri"/>
        </w:rPr>
        <w:t xml:space="preserve">Abdulrazaq M, </w:t>
      </w:r>
      <w:r>
        <w:rPr>
          <w:rFonts w:eastAsia="Calibri"/>
          <w:i/>
          <w:iCs/>
        </w:rPr>
        <w:t>Nigerian Tax Offences and Penalties</w:t>
      </w:r>
      <w:r>
        <w:rPr>
          <w:rFonts w:eastAsia="Calibri"/>
        </w:rPr>
        <w:t xml:space="preserve"> (Batay Law Publication Ltd 1993) </w:t>
      </w:r>
    </w:p>
    <w:p w14:paraId="1BC8564E">
      <w:pPr>
        <w:spacing w:after="160" w:line="480" w:lineRule="auto"/>
        <w:jc w:val="both"/>
        <w:rPr>
          <w:rFonts w:eastAsia="Calibri"/>
        </w:rPr>
      </w:pPr>
      <w:r>
        <w:rPr>
          <w:rFonts w:eastAsia="Calibri"/>
        </w:rPr>
        <w:t xml:space="preserve">Abdulrazaq M, </w:t>
      </w:r>
      <w:r>
        <w:rPr>
          <w:rFonts w:eastAsia="Calibri"/>
          <w:i/>
          <w:iCs/>
        </w:rPr>
        <w:t>Principles and Practice of Nigerian Tax Planning and Management</w:t>
      </w:r>
      <w:r>
        <w:rPr>
          <w:rFonts w:eastAsia="Calibri"/>
        </w:rPr>
        <w:t xml:space="preserve"> (Batay Law Publications Ltd 1993).</w:t>
      </w:r>
    </w:p>
    <w:p w14:paraId="6FA3A388">
      <w:pPr>
        <w:spacing w:after="160" w:line="480" w:lineRule="auto"/>
        <w:jc w:val="both"/>
        <w:rPr>
          <w:rFonts w:eastAsia="Calibri"/>
        </w:rPr>
      </w:pPr>
      <w:r>
        <w:rPr>
          <w:rFonts w:eastAsia="Calibri"/>
        </w:rPr>
        <w:t>Abdulrazaq, M.T., Taxation System in Nigeria, (Gravitas Legal &amp; business Resources Ltd), Published 2016.</w:t>
      </w:r>
    </w:p>
    <w:p w14:paraId="73C59742">
      <w:pPr>
        <w:spacing w:after="160" w:line="480" w:lineRule="auto"/>
        <w:jc w:val="both"/>
        <w:rPr>
          <w:rFonts w:eastAsia="Calibri"/>
        </w:rPr>
      </w:pPr>
      <w:r>
        <w:rPr>
          <w:rFonts w:eastAsia="Calibri"/>
        </w:rPr>
        <w:t xml:space="preserve">Adam Smith, </w:t>
      </w:r>
      <w:r>
        <w:rPr>
          <w:rFonts w:eastAsia="Calibri"/>
          <w:i/>
          <w:iCs/>
        </w:rPr>
        <w:t xml:space="preserve">The Wealth of Nations </w:t>
      </w:r>
      <w:r>
        <w:rPr>
          <w:rFonts w:eastAsia="Calibri"/>
        </w:rPr>
        <w:t>(Thrifty Books 2009)</w:t>
      </w:r>
    </w:p>
    <w:p w14:paraId="7E48ACBE">
      <w:pPr>
        <w:spacing w:after="160" w:line="480" w:lineRule="auto"/>
        <w:jc w:val="both"/>
        <w:rPr>
          <w:rFonts w:eastAsia="Calibri"/>
        </w:rPr>
      </w:pPr>
      <w:r>
        <w:rPr>
          <w:rFonts w:eastAsia="Calibri"/>
        </w:rPr>
        <w:t xml:space="preserve">Adamu Jibir and Chandana Aluthge, Fiscal Policy Operation in Nigeria: Trends, Magnitude and </w:t>
      </w:r>
    </w:p>
    <w:p w14:paraId="4517F946">
      <w:pPr>
        <w:spacing w:after="160" w:line="480" w:lineRule="auto"/>
        <w:jc w:val="both"/>
        <w:rPr>
          <w:rFonts w:eastAsia="Calibri"/>
        </w:rPr>
      </w:pPr>
      <w:r>
        <w:rPr>
          <w:rFonts w:eastAsia="Calibri"/>
        </w:rPr>
        <w:t>Challenges, Publisher: KSP Books, Turkey ISBN: 978-605-7602-84-8, June 2019,</w:t>
      </w:r>
    </w:p>
    <w:p w14:paraId="43C2BCD5">
      <w:pPr>
        <w:spacing w:after="160" w:line="480" w:lineRule="auto"/>
        <w:jc w:val="both"/>
        <w:rPr>
          <w:rFonts w:eastAsia="Calibri"/>
        </w:rPr>
      </w:pPr>
      <w:r>
        <w:rPr>
          <w:rFonts w:eastAsia="Calibri"/>
        </w:rPr>
        <w:t xml:space="preserve"> Aderinto W, </w:t>
      </w:r>
      <w:r>
        <w:rPr>
          <w:rFonts w:eastAsia="Calibri"/>
          <w:i/>
          <w:iCs/>
        </w:rPr>
        <w:t>Principles and Practice of Taxation In Nigeria</w:t>
      </w:r>
      <w:r>
        <w:rPr>
          <w:rFonts w:eastAsia="Calibri"/>
        </w:rPr>
        <w:t xml:space="preserve"> (Ibadan: Codat publications 2005)</w:t>
      </w:r>
    </w:p>
    <w:p w14:paraId="20D31F62">
      <w:pPr>
        <w:spacing w:after="160" w:line="480" w:lineRule="auto"/>
        <w:jc w:val="both"/>
        <w:rPr>
          <w:rFonts w:eastAsia="Calibri"/>
        </w:rPr>
      </w:pPr>
      <w:r>
        <w:rPr>
          <w:rFonts w:eastAsia="Calibri"/>
        </w:rPr>
        <w:t xml:space="preserve">Adesola S, </w:t>
      </w:r>
      <w:r>
        <w:rPr>
          <w:rFonts w:eastAsia="Calibri"/>
          <w:i/>
          <w:iCs/>
        </w:rPr>
        <w:t>Income Tax Law and Administration In Nigeria</w:t>
      </w:r>
      <w:r>
        <w:rPr>
          <w:rFonts w:eastAsia="Calibri"/>
        </w:rPr>
        <w:t xml:space="preserve"> (Ile-Ife: University of Ife Press 1986)</w:t>
      </w:r>
    </w:p>
    <w:p w14:paraId="5E67AA92">
      <w:pPr>
        <w:spacing w:after="160" w:line="480" w:lineRule="auto"/>
        <w:jc w:val="both"/>
        <w:rPr>
          <w:rFonts w:eastAsia="Calibri"/>
        </w:rPr>
      </w:pPr>
      <w:r>
        <w:rPr>
          <w:rFonts w:eastAsia="Calibri"/>
        </w:rPr>
        <w:t xml:space="preserve">Adeyemo O, </w:t>
      </w:r>
      <w:r>
        <w:rPr>
          <w:rFonts w:eastAsia="Calibri"/>
          <w:i/>
          <w:iCs/>
        </w:rPr>
        <w:t>A Guide to the Taxation of Oil Companies in Nigeria</w:t>
      </w:r>
      <w:r>
        <w:rPr>
          <w:rFonts w:eastAsia="Calibri"/>
        </w:rPr>
        <w:t xml:space="preserve"> (1st edition, Routledge 2007). </w:t>
      </w:r>
    </w:p>
    <w:p w14:paraId="4A07972D">
      <w:pPr>
        <w:spacing w:after="160" w:line="480" w:lineRule="auto"/>
        <w:jc w:val="both"/>
        <w:rPr>
          <w:rFonts w:eastAsia="Calibri"/>
        </w:rPr>
      </w:pPr>
      <w:r>
        <w:rPr>
          <w:rFonts w:eastAsia="Calibri"/>
        </w:rPr>
        <w:t xml:space="preserve">Ani A, Abdullahi Z, Popoola M and Uche R, </w:t>
      </w:r>
      <w:r>
        <w:rPr>
          <w:rFonts w:eastAsia="Calibri"/>
          <w:i/>
          <w:iCs/>
        </w:rPr>
        <w:t>Companies Income Tax and Petroleum Profits Tax in Nigeria</w:t>
      </w:r>
      <w:r>
        <w:rPr>
          <w:rFonts w:eastAsia="Calibri"/>
        </w:rPr>
        <w:t xml:space="preserve"> (Ibadan: University Press 2007)</w:t>
      </w:r>
    </w:p>
    <w:p w14:paraId="203F8805">
      <w:pPr>
        <w:spacing w:after="160" w:line="480" w:lineRule="auto"/>
        <w:jc w:val="both"/>
        <w:rPr>
          <w:rFonts w:eastAsia="Calibri"/>
        </w:rPr>
      </w:pPr>
      <w:r>
        <w:rPr>
          <w:rFonts w:eastAsia="Calibri"/>
        </w:rPr>
        <w:t xml:space="preserve">Ariwodola J, </w:t>
      </w:r>
      <w:r>
        <w:rPr>
          <w:rFonts w:eastAsia="Calibri"/>
          <w:i/>
          <w:iCs/>
        </w:rPr>
        <w:t>Companies Taxation in Nigeria Including Petroleum Profits Tax</w:t>
      </w:r>
      <w:r>
        <w:rPr>
          <w:rFonts w:eastAsia="Calibri"/>
        </w:rPr>
        <w:t xml:space="preserve"> (3</w:t>
      </w:r>
      <w:r>
        <w:rPr>
          <w:rFonts w:eastAsia="Calibri"/>
          <w:vertAlign w:val="superscript"/>
        </w:rPr>
        <w:t>rd</w:t>
      </w:r>
      <w:r>
        <w:rPr>
          <w:rFonts w:eastAsia="Calibri"/>
        </w:rPr>
        <w:t>edn, J. A. A. Publishers 2000).</w:t>
      </w:r>
    </w:p>
    <w:p w14:paraId="4051E628">
      <w:pPr>
        <w:spacing w:after="160" w:line="480" w:lineRule="auto"/>
        <w:jc w:val="both"/>
        <w:rPr>
          <w:rFonts w:eastAsia="Calibri"/>
        </w:rPr>
      </w:pPr>
      <w:r>
        <w:rPr>
          <w:rFonts w:eastAsia="Calibri"/>
        </w:rPr>
        <w:t xml:space="preserve">Arogundade J, </w:t>
      </w:r>
      <w:r>
        <w:rPr>
          <w:rFonts w:eastAsia="Calibri"/>
          <w:i/>
          <w:iCs/>
        </w:rPr>
        <w:t>Nigerian Income Tax and Its International Division</w:t>
      </w:r>
      <w:r>
        <w:rPr>
          <w:rFonts w:eastAsia="Calibri"/>
        </w:rPr>
        <w:t xml:space="preserve"> (Ibadan: Spectrum Books Limited 2005).</w:t>
      </w:r>
    </w:p>
    <w:p w14:paraId="20F76B2B">
      <w:pPr>
        <w:spacing w:after="160" w:line="480" w:lineRule="auto"/>
        <w:jc w:val="both"/>
        <w:rPr>
          <w:rFonts w:eastAsia="Calibri"/>
        </w:rPr>
      </w:pPr>
      <w:r>
        <w:rPr>
          <w:rFonts w:eastAsia="Calibri"/>
        </w:rPr>
        <w:t xml:space="preserve">Arowomole S, and Oluwakayode E, </w:t>
      </w:r>
      <w:r>
        <w:rPr>
          <w:rFonts w:eastAsia="Calibri"/>
          <w:i/>
          <w:iCs/>
        </w:rPr>
        <w:t>A Classic Introduction into Nigerian Taxation</w:t>
      </w:r>
      <w:r>
        <w:rPr>
          <w:rFonts w:eastAsia="Calibri"/>
        </w:rPr>
        <w:t xml:space="preserve"> (Lagos: King Julius Publishers 2006).</w:t>
      </w:r>
    </w:p>
    <w:p w14:paraId="4ED713E8">
      <w:pPr>
        <w:spacing w:after="160" w:line="480" w:lineRule="auto"/>
        <w:jc w:val="both"/>
        <w:rPr>
          <w:rFonts w:eastAsia="Calibri"/>
        </w:rPr>
      </w:pPr>
      <w:r>
        <w:rPr>
          <w:rFonts w:eastAsia="Calibri"/>
        </w:rPr>
        <w:t xml:space="preserve">Arowomole S, and Oluwakayode E, </w:t>
      </w:r>
      <w:r>
        <w:rPr>
          <w:rFonts w:eastAsia="Calibri"/>
          <w:i/>
          <w:iCs/>
        </w:rPr>
        <w:t>Administration of Petroleum Profit Tax in Nigeria</w:t>
      </w:r>
      <w:r>
        <w:rPr>
          <w:rFonts w:eastAsia="Calibri"/>
        </w:rPr>
        <w:t xml:space="preserve"> (Lagos: King Julius Publishers 2006).</w:t>
      </w:r>
    </w:p>
    <w:p w14:paraId="2C238978">
      <w:pPr>
        <w:spacing w:after="160" w:line="480" w:lineRule="auto"/>
        <w:jc w:val="both"/>
        <w:rPr>
          <w:rFonts w:eastAsia="Calibri"/>
        </w:rPr>
      </w:pPr>
      <w:r>
        <w:rPr>
          <w:rFonts w:eastAsia="Calibri"/>
        </w:rPr>
        <w:t xml:space="preserve">Atsegbua L, </w:t>
      </w:r>
      <w:r>
        <w:rPr>
          <w:rFonts w:eastAsia="Calibri"/>
          <w:i/>
          <w:iCs/>
        </w:rPr>
        <w:t>Oil and Gas Law in Nigeria: Theory and Practice</w:t>
      </w:r>
      <w:r>
        <w:rPr>
          <w:rFonts w:eastAsia="Calibri"/>
        </w:rPr>
        <w:t xml:space="preserve"> (3rd edn, Fifters Lane Publishers 2012).</w:t>
      </w:r>
    </w:p>
    <w:p w14:paraId="6A5D806E">
      <w:pPr>
        <w:spacing w:after="160" w:line="480" w:lineRule="auto"/>
        <w:jc w:val="both"/>
        <w:rPr>
          <w:rFonts w:eastAsia="Calibri"/>
        </w:rPr>
      </w:pPr>
      <w:r>
        <w:rPr>
          <w:rFonts w:eastAsia="Calibri"/>
        </w:rPr>
        <w:t xml:space="preserve">Atuokwu C, </w:t>
      </w:r>
      <w:r>
        <w:rPr>
          <w:rFonts w:eastAsia="Calibri"/>
          <w:i/>
        </w:rPr>
        <w:t>Taxation for a Sustainable Development in Africa – A Case Study of Taxation in the Nigerian Oil and Gas Sector</w:t>
      </w:r>
      <w:r>
        <w:rPr>
          <w:rFonts w:eastAsia="Calibri"/>
        </w:rPr>
        <w:t xml:space="preserve"> (2009) ISODEC 1.</w:t>
      </w:r>
    </w:p>
    <w:p w14:paraId="2014F2E0">
      <w:pPr>
        <w:spacing w:after="160" w:line="480" w:lineRule="auto"/>
        <w:jc w:val="both"/>
        <w:rPr>
          <w:rFonts w:eastAsia="Calibri"/>
        </w:rPr>
      </w:pPr>
      <w:r>
        <w:rPr>
          <w:rFonts w:eastAsia="Calibri"/>
        </w:rPr>
        <w:t xml:space="preserve">Ayua I, </w:t>
      </w:r>
      <w:r>
        <w:rPr>
          <w:rFonts w:eastAsia="Calibri"/>
          <w:i/>
          <w:iCs/>
        </w:rPr>
        <w:t>Nigerian Tax Laws</w:t>
      </w:r>
      <w:r>
        <w:rPr>
          <w:rFonts w:eastAsia="Calibri"/>
        </w:rPr>
        <w:t xml:space="preserve"> (Ibadan: Spectrum Books 1996). </w:t>
      </w:r>
    </w:p>
    <w:p w14:paraId="5EB638F7">
      <w:pPr>
        <w:spacing w:after="160" w:line="480" w:lineRule="auto"/>
        <w:jc w:val="both"/>
        <w:rPr>
          <w:rFonts w:eastAsia="Calibri"/>
        </w:rPr>
      </w:pPr>
      <w:r>
        <w:rPr>
          <w:rFonts w:eastAsia="Calibri"/>
        </w:rPr>
        <w:t xml:space="preserve">Baiyewu F, </w:t>
      </w:r>
      <w:r>
        <w:rPr>
          <w:rFonts w:eastAsia="Calibri"/>
          <w:i/>
          <w:iCs/>
        </w:rPr>
        <w:t>Nigerian Taxation: A Practical Approach</w:t>
      </w:r>
      <w:r>
        <w:rPr>
          <w:rFonts w:eastAsia="Calibri"/>
        </w:rPr>
        <w:t xml:space="preserve"> (1</w:t>
      </w:r>
      <w:r>
        <w:rPr>
          <w:rFonts w:eastAsia="Calibri"/>
          <w:vertAlign w:val="superscript"/>
        </w:rPr>
        <w:t>st</w:t>
      </w:r>
      <w:r>
        <w:rPr>
          <w:rFonts w:eastAsia="Calibri"/>
        </w:rPr>
        <w:t xml:space="preserve"> edn, Lagos: International Publishing 2006) </w:t>
      </w:r>
    </w:p>
    <w:p w14:paraId="0FB44169">
      <w:pPr>
        <w:spacing w:after="160" w:line="480" w:lineRule="auto"/>
        <w:rPr>
          <w:rFonts w:eastAsia="Calibri"/>
        </w:rPr>
      </w:pPr>
      <w:r>
        <w:rPr>
          <w:rFonts w:eastAsia="Calibri"/>
        </w:rPr>
        <w:t xml:space="preserve">Benson, E.J., Hon. Minister of Finance, </w:t>
      </w:r>
      <w:r>
        <w:rPr>
          <w:rFonts w:eastAsia="Calibri"/>
          <w:i/>
          <w:iCs/>
        </w:rPr>
        <w:t>Proposals for Tax Reform</w:t>
      </w:r>
      <w:r>
        <w:rPr>
          <w:rFonts w:eastAsia="Calibri"/>
        </w:rPr>
        <w:t xml:space="preserve"> (Ottawa: Queen's Printer, 1969) at 64.</w:t>
      </w:r>
    </w:p>
    <w:p w14:paraId="113E1F48">
      <w:pPr>
        <w:spacing w:after="160" w:line="480" w:lineRule="auto"/>
        <w:jc w:val="both"/>
        <w:rPr>
          <w:rFonts w:eastAsia="Calibri"/>
        </w:rPr>
      </w:pPr>
      <w:r>
        <w:rPr>
          <w:rFonts w:eastAsia="Calibri"/>
        </w:rPr>
        <w:t xml:space="preserve">Burgess, Anthony, </w:t>
      </w:r>
      <w:r>
        <w:rPr>
          <w:rFonts w:eastAsia="Calibri"/>
          <w:i/>
        </w:rPr>
        <w:t>Language and Languages, A Mouthful of Air</w:t>
      </w:r>
      <w:r>
        <w:rPr>
          <w:rFonts w:eastAsia="Calibri"/>
        </w:rPr>
        <w:t xml:space="preserve"> (Vintage 1993) pp. 1- 362. </w:t>
      </w:r>
    </w:p>
    <w:p w14:paraId="1742C13C">
      <w:pPr>
        <w:spacing w:after="160" w:line="480" w:lineRule="auto"/>
        <w:jc w:val="both"/>
        <w:rPr>
          <w:rFonts w:eastAsia="Calibri"/>
        </w:rPr>
      </w:pPr>
      <w:r>
        <w:rPr>
          <w:rFonts w:eastAsia="Calibri"/>
        </w:rPr>
        <w:t xml:space="preserve">Cameron, Peter D. </w:t>
      </w:r>
      <w:r>
        <w:rPr>
          <w:rFonts w:eastAsia="Calibri"/>
          <w:i/>
        </w:rPr>
        <w:t>Oil, Gas and Mining: A Sourcebook for Understanding Extractive Industries</w:t>
      </w:r>
      <w:r>
        <w:rPr>
          <w:rFonts w:eastAsia="Calibri"/>
        </w:rPr>
        <w:t xml:space="preserve"> (World Bank Group, Washington DC, USA, 2017) 1-321.  </w:t>
      </w:r>
    </w:p>
    <w:p w14:paraId="76FBD77C">
      <w:pPr>
        <w:spacing w:after="160" w:line="480" w:lineRule="auto"/>
        <w:jc w:val="both"/>
        <w:rPr>
          <w:rFonts w:eastAsia="Calibri"/>
        </w:rPr>
      </w:pPr>
      <w:r>
        <w:rPr>
          <w:rFonts w:eastAsia="Calibri"/>
        </w:rPr>
        <w:t xml:space="preserve">Christian Biddard, </w:t>
      </w:r>
      <w:r>
        <w:rPr>
          <w:rFonts w:eastAsia="Calibri"/>
          <w:i/>
        </w:rPr>
        <w:t xml:space="preserve">The Ricardian rent theory: an overview </w:t>
      </w:r>
      <w:r>
        <w:rPr>
          <w:rFonts w:eastAsia="Calibri"/>
        </w:rPr>
        <w:t>(Centro Sraffa Working Papers No. 8, November 2014).</w:t>
      </w:r>
    </w:p>
    <w:p w14:paraId="3686B532">
      <w:pPr>
        <w:spacing w:after="160" w:line="480" w:lineRule="auto"/>
        <w:jc w:val="both"/>
        <w:rPr>
          <w:rFonts w:eastAsia="Calibri"/>
        </w:rPr>
      </w:pPr>
      <w:r>
        <w:rPr>
          <w:rFonts w:eastAsia="Calibri"/>
        </w:rPr>
        <w:t xml:space="preserve">Christopher S, </w:t>
      </w:r>
      <w:r>
        <w:rPr>
          <w:rFonts w:eastAsia="Calibri"/>
          <w:i/>
          <w:iCs/>
        </w:rPr>
        <w:t xml:space="preserve">The Oil and Gas Law Review </w:t>
      </w:r>
      <w:r>
        <w:rPr>
          <w:rFonts w:eastAsia="Calibri"/>
        </w:rPr>
        <w:t>(5</w:t>
      </w:r>
      <w:r>
        <w:rPr>
          <w:rFonts w:eastAsia="Calibri"/>
          <w:vertAlign w:val="superscript"/>
        </w:rPr>
        <w:t>th</w:t>
      </w:r>
      <w:r>
        <w:rPr>
          <w:rFonts w:eastAsia="Calibri"/>
        </w:rPr>
        <w:t xml:space="preserve"> edn, Gideon Roberton 2017).</w:t>
      </w:r>
    </w:p>
    <w:p w14:paraId="68E21076">
      <w:pPr>
        <w:spacing w:after="160" w:line="480" w:lineRule="auto"/>
        <w:jc w:val="both"/>
        <w:rPr>
          <w:rFonts w:eastAsia="Calibri"/>
        </w:rPr>
      </w:pPr>
      <w:r>
        <w:rPr>
          <w:rFonts w:eastAsia="Calibri"/>
        </w:rPr>
        <w:t xml:space="preserve">Collier P, </w:t>
      </w:r>
      <w:r>
        <w:rPr>
          <w:rFonts w:eastAsia="Calibri"/>
          <w:i/>
          <w:iCs/>
        </w:rPr>
        <w:t>The Plundered Planet: Why We Must- And How We Can- Manage Nature for Global Prosperity</w:t>
      </w:r>
      <w:r>
        <w:rPr>
          <w:rFonts w:eastAsia="Calibri"/>
        </w:rPr>
        <w:t xml:space="preserve"> (London: Allen Lane 2010). </w:t>
      </w:r>
    </w:p>
    <w:p w14:paraId="439E5BC7">
      <w:pPr>
        <w:spacing w:after="160" w:line="480" w:lineRule="auto"/>
        <w:jc w:val="both"/>
        <w:rPr>
          <w:rFonts w:eastAsia="Calibri"/>
        </w:rPr>
      </w:pPr>
      <w:r>
        <w:rPr>
          <w:rFonts w:eastAsia="Calibri"/>
        </w:rPr>
        <w:t xml:space="preserve">Corley T M, </w:t>
      </w:r>
      <w:r>
        <w:rPr>
          <w:rFonts w:eastAsia="Calibri"/>
          <w:i/>
        </w:rPr>
        <w:t>Oil and Gas Law of Taxation</w:t>
      </w:r>
      <w:r>
        <w:rPr>
          <w:rFonts w:eastAsia="Calibri"/>
        </w:rPr>
        <w:t xml:space="preserve"> (4th edn). (Hornooks) - </w:t>
      </w:r>
      <w:r>
        <w:fldChar w:fldCharType="begin"/>
      </w:r>
      <w:r>
        <w:instrText xml:space="preserve"> HYPERLINK "https://www.lawbookexchange.com/pages/books/37643/" </w:instrText>
      </w:r>
      <w:r>
        <w:fldChar w:fldCharType="separate"/>
      </w:r>
      <w:r>
        <w:rPr>
          <w:rFonts w:eastAsia="Calibri"/>
          <w:u w:val="single"/>
        </w:rPr>
        <w:t>https://www.lawbookexchange.com/pages/books/37643/</w:t>
      </w:r>
      <w:r>
        <w:rPr>
          <w:rFonts w:eastAsia="Calibri"/>
          <w:u w:val="single"/>
        </w:rPr>
        <w:fldChar w:fldCharType="end"/>
      </w:r>
      <w:r>
        <w:rPr>
          <w:rFonts w:eastAsia="Calibri"/>
        </w:rPr>
        <w:t>.</w:t>
      </w:r>
    </w:p>
    <w:p w14:paraId="2D33C420">
      <w:pPr>
        <w:spacing w:after="160" w:line="480" w:lineRule="auto"/>
        <w:rPr>
          <w:rFonts w:eastAsia="Calibri"/>
        </w:rPr>
      </w:pPr>
      <w:r>
        <w:rPr>
          <w:rFonts w:eastAsia="Calibri"/>
        </w:rPr>
        <w:t xml:space="preserve">Daniel, Philip; Keen, Michael; McPherson, Charles (eds.), </w:t>
      </w:r>
      <w:r>
        <w:rPr>
          <w:rFonts w:eastAsia="Calibri"/>
          <w:i/>
          <w:iCs/>
        </w:rPr>
        <w:t>The Taxation of Petroleum and Minerals</w:t>
      </w:r>
      <w:r>
        <w:rPr>
          <w:rFonts w:eastAsia="Calibri"/>
        </w:rPr>
        <w:t xml:space="preserve"> (Routledge Publishers, 2010).</w:t>
      </w:r>
    </w:p>
    <w:p w14:paraId="35F7C981">
      <w:pPr>
        <w:spacing w:after="160" w:line="480" w:lineRule="auto"/>
        <w:jc w:val="both"/>
        <w:rPr>
          <w:rFonts w:eastAsia="Calibri"/>
        </w:rPr>
      </w:pPr>
      <w:r>
        <w:rPr>
          <w:rFonts w:eastAsia="Calibri"/>
        </w:rPr>
        <w:t xml:space="preserve">Daniels Ayoola, </w:t>
      </w:r>
      <w:r>
        <w:rPr>
          <w:rFonts w:eastAsia="Calibri"/>
          <w:i/>
          <w:iCs/>
        </w:rPr>
        <w:t xml:space="preserve">Nigerian Laws, Cases and Materials on Oil and Gas </w:t>
      </w:r>
      <w:r>
        <w:rPr>
          <w:rFonts w:eastAsia="Calibri"/>
        </w:rPr>
        <w:t xml:space="preserve">(2008) 1 Petgas Global Consulting Limited. </w:t>
      </w:r>
    </w:p>
    <w:p w14:paraId="7DFA3772">
      <w:pPr>
        <w:spacing w:after="160" w:line="480" w:lineRule="auto"/>
        <w:jc w:val="both"/>
        <w:rPr>
          <w:rFonts w:eastAsia="Calibri"/>
        </w:rPr>
      </w:pPr>
      <w:r>
        <w:rPr>
          <w:rFonts w:eastAsia="Calibri"/>
        </w:rPr>
        <w:t xml:space="preserve">Deak, Csaba, </w:t>
      </w:r>
      <w:r>
        <w:rPr>
          <w:rFonts w:eastAsia="Calibri"/>
          <w:i/>
        </w:rPr>
        <w:t>Rent Theory and the Price of Urban Land: Spatial Organization in a capitalist economy</w:t>
      </w:r>
      <w:r>
        <w:rPr>
          <w:rFonts w:eastAsia="Calibri"/>
        </w:rPr>
        <w:t xml:space="preserve"> (PhD Thesis submitted to the University of Cambridge, King’s College, University of Cambridge, Cambridge, United Kingdom, March 1985) 1-289. </w:t>
      </w:r>
    </w:p>
    <w:p w14:paraId="032E0B9A">
      <w:pPr>
        <w:spacing w:after="160" w:line="480" w:lineRule="auto"/>
        <w:jc w:val="both"/>
        <w:rPr>
          <w:rFonts w:eastAsia="Calibri"/>
        </w:rPr>
      </w:pPr>
      <w:r>
        <w:rPr>
          <w:rFonts w:eastAsia="Calibri"/>
        </w:rPr>
        <w:t xml:space="preserve">Declan H, Duruigbo E. </w:t>
      </w:r>
      <w:r>
        <w:rPr>
          <w:rFonts w:eastAsia="Calibri"/>
          <w:i/>
          <w:iCs/>
        </w:rPr>
        <w:t>Nigerian Oil and Gas Law: Cases, Commentaries, and Material</w:t>
      </w:r>
      <w:r>
        <w:rPr>
          <w:rFonts w:eastAsia="Calibri"/>
        </w:rPr>
        <w:t xml:space="preserve"> (Lagos: Westhill Publishers 2018).</w:t>
      </w:r>
    </w:p>
    <w:p w14:paraId="187FB7BD">
      <w:pPr>
        <w:spacing w:after="160" w:line="480" w:lineRule="auto"/>
        <w:jc w:val="both"/>
        <w:rPr>
          <w:rFonts w:eastAsia="Calibri"/>
          <w:lang w:val="en-GB"/>
        </w:rPr>
      </w:pPr>
      <w:r>
        <w:fldChar w:fldCharType="begin"/>
      </w:r>
      <w:r>
        <w:instrText xml:space="preserve"> HYPERLINK "https://archive.org/search.php?query=creator%3A%22Doern%2C+G.+Bruce%22" </w:instrText>
      </w:r>
      <w:r>
        <w:fldChar w:fldCharType="separate"/>
      </w:r>
      <w:r>
        <w:rPr>
          <w:rStyle w:val="27"/>
          <w:rFonts w:eastAsia="Calibri"/>
          <w:lang w:val="en-GB"/>
        </w:rPr>
        <w:t>Doern, G. Bruce</w:t>
      </w:r>
      <w:r>
        <w:rPr>
          <w:rStyle w:val="27"/>
          <w:rFonts w:eastAsia="Calibri"/>
          <w:lang w:val="en-GB"/>
        </w:rPr>
        <w:fldChar w:fldCharType="end"/>
      </w:r>
      <w:r>
        <w:rPr>
          <w:rFonts w:eastAsia="Calibri"/>
          <w:lang w:val="en-GB"/>
        </w:rPr>
        <w:t xml:space="preserve">, </w:t>
      </w:r>
      <w:r>
        <w:rPr>
          <w:rFonts w:eastAsia="Calibri"/>
          <w:i/>
          <w:iCs/>
          <w:lang w:val="en-GB"/>
        </w:rPr>
        <w:t xml:space="preserve">Power Switch: Energy Regulatory Governance in the Twenty-first century (2003) </w:t>
      </w:r>
      <w:r>
        <w:rPr>
          <w:rFonts w:eastAsia="Calibri"/>
        </w:rPr>
        <w:t>Toronto : University of Toronto Press</w:t>
      </w:r>
      <w:r>
        <w:rPr>
          <w:rFonts w:eastAsia="Calibri"/>
          <w:lang w:val="en-GB"/>
        </w:rPr>
        <w:t>,</w:t>
      </w:r>
    </w:p>
    <w:p w14:paraId="76B88841">
      <w:pPr>
        <w:spacing w:after="160" w:line="480" w:lineRule="auto"/>
        <w:jc w:val="both"/>
        <w:rPr>
          <w:rFonts w:eastAsia="Calibri"/>
        </w:rPr>
      </w:pPr>
      <w:r>
        <w:rPr>
          <w:rFonts w:eastAsia="Calibri"/>
          <w:lang w:val="en-GB"/>
        </w:rPr>
        <w:t> </w:t>
      </w:r>
      <w:r>
        <w:rPr>
          <w:rFonts w:eastAsia="Calibri"/>
        </w:rPr>
        <w:t xml:space="preserve">Easson A, </w:t>
      </w:r>
      <w:r>
        <w:rPr>
          <w:rFonts w:eastAsia="Calibri"/>
          <w:i/>
          <w:iCs/>
        </w:rPr>
        <w:t>Cases and Material in Revenue Law</w:t>
      </w:r>
      <w:r>
        <w:rPr>
          <w:rFonts w:eastAsia="Calibri"/>
        </w:rPr>
        <w:t xml:space="preserve"> (Sweet and Maxwell 1973).</w:t>
      </w:r>
    </w:p>
    <w:p w14:paraId="2050181B">
      <w:pPr>
        <w:spacing w:after="160" w:line="480" w:lineRule="auto"/>
        <w:jc w:val="both"/>
        <w:rPr>
          <w:rFonts w:eastAsia="Calibri"/>
        </w:rPr>
      </w:pPr>
      <w:r>
        <w:rPr>
          <w:rFonts w:eastAsia="Calibri"/>
        </w:rPr>
        <w:t xml:space="preserve">Eromosele, Victor E.  </w:t>
      </w:r>
      <w:r>
        <w:rPr>
          <w:rFonts w:eastAsia="Calibri"/>
          <w:i/>
          <w:iCs/>
        </w:rPr>
        <w:t xml:space="preserve">Energy Insight Nigeria, ‘‘Raising Industry Performance: Some Global Lessons’’, by Dapo Okubadejo, </w:t>
      </w:r>
      <w:r>
        <w:rPr>
          <w:rFonts w:eastAsia="Calibri"/>
        </w:rPr>
        <w:t xml:space="preserve">pp. 23-25, (2020 special edition). </w:t>
      </w:r>
    </w:p>
    <w:p w14:paraId="3BB98C44">
      <w:pPr>
        <w:spacing w:after="160" w:line="480" w:lineRule="auto"/>
        <w:jc w:val="both"/>
        <w:rPr>
          <w:rFonts w:eastAsia="Calibri"/>
        </w:rPr>
      </w:pPr>
      <w:r>
        <w:rPr>
          <w:rFonts w:eastAsia="Calibri"/>
        </w:rPr>
        <w:t xml:space="preserve">Etikerentse G, </w:t>
      </w:r>
      <w:r>
        <w:rPr>
          <w:rFonts w:eastAsia="Calibri"/>
          <w:i/>
          <w:iCs/>
        </w:rPr>
        <w:t>Nigerian Petroleum Law (</w:t>
      </w:r>
      <w:r>
        <w:rPr>
          <w:rFonts w:eastAsia="Calibri"/>
        </w:rPr>
        <w:t xml:space="preserve">Lagos: Dredew Publishers 2004). </w:t>
      </w:r>
    </w:p>
    <w:p w14:paraId="5846D8FB">
      <w:pPr>
        <w:spacing w:after="160" w:line="480" w:lineRule="auto"/>
        <w:jc w:val="both"/>
        <w:rPr>
          <w:rFonts w:eastAsia="Calibri"/>
        </w:rPr>
      </w:pPr>
      <w:r>
        <w:rPr>
          <w:rFonts w:eastAsia="Calibri"/>
        </w:rPr>
        <w:t>Fanchi, John and Christiansen, Richard,</w:t>
      </w:r>
      <w:r>
        <w:rPr>
          <w:rFonts w:eastAsia="Calibri"/>
          <w:i/>
        </w:rPr>
        <w:t xml:space="preserve"> Introduction to Petroleum Engineering</w:t>
      </w:r>
      <w:r>
        <w:rPr>
          <w:rFonts w:eastAsia="Calibri"/>
        </w:rPr>
        <w:t xml:space="preserve"> (First Edition, John Wiley &amp; Sons, 2016) </w:t>
      </w:r>
    </w:p>
    <w:p w14:paraId="30FEEB94">
      <w:pPr>
        <w:spacing w:after="160" w:line="480" w:lineRule="auto"/>
        <w:jc w:val="both"/>
        <w:rPr>
          <w:rFonts w:eastAsia="Calibri"/>
        </w:rPr>
      </w:pPr>
      <w:r>
        <w:rPr>
          <w:rFonts w:eastAsia="Calibri"/>
        </w:rPr>
        <w:t xml:space="preserve">Federal Inland Service Nigeria, </w:t>
      </w:r>
      <w:r>
        <w:rPr>
          <w:rFonts w:eastAsia="Calibri"/>
          <w:i/>
          <w:iCs/>
        </w:rPr>
        <w:t>Comprehensive Tax History of Nigeria</w:t>
      </w:r>
      <w:r>
        <w:rPr>
          <w:rFonts w:eastAsia="Calibri"/>
        </w:rPr>
        <w:t xml:space="preserve"> (1st edn, Safari Books Ltd 2012).</w:t>
      </w:r>
    </w:p>
    <w:p w14:paraId="3EA050CD">
      <w:pPr>
        <w:spacing w:after="160" w:line="480" w:lineRule="auto"/>
        <w:jc w:val="both"/>
        <w:rPr>
          <w:rFonts w:eastAsia="Calibri"/>
        </w:rPr>
      </w:pPr>
      <w:r>
        <w:rPr>
          <w:rFonts w:eastAsia="Calibri"/>
        </w:rPr>
        <w:t xml:space="preserve">Fuller L, </w:t>
      </w:r>
      <w:r>
        <w:rPr>
          <w:rFonts w:eastAsia="Calibri"/>
          <w:i/>
        </w:rPr>
        <w:t>The Morality of Law</w:t>
      </w:r>
      <w:r>
        <w:rPr>
          <w:rFonts w:eastAsia="Calibri"/>
        </w:rPr>
        <w:t xml:space="preserve"> (New Haven, Yale University Press, revised edition, 1973).</w:t>
      </w:r>
    </w:p>
    <w:p w14:paraId="27489F9E">
      <w:pPr>
        <w:spacing w:after="160" w:line="480" w:lineRule="auto"/>
        <w:jc w:val="both"/>
        <w:rPr>
          <w:rFonts w:eastAsia="Calibri"/>
        </w:rPr>
      </w:pPr>
      <w:r>
        <w:rPr>
          <w:rFonts w:eastAsia="Calibri"/>
        </w:rPr>
        <w:t xml:space="preserve">Gruber J, </w:t>
      </w:r>
      <w:r>
        <w:rPr>
          <w:rFonts w:eastAsia="Calibri"/>
          <w:i/>
          <w:iCs/>
        </w:rPr>
        <w:t>Public Finance and Public Policy</w:t>
      </w:r>
      <w:r>
        <w:rPr>
          <w:rFonts w:eastAsia="Calibri"/>
        </w:rPr>
        <w:t xml:space="preserve"> (2nd edn, Worth Publishers 2007), https://www.abebooks.com/book-search/isbn/9780716766315 </w:t>
      </w:r>
    </w:p>
    <w:p w14:paraId="28202D64">
      <w:pPr>
        <w:spacing w:after="160" w:line="480" w:lineRule="auto"/>
        <w:jc w:val="both"/>
        <w:rPr>
          <w:rFonts w:eastAsia="Calibri"/>
        </w:rPr>
      </w:pPr>
      <w:r>
        <w:rPr>
          <w:rFonts w:eastAsia="Calibri"/>
        </w:rPr>
        <w:t xml:space="preserve">Haig R, </w:t>
      </w:r>
      <w:r>
        <w:rPr>
          <w:rFonts w:eastAsia="Calibri"/>
          <w:i/>
          <w:iCs/>
        </w:rPr>
        <w:t>The Concept of Income - Economic and Legal Aspects</w:t>
      </w:r>
      <w:r>
        <w:rPr>
          <w:rFonts w:eastAsia="Calibri"/>
        </w:rPr>
        <w:t xml:space="preserve"> (Columbia University Press 1921).</w:t>
      </w:r>
    </w:p>
    <w:p w14:paraId="757A299F">
      <w:pPr>
        <w:spacing w:after="160" w:line="480" w:lineRule="auto"/>
        <w:jc w:val="both"/>
        <w:rPr>
          <w:rFonts w:eastAsia="Calibri"/>
        </w:rPr>
      </w:pPr>
      <w:r>
        <w:rPr>
          <w:rFonts w:eastAsia="Calibri"/>
        </w:rPr>
        <w:t xml:space="preserve">Hart H L, </w:t>
      </w:r>
      <w:r>
        <w:rPr>
          <w:rFonts w:eastAsia="Calibri"/>
          <w:i/>
          <w:iCs/>
        </w:rPr>
        <w:t xml:space="preserve">The Concept of Law </w:t>
      </w:r>
      <w:r>
        <w:rPr>
          <w:rFonts w:eastAsia="Calibri"/>
        </w:rPr>
        <w:t xml:space="preserve">(Oxford University Press 2015). </w:t>
      </w:r>
    </w:p>
    <w:p w14:paraId="6A9B9FDC">
      <w:pPr>
        <w:spacing w:after="160" w:line="480" w:lineRule="auto"/>
        <w:rPr>
          <w:rFonts w:eastAsia="Calibri"/>
        </w:rPr>
      </w:pPr>
      <w:r>
        <w:rPr>
          <w:rFonts w:eastAsia="Calibri"/>
        </w:rPr>
        <w:t xml:space="preserve">Helliwell, J.F. et al., </w:t>
      </w:r>
      <w:r>
        <w:rPr>
          <w:rFonts w:eastAsia="Calibri"/>
          <w:i/>
          <w:iCs/>
        </w:rPr>
        <w:t>Oil and Gas in Canada: The Effects of Domestic Policies and World Events</w:t>
      </w:r>
      <w:r>
        <w:rPr>
          <w:rFonts w:eastAsia="Calibri"/>
        </w:rPr>
        <w:t xml:space="preserve"> (Toronto: Canadian Tax Foundation, 1988).</w:t>
      </w:r>
    </w:p>
    <w:p w14:paraId="6F50B8B9">
      <w:pPr>
        <w:spacing w:after="160" w:line="480" w:lineRule="auto"/>
        <w:rPr>
          <w:rFonts w:eastAsia="Calibri"/>
        </w:rPr>
      </w:pPr>
      <w:r>
        <w:rPr>
          <w:rFonts w:eastAsia="Calibri"/>
        </w:rPr>
        <w:t xml:space="preserve">HM Treasury and HM Revenue &amp; Customs, </w:t>
      </w:r>
      <w:r>
        <w:rPr>
          <w:rFonts w:eastAsia="Calibri"/>
          <w:i/>
          <w:iCs/>
        </w:rPr>
        <w:t>Tax Policy Making: A New Approach</w:t>
      </w:r>
      <w:r>
        <w:rPr>
          <w:rFonts w:eastAsia="Calibri"/>
        </w:rPr>
        <w:t xml:space="preserve"> (London: HM Treasury, June 2010).</w:t>
      </w:r>
    </w:p>
    <w:p w14:paraId="06CB9070">
      <w:pPr>
        <w:spacing w:after="160" w:line="480" w:lineRule="auto"/>
        <w:rPr>
          <w:rFonts w:eastAsia="Calibri"/>
        </w:rPr>
      </w:pPr>
      <w:r>
        <w:rPr>
          <w:rFonts w:eastAsia="Calibri"/>
        </w:rPr>
        <w:t xml:space="preserve">HM Treasury, </w:t>
      </w:r>
      <w:r>
        <w:rPr>
          <w:rFonts w:eastAsia="Calibri"/>
          <w:i/>
          <w:iCs/>
        </w:rPr>
        <w:t>The New Approach to Tax Policy Making: A Response to the Consultation</w:t>
      </w:r>
      <w:r>
        <w:rPr>
          <w:rFonts w:eastAsia="Calibri"/>
        </w:rPr>
        <w:t xml:space="preserve"> (London: December 2010).</w:t>
      </w:r>
    </w:p>
    <w:p w14:paraId="4A70DCA6">
      <w:pPr>
        <w:spacing w:after="160" w:line="480" w:lineRule="auto"/>
        <w:rPr>
          <w:rFonts w:eastAsia="Calibri"/>
        </w:rPr>
      </w:pPr>
      <w:r>
        <w:rPr>
          <w:rFonts w:eastAsia="Calibri"/>
        </w:rPr>
        <w:t xml:space="preserve">HM Treasury, Matthew Ray, </w:t>
      </w:r>
      <w:r>
        <w:rPr>
          <w:rFonts w:eastAsia="Calibri"/>
          <w:i/>
          <w:iCs/>
        </w:rPr>
        <w:t>Oil and Gas Fiscal Regime Review</w:t>
      </w:r>
      <w:r>
        <w:rPr>
          <w:rFonts w:eastAsia="Calibri"/>
        </w:rPr>
        <w:t xml:space="preserve">: call for evidence – Gov.UK </w:t>
      </w:r>
    </w:p>
    <w:p w14:paraId="66CD9C7A">
      <w:pPr>
        <w:spacing w:after="160" w:line="480" w:lineRule="auto"/>
        <w:rPr>
          <w:rFonts w:eastAsia="Calibri"/>
        </w:rPr>
      </w:pPr>
      <w:r>
        <w:rPr>
          <w:rFonts w:eastAsia="Calibri"/>
        </w:rPr>
        <w:t xml:space="preserve">Jackendoff Ray, </w:t>
      </w:r>
      <w:r>
        <w:rPr>
          <w:rFonts w:eastAsia="Calibri"/>
          <w:i/>
        </w:rPr>
        <w:t>Patterns in the Mind</w:t>
      </w:r>
      <w:r>
        <w:rPr>
          <w:rFonts w:eastAsia="Calibri"/>
        </w:rPr>
        <w:t xml:space="preserve"> (Basic Books 1994)</w:t>
      </w:r>
    </w:p>
    <w:p w14:paraId="78F8DBCB">
      <w:pPr>
        <w:spacing w:after="160" w:line="480" w:lineRule="auto"/>
        <w:jc w:val="both"/>
        <w:rPr>
          <w:rFonts w:eastAsia="Calibri"/>
        </w:rPr>
      </w:pPr>
      <w:r>
        <w:rPr>
          <w:rFonts w:eastAsia="Calibri"/>
        </w:rPr>
        <w:t xml:space="preserve">Johansson A, </w:t>
      </w:r>
      <w:r>
        <w:rPr>
          <w:rFonts w:eastAsia="Calibri"/>
          <w:i/>
        </w:rPr>
        <w:t>Tax and Economic Growth</w:t>
      </w:r>
      <w:r>
        <w:rPr>
          <w:rFonts w:eastAsia="Calibri"/>
        </w:rPr>
        <w:t xml:space="preserve"> (Organization for Economic Co-operation and Development 2008).</w:t>
      </w:r>
    </w:p>
    <w:p w14:paraId="7E14F507">
      <w:pPr>
        <w:spacing w:after="160" w:line="480" w:lineRule="auto"/>
        <w:jc w:val="both"/>
        <w:rPr>
          <w:rFonts w:eastAsia="Calibri"/>
        </w:rPr>
      </w:pPr>
      <w:r>
        <w:rPr>
          <w:rFonts w:eastAsia="Calibri"/>
        </w:rPr>
        <w:t xml:space="preserve">Kachikwu E, </w:t>
      </w:r>
      <w:r>
        <w:rPr>
          <w:rFonts w:eastAsia="Calibri"/>
          <w:i/>
          <w:iCs/>
        </w:rPr>
        <w:t>Legal Issues in the Nigerian Petroleum Industry</w:t>
      </w:r>
      <w:r>
        <w:rPr>
          <w:rFonts w:eastAsia="Calibri"/>
        </w:rPr>
        <w:t xml:space="preserve"> (Law Publishing and Conference Services Ltd 2016).</w:t>
      </w:r>
    </w:p>
    <w:p w14:paraId="0508F82B">
      <w:pPr>
        <w:spacing w:after="160" w:line="480" w:lineRule="auto"/>
        <w:jc w:val="both"/>
        <w:rPr>
          <w:rFonts w:eastAsia="Calibri"/>
        </w:rPr>
      </w:pPr>
      <w:r>
        <w:rPr>
          <w:rFonts w:eastAsia="Calibri"/>
        </w:rPr>
        <w:t xml:space="preserve">Kay, John &amp; King, Mervyn, </w:t>
      </w:r>
      <w:r>
        <w:rPr>
          <w:rFonts w:eastAsia="Calibri"/>
          <w:i/>
          <w:iCs/>
        </w:rPr>
        <w:t>Radical Uncertainty-Decision Making beyond the Numbers</w:t>
      </w:r>
      <w:r>
        <w:rPr>
          <w:rFonts w:eastAsia="Calibri"/>
        </w:rPr>
        <w:t xml:space="preserve"> (March 2020).</w:t>
      </w:r>
    </w:p>
    <w:p w14:paraId="44254F61">
      <w:pPr>
        <w:spacing w:after="160" w:line="480" w:lineRule="auto"/>
        <w:jc w:val="both"/>
        <w:rPr>
          <w:rFonts w:eastAsia="Calibri"/>
        </w:rPr>
      </w:pPr>
      <w:r>
        <w:rPr>
          <w:rFonts w:eastAsia="Calibri"/>
        </w:rPr>
        <w:t xml:space="preserve">Knight, Frank H. </w:t>
      </w:r>
      <w:r>
        <w:rPr>
          <w:rFonts w:eastAsia="Calibri"/>
          <w:i/>
        </w:rPr>
        <w:t>Risk Uncertainty and Profit</w:t>
      </w:r>
      <w:r>
        <w:rPr>
          <w:rFonts w:eastAsia="Calibri"/>
        </w:rPr>
        <w:t>, (May 2014). en.wikipedia.org/wiki/Knightian uncertainty.</w:t>
      </w:r>
    </w:p>
    <w:p w14:paraId="66631A32">
      <w:pPr>
        <w:spacing w:after="160" w:line="480" w:lineRule="auto"/>
        <w:jc w:val="both"/>
        <w:rPr>
          <w:rFonts w:eastAsia="Calibri"/>
        </w:rPr>
      </w:pPr>
      <w:r>
        <w:rPr>
          <w:rFonts w:eastAsia="Calibri"/>
        </w:rPr>
        <w:t xml:space="preserve">Lee, Natalie, (General Editor) </w:t>
      </w:r>
      <w:r>
        <w:rPr>
          <w:rFonts w:eastAsia="Calibri"/>
          <w:i/>
          <w:iCs/>
        </w:rPr>
        <w:t>Revenue Law-Principles and Practice</w:t>
      </w:r>
      <w:r>
        <w:rPr>
          <w:rFonts w:eastAsia="Calibri"/>
        </w:rPr>
        <w:t xml:space="preserve"> (27</w:t>
      </w:r>
      <w:r>
        <w:rPr>
          <w:rFonts w:eastAsia="Calibri"/>
          <w:vertAlign w:val="superscript"/>
        </w:rPr>
        <w:t>th</w:t>
      </w:r>
      <w:r>
        <w:rPr>
          <w:rFonts w:eastAsia="Calibri"/>
        </w:rPr>
        <w:t xml:space="preserve"> edn.) Bloomsbury Professionals.</w:t>
      </w:r>
    </w:p>
    <w:p w14:paraId="02F0E7D4">
      <w:pPr>
        <w:spacing w:after="160" w:line="480" w:lineRule="auto"/>
        <w:jc w:val="both"/>
        <w:rPr>
          <w:rFonts w:eastAsia="Calibri"/>
        </w:rPr>
      </w:pPr>
      <w:r>
        <w:rPr>
          <w:rFonts w:eastAsia="Calibri"/>
        </w:rPr>
        <w:t xml:space="preserve">Lowe J, et al, </w:t>
      </w:r>
      <w:r>
        <w:rPr>
          <w:rFonts w:eastAsia="Calibri"/>
          <w:i/>
          <w:iCs/>
        </w:rPr>
        <w:t>Cases and Materials on Oil and Gas Law</w:t>
      </w:r>
      <w:r>
        <w:rPr>
          <w:rFonts w:eastAsia="Calibri"/>
        </w:rPr>
        <w:t xml:space="preserve"> (6th edn. West Publishing Co 2013).</w:t>
      </w:r>
    </w:p>
    <w:p w14:paraId="6EFA6690">
      <w:pPr>
        <w:spacing w:after="160" w:line="480" w:lineRule="auto"/>
        <w:jc w:val="both"/>
        <w:rPr>
          <w:rFonts w:eastAsia="Calibri"/>
        </w:rPr>
      </w:pPr>
      <w:r>
        <w:rPr>
          <w:rFonts w:eastAsia="Calibri"/>
        </w:rPr>
        <w:t xml:space="preserve">Lugard L, </w:t>
      </w:r>
      <w:r>
        <w:rPr>
          <w:rFonts w:eastAsia="Calibri"/>
          <w:i/>
          <w:iCs/>
        </w:rPr>
        <w:t>The Dual Mandate in British Tropical Africa</w:t>
      </w:r>
      <w:r>
        <w:rPr>
          <w:rFonts w:eastAsia="Calibri"/>
        </w:rPr>
        <w:t xml:space="preserve"> (Taylor and Francis 2013).</w:t>
      </w:r>
    </w:p>
    <w:p w14:paraId="173D8526">
      <w:pPr>
        <w:spacing w:after="160" w:line="480" w:lineRule="auto"/>
        <w:jc w:val="both"/>
        <w:rPr>
          <w:rFonts w:eastAsia="Calibri"/>
        </w:rPr>
      </w:pPr>
      <w:r>
        <w:rPr>
          <w:rFonts w:eastAsia="Calibri"/>
        </w:rPr>
        <w:t xml:space="preserve">Maguire, Steven. </w:t>
      </w:r>
      <w:r>
        <w:rPr>
          <w:rFonts w:eastAsia="Calibri"/>
          <w:i/>
        </w:rPr>
        <w:t>Federal Deductibility of State and Local Taxes</w:t>
      </w:r>
      <w:r>
        <w:rPr>
          <w:rFonts w:eastAsia="Calibri"/>
        </w:rPr>
        <w:t xml:space="preserve"> (2015) Congressional Research Service (Oxford University Press 1950) 235. </w:t>
      </w:r>
    </w:p>
    <w:p w14:paraId="2E29BD53">
      <w:pPr>
        <w:spacing w:after="160" w:line="480" w:lineRule="auto"/>
        <w:jc w:val="both"/>
        <w:rPr>
          <w:rFonts w:eastAsia="Calibri"/>
        </w:rPr>
      </w:pPr>
      <w:r>
        <w:rPr>
          <w:rFonts w:eastAsia="Calibri"/>
        </w:rPr>
        <w:t xml:space="preserve">Marc Blaug, </w:t>
      </w:r>
      <w:r>
        <w:rPr>
          <w:rFonts w:eastAsia="Calibri"/>
          <w:i/>
        </w:rPr>
        <w:t>Economic Theory in Retrospect</w:t>
      </w:r>
      <w:r>
        <w:rPr>
          <w:rFonts w:eastAsia="Calibri"/>
        </w:rPr>
        <w:t xml:space="preserve"> (Third Edition, Cambridge University Press, Cambridge, United Kingdom, 1978).</w:t>
      </w:r>
    </w:p>
    <w:p w14:paraId="1250EDAD">
      <w:pPr>
        <w:spacing w:after="160" w:line="480" w:lineRule="auto"/>
        <w:jc w:val="both"/>
        <w:rPr>
          <w:rFonts w:eastAsia="Calibri"/>
        </w:rPr>
      </w:pPr>
      <w:r>
        <w:rPr>
          <w:rFonts w:eastAsia="Calibri"/>
        </w:rPr>
        <w:t xml:space="preserve">Moore M, Prichard W, and Fjeldstad O, </w:t>
      </w:r>
      <w:r>
        <w:rPr>
          <w:rFonts w:eastAsia="Calibri"/>
          <w:i/>
        </w:rPr>
        <w:t>Taxing Africa: Coercion, Reform and Development</w:t>
      </w:r>
      <w:r>
        <w:rPr>
          <w:rFonts w:eastAsia="Calibri"/>
        </w:rPr>
        <w:t xml:space="preserve"> (Zed Books 2018).</w:t>
      </w:r>
    </w:p>
    <w:p w14:paraId="45BAB521">
      <w:pPr>
        <w:spacing w:after="160" w:line="480" w:lineRule="auto"/>
        <w:jc w:val="both"/>
        <w:rPr>
          <w:rFonts w:eastAsia="Calibri"/>
        </w:rPr>
      </w:pPr>
      <w:r>
        <w:rPr>
          <w:rFonts w:eastAsia="Calibri"/>
        </w:rPr>
        <w:t xml:space="preserve">Morse G, and Williams W, </w:t>
      </w:r>
      <w:r>
        <w:rPr>
          <w:rFonts w:eastAsia="Calibri"/>
          <w:i/>
          <w:iCs/>
        </w:rPr>
        <w:t>Davies: Principles of Tax Law</w:t>
      </w:r>
      <w:r>
        <w:rPr>
          <w:rFonts w:eastAsia="Calibri"/>
        </w:rPr>
        <w:t xml:space="preserve"> (5th edn, Sweet and Maxwell 2004) </w:t>
      </w:r>
    </w:p>
    <w:p w14:paraId="26C37E11">
      <w:pPr>
        <w:spacing w:after="160" w:line="480" w:lineRule="auto"/>
        <w:jc w:val="both"/>
        <w:rPr>
          <w:rFonts w:eastAsia="Calibri"/>
        </w:rPr>
      </w:pPr>
      <w:r>
        <w:rPr>
          <w:rFonts w:eastAsia="Calibri"/>
        </w:rPr>
        <w:t xml:space="preserve">Nakhle C, </w:t>
      </w:r>
      <w:r>
        <w:rPr>
          <w:rFonts w:eastAsia="Calibri"/>
          <w:i/>
        </w:rPr>
        <w:t xml:space="preserve">Sharing the Oil Wealth- A Study of Petroleum Taxation Yesterday, Today and Tomorrow </w:t>
      </w:r>
      <w:r>
        <w:rPr>
          <w:rFonts w:eastAsia="Calibri"/>
        </w:rPr>
        <w:t>(New York: Routledge 2008).</w:t>
      </w:r>
    </w:p>
    <w:p w14:paraId="34C82C2A">
      <w:pPr>
        <w:spacing w:after="160" w:line="480" w:lineRule="auto"/>
        <w:rPr>
          <w:rFonts w:eastAsia="Calibri"/>
        </w:rPr>
      </w:pPr>
      <w:r>
        <w:rPr>
          <w:rFonts w:eastAsia="Calibri"/>
        </w:rPr>
        <w:t xml:space="preserve">Nakhle, Carole, </w:t>
      </w:r>
      <w:r>
        <w:rPr>
          <w:rFonts w:eastAsia="Calibri"/>
          <w:i/>
          <w:iCs/>
        </w:rPr>
        <w:t>"Minerals, Chapter 4: Petroleum Fiscal Regimes: Evolution and Challenges,"</w:t>
      </w:r>
      <w:r>
        <w:rPr>
          <w:rFonts w:eastAsia="Calibri"/>
        </w:rPr>
        <w:t xml:space="preserve"> in The Taxation of Petroleum and Minerals: Principles, Problems and Practice. Edited by Philip Daniel, Michael Keen, and Charles McPherson, Publisher: Routledge.</w:t>
      </w:r>
    </w:p>
    <w:p w14:paraId="7E5326DD">
      <w:pPr>
        <w:spacing w:after="160" w:line="480" w:lineRule="auto"/>
        <w:jc w:val="both"/>
        <w:rPr>
          <w:rFonts w:eastAsia="Calibri"/>
        </w:rPr>
      </w:pPr>
      <w:r>
        <w:rPr>
          <w:rFonts w:eastAsia="Calibri"/>
        </w:rPr>
        <w:t xml:space="preserve">Ndekwu E, </w:t>
      </w:r>
      <w:r>
        <w:rPr>
          <w:rFonts w:eastAsia="Calibri"/>
          <w:i/>
        </w:rPr>
        <w:t>Tax Structure and Administration in Nigeria</w:t>
      </w:r>
      <w:r>
        <w:rPr>
          <w:rFonts w:eastAsia="Calibri"/>
        </w:rPr>
        <w:t xml:space="preserve"> (Ibadan: Nigerian Institute of Social and Economic Research 1988).</w:t>
      </w:r>
    </w:p>
    <w:p w14:paraId="5706E3CB">
      <w:pPr>
        <w:spacing w:after="160" w:line="480" w:lineRule="auto"/>
        <w:jc w:val="both"/>
        <w:rPr>
          <w:rFonts w:eastAsia="Calibri"/>
        </w:rPr>
      </w:pPr>
      <w:r>
        <w:rPr>
          <w:rFonts w:eastAsia="Calibri"/>
        </w:rPr>
        <w:t xml:space="preserve">Nwabueze, Benjamin Obi.  </w:t>
      </w:r>
      <w:r>
        <w:rPr>
          <w:rFonts w:eastAsia="Calibri"/>
          <w:i/>
        </w:rPr>
        <w:t>Federalism in Nigeria under the Presidential Constitution of 1979</w:t>
      </w:r>
      <w:r>
        <w:rPr>
          <w:rFonts w:eastAsia="Calibri"/>
        </w:rPr>
        <w:t xml:space="preserve"> (Sweet &amp; Maxwell). </w:t>
      </w:r>
    </w:p>
    <w:p w14:paraId="3E5DD829">
      <w:pPr>
        <w:spacing w:after="160" w:line="480" w:lineRule="auto"/>
        <w:jc w:val="both"/>
        <w:rPr>
          <w:rFonts w:eastAsia="Calibri"/>
        </w:rPr>
      </w:pPr>
      <w:r>
        <w:rPr>
          <w:rFonts w:eastAsia="Calibri"/>
        </w:rPr>
        <w:t xml:space="preserve">Ochei B, </w:t>
      </w:r>
      <w:r>
        <w:rPr>
          <w:rFonts w:eastAsia="Calibri"/>
          <w:i/>
          <w:iCs/>
        </w:rPr>
        <w:t>The Nigerian Taxman’s Book</w:t>
      </w:r>
      <w:r>
        <w:rPr>
          <w:rFonts w:eastAsia="Calibri"/>
        </w:rPr>
        <w:t xml:space="preserve"> (Pyram Publishers Educational 2010).</w:t>
      </w:r>
    </w:p>
    <w:p w14:paraId="313A6893">
      <w:pPr>
        <w:spacing w:after="160" w:line="480" w:lineRule="auto"/>
        <w:jc w:val="both"/>
        <w:rPr>
          <w:rFonts w:eastAsia="Calibri"/>
        </w:rPr>
      </w:pPr>
      <w:r>
        <w:rPr>
          <w:rFonts w:eastAsia="Calibri"/>
        </w:rPr>
        <w:t xml:space="preserve">Ogunsakin Tunde, </w:t>
      </w:r>
      <w:r>
        <w:rPr>
          <w:rFonts w:eastAsia="Calibri"/>
          <w:i/>
          <w:iCs/>
        </w:rPr>
        <w:t>A Review of Effective Tax Regime in Nigeria</w:t>
      </w:r>
      <w:r>
        <w:rPr>
          <w:rFonts w:eastAsia="Calibri"/>
        </w:rPr>
        <w:t xml:space="preserve"> (Dartford: Xlibris UK 2017).</w:t>
      </w:r>
    </w:p>
    <w:p w14:paraId="28CA946A">
      <w:pPr>
        <w:spacing w:after="160" w:line="480" w:lineRule="auto"/>
        <w:jc w:val="both"/>
        <w:rPr>
          <w:rFonts w:eastAsia="Calibri"/>
        </w:rPr>
      </w:pPr>
      <w:r>
        <w:rPr>
          <w:rFonts w:eastAsia="Calibri"/>
        </w:rPr>
        <w:t xml:space="preserve">Ojo S, </w:t>
      </w:r>
      <w:r>
        <w:rPr>
          <w:rFonts w:eastAsia="Calibri"/>
          <w:i/>
          <w:iCs/>
        </w:rPr>
        <w:t>Elements of Tax Management and Practice in Nigeria</w:t>
      </w:r>
      <w:r>
        <w:rPr>
          <w:rFonts w:eastAsia="Calibri"/>
        </w:rPr>
        <w:t xml:space="preserve"> (Lagos: Sagribra Tax Publications 1998).</w:t>
      </w:r>
    </w:p>
    <w:p w14:paraId="7EAC6525">
      <w:pPr>
        <w:spacing w:after="160" w:line="480" w:lineRule="auto"/>
        <w:jc w:val="both"/>
        <w:rPr>
          <w:rFonts w:eastAsia="Calibri"/>
        </w:rPr>
      </w:pPr>
      <w:r>
        <w:rPr>
          <w:rFonts w:eastAsia="Calibri"/>
        </w:rPr>
        <w:t xml:space="preserve">Okauru I, </w:t>
      </w:r>
      <w:r>
        <w:rPr>
          <w:rFonts w:eastAsia="Calibri"/>
          <w:i/>
          <w:iCs/>
        </w:rPr>
        <w:t>Federal Inland Revenue Service and Taxation Reforms in Democratic Nigeria</w:t>
      </w:r>
      <w:r>
        <w:rPr>
          <w:rFonts w:eastAsia="Calibri"/>
        </w:rPr>
        <w:t xml:space="preserve"> (Oxford: Safari Books Ltd 2012).</w:t>
      </w:r>
    </w:p>
    <w:p w14:paraId="36B136F3">
      <w:pPr>
        <w:spacing w:after="160" w:line="480" w:lineRule="auto"/>
        <w:jc w:val="both"/>
        <w:rPr>
          <w:rFonts w:eastAsia="Calibri"/>
        </w:rPr>
      </w:pPr>
      <w:r>
        <w:rPr>
          <w:rFonts w:eastAsia="Calibri"/>
        </w:rPr>
        <w:t xml:space="preserve">Okpe I, </w:t>
      </w:r>
      <w:r>
        <w:rPr>
          <w:rFonts w:eastAsia="Calibri"/>
          <w:i/>
        </w:rPr>
        <w:t>Petroleum Profits Tax in Nigeria</w:t>
      </w:r>
      <w:r>
        <w:rPr>
          <w:rFonts w:eastAsia="Calibri"/>
        </w:rPr>
        <w:t xml:space="preserve"> (Enugu: Joebest Books 2003).</w:t>
      </w:r>
    </w:p>
    <w:p w14:paraId="4795E184">
      <w:pPr>
        <w:spacing w:after="160" w:line="480" w:lineRule="auto"/>
        <w:jc w:val="both"/>
        <w:rPr>
          <w:rFonts w:eastAsia="Calibri"/>
        </w:rPr>
      </w:pPr>
      <w:r>
        <w:rPr>
          <w:rFonts w:eastAsia="Calibri"/>
        </w:rPr>
        <w:t xml:space="preserve">Ola C, </w:t>
      </w:r>
      <w:r>
        <w:rPr>
          <w:rFonts w:eastAsia="Calibri"/>
          <w:i/>
        </w:rPr>
        <w:t xml:space="preserve">Nigerian Income Tax Law and Practice: Incorporating Income Tax Laws Relating to Personal Income Tax Law, Partnership Tax Law, Companies Income Tax Law, Petroleum Profits Tax Law, Capital Gains Tax Law, Capital Transfer Tax Law and Guidelines to a Tax System Under the Presidential System of Government with Accountancy and Decided Cases Illustrations and a Supplement. </w:t>
      </w:r>
      <w:r>
        <w:rPr>
          <w:rFonts w:eastAsia="Calibri"/>
        </w:rPr>
        <w:t>(London: Macmillan 1985).</w:t>
      </w:r>
    </w:p>
    <w:p w14:paraId="5BF96B9A">
      <w:pPr>
        <w:spacing w:after="160" w:line="480" w:lineRule="auto"/>
        <w:jc w:val="both"/>
        <w:rPr>
          <w:rFonts w:eastAsia="Calibri"/>
        </w:rPr>
      </w:pPr>
      <w:r>
        <w:rPr>
          <w:rFonts w:eastAsia="Calibri"/>
        </w:rPr>
        <w:t xml:space="preserve">Ola C, </w:t>
      </w:r>
      <w:r>
        <w:rPr>
          <w:rFonts w:eastAsia="Calibri"/>
          <w:i/>
          <w:iCs/>
        </w:rPr>
        <w:t>Income Tax and Practice in Nigeria</w:t>
      </w:r>
      <w:r>
        <w:rPr>
          <w:rFonts w:eastAsia="Calibri"/>
        </w:rPr>
        <w:t xml:space="preserve"> (Dalak Prints and Pak Ltd 1999) 1-10.</w:t>
      </w:r>
    </w:p>
    <w:p w14:paraId="0AA1ED4F">
      <w:pPr>
        <w:spacing w:after="160" w:line="480" w:lineRule="auto"/>
        <w:jc w:val="both"/>
        <w:rPr>
          <w:rFonts w:eastAsia="Calibri"/>
        </w:rPr>
      </w:pPr>
      <w:r>
        <w:rPr>
          <w:rFonts w:eastAsia="Calibri"/>
        </w:rPr>
        <w:t xml:space="preserve">Ola C, </w:t>
      </w:r>
      <w:r>
        <w:rPr>
          <w:rFonts w:eastAsia="Calibri"/>
          <w:i/>
          <w:iCs/>
        </w:rPr>
        <w:t>Income Tax Law for Corporate and Unincorporated Bodies in Nigeria</w:t>
      </w:r>
      <w:r>
        <w:rPr>
          <w:rFonts w:eastAsia="Calibri"/>
        </w:rPr>
        <w:t xml:space="preserve"> (Ibadan: Heinemann Educational Books 1984) 1-9.</w:t>
      </w:r>
    </w:p>
    <w:p w14:paraId="01199491">
      <w:pPr>
        <w:spacing w:after="160" w:line="480" w:lineRule="auto"/>
        <w:jc w:val="both"/>
        <w:rPr>
          <w:rFonts w:eastAsia="Calibri"/>
        </w:rPr>
      </w:pPr>
      <w:r>
        <w:rPr>
          <w:rFonts w:eastAsia="Calibri"/>
        </w:rPr>
        <w:t xml:space="preserve">Olakanmi J, (2012) </w:t>
      </w:r>
      <w:r>
        <w:rPr>
          <w:rFonts w:eastAsia="Calibri"/>
          <w:i/>
          <w:iCs/>
        </w:rPr>
        <w:t xml:space="preserve">Compendium of Tax Laws </w:t>
      </w:r>
      <w:r>
        <w:rPr>
          <w:rFonts w:eastAsia="Calibri"/>
        </w:rPr>
        <w:t>(2</w:t>
      </w:r>
      <w:r>
        <w:rPr>
          <w:rFonts w:eastAsia="Calibri"/>
          <w:vertAlign w:val="superscript"/>
        </w:rPr>
        <w:t>nd</w:t>
      </w:r>
      <w:r>
        <w:rPr>
          <w:rFonts w:eastAsia="Calibri"/>
        </w:rPr>
        <w:t xml:space="preserve"> edn, Abuja: Lawlords Publishers 2012).</w:t>
      </w:r>
    </w:p>
    <w:p w14:paraId="4D65403D">
      <w:pPr>
        <w:spacing w:after="160" w:line="480" w:lineRule="auto"/>
        <w:jc w:val="both"/>
        <w:rPr>
          <w:rFonts w:eastAsia="Calibri"/>
        </w:rPr>
      </w:pPr>
      <w:r>
        <w:rPr>
          <w:rFonts w:eastAsia="Calibri"/>
        </w:rPr>
        <w:t xml:space="preserve">Olisa M, </w:t>
      </w:r>
      <w:r>
        <w:rPr>
          <w:rFonts w:eastAsia="Calibri"/>
          <w:i/>
          <w:iCs/>
        </w:rPr>
        <w:t>Nigerian Petroleum Law and Practice</w:t>
      </w:r>
      <w:r>
        <w:rPr>
          <w:rFonts w:eastAsia="Calibri"/>
        </w:rPr>
        <w:t>. (2</w:t>
      </w:r>
      <w:r>
        <w:rPr>
          <w:rFonts w:eastAsia="Calibri"/>
          <w:vertAlign w:val="superscript"/>
        </w:rPr>
        <w:t>nd</w:t>
      </w:r>
      <w:r>
        <w:rPr>
          <w:rFonts w:eastAsia="Calibri"/>
        </w:rPr>
        <w:t xml:space="preserve"> edn, Jonia Ventures Limited, Lagos 1997).</w:t>
      </w:r>
    </w:p>
    <w:p w14:paraId="405E3B87">
      <w:pPr>
        <w:spacing w:after="160" w:line="480" w:lineRule="auto"/>
        <w:jc w:val="both"/>
        <w:rPr>
          <w:rFonts w:eastAsia="Calibri"/>
        </w:rPr>
      </w:pPr>
      <w:r>
        <w:rPr>
          <w:rFonts w:eastAsia="Calibri"/>
        </w:rPr>
        <w:t>Omorogbe Y,</w:t>
      </w:r>
      <w:r>
        <w:rPr>
          <w:rFonts w:eastAsia="Calibri"/>
          <w:i/>
        </w:rPr>
        <w:t xml:space="preserve"> </w:t>
      </w:r>
      <w:r>
        <w:rPr>
          <w:rFonts w:eastAsia="Calibri"/>
          <w:i/>
          <w:iCs/>
        </w:rPr>
        <w:t>Oil and Gas Law in Nigeria</w:t>
      </w:r>
      <w:r>
        <w:rPr>
          <w:rFonts w:eastAsia="Calibri"/>
        </w:rPr>
        <w:t xml:space="preserve"> (Nigeria: Malthouse Press 2003).</w:t>
      </w:r>
    </w:p>
    <w:p w14:paraId="7A1E8767">
      <w:pPr>
        <w:spacing w:after="160" w:line="480" w:lineRule="auto"/>
        <w:jc w:val="both"/>
        <w:rPr>
          <w:rFonts w:eastAsia="Calibri"/>
        </w:rPr>
      </w:pPr>
      <w:r>
        <w:rPr>
          <w:rFonts w:eastAsia="Calibri"/>
        </w:rPr>
        <w:t xml:space="preserve">Orojo J, </w:t>
      </w:r>
      <w:r>
        <w:rPr>
          <w:rFonts w:eastAsia="Calibri"/>
          <w:i/>
        </w:rPr>
        <w:t>Company Tax Law in Nigeria</w:t>
      </w:r>
      <w:r>
        <w:rPr>
          <w:rFonts w:eastAsia="Calibri"/>
        </w:rPr>
        <w:t xml:space="preserve"> (London: Sweet and Maxwell 1979). </w:t>
      </w:r>
    </w:p>
    <w:p w14:paraId="003D60B3">
      <w:pPr>
        <w:spacing w:after="160" w:line="480" w:lineRule="auto"/>
        <w:jc w:val="both"/>
        <w:rPr>
          <w:rFonts w:eastAsia="Calibri"/>
        </w:rPr>
      </w:pPr>
      <w:r>
        <w:rPr>
          <w:rFonts w:eastAsia="Calibri"/>
        </w:rPr>
        <w:t xml:space="preserve">Osimabale A, </w:t>
      </w:r>
      <w:r>
        <w:rPr>
          <w:rFonts w:eastAsia="Calibri"/>
          <w:i/>
          <w:iCs/>
        </w:rPr>
        <w:t>Principles and Practice of Taxation</w:t>
      </w:r>
      <w:r>
        <w:rPr>
          <w:rFonts w:eastAsia="Calibri"/>
        </w:rPr>
        <w:t xml:space="preserve"> (Nigeria: Klinx Press 2008) 1-30.</w:t>
      </w:r>
    </w:p>
    <w:p w14:paraId="5D5BEAD3">
      <w:pPr>
        <w:spacing w:after="160" w:line="480" w:lineRule="auto"/>
        <w:rPr>
          <w:rFonts w:eastAsia="Calibri"/>
        </w:rPr>
      </w:pPr>
      <w:r>
        <w:rPr>
          <w:rFonts w:eastAsia="Calibri"/>
          <w:i/>
          <w:iCs/>
        </w:rPr>
        <w:t>Royal Commission Report Respecting the White Paper on Tax Reform</w:t>
      </w:r>
      <w:r>
        <w:rPr>
          <w:rFonts w:eastAsia="Calibri"/>
        </w:rPr>
        <w:t xml:space="preserve"> (Ottawa: Queen's Printer, 1970) at 74.</w:t>
      </w:r>
    </w:p>
    <w:p w14:paraId="2A4C8548">
      <w:pPr>
        <w:spacing w:after="160" w:line="480" w:lineRule="auto"/>
        <w:jc w:val="both"/>
        <w:rPr>
          <w:rFonts w:eastAsia="Calibri"/>
        </w:rPr>
      </w:pPr>
      <w:r>
        <w:rPr>
          <w:rFonts w:eastAsia="Calibri"/>
        </w:rPr>
        <w:t xml:space="preserve">Ricardo, David. </w:t>
      </w:r>
      <w:r>
        <w:rPr>
          <w:rFonts w:eastAsia="Calibri"/>
          <w:i/>
          <w:iCs/>
        </w:rPr>
        <w:t>Principles of Political Economy and Taxation</w:t>
      </w:r>
      <w:r>
        <w:rPr>
          <w:rFonts w:eastAsia="Calibri"/>
        </w:rPr>
        <w:t xml:space="preserve"> (Third Edition, Batoche Books, Ontario, Canada, 1821).  </w:t>
      </w:r>
    </w:p>
    <w:p w14:paraId="54A1F2D2">
      <w:pPr>
        <w:spacing w:after="160" w:line="480" w:lineRule="auto"/>
        <w:jc w:val="both"/>
        <w:rPr>
          <w:rFonts w:eastAsia="Calibri"/>
        </w:rPr>
      </w:pPr>
      <w:r>
        <w:rPr>
          <w:rFonts w:eastAsia="Calibri"/>
        </w:rPr>
        <w:t xml:space="preserve">Schätzl L, </w:t>
      </w:r>
      <w:r>
        <w:rPr>
          <w:rFonts w:eastAsia="Calibri"/>
          <w:i/>
          <w:iCs/>
        </w:rPr>
        <w:t xml:space="preserve">Petroleum in Nigeria </w:t>
      </w:r>
      <w:r>
        <w:rPr>
          <w:rFonts w:eastAsia="Calibri"/>
        </w:rPr>
        <w:t>(Ibadan: Oxford University Press 1969).</w:t>
      </w:r>
    </w:p>
    <w:p w14:paraId="63ED500F">
      <w:pPr>
        <w:spacing w:after="160" w:line="480" w:lineRule="auto"/>
        <w:rPr>
          <w:rFonts w:eastAsia="Calibri"/>
        </w:rPr>
      </w:pPr>
      <w:r>
        <w:rPr>
          <w:rFonts w:eastAsia="Calibri"/>
        </w:rPr>
        <w:t xml:space="preserve">Seymour, A., </w:t>
      </w:r>
      <w:r>
        <w:rPr>
          <w:rFonts w:eastAsia="Calibri"/>
          <w:i/>
          <w:iCs/>
        </w:rPr>
        <w:t>The Oil Price and Non-OPEC Supplies, Oxford Institute for Energy Studies Papers on the World Petroleum Market</w:t>
      </w:r>
      <w:r>
        <w:rPr>
          <w:rFonts w:eastAsia="Calibri"/>
        </w:rPr>
        <w:t xml:space="preserve"> (Aldgate Press, 1990).</w:t>
      </w:r>
    </w:p>
    <w:p w14:paraId="22252D43">
      <w:pPr>
        <w:spacing w:after="160" w:line="480" w:lineRule="auto"/>
        <w:jc w:val="both"/>
        <w:rPr>
          <w:rFonts w:eastAsia="Calibri"/>
        </w:rPr>
      </w:pPr>
      <w:r>
        <w:rPr>
          <w:rFonts w:eastAsia="Calibri"/>
        </w:rPr>
        <w:t xml:space="preserve">Simons H, </w:t>
      </w:r>
      <w:r>
        <w:rPr>
          <w:rFonts w:eastAsia="Calibri"/>
          <w:i/>
          <w:iCs/>
        </w:rPr>
        <w:t>Personal Income Taxation: The Definition Of Income As A Problem Of Fiscal Policy</w:t>
      </w:r>
      <w:r>
        <w:rPr>
          <w:rFonts w:eastAsia="Calibri"/>
        </w:rPr>
        <w:t xml:space="preserve"> (University of Chicago Press 1938).</w:t>
      </w:r>
    </w:p>
    <w:p w14:paraId="074626B4">
      <w:pPr>
        <w:spacing w:after="160" w:line="480" w:lineRule="auto"/>
        <w:jc w:val="both"/>
        <w:rPr>
          <w:rFonts w:eastAsia="Calibri"/>
        </w:rPr>
      </w:pPr>
      <w:r>
        <w:rPr>
          <w:rFonts w:eastAsia="Calibri"/>
        </w:rPr>
        <w:t xml:space="preserve">Somorin O, </w:t>
      </w:r>
      <w:r>
        <w:rPr>
          <w:rFonts w:eastAsia="Calibri"/>
          <w:i/>
        </w:rPr>
        <w:t>Evolution of Nigerian Tax Laws: An Overview</w:t>
      </w:r>
      <w:r>
        <w:rPr>
          <w:rFonts w:eastAsia="Calibri"/>
        </w:rPr>
        <w:t xml:space="preserve"> (Lagos: Chartered Institute of Taxation 2015).</w:t>
      </w:r>
    </w:p>
    <w:p w14:paraId="2947862F">
      <w:pPr>
        <w:spacing w:after="160" w:line="480" w:lineRule="auto"/>
        <w:jc w:val="both"/>
        <w:rPr>
          <w:rFonts w:eastAsia="Calibri"/>
        </w:rPr>
      </w:pPr>
      <w:r>
        <w:rPr>
          <w:rFonts w:eastAsia="Calibri"/>
        </w:rPr>
        <w:t xml:space="preserve">Soyode L, and Kajola S, </w:t>
      </w:r>
      <w:r>
        <w:rPr>
          <w:rFonts w:eastAsia="Calibri"/>
          <w:i/>
        </w:rPr>
        <w:t>Taxation Principles and Practices in Nigeria</w:t>
      </w:r>
      <w:r>
        <w:rPr>
          <w:rFonts w:eastAsia="Calibri"/>
        </w:rPr>
        <w:t xml:space="preserve"> (Ibadan: Silicon Publishing Company 2006) </w:t>
      </w:r>
    </w:p>
    <w:p w14:paraId="37F374CB">
      <w:pPr>
        <w:spacing w:after="160" w:line="480" w:lineRule="auto"/>
        <w:jc w:val="both"/>
        <w:rPr>
          <w:rFonts w:eastAsia="Calibri"/>
        </w:rPr>
      </w:pPr>
      <w:r>
        <w:rPr>
          <w:rFonts w:eastAsia="Calibri"/>
        </w:rPr>
        <w:t xml:space="preserve">Stanford Encyclopedia of Philosophy, </w:t>
      </w:r>
      <w:r>
        <w:rPr>
          <w:rFonts w:eastAsia="Calibri"/>
          <w:i/>
        </w:rPr>
        <w:t>Law and Language’</w:t>
      </w:r>
      <w:r>
        <w:rPr>
          <w:rFonts w:eastAsia="Calibri"/>
        </w:rPr>
        <w:t xml:space="preserve"> (Stanford University, USA, First published 5 December 2002 and revised 15 April 2016) (online) &lt;https://plato.stanford.edu/entries/law-language/&gt; accessed 27 March 2019. </w:t>
      </w:r>
    </w:p>
    <w:p w14:paraId="11D460AC">
      <w:pPr>
        <w:spacing w:after="160" w:line="480" w:lineRule="auto"/>
        <w:jc w:val="both"/>
        <w:rPr>
          <w:rFonts w:eastAsia="Calibri"/>
        </w:rPr>
      </w:pPr>
      <w:r>
        <w:rPr>
          <w:rFonts w:eastAsia="Calibri"/>
        </w:rPr>
        <w:t xml:space="preserve">Stark, Jack. </w:t>
      </w:r>
      <w:r>
        <w:rPr>
          <w:rFonts w:eastAsia="Calibri"/>
          <w:i/>
        </w:rPr>
        <w:t xml:space="preserve"> The Art of Statute, Chapter 1 – Background on Language. </w:t>
      </w:r>
      <w:r>
        <w:rPr>
          <w:rFonts w:eastAsia="Calibri"/>
        </w:rPr>
        <w:t>p, xi.</w:t>
      </w:r>
    </w:p>
    <w:p w14:paraId="1B8D608E">
      <w:pPr>
        <w:spacing w:after="160" w:line="480" w:lineRule="auto"/>
        <w:jc w:val="both"/>
        <w:rPr>
          <w:rFonts w:eastAsia="Calibri"/>
        </w:rPr>
      </w:pPr>
      <w:r>
        <w:rPr>
          <w:rFonts w:eastAsia="Calibri"/>
        </w:rPr>
        <w:t xml:space="preserve">Strawson, Peter Fredrick. </w:t>
      </w:r>
      <w:r>
        <w:rPr>
          <w:rFonts w:eastAsia="Calibri"/>
          <w:i/>
        </w:rPr>
        <w:t xml:space="preserve"> On Referring </w:t>
      </w:r>
      <w:r>
        <w:rPr>
          <w:rFonts w:eastAsia="Calibri"/>
        </w:rPr>
        <w:t>(Oxford University Press 1950).</w:t>
      </w:r>
    </w:p>
    <w:p w14:paraId="19BDF8A9">
      <w:pPr>
        <w:spacing w:after="160" w:line="480" w:lineRule="auto"/>
        <w:jc w:val="both"/>
        <w:rPr>
          <w:rFonts w:eastAsia="Calibri"/>
        </w:rPr>
      </w:pPr>
      <w:r>
        <w:rPr>
          <w:rFonts w:eastAsia="Calibri"/>
        </w:rPr>
        <w:t>Tiley, John (assisted by Loutzenbiser). Revenue Law, (6</w:t>
      </w:r>
      <w:r>
        <w:rPr>
          <w:rFonts w:eastAsia="Calibri"/>
          <w:vertAlign w:val="superscript"/>
        </w:rPr>
        <w:t>th</w:t>
      </w:r>
      <w:r>
        <w:rPr>
          <w:rFonts w:eastAsia="Calibri"/>
        </w:rPr>
        <w:t xml:space="preserve"> Edn. 2008), Hart Publishing.</w:t>
      </w:r>
    </w:p>
    <w:p w14:paraId="27F93367">
      <w:pPr>
        <w:spacing w:after="160" w:line="480" w:lineRule="auto"/>
        <w:jc w:val="both"/>
        <w:rPr>
          <w:rFonts w:eastAsia="Calibri"/>
        </w:rPr>
      </w:pPr>
      <w:r>
        <w:rPr>
          <w:rFonts w:eastAsia="Calibri"/>
        </w:rPr>
        <w:t xml:space="preserve">Wheare, K. C., </w:t>
      </w:r>
      <w:r>
        <w:rPr>
          <w:rFonts w:eastAsia="Calibri"/>
          <w:i/>
        </w:rPr>
        <w:t>Federal Government</w:t>
      </w:r>
      <w:r>
        <w:rPr>
          <w:rFonts w:eastAsia="Calibri"/>
        </w:rPr>
        <w:t xml:space="preserve"> (4th edn, London: Oxford University Press 1963). </w:t>
      </w:r>
    </w:p>
    <w:p w14:paraId="1E35BF40">
      <w:pPr>
        <w:spacing w:after="160" w:line="480" w:lineRule="auto"/>
        <w:jc w:val="both"/>
        <w:rPr>
          <w:rFonts w:eastAsia="Calibri"/>
        </w:rPr>
      </w:pPr>
      <w:r>
        <w:rPr>
          <w:rFonts w:eastAsia="Calibri"/>
        </w:rPr>
        <w:t xml:space="preserve">White, James Boyd, </w:t>
      </w:r>
      <w:r>
        <w:rPr>
          <w:rFonts w:eastAsia="Calibri"/>
          <w:i/>
          <w:iCs/>
        </w:rPr>
        <w:t>The Legal Imagination</w:t>
      </w:r>
      <w:r>
        <w:rPr>
          <w:rFonts w:eastAsia="Calibri"/>
        </w:rPr>
        <w:t xml:space="preserve"> (Abridged edn, Chicago: University of Chicago Press 1985). </w:t>
      </w:r>
    </w:p>
    <w:p w14:paraId="0EF6C302">
      <w:pPr>
        <w:spacing w:after="160" w:line="480" w:lineRule="auto"/>
        <w:jc w:val="both"/>
        <w:rPr>
          <w:rFonts w:eastAsia="Calibri"/>
          <w:i/>
          <w:iCs/>
        </w:rPr>
      </w:pPr>
      <w:r>
        <w:rPr>
          <w:rFonts w:eastAsia="Calibri"/>
        </w:rPr>
        <w:t xml:space="preserve">Whitehouse C, Watson L, Lee N, &amp; Blakeley Paul, </w:t>
      </w:r>
      <w:r>
        <w:rPr>
          <w:rFonts w:eastAsia="Calibri"/>
          <w:i/>
          <w:iCs/>
        </w:rPr>
        <w:t xml:space="preserve">Revenue Law -Principles and Practices, Butterworths. (1995). </w:t>
      </w:r>
    </w:p>
    <w:p w14:paraId="2BA3E584">
      <w:pPr>
        <w:spacing w:after="160" w:line="480" w:lineRule="auto"/>
        <w:jc w:val="both"/>
        <w:rPr>
          <w:rFonts w:eastAsia="Calibri"/>
          <w:b/>
          <w:bCs/>
        </w:rPr>
      </w:pPr>
    </w:p>
    <w:p w14:paraId="69AEE9D1">
      <w:pPr>
        <w:spacing w:after="160" w:line="480" w:lineRule="auto"/>
        <w:jc w:val="both"/>
        <w:rPr>
          <w:rFonts w:eastAsia="Calibri"/>
        </w:rPr>
      </w:pPr>
      <w:r>
        <w:rPr>
          <w:rFonts w:eastAsia="Calibri"/>
          <w:b/>
          <w:bCs/>
        </w:rPr>
        <w:t>ARTICLES AND REPORTS</w:t>
      </w:r>
    </w:p>
    <w:p w14:paraId="203269A5">
      <w:pPr>
        <w:spacing w:after="160" w:line="480" w:lineRule="auto"/>
        <w:jc w:val="both"/>
        <w:rPr>
          <w:rFonts w:eastAsia="Calibri"/>
        </w:rPr>
      </w:pPr>
      <w:r>
        <w:rPr>
          <w:rFonts w:eastAsia="Calibri"/>
        </w:rPr>
        <w:t xml:space="preserve">Abba Kolo &amp; Thomas W. Walde, </w:t>
      </w:r>
      <w:r>
        <w:rPr>
          <w:rFonts w:eastAsia="Calibri"/>
          <w:i/>
          <w:iCs/>
        </w:rPr>
        <w:t>Renegotiation and Contract adaptation in the international investment projects: Applicable Legal Principles &amp; Industry practices,</w:t>
      </w:r>
      <w:r>
        <w:rPr>
          <w:rFonts w:eastAsia="Calibri"/>
        </w:rPr>
        <w:t xml:space="preserve"> Transnational Dispute Management, Volume 1, Issue 01, February 2004.</w:t>
      </w:r>
    </w:p>
    <w:p w14:paraId="490B98A3">
      <w:pPr>
        <w:spacing w:after="160" w:line="480" w:lineRule="auto"/>
        <w:jc w:val="both"/>
        <w:rPr>
          <w:rFonts w:eastAsia="Calibri"/>
        </w:rPr>
      </w:pPr>
      <w:r>
        <w:rPr>
          <w:rFonts w:eastAsia="Calibri"/>
        </w:rPr>
        <w:t xml:space="preserve">Abbas Ghandi and Cynthia Lin, </w:t>
      </w:r>
      <w:r>
        <w:rPr>
          <w:rFonts w:eastAsia="Calibri"/>
          <w:i/>
        </w:rPr>
        <w:t>Oil and Gas Service Contracts around the World: A Review</w:t>
      </w:r>
      <w:r>
        <w:rPr>
          <w:rFonts w:eastAsia="Calibri"/>
        </w:rPr>
        <w:t xml:space="preserve"> (University of California, United States, 2013) 1-17.</w:t>
      </w:r>
    </w:p>
    <w:p w14:paraId="5CEB79CF">
      <w:pPr>
        <w:spacing w:after="160" w:line="480" w:lineRule="auto"/>
        <w:jc w:val="both"/>
        <w:rPr>
          <w:rFonts w:eastAsia="Calibri"/>
        </w:rPr>
      </w:pPr>
      <w:r>
        <w:rPr>
          <w:rFonts w:eastAsia="Calibri"/>
        </w:rPr>
        <w:t xml:space="preserve">Abdulrazaq M, </w:t>
      </w:r>
      <w:r>
        <w:rPr>
          <w:rFonts w:eastAsia="Calibri"/>
          <w:i/>
          <w:iCs/>
        </w:rPr>
        <w:t xml:space="preserve">Judicial Discretion and the Interpretation of Taxing Statutes in Nigeria </w:t>
      </w:r>
      <w:r>
        <w:rPr>
          <w:rFonts w:eastAsia="Calibri"/>
        </w:rPr>
        <w:t xml:space="preserve">Obafemi Awolowo University Law Journal (2002). </w:t>
      </w:r>
    </w:p>
    <w:p w14:paraId="50ACD6CF">
      <w:pPr>
        <w:spacing w:after="160" w:line="480" w:lineRule="auto"/>
        <w:jc w:val="both"/>
        <w:rPr>
          <w:rFonts w:eastAsia="Calibri"/>
        </w:rPr>
      </w:pPr>
      <w:r>
        <w:rPr>
          <w:rFonts w:eastAsia="Calibri"/>
        </w:rPr>
        <w:t xml:space="preserve">Abere J, </w:t>
      </w:r>
      <w:r>
        <w:rPr>
          <w:rFonts w:eastAsia="Calibri"/>
          <w:i/>
        </w:rPr>
        <w:t>Taxation of PSC’s: Salient Issues Arising from the Application of the Petroleum Profits Tax Act</w:t>
      </w:r>
      <w:r>
        <w:rPr>
          <w:rFonts w:eastAsia="Calibri"/>
        </w:rPr>
        <w:t>.  (Oil and Gas Business in Nigeria and Taxation (2015) [Unpublished].</w:t>
      </w:r>
    </w:p>
    <w:p w14:paraId="11B9B086">
      <w:pPr>
        <w:spacing w:after="160" w:line="480" w:lineRule="auto"/>
        <w:jc w:val="both"/>
        <w:rPr>
          <w:rFonts w:eastAsia="Calibri"/>
        </w:rPr>
      </w:pPr>
      <w:r>
        <w:rPr>
          <w:rFonts w:eastAsia="Calibri"/>
        </w:rPr>
        <w:t xml:space="preserve">ACCA, </w:t>
      </w:r>
      <w:r>
        <w:rPr>
          <w:rFonts w:eastAsia="Calibri"/>
          <w:i/>
        </w:rPr>
        <w:t xml:space="preserve">Tax Principles from Adam Smith to Barack Obama </w:t>
      </w:r>
      <w:r>
        <w:rPr>
          <w:rFonts w:eastAsia="Calibri"/>
        </w:rPr>
        <w:t xml:space="preserve">(2009) Association of Chartered Certified Accountants (ACCA) Policy Paper </w:t>
      </w:r>
      <w:r>
        <w:fldChar w:fldCharType="begin"/>
      </w:r>
      <w:r>
        <w:instrText xml:space="preserve"> HYPERLINK "http://www.nctbpu.org" </w:instrText>
      </w:r>
      <w:r>
        <w:fldChar w:fldCharType="separate"/>
      </w:r>
      <w:r>
        <w:rPr>
          <w:rFonts w:eastAsia="Calibri"/>
          <w:u w:val="single"/>
        </w:rPr>
        <w:t>http://www.nctbpu.org</w:t>
      </w:r>
      <w:r>
        <w:rPr>
          <w:rFonts w:eastAsia="Calibri"/>
          <w:u w:val="single"/>
        </w:rPr>
        <w:fldChar w:fldCharType="end"/>
      </w:r>
      <w:r>
        <w:rPr>
          <w:rFonts w:eastAsia="Calibri"/>
        </w:rPr>
        <w:t xml:space="preserve"> accessed 20 September 2018.</w:t>
      </w:r>
    </w:p>
    <w:p w14:paraId="257AC74D">
      <w:pPr>
        <w:spacing w:after="160" w:line="480" w:lineRule="auto"/>
        <w:jc w:val="both"/>
        <w:rPr>
          <w:rFonts w:eastAsia="Calibri"/>
        </w:rPr>
      </w:pPr>
      <w:r>
        <w:rPr>
          <w:rFonts w:eastAsia="Calibri"/>
        </w:rPr>
        <w:t xml:space="preserve">Adegbie F, and Fakile S, </w:t>
      </w:r>
      <w:r>
        <w:rPr>
          <w:rFonts w:eastAsia="Calibri"/>
          <w:i/>
        </w:rPr>
        <w:t>Petroleum Profit Tax and Nigeria Economic Development</w:t>
      </w:r>
      <w:r>
        <w:rPr>
          <w:rFonts w:eastAsia="Calibri"/>
        </w:rPr>
        <w:t xml:space="preserve"> (2011), 11 </w:t>
      </w:r>
      <w:r>
        <w:rPr>
          <w:rFonts w:eastAsia="Calibri"/>
          <w:i/>
          <w:iCs/>
        </w:rPr>
        <w:t>International Journal of Research in Commerce and Management</w:t>
      </w:r>
      <w:r>
        <w:rPr>
          <w:rFonts w:eastAsia="Calibri"/>
        </w:rPr>
        <w:t xml:space="preserve"> 17.</w:t>
      </w:r>
    </w:p>
    <w:p w14:paraId="723C9183">
      <w:pPr>
        <w:spacing w:after="160" w:line="480" w:lineRule="auto"/>
        <w:jc w:val="both"/>
        <w:rPr>
          <w:rFonts w:eastAsia="Calibri"/>
        </w:rPr>
      </w:pPr>
      <w:r>
        <w:rPr>
          <w:rFonts w:eastAsia="Calibri"/>
        </w:rPr>
        <w:t xml:space="preserve">Adeleke, Olumide Ogunnoiki,  </w:t>
      </w:r>
      <w:r>
        <w:rPr>
          <w:rFonts w:eastAsia="Calibri"/>
          <w:i/>
        </w:rPr>
        <w:t>Federalism as a Political Ideology and System of Federal Government: The Theoretical Perspectives.</w:t>
      </w:r>
      <w:r>
        <w:rPr>
          <w:rFonts w:eastAsia="Calibri"/>
        </w:rPr>
        <w:t xml:space="preserve"> (2017) 3(9) </w:t>
      </w:r>
      <w:r>
        <w:rPr>
          <w:rFonts w:eastAsia="Calibri"/>
          <w:i/>
          <w:iCs/>
        </w:rPr>
        <w:t>International Journal of Advanced Academic Research</w:t>
      </w:r>
      <w:r>
        <w:rPr>
          <w:rFonts w:eastAsia="Calibri"/>
        </w:rPr>
        <w:t xml:space="preserve"> 53-80.</w:t>
      </w:r>
    </w:p>
    <w:p w14:paraId="642DA303">
      <w:pPr>
        <w:spacing w:after="160" w:line="480" w:lineRule="auto"/>
        <w:jc w:val="both"/>
        <w:rPr>
          <w:rFonts w:eastAsia="Calibri"/>
        </w:rPr>
      </w:pPr>
      <w:r>
        <w:rPr>
          <w:rFonts w:eastAsia="Calibri"/>
        </w:rPr>
        <w:t xml:space="preserve">Adeyeri, Olusegun, Adejuwon, Kehinde Davide, </w:t>
      </w:r>
      <w:r>
        <w:rPr>
          <w:rFonts w:eastAsia="Calibri"/>
          <w:i/>
          <w:iCs/>
        </w:rPr>
        <w:t xml:space="preserve">The Implication of British Colonial Economic Policies on Nigeria; International Journal of Advanced Research in Management and Social Sciences, </w:t>
      </w:r>
      <w:r>
        <w:rPr>
          <w:rFonts w:eastAsia="Calibri"/>
        </w:rPr>
        <w:t xml:space="preserve">Vol. 1 | No. 2 | August 2012. </w:t>
      </w:r>
    </w:p>
    <w:p w14:paraId="45D38640">
      <w:pPr>
        <w:spacing w:after="160" w:line="480" w:lineRule="auto"/>
        <w:jc w:val="both"/>
        <w:rPr>
          <w:rFonts w:eastAsia="Calibri"/>
        </w:rPr>
      </w:pPr>
      <w:r>
        <w:rPr>
          <w:rFonts w:eastAsia="Calibri"/>
        </w:rPr>
        <w:t xml:space="preserve">Ahmed Isau, </w:t>
      </w:r>
      <w:r>
        <w:rPr>
          <w:rFonts w:eastAsia="Calibri"/>
          <w:i/>
        </w:rPr>
        <w:t>Transfer Pricing: The Nigerian Perspective</w:t>
      </w:r>
      <w:r>
        <w:rPr>
          <w:rFonts w:eastAsia="Calibri"/>
        </w:rPr>
        <w:t>.  (2014) 2(2) International Journal of Accounting and Taxation 23-28.</w:t>
      </w:r>
    </w:p>
    <w:p w14:paraId="5ED22F1F">
      <w:pPr>
        <w:spacing w:after="160" w:line="480" w:lineRule="auto"/>
        <w:jc w:val="both"/>
        <w:rPr>
          <w:rFonts w:eastAsia="Calibri"/>
        </w:rPr>
      </w:pPr>
      <w:r>
        <w:rPr>
          <w:rFonts w:eastAsia="Calibri"/>
        </w:rPr>
        <w:t xml:space="preserve">Aigboduwa, Joseph and Oisamoje, Michael, </w:t>
      </w:r>
      <w:r>
        <w:rPr>
          <w:rFonts w:eastAsia="Calibri"/>
          <w:i/>
        </w:rPr>
        <w:t>Promoting Small and Medium Enterprises In The Nigerian Oil and Gas Industry</w:t>
      </w:r>
      <w:r>
        <w:rPr>
          <w:rFonts w:eastAsia="Calibri"/>
        </w:rPr>
        <w:t xml:space="preserve"> (2013) 9(1) </w:t>
      </w:r>
      <w:r>
        <w:rPr>
          <w:rFonts w:eastAsia="Calibri"/>
          <w:i/>
          <w:iCs/>
        </w:rPr>
        <w:t xml:space="preserve">European Scientific Journal </w:t>
      </w:r>
      <w:r>
        <w:rPr>
          <w:rFonts w:eastAsia="Calibri"/>
        </w:rPr>
        <w:t xml:space="preserve">244-261. </w:t>
      </w:r>
    </w:p>
    <w:p w14:paraId="3DC87589">
      <w:pPr>
        <w:spacing w:after="160" w:line="480" w:lineRule="auto"/>
        <w:jc w:val="both"/>
        <w:rPr>
          <w:rFonts w:eastAsia="Calibri"/>
        </w:rPr>
      </w:pPr>
      <w:r>
        <w:rPr>
          <w:rFonts w:eastAsia="Calibri"/>
        </w:rPr>
        <w:t xml:space="preserve">Ajayi K, </w:t>
      </w:r>
      <w:r>
        <w:rPr>
          <w:rFonts w:eastAsia="Calibri"/>
          <w:i/>
        </w:rPr>
        <w:t>Financing Oil and Gas Projects in Nigeria: Legal and Commercial Issues.</w:t>
      </w:r>
      <w:r>
        <w:rPr>
          <w:rFonts w:eastAsia="Calibri"/>
        </w:rPr>
        <w:t xml:space="preserve"> (2003), 1 </w:t>
      </w:r>
      <w:r>
        <w:rPr>
          <w:rFonts w:eastAsia="Calibri"/>
          <w:i/>
          <w:iCs/>
        </w:rPr>
        <w:t>Energy &amp; Natural Resources Annual</w:t>
      </w:r>
      <w:r>
        <w:rPr>
          <w:rFonts w:eastAsia="Calibri"/>
        </w:rPr>
        <w:t xml:space="preserve"> 78-95, 79. </w:t>
      </w:r>
    </w:p>
    <w:p w14:paraId="4E51DA71">
      <w:pPr>
        <w:spacing w:after="160" w:line="480" w:lineRule="auto"/>
        <w:jc w:val="both"/>
        <w:rPr>
          <w:rFonts w:eastAsia="Calibri"/>
        </w:rPr>
      </w:pPr>
      <w:r>
        <w:rPr>
          <w:rFonts w:eastAsia="Calibri"/>
        </w:rPr>
        <w:t xml:space="preserve">Ajayi S, and Akin-Moses B, </w:t>
      </w:r>
      <w:r>
        <w:rPr>
          <w:rFonts w:eastAsia="Calibri"/>
          <w:i/>
        </w:rPr>
        <w:t>The National Petroleum Fiscal Policy – Old Wine in a New Bottle?</w:t>
      </w:r>
      <w:r>
        <w:rPr>
          <w:rFonts w:eastAsia="Calibri"/>
        </w:rPr>
        <w:t xml:space="preserve"> (2018) &lt;https://www.pwc.com/ng/en/assets/pdf/tax-watch-march-2017-the-national-petroleum-fiscal-policy.pdf&gt; accessed 4 September 2018.</w:t>
      </w:r>
    </w:p>
    <w:p w14:paraId="3535FA71">
      <w:pPr>
        <w:spacing w:after="160" w:line="480" w:lineRule="auto"/>
        <w:jc w:val="both"/>
        <w:rPr>
          <w:rFonts w:eastAsia="Calibri"/>
        </w:rPr>
      </w:pPr>
      <w:r>
        <w:rPr>
          <w:rFonts w:eastAsia="Calibri"/>
        </w:rPr>
        <w:t xml:space="preserve">Akanle O, </w:t>
      </w:r>
      <w:r>
        <w:rPr>
          <w:rFonts w:eastAsia="Calibri"/>
          <w:i/>
        </w:rPr>
        <w:t>The Government, the Constitution &amp; the Taxpayer</w:t>
      </w:r>
      <w:r>
        <w:rPr>
          <w:rFonts w:eastAsia="Calibri"/>
        </w:rPr>
        <w:t xml:space="preserve"> in M.A Ajomo and O. Akanle (eds), </w:t>
      </w:r>
      <w:r>
        <w:rPr>
          <w:rFonts w:eastAsia="Calibri"/>
          <w:i/>
          <w:iCs/>
        </w:rPr>
        <w:t>Tax Law and Tax Administration in Nigeria</w:t>
      </w:r>
      <w:r>
        <w:rPr>
          <w:rFonts w:eastAsia="Calibri"/>
        </w:rPr>
        <w:t xml:space="preserve"> (Lagos: N.I.A.L.S 1991).</w:t>
      </w:r>
    </w:p>
    <w:p w14:paraId="72D58F46">
      <w:pPr>
        <w:spacing w:after="160" w:line="480" w:lineRule="auto"/>
        <w:jc w:val="both"/>
        <w:rPr>
          <w:rFonts w:eastAsia="Calibri"/>
        </w:rPr>
      </w:pPr>
      <w:r>
        <w:rPr>
          <w:rFonts w:eastAsia="Calibri"/>
        </w:rPr>
        <w:t xml:space="preserve">Akinrele A, </w:t>
      </w:r>
      <w:r>
        <w:rPr>
          <w:rFonts w:eastAsia="Calibri"/>
          <w:i/>
        </w:rPr>
        <w:t>Nigeria Oil and Gas Law.</w:t>
      </w:r>
      <w:r>
        <w:rPr>
          <w:rFonts w:eastAsia="Calibri"/>
        </w:rPr>
        <w:t xml:space="preserve"> Oil, Gas &amp; Energy Law   Intelligence (2005).</w:t>
      </w:r>
    </w:p>
    <w:p w14:paraId="05E6628D">
      <w:pPr>
        <w:spacing w:after="160" w:line="480" w:lineRule="auto"/>
        <w:jc w:val="both"/>
        <w:rPr>
          <w:rFonts w:eastAsia="Calibri"/>
        </w:rPr>
      </w:pPr>
      <w:r>
        <w:rPr>
          <w:rFonts w:eastAsia="Calibri"/>
        </w:rPr>
        <w:t xml:space="preserve">Alatoye A, </w:t>
      </w:r>
      <w:r>
        <w:rPr>
          <w:rFonts w:eastAsia="Calibri"/>
          <w:i/>
        </w:rPr>
        <w:t>Petroleum Profits Tax’ Presentation made to cadet officers of the Economics and Financial Crimes Commission (EFCC),</w:t>
      </w:r>
      <w:r>
        <w:rPr>
          <w:rFonts w:eastAsia="Calibri"/>
        </w:rPr>
        <w:t xml:space="preserve"> </w:t>
      </w:r>
      <w:r>
        <w:fldChar w:fldCharType="begin"/>
      </w:r>
      <w:r>
        <w:instrText xml:space="preserve"> HYPERLINK "https://www.slideserve.com/alyssa-duke/tax" </w:instrText>
      </w:r>
      <w:r>
        <w:fldChar w:fldCharType="separate"/>
      </w:r>
      <w:r>
        <w:rPr>
          <w:rStyle w:val="27"/>
          <w:rFonts w:eastAsia="Calibri"/>
        </w:rPr>
        <w:t>https://www.slideserve.com/alyssa-duke/tax</w:t>
      </w:r>
      <w:r>
        <w:rPr>
          <w:rStyle w:val="27"/>
          <w:rFonts w:eastAsia="Calibri"/>
        </w:rPr>
        <w:fldChar w:fldCharType="end"/>
      </w:r>
      <w:r>
        <w:rPr>
          <w:rFonts w:eastAsia="Calibri"/>
        </w:rPr>
        <w:t>.</w:t>
      </w:r>
    </w:p>
    <w:p w14:paraId="725F60E9">
      <w:pPr>
        <w:spacing w:after="160" w:line="480" w:lineRule="auto"/>
        <w:jc w:val="both"/>
        <w:rPr>
          <w:rFonts w:eastAsia="Calibri"/>
        </w:rPr>
      </w:pPr>
      <w:r>
        <w:rPr>
          <w:rFonts w:eastAsia="Calibri"/>
        </w:rPr>
        <w:t xml:space="preserve">Alexander Malden, </w:t>
      </w:r>
      <w:r>
        <w:rPr>
          <w:rFonts w:eastAsia="Calibri"/>
          <w:i/>
        </w:rPr>
        <w:t>Nigeria’s Oil and Gas Revenues: Insights from New Company Disclosures</w:t>
      </w:r>
      <w:r>
        <w:rPr>
          <w:rFonts w:eastAsia="Calibri"/>
        </w:rPr>
        <w:t xml:space="preserve"> (Natural Resource Governance Institute, December 2017).</w:t>
      </w:r>
    </w:p>
    <w:p w14:paraId="5015B27F">
      <w:pPr>
        <w:spacing w:after="160" w:line="480" w:lineRule="auto"/>
        <w:jc w:val="both"/>
        <w:rPr>
          <w:rFonts w:eastAsia="Calibri"/>
        </w:rPr>
      </w:pPr>
      <w:r>
        <w:rPr>
          <w:rFonts w:eastAsia="Calibri"/>
        </w:rPr>
        <w:t xml:space="preserve">Alike E K, </w:t>
      </w:r>
      <w:r>
        <w:rPr>
          <w:rFonts w:eastAsia="Calibri"/>
          <w:i/>
        </w:rPr>
        <w:t>Nigeria Lost $60Bn To Non-Enforcement of PSC’s With Oil Majors</w:t>
      </w:r>
      <w:r>
        <w:rPr>
          <w:rFonts w:eastAsia="Calibri"/>
        </w:rPr>
        <w:t xml:space="preserve">. </w:t>
      </w:r>
      <w:r>
        <w:rPr>
          <w:rFonts w:eastAsia="Calibri"/>
          <w:i/>
          <w:iCs/>
        </w:rPr>
        <w:t>This Day</w:t>
      </w:r>
      <w:r>
        <w:rPr>
          <w:rFonts w:eastAsia="Calibri"/>
        </w:rPr>
        <w:t xml:space="preserve"> (Nigeria August 7, 2017). </w:t>
      </w:r>
    </w:p>
    <w:p w14:paraId="6B6D82AF">
      <w:pPr>
        <w:spacing w:after="160" w:line="480" w:lineRule="auto"/>
        <w:jc w:val="both"/>
        <w:rPr>
          <w:rFonts w:eastAsia="Calibri"/>
        </w:rPr>
      </w:pPr>
      <w:r>
        <w:rPr>
          <w:rFonts w:eastAsia="Calibri"/>
        </w:rPr>
        <w:t xml:space="preserve">Alm, James, </w:t>
      </w:r>
      <w:r>
        <w:rPr>
          <w:rFonts w:eastAsia="Calibri"/>
          <w:i/>
        </w:rPr>
        <w:t>Does an Uncertain Tax System Encourage “Aggressive Tax Planning”</w:t>
      </w:r>
      <w:r>
        <w:rPr>
          <w:rFonts w:eastAsia="Calibri"/>
        </w:rPr>
        <w:t>?’ (</w:t>
      </w:r>
      <w:r>
        <w:rPr>
          <w:rFonts w:eastAsia="Calibri"/>
          <w:u w:val="single"/>
        </w:rPr>
        <w:t>Tulane Economics Working Paper Series</w:t>
      </w:r>
      <w:r>
        <w:rPr>
          <w:rFonts w:eastAsia="Calibri"/>
        </w:rPr>
        <w:t xml:space="preserve">, Working Paper 1403, February 2014) 1-24. </w:t>
      </w:r>
    </w:p>
    <w:p w14:paraId="633B5787">
      <w:pPr>
        <w:spacing w:after="160" w:line="480" w:lineRule="auto"/>
        <w:jc w:val="both"/>
        <w:rPr>
          <w:rFonts w:eastAsia="Calibri"/>
        </w:rPr>
      </w:pPr>
      <w:r>
        <w:rPr>
          <w:rFonts w:eastAsia="Calibri"/>
        </w:rPr>
        <w:t xml:space="preserve">Amadi, O.S., Echem, M.O. and Nwoko M.C.O, </w:t>
      </w:r>
      <w:r>
        <w:rPr>
          <w:rFonts w:eastAsia="Calibri"/>
          <w:i/>
        </w:rPr>
        <w:t>The Theory and Practice of Federalism: A Critical Analysis of History and Global Trend</w:t>
      </w:r>
      <w:r>
        <w:rPr>
          <w:rFonts w:eastAsia="Calibri"/>
        </w:rPr>
        <w:t xml:space="preserve">’ (2017) 1(7) </w:t>
      </w:r>
      <w:r>
        <w:rPr>
          <w:rFonts w:eastAsia="Calibri"/>
          <w:i/>
          <w:iCs/>
        </w:rPr>
        <w:t>International Journal of Scientific Engineering and Science,</w:t>
      </w:r>
      <w:r>
        <w:rPr>
          <w:rFonts w:eastAsia="Calibri"/>
        </w:rPr>
        <w:t xml:space="preserve"> 42-49.</w:t>
      </w:r>
    </w:p>
    <w:p w14:paraId="7699BBDE">
      <w:pPr>
        <w:spacing w:after="160" w:line="480" w:lineRule="auto"/>
        <w:jc w:val="both"/>
        <w:rPr>
          <w:rFonts w:eastAsia="Calibri"/>
        </w:rPr>
      </w:pPr>
      <w:r>
        <w:rPr>
          <w:rFonts w:eastAsia="Calibri"/>
        </w:rPr>
        <w:t xml:space="preserve">Amoako-Tuffour J Owusu-Ayim, </w:t>
      </w:r>
      <w:r>
        <w:rPr>
          <w:rFonts w:eastAsia="Calibri"/>
          <w:i/>
        </w:rPr>
        <w:t>An Evaluation of Ghana’s Petroleum Fiscal Regime</w:t>
      </w:r>
      <w:r>
        <w:rPr>
          <w:rFonts w:eastAsia="Calibri"/>
        </w:rPr>
        <w:t xml:space="preserve">’ [2010] </w:t>
      </w:r>
      <w:r>
        <w:rPr>
          <w:rFonts w:eastAsia="Calibri"/>
          <w:i/>
          <w:iCs/>
        </w:rPr>
        <w:t>Ghana Policy Journal</w:t>
      </w:r>
      <w:r>
        <w:rPr>
          <w:rFonts w:eastAsia="Calibri"/>
        </w:rPr>
        <w:t xml:space="preserve"> 7.</w:t>
      </w:r>
    </w:p>
    <w:p w14:paraId="02C92E16">
      <w:pPr>
        <w:spacing w:after="160" w:line="480" w:lineRule="auto"/>
        <w:jc w:val="both"/>
        <w:rPr>
          <w:rFonts w:eastAsia="Calibri"/>
        </w:rPr>
      </w:pPr>
      <w:r>
        <w:rPr>
          <w:rFonts w:eastAsia="Calibri"/>
        </w:rPr>
        <w:t>Andersen Tax ‘</w:t>
      </w:r>
      <w:r>
        <w:rPr>
          <w:rFonts w:eastAsia="Calibri"/>
          <w:i/>
        </w:rPr>
        <w:t>Uncertainty in the Nigerian Fiscal Regime: The Case of Royalty Payment in the Oil and Gas Industry’</w:t>
      </w:r>
      <w:r>
        <w:rPr>
          <w:rFonts w:eastAsia="Calibri"/>
        </w:rPr>
        <w:t xml:space="preserve"> (Andersen Tax Nigeria, Lagos, Nigeria, 14 August 2018) 1. </w:t>
      </w:r>
    </w:p>
    <w:p w14:paraId="7AF9ADF9">
      <w:pPr>
        <w:spacing w:after="160" w:line="480" w:lineRule="auto"/>
        <w:jc w:val="both"/>
        <w:rPr>
          <w:rFonts w:eastAsia="Calibri"/>
        </w:rPr>
      </w:pPr>
      <w:r>
        <w:rPr>
          <w:rFonts w:eastAsia="Calibri"/>
        </w:rPr>
        <w:t>Angell Claire</w:t>
      </w:r>
      <w:r>
        <w:rPr>
          <w:rFonts w:eastAsia="Calibri"/>
          <w:i/>
          <w:iCs/>
        </w:rPr>
        <w:t>, Oil and gas fiscal regime: the plan for reform,</w:t>
      </w:r>
      <w:r>
        <w:rPr>
          <w:rFonts w:eastAsia="Calibri"/>
        </w:rPr>
        <w:t xml:space="preserve"> Tax Journal.com, 11 December 2014.</w:t>
      </w:r>
    </w:p>
    <w:p w14:paraId="57941B33">
      <w:pPr>
        <w:spacing w:after="160" w:line="480" w:lineRule="auto"/>
        <w:jc w:val="both"/>
        <w:rPr>
          <w:rFonts w:eastAsia="Calibri"/>
        </w:rPr>
      </w:pPr>
      <w:r>
        <w:rPr>
          <w:rFonts w:eastAsia="Calibri"/>
        </w:rPr>
        <w:t xml:space="preserve">Anochie Uzoma and Onyinye Mgbemena, </w:t>
      </w:r>
      <w:r>
        <w:rPr>
          <w:rFonts w:eastAsia="Calibri"/>
          <w:i/>
        </w:rPr>
        <w:t>Evaluation of Some Oil Companies in The Niger Delta Region of Nigeria: An Environmental Impact Approach</w:t>
      </w:r>
      <w:r>
        <w:rPr>
          <w:rFonts w:eastAsia="Calibri"/>
        </w:rPr>
        <w:t xml:space="preserve">. (2015) 3(2) </w:t>
      </w:r>
      <w:r>
        <w:rPr>
          <w:rFonts w:eastAsia="Calibri"/>
          <w:i/>
          <w:iCs/>
        </w:rPr>
        <w:t>International Journal of Environment and Pollution Research</w:t>
      </w:r>
      <w:r>
        <w:rPr>
          <w:rFonts w:eastAsia="Calibri"/>
        </w:rPr>
        <w:t xml:space="preserve"> 13-31. </w:t>
      </w:r>
    </w:p>
    <w:p w14:paraId="67E45A1A">
      <w:pPr>
        <w:spacing w:after="160" w:line="480" w:lineRule="auto"/>
        <w:jc w:val="both"/>
        <w:rPr>
          <w:rFonts w:eastAsia="Calibri"/>
        </w:rPr>
      </w:pPr>
      <w:r>
        <w:rPr>
          <w:rFonts w:eastAsia="Calibri"/>
        </w:rPr>
        <w:t xml:space="preserve">Anthony D’Amato </w:t>
      </w:r>
      <w:r>
        <w:rPr>
          <w:rFonts w:eastAsia="Calibri"/>
          <w:i/>
        </w:rPr>
        <w:t xml:space="preserve">Legal Uncertainty </w:t>
      </w:r>
      <w:r>
        <w:rPr>
          <w:rFonts w:eastAsia="Calibri"/>
        </w:rPr>
        <w:t xml:space="preserve">(1983) 71 </w:t>
      </w:r>
      <w:r>
        <w:rPr>
          <w:rFonts w:eastAsia="Calibri"/>
          <w:i/>
        </w:rPr>
        <w:t>California Law Review</w:t>
      </w:r>
      <w:r>
        <w:rPr>
          <w:rFonts w:eastAsia="Calibri"/>
        </w:rPr>
        <w:t xml:space="preserve"> 1-55.</w:t>
      </w:r>
      <w:r>
        <w:rPr>
          <w:rFonts w:eastAsia="Calibri"/>
        </w:rPr>
        <w:br w:type="textWrapping"/>
      </w:r>
      <w:r>
        <w:rPr>
          <w:rFonts w:eastAsia="Calibri"/>
        </w:rPr>
        <w:t xml:space="preserve">Apere Oyinpreye, </w:t>
      </w:r>
      <w:r>
        <w:rPr>
          <w:rFonts w:eastAsia="Calibri"/>
          <w:i/>
        </w:rPr>
        <w:t>Impact of Crude Oil on Nigeria’s Fiscal Policy Formulation</w:t>
      </w:r>
      <w:r>
        <w:rPr>
          <w:rFonts w:eastAsia="Calibri"/>
        </w:rPr>
        <w:t xml:space="preserve">. (2017) 5(3) </w:t>
      </w:r>
      <w:r>
        <w:rPr>
          <w:rFonts w:eastAsia="Calibri"/>
          <w:i/>
          <w:iCs/>
        </w:rPr>
        <w:t>European Journal of Research in Social Sciences</w:t>
      </w:r>
      <w:r>
        <w:rPr>
          <w:rFonts w:eastAsia="Calibri"/>
        </w:rPr>
        <w:t xml:space="preserve"> 74-83. </w:t>
      </w:r>
    </w:p>
    <w:p w14:paraId="3E618AD6">
      <w:pPr>
        <w:spacing w:after="160" w:line="480" w:lineRule="auto"/>
        <w:jc w:val="both"/>
        <w:rPr>
          <w:rFonts w:eastAsia="Calibri"/>
        </w:rPr>
      </w:pPr>
      <w:r>
        <w:rPr>
          <w:rFonts w:eastAsia="Calibri"/>
        </w:rPr>
        <w:t xml:space="preserve">Aregbesola I, </w:t>
      </w:r>
      <w:r>
        <w:rPr>
          <w:rFonts w:eastAsia="Calibri"/>
          <w:i/>
        </w:rPr>
        <w:t>Nigeria’s Oil and Gas Industry: The Challenges and Prospects</w:t>
      </w:r>
      <w:r>
        <w:rPr>
          <w:rFonts w:eastAsia="Calibri"/>
        </w:rPr>
        <w:t>. (10 April 2014) &lt;</w:t>
      </w:r>
      <w:r>
        <w:fldChar w:fldCharType="begin"/>
      </w:r>
      <w:r>
        <w:instrText xml:space="preserve"> HYPERLINK "http://www.peoplesdailyng.com" </w:instrText>
      </w:r>
      <w:r>
        <w:fldChar w:fldCharType="separate"/>
      </w:r>
      <w:r>
        <w:rPr>
          <w:rFonts w:eastAsia="Calibri"/>
          <w:u w:val="single"/>
        </w:rPr>
        <w:t>www.peoplesdailyng.com</w:t>
      </w:r>
      <w:r>
        <w:rPr>
          <w:rFonts w:eastAsia="Calibri"/>
          <w:u w:val="single"/>
        </w:rPr>
        <w:fldChar w:fldCharType="end"/>
      </w:r>
      <w:r>
        <w:rPr>
          <w:rFonts w:eastAsia="Calibri"/>
          <w:u w:val="single"/>
        </w:rPr>
        <w:t>&gt;</w:t>
      </w:r>
      <w:r>
        <w:rPr>
          <w:rFonts w:eastAsia="Calibri"/>
        </w:rPr>
        <w:t xml:space="preserve"> accessed 20 September 2018.</w:t>
      </w:r>
    </w:p>
    <w:p w14:paraId="3F180317">
      <w:pPr>
        <w:spacing w:after="160" w:line="480" w:lineRule="auto"/>
        <w:jc w:val="both"/>
        <w:rPr>
          <w:rFonts w:eastAsia="Calibri"/>
        </w:rPr>
      </w:pPr>
      <w:r>
        <w:rPr>
          <w:rFonts w:eastAsia="Calibri"/>
        </w:rPr>
        <w:t xml:space="preserve">Arleta Osmann, </w:t>
      </w:r>
      <w:r>
        <w:rPr>
          <w:rFonts w:eastAsia="Calibri"/>
          <w:i/>
          <w:iCs/>
        </w:rPr>
        <w:t>Decommissioning Relief Deeds and their impact on the UK oil and gas industry,</w:t>
      </w:r>
      <w:r>
        <w:rPr>
          <w:rFonts w:eastAsia="Calibri"/>
        </w:rPr>
        <w:t xml:space="preserve"> University of Aberdeen. </w:t>
      </w:r>
      <w:r>
        <w:fldChar w:fldCharType="begin"/>
      </w:r>
      <w:r>
        <w:instrText xml:space="preserve"> HYPERLINK "https://www.abdn.ac.uk/business/documents/osmann.pdf" </w:instrText>
      </w:r>
      <w:r>
        <w:fldChar w:fldCharType="separate"/>
      </w:r>
      <w:r>
        <w:rPr>
          <w:rStyle w:val="27"/>
          <w:rFonts w:eastAsia="Calibri"/>
        </w:rPr>
        <w:t>abdn.ac.uk/business/documents/osmann.pdf</w:t>
      </w:r>
      <w:r>
        <w:rPr>
          <w:rStyle w:val="27"/>
          <w:rFonts w:eastAsia="Calibri"/>
        </w:rPr>
        <w:fldChar w:fldCharType="end"/>
      </w:r>
    </w:p>
    <w:p w14:paraId="173B70E9">
      <w:pPr>
        <w:spacing w:after="160" w:line="480" w:lineRule="auto"/>
        <w:jc w:val="both"/>
        <w:rPr>
          <w:rFonts w:eastAsia="Calibri"/>
          <w:i/>
          <w:iCs/>
        </w:rPr>
      </w:pPr>
      <w:r>
        <w:rPr>
          <w:rFonts w:eastAsia="Calibri"/>
        </w:rPr>
        <w:t xml:space="preserve">Arowolo O, </w:t>
      </w:r>
      <w:r>
        <w:rPr>
          <w:rFonts w:eastAsia="Calibri"/>
          <w:i/>
        </w:rPr>
        <w:t>Moving Towards Responsible Tax Administration in Nigeria</w:t>
      </w:r>
      <w:r>
        <w:rPr>
          <w:rFonts w:eastAsia="Calibri"/>
        </w:rPr>
        <w:t>’</w:t>
      </w:r>
      <w:r>
        <w:rPr>
          <w:rFonts w:eastAsia="Calibri"/>
          <w:i/>
          <w:iCs/>
        </w:rPr>
        <w:t xml:space="preserve"> </w:t>
      </w:r>
      <w:r>
        <w:rPr>
          <w:rFonts w:eastAsia="Calibri"/>
        </w:rPr>
        <w:t xml:space="preserve">(2007) </w:t>
      </w:r>
      <w:r>
        <w:rPr>
          <w:rFonts w:eastAsia="Calibri"/>
          <w:i/>
          <w:iCs/>
        </w:rPr>
        <w:t xml:space="preserve">Tax Notes International </w:t>
      </w:r>
      <w:r>
        <w:rPr>
          <w:rFonts w:eastAsia="Calibri"/>
        </w:rPr>
        <w:t>1145-1147.</w:t>
      </w:r>
    </w:p>
    <w:p w14:paraId="5E674F2B">
      <w:pPr>
        <w:spacing w:after="160" w:line="480" w:lineRule="auto"/>
        <w:jc w:val="both"/>
        <w:rPr>
          <w:rFonts w:eastAsia="Calibri"/>
        </w:rPr>
      </w:pPr>
      <w:r>
        <w:rPr>
          <w:rFonts w:eastAsia="Calibri"/>
        </w:rPr>
        <w:t xml:space="preserve">Arowomole S, </w:t>
      </w:r>
      <w:r>
        <w:rPr>
          <w:rFonts w:eastAsia="Calibri"/>
          <w:i/>
        </w:rPr>
        <w:t>Petroleum Profits Tax Computation in Nigeria</w:t>
      </w:r>
      <w:r>
        <w:rPr>
          <w:rFonts w:eastAsia="Calibri"/>
        </w:rPr>
        <w:t xml:space="preserve"> (2004), Global Journal of Accounting, Department of Accounting. Faculty of Business Administration (University of Lagos 2004).</w:t>
      </w:r>
    </w:p>
    <w:p w14:paraId="3C550B20">
      <w:pPr>
        <w:spacing w:after="160" w:line="480" w:lineRule="auto"/>
        <w:jc w:val="both"/>
        <w:rPr>
          <w:b/>
          <w:lang w:val="en-GB"/>
        </w:rPr>
      </w:pPr>
      <w:r>
        <w:rPr>
          <w:rFonts w:eastAsia="Calibri"/>
        </w:rPr>
        <w:t xml:space="preserve">Asada D, and Olong M, </w:t>
      </w:r>
      <w:r>
        <w:rPr>
          <w:rFonts w:eastAsia="Calibri"/>
          <w:i/>
        </w:rPr>
        <w:t>Appraising Taxation and the Nigerian Oil Industry’</w:t>
      </w:r>
      <w:r>
        <w:rPr>
          <w:rFonts w:eastAsia="Calibri"/>
        </w:rPr>
        <w:t xml:space="preserve"> in </w:t>
      </w:r>
      <w:r>
        <w:rPr>
          <w:rFonts w:eastAsia="Calibri"/>
          <w:lang w:val="en-GB"/>
        </w:rPr>
        <w:t xml:space="preserve">Agbonika, J. A., </w:t>
      </w:r>
      <w:r>
        <w:rPr>
          <w:rFonts w:eastAsia="Calibri"/>
          <w:i/>
          <w:iCs/>
        </w:rPr>
        <w:t>Topical Issues on Nigerian Tax Laws and Related Areas</w:t>
      </w:r>
      <w:r>
        <w:rPr>
          <w:rFonts w:eastAsia="Calibri"/>
        </w:rPr>
        <w:t xml:space="preserve"> (Ibadan: Abada Press Limited 2015) 184-186.</w:t>
      </w:r>
    </w:p>
    <w:p w14:paraId="259890AF">
      <w:pPr>
        <w:spacing w:after="160" w:line="480" w:lineRule="auto"/>
        <w:jc w:val="both"/>
        <w:rPr>
          <w:rFonts w:eastAsia="Calibri"/>
        </w:rPr>
      </w:pPr>
      <w:r>
        <w:rPr>
          <w:rFonts w:eastAsia="Calibri"/>
        </w:rPr>
        <w:t xml:space="preserve">Asagunla Michael, and Oyeyemi Agbede, </w:t>
      </w:r>
      <w:r>
        <w:rPr>
          <w:i/>
        </w:rPr>
        <w:t>Oil Revenue and Output Growth in Nigeria’</w:t>
      </w:r>
      <w:r>
        <w:rPr>
          <w:rFonts w:eastAsia="Calibri"/>
        </w:rPr>
        <w:t xml:space="preserve"> (2018) 4(6) International Journal of Economics and Business Management 65-74. </w:t>
      </w:r>
    </w:p>
    <w:p w14:paraId="68F35D0B">
      <w:pPr>
        <w:spacing w:after="160" w:line="480" w:lineRule="auto"/>
        <w:jc w:val="both"/>
        <w:rPr>
          <w:rFonts w:eastAsia="Calibri"/>
        </w:rPr>
      </w:pPr>
      <w:r>
        <w:rPr>
          <w:rFonts w:eastAsia="Calibri"/>
        </w:rPr>
        <w:t xml:space="preserve">Association of Chartered Certified Accountants (ACCA) </w:t>
      </w:r>
      <w:r>
        <w:rPr>
          <w:rFonts w:eastAsia="Calibri"/>
          <w:i/>
        </w:rPr>
        <w:t>Foundations for a Sound Tax System: simplicity, certainty, and stability</w:t>
      </w:r>
      <w:r>
        <w:rPr>
          <w:rFonts w:eastAsia="Calibri"/>
        </w:rPr>
        <w:t xml:space="preserve"> (The Association of Chartered Certified Accountants, Think Ahead, June 2015) 1-12. </w:t>
      </w:r>
    </w:p>
    <w:p w14:paraId="5B45562C">
      <w:pPr>
        <w:spacing w:after="160" w:line="480" w:lineRule="auto"/>
        <w:jc w:val="both"/>
        <w:rPr>
          <w:rFonts w:eastAsia="Calibri"/>
        </w:rPr>
      </w:pPr>
      <w:r>
        <w:rPr>
          <w:rFonts w:eastAsia="Calibri"/>
        </w:rPr>
        <w:t xml:space="preserve">Association of Chartered Certified Accountants, </w:t>
      </w:r>
      <w:r>
        <w:rPr>
          <w:rFonts w:eastAsia="Calibri"/>
          <w:i/>
        </w:rPr>
        <w:t>Certainty in Tax</w:t>
      </w:r>
      <w:r>
        <w:rPr>
          <w:rFonts w:eastAsia="Calibri"/>
        </w:rPr>
        <w:t xml:space="preserve"> &lt;</w:t>
      </w:r>
      <w:r>
        <w:fldChar w:fldCharType="begin"/>
      </w:r>
      <w:r>
        <w:instrText xml:space="preserve"> HYPERLINK "http://www.accaglobal.com" </w:instrText>
      </w:r>
      <w:r>
        <w:fldChar w:fldCharType="separate"/>
      </w:r>
      <w:r>
        <w:rPr>
          <w:rFonts w:eastAsia="Calibri"/>
          <w:u w:val="single"/>
        </w:rPr>
        <w:t>http://www.accaglobal.com</w:t>
      </w:r>
      <w:r>
        <w:rPr>
          <w:rFonts w:eastAsia="Calibri"/>
          <w:u w:val="single"/>
        </w:rPr>
        <w:fldChar w:fldCharType="end"/>
      </w:r>
      <w:r>
        <w:rPr>
          <w:rFonts w:eastAsia="Calibri"/>
          <w:u w:val="single"/>
        </w:rPr>
        <w:t>&gt;</w:t>
      </w:r>
      <w:r>
        <w:rPr>
          <w:rFonts w:eastAsia="Calibri"/>
        </w:rPr>
        <w:t xml:space="preserve"> accessed 20 September 2018.</w:t>
      </w:r>
    </w:p>
    <w:p w14:paraId="0E07B466">
      <w:pPr>
        <w:spacing w:after="160" w:line="480" w:lineRule="auto"/>
        <w:jc w:val="both"/>
        <w:rPr>
          <w:rFonts w:eastAsia="Calibri"/>
        </w:rPr>
      </w:pPr>
      <w:r>
        <w:rPr>
          <w:rFonts w:eastAsia="Calibri"/>
        </w:rPr>
        <w:t xml:space="preserve">Avi-Yonah, S, </w:t>
      </w:r>
      <w:r>
        <w:rPr>
          <w:rFonts w:eastAsia="Calibri"/>
          <w:i/>
        </w:rPr>
        <w:t>‘Three Goals of Taxation’</w:t>
      </w:r>
      <w:r>
        <w:rPr>
          <w:rFonts w:eastAsia="Calibri"/>
        </w:rPr>
        <w:t xml:space="preserve"> (2006) 1 </w:t>
      </w:r>
      <w:r>
        <w:rPr>
          <w:rFonts w:eastAsia="Calibri"/>
          <w:i/>
          <w:iCs/>
        </w:rPr>
        <w:t>Tax Law Review</w:t>
      </w:r>
      <w:r>
        <w:rPr>
          <w:rFonts w:eastAsia="Calibri"/>
        </w:rPr>
        <w:t xml:space="preserve"> 1. </w:t>
      </w:r>
    </w:p>
    <w:p w14:paraId="58A05B6F">
      <w:pPr>
        <w:spacing w:after="160" w:line="480" w:lineRule="auto"/>
        <w:jc w:val="both"/>
        <w:rPr>
          <w:rFonts w:eastAsia="Calibri"/>
        </w:rPr>
      </w:pPr>
      <w:r>
        <w:rPr>
          <w:rFonts w:eastAsia="Calibri"/>
        </w:rPr>
        <w:t>Aye, Israel, Alakija L, Okhilua C, and Onoji E, Chapter on Nigeria in ‘</w:t>
      </w:r>
      <w:r>
        <w:rPr>
          <w:rFonts w:eastAsia="Calibri"/>
          <w:i/>
          <w:iCs/>
          <w:u w:val="single"/>
        </w:rPr>
        <w:t xml:space="preserve">The Oil and Gas Law Review </w:t>
      </w:r>
      <w:r>
        <w:rPr>
          <w:rFonts w:eastAsia="Calibri"/>
        </w:rPr>
        <w:t>(4</w:t>
      </w:r>
      <w:r>
        <w:rPr>
          <w:rFonts w:eastAsia="Calibri"/>
          <w:vertAlign w:val="superscript"/>
        </w:rPr>
        <w:t>th</w:t>
      </w:r>
      <w:r>
        <w:rPr>
          <w:rFonts w:eastAsia="Calibri"/>
        </w:rPr>
        <w:t xml:space="preserve"> edn, Gideon Roberton 2016),  p. 206-218.</w:t>
      </w:r>
    </w:p>
    <w:p w14:paraId="1AE09BE0">
      <w:pPr>
        <w:spacing w:after="160" w:line="480" w:lineRule="auto"/>
        <w:jc w:val="both"/>
        <w:rPr>
          <w:rFonts w:eastAsia="Calibri"/>
        </w:rPr>
      </w:pPr>
      <w:r>
        <w:rPr>
          <w:rFonts w:eastAsia="Calibri"/>
        </w:rPr>
        <w:t xml:space="preserve">Ayodele Odusola, </w:t>
      </w:r>
      <w:r>
        <w:rPr>
          <w:rFonts w:eastAsia="Calibri"/>
          <w:i/>
          <w:iCs/>
        </w:rPr>
        <w:t>Tax Policy Reforms in Nigeria,</w:t>
      </w:r>
      <w:r>
        <w:rPr>
          <w:rFonts w:eastAsia="Calibri"/>
        </w:rPr>
        <w:t xml:space="preserve"> Research Paper No. 2006/03. UNU World Institute for Development Economics Research (UNU-WIDER), Katajanokanlaituri 6 B, 00160 Helsinki, Finland.</w:t>
      </w:r>
    </w:p>
    <w:p w14:paraId="35C89F17">
      <w:pPr>
        <w:spacing w:after="160" w:line="480" w:lineRule="auto"/>
        <w:jc w:val="both"/>
        <w:rPr>
          <w:rFonts w:eastAsia="Calibri"/>
        </w:rPr>
      </w:pPr>
      <w:r>
        <w:rPr>
          <w:rFonts w:eastAsia="Calibri"/>
        </w:rPr>
        <w:t xml:space="preserve">Bast, Elizabeth, Doukas, Alex, Pickard, Sam, van der Burg, Laurie; Whitley, Shelagh (November 2015). </w:t>
      </w:r>
      <w:r>
        <w:rPr>
          <w:rFonts w:eastAsia="Calibri"/>
          <w:i/>
          <w:iCs/>
        </w:rPr>
        <w:t>Empty promises: G20 subsidies to oil, gas and coal production”</w:t>
      </w:r>
      <w:r>
        <w:rPr>
          <w:rFonts w:eastAsia="Calibri"/>
        </w:rPr>
        <w:t xml:space="preserve"> (PDF). Overseas Development Institute (ODI). P. 1.</w:t>
      </w:r>
    </w:p>
    <w:p w14:paraId="6C8C1077">
      <w:pPr>
        <w:spacing w:after="160" w:line="480" w:lineRule="auto"/>
        <w:jc w:val="both"/>
        <w:rPr>
          <w:rFonts w:eastAsia="Calibri"/>
        </w:rPr>
      </w:pPr>
      <w:r>
        <w:rPr>
          <w:rFonts w:eastAsia="Calibri"/>
        </w:rPr>
        <w:t xml:space="preserve">Berger Daniel, </w:t>
      </w:r>
      <w:r>
        <w:rPr>
          <w:i/>
        </w:rPr>
        <w:t>Taxes, Institutions and Local Governance: Evidence from A Natural Experiment in Colonial Nigeria’</w:t>
      </w:r>
      <w:r>
        <w:rPr>
          <w:rFonts w:eastAsia="Calibri"/>
        </w:rPr>
        <w:t xml:space="preserve"> (2009), </w:t>
      </w:r>
      <w:r>
        <w:fldChar w:fldCharType="begin"/>
      </w:r>
      <w:r>
        <w:instrText xml:space="preserve"> HYPERLINK "https://www.researchgate.net/profile/Daniel_Berger" </w:instrText>
      </w:r>
      <w:r>
        <w:fldChar w:fldCharType="separate"/>
      </w:r>
      <w:r>
        <w:rPr>
          <w:rStyle w:val="27"/>
          <w:rFonts w:eastAsia="Calibri"/>
        </w:rPr>
        <w:t>https://www.researchgate.net/profile/Daniel_Berger</w:t>
      </w:r>
      <w:r>
        <w:rPr>
          <w:rStyle w:val="27"/>
          <w:rFonts w:eastAsia="Calibri"/>
        </w:rPr>
        <w:fldChar w:fldCharType="end"/>
      </w:r>
      <w:r>
        <w:rPr>
          <w:rFonts w:eastAsia="Calibri"/>
        </w:rPr>
        <w:t>.</w:t>
      </w:r>
    </w:p>
    <w:p w14:paraId="5460A0A3">
      <w:pPr>
        <w:spacing w:after="160" w:line="480" w:lineRule="auto"/>
        <w:jc w:val="both"/>
        <w:rPr>
          <w:rFonts w:eastAsia="Calibri"/>
        </w:rPr>
      </w:pPr>
      <w:r>
        <w:rPr>
          <w:rFonts w:eastAsia="Calibri"/>
        </w:rPr>
        <w:t>Bickley J,</w:t>
      </w:r>
      <w:r>
        <w:rPr>
          <w:rFonts w:eastAsia="Calibri"/>
          <w:i/>
        </w:rPr>
        <w:t xml:space="preserve">‘A Value-Added Tax Contrasted with A National Sales Tax’ </w:t>
      </w:r>
      <w:r>
        <w:rPr>
          <w:rFonts w:eastAsia="Calibri"/>
        </w:rPr>
        <w:t xml:space="preserve">(003) Congressional Research Service </w:t>
      </w:r>
      <w:r>
        <w:fldChar w:fldCharType="begin"/>
      </w:r>
      <w:r>
        <w:instrText xml:space="preserve"> HYPERLINK "http://www.ncseonline.org/nle/crereports/03May/IB92069.pdf" </w:instrText>
      </w:r>
      <w:r>
        <w:fldChar w:fldCharType="separate"/>
      </w:r>
      <w:r>
        <w:rPr>
          <w:rFonts w:eastAsia="Calibri"/>
          <w:u w:val="single"/>
        </w:rPr>
        <w:t>http://www.ncseonline.org/nle/crereports/03May/IB92069.pdf</w:t>
      </w:r>
      <w:r>
        <w:rPr>
          <w:rFonts w:eastAsia="Calibri"/>
          <w:u w:val="single"/>
        </w:rPr>
        <w:fldChar w:fldCharType="end"/>
      </w:r>
      <w:r>
        <w:rPr>
          <w:rFonts w:eastAsia="Calibri"/>
          <w:u w:val="single"/>
        </w:rPr>
        <w:t>,</w:t>
      </w:r>
      <w:r>
        <w:rPr>
          <w:rFonts w:eastAsia="Calibri"/>
        </w:rPr>
        <w:t xml:space="preserve"> accessed 30 April 2018. </w:t>
      </w:r>
    </w:p>
    <w:p w14:paraId="19FF6D5A">
      <w:pPr>
        <w:spacing w:after="160" w:line="480" w:lineRule="auto"/>
        <w:jc w:val="both"/>
        <w:rPr>
          <w:rFonts w:eastAsia="Calibri"/>
        </w:rPr>
      </w:pPr>
      <w:r>
        <w:rPr>
          <w:rFonts w:eastAsia="Calibri"/>
        </w:rPr>
        <w:t>Biddard, Christian, The</w:t>
      </w:r>
      <w:r>
        <w:rPr>
          <w:rFonts w:eastAsia="Calibri"/>
          <w:i/>
        </w:rPr>
        <w:t xml:space="preserve"> Ricardian rent theory: an overview</w:t>
      </w:r>
      <w:r>
        <w:rPr>
          <w:rFonts w:eastAsia="Calibri"/>
        </w:rPr>
        <w:t xml:space="preserve">’ (Centro Sraffa Working Papers No. 8, November 2014) 1-39. </w:t>
      </w:r>
    </w:p>
    <w:p w14:paraId="7712CAE4">
      <w:pPr>
        <w:spacing w:after="160" w:line="480" w:lineRule="auto"/>
        <w:jc w:val="both"/>
        <w:rPr>
          <w:rFonts w:eastAsia="Calibri"/>
        </w:rPr>
      </w:pPr>
      <w:r>
        <w:rPr>
          <w:rFonts w:eastAsia="Calibri"/>
        </w:rPr>
        <w:t xml:space="preserve">Bird Richard, Wilkie, Scott. </w:t>
      </w:r>
      <w:r>
        <w:rPr>
          <w:rFonts w:eastAsia="Calibri"/>
          <w:i/>
        </w:rPr>
        <w:t>Designing Tax Policy: Constraints and Objectives in an Open Economy</w:t>
      </w:r>
      <w:r>
        <w:rPr>
          <w:rFonts w:eastAsia="Calibri"/>
        </w:rPr>
        <w:t>’ (International Center for Public Policy Working Paper 12-24, International Center for Public Policy, Andrew Young School of Policy Studies, Georgia State University Atlanta, Georgia, United States of America, 2012) 1-44</w:t>
      </w:r>
    </w:p>
    <w:p w14:paraId="26FE8BAF">
      <w:pPr>
        <w:spacing w:after="160" w:line="480" w:lineRule="auto"/>
        <w:jc w:val="both"/>
        <w:rPr>
          <w:rFonts w:eastAsia="Calibri"/>
        </w:rPr>
      </w:pPr>
      <w:r>
        <w:rPr>
          <w:rFonts w:eastAsia="Calibri"/>
          <w:i/>
          <w:iCs/>
        </w:rPr>
        <w:t>Blank, J and Osofsky, L.</w:t>
      </w:r>
      <w:r>
        <w:rPr>
          <w:rFonts w:eastAsia="Calibri"/>
        </w:rPr>
        <w:t xml:space="preserve"> </w:t>
      </w:r>
      <w:r>
        <w:rPr>
          <w:rFonts w:eastAsia="Calibri"/>
          <w:i/>
          <w:iCs/>
        </w:rPr>
        <w:t>Simplicity Lost,</w:t>
      </w:r>
      <w:r>
        <w:rPr>
          <w:rFonts w:eastAsia="Calibri"/>
        </w:rPr>
        <w:t xml:space="preserve"> Pittsburgh Tax Review, 2023, UC Irvine School of Law Research Paper No. 2022-29, UNC Legal Studies Research Paper No. 4201658- where the authors stress the increasing complexity of tax law.</w:t>
      </w:r>
    </w:p>
    <w:p w14:paraId="0E417FFC">
      <w:pPr>
        <w:spacing w:after="160" w:line="480" w:lineRule="auto"/>
        <w:jc w:val="both"/>
        <w:rPr>
          <w:rFonts w:eastAsia="Calibri"/>
        </w:rPr>
      </w:pPr>
      <w:r>
        <w:rPr>
          <w:rFonts w:eastAsia="Calibri"/>
        </w:rPr>
        <w:t xml:space="preserve">Blaug Marc, </w:t>
      </w:r>
      <w:r>
        <w:rPr>
          <w:rFonts w:eastAsia="Calibri"/>
          <w:i/>
        </w:rPr>
        <w:t>Economic Theory in Retrospect</w:t>
      </w:r>
      <w:r>
        <w:rPr>
          <w:rFonts w:eastAsia="Calibri"/>
        </w:rPr>
        <w:t xml:space="preserve"> (Third Edition, Cambridge University Press, Cambridge, United Kingdom, 1978) 91-112. </w:t>
      </w:r>
    </w:p>
    <w:p w14:paraId="01D79DFF">
      <w:pPr>
        <w:spacing w:after="160" w:line="480" w:lineRule="auto"/>
        <w:jc w:val="both"/>
        <w:rPr>
          <w:rFonts w:eastAsia="Calibri"/>
        </w:rPr>
      </w:pPr>
      <w:r>
        <w:rPr>
          <w:rFonts w:eastAsia="Calibri"/>
        </w:rPr>
        <w:t xml:space="preserve">Bolodeoku I, </w:t>
      </w:r>
      <w:r>
        <w:rPr>
          <w:rFonts w:eastAsia="Calibri"/>
          <w:i/>
        </w:rPr>
        <w:t>Centralization of Tax Administration in Nigeria: The Legal and Efficiency Considerations.</w:t>
      </w:r>
      <w:r>
        <w:rPr>
          <w:rFonts w:eastAsia="Calibri"/>
        </w:rPr>
        <w:t xml:space="preserve"> (2008) 37 </w:t>
      </w:r>
      <w:r>
        <w:rPr>
          <w:rFonts w:eastAsia="Calibri"/>
          <w:i/>
          <w:iCs/>
        </w:rPr>
        <w:t>Common</w:t>
      </w:r>
      <w:r>
        <w:rPr>
          <w:rFonts w:eastAsia="Calibri"/>
        </w:rPr>
        <w:t xml:space="preserve"> </w:t>
      </w:r>
      <w:r>
        <w:rPr>
          <w:rFonts w:eastAsia="Calibri"/>
          <w:i/>
          <w:iCs/>
        </w:rPr>
        <w:t>Law World Review</w:t>
      </w:r>
      <w:r>
        <w:rPr>
          <w:rFonts w:eastAsia="Calibri"/>
        </w:rPr>
        <w:t xml:space="preserve"> 175-190.</w:t>
      </w:r>
    </w:p>
    <w:p w14:paraId="47D502FF">
      <w:pPr>
        <w:spacing w:after="160" w:line="480" w:lineRule="auto"/>
        <w:jc w:val="both"/>
        <w:rPr>
          <w:rFonts w:eastAsia="Calibri"/>
        </w:rPr>
      </w:pPr>
      <w:r>
        <w:rPr>
          <w:rFonts w:eastAsia="Calibri"/>
        </w:rPr>
        <w:t xml:space="preserve">Bosc M, and Andre G, </w:t>
      </w:r>
      <w:r>
        <w:rPr>
          <w:rFonts w:eastAsia="Calibri"/>
          <w:i/>
          <w:iCs/>
        </w:rPr>
        <w:t>House of Commons Procedure and Practice</w:t>
      </w:r>
      <w:r>
        <w:rPr>
          <w:rFonts w:eastAsia="Calibri"/>
        </w:rPr>
        <w:t xml:space="preserve"> (2</w:t>
      </w:r>
      <w:r>
        <w:rPr>
          <w:rFonts w:eastAsia="Calibri"/>
          <w:vertAlign w:val="superscript"/>
        </w:rPr>
        <w:t>nd</w:t>
      </w:r>
      <w:r>
        <w:rPr>
          <w:rFonts w:eastAsia="Calibri"/>
        </w:rPr>
        <w:t xml:space="preserve"> edn, 2009).</w:t>
      </w:r>
    </w:p>
    <w:p w14:paraId="51E0D5CB">
      <w:pPr>
        <w:spacing w:after="160" w:line="480" w:lineRule="auto"/>
        <w:jc w:val="both"/>
        <w:rPr>
          <w:rFonts w:eastAsia="Calibri"/>
        </w:rPr>
      </w:pPr>
      <w:r>
        <w:rPr>
          <w:rFonts w:eastAsia="Calibri"/>
        </w:rPr>
        <w:t xml:space="preserve">Bowman S W, </w:t>
      </w:r>
      <w:r>
        <w:rPr>
          <w:rFonts w:eastAsia="Calibri"/>
          <w:i/>
        </w:rPr>
        <w:t>Interpretation of Tax Legislation: The Evolution of Purposive Analysis</w:t>
      </w:r>
      <w:r>
        <w:rPr>
          <w:rFonts w:eastAsia="Calibri"/>
        </w:rPr>
        <w:t xml:space="preserve"> (1995) 43(5) </w:t>
      </w:r>
      <w:r>
        <w:rPr>
          <w:rFonts w:eastAsia="Calibri"/>
          <w:i/>
          <w:iCs/>
        </w:rPr>
        <w:t>Canadian Tax Journal</w:t>
      </w:r>
      <w:r>
        <w:rPr>
          <w:rFonts w:eastAsia="Calibri"/>
        </w:rPr>
        <w:t xml:space="preserve"> 1167-1189.</w:t>
      </w:r>
    </w:p>
    <w:p w14:paraId="39769F78">
      <w:pPr>
        <w:spacing w:after="160" w:line="480" w:lineRule="auto"/>
        <w:jc w:val="both"/>
        <w:rPr>
          <w:rFonts w:eastAsia="Calibri"/>
        </w:rPr>
      </w:pPr>
      <w:r>
        <w:rPr>
          <w:rFonts w:eastAsia="Calibri"/>
        </w:rPr>
        <w:t xml:space="preserve">BP Statistical Review of World Energy, </w:t>
      </w:r>
      <w:r>
        <w:rPr>
          <w:rFonts w:eastAsia="Calibri"/>
          <w:i/>
        </w:rPr>
        <w:t>Analysis: MPR Petroleum Policy Team’</w:t>
      </w:r>
      <w:r>
        <w:rPr>
          <w:rFonts w:eastAsia="Calibri"/>
        </w:rPr>
        <w:t xml:space="preserve"> (2016). </w:t>
      </w:r>
    </w:p>
    <w:p w14:paraId="16D08674">
      <w:pPr>
        <w:spacing w:after="160" w:line="480" w:lineRule="auto"/>
        <w:jc w:val="both"/>
        <w:rPr>
          <w:rFonts w:eastAsia="Calibri"/>
        </w:rPr>
      </w:pPr>
      <w:r>
        <w:rPr>
          <w:rFonts w:eastAsia="Calibri"/>
        </w:rPr>
        <w:t xml:space="preserve">Brain J, </w:t>
      </w:r>
      <w:r>
        <w:rPr>
          <w:rFonts w:eastAsia="Calibri"/>
          <w:i/>
        </w:rPr>
        <w:t>Statutory Interpretation: Some Thoughts on Plain Meaning</w:t>
      </w:r>
      <w:r>
        <w:rPr>
          <w:rFonts w:eastAsia="Calibri"/>
        </w:rPr>
        <w:t xml:space="preserve">’ (1998) Canadian Tax Foundation Conference Report, 6:1-6:35. </w:t>
      </w:r>
    </w:p>
    <w:p w14:paraId="58C2CB08">
      <w:pPr>
        <w:spacing w:after="160" w:line="480" w:lineRule="auto"/>
        <w:jc w:val="both"/>
        <w:rPr>
          <w:rFonts w:eastAsia="Calibri"/>
        </w:rPr>
      </w:pPr>
      <w:r>
        <w:rPr>
          <w:rFonts w:eastAsia="Calibri"/>
        </w:rPr>
        <w:t>Brian Ernewein and Nancy Horsman</w:t>
      </w:r>
      <w:r>
        <w:rPr>
          <w:rFonts w:eastAsia="Calibri"/>
          <w:i/>
          <w:iCs/>
        </w:rPr>
        <w:t>,</w:t>
      </w:r>
      <w:r>
        <w:rPr>
          <w:rFonts w:eastAsia="Calibri"/>
        </w:rPr>
        <w:t xml:space="preserve"> </w:t>
      </w:r>
      <w:r>
        <w:rPr>
          <w:rFonts w:eastAsia="Calibri"/>
          <w:i/>
          <w:iCs/>
        </w:rPr>
        <w:t xml:space="preserve">The Process for Making Tax Policy in Canada; Canadian tax journal / revue </w:t>
      </w:r>
      <w:r>
        <w:rPr>
          <w:rFonts w:eastAsia="Calibri"/>
          <w:i/>
          <w:iCs/>
        </w:rPr>
        <w:pgNum/>
      </w:r>
      <w:r>
        <w:rPr>
          <w:rFonts w:eastAsia="Calibri"/>
          <w:i/>
          <w:iCs/>
        </w:rPr>
        <w:t xml:space="preserve"> Fiscal Canadienne (2013) 61:4, 1031 – 42.</w:t>
      </w:r>
    </w:p>
    <w:p w14:paraId="43F3E944">
      <w:pPr>
        <w:spacing w:after="160" w:line="480" w:lineRule="auto"/>
        <w:jc w:val="both"/>
        <w:rPr>
          <w:rFonts w:eastAsia="Calibri"/>
        </w:rPr>
      </w:pPr>
      <w:r>
        <w:rPr>
          <w:rFonts w:eastAsia="Calibri"/>
        </w:rPr>
        <w:t xml:space="preserve">Brown Jason, Fitzgerald Timothy, and Weber Jeremy, </w:t>
      </w:r>
      <w:r>
        <w:rPr>
          <w:rFonts w:eastAsia="Calibri"/>
          <w:i/>
          <w:iCs/>
        </w:rPr>
        <w:t>Does</w:t>
      </w:r>
      <w:r>
        <w:rPr>
          <w:rFonts w:eastAsia="Calibri"/>
          <w:i/>
        </w:rPr>
        <w:t xml:space="preserve"> Resource Ownership Matter? Oil and Gas Royalties and the Income Effect of Extraction</w:t>
      </w:r>
      <w:r>
        <w:rPr>
          <w:rFonts w:eastAsia="Calibri"/>
        </w:rPr>
        <w:t>. (2019) Journal of the Association of Environmental and Resource Economists, 1-49.</w:t>
      </w:r>
    </w:p>
    <w:p w14:paraId="7F48BD1A">
      <w:pPr>
        <w:spacing w:after="160" w:line="480" w:lineRule="auto"/>
        <w:jc w:val="both"/>
        <w:rPr>
          <w:rFonts w:eastAsia="Calibri"/>
        </w:rPr>
      </w:pPr>
      <w:r>
        <w:rPr>
          <w:rFonts w:eastAsia="Calibri"/>
        </w:rPr>
        <w:t xml:space="preserve">Cameron D P, </w:t>
      </w:r>
      <w:r>
        <w:rPr>
          <w:rFonts w:eastAsia="Calibri"/>
          <w:i/>
          <w:iCs/>
        </w:rPr>
        <w:t>Property Rights and Sovereign Rights: The Case of North Sea Oil,</w:t>
      </w:r>
      <w:r>
        <w:rPr>
          <w:rFonts w:eastAsia="Calibri"/>
        </w:rPr>
        <w:t xml:space="preserve"> New York, Academic Press Inc. (1983).</w:t>
      </w:r>
    </w:p>
    <w:p w14:paraId="248B81C3">
      <w:pPr>
        <w:spacing w:after="160" w:line="480" w:lineRule="auto"/>
        <w:jc w:val="both"/>
        <w:rPr>
          <w:rFonts w:eastAsia="Calibri"/>
        </w:rPr>
      </w:pPr>
      <w:r>
        <w:rPr>
          <w:rFonts w:eastAsia="Calibri"/>
        </w:rPr>
        <w:t xml:space="preserve">Canada, </w:t>
      </w:r>
      <w:r>
        <w:rPr>
          <w:rFonts w:eastAsia="Calibri"/>
          <w:i/>
          <w:iCs/>
        </w:rPr>
        <w:t>Royal Commission on Taxation,</w:t>
      </w:r>
      <w:r>
        <w:rPr>
          <w:rFonts w:eastAsia="Calibri"/>
        </w:rPr>
        <w:t xml:space="preserve"> </w:t>
      </w:r>
      <w:r>
        <w:rPr>
          <w:rFonts w:eastAsia="Calibri"/>
          <w:i/>
          <w:iCs/>
        </w:rPr>
        <w:t>The Taxation of Mineral Extraction by M.W. Bucovetsky,</w:t>
      </w:r>
      <w:r>
        <w:rPr>
          <w:rFonts w:eastAsia="Calibri"/>
        </w:rPr>
        <w:t xml:space="preserve"> Study No. 8 (Ottawa: Queen’s Printer, 1967).</w:t>
      </w:r>
    </w:p>
    <w:p w14:paraId="16FDDE4C">
      <w:pPr>
        <w:spacing w:after="160" w:line="480" w:lineRule="auto"/>
        <w:jc w:val="both"/>
        <w:rPr>
          <w:rFonts w:eastAsia="Calibri"/>
        </w:rPr>
      </w:pPr>
      <w:r>
        <w:rPr>
          <w:rFonts w:eastAsia="Calibri"/>
        </w:rPr>
        <w:t xml:space="preserve">Cape J, </w:t>
      </w:r>
      <w:r>
        <w:rPr>
          <w:rFonts w:eastAsia="Calibri"/>
          <w:i/>
        </w:rPr>
        <w:t xml:space="preserve">Things Still Fall Apart in a Well-Designed Tax System’ </w:t>
      </w:r>
      <w:r>
        <w:rPr>
          <w:rFonts w:eastAsia="Calibri"/>
        </w:rPr>
        <w:t>(2018) 89, Tax Notes International</w:t>
      </w:r>
      <w:r>
        <w:rPr>
          <w:rFonts w:eastAsia="Calibri"/>
          <w:u w:val="single"/>
        </w:rPr>
        <w:t xml:space="preserve"> </w:t>
      </w:r>
      <w:r>
        <w:rPr>
          <w:rFonts w:eastAsia="Calibri"/>
        </w:rPr>
        <w:t xml:space="preserve">1273-1276. </w:t>
      </w:r>
    </w:p>
    <w:p w14:paraId="2445D5E3">
      <w:pPr>
        <w:spacing w:after="160" w:line="480" w:lineRule="auto"/>
        <w:jc w:val="both"/>
        <w:rPr>
          <w:rFonts w:eastAsia="Calibri"/>
        </w:rPr>
      </w:pPr>
      <w:r>
        <w:rPr>
          <w:rFonts w:eastAsia="Calibri"/>
        </w:rPr>
        <w:t xml:space="preserve">Chartered Institute of Taxation (CITN), </w:t>
      </w:r>
      <w:r>
        <w:rPr>
          <w:rFonts w:eastAsia="Calibri"/>
          <w:i/>
        </w:rPr>
        <w:t>Nigerian Tax Guide and Statistics</w:t>
      </w:r>
      <w:r>
        <w:rPr>
          <w:rFonts w:eastAsia="Calibri"/>
        </w:rPr>
        <w:t>’ (1</w:t>
      </w:r>
      <w:r>
        <w:rPr>
          <w:rFonts w:eastAsia="Calibri"/>
          <w:vertAlign w:val="superscript"/>
        </w:rPr>
        <w:t>st</w:t>
      </w:r>
      <w:r>
        <w:rPr>
          <w:rFonts w:eastAsia="Calibri"/>
        </w:rPr>
        <w:t xml:space="preserve"> edn Lagos: CITN 2002).</w:t>
      </w:r>
    </w:p>
    <w:p w14:paraId="262B3BDC">
      <w:pPr>
        <w:spacing w:after="160" w:line="480" w:lineRule="auto"/>
        <w:jc w:val="both"/>
        <w:rPr>
          <w:rFonts w:eastAsia="Calibri"/>
        </w:rPr>
      </w:pPr>
      <w:r>
        <w:rPr>
          <w:rFonts w:eastAsia="Calibri"/>
        </w:rPr>
        <w:t xml:space="preserve">Chartered Institute of Taxation of Nigeria (CITN) </w:t>
      </w:r>
      <w:r>
        <w:rPr>
          <w:rFonts w:eastAsia="Calibri"/>
          <w:i/>
        </w:rPr>
        <w:t>Position on The Conflicting Decisions on The Federal High Counts on The Constitutionality or Otherwise of The Tax Appeal Tribunal</w:t>
      </w:r>
      <w:r>
        <w:rPr>
          <w:rFonts w:eastAsia="Calibri"/>
        </w:rPr>
        <w:t xml:space="preserve">’ (2014). </w:t>
      </w:r>
    </w:p>
    <w:p w14:paraId="63A42AF4">
      <w:pPr>
        <w:spacing w:after="160" w:line="480" w:lineRule="auto"/>
        <w:jc w:val="both"/>
        <w:rPr>
          <w:rFonts w:eastAsia="Calibri"/>
        </w:rPr>
      </w:pPr>
      <w:r>
        <w:rPr>
          <w:rFonts w:eastAsia="Calibri"/>
        </w:rPr>
        <w:t xml:space="preserve">Chatham House </w:t>
      </w:r>
      <w:r>
        <w:rPr>
          <w:rFonts w:eastAsia="Calibri"/>
          <w:i/>
        </w:rPr>
        <w:t>Next Generation Nigeria: What is restructuring and does Nigeria need it</w:t>
      </w:r>
      <w:r>
        <w:rPr>
          <w:rFonts w:eastAsia="Calibri"/>
        </w:rPr>
        <w:t xml:space="preserve">?’  (Chatham House, The Royal Institute of International Affairs, London, United Kingdom, 21 September 2017) 1-8. </w:t>
      </w:r>
    </w:p>
    <w:p w14:paraId="2C10D026">
      <w:pPr>
        <w:spacing w:after="160" w:line="480" w:lineRule="auto"/>
        <w:jc w:val="both"/>
        <w:rPr>
          <w:rFonts w:eastAsia="Calibri"/>
        </w:rPr>
      </w:pPr>
      <w:r>
        <w:rPr>
          <w:rFonts w:eastAsia="Calibri"/>
        </w:rPr>
        <w:t>Chete, L.N., Adeoti, J.O. Adeyinka, F.M. and Ogundele O ‘</w:t>
      </w:r>
      <w:r>
        <w:rPr>
          <w:rFonts w:eastAsia="Calibri"/>
          <w:i/>
        </w:rPr>
        <w:t>Industrial development and growth in Nigeria: Lessons and challenges’</w:t>
      </w:r>
      <w:r>
        <w:rPr>
          <w:rFonts w:eastAsia="Calibri"/>
        </w:rPr>
        <w:t xml:space="preserve"> (Brookings Institution, African Development Bank Group, Learning to Compete, Working Paper 8, United States, 2016) 1-40. </w:t>
      </w:r>
    </w:p>
    <w:p w14:paraId="1C0DFECD">
      <w:pPr>
        <w:spacing w:after="160" w:line="480" w:lineRule="auto"/>
        <w:jc w:val="both"/>
        <w:rPr>
          <w:rFonts w:eastAsia="Calibri"/>
        </w:rPr>
      </w:pPr>
      <w:r>
        <w:rPr>
          <w:rFonts w:eastAsia="Calibri"/>
        </w:rPr>
        <w:t xml:space="preserve">Chukwueyem Rapu et al, </w:t>
      </w:r>
      <w:r>
        <w:rPr>
          <w:rFonts w:eastAsia="Calibri"/>
          <w:i/>
        </w:rPr>
        <w:t>Analysis of Energy Market Conditions in Nigeria</w:t>
      </w:r>
      <w:r>
        <w:rPr>
          <w:rFonts w:eastAsia="Calibri"/>
        </w:rPr>
        <w:t xml:space="preserve"> (Central Bank of Nigeria, Federal Capital Territory, Abuja, October 2015).</w:t>
      </w:r>
    </w:p>
    <w:p w14:paraId="5FF4AC67">
      <w:pPr>
        <w:spacing w:after="160" w:line="480" w:lineRule="auto"/>
        <w:jc w:val="both"/>
        <w:rPr>
          <w:rFonts w:eastAsia="Calibri"/>
        </w:rPr>
      </w:pPr>
      <w:r>
        <w:rPr>
          <w:rFonts w:eastAsia="Calibri"/>
        </w:rPr>
        <w:t xml:space="preserve">Cook E, Lewis, and Nellen T, </w:t>
      </w:r>
      <w:r>
        <w:rPr>
          <w:rFonts w:eastAsia="Calibri"/>
          <w:i/>
        </w:rPr>
        <w:t>Taxing Principles for The Digital Age’</w:t>
      </w:r>
      <w:r>
        <w:rPr>
          <w:rFonts w:eastAsia="Calibri"/>
        </w:rPr>
        <w:t xml:space="preserve"> (2017) Journal of Accountancy, (May 2017). www.sjsumstjournal.com. </w:t>
      </w:r>
    </w:p>
    <w:p w14:paraId="4886D285">
      <w:pPr>
        <w:spacing w:after="160" w:line="480" w:lineRule="auto"/>
        <w:jc w:val="both"/>
        <w:rPr>
          <w:rFonts w:eastAsia="Calibri"/>
        </w:rPr>
      </w:pPr>
      <w:r>
        <w:rPr>
          <w:rFonts w:eastAsia="Calibri"/>
        </w:rPr>
        <w:t>Crabbe, Vincent Cyril</w:t>
      </w:r>
      <w:r>
        <w:rPr>
          <w:rFonts w:eastAsia="Calibri"/>
          <w:i/>
        </w:rPr>
        <w:t xml:space="preserve">, Drafting in Developing Countries: The Problem of Importing Expertise’ </w:t>
      </w:r>
      <w:r>
        <w:rPr>
          <w:rFonts w:eastAsia="Calibri"/>
        </w:rPr>
        <w:t xml:space="preserve">(1992) 4 </w:t>
      </w:r>
      <w:r>
        <w:rPr>
          <w:rFonts w:eastAsia="Calibri"/>
          <w:i/>
          <w:iCs/>
        </w:rPr>
        <w:t>African J. Int’l Comparative Law</w:t>
      </w:r>
      <w:r>
        <w:rPr>
          <w:rFonts w:eastAsia="Calibri"/>
        </w:rPr>
        <w:t xml:space="preserve"> 630 – 648. </w:t>
      </w:r>
    </w:p>
    <w:p w14:paraId="77470FC1">
      <w:pPr>
        <w:spacing w:after="160" w:line="480" w:lineRule="auto"/>
        <w:jc w:val="both"/>
        <w:rPr>
          <w:rFonts w:eastAsia="Calibri"/>
        </w:rPr>
      </w:pPr>
      <w:r>
        <w:rPr>
          <w:rFonts w:eastAsia="Calibri"/>
        </w:rPr>
        <w:t xml:space="preserve">Crandall-Hollick M, </w:t>
      </w:r>
      <w:r>
        <w:rPr>
          <w:rFonts w:eastAsia="Calibri"/>
          <w:i/>
        </w:rPr>
        <w:t>‘Higher Education Tax Benefits: Brief Overview and Budgetary Effects, The American Opportunity Tax Credit: Overview, Analysis, And Policy Options</w:t>
      </w:r>
      <w:r>
        <w:rPr>
          <w:rFonts w:eastAsia="Calibri"/>
        </w:rPr>
        <w:t xml:space="preserve">’, Congressional Budget Office, ‘The Budget and Economic Outlook:’ (2013) &lt;http://www.cbo.gov/sites/default/files/cbofiles/attachments/43907-BudgetOutlook.pdf&gt; accessed 10 August 2018. </w:t>
      </w:r>
    </w:p>
    <w:p w14:paraId="7C345E57">
      <w:pPr>
        <w:spacing w:after="160" w:line="480" w:lineRule="auto"/>
        <w:jc w:val="both"/>
        <w:rPr>
          <w:rFonts w:eastAsia="Calibri"/>
        </w:rPr>
      </w:pPr>
      <w:r>
        <w:rPr>
          <w:rFonts w:eastAsia="Calibri"/>
        </w:rPr>
        <w:t xml:space="preserve">D'Amato, Anthony </w:t>
      </w:r>
      <w:r>
        <w:rPr>
          <w:rFonts w:eastAsia="Calibri"/>
          <w:i/>
        </w:rPr>
        <w:t>Legal Uncertainty</w:t>
      </w:r>
      <w:r>
        <w:rPr>
          <w:rFonts w:eastAsia="Calibri"/>
        </w:rPr>
        <w:t xml:space="preserve">’ (1983) 71 California Law Review 1-55. </w:t>
      </w:r>
    </w:p>
    <w:p w14:paraId="1E338FB6">
      <w:pPr>
        <w:spacing w:after="160" w:line="480" w:lineRule="auto"/>
        <w:jc w:val="both"/>
        <w:rPr>
          <w:rFonts w:eastAsia="Calibri"/>
        </w:rPr>
      </w:pPr>
      <w:r>
        <w:rPr>
          <w:rFonts w:eastAsia="Calibri"/>
        </w:rPr>
        <w:t xml:space="preserve">Davis J, Ossowski R, &amp; Fedelino A, </w:t>
      </w:r>
      <w:r>
        <w:rPr>
          <w:rFonts w:eastAsia="Calibri"/>
          <w:i/>
        </w:rPr>
        <w:t>Fiscal Challenges in Oil-Producing Countries: An Overview’ in JM Davis, R Ossowski &amp; A Fedelino (eds) Fiscal Policy Formulation and Implementation in Oil Producing Countries</w:t>
      </w:r>
      <w:r>
        <w:rPr>
          <w:rFonts w:eastAsia="Calibri"/>
        </w:rPr>
        <w:t xml:space="preserve"> (Washington: International Monetary Fund, 2003) </w:t>
      </w:r>
      <w:r>
        <w:fldChar w:fldCharType="begin"/>
      </w:r>
      <w:r>
        <w:instrText xml:space="preserve"> HYPERLINK "http://www.imf.org/external/pubs/ft/dp/2013/dp1302.pdf" </w:instrText>
      </w:r>
      <w:r>
        <w:fldChar w:fldCharType="separate"/>
      </w:r>
      <w:r>
        <w:rPr>
          <w:rFonts w:eastAsia="Calibri"/>
          <w:u w:val="single"/>
        </w:rPr>
        <w:t>http://www.imf.org/external/pubs/ft/dp/2013/dp1302.pdf</w:t>
      </w:r>
      <w:r>
        <w:rPr>
          <w:rFonts w:eastAsia="Calibri"/>
          <w:u w:val="single"/>
        </w:rPr>
        <w:fldChar w:fldCharType="end"/>
      </w:r>
      <w:r>
        <w:rPr>
          <w:rFonts w:eastAsia="Calibri"/>
        </w:rPr>
        <w:t>.</w:t>
      </w:r>
    </w:p>
    <w:p w14:paraId="3B1D0133">
      <w:pPr>
        <w:spacing w:after="160" w:line="480" w:lineRule="auto"/>
        <w:jc w:val="both"/>
        <w:rPr>
          <w:rFonts w:eastAsia="Calibri"/>
        </w:rPr>
      </w:pPr>
      <w:r>
        <w:rPr>
          <w:rFonts w:eastAsia="Calibri"/>
        </w:rPr>
        <w:t xml:space="preserve">Deloitte, </w:t>
      </w:r>
      <w:r>
        <w:rPr>
          <w:rFonts w:eastAsia="Calibri"/>
          <w:i/>
        </w:rPr>
        <w:t>Doing Business in the Nigerian Oil &amp; Gas Industry – Fiscal Compliance &amp; Incentive Considerations (2</w:t>
      </w:r>
      <w:r>
        <w:rPr>
          <w:rFonts w:eastAsia="Calibri"/>
        </w:rPr>
        <w:t xml:space="preserve">) (2014), </w:t>
      </w:r>
      <w:r>
        <w:rPr>
          <w:rFonts w:eastAsia="Calibri"/>
          <w:u w:val="single"/>
        </w:rPr>
        <w:t>Deloitte Inside Tax Week</w:t>
      </w:r>
      <w:r>
        <w:rPr>
          <w:rFonts w:eastAsia="Calibri"/>
        </w:rPr>
        <w:t xml:space="preserve"> 48 Publication, &lt;</w:t>
      </w:r>
      <w:r>
        <w:fldChar w:fldCharType="begin"/>
      </w:r>
      <w:r>
        <w:instrText xml:space="preserve"> HYPERLINK "http://www.deloitte.com/ng" </w:instrText>
      </w:r>
      <w:r>
        <w:fldChar w:fldCharType="separate"/>
      </w:r>
      <w:r>
        <w:rPr>
          <w:rFonts w:eastAsia="Calibri"/>
          <w:u w:val="single"/>
        </w:rPr>
        <w:t>www.deloitte.com/ng</w:t>
      </w:r>
      <w:r>
        <w:rPr>
          <w:rFonts w:eastAsia="Calibri"/>
          <w:u w:val="single"/>
        </w:rPr>
        <w:fldChar w:fldCharType="end"/>
      </w:r>
      <w:r>
        <w:rPr>
          <w:rFonts w:eastAsia="Calibri"/>
        </w:rPr>
        <w:t xml:space="preserve">&gt; accessed 20 September 2018 </w:t>
      </w:r>
    </w:p>
    <w:p w14:paraId="62C3DEF6">
      <w:pPr>
        <w:spacing w:after="160" w:line="480" w:lineRule="auto"/>
        <w:jc w:val="both"/>
        <w:rPr>
          <w:rFonts w:eastAsia="Calibri"/>
        </w:rPr>
      </w:pPr>
      <w:r>
        <w:rPr>
          <w:rFonts w:eastAsia="Calibri"/>
        </w:rPr>
        <w:t xml:space="preserve">Deloitte and Touche, </w:t>
      </w:r>
      <w:r>
        <w:rPr>
          <w:rFonts w:eastAsia="Calibri"/>
          <w:i/>
        </w:rPr>
        <w:t>Implications of Nigeria’s Draft Petroleum Fiscal Policy</w:t>
      </w:r>
      <w:r>
        <w:rPr>
          <w:rFonts w:eastAsia="Calibri"/>
        </w:rPr>
        <w:t xml:space="preserve"> (Deloitte Tax &amp; Regulatory Services, Akintola Williams Deloitte, Lagos, Nigeria, 29 March 2017) 1-5</w:t>
      </w:r>
    </w:p>
    <w:p w14:paraId="0F4D709E">
      <w:pPr>
        <w:spacing w:after="160" w:line="480" w:lineRule="auto"/>
        <w:jc w:val="both"/>
        <w:rPr>
          <w:rFonts w:eastAsia="Calibri"/>
        </w:rPr>
      </w:pPr>
      <w:r>
        <w:rPr>
          <w:rFonts w:eastAsia="Calibri"/>
        </w:rPr>
        <w:t>Department of Finance of the Government of Canada, Consultation</w:t>
      </w:r>
      <w:r>
        <w:rPr>
          <w:rFonts w:eastAsia="Calibri"/>
          <w:i/>
        </w:rPr>
        <w:t xml:space="preserve"> on Ensuring the Effectiveness of Registered Disability Savings Plans</w:t>
      </w:r>
      <w:r>
        <w:rPr>
          <w:rFonts w:eastAsia="Calibri"/>
        </w:rPr>
        <w:t xml:space="preserve"> (2011) &lt;http://www. n.gc.ca/activity/consult/rdsp-reei-eng.asp #Ensuring&gt; accessed 8 August 2018</w:t>
      </w:r>
    </w:p>
    <w:p w14:paraId="28E60A6F">
      <w:pPr>
        <w:spacing w:after="160" w:line="480" w:lineRule="auto"/>
        <w:jc w:val="both"/>
        <w:rPr>
          <w:rFonts w:eastAsia="Calibri"/>
        </w:rPr>
      </w:pPr>
      <w:r>
        <w:rPr>
          <w:rFonts w:eastAsia="Calibri"/>
        </w:rPr>
        <w:t xml:space="preserve">Department of Finance of the Government of Canada, </w:t>
      </w:r>
      <w:r>
        <w:rPr>
          <w:rFonts w:eastAsia="Calibri"/>
          <w:i/>
        </w:rPr>
        <w:t>A New Beginning: The Report of The Minister of Finance’s Expert Panel on Financial Security for Children with Severe Disabilities</w:t>
      </w:r>
      <w:r>
        <w:rPr>
          <w:rFonts w:eastAsia="Calibri"/>
        </w:rPr>
        <w:t>’ (2006).</w:t>
      </w:r>
    </w:p>
    <w:p w14:paraId="1C2AFE2C">
      <w:pPr>
        <w:spacing w:after="160" w:line="480" w:lineRule="auto"/>
        <w:jc w:val="both"/>
        <w:rPr>
          <w:rFonts w:eastAsia="Calibri"/>
        </w:rPr>
      </w:pPr>
      <w:r>
        <w:rPr>
          <w:rFonts w:eastAsia="Calibri"/>
        </w:rPr>
        <w:t xml:space="preserve">Department of Finance of the Government of Canada, </w:t>
      </w:r>
      <w:r>
        <w:rPr>
          <w:rFonts w:eastAsia="Calibri"/>
          <w:i/>
        </w:rPr>
        <w:t>Consultations on The Tax Rules for Employment Profit Sharing Plans’</w:t>
      </w:r>
      <w:r>
        <w:rPr>
          <w:rFonts w:eastAsia="Calibri"/>
        </w:rPr>
        <w:t xml:space="preserve"> (2011) &lt;http://www. n.gc.ca/activity/consult/epsp-rpeb-eng.asp#a1&gt; accessed 8 August 2018.</w:t>
      </w:r>
    </w:p>
    <w:p w14:paraId="38659A27">
      <w:pPr>
        <w:spacing w:after="160" w:line="480" w:lineRule="auto"/>
        <w:jc w:val="both"/>
        <w:rPr>
          <w:rFonts w:eastAsia="Calibri"/>
        </w:rPr>
      </w:pPr>
      <w:r>
        <w:rPr>
          <w:rFonts w:eastAsia="Calibri"/>
        </w:rPr>
        <w:t xml:space="preserve">Department of Finance of the Government of Canada, </w:t>
      </w:r>
      <w:r>
        <w:rPr>
          <w:rFonts w:eastAsia="Calibri"/>
          <w:i/>
        </w:rPr>
        <w:t>‘Report of The Technical Committee on Business Taxation</w:t>
      </w:r>
      <w:r>
        <w:rPr>
          <w:rFonts w:eastAsia="Calibri"/>
        </w:rPr>
        <w:t>’ (1998).</w:t>
      </w:r>
    </w:p>
    <w:p w14:paraId="2CD79E8A">
      <w:pPr>
        <w:spacing w:after="160" w:line="480" w:lineRule="auto"/>
        <w:jc w:val="both"/>
        <w:rPr>
          <w:rFonts w:eastAsia="Calibri"/>
        </w:rPr>
      </w:pPr>
      <w:r>
        <w:rPr>
          <w:rFonts w:eastAsia="Calibri"/>
        </w:rPr>
        <w:t>Department of Finance of the Government of Canada, ‘</w:t>
      </w:r>
      <w:r>
        <w:rPr>
          <w:rFonts w:eastAsia="Calibri"/>
          <w:i/>
        </w:rPr>
        <w:t>Tax Incentives for Scientific Research and Experimental Development Consultation Paper</w:t>
      </w:r>
      <w:r>
        <w:rPr>
          <w:rFonts w:eastAsia="Calibri"/>
        </w:rPr>
        <w:t>’ (2007).</w:t>
      </w:r>
    </w:p>
    <w:p w14:paraId="66E9DBD6">
      <w:pPr>
        <w:spacing w:after="160" w:line="480" w:lineRule="auto"/>
        <w:jc w:val="both"/>
        <w:rPr>
          <w:rFonts w:eastAsia="Calibri"/>
        </w:rPr>
      </w:pPr>
      <w:r>
        <w:rPr>
          <w:rFonts w:eastAsia="Calibri"/>
        </w:rPr>
        <w:t>Department of Finance of the Government of Canada, ‘</w:t>
      </w:r>
      <w:r>
        <w:rPr>
          <w:rFonts w:eastAsia="Calibri"/>
          <w:i/>
        </w:rPr>
        <w:t>The Taxation Of Corporate Groups Consultation Paper</w:t>
      </w:r>
      <w:r>
        <w:rPr>
          <w:rFonts w:eastAsia="Calibri"/>
        </w:rPr>
        <w:t>’ (2010).</w:t>
      </w:r>
    </w:p>
    <w:p w14:paraId="34A39A6D">
      <w:pPr>
        <w:spacing w:after="160" w:line="480" w:lineRule="auto"/>
        <w:jc w:val="both"/>
        <w:rPr>
          <w:rFonts w:eastAsia="Calibri"/>
          <w:i/>
          <w:iCs/>
        </w:rPr>
      </w:pPr>
      <w:r>
        <w:rPr>
          <w:rFonts w:eastAsia="Calibri"/>
        </w:rPr>
        <w:t xml:space="preserve">Dike M,  </w:t>
      </w:r>
      <w:r>
        <w:rPr>
          <w:rFonts w:eastAsia="Calibri"/>
          <w:i/>
        </w:rPr>
        <w:t>An Overview of The Nigerian Tax System: Implications for Foreign Investors’</w:t>
      </w:r>
      <w:r>
        <w:rPr>
          <w:rFonts w:eastAsia="Calibri"/>
        </w:rPr>
        <w:t xml:space="preserve"> (2014),  &lt;</w:t>
      </w:r>
      <w:r>
        <w:fldChar w:fldCharType="begin"/>
      </w:r>
      <w:r>
        <w:instrText xml:space="preserve"> HYPERLINK "https://www.citn.org/...files/tax.../e0cff10556112d9b022e42afe8aab9ad2dd7f618.pdf%25252525253e%252525252520accessed%2525252525201%252525252520September%2525252525202018" </w:instrText>
      </w:r>
      <w:r>
        <w:fldChar w:fldCharType="separate"/>
      </w:r>
      <w:r>
        <w:rPr>
          <w:rFonts w:eastAsia="Calibri"/>
          <w:u w:val="single"/>
        </w:rPr>
        <w:t>https://www.citn.org/...files/tax.../e0cff10556112d9b022e42afe8aab9ad2dd7f618.pdf&gt; accessed 1 September 2018</w:t>
      </w:r>
      <w:r>
        <w:rPr>
          <w:rFonts w:eastAsia="Calibri"/>
          <w:u w:val="single"/>
        </w:rPr>
        <w:fldChar w:fldCharType="end"/>
      </w:r>
    </w:p>
    <w:p w14:paraId="036820D7">
      <w:pPr>
        <w:spacing w:after="160" w:line="480" w:lineRule="auto"/>
        <w:jc w:val="both"/>
        <w:rPr>
          <w:rFonts w:eastAsia="Calibri"/>
        </w:rPr>
      </w:pPr>
      <w:r>
        <w:rPr>
          <w:rFonts w:eastAsia="Calibri"/>
        </w:rPr>
        <w:t xml:space="preserve">Due J, </w:t>
      </w:r>
      <w:r>
        <w:rPr>
          <w:rFonts w:eastAsia="Calibri"/>
          <w:i/>
          <w:iCs/>
        </w:rPr>
        <w:t>Income Taxation in Tropical Africa</w:t>
      </w:r>
      <w:r>
        <w:rPr>
          <w:rFonts w:eastAsia="Calibri"/>
        </w:rPr>
        <w:t xml:space="preserve"> (1962) British Tax Review (BTR) July – August, 226</w:t>
      </w:r>
    </w:p>
    <w:p w14:paraId="4CC09865">
      <w:pPr>
        <w:spacing w:after="160" w:line="480" w:lineRule="auto"/>
        <w:jc w:val="both"/>
        <w:rPr>
          <w:rFonts w:eastAsia="Calibri"/>
        </w:rPr>
      </w:pPr>
      <w:r>
        <w:rPr>
          <w:rFonts w:eastAsia="Calibri"/>
        </w:rPr>
        <w:t xml:space="preserve">Edori D S, Edori I S, and Idatoru A R, </w:t>
      </w:r>
      <w:r>
        <w:rPr>
          <w:rFonts w:eastAsia="Calibri"/>
          <w:i/>
        </w:rPr>
        <w:t>Issues and Challenges Inherent in the Nigerian Tax System’</w:t>
      </w:r>
      <w:r>
        <w:rPr>
          <w:rFonts w:eastAsia="Calibri"/>
        </w:rPr>
        <w:t xml:space="preserve"> (2017) 2(4) </w:t>
      </w:r>
      <w:r>
        <w:rPr>
          <w:rFonts w:eastAsia="Calibri"/>
          <w:i/>
          <w:iCs/>
        </w:rPr>
        <w:t>American Journal of Management Science and Engineering</w:t>
      </w:r>
      <w:r>
        <w:rPr>
          <w:rFonts w:eastAsia="Calibri"/>
        </w:rPr>
        <w:t xml:space="preserve"> 52-57. </w:t>
      </w:r>
    </w:p>
    <w:p w14:paraId="13A32EB0">
      <w:pPr>
        <w:spacing w:after="160" w:line="480" w:lineRule="auto"/>
        <w:jc w:val="both"/>
        <w:rPr>
          <w:rFonts w:eastAsia="Calibri"/>
        </w:rPr>
      </w:pPr>
      <w:r>
        <w:rPr>
          <w:rFonts w:eastAsia="Calibri"/>
        </w:rPr>
        <w:t xml:space="preserve">Ehinomen C, Babatunde A, and Ogundare S, </w:t>
      </w:r>
      <w:r>
        <w:rPr>
          <w:rFonts w:eastAsia="Calibri"/>
          <w:i/>
        </w:rPr>
        <w:t>The Restructuring of the Nigerian Economy, and the Nigerian Oil Sector Earnings Nexus’</w:t>
      </w:r>
      <w:r>
        <w:rPr>
          <w:rFonts w:eastAsia="Calibri"/>
        </w:rPr>
        <w:t xml:space="preserve"> (2014). Available at SSRN, </w:t>
      </w:r>
      <w:r>
        <w:fldChar w:fldCharType="begin"/>
      </w:r>
      <w:r>
        <w:instrText xml:space="preserve"> HYPERLINK "https://papers.ssrn.com/sol3/papers.cfm?abstract_id=2532032" </w:instrText>
      </w:r>
      <w:r>
        <w:fldChar w:fldCharType="separate"/>
      </w:r>
      <w:r>
        <w:rPr>
          <w:rFonts w:eastAsia="Calibri"/>
          <w:u w:val="single"/>
        </w:rPr>
        <w:t>https://papers.ssrn.com/sol3/papers.cfm?abstract_id=2532032</w:t>
      </w:r>
      <w:r>
        <w:rPr>
          <w:rFonts w:eastAsia="Calibri"/>
          <w:u w:val="single"/>
        </w:rPr>
        <w:fldChar w:fldCharType="end"/>
      </w:r>
      <w:r>
        <w:rPr>
          <w:rFonts w:eastAsia="Calibri"/>
        </w:rPr>
        <w:t xml:space="preserve">. </w:t>
      </w:r>
    </w:p>
    <w:p w14:paraId="7642E12A">
      <w:pPr>
        <w:spacing w:after="160" w:line="480" w:lineRule="auto"/>
        <w:jc w:val="both"/>
        <w:rPr>
          <w:rFonts w:eastAsia="Calibri"/>
        </w:rPr>
      </w:pPr>
      <w:r>
        <w:rPr>
          <w:rFonts w:eastAsia="Calibri"/>
        </w:rPr>
        <w:t xml:space="preserve">Elaigwu, Isawa, </w:t>
      </w:r>
      <w:r>
        <w:rPr>
          <w:rFonts w:eastAsia="Calibri"/>
          <w:i/>
        </w:rPr>
        <w:t xml:space="preserve">Nigeria: The Current State of the Federation – Some Basic Challenges </w:t>
      </w:r>
      <w:r>
        <w:rPr>
          <w:rFonts w:eastAsia="Calibri"/>
        </w:rPr>
        <w:t>(Paper presented at International Conference on Federalism in Honour of Professor Ronald Watts, organized by the Institute of Intergovernmental Relations, Queens University, Kingston, Canada, 18-21 October 2007) 1-21</w:t>
      </w:r>
    </w:p>
    <w:p w14:paraId="7EC4F02E">
      <w:pPr>
        <w:spacing w:after="160" w:line="480" w:lineRule="auto"/>
        <w:jc w:val="both"/>
        <w:rPr>
          <w:rFonts w:eastAsia="Calibri"/>
        </w:rPr>
      </w:pPr>
      <w:r>
        <w:rPr>
          <w:rFonts w:eastAsia="Calibri"/>
        </w:rPr>
        <w:t xml:space="preserve">Elebiju A, </w:t>
      </w:r>
      <w:r>
        <w:rPr>
          <w:rFonts w:eastAsia="Calibri"/>
          <w:i/>
        </w:rPr>
        <w:t>Death Knell for Tax Appeal Tribunals?</w:t>
      </w:r>
      <w:r>
        <w:rPr>
          <w:rFonts w:eastAsia="Calibri"/>
        </w:rPr>
        <w:t xml:space="preserve"> </w:t>
      </w:r>
      <w:r>
        <w:rPr>
          <w:rFonts w:eastAsia="Calibri"/>
          <w:u w:val="single"/>
        </w:rPr>
        <w:t>THISDAY Lawyer</w:t>
      </w:r>
      <w:r>
        <w:rPr>
          <w:rFonts w:eastAsia="Calibri"/>
        </w:rPr>
        <w:t xml:space="preserve"> (Nigeria 17 May 2011) 7.</w:t>
      </w:r>
    </w:p>
    <w:p w14:paraId="643F1283">
      <w:pPr>
        <w:spacing w:after="160" w:line="480" w:lineRule="auto"/>
        <w:jc w:val="both"/>
        <w:rPr>
          <w:rFonts w:eastAsia="Calibri"/>
        </w:rPr>
      </w:pPr>
      <w:r>
        <w:rPr>
          <w:rFonts w:eastAsia="Calibri"/>
        </w:rPr>
        <w:t xml:space="preserve">Elebiju A, </w:t>
      </w:r>
      <w:r>
        <w:rPr>
          <w:rFonts w:eastAsia="Calibri"/>
          <w:i/>
        </w:rPr>
        <w:t>Tax Appeal Tribunal (TAT): Is Jurisdiction Still in Doubt?</w:t>
      </w:r>
      <w:r>
        <w:rPr>
          <w:rFonts w:eastAsia="Calibri"/>
        </w:rPr>
        <w:t xml:space="preserve"> </w:t>
      </w:r>
      <w:r>
        <w:rPr>
          <w:rFonts w:eastAsia="Calibri"/>
          <w:u w:val="single"/>
        </w:rPr>
        <w:t>THISDAY Newspaper</w:t>
      </w:r>
      <w:r>
        <w:rPr>
          <w:rFonts w:eastAsia="Calibri"/>
        </w:rPr>
        <w:t>- (Nigeria 14 August 2012) 6.</w:t>
      </w:r>
    </w:p>
    <w:p w14:paraId="62B62AE4">
      <w:pPr>
        <w:spacing w:after="160" w:line="480" w:lineRule="auto"/>
        <w:jc w:val="both"/>
        <w:rPr>
          <w:rFonts w:eastAsia="Calibri"/>
        </w:rPr>
      </w:pPr>
      <w:r>
        <w:rPr>
          <w:rFonts w:eastAsia="Calibri"/>
        </w:rPr>
        <w:t xml:space="preserve">Elmira Aliakbari, Contributing Editor: </w:t>
      </w:r>
      <w:r>
        <w:rPr>
          <w:rFonts w:eastAsia="Calibri"/>
          <w:i/>
          <w:iCs/>
        </w:rPr>
        <w:t>Assessing Canada’s Energy Sector Competitiveness,</w:t>
      </w:r>
      <w:r>
        <w:rPr>
          <w:rFonts w:eastAsia="Calibri"/>
        </w:rPr>
        <w:t xml:space="preserve"> Fraser publishing, July 2019, Canadian Energy News Network – Facts and Information Centre 03. Retrieved 19 July 2020.</w:t>
      </w:r>
    </w:p>
    <w:p w14:paraId="01985DF9">
      <w:pPr>
        <w:spacing w:after="160" w:line="480" w:lineRule="auto"/>
        <w:jc w:val="both"/>
        <w:rPr>
          <w:rFonts w:eastAsia="Calibri"/>
        </w:rPr>
      </w:pPr>
      <w:r>
        <w:rPr>
          <w:rFonts w:eastAsia="Calibri"/>
        </w:rPr>
        <w:t xml:space="preserve">Ernest Smith, </w:t>
      </w:r>
      <w:r>
        <w:rPr>
          <w:rFonts w:eastAsia="Calibri"/>
          <w:i/>
        </w:rPr>
        <w:t xml:space="preserve">From Concessions to Service Contracts </w:t>
      </w:r>
      <w:r>
        <w:rPr>
          <w:rFonts w:eastAsia="Calibri"/>
        </w:rPr>
        <w:t xml:space="preserve">(1992) 27 (4) </w:t>
      </w:r>
      <w:r>
        <w:rPr>
          <w:rFonts w:eastAsia="Calibri"/>
          <w:i/>
        </w:rPr>
        <w:t>Tulsa Law Journal</w:t>
      </w:r>
      <w:r>
        <w:rPr>
          <w:rFonts w:eastAsia="Calibri"/>
        </w:rPr>
        <w:t xml:space="preserve"> 493</w:t>
      </w:r>
    </w:p>
    <w:p w14:paraId="4D59D792">
      <w:pPr>
        <w:spacing w:after="160" w:line="480" w:lineRule="auto"/>
        <w:jc w:val="both"/>
        <w:rPr>
          <w:rFonts w:eastAsia="Calibri"/>
        </w:rPr>
      </w:pPr>
      <w:r>
        <w:rPr>
          <w:rFonts w:eastAsia="Calibri"/>
        </w:rPr>
        <w:t>Ernst and Young,</w:t>
      </w:r>
      <w:r>
        <w:rPr>
          <w:rFonts w:eastAsia="Calibri"/>
          <w:i/>
        </w:rPr>
        <w:t xml:space="preserve"> Global Oil and Gas Tax Guide</w:t>
      </w:r>
      <w:r>
        <w:rPr>
          <w:rFonts w:eastAsia="Calibri"/>
        </w:rPr>
        <w:t>. (Ernst and Young 2016) &lt;http://www.ey.com/Publication/EY-2016-Global-oil-and-gas-tax-guide.pdf&gt; accessed 6 August 2017</w:t>
      </w:r>
    </w:p>
    <w:p w14:paraId="0AAFEC23">
      <w:pPr>
        <w:spacing w:after="160" w:line="480" w:lineRule="auto"/>
        <w:jc w:val="both"/>
        <w:rPr>
          <w:rFonts w:eastAsia="Calibri"/>
        </w:rPr>
      </w:pPr>
      <w:r>
        <w:rPr>
          <w:rFonts w:eastAsia="Calibri"/>
        </w:rPr>
        <w:t xml:space="preserve">Etikerense G, </w:t>
      </w:r>
      <w:r>
        <w:rPr>
          <w:rFonts w:eastAsia="Calibri"/>
          <w:i/>
        </w:rPr>
        <w:t>Taxation Under Nigerian Petroleum Law’</w:t>
      </w:r>
      <w:r>
        <w:rPr>
          <w:rFonts w:eastAsia="Calibri"/>
        </w:rPr>
        <w:t xml:space="preserve"> A Paper Delivered at the National Workshop on Nigerian Petroleum Law, University of Lagos, May 31</w:t>
      </w:r>
      <w:r>
        <w:rPr>
          <w:rFonts w:eastAsia="Calibri"/>
          <w:vertAlign w:val="superscript"/>
        </w:rPr>
        <w:t>st</w:t>
      </w:r>
      <w:r>
        <w:rPr>
          <w:rFonts w:eastAsia="Calibri"/>
        </w:rPr>
        <w:t xml:space="preserve">, 1984. </w:t>
      </w:r>
    </w:p>
    <w:p w14:paraId="1A02AF78">
      <w:pPr>
        <w:spacing w:after="160" w:line="480" w:lineRule="auto"/>
        <w:jc w:val="both"/>
        <w:rPr>
          <w:rFonts w:eastAsia="Calibri"/>
        </w:rPr>
      </w:pPr>
      <w:r>
        <w:rPr>
          <w:rFonts w:eastAsia="Calibri"/>
        </w:rPr>
        <w:t xml:space="preserve">EY/OECD Secretary General sends </w:t>
      </w:r>
      <w:r>
        <w:rPr>
          <w:rFonts w:eastAsia="Calibri"/>
          <w:i/>
        </w:rPr>
        <w:t>Tax Update to G20 Finance Ministers</w:t>
      </w:r>
      <w:r>
        <w:rPr>
          <w:rFonts w:eastAsia="Calibri"/>
        </w:rPr>
        <w:t xml:space="preserve">, </w:t>
      </w:r>
      <w:r>
        <w:rPr>
          <w:rFonts w:eastAsia="Calibri"/>
          <w:i/>
        </w:rPr>
        <w:t>including IMF/OECD report on Tax Certainty’</w:t>
      </w:r>
      <w:r>
        <w:rPr>
          <w:rFonts w:eastAsia="Calibri"/>
        </w:rPr>
        <w:t xml:space="preserve"> (EY Global Tax Alert, 21 March 2017) 1-4. </w:t>
      </w:r>
    </w:p>
    <w:p w14:paraId="74123D45">
      <w:pPr>
        <w:spacing w:after="160" w:line="480" w:lineRule="auto"/>
        <w:jc w:val="both"/>
        <w:rPr>
          <w:rFonts w:eastAsia="Calibri"/>
        </w:rPr>
      </w:pPr>
      <w:r>
        <w:rPr>
          <w:rFonts w:eastAsia="Calibri"/>
        </w:rPr>
        <w:t xml:space="preserve">EY/OECD Secretary-General sends </w:t>
      </w:r>
      <w:r>
        <w:rPr>
          <w:rFonts w:eastAsia="Calibri"/>
          <w:i/>
        </w:rPr>
        <w:t xml:space="preserve">G20 finance ministers an annual Progress Report of the Inclusive Framework on BEPS and update on IMF/OECD Report on Tax certainty </w:t>
      </w:r>
      <w:r>
        <w:rPr>
          <w:rFonts w:eastAsia="Calibri"/>
        </w:rPr>
        <w:t xml:space="preserve">(EY Global Tax Alert, Global Edition, Washington DC, New York, Amsterdam, 25 July 2018) 1-9 </w:t>
      </w:r>
    </w:p>
    <w:p w14:paraId="7AC5867C">
      <w:pPr>
        <w:spacing w:after="160" w:line="480" w:lineRule="auto"/>
        <w:jc w:val="both"/>
        <w:rPr>
          <w:rFonts w:eastAsia="Calibri"/>
        </w:rPr>
      </w:pPr>
      <w:r>
        <w:rPr>
          <w:rFonts w:eastAsia="Calibri"/>
        </w:rPr>
        <w:t xml:space="preserve">Financial Procedures of the House of Commons </w:t>
      </w:r>
      <w:r>
        <w:rPr>
          <w:rFonts w:eastAsia="Calibri"/>
          <w:i/>
          <w:iCs/>
        </w:rPr>
        <w:t>Procedure and Practice, Third Edition, 2017,</w:t>
      </w:r>
      <w:r>
        <w:rPr>
          <w:rFonts w:eastAsia="Calibri"/>
        </w:rPr>
        <w:t xml:space="preserve"> Edited by Marc Bosc and André Gagnon, supra s 53.</w:t>
      </w:r>
    </w:p>
    <w:p w14:paraId="06C53E28">
      <w:pPr>
        <w:spacing w:after="160" w:line="480" w:lineRule="auto"/>
        <w:jc w:val="both"/>
        <w:rPr>
          <w:rFonts w:eastAsia="Calibri"/>
        </w:rPr>
      </w:pPr>
      <w:r>
        <w:rPr>
          <w:rFonts w:eastAsia="Calibri"/>
        </w:rPr>
        <w:t xml:space="preserve">Firs.gov.ng. </w:t>
      </w:r>
      <w:r>
        <w:rPr>
          <w:rFonts w:eastAsia="Calibri"/>
          <w:i/>
        </w:rPr>
        <w:t>Tax Legislations’</w:t>
      </w:r>
      <w:r>
        <w:rPr>
          <w:rFonts w:eastAsia="Calibri"/>
        </w:rPr>
        <w:t xml:space="preserve"> (2018) &lt;http://www.firs.gov.ng/Tax-Management/Pages/Tax-Legislations.aspx&gt; accessed 4 September 2018. FIRS | Federal Inland Revenue Service | Nigerian Tax Authority | Taxation News from Nigeria (Taxationnews.com, 2018) &lt;http://www.taxationnews.com/nigeria/FIRS/firs-federal-inland-revenue-service-news-updates.aspx&gt; accessed 2 April 2018.</w:t>
      </w:r>
    </w:p>
    <w:p w14:paraId="57EE48CA">
      <w:pPr>
        <w:spacing w:after="160" w:line="480" w:lineRule="auto"/>
        <w:jc w:val="both"/>
        <w:rPr>
          <w:rFonts w:eastAsia="Calibri"/>
        </w:rPr>
      </w:pPr>
      <w:r>
        <w:rPr>
          <w:rFonts w:eastAsia="Calibri"/>
        </w:rPr>
        <w:t xml:space="preserve">Fiscal Research Center- </w:t>
      </w:r>
      <w:r>
        <w:rPr>
          <w:rFonts w:eastAsia="Calibri"/>
          <w:i/>
        </w:rPr>
        <w:t>Fiscal Notes and Legislative Support</w:t>
      </w:r>
      <w:r>
        <w:rPr>
          <w:rFonts w:eastAsia="Calibri"/>
        </w:rPr>
        <w:t>, Andrew Young School of Policy Studies, Atlanta, Georgia, United States of America, April 2012) 1-44.</w:t>
      </w:r>
    </w:p>
    <w:p w14:paraId="6B6B596D">
      <w:pPr>
        <w:spacing w:after="160" w:line="480" w:lineRule="auto"/>
        <w:jc w:val="both"/>
        <w:rPr>
          <w:rFonts w:eastAsia="Calibri"/>
        </w:rPr>
      </w:pPr>
      <w:r>
        <w:rPr>
          <w:rFonts w:eastAsia="Calibri"/>
        </w:rPr>
        <w:t xml:space="preserve">Fuburu M, </w:t>
      </w:r>
      <w:r>
        <w:rPr>
          <w:rFonts w:eastAsia="Calibri"/>
          <w:i/>
        </w:rPr>
        <w:t>Analysis of State Taxing Powers</w:t>
      </w:r>
      <w:r>
        <w:rPr>
          <w:rFonts w:eastAsia="Calibri"/>
        </w:rPr>
        <w:t xml:space="preserve"> in Akanle O, (eds) Tax Law and Administration, Nigeria Institute of Advanced Legal Studies (NIALS), quoted in Abdulrazaq, CITN Nigerian Tax Guide and Statute (1</w:t>
      </w:r>
      <w:r>
        <w:rPr>
          <w:rFonts w:eastAsia="Calibri"/>
          <w:vertAlign w:val="superscript"/>
        </w:rPr>
        <w:t>st</w:t>
      </w:r>
      <w:r>
        <w:rPr>
          <w:rFonts w:eastAsia="Calibri"/>
        </w:rPr>
        <w:t xml:space="preserve"> edn. 46. </w:t>
      </w:r>
    </w:p>
    <w:p w14:paraId="1052A7F5">
      <w:pPr>
        <w:spacing w:after="160" w:line="480" w:lineRule="auto"/>
        <w:jc w:val="both"/>
        <w:rPr>
          <w:rFonts w:eastAsia="Calibri"/>
        </w:rPr>
      </w:pPr>
      <w:r>
        <w:rPr>
          <w:rFonts w:eastAsia="Calibri"/>
        </w:rPr>
        <w:t xml:space="preserve">Gaddy, Clifford and Ickes, Barry, </w:t>
      </w:r>
      <w:r>
        <w:rPr>
          <w:rFonts w:eastAsia="Calibri"/>
          <w:i/>
        </w:rPr>
        <w:t>Resource Rents and the Russian Economy</w:t>
      </w:r>
      <w:r>
        <w:rPr>
          <w:rFonts w:eastAsia="Calibri"/>
        </w:rPr>
        <w:t xml:space="preserve"> (2005) 46(8) Eurasian Geography and Economics 559-583.</w:t>
      </w:r>
    </w:p>
    <w:p w14:paraId="4E021122">
      <w:pPr>
        <w:spacing w:after="160" w:line="480" w:lineRule="auto"/>
        <w:jc w:val="both"/>
        <w:rPr>
          <w:rFonts w:eastAsia="Calibri"/>
        </w:rPr>
      </w:pPr>
      <w:r>
        <w:rPr>
          <w:rFonts w:eastAsia="Calibri"/>
        </w:rPr>
        <w:t>Gattinger, Monica (June 2013)</w:t>
      </w:r>
      <w:r>
        <w:rPr>
          <w:rFonts w:eastAsia="Calibri"/>
          <w:i/>
          <w:iCs/>
        </w:rPr>
        <w:t>.</w:t>
      </w:r>
      <w:r>
        <w:rPr>
          <w:rFonts w:eastAsia="Calibri"/>
        </w:rPr>
        <w:t xml:space="preserve"> </w:t>
      </w:r>
      <w:r>
        <w:rPr>
          <w:rFonts w:eastAsia="Calibri"/>
          <w:i/>
          <w:iCs/>
        </w:rPr>
        <w:t>A National Energy Strategy for Canada: Golden Age or Golden Cage of Energy Federalism?</w:t>
      </w:r>
      <w:r>
        <w:rPr>
          <w:rFonts w:eastAsia="Calibri"/>
        </w:rPr>
        <w:t xml:space="preserve"> 2013 Annual Conference of the Canadian Political Science Association.</w:t>
      </w:r>
    </w:p>
    <w:p w14:paraId="11243BCB">
      <w:pPr>
        <w:spacing w:after="160" w:line="480" w:lineRule="auto"/>
        <w:jc w:val="both"/>
        <w:rPr>
          <w:rFonts w:eastAsia="Calibri"/>
        </w:rPr>
      </w:pPr>
      <w:r>
        <w:rPr>
          <w:rFonts w:eastAsia="Calibri"/>
        </w:rPr>
        <w:t xml:space="preserve">Giertz, Seth and Feldman, Jacob, </w:t>
      </w:r>
      <w:r>
        <w:rPr>
          <w:rFonts w:eastAsia="Calibri"/>
          <w:i/>
        </w:rPr>
        <w:t>The Economic Costs of Tax Policy Uncertainty: Implications for Fundamental Tax Reform</w:t>
      </w:r>
      <w:r>
        <w:rPr>
          <w:rFonts w:eastAsia="Calibri"/>
        </w:rPr>
        <w:t>. (Mercatus Center at George Mason University, 27 November 2012) 1-32.</w:t>
      </w:r>
    </w:p>
    <w:p w14:paraId="3616933E">
      <w:pPr>
        <w:spacing w:after="160" w:line="480" w:lineRule="auto"/>
        <w:jc w:val="both"/>
        <w:rPr>
          <w:rFonts w:eastAsia="Calibri"/>
        </w:rPr>
      </w:pPr>
      <w:r>
        <w:rPr>
          <w:rFonts w:eastAsia="Calibri"/>
        </w:rPr>
        <w:t xml:space="preserve">Giwa-Osagie O. Ehigiato E, </w:t>
      </w:r>
      <w:r>
        <w:rPr>
          <w:rFonts w:eastAsia="Calibri"/>
          <w:i/>
        </w:rPr>
        <w:t>Financing Options in The Oil and Gas Sector in Nigeria</w:t>
      </w:r>
      <w:r>
        <w:rPr>
          <w:rFonts w:eastAsia="Calibri"/>
        </w:rPr>
        <w:t xml:space="preserve"> (2015), 33(3) Journal of Energy &amp; Natural Resources Law, 218-240.</w:t>
      </w:r>
    </w:p>
    <w:p w14:paraId="1B1B89B7">
      <w:pPr>
        <w:spacing w:after="160" w:line="480" w:lineRule="auto"/>
        <w:jc w:val="both"/>
        <w:rPr>
          <w:rFonts w:eastAsia="Calibri"/>
        </w:rPr>
      </w:pPr>
      <w:r>
        <w:rPr>
          <w:rFonts w:eastAsia="Calibri"/>
        </w:rPr>
        <w:t xml:space="preserve">Gravelle J, </w:t>
      </w:r>
      <w:r>
        <w:rPr>
          <w:rFonts w:eastAsia="Calibri"/>
          <w:i/>
        </w:rPr>
        <w:t>The Estate and Gift Tax Provisions of The American Taxpayer Relief Act</w:t>
      </w:r>
      <w:r>
        <w:rPr>
          <w:rFonts w:eastAsia="Calibri"/>
        </w:rPr>
        <w:t xml:space="preserve">. (2012), https://digital.library.unt.edu/ark:/67531/metadc811555. </w:t>
      </w:r>
    </w:p>
    <w:p w14:paraId="0A7F034E">
      <w:pPr>
        <w:spacing w:after="160" w:line="480" w:lineRule="auto"/>
        <w:jc w:val="both"/>
        <w:rPr>
          <w:rFonts w:eastAsia="Calibri"/>
        </w:rPr>
      </w:pPr>
      <w:r>
        <w:rPr>
          <w:rFonts w:eastAsia="Calibri"/>
        </w:rPr>
        <w:t xml:space="preserve">Gravelle, J. G. and Marples D J, </w:t>
      </w:r>
      <w:r>
        <w:rPr>
          <w:rFonts w:eastAsia="Calibri"/>
          <w:i/>
        </w:rPr>
        <w:t>Taxes and International Competitiveness’ Congressional Research Service (CRS) Report</w:t>
      </w:r>
      <w:r>
        <w:rPr>
          <w:rFonts w:eastAsia="Calibri"/>
        </w:rPr>
        <w:t xml:space="preserve">. https://www.takestockblog.com/wp-content/uploads/, RS 22445. </w:t>
      </w:r>
    </w:p>
    <w:p w14:paraId="45AE884C">
      <w:pPr>
        <w:spacing w:after="160" w:line="480" w:lineRule="auto"/>
        <w:jc w:val="both"/>
        <w:rPr>
          <w:rFonts w:eastAsia="Calibri"/>
        </w:rPr>
      </w:pPr>
      <w:r>
        <w:rPr>
          <w:rFonts w:eastAsia="Calibri"/>
        </w:rPr>
        <w:t xml:space="preserve">Gribnau Hans, </w:t>
      </w:r>
      <w:r>
        <w:rPr>
          <w:rFonts w:eastAsia="Calibri"/>
          <w:i/>
        </w:rPr>
        <w:t xml:space="preserve">Legal Certainty: A Matter of Principle’ Retroactivity of Tax Legislation, </w:t>
      </w:r>
      <w:r>
        <w:rPr>
          <w:rFonts w:eastAsia="Calibri"/>
        </w:rPr>
        <w:t>May 2013 Tilburg Law School Research Paper No. 12/2014 p. 69.</w:t>
      </w:r>
    </w:p>
    <w:p w14:paraId="53AFB7F4">
      <w:pPr>
        <w:spacing w:after="160" w:line="480" w:lineRule="auto"/>
        <w:jc w:val="both"/>
        <w:rPr>
          <w:rFonts w:eastAsia="Calibri"/>
        </w:rPr>
      </w:pPr>
      <w:r>
        <w:rPr>
          <w:rFonts w:eastAsia="Calibri"/>
        </w:rPr>
        <w:t xml:space="preserve">Guenther G, </w:t>
      </w:r>
      <w:r>
        <w:rPr>
          <w:rFonts w:eastAsia="Calibri"/>
          <w:i/>
        </w:rPr>
        <w:t>Individual Income Tax Rates and Other Key Elements of The Individual Income Tax</w:t>
      </w:r>
      <w:r>
        <w:rPr>
          <w:rFonts w:eastAsia="Calibri"/>
        </w:rPr>
        <w:t>: 1988-2017' (2018) Congressional Research Service &lt;</w:t>
      </w:r>
      <w:r>
        <w:fldChar w:fldCharType="begin"/>
      </w:r>
      <w:r>
        <w:instrText xml:space="preserve"> HYPERLINK "https://fas.org/sgp/crs/misc/RL34498.pdf" </w:instrText>
      </w:r>
      <w:r>
        <w:fldChar w:fldCharType="separate"/>
      </w:r>
      <w:r>
        <w:rPr>
          <w:rFonts w:eastAsia="Calibri"/>
          <w:u w:val="single"/>
        </w:rPr>
        <w:t>https://fas.org/sgp/crs/misc/RL34498.pdf</w:t>
      </w:r>
      <w:r>
        <w:rPr>
          <w:rFonts w:eastAsia="Calibri"/>
          <w:u w:val="single"/>
        </w:rPr>
        <w:fldChar w:fldCharType="end"/>
      </w:r>
      <w:r>
        <w:rPr>
          <w:rFonts w:eastAsia="Calibri"/>
          <w:u w:val="single"/>
        </w:rPr>
        <w:t>&gt;</w:t>
      </w:r>
      <w:r>
        <w:rPr>
          <w:rFonts w:eastAsia="Calibri"/>
        </w:rPr>
        <w:t xml:space="preserve"> accessed 5 September 2018</w:t>
      </w:r>
    </w:p>
    <w:p w14:paraId="1730FE82">
      <w:pPr>
        <w:spacing w:after="160" w:line="480" w:lineRule="auto"/>
        <w:jc w:val="both"/>
        <w:rPr>
          <w:rFonts w:eastAsia="Calibri"/>
        </w:rPr>
      </w:pPr>
      <w:r>
        <w:rPr>
          <w:rFonts w:eastAsia="Calibri"/>
        </w:rPr>
        <w:t xml:space="preserve">Guenther G, </w:t>
      </w:r>
      <w:r>
        <w:rPr>
          <w:rFonts w:eastAsia="Calibri"/>
          <w:i/>
        </w:rPr>
        <w:t xml:space="preserve">Section 179 And Bonus Depreciation Expensing Allowances: Current Law, Legislative Proposals </w:t>
      </w:r>
      <w:r>
        <w:rPr>
          <w:rFonts w:eastAsia="Calibri"/>
        </w:rPr>
        <w:t>In The 113th Congress, And Economic Effects' (2013) Congressional Research Service &lt;</w:t>
      </w:r>
      <w:r>
        <w:fldChar w:fldCharType="begin"/>
      </w:r>
      <w:r>
        <w:instrText xml:space="preserve"> HYPERLINK "https://www.akingump.com/images/content/2/4/v2/24046/CRS-179-and-168-Report-7-15-13.pdf" </w:instrText>
      </w:r>
      <w:r>
        <w:fldChar w:fldCharType="separate"/>
      </w:r>
      <w:r>
        <w:rPr>
          <w:rFonts w:eastAsia="Calibri"/>
        </w:rPr>
        <w:t>https://www.akingump.com/images/content/2/4/v2/24046/CRS-179-and-168-Report-7-15-13.pdf</w:t>
      </w:r>
      <w:r>
        <w:rPr>
          <w:rFonts w:eastAsia="Calibri"/>
        </w:rPr>
        <w:fldChar w:fldCharType="end"/>
      </w:r>
      <w:r>
        <w:rPr>
          <w:rFonts w:eastAsia="Calibri"/>
        </w:rPr>
        <w:t>&gt; accessed 20 September 2018</w:t>
      </w:r>
    </w:p>
    <w:p w14:paraId="4DA08629">
      <w:pPr>
        <w:spacing w:after="160" w:line="480" w:lineRule="auto"/>
        <w:jc w:val="both"/>
        <w:rPr>
          <w:rFonts w:eastAsia="Calibri"/>
        </w:rPr>
      </w:pPr>
      <w:r>
        <w:rPr>
          <w:rFonts w:eastAsia="Calibri"/>
        </w:rPr>
        <w:t xml:space="preserve">Hafez Abdo, </w:t>
      </w:r>
      <w:r>
        <w:rPr>
          <w:rFonts w:eastAsia="Calibri"/>
          <w:i/>
          <w:iCs/>
        </w:rPr>
        <w:t>Readings in the International Oil and Gas Agreements and the Economic Rent Concept: The Governance of Petroleum Resources,</w:t>
      </w:r>
      <w:r>
        <w:rPr>
          <w:rFonts w:eastAsia="Calibri"/>
        </w:rPr>
        <w:t xml:space="preserve"> Vol. 9, Issue 3 International Energy Journal 163-173 (September 2008).</w:t>
      </w:r>
    </w:p>
    <w:p w14:paraId="2247B0EF">
      <w:pPr>
        <w:spacing w:after="160" w:line="480" w:lineRule="auto"/>
        <w:jc w:val="both"/>
        <w:rPr>
          <w:rFonts w:eastAsia="Calibri"/>
        </w:rPr>
      </w:pPr>
      <w:r>
        <w:rPr>
          <w:rFonts w:eastAsia="Calibri"/>
        </w:rPr>
        <w:t xml:space="preserve">Hafez Abdo, </w:t>
      </w:r>
      <w:r>
        <w:rPr>
          <w:rFonts w:eastAsia="Calibri"/>
          <w:i/>
          <w:iCs/>
        </w:rPr>
        <w:t>Taxation of UK Oil and Gas Production: A Non-Proprietorial Regime?</w:t>
      </w:r>
      <w:r>
        <w:rPr>
          <w:rFonts w:eastAsia="Calibri"/>
        </w:rPr>
        <w:t xml:space="preserve"> LAP-Lambert Academic Publishing, pp.53-54.</w:t>
      </w:r>
    </w:p>
    <w:p w14:paraId="335B72BA">
      <w:pPr>
        <w:spacing w:after="160" w:line="480" w:lineRule="auto"/>
        <w:jc w:val="both"/>
        <w:rPr>
          <w:rFonts w:eastAsia="Calibri"/>
        </w:rPr>
      </w:pPr>
      <w:r>
        <w:rPr>
          <w:rFonts w:eastAsia="Calibri"/>
        </w:rPr>
        <w:t xml:space="preserve">Head J G, </w:t>
      </w:r>
      <w:r>
        <w:rPr>
          <w:rFonts w:eastAsia="Calibri"/>
          <w:i/>
        </w:rPr>
        <w:t xml:space="preserve">Tax Fairness Principles: A Conceptual, Historical and Practical Review </w:t>
      </w:r>
      <w:r>
        <w:rPr>
          <w:rFonts w:eastAsia="Calibri"/>
        </w:rPr>
        <w:t xml:space="preserve">(1992) 9 </w:t>
      </w:r>
      <w:r>
        <w:rPr>
          <w:rFonts w:eastAsia="Calibri"/>
          <w:i/>
          <w:iCs/>
        </w:rPr>
        <w:t>Australian Tax Forum</w:t>
      </w:r>
      <w:r>
        <w:rPr>
          <w:rFonts w:eastAsia="Calibri"/>
        </w:rPr>
        <w:t xml:space="preserve"> 65-125 </w:t>
      </w:r>
    </w:p>
    <w:p w14:paraId="564D225C">
      <w:pPr>
        <w:spacing w:after="160" w:line="480" w:lineRule="auto"/>
        <w:jc w:val="both"/>
        <w:rPr>
          <w:rFonts w:eastAsia="Calibri"/>
        </w:rPr>
      </w:pPr>
      <w:r>
        <w:rPr>
          <w:rFonts w:eastAsia="Calibri"/>
        </w:rPr>
        <w:t xml:space="preserve">Hector I, </w:t>
      </w:r>
      <w:r>
        <w:rPr>
          <w:rFonts w:eastAsia="Calibri"/>
          <w:i/>
        </w:rPr>
        <w:t>Nigeria’s oil and gas industry: Challenges and Prospects</w:t>
      </w:r>
      <w:r>
        <w:rPr>
          <w:rFonts w:eastAsia="Calibri"/>
        </w:rPr>
        <w:t xml:space="preserve">, </w:t>
      </w:r>
      <w:r>
        <w:rPr>
          <w:rFonts w:eastAsia="Calibri"/>
          <w:i/>
          <w:iCs/>
        </w:rPr>
        <w:t>(</w:t>
      </w:r>
      <w:r>
        <w:rPr>
          <w:rFonts w:eastAsia="Calibri"/>
        </w:rPr>
        <w:t>2014)</w:t>
      </w:r>
      <w:r>
        <w:rPr>
          <w:rFonts w:eastAsia="Calibri"/>
          <w:i/>
          <w:iCs/>
        </w:rPr>
        <w:t xml:space="preserve"> Sweet Crude Reports</w:t>
      </w:r>
      <w:r>
        <w:rPr>
          <w:rFonts w:eastAsia="Calibri"/>
        </w:rPr>
        <w:t xml:space="preserve"> &lt;http://sweetcrudereports.com/2014/04/10/nigerias-oil-and-gas-industry-challenges-and-prospects/&gt; accessed 3 September 2018. </w:t>
      </w:r>
    </w:p>
    <w:p w14:paraId="7C0714D8">
      <w:pPr>
        <w:spacing w:after="160" w:line="480" w:lineRule="auto"/>
        <w:jc w:val="both"/>
        <w:rPr>
          <w:rFonts w:eastAsia="Calibri"/>
        </w:rPr>
      </w:pPr>
      <w:r>
        <w:rPr>
          <w:rFonts w:eastAsia="Calibri"/>
        </w:rPr>
        <w:t xml:space="preserve">HMRC, </w:t>
      </w:r>
      <w:r>
        <w:rPr>
          <w:rFonts w:eastAsia="Calibri"/>
          <w:i/>
          <w:iCs/>
        </w:rPr>
        <w:t>A Guide to UK and UK Continental Shelf,</w:t>
      </w:r>
      <w:r>
        <w:rPr>
          <w:rFonts w:eastAsia="Calibri"/>
        </w:rPr>
        <w:t xml:space="preserve"> available at </w:t>
      </w:r>
      <w:r>
        <w:fldChar w:fldCharType="begin"/>
      </w:r>
      <w:r>
        <w:instrText xml:space="preserve"> HYPERLINK "http://www.hmrc.gov.uk/international/ns-fiscal3.htm" \t "_new" </w:instrText>
      </w:r>
      <w:r>
        <w:fldChar w:fldCharType="separate"/>
      </w:r>
      <w:r>
        <w:rPr>
          <w:rFonts w:eastAsia="Calibri"/>
          <w:u w:val="single"/>
        </w:rPr>
        <w:t>http://www.hmrc.gov.uk/international/ns-fiscal3.htm</w:t>
      </w:r>
      <w:r>
        <w:rPr>
          <w:rFonts w:eastAsia="Calibri"/>
          <w:u w:val="single"/>
        </w:rPr>
        <w:fldChar w:fldCharType="end"/>
      </w:r>
      <w:r>
        <w:rPr>
          <w:rFonts w:eastAsia="Calibri"/>
        </w:rPr>
        <w:t xml:space="preserve"> (2010). (Assessed 13th June 2023).</w:t>
      </w:r>
    </w:p>
    <w:p w14:paraId="36B791D0">
      <w:pPr>
        <w:spacing w:after="160" w:line="480" w:lineRule="auto"/>
        <w:jc w:val="both"/>
        <w:rPr>
          <w:rFonts w:eastAsia="Calibri"/>
        </w:rPr>
      </w:pPr>
      <w:r>
        <w:rPr>
          <w:rFonts w:eastAsia="Calibri"/>
        </w:rPr>
        <w:t xml:space="preserve">HMRC, </w:t>
      </w:r>
      <w:r>
        <w:rPr>
          <w:rFonts w:eastAsia="Calibri"/>
          <w:i/>
          <w:iCs/>
        </w:rPr>
        <w:t>Oil and gas taxation: transferable tax history and retention of decommissioning expenditure,</w:t>
      </w:r>
      <w:r>
        <w:rPr>
          <w:rFonts w:eastAsia="Calibri"/>
        </w:rPr>
        <w:t xml:space="preserve"> 31 October 2018.</w:t>
      </w:r>
    </w:p>
    <w:p w14:paraId="3B61AF68">
      <w:pPr>
        <w:spacing w:after="160" w:line="480" w:lineRule="auto"/>
        <w:jc w:val="both"/>
        <w:rPr>
          <w:rFonts w:eastAsia="Calibri"/>
        </w:rPr>
      </w:pPr>
      <w:r>
        <w:rPr>
          <w:rFonts w:eastAsia="Calibri"/>
        </w:rPr>
        <w:t xml:space="preserve">House of Commons, </w:t>
      </w:r>
      <w:r>
        <w:rPr>
          <w:rFonts w:eastAsia="Calibri"/>
          <w:i/>
        </w:rPr>
        <w:t>Tax Evasion And The Use of Tax Havens Report of The Standing Committee On Finance'</w:t>
      </w:r>
      <w:r>
        <w:rPr>
          <w:rFonts w:eastAsia="Calibri"/>
        </w:rPr>
        <w:t xml:space="preserve"> (2013) &lt;</w:t>
      </w:r>
      <w:r>
        <w:fldChar w:fldCharType="begin"/>
      </w:r>
      <w:r>
        <w:instrText xml:space="preserve"> HYPERLINK "https://www.ourcommons.ca/Content/Committee/411/FINA/Reports/RP6085040/finarp17/finarp17-e.pdf" </w:instrText>
      </w:r>
      <w:r>
        <w:fldChar w:fldCharType="separate"/>
      </w:r>
      <w:r>
        <w:rPr>
          <w:rFonts w:eastAsia="Calibri"/>
        </w:rPr>
        <w:t>https://www.ourcommons.ca/Content/Committee/411/FINA/Reports/RP6085040/finarp17/finarp17-e.pdf</w:t>
      </w:r>
      <w:r>
        <w:rPr>
          <w:rFonts w:eastAsia="Calibri"/>
        </w:rPr>
        <w:fldChar w:fldCharType="end"/>
      </w:r>
      <w:r>
        <w:rPr>
          <w:rFonts w:eastAsia="Calibri"/>
        </w:rPr>
        <w:t xml:space="preserve">&gt; accessed 15 August 2018.       </w:t>
      </w:r>
    </w:p>
    <w:p w14:paraId="2D92F044">
      <w:pPr>
        <w:spacing w:after="160" w:line="480" w:lineRule="auto"/>
        <w:jc w:val="both"/>
        <w:rPr>
          <w:rFonts w:eastAsia="Calibri"/>
        </w:rPr>
      </w:pPr>
      <w:r>
        <w:rPr>
          <w:rFonts w:eastAsia="Calibri"/>
        </w:rPr>
        <w:t xml:space="preserve">House of Commons, </w:t>
      </w:r>
      <w:r>
        <w:rPr>
          <w:rFonts w:eastAsia="Calibri"/>
          <w:i/>
        </w:rPr>
        <w:t>Tax Incentives for Charitable Giving In Canada, Report of The Standing Committee on Finance</w:t>
      </w:r>
      <w:r>
        <w:rPr>
          <w:rFonts w:eastAsia="Calibri"/>
        </w:rPr>
        <w:t>. (2013), Terrance S. Carter and Karen J. Cooper.  http://www.carters.ca/pub/bulletin/charity/2013/chylb301.htm.</w:t>
      </w:r>
    </w:p>
    <w:p w14:paraId="79181F1E">
      <w:pPr>
        <w:spacing w:after="160" w:line="480" w:lineRule="auto"/>
        <w:jc w:val="both"/>
        <w:rPr>
          <w:rFonts w:eastAsia="Calibri"/>
        </w:rPr>
      </w:pPr>
      <w:r>
        <w:rPr>
          <w:rFonts w:eastAsia="Calibri"/>
        </w:rPr>
        <w:t xml:space="preserve">Hungerford T, </w:t>
      </w:r>
      <w:r>
        <w:rPr>
          <w:rFonts w:eastAsia="Calibri"/>
          <w:i/>
        </w:rPr>
        <w:t>'Deficit Reduction: The Economic and Tax Revenue Effects of the Personal Exemption Phase-out (PEP) And The Limitation On Itemized Deductions'</w:t>
      </w:r>
      <w:r>
        <w:rPr>
          <w:rFonts w:eastAsia="Calibri"/>
        </w:rPr>
        <w:t xml:space="preserve"> (2013) </w:t>
      </w:r>
      <w:r>
        <w:rPr>
          <w:rFonts w:eastAsia="Calibri"/>
          <w:u w:val="single"/>
        </w:rPr>
        <w:t>Congressional Research Service</w:t>
      </w:r>
      <w:r>
        <w:rPr>
          <w:rFonts w:eastAsia="Calibri"/>
        </w:rPr>
        <w:t xml:space="preserve"> </w:t>
      </w:r>
      <w:r>
        <w:fldChar w:fldCharType="begin"/>
      </w:r>
      <w:r>
        <w:instrText xml:space="preserve"> HYPERLINK "https://fas.org/sgp/crs/misc/R41796.pdf" </w:instrText>
      </w:r>
      <w:r>
        <w:fldChar w:fldCharType="separate"/>
      </w:r>
      <w:r>
        <w:rPr>
          <w:rFonts w:eastAsia="Calibri"/>
          <w:u w:val="single"/>
        </w:rPr>
        <w:t>https://fas.org/sgp/crs/misc/R41796.pdf</w:t>
      </w:r>
      <w:r>
        <w:rPr>
          <w:rFonts w:eastAsia="Calibri"/>
          <w:u w:val="single"/>
        </w:rPr>
        <w:fldChar w:fldCharType="end"/>
      </w:r>
      <w:r>
        <w:rPr>
          <w:rFonts w:eastAsia="Calibri"/>
        </w:rPr>
        <w:t xml:space="preserve"> accessed 9 August 2018.</w:t>
      </w:r>
    </w:p>
    <w:p w14:paraId="2D6EA781">
      <w:pPr>
        <w:spacing w:after="160" w:line="480" w:lineRule="auto"/>
        <w:jc w:val="both"/>
        <w:rPr>
          <w:rFonts w:eastAsia="Calibri"/>
        </w:rPr>
      </w:pPr>
      <w:r>
        <w:rPr>
          <w:rFonts w:eastAsia="Calibri"/>
        </w:rPr>
        <w:t xml:space="preserve">Hungerford T, </w:t>
      </w:r>
      <w:r>
        <w:rPr>
          <w:rFonts w:eastAsia="Calibri"/>
          <w:i/>
        </w:rPr>
        <w:t>Taxes and the Economy: An Economic Analysis of the Top Rate Since 1945</w:t>
      </w:r>
      <w:r>
        <w:rPr>
          <w:rFonts w:eastAsia="Calibri"/>
        </w:rPr>
        <w:t>. https://graphics8.nytimes.com/news/business/0915taxesandeconomy.pdf accessed 20 September 2018.</w:t>
      </w:r>
    </w:p>
    <w:p w14:paraId="091CBF08">
      <w:pPr>
        <w:spacing w:after="160" w:line="480" w:lineRule="auto"/>
        <w:jc w:val="both"/>
        <w:rPr>
          <w:rFonts w:eastAsia="Calibri"/>
          <w:i/>
          <w:iCs/>
        </w:rPr>
      </w:pPr>
      <w:r>
        <w:rPr>
          <w:rFonts w:eastAsia="Calibri"/>
        </w:rPr>
        <w:t xml:space="preserve">Idubor R, </w:t>
      </w:r>
      <w:r>
        <w:rPr>
          <w:rFonts w:eastAsia="Calibri"/>
          <w:i/>
        </w:rPr>
        <w:t>Appraising Taxation and The Nigerian Oil Industry</w:t>
      </w:r>
      <w:r>
        <w:rPr>
          <w:rFonts w:eastAsia="Calibri"/>
        </w:rPr>
        <w:t xml:space="preserve">.  (2015) </w:t>
      </w:r>
      <w:r>
        <w:rPr>
          <w:rFonts w:eastAsia="Calibri"/>
          <w:i/>
          <w:iCs/>
        </w:rPr>
        <w:t xml:space="preserve">Journal of Law, Policy, and Globalization </w:t>
      </w:r>
      <w:r>
        <w:rPr>
          <w:rFonts w:eastAsia="Calibri"/>
        </w:rPr>
        <w:t>37</w:t>
      </w:r>
    </w:p>
    <w:p w14:paraId="2ED94E1B">
      <w:pPr>
        <w:spacing w:after="160" w:line="480" w:lineRule="auto"/>
        <w:jc w:val="both"/>
        <w:rPr>
          <w:rFonts w:eastAsia="Calibri"/>
        </w:rPr>
      </w:pPr>
      <w:r>
        <w:rPr>
          <w:rFonts w:eastAsia="Calibri"/>
        </w:rPr>
        <w:t xml:space="preserve">Ifueko Omogui-Okauro, </w:t>
      </w:r>
      <w:r>
        <w:rPr>
          <w:rFonts w:eastAsia="Calibri"/>
          <w:i/>
        </w:rPr>
        <w:t>The Challenges of Effective Tax Legislation and Revenue Administration For Funding of Public Services In Nigeria: The Role Of Tax Professionals</w:t>
      </w:r>
      <w:r>
        <w:rPr>
          <w:rFonts w:eastAsia="Calibri"/>
        </w:rPr>
        <w:t xml:space="preserve"> (Abuja, 2015) 4.</w:t>
      </w:r>
    </w:p>
    <w:p w14:paraId="61961E20">
      <w:pPr>
        <w:spacing w:after="160" w:line="480" w:lineRule="auto"/>
        <w:jc w:val="both"/>
        <w:rPr>
          <w:rFonts w:eastAsia="Calibri"/>
        </w:rPr>
      </w:pPr>
      <w:r>
        <w:rPr>
          <w:rFonts w:eastAsia="Calibri"/>
        </w:rPr>
        <w:t xml:space="preserve">Ikeyi, N. </w:t>
      </w:r>
      <w:r>
        <w:rPr>
          <w:rFonts w:eastAsia="Calibri"/>
          <w:i/>
        </w:rPr>
        <w:t>Re-appraising the Obligation to Withold Tax under the Nigeria Petroleum Profit Tax Act.</w:t>
      </w:r>
      <w:r>
        <w:rPr>
          <w:rFonts w:eastAsia="Calibri"/>
        </w:rPr>
        <w:t xml:space="preserve"> – International Energy Law and Taxation Review. (2005), Sweet and Maxwell Ltd. </w:t>
      </w:r>
    </w:p>
    <w:p w14:paraId="570E93EE">
      <w:pPr>
        <w:spacing w:after="160" w:line="480" w:lineRule="auto"/>
        <w:jc w:val="both"/>
        <w:rPr>
          <w:rFonts w:eastAsia="Calibri"/>
        </w:rPr>
      </w:pPr>
      <w:r>
        <w:rPr>
          <w:rFonts w:eastAsia="Calibri"/>
        </w:rPr>
        <w:t>Iledare, Wumi ‘</w:t>
      </w:r>
      <w:r>
        <w:rPr>
          <w:rFonts w:eastAsia="Calibri"/>
          <w:i/>
        </w:rPr>
        <w:t>Oil and the Future of Nigeria: Perspectives on Challenges and Strategic Actions for Sustainable Economic Growth and Development</w:t>
      </w:r>
      <w:r>
        <w:rPr>
          <w:rFonts w:eastAsia="Calibri"/>
        </w:rPr>
        <w:t xml:space="preserve">’ (2007) </w:t>
      </w:r>
      <w:r>
        <w:rPr>
          <w:rFonts w:eastAsia="Calibri"/>
          <w:i/>
          <w:iCs/>
        </w:rPr>
        <w:t>International Association for Energy Economics</w:t>
      </w:r>
      <w:r>
        <w:rPr>
          <w:rFonts w:eastAsia="Calibri"/>
        </w:rPr>
        <w:t xml:space="preserve"> 21-25.</w:t>
      </w:r>
    </w:p>
    <w:p w14:paraId="654DF749">
      <w:pPr>
        <w:spacing w:after="160" w:line="480" w:lineRule="auto"/>
        <w:jc w:val="both"/>
        <w:rPr>
          <w:rFonts w:eastAsia="Calibri"/>
        </w:rPr>
      </w:pPr>
      <w:r>
        <w:rPr>
          <w:rFonts w:eastAsia="Calibri"/>
        </w:rPr>
        <w:t xml:space="preserve">Ilesanmi Akanmidu Paul, </w:t>
      </w:r>
      <w:r>
        <w:rPr>
          <w:rFonts w:eastAsia="Calibri"/>
          <w:i/>
        </w:rPr>
        <w:t>A Historical Perspective of Petroleum on Nigeria’s Economic Crisis Since Independence</w:t>
      </w:r>
      <w:r>
        <w:rPr>
          <w:rFonts w:eastAsia="Calibri"/>
        </w:rPr>
        <w:t xml:space="preserve">’ (2015) 15(2) </w:t>
      </w:r>
      <w:r>
        <w:rPr>
          <w:rFonts w:eastAsia="Calibri"/>
          <w:i/>
          <w:iCs/>
        </w:rPr>
        <w:t>Global Journal of Human-Social Science: Economics</w:t>
      </w:r>
      <w:r>
        <w:rPr>
          <w:rFonts w:eastAsia="Calibri"/>
        </w:rPr>
        <w:t xml:space="preserve"> 17-24.</w:t>
      </w:r>
    </w:p>
    <w:p w14:paraId="7B14A5F3">
      <w:pPr>
        <w:spacing w:after="160" w:line="480" w:lineRule="auto"/>
        <w:jc w:val="both"/>
        <w:rPr>
          <w:rFonts w:eastAsia="Calibri"/>
        </w:rPr>
      </w:pPr>
      <w:r>
        <w:rPr>
          <w:rFonts w:eastAsia="Calibri"/>
        </w:rPr>
        <w:t xml:space="preserve">IMF &amp; OECD, </w:t>
      </w:r>
      <w:r>
        <w:rPr>
          <w:rFonts w:eastAsia="Calibri"/>
          <w:i/>
        </w:rPr>
        <w:t>‘Tax Certainty. IMF/OECD Report for the G20 Finance Ministers’</w:t>
      </w:r>
      <w:r>
        <w:rPr>
          <w:rFonts w:eastAsia="Calibri"/>
        </w:rPr>
        <w:t xml:space="preserve"> (2017) Washington DC. https://taxinsights.ey.com/archive/archive-news/</w:t>
      </w:r>
    </w:p>
    <w:p w14:paraId="622F53D6">
      <w:pPr>
        <w:spacing w:after="160" w:line="480" w:lineRule="auto"/>
        <w:jc w:val="both"/>
        <w:rPr>
          <w:rFonts w:eastAsia="Calibri"/>
        </w:rPr>
      </w:pPr>
      <w:r>
        <w:rPr>
          <w:rFonts w:eastAsia="Calibri"/>
        </w:rPr>
        <w:t xml:space="preserve">IMF &amp; OECD, </w:t>
      </w:r>
      <w:r>
        <w:rPr>
          <w:rFonts w:eastAsia="Calibri"/>
          <w:i/>
        </w:rPr>
        <w:t>Tax Certainty- IMF/OECD Report for G20 Finance Ministers</w:t>
      </w:r>
      <w:r>
        <w:rPr>
          <w:rFonts w:eastAsia="Calibri"/>
        </w:rPr>
        <w:t>.  (IMF/OECD 2017)' (2017) &lt;</w:t>
      </w:r>
      <w:r>
        <w:fldChar w:fldCharType="begin"/>
      </w:r>
      <w:r>
        <w:instrText xml:space="preserve"> HYPERLINK "https://www.oecd.org/tax/tax-policy/tax-certainty-report-oecd-imf-report-g20-finance-ministers-2017.pdf" </w:instrText>
      </w:r>
      <w:r>
        <w:fldChar w:fldCharType="separate"/>
      </w:r>
      <w:r>
        <w:rPr>
          <w:rFonts w:eastAsia="Calibri"/>
        </w:rPr>
        <w:t>https://www.oecd.org/tax/tax-policy/tax-certainty-report-oecd-imf-report-g20-finance-ministers-2017.pdf</w:t>
      </w:r>
      <w:r>
        <w:rPr>
          <w:rFonts w:eastAsia="Calibri"/>
        </w:rPr>
        <w:fldChar w:fldCharType="end"/>
      </w:r>
      <w:r>
        <w:rPr>
          <w:rFonts w:eastAsia="Calibri"/>
        </w:rPr>
        <w:t>&gt;  accessed 11 May 2024</w:t>
      </w:r>
    </w:p>
    <w:p w14:paraId="4CB01C9F">
      <w:pPr>
        <w:spacing w:after="160" w:line="480" w:lineRule="auto"/>
        <w:jc w:val="both"/>
        <w:rPr>
          <w:rFonts w:eastAsia="Calibri"/>
        </w:rPr>
      </w:pPr>
      <w:r>
        <w:rPr>
          <w:rFonts w:eastAsia="Calibri"/>
        </w:rPr>
        <w:t xml:space="preserve">IMF/OECD, </w:t>
      </w:r>
      <w:r>
        <w:rPr>
          <w:rFonts w:eastAsia="Calibri"/>
          <w:i/>
        </w:rPr>
        <w:t>Report for the G20 Finance Ministers and Central Bank Governors ‘Update on Tax Certainty’ (Organisation for Economic Co-operation and Development,</w:t>
      </w:r>
      <w:r>
        <w:rPr>
          <w:rFonts w:eastAsia="Calibri"/>
        </w:rPr>
        <w:t xml:space="preserve"> International Monetary Fund, 2018) 5-47 </w:t>
      </w:r>
    </w:p>
    <w:p w14:paraId="1B46DE79">
      <w:pPr>
        <w:spacing w:after="160" w:line="480" w:lineRule="auto"/>
        <w:jc w:val="both"/>
        <w:rPr>
          <w:rFonts w:eastAsia="Calibri"/>
        </w:rPr>
      </w:pPr>
      <w:r>
        <w:rPr>
          <w:rFonts w:eastAsia="Calibri"/>
        </w:rPr>
        <w:t xml:space="preserve">International Monetary Fund (2003), </w:t>
      </w:r>
      <w:r>
        <w:rPr>
          <w:rFonts w:eastAsia="Calibri"/>
          <w:i/>
          <w:iCs/>
        </w:rPr>
        <w:t>Fiscal Policy Formulation and Implementation in Oil-Producing Countries,</w:t>
      </w:r>
      <w:r>
        <w:rPr>
          <w:rFonts w:eastAsia="Calibri"/>
        </w:rPr>
        <w:t xml:space="preserve"> Editors: J.M Davis, R. Ossowski, and A. Fedelino.</w:t>
      </w:r>
    </w:p>
    <w:p w14:paraId="08D19237">
      <w:pPr>
        <w:spacing w:after="160" w:line="480" w:lineRule="auto"/>
        <w:jc w:val="both"/>
        <w:rPr>
          <w:rFonts w:eastAsia="Calibri"/>
        </w:rPr>
      </w:pPr>
      <w:r>
        <w:rPr>
          <w:rFonts w:eastAsia="Calibri"/>
        </w:rPr>
        <w:t xml:space="preserve">Ipaye A, </w:t>
      </w:r>
      <w:r>
        <w:rPr>
          <w:rFonts w:eastAsia="Calibri"/>
          <w:i/>
        </w:rPr>
        <w:t>Legal Framework for Assessment of Income Tax Liability</w:t>
      </w:r>
      <w:r>
        <w:rPr>
          <w:rFonts w:eastAsia="Calibri"/>
        </w:rPr>
        <w:t xml:space="preserve">, A Paper Delivered At An Intensive Training On Tax For Legal Officers Of The FIRS (Abuja: 2007) 4 </w:t>
      </w:r>
    </w:p>
    <w:p w14:paraId="6AE2FBAE">
      <w:pPr>
        <w:spacing w:after="160" w:line="480" w:lineRule="auto"/>
        <w:jc w:val="both"/>
        <w:rPr>
          <w:rFonts w:eastAsia="Calibri"/>
        </w:rPr>
      </w:pPr>
      <w:r>
        <w:rPr>
          <w:rFonts w:eastAsia="Calibri"/>
        </w:rPr>
        <w:t xml:space="preserve">Jack Mintz and Duanjie Chen, </w:t>
      </w:r>
      <w:r>
        <w:rPr>
          <w:rFonts w:eastAsia="Calibri"/>
          <w:i/>
        </w:rPr>
        <w:t>Capturing Economic Rents from Resources through Royalties and Taxes</w:t>
      </w:r>
      <w:r>
        <w:rPr>
          <w:rFonts w:eastAsia="Calibri"/>
        </w:rPr>
        <w:t xml:space="preserve"> (The University of Calgary School of Public Policy, Volume 5, Issue 30, October 2012).</w:t>
      </w:r>
    </w:p>
    <w:p w14:paraId="20DE28CA">
      <w:pPr>
        <w:spacing w:after="160" w:line="480" w:lineRule="auto"/>
        <w:jc w:val="both"/>
        <w:rPr>
          <w:rFonts w:eastAsia="Calibri"/>
        </w:rPr>
      </w:pPr>
      <w:r>
        <w:rPr>
          <w:rFonts w:eastAsia="Calibri"/>
        </w:rPr>
        <w:t xml:space="preserve">James S, and Alley C, </w:t>
      </w:r>
      <w:r>
        <w:rPr>
          <w:rFonts w:eastAsia="Calibri"/>
          <w:i/>
        </w:rPr>
        <w:t>Tax Compliance, Self-Assessment and Tax Administration</w:t>
      </w:r>
      <w:r>
        <w:rPr>
          <w:rFonts w:eastAsia="Calibri"/>
        </w:rPr>
        <w:t xml:space="preserve">. (2004), 2 Journal of Finance and Management in Public Services.&lt;https://ore.exeter.ac.uk/repository/bitstream/handle/10036/47458/james2.pdf?sequence=1&gt; accessed 11 March 2018. </w:t>
      </w:r>
    </w:p>
    <w:p w14:paraId="05CF9A7D">
      <w:pPr>
        <w:spacing w:after="160" w:line="480" w:lineRule="auto"/>
        <w:jc w:val="both"/>
        <w:rPr>
          <w:rFonts w:eastAsia="Calibri"/>
        </w:rPr>
      </w:pPr>
      <w:r>
        <w:rPr>
          <w:rFonts w:eastAsia="Calibri"/>
        </w:rPr>
        <w:t xml:space="preserve">Jason Brown, Timothy Fitzgerald, and Jeremy Weber, </w:t>
      </w:r>
      <w:r>
        <w:rPr>
          <w:rFonts w:eastAsia="Calibri"/>
          <w:i/>
        </w:rPr>
        <w:t xml:space="preserve">Does Resource Ownership Matter? Oil and Gas Royalties and the Income Effect of Extraction </w:t>
      </w:r>
      <w:r>
        <w:rPr>
          <w:rFonts w:eastAsia="Calibri"/>
        </w:rPr>
        <w:t>(2019) Journal of the Association of Environmental and Resource Economists (forthcoming).</w:t>
      </w:r>
    </w:p>
    <w:p w14:paraId="08665D5E">
      <w:pPr>
        <w:spacing w:after="160" w:line="480" w:lineRule="auto"/>
        <w:jc w:val="both"/>
        <w:rPr>
          <w:rFonts w:eastAsia="Calibri"/>
          <w:i/>
        </w:rPr>
      </w:pPr>
      <w:r>
        <w:rPr>
          <w:rFonts w:eastAsia="Calibri"/>
        </w:rPr>
        <w:t xml:space="preserve">Jeffrey Owens, </w:t>
      </w:r>
      <w:r>
        <w:rPr>
          <w:rFonts w:eastAsia="Calibri"/>
          <w:i/>
        </w:rPr>
        <w:t xml:space="preserve">The Role of Tax Certainty in Promoting Sustainable and Inclusive Growth </w:t>
      </w:r>
      <w:r>
        <w:rPr>
          <w:rFonts w:eastAsia="Calibri"/>
        </w:rPr>
        <w:t>(Multi-Disciplinary Academic Conference, UNCTAD, Geneva, 26 October 2018) 1-10.</w:t>
      </w:r>
    </w:p>
    <w:p w14:paraId="5A189C37">
      <w:pPr>
        <w:spacing w:after="160" w:line="480" w:lineRule="auto"/>
        <w:jc w:val="both"/>
        <w:rPr>
          <w:rFonts w:eastAsia="Calibri"/>
          <w:highlight w:val="yellow"/>
        </w:rPr>
      </w:pPr>
      <w:r>
        <w:rPr>
          <w:rFonts w:eastAsia="Calibri"/>
        </w:rPr>
        <w:t xml:space="preserve">Joseph Aigboduwa and Michael Oisamoje, </w:t>
      </w:r>
      <w:r>
        <w:rPr>
          <w:rFonts w:eastAsia="Calibri"/>
          <w:i/>
        </w:rPr>
        <w:t>Promoting Small and Medium Enterprises in the Nigerian Oil and Gas Industry</w:t>
      </w:r>
      <w:r>
        <w:rPr>
          <w:rFonts w:eastAsia="Calibri"/>
        </w:rPr>
        <w:t xml:space="preserve"> (2013) 9(1) European Scientific Journal 244-261</w:t>
      </w:r>
    </w:p>
    <w:p w14:paraId="7D2DC53D">
      <w:pPr>
        <w:spacing w:after="160" w:line="480" w:lineRule="auto"/>
        <w:jc w:val="both"/>
        <w:rPr>
          <w:rFonts w:eastAsia="Calibri"/>
        </w:rPr>
      </w:pPr>
      <w:r>
        <w:rPr>
          <w:rFonts w:eastAsia="Calibri"/>
        </w:rPr>
        <w:t xml:space="preserve">Junaidu Marshall Bello, </w:t>
      </w:r>
      <w:r>
        <w:rPr>
          <w:rFonts w:eastAsia="Calibri"/>
          <w:i/>
        </w:rPr>
        <w:t>Joint Operating Agreements in Oil and Gas Industry: The Consequence of Sole Risk and Non-Consent Clauses to Joint Operation</w:t>
      </w:r>
      <w:r>
        <w:rPr>
          <w:rFonts w:eastAsia="Calibri"/>
        </w:rPr>
        <w:t xml:space="preserve">. (2016) 6(10) Asian Economic and Social Society, pp 214-220. </w:t>
      </w:r>
    </w:p>
    <w:p w14:paraId="5FF4BE81">
      <w:pPr>
        <w:spacing w:after="160" w:line="480" w:lineRule="auto"/>
        <w:jc w:val="both"/>
        <w:rPr>
          <w:rFonts w:eastAsia="Calibri"/>
        </w:rPr>
      </w:pPr>
      <w:r>
        <w:rPr>
          <w:rFonts w:eastAsia="Calibri"/>
        </w:rPr>
        <w:t xml:space="preserve">Kachikwu E, </w:t>
      </w:r>
      <w:r>
        <w:rPr>
          <w:rFonts w:eastAsia="Calibri"/>
          <w:i/>
          <w:iCs/>
        </w:rPr>
        <w:t>Legal Issues in the Nigerian Petroleum Industry</w:t>
      </w:r>
      <w:r>
        <w:rPr>
          <w:rFonts w:eastAsia="Calibri"/>
        </w:rPr>
        <w:t xml:space="preserve"> (Law Publishing and Conference Services Ltd 2016).</w:t>
      </w:r>
    </w:p>
    <w:p w14:paraId="4B3D32C1">
      <w:pPr>
        <w:spacing w:after="160" w:line="480" w:lineRule="auto"/>
        <w:jc w:val="both"/>
        <w:rPr>
          <w:rFonts w:eastAsia="Calibri"/>
        </w:rPr>
      </w:pPr>
      <w:r>
        <w:rPr>
          <w:rFonts w:eastAsia="Calibri"/>
        </w:rPr>
        <w:t xml:space="preserve">Kachikwu O, </w:t>
      </w:r>
      <w:r>
        <w:rPr>
          <w:rFonts w:eastAsia="Calibri"/>
          <w:i/>
        </w:rPr>
        <w:t>'Five Reasons Oil Price Drop Will Be Devastating for Nigeria'</w:t>
      </w:r>
      <w:r>
        <w:rPr>
          <w:rFonts w:eastAsia="Calibri"/>
        </w:rPr>
        <w:t xml:space="preserve"> [2014] Ventures Africa </w:t>
      </w:r>
      <w:r>
        <w:fldChar w:fldCharType="begin"/>
      </w:r>
      <w:r>
        <w:instrText xml:space="preserve"> HYPERLINK "http://www.resourcesgovernance.org.countries/africa/nigeria/oven" </w:instrText>
      </w:r>
      <w:r>
        <w:fldChar w:fldCharType="separate"/>
      </w:r>
      <w:r>
        <w:rPr>
          <w:rFonts w:eastAsia="Calibri"/>
        </w:rPr>
        <w:t>http://www.resourcesgovernance.org.countries/africa/nigeria/oven</w:t>
      </w:r>
      <w:r>
        <w:rPr>
          <w:rFonts w:eastAsia="Calibri"/>
        </w:rPr>
        <w:fldChar w:fldCharType="end"/>
      </w:r>
      <w:r>
        <w:rPr>
          <w:rFonts w:eastAsia="Calibri"/>
        </w:rPr>
        <w:t>.</w:t>
      </w:r>
    </w:p>
    <w:p w14:paraId="05D0F26E">
      <w:pPr>
        <w:spacing w:after="160" w:line="480" w:lineRule="auto"/>
        <w:jc w:val="both"/>
        <w:rPr>
          <w:rFonts w:eastAsia="Calibri"/>
        </w:rPr>
      </w:pPr>
      <w:r>
        <w:rPr>
          <w:rFonts w:eastAsia="Calibri"/>
        </w:rPr>
        <w:t xml:space="preserve">Kehinde T, </w:t>
      </w:r>
      <w:r>
        <w:rPr>
          <w:rFonts w:eastAsia="Calibri"/>
          <w:i/>
        </w:rPr>
        <w:t>Taxing Powers in Nigeria- Time for a New Approach</w:t>
      </w:r>
      <w:r>
        <w:rPr>
          <w:rFonts w:eastAsia="Calibri"/>
        </w:rPr>
        <w:t xml:space="preserve">. 3 Finance and Investment Law, MPJFIL, 268. </w:t>
      </w:r>
    </w:p>
    <w:p w14:paraId="3BF1110C">
      <w:pPr>
        <w:spacing w:after="160" w:line="480" w:lineRule="auto"/>
        <w:jc w:val="both"/>
        <w:rPr>
          <w:rFonts w:eastAsia="Calibri"/>
        </w:rPr>
      </w:pPr>
      <w:r>
        <w:rPr>
          <w:rFonts w:eastAsia="Calibri"/>
        </w:rPr>
        <w:t xml:space="preserve">Keightley M, </w:t>
      </w:r>
      <w:r>
        <w:rPr>
          <w:rFonts w:eastAsia="Calibri"/>
          <w:i/>
        </w:rPr>
        <w:t>The 3.8% Medicare Contribution Tax On Unearned Income, Including Real Estate Transactions</w:t>
      </w:r>
      <w:r>
        <w:rPr>
          <w:rFonts w:eastAsia="Calibri"/>
        </w:rPr>
        <w:t>. (2010) https://economic-legislation.blogspot.com/2010/09/38-medicare-contribution-tax-on.html accessed 17 September 2018</w:t>
      </w:r>
    </w:p>
    <w:p w14:paraId="2A27BDD8">
      <w:pPr>
        <w:spacing w:after="160" w:line="480" w:lineRule="auto"/>
        <w:rPr>
          <w:rFonts w:eastAsia="Calibri"/>
        </w:rPr>
      </w:pPr>
      <w:r>
        <w:rPr>
          <w:rFonts w:eastAsia="Calibri"/>
        </w:rPr>
        <w:t xml:space="preserve">Keightley, M  and Sherlock M F, </w:t>
      </w:r>
      <w:r>
        <w:rPr>
          <w:rFonts w:eastAsia="Calibri"/>
          <w:i/>
        </w:rPr>
        <w:t xml:space="preserve">The Corporate Income Tax System: Overview and Options for Reform </w:t>
      </w:r>
      <w:r>
        <w:rPr>
          <w:rFonts w:eastAsia="Calibri"/>
        </w:rPr>
        <w:t xml:space="preserve">(2012), </w:t>
      </w:r>
      <w:r>
        <w:fldChar w:fldCharType="begin"/>
      </w:r>
      <w:r>
        <w:instrText xml:space="preserve"> HYPERLINK "https://www.researchgate.net/publication/239823793%20-%20accessed%2011%20May%202024" </w:instrText>
      </w:r>
      <w:r>
        <w:fldChar w:fldCharType="separate"/>
      </w:r>
      <w:r>
        <w:rPr>
          <w:rStyle w:val="27"/>
          <w:rFonts w:eastAsia="Calibri"/>
        </w:rPr>
        <w:t>https://www.researchgate.net/publication/239823793 - accessed 11 May 2024</w:t>
      </w:r>
      <w:r>
        <w:rPr>
          <w:rStyle w:val="27"/>
          <w:rFonts w:eastAsia="Calibri"/>
        </w:rPr>
        <w:fldChar w:fldCharType="end"/>
      </w:r>
      <w:r>
        <w:rPr>
          <w:rFonts w:eastAsia="Calibri"/>
        </w:rPr>
        <w:t>.</w:t>
      </w:r>
    </w:p>
    <w:p w14:paraId="51AAE20E">
      <w:pPr>
        <w:spacing w:after="160" w:line="480" w:lineRule="auto"/>
        <w:jc w:val="both"/>
        <w:rPr>
          <w:rFonts w:eastAsia="Calibri"/>
        </w:rPr>
      </w:pPr>
      <w:r>
        <w:rPr>
          <w:rFonts w:eastAsia="Calibri"/>
        </w:rPr>
        <w:t xml:space="preserve">Kirsten Bindermann, </w:t>
      </w:r>
      <w:r>
        <w:rPr>
          <w:rFonts w:eastAsia="Calibri"/>
          <w:i/>
        </w:rPr>
        <w:t>Production-Sharing Agreements: An Economic Analysis’</w:t>
      </w:r>
      <w:r>
        <w:rPr>
          <w:rFonts w:eastAsia="Calibri"/>
        </w:rPr>
        <w:t xml:space="preserve"> (Oxford Institute for Energy Studies, WPM 25, October 2019) 1-106 </w:t>
      </w:r>
    </w:p>
    <w:p w14:paraId="23AF2414">
      <w:pPr>
        <w:spacing w:after="160" w:line="480" w:lineRule="auto"/>
        <w:jc w:val="both"/>
        <w:rPr>
          <w:rFonts w:eastAsia="Calibri"/>
        </w:rPr>
      </w:pPr>
      <w:r>
        <w:rPr>
          <w:rFonts w:eastAsia="Calibri"/>
        </w:rPr>
        <w:t xml:space="preserve">Konto K A, </w:t>
      </w:r>
      <w:r>
        <w:rPr>
          <w:rFonts w:eastAsia="Calibri"/>
          <w:i/>
          <w:iCs/>
        </w:rPr>
        <w:t>A</w:t>
      </w:r>
      <w:r>
        <w:rPr>
          <w:rFonts w:eastAsia="Calibri"/>
          <w:i/>
        </w:rPr>
        <w:t xml:space="preserve"> Theoretical and Empirical Investigation into the Design and Implementation of an Appropriate Tax Regime: An Evaluation of Nigeria’s Petroleum Taxation Arrangements</w:t>
      </w:r>
      <w:r>
        <w:rPr>
          <w:rFonts w:eastAsia="Calibri"/>
        </w:rPr>
        <w:t xml:space="preserve">’ (DPhil thesis, Robert Gordon University 2013) </w:t>
      </w:r>
    </w:p>
    <w:p w14:paraId="1107E9D0">
      <w:pPr>
        <w:spacing w:after="160" w:line="480" w:lineRule="auto"/>
        <w:jc w:val="both"/>
        <w:rPr>
          <w:rFonts w:eastAsia="Calibri"/>
        </w:rPr>
      </w:pPr>
      <w:r>
        <w:rPr>
          <w:rFonts w:eastAsia="Calibri"/>
          <w:i/>
          <w:iCs/>
        </w:rPr>
        <w:t>KPMG -</w:t>
      </w:r>
      <w:r>
        <w:rPr>
          <w:rFonts w:eastAsia="Calibri"/>
        </w:rPr>
        <w:t xml:space="preserve"> </w:t>
      </w:r>
      <w:r>
        <w:rPr>
          <w:rFonts w:eastAsia="Calibri"/>
          <w:i/>
          <w:iCs/>
        </w:rPr>
        <w:t>A Guide to Oil and Gas Taxation in Canada (2015 kpmg.ca/energytax).</w:t>
      </w:r>
    </w:p>
    <w:p w14:paraId="77A17C2B">
      <w:pPr>
        <w:spacing w:after="160" w:line="480" w:lineRule="auto"/>
        <w:jc w:val="both"/>
        <w:rPr>
          <w:rFonts w:eastAsia="Calibri"/>
        </w:rPr>
      </w:pPr>
      <w:r>
        <w:rPr>
          <w:rFonts w:eastAsia="Calibri"/>
        </w:rPr>
        <w:t xml:space="preserve">KPMG Professional Services, </w:t>
      </w:r>
      <w:r>
        <w:rPr>
          <w:rFonts w:eastAsia="Calibri"/>
          <w:i/>
        </w:rPr>
        <w:t xml:space="preserve">'Nigeria's Oil and Gas Industry Brief,' </w:t>
      </w:r>
      <w:r>
        <w:rPr>
          <w:rFonts w:eastAsia="Calibri"/>
        </w:rPr>
        <w:t>(KPMG Nigeria 2018) &lt;http://www.blog.kpmgafrica.com/wp-content/uploads/2016/10/Nigerias-oil-and-gas-Industry-brief.&gt; accessed 1 April 2018.</w:t>
      </w:r>
    </w:p>
    <w:p w14:paraId="092572E3">
      <w:pPr>
        <w:spacing w:after="160" w:line="480" w:lineRule="auto"/>
        <w:jc w:val="both"/>
        <w:rPr>
          <w:rFonts w:eastAsia="Calibri"/>
        </w:rPr>
      </w:pPr>
      <w:r>
        <w:rPr>
          <w:rFonts w:eastAsia="Calibri"/>
        </w:rPr>
        <w:t xml:space="preserve">KPMG, </w:t>
      </w:r>
      <w:r>
        <w:rPr>
          <w:rFonts w:eastAsia="Calibri"/>
          <w:i/>
          <w:iCs/>
        </w:rPr>
        <w:t>Transfer Pricing Awareness Survey</w:t>
      </w:r>
      <w:r>
        <w:rPr>
          <w:rFonts w:eastAsia="Calibri"/>
        </w:rPr>
        <w:t xml:space="preserve"> (KPMG Nigeria, Lagos, Nigeria, June 2017) 1-28.</w:t>
      </w:r>
    </w:p>
    <w:p w14:paraId="7CB52C47">
      <w:pPr>
        <w:spacing w:after="160" w:line="480" w:lineRule="auto"/>
        <w:jc w:val="both"/>
        <w:rPr>
          <w:rFonts w:eastAsia="Calibri"/>
        </w:rPr>
      </w:pPr>
      <w:r>
        <w:rPr>
          <w:rFonts w:eastAsia="Calibri"/>
        </w:rPr>
        <w:t xml:space="preserve">KPMG-Nigeria, </w:t>
      </w:r>
      <w:r>
        <w:rPr>
          <w:rFonts w:eastAsia="Calibri"/>
          <w:i/>
        </w:rPr>
        <w:t>'Investment in Nigeria'</w:t>
      </w:r>
      <w:r>
        <w:rPr>
          <w:rFonts w:eastAsia="Calibri"/>
        </w:rPr>
        <w:t xml:space="preserve"> (2016) &lt;https://assets.kpmg.com/content/dam/kpmg/ng/pdf/tax/investment-in-nigeria-2016.pdf&gt; accessed 20 March 2016 </w:t>
      </w:r>
    </w:p>
    <w:p w14:paraId="4D709A60">
      <w:pPr>
        <w:spacing w:after="160" w:line="480" w:lineRule="auto"/>
        <w:jc w:val="both"/>
        <w:rPr>
          <w:rFonts w:eastAsia="Calibri"/>
        </w:rPr>
      </w:pPr>
      <w:r>
        <w:rPr>
          <w:rFonts w:eastAsia="Calibri"/>
        </w:rPr>
        <w:t xml:space="preserve">KPMG-Nigeria’s- </w:t>
      </w:r>
      <w:r>
        <w:rPr>
          <w:rFonts w:eastAsia="Calibri"/>
          <w:i/>
        </w:rPr>
        <w:t xml:space="preserve">Oil and Gas Industry Brief </w:t>
      </w:r>
      <w:r>
        <w:rPr>
          <w:rFonts w:eastAsia="Calibri"/>
        </w:rPr>
        <w:t>(KPMG Professional Services, KPMG Nigeria, June 2014) 1-22.</w:t>
      </w:r>
    </w:p>
    <w:p w14:paraId="73DF3501">
      <w:pPr>
        <w:spacing w:after="160" w:line="480" w:lineRule="auto"/>
        <w:jc w:val="both"/>
        <w:rPr>
          <w:rFonts w:eastAsia="Calibri"/>
        </w:rPr>
      </w:pPr>
      <w:r>
        <w:rPr>
          <w:rFonts w:eastAsia="Calibri"/>
        </w:rPr>
        <w:t>Kyle Logue,</w:t>
      </w:r>
      <w:r>
        <w:rPr>
          <w:rFonts w:eastAsia="Calibri"/>
          <w:i/>
        </w:rPr>
        <w:t xml:space="preserve"> Optimal Tax Compliance and Penalties When the Law is Uncertain </w:t>
      </w:r>
      <w:r>
        <w:rPr>
          <w:rFonts w:eastAsia="Calibri"/>
        </w:rPr>
        <w:t xml:space="preserve">(2007) 27 </w:t>
      </w:r>
      <w:r>
        <w:rPr>
          <w:rFonts w:eastAsia="Calibri"/>
          <w:i/>
        </w:rPr>
        <w:t>Virginia Tax Review</w:t>
      </w:r>
      <w:r>
        <w:rPr>
          <w:rFonts w:eastAsia="Calibri"/>
        </w:rPr>
        <w:t xml:space="preserve"> 241-296.</w:t>
      </w:r>
    </w:p>
    <w:p w14:paraId="5501694A">
      <w:pPr>
        <w:spacing w:after="160" w:line="480" w:lineRule="auto"/>
        <w:jc w:val="both"/>
        <w:rPr>
          <w:rFonts w:eastAsia="Calibri"/>
        </w:rPr>
      </w:pPr>
      <w:r>
        <w:rPr>
          <w:rFonts w:eastAsia="Calibri"/>
        </w:rPr>
        <w:t xml:space="preserve">Lawal K, </w:t>
      </w:r>
      <w:r>
        <w:rPr>
          <w:rFonts w:eastAsia="Calibri"/>
          <w:i/>
        </w:rPr>
        <w:t>Taxation of Petroleum Profit under the Nigeria’s Petroleum Profit Tax Act</w:t>
      </w:r>
      <w:r>
        <w:rPr>
          <w:rFonts w:eastAsia="Calibri"/>
        </w:rPr>
        <w:t>. (2013) 4(2) Int’l JALSG 1</w:t>
      </w:r>
    </w:p>
    <w:p w14:paraId="32311486">
      <w:pPr>
        <w:spacing w:after="160" w:line="480" w:lineRule="auto"/>
        <w:jc w:val="both"/>
        <w:rPr>
          <w:rFonts w:eastAsia="Calibri"/>
        </w:rPr>
      </w:pPr>
      <w:r>
        <w:rPr>
          <w:rFonts w:eastAsia="Calibri"/>
          <w:iCs/>
        </w:rPr>
        <w:t xml:space="preserve">Lawsky, Sarah B, </w:t>
      </w:r>
      <w:r>
        <w:rPr>
          <w:rFonts w:eastAsia="Calibri"/>
          <w:i/>
          <w:iCs/>
        </w:rPr>
        <w:t>Probably, Understanding Tax Law's Uncertainty</w:t>
      </w:r>
      <w:r>
        <w:rPr>
          <w:rFonts w:eastAsia="Calibri"/>
          <w:iCs/>
        </w:rPr>
        <w:t>. (2009) 157(4) University of Pennsylvania Law Review 1017-1074.</w:t>
      </w:r>
      <w:r>
        <w:rPr>
          <w:rFonts w:eastAsia="Calibri"/>
        </w:rPr>
        <w:t xml:space="preserve"> </w:t>
      </w:r>
    </w:p>
    <w:p w14:paraId="1FED2DF3">
      <w:pPr>
        <w:spacing w:after="160" w:line="480" w:lineRule="auto"/>
        <w:jc w:val="both"/>
        <w:rPr>
          <w:rFonts w:eastAsia="Calibri"/>
        </w:rPr>
      </w:pPr>
      <w:r>
        <w:rPr>
          <w:rFonts w:eastAsia="Calibri"/>
        </w:rPr>
        <w:t xml:space="preserve">Lee Y, and Roger H. Gordon R H, </w:t>
      </w:r>
      <w:r>
        <w:rPr>
          <w:rFonts w:eastAsia="Calibri"/>
          <w:i/>
        </w:rPr>
        <w:t>Tax Structure and Economic Growth</w:t>
      </w:r>
      <w:r>
        <w:rPr>
          <w:rFonts w:eastAsia="Calibri"/>
        </w:rPr>
        <w:t xml:space="preserve">.  (2005) 89 </w:t>
      </w:r>
      <w:r>
        <w:rPr>
          <w:rFonts w:eastAsia="Calibri"/>
          <w:i/>
          <w:iCs/>
        </w:rPr>
        <w:t>Journal of Public Economics</w:t>
      </w:r>
      <w:r>
        <w:rPr>
          <w:rFonts w:eastAsia="Calibri"/>
        </w:rPr>
        <w:t xml:space="preserve"> 1027-1083</w:t>
      </w:r>
    </w:p>
    <w:p w14:paraId="08D12CF9">
      <w:pPr>
        <w:spacing w:after="160" w:line="480" w:lineRule="auto"/>
        <w:jc w:val="both"/>
        <w:rPr>
          <w:rFonts w:eastAsia="Calibri"/>
        </w:rPr>
      </w:pPr>
      <w:r>
        <w:rPr>
          <w:rFonts w:eastAsia="Calibri"/>
        </w:rPr>
        <w:t xml:space="preserve">Lewis Cook E, Nellen T, </w:t>
      </w:r>
      <w:r>
        <w:rPr>
          <w:rFonts w:eastAsia="Calibri"/>
          <w:i/>
        </w:rPr>
        <w:t>Taxing Principles for The Digital Age</w:t>
      </w:r>
      <w:r>
        <w:rPr>
          <w:rFonts w:eastAsia="Calibri"/>
        </w:rPr>
        <w:t>. (</w:t>
      </w:r>
      <w:r>
        <w:rPr>
          <w:rFonts w:eastAsia="Calibri"/>
          <w:lang w:val="en-GB"/>
        </w:rPr>
        <w:t xml:space="preserve">May </w:t>
      </w:r>
      <w:r>
        <w:rPr>
          <w:rFonts w:eastAsia="Calibri"/>
        </w:rPr>
        <w:t>2017) Journal of Accountancy.</w:t>
      </w:r>
    </w:p>
    <w:p w14:paraId="5BB703D4">
      <w:pPr>
        <w:spacing w:after="160" w:line="480" w:lineRule="auto"/>
        <w:jc w:val="both"/>
        <w:rPr>
          <w:rFonts w:eastAsia="Calibri"/>
          <w:i/>
          <w:iCs/>
        </w:rPr>
      </w:pPr>
      <w:r>
        <w:rPr>
          <w:rFonts w:eastAsia="Calibri"/>
        </w:rPr>
        <w:t xml:space="preserve">Lin E Y, and Tong P K, </w:t>
      </w:r>
      <w:r>
        <w:rPr>
          <w:rFonts w:eastAsia="Calibri"/>
          <w:i/>
        </w:rPr>
        <w:t>Marriage and Taxes: What Can We Learn From Tax Returns Filed By Cohabiting Couples?'</w:t>
      </w:r>
      <w:r>
        <w:rPr>
          <w:rFonts w:eastAsia="Calibri"/>
        </w:rPr>
        <w:t xml:space="preserve"> (2012) 65 </w:t>
      </w:r>
      <w:r>
        <w:rPr>
          <w:rFonts w:eastAsia="Calibri"/>
          <w:i/>
          <w:iCs/>
        </w:rPr>
        <w:t>National Tax Journal 1.</w:t>
      </w:r>
    </w:p>
    <w:p w14:paraId="171ABEC6">
      <w:pPr>
        <w:spacing w:after="160" w:line="480" w:lineRule="auto"/>
        <w:jc w:val="both"/>
        <w:rPr>
          <w:rFonts w:eastAsia="Calibri"/>
        </w:rPr>
      </w:pPr>
      <w:r>
        <w:rPr>
          <w:rFonts w:eastAsia="Calibri"/>
        </w:rPr>
        <w:t xml:space="preserve">Logue, Kyle </w:t>
      </w:r>
      <w:r>
        <w:rPr>
          <w:rFonts w:eastAsia="Calibri"/>
          <w:i/>
        </w:rPr>
        <w:t>Optimal Tax Compliance and Penalties When the Law is Uncertain’</w:t>
      </w:r>
      <w:r>
        <w:rPr>
          <w:rFonts w:eastAsia="Calibri"/>
        </w:rPr>
        <w:t xml:space="preserve"> (2007) 27 </w:t>
      </w:r>
      <w:r>
        <w:rPr>
          <w:rFonts w:eastAsia="Calibri"/>
          <w:i/>
          <w:iCs/>
        </w:rPr>
        <w:t>Virginia Tax Review</w:t>
      </w:r>
      <w:r>
        <w:rPr>
          <w:rFonts w:eastAsia="Calibri"/>
        </w:rPr>
        <w:t xml:space="preserve"> 241-296.</w:t>
      </w:r>
    </w:p>
    <w:p w14:paraId="781574D6">
      <w:pPr>
        <w:spacing w:after="160" w:line="480" w:lineRule="auto"/>
        <w:jc w:val="both"/>
        <w:rPr>
          <w:rFonts w:eastAsia="Calibri"/>
          <w:iCs/>
        </w:rPr>
      </w:pPr>
      <w:r>
        <w:rPr>
          <w:rFonts w:eastAsia="Calibri"/>
          <w:iCs/>
        </w:rPr>
        <w:t xml:space="preserve">Long, Susan and Swingen, Judyth, </w:t>
      </w:r>
      <w:r>
        <w:rPr>
          <w:rFonts w:eastAsia="Calibri"/>
          <w:i/>
          <w:iCs/>
        </w:rPr>
        <w:t>Taxpayer Compliance: Setting New Agendas for Research’</w:t>
      </w:r>
      <w:r>
        <w:rPr>
          <w:rFonts w:eastAsia="Calibri"/>
          <w:iCs/>
        </w:rPr>
        <w:t xml:space="preserve"> (1991) 25 Law and Society 637 646-647.</w:t>
      </w:r>
    </w:p>
    <w:p w14:paraId="6A303DCF">
      <w:pPr>
        <w:spacing w:after="160" w:line="480" w:lineRule="auto"/>
        <w:jc w:val="both"/>
        <w:rPr>
          <w:rFonts w:eastAsia="Calibri"/>
          <w:iCs/>
        </w:rPr>
      </w:pPr>
      <w:r>
        <w:rPr>
          <w:rFonts w:eastAsia="Calibri"/>
          <w:iCs/>
        </w:rPr>
        <w:t xml:space="preserve">Lowry, Sean, </w:t>
      </w:r>
      <w:r>
        <w:rPr>
          <w:rFonts w:eastAsia="Calibri"/>
          <w:i/>
          <w:iCs/>
        </w:rPr>
        <w:t>Tax Deductions for Individuals, Itemized Tax Deductions for Individuals Data Analysis</w:t>
      </w:r>
      <w:r>
        <w:rPr>
          <w:rFonts w:eastAsia="Calibri"/>
          <w:iCs/>
        </w:rPr>
        <w:t xml:space="preserve">. (2017) Congressional Research Service </w:t>
      </w:r>
      <w:r>
        <w:fldChar w:fldCharType="begin"/>
      </w:r>
      <w:r>
        <w:instrText xml:space="preserve"> HYPERLINK "https://fas.org/sgp/crs/misc/R43012.pdf" </w:instrText>
      </w:r>
      <w:r>
        <w:fldChar w:fldCharType="separate"/>
      </w:r>
      <w:r>
        <w:rPr>
          <w:rFonts w:eastAsia="Calibri"/>
          <w:iCs/>
          <w:u w:val="single"/>
        </w:rPr>
        <w:t>https://fas.org/sgp/crs/misc/R43012.pdf</w:t>
      </w:r>
      <w:r>
        <w:rPr>
          <w:rFonts w:eastAsia="Calibri"/>
          <w:iCs/>
          <w:u w:val="single"/>
        </w:rPr>
        <w:fldChar w:fldCharType="end"/>
      </w:r>
    </w:p>
    <w:p w14:paraId="57C02901">
      <w:pPr>
        <w:spacing w:after="160" w:line="480" w:lineRule="auto"/>
        <w:jc w:val="both"/>
        <w:rPr>
          <w:rFonts w:eastAsia="Calibri"/>
          <w:iCs/>
        </w:rPr>
      </w:pPr>
      <w:r>
        <w:rPr>
          <w:rFonts w:eastAsia="Calibri"/>
          <w:iCs/>
        </w:rPr>
        <w:t xml:space="preserve">Lucas, Viola. and Thomas Richter, </w:t>
      </w:r>
      <w:r>
        <w:rPr>
          <w:rFonts w:eastAsia="Calibri"/>
          <w:i/>
          <w:iCs/>
        </w:rPr>
        <w:t xml:space="preserve">State hydrocarbon rents, authoritarian survival and the onset of democracy: Evidence from a new dataset. </w:t>
      </w:r>
      <w:r>
        <w:rPr>
          <w:rFonts w:eastAsia="Calibri"/>
          <w:iCs/>
        </w:rPr>
        <w:t xml:space="preserve"> (2016) Research and Politics 1-9.</w:t>
      </w:r>
    </w:p>
    <w:p w14:paraId="01F20068">
      <w:pPr>
        <w:spacing w:after="160" w:line="480" w:lineRule="auto"/>
        <w:jc w:val="both"/>
        <w:rPr>
          <w:rFonts w:eastAsia="Calibri"/>
        </w:rPr>
      </w:pPr>
      <w:r>
        <w:rPr>
          <w:rFonts w:eastAsia="Calibri"/>
        </w:rPr>
        <w:t xml:space="preserve"> Majekodunmi,</w:t>
      </w:r>
      <w:r>
        <w:rPr>
          <w:rFonts w:eastAsia="Calibri"/>
          <w:lang w:val="en-GB"/>
        </w:rPr>
        <w:t xml:space="preserve"> </w:t>
      </w:r>
      <w:r>
        <w:rPr>
          <w:rFonts w:eastAsia="Calibri"/>
        </w:rPr>
        <w:t>Aderonke</w:t>
      </w:r>
      <w:r>
        <w:rPr>
          <w:rFonts w:eastAsia="Calibri"/>
          <w:lang w:val="en-GB"/>
        </w:rPr>
        <w:t>,</w:t>
      </w:r>
      <w:r>
        <w:rPr>
          <w:rFonts w:eastAsia="Calibri"/>
        </w:rPr>
        <w:t xml:space="preserve"> </w:t>
      </w:r>
      <w:r>
        <w:rPr>
          <w:rFonts w:eastAsia="Calibri"/>
          <w:i/>
        </w:rPr>
        <w:t>Federalism in Nigeria: The Past, Current Peril and Future Hopes</w:t>
      </w:r>
      <w:r>
        <w:rPr>
          <w:rFonts w:eastAsia="Calibri"/>
        </w:rPr>
        <w:t xml:space="preserve">’ (2015) 9(2) </w:t>
      </w:r>
      <w:r>
        <w:rPr>
          <w:rFonts w:eastAsia="Calibri"/>
          <w:i/>
          <w:iCs/>
        </w:rPr>
        <w:t>Journal of Policy and Development Studies</w:t>
      </w:r>
      <w:r>
        <w:rPr>
          <w:rFonts w:eastAsia="Calibri"/>
        </w:rPr>
        <w:t xml:space="preserve"> 107-120.</w:t>
      </w:r>
    </w:p>
    <w:p w14:paraId="3C063E9E">
      <w:pPr>
        <w:spacing w:after="160" w:line="480" w:lineRule="auto"/>
        <w:jc w:val="both"/>
        <w:rPr>
          <w:rFonts w:eastAsia="Calibri"/>
        </w:rPr>
      </w:pPr>
      <w:r>
        <w:rPr>
          <w:rFonts w:eastAsia="Calibri"/>
        </w:rPr>
        <w:t xml:space="preserve">Malden, Alexander, </w:t>
      </w:r>
      <w:r>
        <w:rPr>
          <w:rFonts w:eastAsia="Calibri"/>
          <w:i/>
        </w:rPr>
        <w:t xml:space="preserve">‘Nigeria’s Oil and Gas Revenues: Insights from New Company Disclosures’ </w:t>
      </w:r>
      <w:r>
        <w:rPr>
          <w:rFonts w:eastAsia="Calibri"/>
        </w:rPr>
        <w:t>(Natural Resource Governance Institute, December 2017) 1-18.</w:t>
      </w:r>
    </w:p>
    <w:p w14:paraId="569D0D04">
      <w:pPr>
        <w:spacing w:after="160" w:line="480" w:lineRule="auto"/>
        <w:jc w:val="both"/>
        <w:rPr>
          <w:rFonts w:eastAsia="Calibri"/>
        </w:rPr>
      </w:pPr>
      <w:r>
        <w:rPr>
          <w:rFonts w:eastAsia="Calibri"/>
        </w:rPr>
        <w:t xml:space="preserve">Manaf et al. (2016). Likewise, </w:t>
      </w:r>
      <w:r>
        <w:rPr>
          <w:rFonts w:eastAsia="Calibri"/>
          <w:i/>
          <w:iCs/>
        </w:rPr>
        <w:t>Nakhle and Lassourd (2019) evaluate Tax Notes 2020 by Carole Nakhle and Acheampong in Oil and Gas Fiscal Policies: The Impact of Oil Price, Investment, and Production Trend.</w:t>
      </w:r>
    </w:p>
    <w:p w14:paraId="62092639">
      <w:pPr>
        <w:spacing w:after="160" w:line="480" w:lineRule="auto"/>
        <w:jc w:val="both"/>
        <w:rPr>
          <w:rFonts w:eastAsia="Calibri"/>
        </w:rPr>
      </w:pPr>
      <w:r>
        <w:rPr>
          <w:rFonts w:eastAsia="Calibri"/>
        </w:rPr>
        <w:t xml:space="preserve">Matallah, Siham and Matallah, Amal. </w:t>
      </w:r>
      <w:r>
        <w:rPr>
          <w:rFonts w:eastAsia="Calibri"/>
          <w:i/>
        </w:rPr>
        <w:t>Oil Rents and Economic Growth in Oil-Abundant MENA Countries: Governance is the Trump Card to Escape the Resource Trap</w:t>
      </w:r>
      <w:r>
        <w:rPr>
          <w:rFonts w:eastAsia="Calibri"/>
        </w:rPr>
        <w:t xml:space="preserve">. (Department of Economics, University of Tlemcen, Algeria, 2016) 1-29. </w:t>
      </w:r>
    </w:p>
    <w:p w14:paraId="140C3565">
      <w:pPr>
        <w:spacing w:after="160" w:line="480" w:lineRule="auto"/>
        <w:jc w:val="both"/>
        <w:rPr>
          <w:rFonts w:eastAsia="Calibri"/>
        </w:rPr>
      </w:pPr>
      <w:r>
        <w:rPr>
          <w:rFonts w:eastAsia="Calibri"/>
        </w:rPr>
        <w:t xml:space="preserve">Michael Asagunla and Oyeyemi Agbede, </w:t>
      </w:r>
      <w:r>
        <w:rPr>
          <w:rFonts w:eastAsia="Calibri"/>
          <w:i/>
        </w:rPr>
        <w:t xml:space="preserve">Oil Revenue and Output Growth in Nigeria </w:t>
      </w:r>
      <w:r>
        <w:rPr>
          <w:rFonts w:eastAsia="Calibri"/>
        </w:rPr>
        <w:t>(2018) 4(6) International Journal of Economics and Business Management, pp 65-74.</w:t>
      </w:r>
    </w:p>
    <w:p w14:paraId="3369319E">
      <w:pPr>
        <w:spacing w:after="160" w:line="480" w:lineRule="auto"/>
        <w:jc w:val="both"/>
        <w:rPr>
          <w:rFonts w:eastAsia="Calibri"/>
        </w:rPr>
      </w:pPr>
      <w:r>
        <w:rPr>
          <w:rFonts w:eastAsia="Calibri"/>
        </w:rPr>
        <w:t xml:space="preserve">Mintz Jack and Chen Duanjie, </w:t>
      </w:r>
      <w:r>
        <w:rPr>
          <w:rFonts w:eastAsia="Calibri"/>
          <w:i/>
        </w:rPr>
        <w:t>Capturing Economic Rents from Resources through Royalties and Taxes</w:t>
      </w:r>
      <w:r>
        <w:rPr>
          <w:rFonts w:eastAsia="Calibri"/>
        </w:rPr>
        <w:t xml:space="preserve">. (The University of Calgary School of Public Policy, Volume 5, Issue 30, October 2012) 1-47. </w:t>
      </w:r>
    </w:p>
    <w:p w14:paraId="65A150A4">
      <w:pPr>
        <w:spacing w:after="160" w:line="480" w:lineRule="auto"/>
        <w:jc w:val="both"/>
        <w:rPr>
          <w:rFonts w:eastAsia="Calibri"/>
        </w:rPr>
      </w:pPr>
      <w:r>
        <w:rPr>
          <w:rFonts w:eastAsia="Calibri"/>
        </w:rPr>
        <w:t xml:space="preserve">Moloo, Rahim and Khachaturian, Alex. </w:t>
      </w:r>
      <w:r>
        <w:rPr>
          <w:rFonts w:eastAsia="Calibri"/>
          <w:i/>
        </w:rPr>
        <w:t xml:space="preserve">The Compliance with the Law Requirement in International Investment Law. </w:t>
      </w:r>
      <w:r>
        <w:rPr>
          <w:rFonts w:eastAsia="Calibri"/>
        </w:rPr>
        <w:t xml:space="preserve"> (2011) 34(6) Fordham International Law Journal 1473-1501.</w:t>
      </w:r>
    </w:p>
    <w:p w14:paraId="789F8009">
      <w:pPr>
        <w:spacing w:after="160" w:line="480" w:lineRule="auto"/>
        <w:jc w:val="both"/>
        <w:rPr>
          <w:rFonts w:eastAsia="Calibri"/>
        </w:rPr>
      </w:pPr>
      <w:r>
        <w:rPr>
          <w:rFonts w:eastAsia="Calibri"/>
        </w:rPr>
        <w:t xml:space="preserve">Michael C. Moore, (October 2015). </w:t>
      </w:r>
      <w:r>
        <w:rPr>
          <w:rFonts w:eastAsia="Calibri"/>
          <w:i/>
          <w:iCs/>
        </w:rPr>
        <w:t>An Energy Strategy for Canada (PDF).</w:t>
      </w:r>
      <w:r>
        <w:rPr>
          <w:rFonts w:eastAsia="Calibri"/>
        </w:rPr>
        <w:t xml:space="preserve"> </w:t>
      </w:r>
      <w:r>
        <w:rPr>
          <w:rFonts w:eastAsia="Calibri"/>
          <w:i/>
          <w:iCs/>
        </w:rPr>
        <w:t>Canadian Global Affairs Institute (CGAI)</w:t>
      </w:r>
      <w:r>
        <w:rPr>
          <w:rFonts w:eastAsia="Calibri"/>
        </w:rPr>
        <w:t xml:space="preserve"> (Report). Calgary, Alberta. p. 27. ISBN 978-1-927573-49-5. Retrieved 20 July 2020.</w:t>
      </w:r>
    </w:p>
    <w:p w14:paraId="19FFDF05">
      <w:pPr>
        <w:spacing w:after="160" w:line="480" w:lineRule="auto"/>
        <w:jc w:val="both"/>
        <w:rPr>
          <w:rFonts w:eastAsia="Calibri"/>
        </w:rPr>
      </w:pPr>
      <w:r>
        <w:rPr>
          <w:rFonts w:eastAsia="Calibri"/>
        </w:rPr>
        <w:t xml:space="preserve">Myles, Gareth, </w:t>
      </w:r>
      <w:r>
        <w:rPr>
          <w:rFonts w:eastAsia="Calibri"/>
          <w:i/>
        </w:rPr>
        <w:t>Taxation and Economic Growth</w:t>
      </w:r>
      <w:r>
        <w:rPr>
          <w:rFonts w:eastAsia="Calibri"/>
        </w:rPr>
        <w:t xml:space="preserve">.  (2000) 21(1) Institute of Fiscal Studies 141-168. https://www.ifs.org.uk/fs/articles/0105a.pdf.  </w:t>
      </w:r>
    </w:p>
    <w:p w14:paraId="21E91DA9">
      <w:pPr>
        <w:spacing w:after="160" w:line="480" w:lineRule="auto"/>
        <w:jc w:val="both"/>
        <w:rPr>
          <w:rFonts w:eastAsia="Calibri"/>
        </w:rPr>
      </w:pPr>
      <w:r>
        <w:rPr>
          <w:rFonts w:eastAsia="Calibri"/>
        </w:rPr>
        <w:t xml:space="preserve">NAO, </w:t>
      </w:r>
      <w:r>
        <w:rPr>
          <w:rFonts w:eastAsia="Calibri"/>
          <w:i/>
          <w:iCs/>
        </w:rPr>
        <w:t>Oil and Gas in the UK: offshore decommissioning,</w:t>
      </w:r>
      <w:r>
        <w:rPr>
          <w:rFonts w:eastAsia="Calibri"/>
        </w:rPr>
        <w:t xml:space="preserve"> HC 1870, 25 January 2019 pp.25-26.</w:t>
      </w:r>
    </w:p>
    <w:p w14:paraId="07239BDD">
      <w:pPr>
        <w:spacing w:after="160" w:line="480" w:lineRule="auto"/>
        <w:jc w:val="both"/>
        <w:rPr>
          <w:rFonts w:eastAsia="Calibri"/>
        </w:rPr>
      </w:pPr>
      <w:r>
        <w:rPr>
          <w:rFonts w:eastAsia="Calibri"/>
        </w:rPr>
        <w:t>Natural Resources Canada</w:t>
      </w:r>
      <w:r>
        <w:rPr>
          <w:rFonts w:eastAsia="Calibri"/>
          <w:lang w:val="en-GB"/>
        </w:rPr>
        <w:t>,</w:t>
      </w:r>
      <w:r>
        <w:rPr>
          <w:rFonts w:eastAsia="Calibri"/>
        </w:rPr>
        <w:t xml:space="preserve"> </w:t>
      </w:r>
      <w:r>
        <w:rPr>
          <w:rFonts w:eastAsia="Calibri"/>
          <w:lang w:val="en-GB"/>
        </w:rPr>
        <w:t>(</w:t>
      </w:r>
      <w:r>
        <w:rPr>
          <w:rFonts w:eastAsia="Calibri"/>
        </w:rPr>
        <w:t>January 2006</w:t>
      </w:r>
      <w:r>
        <w:rPr>
          <w:rFonts w:eastAsia="Calibri"/>
          <w:lang w:val="en-GB"/>
        </w:rPr>
        <w:t>),</w:t>
      </w:r>
      <w:r>
        <w:rPr>
          <w:rFonts w:eastAsia="Calibri"/>
        </w:rPr>
        <w:t xml:space="preserve"> </w:t>
      </w:r>
      <w:r>
        <w:rPr>
          <w:rFonts w:eastAsia="Calibri"/>
          <w:i/>
          <w:iCs/>
        </w:rPr>
        <w:t>Legal and Policy Frameworks - Canada</w:t>
      </w:r>
      <w:r>
        <w:rPr>
          <w:rFonts w:eastAsia="Calibri"/>
          <w:i/>
          <w:iCs/>
          <w:lang w:val="en-GB"/>
        </w:rPr>
        <w:t>,</w:t>
      </w:r>
      <w:r>
        <w:rPr>
          <w:rFonts w:eastAsia="Calibri"/>
          <w:i/>
          <w:iCs/>
        </w:rPr>
        <w:t xml:space="preserve"> North America: The Energy Picture.</w:t>
      </w:r>
      <w:r>
        <w:rPr>
          <w:rFonts w:eastAsia="Calibri"/>
        </w:rPr>
        <w:t xml:space="preserve"> Archived from the original on 4 November 2006. Retrieved 16 August 2008.</w:t>
      </w:r>
    </w:p>
    <w:p w14:paraId="505B5478">
      <w:pPr>
        <w:spacing w:after="160" w:line="480" w:lineRule="auto"/>
        <w:jc w:val="both"/>
        <w:rPr>
          <w:rFonts w:eastAsia="Calibri"/>
        </w:rPr>
      </w:pPr>
      <w:r>
        <w:rPr>
          <w:rFonts w:eastAsia="Calibri"/>
        </w:rPr>
        <w:t>Nigerian Bureau of Statistics, 'Nigerian Gross Domestic Product Report Q4' (2016). https://nigerianstat.gov.ng/elibrary?queries[search]=gdp.</w:t>
      </w:r>
    </w:p>
    <w:p w14:paraId="5AC46379">
      <w:pPr>
        <w:spacing w:after="160" w:line="480" w:lineRule="auto"/>
        <w:jc w:val="both"/>
        <w:rPr>
          <w:rFonts w:eastAsia="Calibri"/>
        </w:rPr>
      </w:pPr>
      <w:r>
        <w:rPr>
          <w:rFonts w:eastAsia="Calibri"/>
        </w:rPr>
        <w:t xml:space="preserve">Nigerian National Petroleum Corporation- </w:t>
      </w:r>
      <w:r>
        <w:rPr>
          <w:rFonts w:eastAsia="Calibri"/>
          <w:i/>
        </w:rPr>
        <w:t xml:space="preserve">Mission &amp; Vision, </w:t>
      </w:r>
      <w:r>
        <w:rPr>
          <w:rFonts w:eastAsia="Calibri"/>
        </w:rPr>
        <w:t>http://www.nnpcgroup.com/AboutNNPC/MissionVision.aspx accessed 11 May 2024.</w:t>
      </w:r>
    </w:p>
    <w:p w14:paraId="3B28F7AB">
      <w:pPr>
        <w:spacing w:after="160" w:line="480" w:lineRule="auto"/>
        <w:jc w:val="both"/>
        <w:rPr>
          <w:rFonts w:eastAsia="Calibri"/>
        </w:rPr>
      </w:pPr>
      <w:r>
        <w:rPr>
          <w:rFonts w:eastAsia="Calibri"/>
        </w:rPr>
        <w:t xml:space="preserve">Nigerian National Petroleum Corporation </w:t>
      </w:r>
      <w:r>
        <w:rPr>
          <w:rFonts w:eastAsia="Calibri"/>
          <w:i/>
        </w:rPr>
        <w:t>Oil Production</w:t>
      </w:r>
      <w:r>
        <w:rPr>
          <w:rFonts w:eastAsia="Calibri"/>
        </w:rPr>
        <w:t xml:space="preserve">. </w:t>
      </w:r>
      <w:r>
        <w:fldChar w:fldCharType="begin"/>
      </w:r>
      <w:r>
        <w:instrText xml:space="preserve"> HYPERLINK "http://www.nnpcgroup.com/nnpcbusiness/upstreamventures/oilproduction.aspx" </w:instrText>
      </w:r>
      <w:r>
        <w:fldChar w:fldCharType="separate"/>
      </w:r>
      <w:r>
        <w:rPr>
          <w:rFonts w:eastAsia="Calibri"/>
        </w:rPr>
        <w:t>http://www.nnpcgroup.com/nnpcbusiness/upstreamventures/oilproduction.aspx</w:t>
      </w:r>
      <w:r>
        <w:rPr>
          <w:rFonts w:eastAsia="Calibri"/>
        </w:rPr>
        <w:fldChar w:fldCharType="end"/>
      </w:r>
      <w:r>
        <w:rPr>
          <w:rFonts w:eastAsia="Calibri"/>
        </w:rPr>
        <w:t xml:space="preserve">  accessed 11 May 2024.</w:t>
      </w:r>
    </w:p>
    <w:p w14:paraId="2DB22560">
      <w:pPr>
        <w:spacing w:after="160" w:line="480" w:lineRule="auto"/>
        <w:jc w:val="both"/>
        <w:rPr>
          <w:rFonts w:eastAsia="Calibri"/>
        </w:rPr>
      </w:pPr>
      <w:r>
        <w:rPr>
          <w:rFonts w:eastAsia="Calibri"/>
        </w:rPr>
        <w:t xml:space="preserve">Nkwopara C, </w:t>
      </w:r>
      <w:r>
        <w:rPr>
          <w:rFonts w:eastAsia="Calibri"/>
          <w:i/>
        </w:rPr>
        <w:t>Nigeria’s Natural Gas Reserves High — DPR</w:t>
      </w:r>
      <w:r>
        <w:rPr>
          <w:rFonts w:eastAsia="Calibri"/>
        </w:rPr>
        <w:t>, Vanguard Newspaper (1 June 2017) &lt;</w:t>
      </w:r>
      <w:r>
        <w:fldChar w:fldCharType="begin"/>
      </w:r>
      <w:r>
        <w:instrText xml:space="preserve"> HYPERLINK "https://www.vanguardngr.com/2017/06/nigerias-natural-gas-reserves-high-dpr/" </w:instrText>
      </w:r>
      <w:r>
        <w:fldChar w:fldCharType="separate"/>
      </w:r>
      <w:r>
        <w:rPr>
          <w:rFonts w:eastAsia="Calibri"/>
        </w:rPr>
        <w:t>https://www.vanguardngr.com/2017/06/nigerias-natural-gas-reserves-high-dpr/</w:t>
      </w:r>
      <w:r>
        <w:rPr>
          <w:rFonts w:eastAsia="Calibri"/>
        </w:rPr>
        <w:fldChar w:fldCharType="end"/>
      </w:r>
      <w:r>
        <w:rPr>
          <w:rFonts w:eastAsia="Calibri"/>
        </w:rPr>
        <w:t>&gt; accessed 11 May 2024</w:t>
      </w:r>
    </w:p>
    <w:p w14:paraId="002DB6C5">
      <w:pPr>
        <w:spacing w:after="160" w:line="480" w:lineRule="auto"/>
        <w:jc w:val="both"/>
        <w:rPr>
          <w:rFonts w:eastAsia="Calibri"/>
        </w:rPr>
      </w:pPr>
      <w:r>
        <w:rPr>
          <w:rFonts w:eastAsia="Calibri"/>
        </w:rPr>
        <w:t xml:space="preserve">Nlerum F, </w:t>
      </w:r>
      <w:r>
        <w:rPr>
          <w:rFonts w:eastAsia="Calibri"/>
          <w:i/>
        </w:rPr>
        <w:t>Reflections on Participation Regimes in Nigeria's Oil Sector</w:t>
      </w:r>
      <w:r>
        <w:rPr>
          <w:rFonts w:eastAsia="Calibri"/>
        </w:rPr>
        <w:t>.  (2007), Nigerian Current Law Review 147.</w:t>
      </w:r>
    </w:p>
    <w:p w14:paraId="74C94A3A">
      <w:pPr>
        <w:spacing w:after="160" w:line="480" w:lineRule="auto"/>
        <w:jc w:val="both"/>
        <w:rPr>
          <w:rFonts w:eastAsia="Calibri"/>
        </w:rPr>
      </w:pPr>
      <w:r>
        <w:rPr>
          <w:rFonts w:eastAsia="Calibri"/>
        </w:rPr>
        <w:t xml:space="preserve">Nnona G, </w:t>
      </w:r>
      <w:r>
        <w:rPr>
          <w:rFonts w:eastAsia="Calibri"/>
          <w:i/>
        </w:rPr>
        <w:t>New Policy Regime for Gas in Nigeria: A Perspective on Tax and Related Incentives</w:t>
      </w:r>
      <w:r>
        <w:rPr>
          <w:rFonts w:eastAsia="Calibri"/>
        </w:rPr>
        <w:t xml:space="preserve">. (2003) 21 </w:t>
      </w:r>
      <w:r>
        <w:rPr>
          <w:rFonts w:eastAsia="Calibri"/>
          <w:i/>
          <w:iCs/>
        </w:rPr>
        <w:t>Journal of Energy and Natural Resources Law</w:t>
      </w:r>
      <w:r>
        <w:rPr>
          <w:rFonts w:eastAsia="Calibri"/>
        </w:rPr>
        <w:t xml:space="preserve"> (2003). </w:t>
      </w:r>
    </w:p>
    <w:p w14:paraId="693188C8">
      <w:pPr>
        <w:spacing w:after="160" w:line="480" w:lineRule="auto"/>
        <w:jc w:val="both"/>
        <w:rPr>
          <w:rFonts w:eastAsia="Calibri"/>
        </w:rPr>
      </w:pPr>
      <w:r>
        <w:rPr>
          <w:rFonts w:eastAsia="Calibri"/>
        </w:rPr>
        <w:t xml:space="preserve">Nuschler D, </w:t>
      </w:r>
      <w:r>
        <w:rPr>
          <w:rFonts w:eastAsia="Calibri"/>
          <w:i/>
        </w:rPr>
        <w:t>Temporary Payroll Tax Reduction</w:t>
      </w:r>
      <w:r>
        <w:rPr>
          <w:rFonts w:eastAsia="Calibri"/>
        </w:rPr>
        <w:t>, See CRS Report R42035, web.ncf.ca/fl512/government/2013/extending the temporary payroll reduction.</w:t>
      </w:r>
    </w:p>
    <w:p w14:paraId="2C5956AB">
      <w:pPr>
        <w:spacing w:after="160" w:line="480" w:lineRule="auto"/>
        <w:jc w:val="both"/>
        <w:rPr>
          <w:rFonts w:eastAsia="Calibri"/>
        </w:rPr>
      </w:pPr>
      <w:r>
        <w:rPr>
          <w:rFonts w:eastAsia="Calibri"/>
        </w:rPr>
        <w:t>Nwachukwu C,</w:t>
      </w:r>
      <w:r>
        <w:rPr>
          <w:rFonts w:eastAsia="Calibri"/>
          <w:i/>
        </w:rPr>
        <w:t xml:space="preserve"> PIB: Legacy legislation begging for passage</w:t>
      </w:r>
      <w:r>
        <w:rPr>
          <w:rFonts w:eastAsia="Calibri"/>
        </w:rPr>
        <w:t xml:space="preserve">. Vanguard (8 January 2014) online: </w:t>
      </w:r>
      <w:r>
        <w:fldChar w:fldCharType="begin"/>
      </w:r>
      <w:r>
        <w:instrText xml:space="preserve"> HYPERLINK "http://www.vanguardngr.com" </w:instrText>
      </w:r>
      <w:r>
        <w:fldChar w:fldCharType="separate"/>
      </w:r>
      <w:r>
        <w:rPr>
          <w:rFonts w:eastAsia="Calibri"/>
          <w:u w:val="single"/>
        </w:rPr>
        <w:t>http://www.vanguardngr.com</w:t>
      </w:r>
      <w:r>
        <w:rPr>
          <w:rFonts w:eastAsia="Calibri"/>
          <w:u w:val="single"/>
        </w:rPr>
        <w:fldChar w:fldCharType="end"/>
      </w:r>
      <w:r>
        <w:rPr>
          <w:rFonts w:eastAsia="Calibri"/>
        </w:rPr>
        <w:t xml:space="preserve"> accessed 11 May 2024.</w:t>
      </w:r>
    </w:p>
    <w:p w14:paraId="7A5EBB2E">
      <w:pPr>
        <w:spacing w:after="160" w:line="480" w:lineRule="auto"/>
        <w:jc w:val="both"/>
        <w:rPr>
          <w:rFonts w:eastAsia="Calibri"/>
        </w:rPr>
      </w:pPr>
      <w:r>
        <w:rPr>
          <w:rFonts w:eastAsia="Calibri"/>
        </w:rPr>
        <w:t xml:space="preserve">Nwaoba Itumo, Victor. </w:t>
      </w:r>
      <w:r>
        <w:rPr>
          <w:rFonts w:eastAsia="Calibri"/>
          <w:i/>
        </w:rPr>
        <w:t>Nigeria’s Mono-Cultural Economy: Impact Assessment and Prospects’</w:t>
      </w:r>
      <w:r>
        <w:rPr>
          <w:rFonts w:eastAsia="Calibri"/>
        </w:rPr>
        <w:t xml:space="preserve"> (2016) 8 (2) </w:t>
      </w:r>
      <w:r>
        <w:rPr>
          <w:rFonts w:eastAsia="Calibri"/>
          <w:i/>
          <w:iCs/>
        </w:rPr>
        <w:t>European Journal of Interdisciplinary Studies</w:t>
      </w:r>
      <w:r>
        <w:rPr>
          <w:rFonts w:eastAsia="Calibri"/>
        </w:rPr>
        <w:t xml:space="preserve"> 20-35.</w:t>
      </w:r>
    </w:p>
    <w:p w14:paraId="1F3FC47B">
      <w:pPr>
        <w:spacing w:after="160" w:line="480" w:lineRule="auto"/>
        <w:jc w:val="both"/>
        <w:rPr>
          <w:rFonts w:eastAsia="Calibri"/>
        </w:rPr>
      </w:pPr>
      <w:r>
        <w:rPr>
          <w:rFonts w:eastAsia="Calibri"/>
        </w:rPr>
        <w:t xml:space="preserve">Nweje C, </w:t>
      </w:r>
      <w:r>
        <w:rPr>
          <w:rFonts w:eastAsia="Calibri"/>
          <w:i/>
        </w:rPr>
        <w:t>Nigeria: How Lack of Transparency in Oil Sector Under-Develops Nigeria</w:t>
      </w:r>
      <w:r>
        <w:rPr>
          <w:rFonts w:eastAsia="Calibri"/>
        </w:rPr>
        <w:t>.  Daily Independent (24 August 2014) online: http://allafrica.com accessed 11 May 2024.</w:t>
      </w:r>
    </w:p>
    <w:p w14:paraId="6C616465">
      <w:pPr>
        <w:spacing w:after="160" w:line="480" w:lineRule="auto"/>
        <w:jc w:val="both"/>
        <w:rPr>
          <w:rFonts w:eastAsia="Calibri"/>
        </w:rPr>
      </w:pPr>
      <w:r>
        <w:rPr>
          <w:rFonts w:eastAsia="Calibri"/>
        </w:rPr>
        <w:t xml:space="preserve">Nwete B O N, </w:t>
      </w:r>
      <w:r>
        <w:rPr>
          <w:rFonts w:eastAsia="Calibri"/>
          <w:i/>
        </w:rPr>
        <w:t>How Can Tax Allowances Promote Investment in the Nigerian Petroleum Industry.</w:t>
      </w:r>
      <w:r>
        <w:rPr>
          <w:rFonts w:eastAsia="Calibri"/>
        </w:rPr>
        <w:t xml:space="preserve">’ </w:t>
      </w:r>
    </w:p>
    <w:p w14:paraId="6F555BFE">
      <w:pPr>
        <w:spacing w:after="160" w:line="480" w:lineRule="auto"/>
        <w:jc w:val="both"/>
        <w:rPr>
          <w:rFonts w:eastAsia="Calibri"/>
        </w:rPr>
      </w:pPr>
      <w:r>
        <w:rPr>
          <w:rFonts w:eastAsia="Calibri"/>
          <w:lang w:val="nl-BE"/>
        </w:rPr>
        <w:t xml:space="preserve">Nweze Paul Nweze and Edame, Greg Ekpung. </w:t>
      </w:r>
      <w:r>
        <w:rPr>
          <w:rFonts w:eastAsia="Calibri"/>
          <w:i/>
        </w:rPr>
        <w:t>‘An Empirical Investigation of Oil Revenue and Economic Growth in Nigeria</w:t>
      </w:r>
      <w:r>
        <w:rPr>
          <w:rFonts w:eastAsia="Calibri"/>
        </w:rPr>
        <w:t xml:space="preserve">’ (2016) 12(25) </w:t>
      </w:r>
      <w:r>
        <w:rPr>
          <w:rFonts w:eastAsia="Calibri"/>
          <w:i/>
          <w:iCs/>
        </w:rPr>
        <w:t>European Scientific Journal</w:t>
      </w:r>
      <w:r>
        <w:rPr>
          <w:rFonts w:eastAsia="Calibri"/>
        </w:rPr>
        <w:t xml:space="preserve"> 271-294. </w:t>
      </w:r>
    </w:p>
    <w:p w14:paraId="38B70F4B">
      <w:pPr>
        <w:spacing w:after="160" w:line="480" w:lineRule="auto"/>
        <w:jc w:val="both"/>
        <w:rPr>
          <w:rFonts w:eastAsia="Calibri"/>
        </w:rPr>
      </w:pPr>
      <w:r>
        <w:rPr>
          <w:rFonts w:eastAsia="Calibri"/>
        </w:rPr>
        <w:t xml:space="preserve">Nwoba, Martin and E.O. Abah, </w:t>
      </w:r>
      <w:r>
        <w:rPr>
          <w:rFonts w:eastAsia="Calibri"/>
          <w:i/>
        </w:rPr>
        <w:t xml:space="preserve">Impact of Crude Oil Revenue (COR) On Economic Growth in Nigeria </w:t>
      </w:r>
      <w:r>
        <w:rPr>
          <w:rFonts w:eastAsia="Calibri"/>
        </w:rPr>
        <w:t xml:space="preserve">(1960-2010)’ (2017) 22(7) IOSR </w:t>
      </w:r>
      <w:r>
        <w:rPr>
          <w:rFonts w:eastAsia="Calibri"/>
          <w:i/>
          <w:iCs/>
        </w:rPr>
        <w:t>Journal of Humanities and Social Science</w:t>
      </w:r>
      <w:r>
        <w:rPr>
          <w:rFonts w:eastAsia="Calibri"/>
        </w:rPr>
        <w:t xml:space="preserve"> (IOSR-JHSS) 85-99.</w:t>
      </w:r>
    </w:p>
    <w:p w14:paraId="61D27900">
      <w:pPr>
        <w:spacing w:after="160" w:line="480" w:lineRule="auto"/>
        <w:jc w:val="both"/>
        <w:rPr>
          <w:rFonts w:eastAsia="Calibri"/>
        </w:rPr>
      </w:pPr>
      <w:r>
        <w:rPr>
          <w:rFonts w:eastAsia="Calibri"/>
        </w:rPr>
        <w:t xml:space="preserve">Nwokeji, Ugo. </w:t>
      </w:r>
      <w:r>
        <w:rPr>
          <w:rFonts w:eastAsia="Calibri"/>
          <w:i/>
        </w:rPr>
        <w:t>The Nigerian National Petroleum Corporation and the Development of the Nigerian Oil and Gas Industry: History, Strategies and Current Directions</w:t>
      </w:r>
      <w:r>
        <w:rPr>
          <w:rFonts w:eastAsia="Calibri"/>
        </w:rPr>
        <w:t xml:space="preserve">.  (The James A. Baker III Institute for Public Policy, Japan Petroleum Energy Center, Rice University, March 2007) 1-146. </w:t>
      </w:r>
    </w:p>
    <w:p w14:paraId="6278DD26">
      <w:pPr>
        <w:spacing w:after="160" w:line="480" w:lineRule="auto"/>
        <w:jc w:val="both"/>
        <w:rPr>
          <w:rFonts w:eastAsia="Calibri"/>
        </w:rPr>
      </w:pPr>
      <w:r>
        <w:rPr>
          <w:rFonts w:eastAsia="Calibri"/>
        </w:rPr>
        <w:t xml:space="preserve">Oando - </w:t>
      </w:r>
      <w:r>
        <w:rPr>
          <w:rFonts w:eastAsia="Calibri"/>
          <w:i/>
        </w:rPr>
        <w:t xml:space="preserve">Investing in the Energy Chain: Transforming Africa. </w:t>
      </w:r>
      <w:r>
        <w:rPr>
          <w:rFonts w:eastAsia="Calibri"/>
        </w:rPr>
        <w:t xml:space="preserve"> (Oando Plc, Lagos, Nigeria 2013) 1-28; Simmons and Company, ‘Midstream and Downstream’ &lt;http://www.simmonspjc.com/Investment-Banking/Industry-Sectors/Midstream-and -Downstream/ &gt; accessed 11 May 2024.</w:t>
      </w:r>
    </w:p>
    <w:p w14:paraId="51C8E713">
      <w:pPr>
        <w:spacing w:after="160" w:line="480" w:lineRule="auto"/>
        <w:jc w:val="both"/>
        <w:rPr>
          <w:rFonts w:eastAsia="Calibri"/>
        </w:rPr>
      </w:pPr>
      <w:r>
        <w:rPr>
          <w:rFonts w:eastAsia="Calibri"/>
        </w:rPr>
        <w:t xml:space="preserve">Obayemi O, </w:t>
      </w:r>
      <w:r>
        <w:rPr>
          <w:rFonts w:eastAsia="Calibri"/>
          <w:i/>
        </w:rPr>
        <w:t>Legal Validity of Tax Opinions/Advance Tax Rulings in Nigeria: Revisiting Saipem Contracting Nigeria Ltd vs Federal Inland Revenue Service,</w:t>
      </w:r>
      <w:r>
        <w:rPr>
          <w:rFonts w:eastAsia="Calibri"/>
        </w:rPr>
        <w:t xml:space="preserve"> Suit No: FHC/L/CS/1081/09’ </w:t>
      </w:r>
      <w:r>
        <w:rPr>
          <w:rFonts w:eastAsia="Calibri"/>
          <w:i/>
          <w:iCs/>
        </w:rPr>
        <w:t>This Day Lawyer</w:t>
      </w:r>
      <w:r>
        <w:rPr>
          <w:rFonts w:eastAsia="Calibri"/>
        </w:rPr>
        <w:t xml:space="preserve"> (30 September 2014) 12. </w:t>
      </w:r>
    </w:p>
    <w:p w14:paraId="2355AFCD">
      <w:pPr>
        <w:spacing w:after="160" w:line="480" w:lineRule="auto"/>
        <w:jc w:val="both"/>
        <w:rPr>
          <w:rFonts w:eastAsia="Calibri"/>
        </w:rPr>
      </w:pPr>
      <w:r>
        <w:rPr>
          <w:rFonts w:eastAsia="Calibri"/>
        </w:rPr>
        <w:t xml:space="preserve">Obayomi Wole &amp; Ogungbenro Tope, KPMG Nigeria, </w:t>
      </w:r>
      <w:r>
        <w:rPr>
          <w:rFonts w:eastAsia="Calibri"/>
          <w:i/>
        </w:rPr>
        <w:t>Transfer Pricing Awareness Survey’ J</w:t>
      </w:r>
      <w:r>
        <w:rPr>
          <w:rFonts w:eastAsia="Calibri"/>
        </w:rPr>
        <w:t xml:space="preserve">une 2017, 1-28. KPMG.com/ng. </w:t>
      </w:r>
    </w:p>
    <w:p w14:paraId="29461488">
      <w:pPr>
        <w:spacing w:after="160" w:line="480" w:lineRule="auto"/>
        <w:jc w:val="both"/>
        <w:rPr>
          <w:rFonts w:eastAsia="Calibri"/>
        </w:rPr>
      </w:pPr>
      <w:r>
        <w:rPr>
          <w:rFonts w:eastAsia="Calibri"/>
        </w:rPr>
        <w:t>Obioma Helen, and Onyi-Gelle</w:t>
      </w:r>
      <w:r>
        <w:rPr>
          <w:rFonts w:eastAsia="Calibri"/>
          <w:i/>
        </w:rPr>
        <w:t xml:space="preserve">. National Participation in the Nigeria Oil and Gas Industry: Prospects and Challenges. </w:t>
      </w:r>
      <w:r>
        <w:rPr>
          <w:rFonts w:eastAsia="Calibri"/>
        </w:rPr>
        <w:t xml:space="preserve"> (2016) 7(2) </w:t>
      </w:r>
      <w:r>
        <w:rPr>
          <w:rFonts w:eastAsia="Calibri"/>
          <w:i/>
          <w:iCs/>
        </w:rPr>
        <w:t xml:space="preserve">Journal of Emerging Trends in Educational Research and Policy Studies </w:t>
      </w:r>
      <w:r>
        <w:rPr>
          <w:rFonts w:eastAsia="Calibri"/>
        </w:rPr>
        <w:t xml:space="preserve">(JETERAPS) 134-144. </w:t>
      </w:r>
    </w:p>
    <w:p w14:paraId="008E5CB5">
      <w:pPr>
        <w:spacing w:after="160" w:line="480" w:lineRule="auto"/>
        <w:jc w:val="both"/>
        <w:rPr>
          <w:rFonts w:eastAsia="Calibri"/>
        </w:rPr>
      </w:pPr>
      <w:r>
        <w:rPr>
          <w:rFonts w:eastAsia="Calibri"/>
        </w:rPr>
        <w:t xml:space="preserve">Ocheni, Stephen (2015) 3(1) </w:t>
      </w:r>
      <w:r>
        <w:rPr>
          <w:rFonts w:eastAsia="Calibri"/>
          <w:i/>
        </w:rPr>
        <w:t>Oil and Gas Industry and the Growth of Small and Medium Enterprises in Nigeria: Local Content Policy Implications</w:t>
      </w:r>
      <w:r>
        <w:rPr>
          <w:rFonts w:eastAsia="Calibri"/>
        </w:rPr>
        <w:t xml:space="preserve">’ </w:t>
      </w:r>
      <w:r>
        <w:rPr>
          <w:rFonts w:eastAsia="Calibri"/>
          <w:i/>
          <w:iCs/>
        </w:rPr>
        <w:t>Journal of Small Business and Entrepreneurship Development</w:t>
      </w:r>
      <w:r>
        <w:rPr>
          <w:rFonts w:eastAsia="Calibri"/>
        </w:rPr>
        <w:t xml:space="preserve"> 66-75. </w:t>
      </w:r>
    </w:p>
    <w:p w14:paraId="7087412D">
      <w:pPr>
        <w:spacing w:after="160" w:line="480" w:lineRule="auto"/>
        <w:jc w:val="both"/>
        <w:rPr>
          <w:rFonts w:eastAsia="Calibri"/>
        </w:rPr>
      </w:pPr>
      <w:r>
        <w:rPr>
          <w:rFonts w:eastAsia="Calibri"/>
        </w:rPr>
        <w:t xml:space="preserve">Oduntan, O M. </w:t>
      </w:r>
      <w:r>
        <w:rPr>
          <w:rFonts w:eastAsia="Calibri"/>
          <w:i/>
        </w:rPr>
        <w:t>The Role of Taxation in Nigeria’s Oil and Gas Sector Reforms-Learning from the Canadian Experience</w:t>
      </w:r>
      <w:r>
        <w:rPr>
          <w:rFonts w:eastAsia="Calibri"/>
        </w:rPr>
        <w:t>.  (University of Saskatchewan 2015).</w:t>
      </w:r>
    </w:p>
    <w:p w14:paraId="0FDC48BF">
      <w:pPr>
        <w:spacing w:after="160" w:line="480" w:lineRule="auto"/>
        <w:jc w:val="both"/>
        <w:rPr>
          <w:rFonts w:eastAsia="Calibri"/>
        </w:rPr>
      </w:pPr>
      <w:r>
        <w:rPr>
          <w:rFonts w:eastAsia="Calibri"/>
        </w:rPr>
        <w:t xml:space="preserve">Odusola A, </w:t>
      </w:r>
      <w:r>
        <w:rPr>
          <w:rFonts w:eastAsia="Calibri"/>
          <w:i/>
        </w:rPr>
        <w:t>Tax Policy Reforms in Nigeria’ World Institute for Development Economics,</w:t>
      </w:r>
      <w:r>
        <w:rPr>
          <w:rFonts w:eastAsia="Calibri"/>
        </w:rPr>
        <w:t xml:space="preserve"> Research Paper No. 2006/3, (United Nations University 2006) </w:t>
      </w:r>
    </w:p>
    <w:p w14:paraId="10DF8DE6">
      <w:pPr>
        <w:spacing w:after="160" w:line="480" w:lineRule="auto"/>
        <w:jc w:val="both"/>
        <w:rPr>
          <w:rFonts w:eastAsia="Calibri"/>
        </w:rPr>
      </w:pPr>
      <w:r>
        <w:rPr>
          <w:rFonts w:eastAsia="Calibri"/>
        </w:rPr>
        <w:t xml:space="preserve">OECD, </w:t>
      </w:r>
      <w:r>
        <w:rPr>
          <w:rFonts w:eastAsia="Calibri"/>
          <w:i/>
        </w:rPr>
        <w:t>Model Tax Convention on Income and On Capital, Condensed Version</w:t>
      </w:r>
      <w:r>
        <w:rPr>
          <w:rFonts w:eastAsia="Calibri"/>
        </w:rPr>
        <w:t>. (2010).</w:t>
      </w:r>
    </w:p>
    <w:p w14:paraId="6B53611B">
      <w:pPr>
        <w:spacing w:after="160" w:line="480" w:lineRule="auto"/>
        <w:jc w:val="both"/>
        <w:rPr>
          <w:rFonts w:eastAsia="Calibri"/>
        </w:rPr>
      </w:pPr>
      <w:r>
        <w:rPr>
          <w:rFonts w:eastAsia="Calibri"/>
        </w:rPr>
        <w:t xml:space="preserve">Ogunleye Taiwo,  </w:t>
      </w:r>
      <w:r>
        <w:rPr>
          <w:rFonts w:eastAsia="Calibri"/>
          <w:i/>
        </w:rPr>
        <w:t>A Legal Analysis of Production Sharing Contract Arrangements in the Nigerian Petroleum Industry</w:t>
      </w:r>
      <w:r>
        <w:rPr>
          <w:rFonts w:eastAsia="Calibri"/>
        </w:rPr>
        <w:t xml:space="preserve">’ (2015) 5(8) </w:t>
      </w:r>
      <w:r>
        <w:rPr>
          <w:rFonts w:eastAsia="Calibri"/>
          <w:i/>
          <w:iCs/>
        </w:rPr>
        <w:t>Journal of Energy Technologies and Policy</w:t>
      </w:r>
      <w:r>
        <w:rPr>
          <w:rFonts w:eastAsia="Calibri"/>
        </w:rPr>
        <w:t xml:space="preserve"> 1-10</w:t>
      </w:r>
    </w:p>
    <w:p w14:paraId="78C13D9E">
      <w:pPr>
        <w:spacing w:after="160" w:line="480" w:lineRule="auto"/>
        <w:jc w:val="both"/>
        <w:rPr>
          <w:rFonts w:eastAsia="Calibri"/>
        </w:rPr>
      </w:pPr>
      <w:r>
        <w:rPr>
          <w:rFonts w:eastAsia="Calibri"/>
        </w:rPr>
        <w:t>'Oil &amp; Gas Regulation 2018 | Laws and Regulations | Nigeria | ICLG' (Oil &amp; Gas Regulation 2018 |Laws and Regulations | Nigeria | ICLG, 2018) &lt;https://iclg.com/practice-areas/oil-and-gas-regulation/oil-and-gas-regulation-2017/nigeria#chaptercontent1&gt; accessed 11 May 2024</w:t>
      </w:r>
    </w:p>
    <w:p w14:paraId="2865DD7F">
      <w:pPr>
        <w:spacing w:after="160" w:line="480" w:lineRule="auto"/>
        <w:jc w:val="both"/>
        <w:rPr>
          <w:rFonts w:eastAsia="Calibri"/>
        </w:rPr>
      </w:pPr>
      <w:r>
        <w:rPr>
          <w:rFonts w:eastAsia="Calibri"/>
        </w:rPr>
        <w:t>'OilProduction',Nnpcgrouptest.nnpcgroup.com (2018) &lt;http://nnpcgrouptest.nnpcgroup.com/NNPC-Business/Upstream-Ventures/Pages/Oil-Production.aspx&gt; accessed 11 May 2024.</w:t>
      </w:r>
    </w:p>
    <w:p w14:paraId="66EF17CB">
      <w:pPr>
        <w:spacing w:after="160" w:line="480" w:lineRule="auto"/>
        <w:jc w:val="both"/>
        <w:rPr>
          <w:rFonts w:eastAsia="Calibri"/>
        </w:rPr>
      </w:pPr>
      <w:r>
        <w:rPr>
          <w:rFonts w:eastAsia="Calibri"/>
        </w:rPr>
        <w:t xml:space="preserve">Ojide Gabriel, Salami Kareem, Fatimah Kari, Gazi Alam and Oke Matuin, </w:t>
      </w:r>
      <w:r>
        <w:rPr>
          <w:rFonts w:eastAsia="Calibri"/>
          <w:i/>
        </w:rPr>
        <w:t>Impact of Gas Industry on Sustainable Economy in Nigeria</w:t>
      </w:r>
      <w:r>
        <w:rPr>
          <w:rFonts w:eastAsia="Calibri"/>
        </w:rPr>
        <w:t xml:space="preserve"> (2012) 12 </w:t>
      </w:r>
      <w:r>
        <w:rPr>
          <w:rFonts w:eastAsia="Calibri"/>
          <w:i/>
          <w:iCs/>
        </w:rPr>
        <w:t>Journal of Applied Sciences</w:t>
      </w:r>
      <w:r>
        <w:rPr>
          <w:rFonts w:eastAsia="Calibri"/>
        </w:rPr>
        <w:t xml:space="preserve"> 2244-2251</w:t>
      </w:r>
    </w:p>
    <w:p w14:paraId="7D70AB99">
      <w:pPr>
        <w:spacing w:after="160" w:line="480" w:lineRule="auto"/>
        <w:jc w:val="both"/>
        <w:rPr>
          <w:rFonts w:eastAsia="Calibri"/>
        </w:rPr>
      </w:pPr>
      <w:r>
        <w:rPr>
          <w:rFonts w:eastAsia="Calibri"/>
        </w:rPr>
        <w:t xml:space="preserve">Oke, K. ‘Oil Discovery at Oloibiri’ (The Guardian Newspaper, 30 July 2006, Lagos, Nigeria) (online) cited in Nlerum, Francisca E. in ‘Reflections on Participation Regimes in Nigeria’s Oil Sector’ (2007-10) </w:t>
      </w:r>
      <w:r>
        <w:rPr>
          <w:rFonts w:eastAsia="Calibri"/>
          <w:i/>
          <w:iCs/>
        </w:rPr>
        <w:t xml:space="preserve">Nigerian Current Law Review </w:t>
      </w:r>
      <w:r>
        <w:rPr>
          <w:rFonts w:eastAsia="Calibri"/>
        </w:rPr>
        <w:t>147.</w:t>
      </w:r>
    </w:p>
    <w:p w14:paraId="6673F927">
      <w:pPr>
        <w:spacing w:after="160" w:line="480" w:lineRule="auto"/>
        <w:jc w:val="both"/>
        <w:rPr>
          <w:rFonts w:eastAsia="Calibri"/>
        </w:rPr>
      </w:pPr>
      <w:r>
        <w:rPr>
          <w:rFonts w:eastAsia="Calibri"/>
        </w:rPr>
        <w:t xml:space="preserve">Okezie C.A. and Baharuddin Amir, </w:t>
      </w:r>
      <w:r>
        <w:rPr>
          <w:rFonts w:eastAsia="Calibri"/>
          <w:i/>
        </w:rPr>
        <w:t>Economic crossroads: The experiences of Nigeria and lessons from Malaysia</w:t>
      </w:r>
      <w:r>
        <w:rPr>
          <w:rFonts w:eastAsia="Calibri"/>
        </w:rPr>
        <w:t xml:space="preserve"> (2011) 3(8) </w:t>
      </w:r>
      <w:r>
        <w:rPr>
          <w:rFonts w:eastAsia="Calibri"/>
          <w:i/>
          <w:iCs/>
        </w:rPr>
        <w:t>Journal of Development and Agricultural Economics</w:t>
      </w:r>
      <w:r>
        <w:rPr>
          <w:rFonts w:eastAsia="Calibri"/>
        </w:rPr>
        <w:t xml:space="preserve"> 368-378.</w:t>
      </w:r>
    </w:p>
    <w:p w14:paraId="0A2A2EA7">
      <w:pPr>
        <w:spacing w:after="160" w:line="480" w:lineRule="auto"/>
        <w:jc w:val="both"/>
        <w:rPr>
          <w:rFonts w:eastAsia="Calibri"/>
        </w:rPr>
      </w:pPr>
      <w:r>
        <w:rPr>
          <w:rFonts w:eastAsia="Calibri"/>
        </w:rPr>
        <w:t xml:space="preserve">Okonkwo T, </w:t>
      </w:r>
      <w:r>
        <w:rPr>
          <w:rFonts w:eastAsia="Calibri"/>
          <w:i/>
        </w:rPr>
        <w:t>Ownership and Control of Natural Resources Under the Nigerian Constitution 1999 And Its Implication For Environmental Law And Practice</w:t>
      </w:r>
      <w:r>
        <w:rPr>
          <w:rFonts w:eastAsia="Calibri"/>
        </w:rPr>
        <w:t xml:space="preserve">.  (2017) 8(1) International Law Research </w:t>
      </w:r>
    </w:p>
    <w:p w14:paraId="0445D84C">
      <w:pPr>
        <w:spacing w:after="160" w:line="480" w:lineRule="auto"/>
        <w:jc w:val="both"/>
        <w:rPr>
          <w:rFonts w:eastAsia="Calibri"/>
        </w:rPr>
      </w:pPr>
      <w:r>
        <w:rPr>
          <w:rFonts w:eastAsia="Calibri"/>
        </w:rPr>
        <w:t xml:space="preserve">Oladunjoye O, </w:t>
      </w:r>
      <w:r>
        <w:rPr>
          <w:rFonts w:eastAsia="Calibri"/>
          <w:i/>
          <w:iCs/>
        </w:rPr>
        <w:t>Incorporated</w:t>
      </w:r>
      <w:r>
        <w:rPr>
          <w:rFonts w:eastAsia="Calibri"/>
          <w:i/>
        </w:rPr>
        <w:t xml:space="preserve"> Joint Ventures in the Nigerian Petroleum Industry: Examining the Legal Implications &amp; Regulatory Risks</w:t>
      </w:r>
      <w:r>
        <w:rPr>
          <w:rFonts w:eastAsia="Calibri"/>
        </w:rPr>
        <w:t>’</w:t>
      </w:r>
      <w:r>
        <w:t xml:space="preserve"> </w:t>
      </w:r>
      <w:r>
        <w:rPr>
          <w:rFonts w:eastAsia="Calibri"/>
        </w:rPr>
        <w:t xml:space="preserve">(2013) 11(2) </w:t>
      </w:r>
      <w:r>
        <w:rPr>
          <w:i/>
        </w:rPr>
        <w:t>Oil, Gas &amp; Energy Law Intelligence</w:t>
      </w:r>
      <w:r>
        <w:rPr>
          <w:rFonts w:eastAsia="Calibri"/>
        </w:rPr>
        <w:t xml:space="preserve"> 1-12.</w:t>
      </w:r>
    </w:p>
    <w:p w14:paraId="06878353">
      <w:pPr>
        <w:spacing w:after="160" w:line="480" w:lineRule="auto"/>
        <w:jc w:val="both"/>
        <w:rPr>
          <w:rFonts w:eastAsia="Calibri"/>
        </w:rPr>
      </w:pPr>
      <w:r>
        <w:rPr>
          <w:rFonts w:eastAsia="Calibri"/>
        </w:rPr>
        <w:t xml:space="preserve">Oloidi, Frances Jumoke, </w:t>
      </w:r>
      <w:r>
        <w:rPr>
          <w:rFonts w:eastAsia="Calibri"/>
          <w:i/>
          <w:iCs/>
        </w:rPr>
        <w:t xml:space="preserve">  Webology ‘The Colonial Administrators And Income Policies In Nigeria Before Independence</w:t>
      </w:r>
      <w:r>
        <w:rPr>
          <w:rFonts w:eastAsia="Calibri"/>
        </w:rPr>
        <w:t xml:space="preserve"> (1900 – 1960) (ISSN: 1735-188X) Volume 18, Number 5, 2021</w:t>
      </w:r>
    </w:p>
    <w:p w14:paraId="17C5C4F9">
      <w:pPr>
        <w:spacing w:after="160" w:line="480" w:lineRule="auto"/>
        <w:jc w:val="both"/>
        <w:rPr>
          <w:rFonts w:eastAsia="Calibri"/>
        </w:rPr>
      </w:pPr>
      <w:r>
        <w:rPr>
          <w:rFonts w:eastAsia="Calibri"/>
        </w:rPr>
        <w:t xml:space="preserve">Olumuyiwa Adeyemo, </w:t>
      </w:r>
      <w:r>
        <w:rPr>
          <w:rFonts w:eastAsia="Calibri"/>
          <w:i/>
        </w:rPr>
        <w:t>A Guide to the Taxation of Oil Companies in Nigeria</w:t>
      </w:r>
      <w:r>
        <w:rPr>
          <w:rFonts w:eastAsia="Calibri"/>
        </w:rPr>
        <w:t xml:space="preserve"> (1</w:t>
      </w:r>
      <w:r>
        <w:rPr>
          <w:rFonts w:eastAsia="Calibri"/>
          <w:vertAlign w:val="superscript"/>
        </w:rPr>
        <w:t>st</w:t>
      </w:r>
      <w:r>
        <w:rPr>
          <w:rFonts w:eastAsia="Calibri"/>
        </w:rPr>
        <w:t xml:space="preserve"> edition, Routledge 2007).</w:t>
      </w:r>
    </w:p>
    <w:p w14:paraId="19223251">
      <w:pPr>
        <w:spacing w:after="160" w:line="480" w:lineRule="auto"/>
        <w:jc w:val="both"/>
        <w:rPr>
          <w:b/>
          <w:lang w:val="en-GB"/>
        </w:rPr>
      </w:pPr>
      <w:r>
        <w:rPr>
          <w:rFonts w:eastAsia="Calibri"/>
          <w:i/>
          <w:iCs/>
        </w:rPr>
        <w:t xml:space="preserve"> Omar Mawji,</w:t>
      </w:r>
      <w:r>
        <w:rPr>
          <w:rFonts w:ascii="Arial" w:hAnsi="Arial" w:eastAsia="Times New Roman" w:cs="Arial"/>
          <w:b/>
          <w:smallCaps/>
          <w:color w:val="FFFFFF"/>
          <w:kern w:val="36"/>
          <w:sz w:val="83"/>
          <w:szCs w:val="83"/>
          <w:lang w:val="en-GB" w:eastAsia="en-GB"/>
          <w14:ligatures w14:val="none"/>
        </w:rPr>
        <w:t xml:space="preserve"> </w:t>
      </w:r>
      <w:r>
        <w:rPr>
          <w:rFonts w:eastAsia="Calibri"/>
          <w:i/>
          <w:iCs/>
          <w:lang w:val="en-GB"/>
        </w:rPr>
        <w:t>Canada’s oil and gas decommissioning liability problem</w:t>
      </w:r>
      <w:r>
        <w:rPr>
          <w:rFonts w:eastAsia="Calibri"/>
          <w:i/>
          <w:iCs/>
        </w:rPr>
        <w:t>,</w:t>
      </w:r>
      <w:r>
        <w:rPr>
          <w:rFonts w:eastAsia="Calibri"/>
        </w:rPr>
        <w:t xml:space="preserve"> </w:t>
      </w:r>
      <w:r>
        <w:t>Institute for Energy Economics and financial Analysis,</w:t>
      </w:r>
      <w:r>
        <w:rPr>
          <w:rFonts w:eastAsia="Calibri"/>
        </w:rPr>
        <w:t xml:space="preserve"> 2021 Study.</w:t>
      </w:r>
    </w:p>
    <w:p w14:paraId="4FF10732">
      <w:pPr>
        <w:spacing w:after="160" w:line="480" w:lineRule="auto"/>
        <w:jc w:val="both"/>
        <w:rPr>
          <w:rFonts w:eastAsia="Calibri"/>
        </w:rPr>
      </w:pPr>
      <w:r>
        <w:rPr>
          <w:rFonts w:eastAsia="Calibri"/>
        </w:rPr>
        <w:t xml:space="preserve">Omogui-Okauro I, </w:t>
      </w:r>
      <w:r>
        <w:rPr>
          <w:rFonts w:eastAsia="Calibri"/>
          <w:i/>
        </w:rPr>
        <w:t>The Challenges of Effective Tax Legislation and Revenue Administration for Funding of Public Services in Nigeria: The Role of Tax Professionals</w:t>
      </w:r>
      <w:r>
        <w:rPr>
          <w:rFonts w:eastAsia="Calibri"/>
        </w:rPr>
        <w:t>.  (2015)</w:t>
      </w:r>
    </w:p>
    <w:p w14:paraId="6CADE4B9">
      <w:pPr>
        <w:spacing w:after="160" w:line="480" w:lineRule="auto"/>
        <w:jc w:val="both"/>
        <w:rPr>
          <w:rFonts w:eastAsia="Calibri"/>
        </w:rPr>
      </w:pPr>
      <w:r>
        <w:rPr>
          <w:rFonts w:eastAsia="Calibri"/>
        </w:rPr>
        <w:t xml:space="preserve">Omorogbe Yinka, </w:t>
      </w:r>
      <w:r>
        <w:rPr>
          <w:rFonts w:eastAsia="Calibri"/>
          <w:i/>
        </w:rPr>
        <w:t>The Legal Framework for the Production of Petroleum in Nigeria</w:t>
      </w:r>
      <w:r>
        <w:rPr>
          <w:rFonts w:eastAsia="Calibri"/>
        </w:rPr>
        <w:t xml:space="preserve">. (1987) 5 </w:t>
      </w:r>
      <w:r>
        <w:rPr>
          <w:rFonts w:eastAsia="Calibri"/>
          <w:i/>
          <w:iCs/>
        </w:rPr>
        <w:t xml:space="preserve">Journal of </w:t>
      </w:r>
      <w:r>
        <w:rPr>
          <w:rFonts w:eastAsia="Calibri"/>
        </w:rPr>
        <w:t xml:space="preserve">Energy Natural Resources Law 273. </w:t>
      </w:r>
    </w:p>
    <w:p w14:paraId="662C8C0F">
      <w:pPr>
        <w:spacing w:after="160" w:line="480" w:lineRule="auto"/>
        <w:jc w:val="both"/>
        <w:rPr>
          <w:rFonts w:eastAsia="Calibri"/>
        </w:rPr>
      </w:pPr>
      <w:r>
        <w:rPr>
          <w:rFonts w:eastAsia="Calibri"/>
        </w:rPr>
        <w:t xml:space="preserve">Omorogbe Yinka, </w:t>
      </w:r>
      <w:r>
        <w:rPr>
          <w:rFonts w:eastAsia="Calibri"/>
          <w:i/>
        </w:rPr>
        <w:t>Fiscal Regimes’</w:t>
      </w:r>
      <w:r>
        <w:rPr>
          <w:rFonts w:eastAsia="Calibri"/>
        </w:rPr>
        <w:t xml:space="preserve"> (Nigerian Extractive Industries Transparency Initiative Civil Society Capacity Building Workshop, Presidential Hotel, Port Harcourt, Rivers State, July 2005) 1-10.</w:t>
      </w:r>
    </w:p>
    <w:p w14:paraId="56060938">
      <w:pPr>
        <w:spacing w:after="160" w:line="480" w:lineRule="auto"/>
        <w:jc w:val="both"/>
        <w:rPr>
          <w:rFonts w:eastAsia="Calibri"/>
        </w:rPr>
      </w:pPr>
      <w:r>
        <w:rPr>
          <w:rFonts w:eastAsia="Calibri"/>
        </w:rPr>
        <w:t xml:space="preserve">Onaiwu E, </w:t>
      </w:r>
      <w:r>
        <w:rPr>
          <w:rFonts w:eastAsia="Calibri"/>
          <w:i/>
        </w:rPr>
        <w:t>Production Sharing or Joint Venturing: What Is the Optimum Petroleum Contractual Arrangement for the Exploitation of Nigeria Oil and Gas</w:t>
      </w:r>
      <w:r>
        <w:rPr>
          <w:rFonts w:eastAsia="Calibri"/>
        </w:rPr>
        <w:t xml:space="preserve">?’ (2014) 2(2) </w:t>
      </w:r>
      <w:r>
        <w:rPr>
          <w:rFonts w:eastAsia="Calibri"/>
          <w:i/>
          <w:iCs/>
        </w:rPr>
        <w:t>Journal of Business and Management Sciences</w:t>
      </w:r>
      <w:r>
        <w:rPr>
          <w:rFonts w:eastAsia="Calibri"/>
        </w:rPr>
        <w:t xml:space="preserve"> 35-44. </w:t>
      </w:r>
    </w:p>
    <w:p w14:paraId="409C8727">
      <w:pPr>
        <w:spacing w:after="160" w:line="480" w:lineRule="auto"/>
        <w:jc w:val="both"/>
        <w:rPr>
          <w:rFonts w:eastAsia="Calibri"/>
        </w:rPr>
      </w:pPr>
      <w:r>
        <w:rPr>
          <w:rFonts w:eastAsia="Calibri"/>
        </w:rPr>
        <w:t>OPEC, '</w:t>
      </w:r>
      <w:r>
        <w:rPr>
          <w:rFonts w:eastAsia="Calibri"/>
          <w:i/>
        </w:rPr>
        <w:t>Annual Statistical Bulletin</w:t>
      </w:r>
      <w:r>
        <w:rPr>
          <w:rFonts w:eastAsia="Calibri"/>
        </w:rPr>
        <w:t xml:space="preserve">' (2017) </w:t>
      </w:r>
      <w:r>
        <w:fldChar w:fldCharType="begin"/>
      </w:r>
      <w:r>
        <w:instrText xml:space="preserve"> HYPERLINK "http://www.opec.org/opec_web/static_files_project/media/downloads/publications/ASB2017_13062017.pdf" </w:instrText>
      </w:r>
      <w:r>
        <w:fldChar w:fldCharType="separate"/>
      </w:r>
      <w:r>
        <w:rPr>
          <w:rFonts w:eastAsia="Calibri"/>
          <w:u w:val="single"/>
        </w:rPr>
        <w:t>http://www.opec.org/opec_web/static_files_project/media/downloads/publications/ASB2017_13062017.pdf</w:t>
      </w:r>
      <w:r>
        <w:rPr>
          <w:rFonts w:eastAsia="Calibri"/>
          <w:u w:val="single"/>
        </w:rPr>
        <w:fldChar w:fldCharType="end"/>
      </w:r>
      <w:r>
        <w:rPr>
          <w:rFonts w:eastAsia="Calibri"/>
        </w:rPr>
        <w:t>.</w:t>
      </w:r>
    </w:p>
    <w:p w14:paraId="4FF9CCE4">
      <w:pPr>
        <w:spacing w:after="160" w:line="480" w:lineRule="auto"/>
        <w:jc w:val="both"/>
        <w:rPr>
          <w:rFonts w:eastAsia="Calibri"/>
        </w:rPr>
      </w:pPr>
      <w:r>
        <w:rPr>
          <w:rFonts w:eastAsia="Calibri"/>
        </w:rPr>
        <w:t xml:space="preserve">Oremade, T. </w:t>
      </w:r>
      <w:r>
        <w:rPr>
          <w:rFonts w:eastAsia="Calibri"/>
          <w:i/>
        </w:rPr>
        <w:t>Perception of Petroleum Profits Tax Compliance in Nigeria</w:t>
      </w:r>
      <w:r>
        <w:rPr>
          <w:rFonts w:eastAsia="Calibri"/>
        </w:rPr>
        <w:t>. (D.Phil Bournemouth University 2010).</w:t>
      </w:r>
    </w:p>
    <w:p w14:paraId="3D362BFB">
      <w:pPr>
        <w:spacing w:after="160" w:line="480" w:lineRule="auto"/>
        <w:jc w:val="both"/>
        <w:rPr>
          <w:rFonts w:eastAsia="Calibri"/>
        </w:rPr>
      </w:pPr>
      <w:r>
        <w:rPr>
          <w:rFonts w:eastAsia="Calibri"/>
          <w:i/>
          <w:iCs/>
        </w:rPr>
        <w:t>Osgood Hall Law Journal, Vol 26 No. 3,</w:t>
      </w:r>
      <w:r>
        <w:rPr>
          <w:rFonts w:eastAsia="Calibri"/>
        </w:rPr>
        <w:t xml:space="preserve"> Copyright, 1988, </w:t>
      </w:r>
      <w:r>
        <w:rPr>
          <w:rFonts w:eastAsia="Calibri"/>
          <w:i/>
          <w:iCs/>
        </w:rPr>
        <w:t>John F. Helliwell, Mary E. MacGregor, Robert N. McRae &amp; Andrd Plourde.</w:t>
      </w:r>
    </w:p>
    <w:p w14:paraId="62421E43">
      <w:pPr>
        <w:spacing w:after="160" w:line="480" w:lineRule="auto"/>
        <w:jc w:val="both"/>
        <w:rPr>
          <w:rFonts w:eastAsia="Calibri"/>
        </w:rPr>
      </w:pPr>
      <w:r>
        <w:rPr>
          <w:rFonts w:eastAsia="Calibri"/>
        </w:rPr>
        <w:t xml:space="preserve">Osofsky Leigh, </w:t>
      </w:r>
      <w:r>
        <w:rPr>
          <w:rFonts w:eastAsia="Calibri"/>
          <w:i/>
        </w:rPr>
        <w:t>The Case Against Strategic Tax Law Uncertainty</w:t>
      </w:r>
      <w:r>
        <w:rPr>
          <w:rFonts w:eastAsia="Calibri"/>
        </w:rPr>
        <w:t xml:space="preserve">.  (2011) 64 </w:t>
      </w:r>
      <w:r>
        <w:rPr>
          <w:rFonts w:eastAsia="Calibri"/>
          <w:i/>
          <w:iCs/>
        </w:rPr>
        <w:t>New York University Tax Law Review</w:t>
      </w:r>
      <w:r>
        <w:rPr>
          <w:rFonts w:eastAsia="Calibri"/>
        </w:rPr>
        <w:t xml:space="preserve"> 489-538. </w:t>
      </w:r>
    </w:p>
    <w:p w14:paraId="1D8FE7A1">
      <w:pPr>
        <w:spacing w:after="160" w:line="480" w:lineRule="auto"/>
        <w:jc w:val="both"/>
        <w:rPr>
          <w:rFonts w:eastAsia="Calibri"/>
        </w:rPr>
      </w:pPr>
      <w:r>
        <w:rPr>
          <w:rFonts w:eastAsia="Calibri"/>
        </w:rPr>
        <w:t xml:space="preserve">Ososami L, </w:t>
      </w:r>
      <w:r>
        <w:rPr>
          <w:rFonts w:eastAsia="Calibri"/>
          <w:i/>
          <w:iCs/>
        </w:rPr>
        <w:t xml:space="preserve">Developments in Nigeria's Tax Regime For Gas Utilisation Projects </w:t>
      </w:r>
      <w:r>
        <w:rPr>
          <w:rFonts w:eastAsia="Calibri"/>
        </w:rPr>
        <w:t xml:space="preserve">(2008) </w:t>
      </w:r>
      <w:r>
        <w:fldChar w:fldCharType="begin"/>
      </w:r>
      <w:r>
        <w:instrText xml:space="preserve"> HYPERLINK "http://www.mondaq.com/Nigeria/x/70210/Oil+Gas+Electricity/Developments+In+Nigerias+Tax+Regime+For+Gas+Utilization+Projects" </w:instrText>
      </w:r>
      <w:r>
        <w:fldChar w:fldCharType="separate"/>
      </w:r>
      <w:r>
        <w:rPr>
          <w:rFonts w:eastAsia="Calibri"/>
        </w:rPr>
        <w:t>http://www.mondaq.com/Nigeria/x/70210/Oil+Gas+Electricity/Developments+In+Nigerias+Tax+Regime+For+Gas+Utilization+Projects</w:t>
      </w:r>
      <w:r>
        <w:rPr>
          <w:rFonts w:eastAsia="Calibri"/>
        </w:rPr>
        <w:fldChar w:fldCharType="end"/>
      </w:r>
      <w:r>
        <w:rPr>
          <w:rFonts w:eastAsia="Calibri"/>
        </w:rPr>
        <w:t xml:space="preserve"> accessed 14 September 2018.</w:t>
      </w:r>
    </w:p>
    <w:p w14:paraId="34B5C58F">
      <w:pPr>
        <w:spacing w:after="160" w:line="480" w:lineRule="auto"/>
        <w:jc w:val="both"/>
        <w:rPr>
          <w:rFonts w:eastAsia="Calibri"/>
        </w:rPr>
      </w:pPr>
      <w:r>
        <w:rPr>
          <w:rFonts w:eastAsia="Calibri"/>
          <w:i/>
          <w:iCs/>
        </w:rPr>
        <w:t>Overview of the Petroleum Industry Bill,</w:t>
      </w:r>
      <w:r>
        <w:rPr>
          <w:rFonts w:eastAsia="Calibri"/>
        </w:rPr>
        <w:t xml:space="preserve"> (Sept. 2012) </w:t>
      </w:r>
      <w:r>
        <w:fldChar w:fldCharType="begin"/>
      </w:r>
      <w:r>
        <w:instrText xml:space="preserve"> HYPERLINK "https://www.lexology.com/contributors/hogan-Lovells:Legal" \t "_new" </w:instrText>
      </w:r>
      <w:r>
        <w:fldChar w:fldCharType="separate"/>
      </w:r>
      <w:r>
        <w:rPr>
          <w:rFonts w:eastAsia="Calibri"/>
        </w:rPr>
        <w:t>https://www.lexology.com/contributors/hogan-Lovells:Legal</w:t>
      </w:r>
      <w:r>
        <w:rPr>
          <w:rFonts w:eastAsia="Calibri"/>
        </w:rPr>
        <w:fldChar w:fldCharType="end"/>
      </w:r>
      <w:r>
        <w:rPr>
          <w:rFonts w:eastAsia="Calibri"/>
        </w:rPr>
        <w:t xml:space="preserve"> Influencer.</w:t>
      </w:r>
    </w:p>
    <w:p w14:paraId="3C68D006">
      <w:pPr>
        <w:spacing w:after="160" w:line="480" w:lineRule="auto"/>
        <w:jc w:val="both"/>
        <w:rPr>
          <w:rFonts w:eastAsia="Calibri"/>
        </w:rPr>
      </w:pPr>
      <w:r>
        <w:rPr>
          <w:rFonts w:eastAsia="Calibri"/>
        </w:rPr>
        <w:t xml:space="preserve">Owens Jeffrey, </w:t>
      </w:r>
      <w:r>
        <w:rPr>
          <w:rFonts w:eastAsia="Calibri"/>
          <w:i/>
        </w:rPr>
        <w:t>The Role of Tax Certainty in Promoting Sustainable and Inclusive Growth</w:t>
      </w:r>
      <w:r>
        <w:rPr>
          <w:rFonts w:eastAsia="Calibri"/>
        </w:rPr>
        <w:t>. (Multi-Disciplinary Academic Conference, UNCTAD, Geneva, 26 October, 2018) 1-10.</w:t>
      </w:r>
    </w:p>
    <w:p w14:paraId="1C013E30">
      <w:pPr>
        <w:spacing w:after="160" w:line="480" w:lineRule="auto"/>
        <w:jc w:val="both"/>
        <w:rPr>
          <w:rFonts w:eastAsia="Calibri"/>
        </w:rPr>
      </w:pPr>
      <w:r>
        <w:rPr>
          <w:rFonts w:eastAsia="Calibri"/>
        </w:rPr>
        <w:t xml:space="preserve">Owolabi A, </w:t>
      </w:r>
      <w:r>
        <w:rPr>
          <w:rFonts w:eastAsia="Calibri"/>
          <w:i/>
        </w:rPr>
        <w:t>Oando V FIRS: Implications for Tax Policy, Law and Administration in Nigeria</w:t>
      </w:r>
      <w:r>
        <w:rPr>
          <w:rFonts w:eastAsia="Calibri"/>
        </w:rPr>
        <w:t xml:space="preserve">' (LLM Thesis University of Lagos), Oxford Business Group, ‘Nigeria's Tax Framework And Its Implications For Businesses’-The Report: Nigeria 2015 </w:t>
      </w:r>
      <w:r>
        <w:fldChar w:fldCharType="begin"/>
      </w:r>
      <w:r>
        <w:instrText xml:space="preserve"> HYPERLINK "https://oxfordbusinessgroup.com/overview/nigerias-tax-framework-and-its-implications-businesses" </w:instrText>
      </w:r>
      <w:r>
        <w:fldChar w:fldCharType="separate"/>
      </w:r>
      <w:r>
        <w:rPr>
          <w:rFonts w:eastAsia="Calibri"/>
          <w:u w:val="single"/>
        </w:rPr>
        <w:t>https://oxfordbusinessgroup.com/overview/nigerias-tax-framework-and-its-implications-businesses</w:t>
      </w:r>
      <w:r>
        <w:rPr>
          <w:rFonts w:eastAsia="Calibri"/>
          <w:u w:val="single"/>
        </w:rPr>
        <w:fldChar w:fldCharType="end"/>
      </w:r>
      <w:r>
        <w:rPr>
          <w:rFonts w:eastAsia="Calibri"/>
        </w:rPr>
        <w:t xml:space="preserve"> accessed 11 May 2024.</w:t>
      </w:r>
    </w:p>
    <w:p w14:paraId="76BB8044">
      <w:pPr>
        <w:spacing w:after="160" w:line="480" w:lineRule="auto"/>
        <w:jc w:val="both"/>
        <w:rPr>
          <w:rFonts w:eastAsia="Calibri"/>
        </w:rPr>
      </w:pPr>
      <w:r>
        <w:rPr>
          <w:rFonts w:eastAsia="Calibri"/>
        </w:rPr>
        <w:t xml:space="preserve">Owolabi, T, Esan W, &amp; Salawu D, </w:t>
      </w:r>
      <w:r>
        <w:rPr>
          <w:rFonts w:eastAsia="Calibri"/>
          <w:i/>
        </w:rPr>
        <w:t>Oil and Gas Regulation in Nigeria: Overview</w:t>
      </w:r>
      <w:r>
        <w:rPr>
          <w:rFonts w:eastAsia="Calibri"/>
        </w:rPr>
        <w:t>. online: Practical Law &lt;uk.practicallaw.com&gt; accessed 20 September 2018.</w:t>
      </w:r>
    </w:p>
    <w:p w14:paraId="12349FD3">
      <w:pPr>
        <w:spacing w:after="160" w:line="480" w:lineRule="auto"/>
        <w:jc w:val="both"/>
        <w:rPr>
          <w:rFonts w:eastAsia="Calibri"/>
        </w:rPr>
      </w:pPr>
      <w:r>
        <w:rPr>
          <w:rFonts w:eastAsia="Calibri"/>
        </w:rPr>
        <w:t>Oyedele T, N</w:t>
      </w:r>
      <w:r>
        <w:rPr>
          <w:rFonts w:eastAsia="Calibri"/>
          <w:i/>
        </w:rPr>
        <w:t>igeria's New National Tax Policy: A New Dawn or Another False Start</w:t>
      </w:r>
      <w:r>
        <w:rPr>
          <w:rFonts w:eastAsia="Calibri"/>
        </w:rPr>
        <w:t xml:space="preserve">?' </w:t>
      </w:r>
      <w:r>
        <w:fldChar w:fldCharType="begin"/>
      </w:r>
      <w:r>
        <w:instrText xml:space="preserve"> HYPERLINK "https://www.pwc.com/ng/en/assets/pdf/new-national-tax-policy.pdf%20accessed%2011%20May%202024" </w:instrText>
      </w:r>
      <w:r>
        <w:fldChar w:fldCharType="separate"/>
      </w:r>
      <w:r>
        <w:rPr>
          <w:rStyle w:val="27"/>
          <w:rFonts w:eastAsia="Calibri"/>
        </w:rPr>
        <w:t>https://www.pwc.com/ng/en/assets/pdf/new-national-tax-policy.pdf accessed 11 May 2024</w:t>
      </w:r>
      <w:r>
        <w:rPr>
          <w:rStyle w:val="27"/>
          <w:rFonts w:eastAsia="Calibri"/>
        </w:rPr>
        <w:fldChar w:fldCharType="end"/>
      </w:r>
      <w:r>
        <w:rPr>
          <w:rFonts w:eastAsia="Calibri"/>
        </w:rPr>
        <w:t xml:space="preserve">. </w:t>
      </w:r>
    </w:p>
    <w:p w14:paraId="56334BD4">
      <w:pPr>
        <w:spacing w:after="160" w:line="480" w:lineRule="auto"/>
        <w:jc w:val="both"/>
        <w:rPr>
          <w:rFonts w:eastAsia="Calibri"/>
        </w:rPr>
      </w:pPr>
      <w:r>
        <w:rPr>
          <w:rFonts w:eastAsia="Calibri"/>
        </w:rPr>
        <w:t xml:space="preserve">Pagone G T, </w:t>
      </w:r>
      <w:r>
        <w:rPr>
          <w:rFonts w:eastAsia="Calibri"/>
          <w:i/>
          <w:iCs/>
        </w:rPr>
        <w:t>Tax Uncertainty</w:t>
      </w:r>
      <w:r>
        <w:rPr>
          <w:rFonts w:eastAsia="Calibri"/>
        </w:rPr>
        <w:t xml:space="preserve"> (Melbourne University Law Review 2009), www5.austlii.edu.au/au/journals/MelbULawRw/2009. </w:t>
      </w:r>
    </w:p>
    <w:p w14:paraId="08F0EBCC">
      <w:pPr>
        <w:spacing w:after="160" w:line="480" w:lineRule="auto"/>
        <w:jc w:val="both"/>
        <w:rPr>
          <w:rFonts w:eastAsia="Calibri"/>
        </w:rPr>
      </w:pPr>
      <w:r>
        <w:rPr>
          <w:rFonts w:eastAsia="Calibri"/>
        </w:rPr>
        <w:t xml:space="preserve">Philip A O, </w:t>
      </w:r>
      <w:r>
        <w:rPr>
          <w:rFonts w:eastAsia="Calibri"/>
          <w:i/>
          <w:iCs/>
        </w:rPr>
        <w:t>The</w:t>
      </w:r>
      <w:r>
        <w:rPr>
          <w:rFonts w:eastAsia="Calibri"/>
          <w:i/>
        </w:rPr>
        <w:t xml:space="preserve"> Nigerian Tax System at Crossroads</w:t>
      </w:r>
      <w:r>
        <w:rPr>
          <w:rFonts w:eastAsia="Calibri"/>
        </w:rPr>
        <w:t xml:space="preserve">.  (1987) Selected Papers, </w:t>
      </w:r>
      <w:r>
        <w:rPr>
          <w:rFonts w:eastAsia="Calibri"/>
          <w:i/>
          <w:iCs/>
        </w:rPr>
        <w:t>Nigerian Institute of Taxation</w:t>
      </w:r>
      <w:r>
        <w:rPr>
          <w:rFonts w:eastAsia="Calibri"/>
        </w:rPr>
        <w:t xml:space="preserve"> 39.</w:t>
      </w:r>
    </w:p>
    <w:p w14:paraId="1D92942E">
      <w:pPr>
        <w:spacing w:after="160" w:line="480" w:lineRule="auto"/>
        <w:jc w:val="both"/>
        <w:rPr>
          <w:rFonts w:eastAsia="Calibri"/>
        </w:rPr>
      </w:pPr>
      <w:r>
        <w:rPr>
          <w:rFonts w:eastAsia="Calibri"/>
        </w:rPr>
        <w:t xml:space="preserve">Daniel, Philip, Keen, Michael, and McPherson, Charles, </w:t>
      </w:r>
      <w:r>
        <w:t>The</w:t>
      </w:r>
      <w:r>
        <w:rPr>
          <w:rFonts w:eastAsia="Calibri"/>
          <w:i/>
          <w:iCs/>
        </w:rPr>
        <w:t xml:space="preserve"> Taxation of Petroleum Mineral and Principles, Problems and Practice.</w:t>
      </w:r>
      <w:r>
        <w:rPr>
          <w:rFonts w:eastAsia="Calibri"/>
        </w:rPr>
        <w:t xml:space="preserve"> Chapter 15, </w:t>
      </w:r>
      <w:r>
        <w:rPr>
          <w:rFonts w:eastAsia="Calibri"/>
          <w:i/>
          <w:iCs/>
        </w:rPr>
        <w:t>Time Consistency in Petroleum Operations,</w:t>
      </w:r>
      <w:r>
        <w:rPr>
          <w:rFonts w:eastAsia="Calibri"/>
        </w:rPr>
        <w:t xml:space="preserve"> pp. 425-444.</w:t>
      </w:r>
    </w:p>
    <w:p w14:paraId="1B4B5C7D">
      <w:pPr>
        <w:spacing w:after="160" w:line="480" w:lineRule="auto"/>
        <w:jc w:val="both"/>
        <w:rPr>
          <w:rFonts w:eastAsia="Calibri"/>
        </w:rPr>
      </w:pPr>
      <w:r>
        <w:rPr>
          <w:rFonts w:eastAsia="Calibri"/>
        </w:rPr>
        <w:t>Piper J, (2014). ‘</w:t>
      </w:r>
      <w:r>
        <w:rPr>
          <w:rFonts w:eastAsia="Calibri"/>
          <w:i/>
          <w:iCs/>
        </w:rPr>
        <w:t>Certainty in tax’</w:t>
      </w:r>
      <w:r>
        <w:rPr>
          <w:rFonts w:eastAsia="Calibri"/>
        </w:rPr>
        <w:t xml:space="preserve"> &lt;https:// www.accaglobal.com/content/dam/acca/global/PDF-technical/tax-publications/tech-tp-cit.pdf accessed 11May 2024.</w:t>
      </w:r>
    </w:p>
    <w:p w14:paraId="3527EE98">
      <w:pPr>
        <w:spacing w:after="160" w:line="480" w:lineRule="auto"/>
        <w:jc w:val="both"/>
        <w:rPr>
          <w:rFonts w:eastAsia="Calibri"/>
        </w:rPr>
      </w:pPr>
      <w:r>
        <w:rPr>
          <w:rFonts w:eastAsia="Calibri"/>
        </w:rPr>
        <w:t xml:space="preserve">Pitman, Rob and Chinweze, Anne.  </w:t>
      </w:r>
      <w:r>
        <w:rPr>
          <w:rFonts w:eastAsia="Calibri"/>
          <w:i/>
        </w:rPr>
        <w:t>The Case for Publishing Petroleum Contracts in Nigeria</w:t>
      </w:r>
      <w:r>
        <w:rPr>
          <w:rFonts w:eastAsia="Calibri"/>
        </w:rPr>
        <w:t xml:space="preserve">’ (Natural Resource Governance Institute, New York, USA, March 2018). </w:t>
      </w:r>
    </w:p>
    <w:p w14:paraId="57F9061F">
      <w:pPr>
        <w:spacing w:after="160" w:line="480" w:lineRule="auto"/>
        <w:jc w:val="both"/>
        <w:rPr>
          <w:rFonts w:eastAsia="Calibri"/>
        </w:rPr>
      </w:pPr>
      <w:r>
        <w:rPr>
          <w:rFonts w:eastAsia="Calibri"/>
        </w:rPr>
        <w:t xml:space="preserve">Powell, Drew et al, </w:t>
      </w:r>
      <w:r>
        <w:rPr>
          <w:rFonts w:eastAsia="Calibri"/>
          <w:i/>
        </w:rPr>
        <w:t>Midstream and Downstream Oil and Gas Services: Enhancing Value</w:t>
      </w:r>
      <w:r>
        <w:rPr>
          <w:rFonts w:eastAsia="Calibri"/>
        </w:rPr>
        <w:t>. (Gaffney, Cline &amp; Associates, 2013) 1-4.</w:t>
      </w:r>
    </w:p>
    <w:p w14:paraId="076CC95A">
      <w:pPr>
        <w:spacing w:after="160" w:line="480" w:lineRule="auto"/>
        <w:jc w:val="both"/>
        <w:rPr>
          <w:rFonts w:eastAsia="Calibri"/>
        </w:rPr>
      </w:pPr>
      <w:r>
        <w:rPr>
          <w:rFonts w:eastAsia="Calibri"/>
          <w:i/>
          <w:iCs/>
        </w:rPr>
        <w:t>Power Switch: Energy Regulatory Governance in the 21st Century.</w:t>
      </w:r>
    </w:p>
    <w:p w14:paraId="73753F5C">
      <w:pPr>
        <w:spacing w:after="160" w:line="480" w:lineRule="auto"/>
        <w:jc w:val="both"/>
        <w:rPr>
          <w:rFonts w:eastAsia="Calibri"/>
        </w:rPr>
      </w:pPr>
      <w:r>
        <w:rPr>
          <w:rFonts w:eastAsia="Calibri"/>
          <w:i/>
          <w:iCs/>
        </w:rPr>
        <w:t>Proposals for Tax Reform, by E. J. Benson,</w:t>
      </w:r>
      <w:r>
        <w:rPr>
          <w:rFonts w:eastAsia="Calibri"/>
        </w:rPr>
        <w:t xml:space="preserve"> Minister of Finance (1969). </w:t>
      </w:r>
      <w:r>
        <w:rPr>
          <w:rFonts w:eastAsia="Calibri"/>
          <w:i/>
          <w:iCs/>
        </w:rPr>
        <w:t>Canada Department of Finance, Queen's Printer for Canada Ottawa,</w:t>
      </w:r>
      <w:r>
        <w:rPr>
          <w:rFonts w:eastAsia="Calibri"/>
        </w:rPr>
        <w:t xml:space="preserve"> 1869 Cat. No.: P32489.</w:t>
      </w:r>
    </w:p>
    <w:p w14:paraId="740C9911">
      <w:pPr>
        <w:spacing w:after="160" w:line="480" w:lineRule="auto"/>
        <w:jc w:val="both"/>
        <w:rPr>
          <w:rFonts w:eastAsia="Calibri"/>
        </w:rPr>
      </w:pPr>
      <w:r>
        <w:rPr>
          <w:rFonts w:eastAsia="Calibri"/>
        </w:rPr>
        <w:t xml:space="preserve">PwC - </w:t>
      </w:r>
      <w:r>
        <w:rPr>
          <w:rFonts w:eastAsia="Calibri"/>
          <w:i/>
        </w:rPr>
        <w:t>The National Petroleum Fiscal Policy – Old Wine in a New Bottle?</w:t>
      </w:r>
      <w:r>
        <w:rPr>
          <w:rFonts w:eastAsia="Calibri"/>
        </w:rPr>
        <w:t xml:space="preserve">  (PwC Nigeria, Lagos, Nigeria, March 2017) 1-3.</w:t>
      </w:r>
    </w:p>
    <w:p w14:paraId="225909B4">
      <w:pPr>
        <w:spacing w:after="160" w:line="480" w:lineRule="auto"/>
        <w:jc w:val="both"/>
        <w:rPr>
          <w:rFonts w:eastAsia="Calibri"/>
        </w:rPr>
      </w:pPr>
      <w:r>
        <w:rPr>
          <w:rFonts w:eastAsia="Calibri"/>
        </w:rPr>
        <w:t xml:space="preserve">PWC, </w:t>
      </w:r>
      <w:r>
        <w:rPr>
          <w:rFonts w:eastAsia="Calibri"/>
          <w:i/>
        </w:rPr>
        <w:t>Nigeria @ 50: Top 50 Tax Issues</w:t>
      </w:r>
      <w:r>
        <w:rPr>
          <w:rFonts w:eastAsia="Calibri"/>
        </w:rPr>
        <w:t>.  (2010) &lt;http://www.pwc.com&gt; accessed 20 September 2018.</w:t>
      </w:r>
    </w:p>
    <w:p w14:paraId="4CD600DA">
      <w:pPr>
        <w:spacing w:after="160" w:line="480" w:lineRule="auto"/>
        <w:jc w:val="both"/>
        <w:rPr>
          <w:rFonts w:eastAsia="Calibri"/>
        </w:rPr>
      </w:pPr>
      <w:r>
        <w:rPr>
          <w:rFonts w:eastAsia="Calibri"/>
        </w:rPr>
        <w:t xml:space="preserve">PwC, </w:t>
      </w:r>
      <w:r>
        <w:rPr>
          <w:rFonts w:eastAsia="Calibri"/>
          <w:i/>
        </w:rPr>
        <w:t>The National Petroleum Fiscal Policy – Old Wine in a New Bottle?</w:t>
      </w:r>
      <w:r>
        <w:rPr>
          <w:rFonts w:eastAsia="Calibri"/>
        </w:rPr>
        <w:t xml:space="preserve"> (PwC Nigeria, Lagos, Nigeria, March 2017) 1-3.</w:t>
      </w:r>
    </w:p>
    <w:p w14:paraId="48EB8974">
      <w:pPr>
        <w:spacing w:after="160" w:line="480" w:lineRule="auto"/>
        <w:jc w:val="both"/>
        <w:rPr>
          <w:rFonts w:eastAsia="Calibri"/>
        </w:rPr>
      </w:pPr>
      <w:r>
        <w:rPr>
          <w:rFonts w:eastAsia="Calibri"/>
        </w:rPr>
        <w:t xml:space="preserve">Rapu, Chukwueyem, et al. </w:t>
      </w:r>
      <w:r>
        <w:rPr>
          <w:rFonts w:eastAsia="Calibri"/>
          <w:i/>
        </w:rPr>
        <w:t>Analysis of Energy Market Conditions in Nigeria</w:t>
      </w:r>
      <w:r>
        <w:rPr>
          <w:rFonts w:eastAsia="Calibri"/>
        </w:rPr>
        <w:t>.  (Central Bank of Nigeria, Federal Capital Territory, Abuja, October 2015) 1-80.</w:t>
      </w:r>
    </w:p>
    <w:p w14:paraId="0F051451">
      <w:pPr>
        <w:spacing w:after="160" w:line="480" w:lineRule="auto"/>
        <w:jc w:val="both"/>
        <w:rPr>
          <w:rFonts w:eastAsia="Calibri"/>
        </w:rPr>
      </w:pPr>
      <w:r>
        <w:rPr>
          <w:rFonts w:eastAsia="Calibri"/>
          <w:i/>
          <w:iCs/>
        </w:rPr>
        <w:t>Report of the Royal Commission on Taxation (Ottawa: Queen’s Printer and Controller of Stationery, 1967).</w:t>
      </w:r>
    </w:p>
    <w:p w14:paraId="50E90D7D">
      <w:pPr>
        <w:spacing w:after="160" w:line="480" w:lineRule="auto"/>
        <w:jc w:val="both"/>
        <w:rPr>
          <w:rFonts w:eastAsia="Calibri"/>
        </w:rPr>
      </w:pPr>
      <w:r>
        <w:rPr>
          <w:rFonts w:eastAsia="Calibri"/>
          <w:i/>
          <w:iCs/>
        </w:rPr>
        <w:t>Report Respecting the White Paper on Tax Reform (Ottawa: Queen's Printer, 1970) at 74.</w:t>
      </w:r>
    </w:p>
    <w:p w14:paraId="17B758BE">
      <w:pPr>
        <w:spacing w:after="160" w:line="480" w:lineRule="auto"/>
        <w:jc w:val="both"/>
        <w:rPr>
          <w:rFonts w:eastAsia="Calibri"/>
        </w:rPr>
      </w:pPr>
      <w:r>
        <w:rPr>
          <w:rFonts w:eastAsia="Calibri"/>
        </w:rPr>
        <w:t xml:space="preserve">Bird, Richard and Scott Wilkie, </w:t>
      </w:r>
      <w:r>
        <w:rPr>
          <w:rFonts w:eastAsia="Calibri"/>
          <w:i/>
        </w:rPr>
        <w:t>Designing Tax Policy: Constraints and Objectives in an Open Economy</w:t>
      </w:r>
      <w:r>
        <w:rPr>
          <w:rFonts w:eastAsia="Calibri"/>
        </w:rPr>
        <w:t xml:space="preserve"> (International Center for Public Policy Working Paper 12-24, Andrew Young School of Policy Studies, Georgia State University Atlanta, Georgia, United States of America, 2012) 1- 44.</w:t>
      </w:r>
    </w:p>
    <w:p w14:paraId="6FD42CD0">
      <w:pPr>
        <w:spacing w:after="160" w:line="480" w:lineRule="auto"/>
        <w:jc w:val="both"/>
        <w:rPr>
          <w:rFonts w:eastAsia="Calibri"/>
        </w:rPr>
      </w:pPr>
      <w:r>
        <w:rPr>
          <w:rFonts w:eastAsia="Calibri"/>
        </w:rPr>
        <w:t xml:space="preserve">Eccleston, Richard and Woolley, Timothy: </w:t>
      </w:r>
      <w:r>
        <w:rPr>
          <w:rFonts w:eastAsia="Calibri"/>
          <w:i/>
          <w:iCs/>
        </w:rPr>
        <w:t>From Calgary to Canberra: Resource Taxation and Fiscal Federalism in Canada and Australia,</w:t>
      </w:r>
      <w:r>
        <w:rPr>
          <w:rFonts w:eastAsia="Calibri"/>
        </w:rPr>
        <w:t xml:space="preserve"> </w:t>
      </w:r>
      <w:r>
        <w:rPr>
          <w:rFonts w:eastAsia="Calibri"/>
          <w:i/>
          <w:iCs/>
        </w:rPr>
        <w:t>Publius,</w:t>
      </w:r>
      <w:r>
        <w:rPr>
          <w:rFonts w:eastAsia="Calibri"/>
        </w:rPr>
        <w:t xml:space="preserve"> Vol. 45, No. 2 (Spring 2015), pp. 216-243, Published By: Oxford University Press.</w:t>
      </w:r>
    </w:p>
    <w:p w14:paraId="39C825D1">
      <w:pPr>
        <w:spacing w:after="160" w:line="480" w:lineRule="auto"/>
        <w:jc w:val="both"/>
        <w:rPr>
          <w:rFonts w:eastAsia="Calibri"/>
        </w:rPr>
      </w:pPr>
      <w:r>
        <w:rPr>
          <w:rFonts w:eastAsia="Calibri"/>
        </w:rPr>
        <w:t xml:space="preserve">Rob Pitman and Anne Chinweze, </w:t>
      </w:r>
      <w:r>
        <w:rPr>
          <w:rFonts w:eastAsia="Calibri"/>
          <w:i/>
        </w:rPr>
        <w:t xml:space="preserve">The Case for Publishing Petroleum Contracts in Nigeria </w:t>
      </w:r>
      <w:r>
        <w:rPr>
          <w:rFonts w:eastAsia="Calibri"/>
        </w:rPr>
        <w:t>(Natural Resource Governance Institute, New York, USA, March 2018)</w:t>
      </w:r>
    </w:p>
    <w:p w14:paraId="4E5F9F50">
      <w:pPr>
        <w:spacing w:after="160" w:line="480" w:lineRule="auto"/>
        <w:jc w:val="both"/>
        <w:rPr>
          <w:rFonts w:eastAsia="Calibri"/>
        </w:rPr>
      </w:pPr>
      <w:r>
        <w:rPr>
          <w:rFonts w:eastAsia="Calibri"/>
        </w:rPr>
        <w:t xml:space="preserve"> Ryan, Christopher, </w:t>
      </w:r>
      <w:r>
        <w:rPr>
          <w:rFonts w:eastAsia="Calibri"/>
          <w:i/>
          <w:iCs/>
        </w:rPr>
        <w:t xml:space="preserve">Discerning </w:t>
      </w:r>
      <w:r>
        <w:rPr>
          <w:rFonts w:eastAsia="Calibri"/>
          <w:i/>
        </w:rPr>
        <w:t>the Compliance Calculus: Why States comply with International Investment Law’</w:t>
      </w:r>
      <w:r>
        <w:rPr>
          <w:rFonts w:eastAsia="Calibri"/>
        </w:rPr>
        <w:t xml:space="preserve"> (2009) 38</w:t>
      </w:r>
      <w:r>
        <w:rPr>
          <w:rFonts w:eastAsia="Calibri"/>
          <w:u w:val="single"/>
        </w:rPr>
        <w:t>,</w:t>
      </w:r>
      <w:r>
        <w:rPr>
          <w:rFonts w:eastAsia="Calibri"/>
        </w:rPr>
        <w:t xml:space="preserve"> 63-95.</w:t>
      </w:r>
    </w:p>
    <w:p w14:paraId="456F987A">
      <w:pPr>
        <w:spacing w:after="160" w:line="480" w:lineRule="auto"/>
        <w:jc w:val="both"/>
        <w:rPr>
          <w:rFonts w:eastAsia="Calibri"/>
        </w:rPr>
      </w:pPr>
      <w:r>
        <w:rPr>
          <w:rFonts w:eastAsia="Calibri"/>
        </w:rPr>
        <w:t xml:space="preserve">Saidu Sani, and Sadiq, Hamid, </w:t>
      </w:r>
      <w:r>
        <w:rPr>
          <w:rFonts w:eastAsia="Calibri"/>
          <w:i/>
        </w:rPr>
        <w:t xml:space="preserve">Production Sharing or Joint Venturing: What Is the Optimum Petroleum Contractual Arrangement for the Exploitation of Nigeria Oil and Gas?’ </w:t>
      </w:r>
      <w:r>
        <w:rPr>
          <w:rFonts w:eastAsia="Calibri"/>
        </w:rPr>
        <w:t>(2014) 2(2) Journal of Business and Management Sciences 35-44.</w:t>
      </w:r>
    </w:p>
    <w:p w14:paraId="6539670C">
      <w:pPr>
        <w:spacing w:after="160" w:line="480" w:lineRule="auto"/>
        <w:jc w:val="both"/>
        <w:rPr>
          <w:rFonts w:eastAsia="Calibri"/>
        </w:rPr>
      </w:pPr>
      <w:r>
        <w:rPr>
          <w:rFonts w:eastAsia="Calibri"/>
        </w:rPr>
        <w:t xml:space="preserve">Saidu, Sani and Mohammed, Abdel. </w:t>
      </w:r>
      <w:r>
        <w:rPr>
          <w:rFonts w:eastAsia="Calibri"/>
          <w:i/>
        </w:rPr>
        <w:t>The Nigerian Petroleum Industry Bill: An Evaluation of the Effect of the Proposed Fiscal Terms on Investment in the Upstream Sector</w:t>
      </w:r>
      <w:r>
        <w:rPr>
          <w:rFonts w:eastAsia="Calibri"/>
        </w:rPr>
        <w:t xml:space="preserve">. (2014) 2(2) Journal of Business and Management Sciences 45-57. </w:t>
      </w:r>
    </w:p>
    <w:p w14:paraId="66331252">
      <w:pPr>
        <w:spacing w:after="160" w:line="480" w:lineRule="auto"/>
        <w:jc w:val="both"/>
        <w:rPr>
          <w:rFonts w:eastAsia="Calibri"/>
        </w:rPr>
      </w:pPr>
      <w:r>
        <w:rPr>
          <w:rFonts w:eastAsia="Calibri"/>
        </w:rPr>
        <w:t xml:space="preserve">Sanda A, </w:t>
      </w:r>
      <w:r>
        <w:rPr>
          <w:rFonts w:eastAsia="Calibri"/>
          <w:i/>
          <w:iCs/>
        </w:rPr>
        <w:t>Public administration in periods of uncertainty</w:t>
      </w:r>
      <w:r>
        <w:rPr>
          <w:rFonts w:eastAsia="Calibri"/>
        </w:rPr>
        <w:t xml:space="preserve">. (Ibadan: Fact Finders International 1992). </w:t>
      </w:r>
    </w:p>
    <w:p w14:paraId="5052C142">
      <w:pPr>
        <w:spacing w:after="160" w:line="480" w:lineRule="auto"/>
        <w:jc w:val="both"/>
        <w:rPr>
          <w:rFonts w:eastAsia="Calibri"/>
        </w:rPr>
      </w:pPr>
      <w:r>
        <w:rPr>
          <w:rFonts w:eastAsia="Calibri"/>
        </w:rPr>
        <w:t xml:space="preserve">Sani Saidu and Abdel Mohammed, </w:t>
      </w:r>
      <w:r>
        <w:rPr>
          <w:rFonts w:eastAsia="Calibri"/>
          <w:i/>
          <w:iCs/>
        </w:rPr>
        <w:t>The Nigerian Petroleum Industry Bill: An Evaluation of the Effect of the Proposed Fiscal Terms on Investment in the Upstream Sector</w:t>
      </w:r>
      <w:r>
        <w:rPr>
          <w:rFonts w:eastAsia="Calibri"/>
        </w:rPr>
        <w:t xml:space="preserve"> (2014) 2(2) Journal of Business and Management Sciences 45-57.</w:t>
      </w:r>
    </w:p>
    <w:p w14:paraId="11CCE948">
      <w:pPr>
        <w:spacing w:after="160" w:line="480" w:lineRule="auto"/>
        <w:jc w:val="both"/>
        <w:rPr>
          <w:rFonts w:eastAsia="Calibri"/>
          <w:highlight w:val="yellow"/>
        </w:rPr>
      </w:pPr>
      <w:r>
        <w:rPr>
          <w:rFonts w:eastAsia="Calibri"/>
        </w:rPr>
        <w:t xml:space="preserve">Sani Saidu and Hamidu Sadiq, </w:t>
      </w:r>
      <w:r>
        <w:rPr>
          <w:rFonts w:eastAsia="Calibri"/>
          <w:i/>
        </w:rPr>
        <w:t>Production Sharing or Joint Venturing: What Is the Optimum Petroleum Contractual Arrangement for the Exploitation of Nigeria Oil and Gas?</w:t>
      </w:r>
      <w:r>
        <w:rPr>
          <w:rFonts w:eastAsia="Calibri"/>
        </w:rPr>
        <w:t xml:space="preserve"> (2014) 2(2) Journal of Business and Management Sciences 35-44</w:t>
      </w:r>
    </w:p>
    <w:p w14:paraId="7D1E1CA2">
      <w:pPr>
        <w:spacing w:after="160" w:line="480" w:lineRule="auto"/>
        <w:jc w:val="both"/>
        <w:rPr>
          <w:rFonts w:eastAsia="Calibri"/>
        </w:rPr>
      </w:pPr>
      <w:r>
        <w:rPr>
          <w:rFonts w:eastAsia="Calibri"/>
        </w:rPr>
        <w:t xml:space="preserve">Sanni A, </w:t>
      </w:r>
      <w:r>
        <w:rPr>
          <w:rFonts w:eastAsia="Calibri"/>
          <w:i/>
        </w:rPr>
        <w:t>The Role of Law in Tax Compliance</w:t>
      </w:r>
      <w:r>
        <w:rPr>
          <w:rFonts w:eastAsia="Calibri"/>
        </w:rPr>
        <w:t>.  Report on FIRS Enlarged Management Meeting of Jan 30th – 1st Feb 2006.</w:t>
      </w:r>
    </w:p>
    <w:p w14:paraId="073D7CE0">
      <w:pPr>
        <w:spacing w:after="160" w:line="480" w:lineRule="auto"/>
        <w:jc w:val="both"/>
        <w:rPr>
          <w:rFonts w:eastAsia="Calibri"/>
        </w:rPr>
      </w:pPr>
      <w:r>
        <w:rPr>
          <w:rFonts w:eastAsia="Calibri"/>
        </w:rPr>
        <w:t xml:space="preserve">Sanni A, and Asiweh M, </w:t>
      </w:r>
      <w:r>
        <w:rPr>
          <w:rFonts w:eastAsia="Calibri"/>
          <w:i/>
        </w:rPr>
        <w:t>Impact of Tax Administration on Government Revenue in a Developing Economy – A Case Study of Nigeria</w:t>
      </w:r>
      <w:r>
        <w:rPr>
          <w:rFonts w:eastAsia="Calibri"/>
        </w:rPr>
        <w:t>.  (2012) 3:8 Int’l J Bus &amp; Soc Sci 99.</w:t>
      </w:r>
    </w:p>
    <w:p w14:paraId="5CEC40F7">
      <w:pPr>
        <w:spacing w:after="160" w:line="480" w:lineRule="auto"/>
        <w:jc w:val="both"/>
        <w:rPr>
          <w:rFonts w:eastAsia="Calibri"/>
        </w:rPr>
      </w:pPr>
      <w:r>
        <w:rPr>
          <w:rFonts w:eastAsia="Calibri"/>
        </w:rPr>
        <w:t xml:space="preserve">Sanni A, </w:t>
      </w:r>
      <w:r>
        <w:rPr>
          <w:rFonts w:eastAsia="Calibri"/>
          <w:i/>
        </w:rPr>
        <w:t>CITN Position on the Conflicting Decisions on the Federal High Counts on the Constitutionality or Otherwise of the Tax Appeal Tribunal</w:t>
      </w:r>
      <w:r>
        <w:rPr>
          <w:rFonts w:eastAsia="Calibri"/>
        </w:rPr>
        <w:t>.  (CITN Indirect Tax Faculty April 23, 2014)</w:t>
      </w:r>
    </w:p>
    <w:p w14:paraId="6E852848">
      <w:pPr>
        <w:spacing w:after="160" w:line="480" w:lineRule="auto"/>
        <w:jc w:val="both"/>
        <w:rPr>
          <w:rFonts w:eastAsia="Calibri"/>
        </w:rPr>
      </w:pPr>
      <w:r>
        <w:rPr>
          <w:rFonts w:eastAsia="Calibri"/>
        </w:rPr>
        <w:t xml:space="preserve">Sanni A, </w:t>
      </w:r>
      <w:r>
        <w:rPr>
          <w:rFonts w:eastAsia="Calibri"/>
          <w:i/>
        </w:rPr>
        <w:t>Division of Taxing Powers Under The 1999 Constitution</w:t>
      </w:r>
      <w:r>
        <w:rPr>
          <w:rFonts w:eastAsia="Calibri"/>
        </w:rPr>
        <w:t xml:space="preserve">.  (2002) </w:t>
      </w:r>
      <w:r>
        <w:fldChar w:fldCharType="begin"/>
      </w:r>
      <w:r>
        <w:instrText xml:space="preserve"> HYPERLINK "http://www.legalpediaresources.com/node/2933%20accessed%2011%20May%202024" </w:instrText>
      </w:r>
      <w:r>
        <w:fldChar w:fldCharType="separate"/>
      </w:r>
      <w:r>
        <w:rPr>
          <w:rStyle w:val="27"/>
          <w:rFonts w:eastAsia="Calibri"/>
        </w:rPr>
        <w:t>www.legalpediaresources.com/node/2933 accessed 11 May 2024</w:t>
      </w:r>
      <w:r>
        <w:rPr>
          <w:rStyle w:val="27"/>
          <w:rFonts w:eastAsia="Calibri"/>
        </w:rPr>
        <w:fldChar w:fldCharType="end"/>
      </w:r>
      <w:r>
        <w:rPr>
          <w:rFonts w:eastAsia="Calibri"/>
        </w:rPr>
        <w:t>.</w:t>
      </w:r>
    </w:p>
    <w:p w14:paraId="05674939">
      <w:pPr>
        <w:spacing w:after="160" w:line="480" w:lineRule="auto"/>
        <w:jc w:val="both"/>
        <w:rPr>
          <w:rFonts w:eastAsia="Calibri"/>
        </w:rPr>
      </w:pPr>
      <w:r>
        <w:rPr>
          <w:rFonts w:eastAsia="Calibri"/>
        </w:rPr>
        <w:t xml:space="preserve">Sanni A, </w:t>
      </w:r>
      <w:r>
        <w:rPr>
          <w:rFonts w:eastAsia="Calibri"/>
          <w:i/>
        </w:rPr>
        <w:t xml:space="preserve">Problems of Determining The Applicable Tax Laws In Nigeria: Resolving The Dilemma For FIRS And Taxpayers. </w:t>
      </w:r>
      <w:r>
        <w:rPr>
          <w:rFonts w:eastAsia="Calibri"/>
        </w:rPr>
        <w:t xml:space="preserve"> 56 Journal of African Law (2012) 1, 55-67.</w:t>
      </w:r>
    </w:p>
    <w:p w14:paraId="6670B4F2">
      <w:pPr>
        <w:spacing w:after="160" w:line="480" w:lineRule="auto"/>
        <w:jc w:val="both"/>
        <w:rPr>
          <w:rFonts w:eastAsia="Calibri"/>
        </w:rPr>
      </w:pPr>
      <w:r>
        <w:rPr>
          <w:rFonts w:eastAsia="Calibri"/>
        </w:rPr>
        <w:t xml:space="preserve">Sarah B. Lawsky, </w:t>
      </w:r>
      <w:r>
        <w:rPr>
          <w:rFonts w:eastAsia="Calibri"/>
          <w:i/>
        </w:rPr>
        <w:t>Probably - Understanding Tax Law's Uncertainty</w:t>
      </w:r>
      <w:r>
        <w:rPr>
          <w:rFonts w:eastAsia="Calibri"/>
        </w:rPr>
        <w:t xml:space="preserve"> (2009) 157(4) University of Pennsylvania Law Review 1017-1074</w:t>
      </w:r>
    </w:p>
    <w:p w14:paraId="0CDA8C52">
      <w:pPr>
        <w:spacing w:after="160" w:line="480" w:lineRule="auto"/>
        <w:jc w:val="both"/>
        <w:rPr>
          <w:rFonts w:eastAsia="Calibri"/>
        </w:rPr>
      </w:pPr>
      <w:r>
        <w:rPr>
          <w:rFonts w:eastAsia="Calibri"/>
        </w:rPr>
        <w:t xml:space="preserve">Schultz, Thomas and Cedric Dupont, </w:t>
      </w:r>
      <w:r>
        <w:rPr>
          <w:rFonts w:eastAsia="Calibri"/>
          <w:i/>
        </w:rPr>
        <w:t>Investment Arbitration: Promoting the Rule of Law or Over-empowering Investors? A Quantitative Empirical Study</w:t>
      </w:r>
      <w:r>
        <w:rPr>
          <w:rFonts w:eastAsia="Calibri"/>
        </w:rPr>
        <w:t xml:space="preserve">.  (2015) 25(4) </w:t>
      </w:r>
      <w:r>
        <w:rPr>
          <w:rFonts w:eastAsia="Calibri"/>
          <w:i/>
          <w:iCs/>
        </w:rPr>
        <w:t>European Journal of International Law</w:t>
      </w:r>
      <w:r>
        <w:rPr>
          <w:rFonts w:eastAsia="Calibri"/>
        </w:rPr>
        <w:t xml:space="preserve"> 1147-1168.</w:t>
      </w:r>
    </w:p>
    <w:p w14:paraId="3745E88D">
      <w:pPr>
        <w:spacing w:after="160" w:line="480" w:lineRule="auto"/>
        <w:jc w:val="both"/>
        <w:rPr>
          <w:rFonts w:eastAsia="Calibri"/>
        </w:rPr>
      </w:pPr>
      <w:r>
        <w:rPr>
          <w:rFonts w:eastAsia="Calibri"/>
        </w:rPr>
        <w:t xml:space="preserve">Schwarz, Jonathan </w:t>
      </w:r>
      <w:r>
        <w:rPr>
          <w:rFonts w:eastAsia="Calibri"/>
          <w:i/>
        </w:rPr>
        <w:t>Tax Certainty: Cure the disease not the symptom</w:t>
      </w:r>
      <w:r>
        <w:rPr>
          <w:rFonts w:eastAsia="Calibri"/>
        </w:rPr>
        <w:t xml:space="preserve">.  (Kluwer International Tax Blog, The Netherlands, 28 August 2018) (online). </w:t>
      </w:r>
    </w:p>
    <w:p w14:paraId="0FF73CFF">
      <w:pPr>
        <w:spacing w:after="160" w:line="480" w:lineRule="auto"/>
        <w:jc w:val="both"/>
        <w:rPr>
          <w:rFonts w:eastAsia="Calibri"/>
        </w:rPr>
      </w:pPr>
      <w:r>
        <w:rPr>
          <w:rFonts w:eastAsia="Calibri"/>
        </w:rPr>
        <w:t xml:space="preserve">Scott C, </w:t>
      </w:r>
      <w:r>
        <w:rPr>
          <w:rFonts w:eastAsia="Calibri"/>
          <w:i/>
        </w:rPr>
        <w:t>The Earned Income Tax Credit</w:t>
      </w:r>
      <w:r>
        <w:rPr>
          <w:rFonts w:eastAsia="Calibri"/>
        </w:rPr>
        <w:t xml:space="preserve">' Congressional Research Service (2013) </w:t>
      </w:r>
      <w:r>
        <w:fldChar w:fldCharType="begin"/>
      </w:r>
      <w:r>
        <w:instrText xml:space="preserve"> HYPERLINK "https://fas.org/sgp/crs/misc/RS21352.pdf" </w:instrText>
      </w:r>
      <w:r>
        <w:fldChar w:fldCharType="separate"/>
      </w:r>
      <w:r>
        <w:rPr>
          <w:rFonts w:eastAsia="Calibri"/>
          <w:u w:val="single"/>
        </w:rPr>
        <w:t>https://fas.org/sgp/crs/misc/RS21352.pdf</w:t>
      </w:r>
      <w:r>
        <w:rPr>
          <w:rFonts w:eastAsia="Calibri"/>
          <w:u w:val="single"/>
        </w:rPr>
        <w:fldChar w:fldCharType="end"/>
      </w:r>
      <w:r>
        <w:rPr>
          <w:rFonts w:eastAsia="Calibri"/>
        </w:rPr>
        <w:t>.</w:t>
      </w:r>
    </w:p>
    <w:p w14:paraId="1AEBB8F6">
      <w:pPr>
        <w:spacing w:after="160" w:line="480" w:lineRule="auto"/>
        <w:jc w:val="both"/>
        <w:rPr>
          <w:rFonts w:eastAsia="Calibri"/>
        </w:rPr>
      </w:pPr>
      <w:r>
        <w:rPr>
          <w:rFonts w:eastAsia="Calibri"/>
        </w:rPr>
        <w:t xml:space="preserve">Segun K, </w:t>
      </w:r>
      <w:r>
        <w:rPr>
          <w:rFonts w:eastAsia="Calibri"/>
          <w:i/>
        </w:rPr>
        <w:t>Nigeria: Oil, Profits and Post-Tax Returns</w:t>
      </w:r>
      <w:r>
        <w:rPr>
          <w:rFonts w:eastAsia="Calibri"/>
        </w:rPr>
        <w:t xml:space="preserve">.  Oil and Gas Taxation Review’ (1999) </w:t>
      </w:r>
      <w:r>
        <w:rPr>
          <w:rFonts w:eastAsia="Calibri"/>
          <w:i/>
          <w:iCs/>
        </w:rPr>
        <w:t>Nigeria Tax Journal</w:t>
      </w:r>
      <w:r>
        <w:rPr>
          <w:rFonts w:eastAsia="Calibri"/>
        </w:rPr>
        <w:t xml:space="preserve"> Issue 5, 125-131Service N, </w:t>
      </w:r>
      <w:r>
        <w:rPr>
          <w:rFonts w:eastAsia="Calibri"/>
          <w:i/>
          <w:iCs/>
        </w:rPr>
        <w:t>A Comprehensive Tax History of Nigeria</w:t>
      </w:r>
      <w:r>
        <w:rPr>
          <w:rFonts w:eastAsia="Calibri"/>
        </w:rPr>
        <w:t xml:space="preserve"> (Safari Books Ltd 2012). </w:t>
      </w:r>
    </w:p>
    <w:p w14:paraId="6023834A">
      <w:pPr>
        <w:spacing w:after="160" w:line="480" w:lineRule="auto"/>
        <w:jc w:val="both"/>
        <w:rPr>
          <w:rFonts w:eastAsia="Calibri"/>
        </w:rPr>
      </w:pPr>
      <w:r>
        <w:rPr>
          <w:rFonts w:eastAsia="Calibri"/>
        </w:rPr>
        <w:t xml:space="preserve">Shah, Anwar, Series Editor, </w:t>
      </w:r>
      <w:r>
        <w:rPr>
          <w:rFonts w:eastAsia="Calibri"/>
          <w:i/>
        </w:rPr>
        <w:t>Public Sector Governance and Accountability Series: Public Expenditure Analysis</w:t>
      </w:r>
      <w:r>
        <w:rPr>
          <w:rFonts w:eastAsia="Calibri"/>
        </w:rPr>
        <w:t xml:space="preserve"> (The International Commission for Reconstruction and Development / The World Bank, Washington DC, USA 2005) 1-292.</w:t>
      </w:r>
    </w:p>
    <w:p w14:paraId="4D70AA7D">
      <w:pPr>
        <w:spacing w:after="160" w:line="480" w:lineRule="auto"/>
        <w:jc w:val="both"/>
        <w:rPr>
          <w:rFonts w:eastAsia="Calibri"/>
        </w:rPr>
      </w:pPr>
      <w:r>
        <w:rPr>
          <w:rFonts w:eastAsia="Calibri"/>
        </w:rPr>
        <w:t xml:space="preserve">Siham Matallah and Amal Matallah, </w:t>
      </w:r>
      <w:r>
        <w:rPr>
          <w:rFonts w:eastAsia="Calibri"/>
          <w:i/>
        </w:rPr>
        <w:t>Oil Rents and Economic Growth in Oil-Abundant MENA Countries: Governance is the Trump Card to Escape the Resource Trap</w:t>
      </w:r>
      <w:r>
        <w:rPr>
          <w:rFonts w:eastAsia="Calibri"/>
        </w:rPr>
        <w:t xml:space="preserve"> (Department of Economics, University of Tlemcen, Algeria, 2016).</w:t>
      </w:r>
    </w:p>
    <w:p w14:paraId="764959DE">
      <w:pPr>
        <w:spacing w:after="160" w:line="480" w:lineRule="auto"/>
        <w:jc w:val="both"/>
        <w:rPr>
          <w:rFonts w:eastAsia="Calibri"/>
        </w:rPr>
      </w:pPr>
      <w:r>
        <w:rPr>
          <w:rFonts w:eastAsia="Calibri"/>
        </w:rPr>
        <w:t xml:space="preserve">Silvana Tordo </w:t>
      </w:r>
      <w:r>
        <w:rPr>
          <w:rFonts w:eastAsia="Calibri"/>
          <w:i/>
          <w:iCs/>
        </w:rPr>
        <w:t xml:space="preserve">et al, </w:t>
      </w:r>
      <w:r>
        <w:rPr>
          <w:rFonts w:eastAsia="Calibri"/>
          <w:i/>
        </w:rPr>
        <w:t xml:space="preserve">Countries’ Experience with the Allocation of Petroleum Exploration and Production Rights: Strategies and Design Issues. </w:t>
      </w:r>
      <w:r>
        <w:rPr>
          <w:rFonts w:eastAsia="Calibri"/>
        </w:rPr>
        <w:t xml:space="preserve"> (The World Bank Group, World Bank Working Paper). </w:t>
      </w:r>
    </w:p>
    <w:p w14:paraId="77099F64">
      <w:pPr>
        <w:spacing w:after="160" w:line="480" w:lineRule="auto"/>
        <w:jc w:val="both"/>
        <w:rPr>
          <w:rFonts w:eastAsia="Calibri"/>
        </w:rPr>
      </w:pPr>
      <w:r>
        <w:rPr>
          <w:rFonts w:eastAsia="Calibri"/>
        </w:rPr>
        <w:t xml:space="preserve">Silvana Tordo, </w:t>
      </w:r>
      <w:r>
        <w:rPr>
          <w:rFonts w:eastAsia="Calibri"/>
          <w:i/>
        </w:rPr>
        <w:t>Fiscal Systems for Hydrocarbons: Design Issues</w:t>
      </w:r>
      <w:r>
        <w:rPr>
          <w:rFonts w:eastAsia="Calibri"/>
        </w:rPr>
        <w:t xml:space="preserve"> (The International Bank for Reconstruction and Development/ The World Bank, World Bank Working Paper No. 123, Chapter 1, p.1-86, Washington DC, USA).</w:t>
      </w:r>
    </w:p>
    <w:p w14:paraId="4734C85F">
      <w:pPr>
        <w:spacing w:after="160" w:line="480" w:lineRule="auto"/>
        <w:jc w:val="both"/>
        <w:rPr>
          <w:rFonts w:eastAsia="Calibri"/>
        </w:rPr>
      </w:pPr>
      <w:r>
        <w:rPr>
          <w:rFonts w:eastAsia="Calibri"/>
          <w:lang w:val="en-GB"/>
        </w:rPr>
        <w:t xml:space="preserve">The Economist,  </w:t>
      </w:r>
      <w:r>
        <w:rPr>
          <w:rFonts w:eastAsia="Calibri"/>
        </w:rPr>
        <w:t xml:space="preserve">‘Nigeria’s Oil: </w:t>
      </w:r>
      <w:r>
        <w:rPr>
          <w:rFonts w:eastAsia="Calibri"/>
          <w:i/>
        </w:rPr>
        <w:t xml:space="preserve">A Desperate Need for Reform’ </w:t>
      </w:r>
      <w:r>
        <w:rPr>
          <w:rFonts w:eastAsia="Calibri"/>
        </w:rPr>
        <w:t xml:space="preserve">(2012) Editorial, </w:t>
      </w:r>
    </w:p>
    <w:p w14:paraId="129605A1">
      <w:pPr>
        <w:spacing w:after="160" w:line="480" w:lineRule="auto"/>
        <w:jc w:val="both"/>
        <w:rPr>
          <w:rFonts w:eastAsia="Calibri"/>
        </w:rPr>
      </w:pPr>
      <w:r>
        <w:rPr>
          <w:rFonts w:eastAsia="Calibri"/>
        </w:rPr>
        <w:t>Tordo, Silvana; David; Johnston, and Johnston, Daniel. 2010.</w:t>
      </w:r>
      <w:r>
        <w:rPr>
          <w:rFonts w:eastAsia="Calibri"/>
          <w:i/>
        </w:rPr>
        <w:t xml:space="preserve"> Petroleum exploration and Production Rights: allocation strategies and design issues </w:t>
      </w:r>
      <w:r>
        <w:rPr>
          <w:rFonts w:eastAsia="Calibri"/>
        </w:rPr>
        <w:t>(English). (World Bank working paper. no. 179, World Bank, Washington, DC, USA) 1-126.</w:t>
      </w:r>
    </w:p>
    <w:p w14:paraId="20629B13">
      <w:pPr>
        <w:spacing w:after="160" w:line="480" w:lineRule="auto"/>
        <w:jc w:val="both"/>
        <w:rPr>
          <w:rFonts w:eastAsia="Calibri"/>
        </w:rPr>
      </w:pPr>
      <w:r>
        <w:rPr>
          <w:rFonts w:eastAsia="Calibri"/>
        </w:rPr>
        <w:t xml:space="preserve">Simmonspjc.com. </w:t>
      </w:r>
      <w:r>
        <w:rPr>
          <w:rFonts w:eastAsia="Calibri"/>
          <w:i/>
        </w:rPr>
        <w:t xml:space="preserve">‘Investment banking | Midstream, Downstream Energy Business’ </w:t>
      </w:r>
      <w:r>
        <w:rPr>
          <w:rFonts w:eastAsia="Calibri"/>
        </w:rPr>
        <w:t>http://www.simmonspjc.com/Investment-Banking/Industry-Sectors/Midstream-and-Downstream/ accessed 5 September 2018.</w:t>
      </w:r>
    </w:p>
    <w:p w14:paraId="01E3FA7A">
      <w:pPr>
        <w:spacing w:after="160" w:line="480" w:lineRule="auto"/>
        <w:jc w:val="both"/>
        <w:rPr>
          <w:rFonts w:eastAsia="Calibri"/>
        </w:rPr>
      </w:pPr>
      <w:r>
        <w:rPr>
          <w:rFonts w:eastAsia="Calibri"/>
          <w:i/>
          <w:iCs/>
        </w:rPr>
        <w:t>Six Historical Events in the First 100 Years of Canada's Petroleum Industry.</w:t>
      </w:r>
      <w:r>
        <w:rPr>
          <w:rFonts w:eastAsia="Calibri"/>
        </w:rPr>
        <w:t xml:space="preserve"> Petroleum Historical Society of Canada. 2009.</w:t>
      </w:r>
    </w:p>
    <w:p w14:paraId="220CD43E">
      <w:pPr>
        <w:spacing w:after="160" w:line="480" w:lineRule="auto"/>
        <w:jc w:val="both"/>
        <w:rPr>
          <w:rFonts w:eastAsia="Calibri"/>
        </w:rPr>
      </w:pPr>
      <w:r>
        <w:rPr>
          <w:rFonts w:eastAsia="Calibri"/>
        </w:rPr>
        <w:t xml:space="preserve">Smith Ernest, </w:t>
      </w:r>
      <w:r>
        <w:rPr>
          <w:rFonts w:eastAsia="Calibri"/>
          <w:i/>
          <w:iCs/>
        </w:rPr>
        <w:t>From</w:t>
      </w:r>
      <w:r>
        <w:rPr>
          <w:rFonts w:eastAsia="Calibri"/>
          <w:i/>
        </w:rPr>
        <w:t xml:space="preserve"> Concessions to Service Contracts. </w:t>
      </w:r>
      <w:r>
        <w:rPr>
          <w:rFonts w:eastAsia="Calibri"/>
        </w:rPr>
        <w:t xml:space="preserve"> (1992) 27 (4) </w:t>
      </w:r>
      <w:r>
        <w:rPr>
          <w:rFonts w:eastAsia="Calibri"/>
          <w:i/>
          <w:iCs/>
        </w:rPr>
        <w:t xml:space="preserve">Tulsa Law Journal </w:t>
      </w:r>
      <w:r>
        <w:rPr>
          <w:rFonts w:eastAsia="Calibri"/>
        </w:rPr>
        <w:t>493.</w:t>
      </w:r>
    </w:p>
    <w:p w14:paraId="613711A9">
      <w:pPr>
        <w:spacing w:after="160" w:line="480" w:lineRule="auto"/>
        <w:jc w:val="both"/>
        <w:rPr>
          <w:rFonts w:eastAsia="Calibri"/>
        </w:rPr>
      </w:pPr>
      <w:r>
        <w:rPr>
          <w:rFonts w:eastAsia="Calibri"/>
        </w:rPr>
        <w:t xml:space="preserve">SPA Ajibade &amp; Co, </w:t>
      </w:r>
      <w:r>
        <w:rPr>
          <w:rFonts w:eastAsia="Calibri"/>
          <w:i/>
        </w:rPr>
        <w:t>Recent Developments on The Arbitrability of Tax Disputes in Nigeria</w:t>
      </w:r>
      <w:r>
        <w:rPr>
          <w:rFonts w:eastAsia="Calibri"/>
        </w:rPr>
        <w:t>’ (2016) &lt;http://www.spaajibade.com/resources/wp-content/uploads/2016/12/recent-developments-on-the-arbitrability-of-tax-disputes-in-nigeria.pdf.&gt; accessed 11 May 2024</w:t>
      </w:r>
    </w:p>
    <w:p w14:paraId="18AD67A6">
      <w:pPr>
        <w:spacing w:after="160" w:line="480" w:lineRule="auto"/>
        <w:jc w:val="both"/>
        <w:rPr>
          <w:rFonts w:eastAsia="Calibri"/>
        </w:rPr>
      </w:pPr>
      <w:r>
        <w:rPr>
          <w:rFonts w:eastAsia="Calibri"/>
        </w:rPr>
        <w:t xml:space="preserve">Stark J, </w:t>
      </w:r>
      <w:r>
        <w:rPr>
          <w:rFonts w:eastAsia="Calibri"/>
          <w:i/>
        </w:rPr>
        <w:t>Should the Main Goal of Statutory Drafting Be Accuracy or Clarity?</w:t>
      </w:r>
      <w:r>
        <w:rPr>
          <w:rFonts w:eastAsia="Calibri"/>
        </w:rPr>
        <w:t xml:space="preserve"> (1994) 15(3) </w:t>
      </w:r>
      <w:r>
        <w:rPr>
          <w:rFonts w:eastAsia="Calibri"/>
          <w:i/>
          <w:iCs/>
        </w:rPr>
        <w:t>Statute Law Review</w:t>
      </w:r>
      <w:r>
        <w:rPr>
          <w:rFonts w:eastAsia="Calibri"/>
        </w:rPr>
        <w:t xml:space="preserve"> 207-13. </w:t>
      </w:r>
    </w:p>
    <w:p w14:paraId="4F6E0A52">
      <w:pPr>
        <w:spacing w:after="160" w:line="480" w:lineRule="auto"/>
        <w:jc w:val="both"/>
        <w:rPr>
          <w:rFonts w:eastAsia="Calibri"/>
        </w:rPr>
      </w:pPr>
      <w:r>
        <w:rPr>
          <w:rFonts w:eastAsia="Calibri"/>
        </w:rPr>
        <w:t xml:space="preserve">Summers L H, </w:t>
      </w:r>
      <w:r>
        <w:rPr>
          <w:rFonts w:eastAsia="Calibri"/>
          <w:i/>
        </w:rPr>
        <w:t>Tax Policy and International Competitiveness</w:t>
      </w:r>
      <w:r>
        <w:rPr>
          <w:rFonts w:eastAsia="Calibri"/>
        </w:rPr>
        <w:t>. (1988),</w:t>
      </w:r>
      <w:r>
        <w:rPr>
          <w:rFonts w:eastAsia="Calibri"/>
          <w:u w:val="single"/>
        </w:rPr>
        <w:t xml:space="preserve"> International Aspects of Fiscal Policies.</w:t>
      </w:r>
      <w:r>
        <w:rPr>
          <w:rFonts w:eastAsia="Calibri"/>
        </w:rPr>
        <w:t xml:space="preserve">  </w:t>
      </w:r>
      <w:r>
        <w:fldChar w:fldCharType="begin"/>
      </w:r>
      <w:r>
        <w:instrText xml:space="preserve"> HYPERLINK "http://www.nber.org/chapters/c7931%20accessed%2011%20May%202024" </w:instrText>
      </w:r>
      <w:r>
        <w:fldChar w:fldCharType="separate"/>
      </w:r>
      <w:r>
        <w:rPr>
          <w:rStyle w:val="27"/>
          <w:rFonts w:eastAsia="Calibri"/>
        </w:rPr>
        <w:t>http://www.nber.org/chapters/c7931 accessed 11 May 2024</w:t>
      </w:r>
      <w:r>
        <w:rPr>
          <w:rStyle w:val="27"/>
          <w:rFonts w:eastAsia="Calibri"/>
        </w:rPr>
        <w:fldChar w:fldCharType="end"/>
      </w:r>
      <w:r>
        <w:rPr>
          <w:rFonts w:eastAsia="Calibri"/>
        </w:rPr>
        <w:t xml:space="preserve">. </w:t>
      </w:r>
    </w:p>
    <w:p w14:paraId="4B8EBC69">
      <w:pPr>
        <w:spacing w:after="160" w:line="480" w:lineRule="auto"/>
        <w:jc w:val="both"/>
        <w:rPr>
          <w:rFonts w:eastAsia="Calibri"/>
        </w:rPr>
      </w:pPr>
      <w:r>
        <w:rPr>
          <w:rFonts w:eastAsia="Calibri"/>
        </w:rPr>
        <w:t xml:space="preserve">Taiwo Ogunleye, </w:t>
      </w:r>
      <w:r>
        <w:rPr>
          <w:rFonts w:eastAsia="Calibri"/>
          <w:i/>
        </w:rPr>
        <w:t>A Legal Analysis of Production Sharing Contract Arrangements in the Nigerian Petroleum Industry</w:t>
      </w:r>
      <w:r>
        <w:rPr>
          <w:rFonts w:eastAsia="Calibri"/>
        </w:rPr>
        <w:t xml:space="preserve"> (2015) 5(8) Journal of Energy Technologies and Policy 1-10.</w:t>
      </w:r>
    </w:p>
    <w:p w14:paraId="3DDEF311">
      <w:pPr>
        <w:spacing w:after="160" w:line="480" w:lineRule="auto"/>
        <w:jc w:val="both"/>
        <w:rPr>
          <w:rFonts w:eastAsia="Calibri"/>
        </w:rPr>
      </w:pPr>
      <w:r>
        <w:rPr>
          <w:rFonts w:eastAsia="Calibri"/>
        </w:rPr>
        <w:t>Tax System' &lt;http://www.thefreedictionary.com/tax+system&gt; accessed 11 May 2024.</w:t>
      </w:r>
    </w:p>
    <w:p w14:paraId="2D1FB4BC">
      <w:pPr>
        <w:spacing w:after="160" w:line="480" w:lineRule="auto"/>
        <w:jc w:val="both"/>
        <w:rPr>
          <w:rFonts w:eastAsia="Calibri"/>
        </w:rPr>
      </w:pPr>
      <w:r>
        <w:rPr>
          <w:rFonts w:eastAsia="Calibri"/>
          <w:i/>
          <w:iCs/>
        </w:rPr>
        <w:t>The 1980 National Energy Program (NEP)-</w:t>
      </w:r>
      <w:r>
        <w:rPr>
          <w:rFonts w:eastAsia="Calibri"/>
        </w:rPr>
        <w:t xml:space="preserve"> </w:t>
      </w:r>
      <w:r>
        <w:rPr>
          <w:rFonts w:eastAsia="Calibri"/>
          <w:i/>
          <w:iCs/>
        </w:rPr>
        <w:t>Canadian Journal of Political Science.</w:t>
      </w:r>
      <w:r>
        <w:rPr>
          <w:rFonts w:eastAsia="Calibri"/>
        </w:rPr>
        <w:t xml:space="preserve"> 26 (1): 31–35.</w:t>
      </w:r>
    </w:p>
    <w:p w14:paraId="346556CE">
      <w:pPr>
        <w:spacing w:after="160" w:line="480" w:lineRule="auto"/>
        <w:jc w:val="both"/>
        <w:rPr>
          <w:rFonts w:eastAsia="Calibri"/>
        </w:rPr>
      </w:pPr>
      <w:r>
        <w:rPr>
          <w:rFonts w:eastAsia="Calibri"/>
        </w:rPr>
        <w:t xml:space="preserve">The Association of Chartered Certified Accountants (ACCA), </w:t>
      </w:r>
      <w:r>
        <w:rPr>
          <w:rFonts w:eastAsia="Calibri"/>
          <w:i/>
        </w:rPr>
        <w:t xml:space="preserve">Foundations for a sound tax system: simplicity, certainty and stability </w:t>
      </w:r>
      <w:r>
        <w:rPr>
          <w:rFonts w:eastAsia="Calibri"/>
        </w:rPr>
        <w:t>(The Association of Chartered Certified Accountants, Think Ahead, June 2015) 1-12</w:t>
      </w:r>
    </w:p>
    <w:p w14:paraId="2EBFF3C1">
      <w:pPr>
        <w:spacing w:after="160" w:line="480" w:lineRule="auto"/>
        <w:jc w:val="both"/>
        <w:rPr>
          <w:rFonts w:eastAsia="Calibri"/>
        </w:rPr>
      </w:pPr>
      <w:r>
        <w:rPr>
          <w:rFonts w:eastAsia="Calibri"/>
          <w:i/>
          <w:iCs/>
        </w:rPr>
        <w:t>The Process of Making Tax Policy: An International Comparison</w:t>
      </w:r>
      <w:r>
        <w:rPr>
          <w:rFonts w:eastAsia="Calibri"/>
        </w:rPr>
        <w:t xml:space="preserve"> (Proceedings of a Round Table on the Tax Policy Process), p.8.</w:t>
      </w:r>
    </w:p>
    <w:p w14:paraId="6303D1F8">
      <w:pPr>
        <w:spacing w:after="160" w:line="480" w:lineRule="auto"/>
        <w:jc w:val="both"/>
        <w:rPr>
          <w:rFonts w:eastAsia="Calibri"/>
        </w:rPr>
      </w:pPr>
      <w:r>
        <w:rPr>
          <w:rFonts w:eastAsia="Calibri"/>
        </w:rPr>
        <w:t xml:space="preserve">Thomas L H, </w:t>
      </w:r>
      <w:r>
        <w:rPr>
          <w:rFonts w:eastAsia="Calibri"/>
          <w:i/>
        </w:rPr>
        <w:t>Deficit Reduction: The Economic and Tax Revenue Effects Of The Personal Exemption Phase out And The Limitation On Itemized Deductions</w:t>
      </w:r>
      <w:r>
        <w:rPr>
          <w:rFonts w:eastAsia="Calibri"/>
        </w:rPr>
        <w:t xml:space="preserve">. (2013) Congressional Research Service </w:t>
      </w:r>
      <w:r>
        <w:fldChar w:fldCharType="begin"/>
      </w:r>
      <w:r>
        <w:instrText xml:space="preserve"> HYPERLINK "https://fas.org/sgp/crs/misc/R41796.pdf%20accessed%2011" </w:instrText>
      </w:r>
      <w:r>
        <w:fldChar w:fldCharType="separate"/>
      </w:r>
      <w:r>
        <w:rPr>
          <w:rStyle w:val="27"/>
          <w:rFonts w:eastAsia="Calibri"/>
        </w:rPr>
        <w:t>https://fas.org/sgp/crs/misc/R41796.pdf accessed 11</w:t>
      </w:r>
      <w:r>
        <w:rPr>
          <w:rStyle w:val="27"/>
          <w:rFonts w:eastAsia="Calibri"/>
        </w:rPr>
        <w:fldChar w:fldCharType="end"/>
      </w:r>
      <w:r>
        <w:rPr>
          <w:rFonts w:eastAsia="Calibri"/>
          <w:u w:val="single"/>
        </w:rPr>
        <w:t xml:space="preserve"> May 2024.</w:t>
      </w:r>
      <w:r>
        <w:rPr>
          <w:rFonts w:eastAsia="Calibri"/>
        </w:rPr>
        <w:t xml:space="preserve"> </w:t>
      </w:r>
    </w:p>
    <w:p w14:paraId="249AFD13">
      <w:pPr>
        <w:spacing w:after="160" w:line="480" w:lineRule="auto"/>
        <w:jc w:val="both"/>
        <w:rPr>
          <w:rFonts w:eastAsia="Calibri"/>
        </w:rPr>
      </w:pPr>
      <w:r>
        <w:rPr>
          <w:rFonts w:eastAsia="Calibri"/>
        </w:rPr>
        <w:t>Thorsten Jobs, (2006. Constitutional principles of legality and certainty of the legal norms of tax and criminal law. In </w:t>
      </w:r>
      <w:r>
        <w:rPr>
          <w:rFonts w:eastAsia="Calibri"/>
          <w:i/>
          <w:iCs/>
        </w:rPr>
        <w:t>Tax law in the decisions of the Constitutional Court of the Russian Federation in 2004</w:t>
      </w:r>
      <w:r>
        <w:rPr>
          <w:rFonts w:eastAsia="Calibri"/>
        </w:rPr>
        <w:t>. Moscow: Wolters Kluwer. [</w:t>
      </w:r>
      <w:r>
        <w:fldChar w:fldCharType="begin"/>
      </w:r>
      <w:r>
        <w:instrText xml:space="preserve"> HYPERLINK "https://scholar.google.com/scholar_lookup?title=Constitutional+principles+of+legality+and+certainty+of+the+legal+norms+of+tax+and+criminal+law&amp;author=Jobs,+Thorsten&amp;publication_year=2006" \t "_blank" </w:instrText>
      </w:r>
      <w:r>
        <w:fldChar w:fldCharType="separate"/>
      </w:r>
      <w:r>
        <w:rPr>
          <w:rFonts w:eastAsia="Calibri"/>
          <w:color w:val="000000"/>
          <w:u w:val="single"/>
        </w:rPr>
        <w:t>Google Schola</w:t>
      </w:r>
      <w:r>
        <w:rPr>
          <w:rFonts w:eastAsia="Calibri"/>
          <w:u w:val="single"/>
        </w:rPr>
        <w:t>r</w:t>
      </w:r>
      <w:r>
        <w:rPr>
          <w:rFonts w:eastAsia="Calibri"/>
          <w:u w:val="single"/>
        </w:rPr>
        <w:fldChar w:fldCharType="end"/>
      </w:r>
      <w:r>
        <w:rPr>
          <w:rFonts w:eastAsia="Calibri"/>
        </w:rPr>
        <w:t>]),</w:t>
      </w:r>
    </w:p>
    <w:p w14:paraId="08EB749A">
      <w:pPr>
        <w:spacing w:after="160" w:line="480" w:lineRule="auto"/>
        <w:jc w:val="both"/>
        <w:rPr>
          <w:rFonts w:eastAsia="Calibri"/>
        </w:rPr>
      </w:pPr>
      <w:r>
        <w:rPr>
          <w:rFonts w:eastAsia="Calibri"/>
        </w:rPr>
        <w:t>U.S. Office of Management and Budget,</w:t>
      </w:r>
      <w:r>
        <w:rPr>
          <w:rFonts w:eastAsia="Calibri"/>
          <w:i/>
        </w:rPr>
        <w:t xml:space="preserve"> 'Budget of The U.S. Government, Fiscal Year' 2011</w:t>
      </w:r>
      <w:r>
        <w:rPr>
          <w:rFonts w:eastAsia="Calibri"/>
        </w:rPr>
        <w:t xml:space="preserve"> &lt;http://www.whitehouse.gov/omb/budget/Historicals.&gt; accessed 8 August 2018.</w:t>
      </w:r>
    </w:p>
    <w:p w14:paraId="4BE4DD2F">
      <w:pPr>
        <w:spacing w:after="160" w:line="480" w:lineRule="auto"/>
        <w:jc w:val="both"/>
        <w:rPr>
          <w:rFonts w:eastAsia="Calibri"/>
        </w:rPr>
      </w:pPr>
      <w:r>
        <w:rPr>
          <w:rFonts w:eastAsia="Calibri"/>
        </w:rPr>
        <w:t>U.S. Office of Management and Budget,</w:t>
      </w:r>
      <w:r>
        <w:rPr>
          <w:rFonts w:eastAsia="Calibri"/>
          <w:i/>
        </w:rPr>
        <w:t xml:space="preserve"> 'Budget of The U.S. Government, Fiscal Year 2014</w:t>
      </w:r>
      <w:r>
        <w:rPr>
          <w:rFonts w:eastAsia="Calibri"/>
        </w:rPr>
        <w:t>, Historical Tables Table' (2014) &lt;http://www.whitehouse.gov/omb/budget/Historicals.&gt; accessed 8 August 2018.</w:t>
      </w:r>
    </w:p>
    <w:p w14:paraId="2606387B">
      <w:pPr>
        <w:spacing w:after="160" w:line="480" w:lineRule="auto"/>
        <w:jc w:val="both"/>
        <w:rPr>
          <w:rFonts w:eastAsia="Calibri"/>
        </w:rPr>
      </w:pPr>
      <w:r>
        <w:rPr>
          <w:rFonts w:eastAsia="Calibri"/>
        </w:rPr>
        <w:t xml:space="preserve">Ugo Nwokeji, </w:t>
      </w:r>
      <w:r>
        <w:rPr>
          <w:rFonts w:eastAsia="Calibri"/>
          <w:i/>
        </w:rPr>
        <w:t xml:space="preserve">The Nigerian National Petroleum Corporation and the Development of the Nigerian Oil and Gas Industry: History, Strategies and Current Directions </w:t>
      </w:r>
      <w:r>
        <w:rPr>
          <w:rFonts w:eastAsia="Calibri"/>
        </w:rPr>
        <w:t>(The James A. Baker III Institute for Public Policy, Japan Petroleum Energy Center, Rice University, March 2007). 1-146</w:t>
      </w:r>
    </w:p>
    <w:p w14:paraId="57B18972">
      <w:pPr>
        <w:spacing w:after="160" w:line="480" w:lineRule="auto"/>
        <w:jc w:val="both"/>
      </w:pPr>
      <w:r>
        <w:rPr>
          <w:rFonts w:eastAsia="Calibri"/>
        </w:rPr>
        <w:t xml:space="preserve">Vanessa Mak, </w:t>
      </w:r>
      <w:r>
        <w:rPr>
          <w:rFonts w:eastAsia="Calibri"/>
          <w:i/>
        </w:rPr>
        <w:t>The Principle of Legal Certainty in EC Law</w:t>
      </w:r>
      <w:r>
        <w:rPr>
          <w:rFonts w:eastAsia="Calibri"/>
        </w:rPr>
        <w:t>. Law and Philosophy Library, vol 64. Springer, Dordrecht. https://doi.org/10.1007/978-94-017-0353-6_6 (2013).</w:t>
      </w:r>
    </w:p>
    <w:p w14:paraId="50F2AE2F">
      <w:pPr>
        <w:spacing w:after="160" w:line="480" w:lineRule="auto"/>
        <w:jc w:val="both"/>
        <w:rPr>
          <w:rFonts w:eastAsia="Calibri"/>
        </w:rPr>
      </w:pPr>
      <w:r>
        <w:rPr>
          <w:rFonts w:eastAsia="Calibri"/>
        </w:rPr>
        <w:t xml:space="preserve">Vanguard </w:t>
      </w:r>
      <w:r>
        <w:rPr>
          <w:rFonts w:eastAsia="Calibri"/>
          <w:i/>
        </w:rPr>
        <w:t>Fiscal policy to quell uncertainty in petroleum industry – Country Chair, SPE.</w:t>
      </w:r>
      <w:r>
        <w:rPr>
          <w:rFonts w:eastAsia="Calibri"/>
        </w:rPr>
        <w:t xml:space="preserve"> (Vanguard, Lagos, Nigeria, 1 August 2017) (online) &lt; https://www.vanguardngr.com/2017/08/fiscal-policy-bill-to-quell-uncertainty-in-petroleum-industry-country-chairspe/&gt; accessed 19 March 2019.</w:t>
      </w:r>
    </w:p>
    <w:p w14:paraId="09111DC4">
      <w:pPr>
        <w:spacing w:after="160" w:line="480" w:lineRule="auto"/>
        <w:jc w:val="both"/>
        <w:rPr>
          <w:rFonts w:eastAsia="Calibri"/>
        </w:rPr>
      </w:pPr>
      <w:r>
        <w:rPr>
          <w:rFonts w:eastAsia="Calibri"/>
        </w:rPr>
        <w:t xml:space="preserve">Vanguard, </w:t>
      </w:r>
      <w:r>
        <w:rPr>
          <w:rFonts w:eastAsia="Calibri"/>
          <w:i/>
          <w:iCs/>
        </w:rPr>
        <w:t>Fiscal policy to quell uncertainty in petroleum industry – Country Chair, SPE</w:t>
      </w:r>
      <w:r>
        <w:rPr>
          <w:rFonts w:eastAsia="Calibri"/>
        </w:rPr>
        <w:t xml:space="preserve"> (Vanguard, Lagos, Nigeria, 1 August 2017) (online) </w:t>
      </w:r>
      <w:r>
        <w:fldChar w:fldCharType="begin"/>
      </w:r>
      <w:r>
        <w:instrText xml:space="preserve"> HYPERLINK "https://www.vanguardngr.com/2017/08/fiscal-policy-bill-to-quell-uncertainty-in-petroleum-industry-country-chairspe/" \t "_new" </w:instrText>
      </w:r>
      <w:r>
        <w:fldChar w:fldCharType="separate"/>
      </w:r>
      <w:r>
        <w:rPr>
          <w:rFonts w:eastAsia="Calibri"/>
          <w:u w:val="single"/>
        </w:rPr>
        <w:t>https://www.vanguardngr.com/2017/08/fiscal-policy-bill-to-quell-uncertainty-in-petroleum-industry-country-chairspe/</w:t>
      </w:r>
      <w:r>
        <w:rPr>
          <w:rFonts w:eastAsia="Calibri"/>
          <w:u w:val="single"/>
        </w:rPr>
        <w:fldChar w:fldCharType="end"/>
      </w:r>
      <w:r>
        <w:rPr>
          <w:rFonts w:eastAsia="Calibri"/>
        </w:rPr>
        <w:t xml:space="preserve"> accessed 02 June 2023.</w:t>
      </w:r>
    </w:p>
    <w:p w14:paraId="70AF8FC3">
      <w:pPr>
        <w:spacing w:after="160" w:line="480" w:lineRule="auto"/>
        <w:jc w:val="both"/>
        <w:rPr>
          <w:rFonts w:eastAsia="Calibri"/>
        </w:rPr>
      </w:pPr>
      <w:r>
        <w:rPr>
          <w:rFonts w:eastAsia="Calibri"/>
        </w:rPr>
        <w:t xml:space="preserve">Wahab and Diji, C.J., </w:t>
      </w:r>
      <w:r>
        <w:rPr>
          <w:rFonts w:eastAsia="Calibri"/>
          <w:i/>
        </w:rPr>
        <w:t>Comparative Analysis of Nigeria Petroleum Fiscal Systems Using Royalty and Tax Optimization Models to Drive Investments</w:t>
      </w:r>
      <w:r>
        <w:rPr>
          <w:rFonts w:eastAsia="Calibri"/>
        </w:rPr>
        <w:t xml:space="preserve">. (2017) 3(3) Oil and Gas Research 1-14. </w:t>
      </w:r>
    </w:p>
    <w:p w14:paraId="1A2B2873">
      <w:pPr>
        <w:spacing w:after="160" w:line="480" w:lineRule="auto"/>
        <w:jc w:val="both"/>
        <w:rPr>
          <w:rFonts w:eastAsia="Calibri"/>
        </w:rPr>
      </w:pPr>
      <w:r>
        <w:rPr>
          <w:rFonts w:eastAsia="Calibri"/>
        </w:rPr>
        <w:t xml:space="preserve">Wahrig L and Vallina G (2011); Modica E, Laudage S and Harding M (2018), </w:t>
      </w:r>
      <w:r>
        <w:rPr>
          <w:rFonts w:eastAsia="Calibri"/>
          <w:i/>
        </w:rPr>
        <w:t>Domestic Revenue Mobilisation: A new database on tax levels and structures in 80 countries</w:t>
      </w:r>
      <w:r>
        <w:rPr>
          <w:rFonts w:eastAsia="Calibri"/>
        </w:rPr>
        <w:t xml:space="preserve">.  OECD Taxation Working Papers No. 36 (Paris: OECD Publishing). </w:t>
      </w:r>
    </w:p>
    <w:p w14:paraId="04BB79F4">
      <w:pPr>
        <w:spacing w:after="160" w:line="480" w:lineRule="auto"/>
        <w:jc w:val="both"/>
        <w:rPr>
          <w:rFonts w:eastAsia="Calibri"/>
        </w:rPr>
      </w:pPr>
      <w:r>
        <w:rPr>
          <w:rFonts w:eastAsia="Calibri"/>
        </w:rPr>
        <w:t xml:space="preserve">Watts, Ronald. </w:t>
      </w:r>
      <w:r>
        <w:rPr>
          <w:rFonts w:eastAsia="Calibri"/>
          <w:i/>
        </w:rPr>
        <w:t>The Historical Development of Comparative Federal Studies</w:t>
      </w:r>
      <w:r>
        <w:rPr>
          <w:rFonts w:eastAsia="Calibri"/>
        </w:rPr>
        <w:t xml:space="preserve">. (Queen’s University, Kingston, Working Paper, 2007) 1-33. </w:t>
      </w:r>
    </w:p>
    <w:p w14:paraId="274245A2">
      <w:pPr>
        <w:spacing w:after="160" w:line="480" w:lineRule="auto"/>
        <w:jc w:val="both"/>
        <w:rPr>
          <w:rFonts w:eastAsia="Calibri"/>
        </w:rPr>
      </w:pPr>
      <w:r>
        <w:rPr>
          <w:rFonts w:eastAsia="Calibri"/>
        </w:rPr>
        <w:t xml:space="preserve">Wheare, K C, </w:t>
      </w:r>
      <w:r>
        <w:rPr>
          <w:rFonts w:eastAsia="Calibri"/>
          <w:i/>
          <w:iCs/>
        </w:rPr>
        <w:t>Federal Government</w:t>
      </w:r>
      <w:r>
        <w:rPr>
          <w:rFonts w:eastAsia="Calibri"/>
        </w:rPr>
        <w:t xml:space="preserve"> (4</w:t>
      </w:r>
      <w:r>
        <w:rPr>
          <w:rFonts w:eastAsia="Calibri"/>
          <w:vertAlign w:val="superscript"/>
        </w:rPr>
        <w:t>th</w:t>
      </w:r>
      <w:r>
        <w:rPr>
          <w:rFonts w:eastAsia="Calibri"/>
        </w:rPr>
        <w:t xml:space="preserve"> edn, London: Oxford University Press 1963). </w:t>
      </w:r>
    </w:p>
    <w:p w14:paraId="34760FF9">
      <w:pPr>
        <w:spacing w:after="160" w:line="480" w:lineRule="auto"/>
        <w:jc w:val="both"/>
        <w:rPr>
          <w:rFonts w:eastAsia="Calibri"/>
        </w:rPr>
      </w:pPr>
      <w:r>
        <w:rPr>
          <w:rFonts w:eastAsia="Calibri"/>
        </w:rPr>
        <w:t xml:space="preserve">White J, </w:t>
      </w:r>
      <w:r>
        <w:rPr>
          <w:rFonts w:eastAsia="Calibri"/>
          <w:i/>
          <w:iCs/>
        </w:rPr>
        <w:t>The Legal Imagination</w:t>
      </w:r>
      <w:r>
        <w:rPr>
          <w:rFonts w:eastAsia="Calibri"/>
        </w:rPr>
        <w:t xml:space="preserve"> (Abridged edn. Chicago: University of Chicago Press 1985)1-8.</w:t>
      </w:r>
    </w:p>
    <w:p w14:paraId="304F9F2C">
      <w:pPr>
        <w:spacing w:after="160" w:line="480" w:lineRule="auto"/>
        <w:jc w:val="both"/>
        <w:rPr>
          <w:rFonts w:eastAsia="Calibri"/>
        </w:rPr>
      </w:pPr>
      <w:r>
        <w:rPr>
          <w:rFonts w:eastAsia="Calibri"/>
        </w:rPr>
        <w:t>World Bank</w:t>
      </w:r>
      <w:r>
        <w:rPr>
          <w:rFonts w:eastAsia="Calibri"/>
          <w:i/>
          <w:iCs/>
        </w:rPr>
        <w:t>, ‘</w:t>
      </w:r>
      <w:r>
        <w:rPr>
          <w:rFonts w:eastAsia="Calibri"/>
          <w:i/>
        </w:rPr>
        <w:t xml:space="preserve">Taxation and State Participation in Nigeria's Oil and Gas Sector. </w:t>
      </w:r>
      <w:r>
        <w:rPr>
          <w:rFonts w:eastAsia="Calibri"/>
          <w:i/>
          <w:iCs/>
        </w:rPr>
        <w:t> </w:t>
      </w:r>
      <w:r>
        <w:rPr>
          <w:rFonts w:eastAsia="Calibri"/>
        </w:rPr>
        <w:t>Energy Sector Management Assistance Programme (ESMAP) (2004) https://openknowledge.worldbank.org/handle/10986/18078 License -accessed 11 May, 2024.</w:t>
      </w:r>
    </w:p>
    <w:p w14:paraId="799A1B0B">
      <w:pPr>
        <w:spacing w:after="160" w:line="480" w:lineRule="auto"/>
        <w:jc w:val="both"/>
        <w:rPr>
          <w:rFonts w:eastAsia="Calibri"/>
        </w:rPr>
      </w:pPr>
      <w:r>
        <w:rPr>
          <w:rFonts w:eastAsia="Calibri"/>
        </w:rPr>
        <w:t xml:space="preserve">Wumi Iledare, L., Wahab L and Diji C.J., </w:t>
      </w:r>
      <w:r>
        <w:rPr>
          <w:rFonts w:eastAsia="Calibri"/>
          <w:i/>
          <w:iCs/>
        </w:rPr>
        <w:t>Comparative Analysis of Nigeria Petroleum Fiscal Systems Using Royalty and Tax Optimization Models to Drive Investments</w:t>
      </w:r>
      <w:r>
        <w:rPr>
          <w:rFonts w:eastAsia="Calibri"/>
        </w:rPr>
        <w:t xml:space="preserve"> (2017) 3(3) Oil and Gas Research 1-14.</w:t>
      </w:r>
    </w:p>
    <w:p w14:paraId="280C80D0">
      <w:pPr>
        <w:spacing w:after="160" w:line="480" w:lineRule="auto"/>
        <w:jc w:val="both"/>
        <w:rPr>
          <w:rFonts w:eastAsia="Calibri"/>
        </w:rPr>
      </w:pPr>
      <w:r>
        <w:rPr>
          <w:rFonts w:eastAsia="Calibri"/>
        </w:rPr>
        <w:t xml:space="preserve">Wumi Iledare, </w:t>
      </w:r>
      <w:r>
        <w:rPr>
          <w:rFonts w:eastAsia="Calibri"/>
          <w:i/>
        </w:rPr>
        <w:t xml:space="preserve">Oil and the Future of Nigeria: Perspectives on Challenges and Strategic Actions for Sustainable Economic Growth and Development </w:t>
      </w:r>
      <w:r>
        <w:rPr>
          <w:rFonts w:eastAsia="Calibri"/>
        </w:rPr>
        <w:t>(2007) International Association for Energy Economics 21-25</w:t>
      </w:r>
    </w:p>
    <w:p w14:paraId="02B6834F">
      <w:pPr>
        <w:spacing w:after="160" w:line="480" w:lineRule="auto"/>
        <w:jc w:val="both"/>
        <w:rPr>
          <w:rFonts w:eastAsia="Calibri"/>
        </w:rPr>
      </w:pPr>
      <w:r>
        <w:rPr>
          <w:rFonts w:eastAsia="Calibri"/>
        </w:rPr>
        <w:t xml:space="preserve">Yackee, Jason, </w:t>
      </w:r>
      <w:r>
        <w:rPr>
          <w:rFonts w:eastAsia="Calibri"/>
          <w:i/>
        </w:rPr>
        <w:t>Political Risk and International Investment Law</w:t>
      </w:r>
      <w:r>
        <w:rPr>
          <w:rFonts w:eastAsia="Calibri"/>
        </w:rPr>
        <w:t xml:space="preserve">. (2014) 24 </w:t>
      </w:r>
      <w:r>
        <w:rPr>
          <w:rFonts w:eastAsia="Calibri"/>
          <w:u w:val="single"/>
        </w:rPr>
        <w:t xml:space="preserve">Duke Journal of Comparative &amp; International Law </w:t>
      </w:r>
      <w:r>
        <w:rPr>
          <w:rFonts w:eastAsia="Calibri"/>
        </w:rPr>
        <w:t>477-500.</w:t>
      </w:r>
    </w:p>
    <w:p w14:paraId="2ED815B6">
      <w:pPr>
        <w:spacing w:after="160" w:line="480" w:lineRule="auto"/>
        <w:jc w:val="both"/>
        <w:rPr>
          <w:rFonts w:eastAsia="Calibri"/>
        </w:rPr>
      </w:pPr>
      <w:r>
        <w:rPr>
          <w:rFonts w:eastAsia="Calibri"/>
        </w:rPr>
        <w:t xml:space="preserve">Yehonnatan, Givati, </w:t>
      </w:r>
      <w:r>
        <w:rPr>
          <w:rFonts w:eastAsia="Calibri"/>
          <w:i/>
        </w:rPr>
        <w:t>Resolving Legal Uncertainty: The Unfulfilled Promise of Advance Tax Rulings.</w:t>
      </w:r>
      <w:r>
        <w:rPr>
          <w:rFonts w:eastAsia="Calibri"/>
        </w:rPr>
        <w:t xml:space="preserve"> (2009) 29 Virginia Tax Review 1-34; (Harvard John M. Olin Center for Law, Economics, and Business Fellows’ Discussion Paper Series, Discussion Paper No. 30, Harvard Law School, Cambridge, USA) 1-36.</w:t>
      </w:r>
    </w:p>
    <w:p w14:paraId="67829FEF">
      <w:pPr>
        <w:spacing w:after="160" w:line="480" w:lineRule="auto"/>
        <w:jc w:val="both"/>
        <w:rPr>
          <w:rFonts w:eastAsia="Calibri"/>
        </w:rPr>
      </w:pPr>
      <w:r>
        <w:rPr>
          <w:rFonts w:eastAsia="Calibri"/>
        </w:rPr>
        <w:t xml:space="preserve">Yoon, Sung-Soo, Yoo, Seung-Weon and Kim, Jinbae, </w:t>
      </w:r>
      <w:r>
        <w:rPr>
          <w:rFonts w:eastAsia="Calibri"/>
          <w:i/>
        </w:rPr>
        <w:t>Ambiguity, Audit Errors, and Tax Compliance</w:t>
      </w:r>
      <w:r>
        <w:rPr>
          <w:rFonts w:eastAsia="Calibri"/>
        </w:rPr>
        <w:t xml:space="preserve">.  (2011) 18 </w:t>
      </w:r>
      <w:r>
        <w:rPr>
          <w:rFonts w:eastAsia="Calibri"/>
          <w:u w:val="single"/>
        </w:rPr>
        <w:t>Asia-Pacific Journal of Accounting &amp; Economics</w:t>
      </w:r>
      <w:r>
        <w:rPr>
          <w:rFonts w:eastAsia="Calibri"/>
        </w:rPr>
        <w:t xml:space="preserve"> 11–26.</w:t>
      </w:r>
    </w:p>
    <w:p w14:paraId="193E92C1">
      <w:pPr>
        <w:spacing w:after="160" w:line="480" w:lineRule="auto"/>
        <w:jc w:val="both"/>
        <w:rPr>
          <w:rFonts w:eastAsia="Calibri"/>
        </w:rPr>
      </w:pPr>
      <w:r>
        <w:rPr>
          <w:rFonts w:eastAsia="Calibri"/>
        </w:rPr>
        <w:t xml:space="preserve">Zangari E, Calumi A, and Hemmelgarn T, Economic Evidence and Policy Responses, '67 European Commission Taxation Papers, https://ec.europa.eu/taxation_customs/sites/taxation/files/taxation_paper_67.pdf. </w:t>
      </w:r>
      <w:r>
        <w:rPr>
          <w:rFonts w:eastAsia="Calibri"/>
          <w:u w:val="single"/>
        </w:rPr>
        <w:br w:type="page"/>
      </w:r>
    </w:p>
    <w:p w14:paraId="1090C46B">
      <w:pPr>
        <w:spacing w:after="160" w:line="480" w:lineRule="auto"/>
        <w:jc w:val="both"/>
        <w:rPr>
          <w:b/>
          <w:sz w:val="28"/>
        </w:rPr>
      </w:pPr>
      <w:bookmarkStart w:id="34" w:name="_Toc15"/>
      <w:r>
        <w:rPr>
          <w:b/>
          <w:sz w:val="28"/>
        </w:rPr>
        <w:t>CASES</w:t>
      </w:r>
      <w:bookmarkEnd w:id="34"/>
      <w:r>
        <w:rPr>
          <w:rFonts w:eastAsia="Calibri"/>
          <w:b/>
          <w:bCs/>
          <w:sz w:val="28"/>
          <w:szCs w:val="28"/>
        </w:rPr>
        <w:t xml:space="preserve"> - NIGERIA</w:t>
      </w:r>
    </w:p>
    <w:p w14:paraId="55BF444A">
      <w:pPr>
        <w:spacing w:after="160" w:line="480" w:lineRule="auto"/>
        <w:rPr>
          <w:rFonts w:eastAsia="Calibri"/>
        </w:rPr>
      </w:pPr>
      <w:r>
        <w:rPr>
          <w:rFonts w:eastAsia="Calibri"/>
        </w:rPr>
        <w:t>A.G. Abia State v. A.G. Federation [2006] 16 NWLR (Pt. 1005) 265 at 381, para E.</w:t>
      </w:r>
    </w:p>
    <w:p w14:paraId="25ABAC24">
      <w:pPr>
        <w:spacing w:after="160" w:line="480" w:lineRule="auto"/>
        <w:rPr>
          <w:rFonts w:eastAsia="Calibri"/>
        </w:rPr>
      </w:pPr>
      <w:r>
        <w:rPr>
          <w:rFonts w:eastAsia="Calibri"/>
        </w:rPr>
        <w:t>A.G. Federation v A.G. Lagos State (2013) 16 NWLR (Part 1380) 249 SC.</w:t>
      </w:r>
    </w:p>
    <w:p w14:paraId="45F7B213">
      <w:pPr>
        <w:spacing w:after="160" w:line="480" w:lineRule="auto"/>
        <w:jc w:val="both"/>
        <w:rPr>
          <w:rFonts w:eastAsia="Calibri"/>
        </w:rPr>
      </w:pPr>
      <w:r>
        <w:rPr>
          <w:rFonts w:eastAsia="Calibri"/>
        </w:rPr>
        <w:t>Aboud v Regional Tax Board [1 NTC 124]</w:t>
      </w:r>
    </w:p>
    <w:p w14:paraId="4C8F8243">
      <w:pPr>
        <w:spacing w:after="160" w:line="480" w:lineRule="auto"/>
        <w:jc w:val="both"/>
        <w:rPr>
          <w:rFonts w:eastAsia="Calibri"/>
        </w:rPr>
      </w:pPr>
      <w:r>
        <w:rPr>
          <w:rFonts w:eastAsia="Calibri"/>
        </w:rPr>
        <w:t>Addax Petroleum v FIRS [2013] 1 NRLR 33</w:t>
      </w:r>
    </w:p>
    <w:p w14:paraId="38853003">
      <w:pPr>
        <w:spacing w:after="160" w:line="480" w:lineRule="auto"/>
        <w:jc w:val="both"/>
        <w:rPr>
          <w:rFonts w:eastAsia="Calibri"/>
        </w:rPr>
      </w:pPr>
      <w:r>
        <w:rPr>
          <w:rFonts w:eastAsia="Calibri"/>
        </w:rPr>
        <w:t>Aderawos Timber Trading Co Ltd v Federal Inland Revenue Service [1969] LLR 195</w:t>
      </w:r>
    </w:p>
    <w:p w14:paraId="688FBD9A">
      <w:pPr>
        <w:spacing w:after="160" w:line="480" w:lineRule="auto"/>
        <w:jc w:val="both"/>
        <w:rPr>
          <w:rFonts w:eastAsia="Calibri"/>
        </w:rPr>
      </w:pPr>
      <w:r>
        <w:rPr>
          <w:rFonts w:eastAsia="Calibri"/>
        </w:rPr>
        <w:t>Adesina v Federal Board of Inland Revenue [1992] 1 NTC 360</w:t>
      </w:r>
    </w:p>
    <w:p w14:paraId="6D69A6F7">
      <w:pPr>
        <w:spacing w:after="160" w:line="480" w:lineRule="auto"/>
        <w:rPr>
          <w:rFonts w:eastAsia="Calibri"/>
        </w:rPr>
      </w:pPr>
      <w:r>
        <w:rPr>
          <w:rFonts w:eastAsia="Calibri"/>
        </w:rPr>
        <w:t>A-G Abia &amp; Ors. v. A-G Federation 2003 4 NWLR (Pt.809), 124.</w:t>
      </w:r>
    </w:p>
    <w:p w14:paraId="093752C3">
      <w:pPr>
        <w:spacing w:after="160" w:line="480" w:lineRule="auto"/>
        <w:rPr>
          <w:rFonts w:eastAsia="Calibri"/>
        </w:rPr>
      </w:pPr>
      <w:r>
        <w:rPr>
          <w:rFonts w:eastAsia="Calibri"/>
        </w:rPr>
        <w:t>A-G Federation v. A-G Abia &amp; Ors. (2001) LPELR 24862 (SC).</w:t>
      </w:r>
    </w:p>
    <w:p w14:paraId="2A6EAE3A">
      <w:pPr>
        <w:spacing w:after="160" w:line="480" w:lineRule="auto"/>
        <w:jc w:val="both"/>
        <w:rPr>
          <w:rFonts w:eastAsia="Calibri"/>
        </w:rPr>
      </w:pPr>
      <w:r>
        <w:rPr>
          <w:rFonts w:eastAsia="Calibri"/>
        </w:rPr>
        <w:t>AG Ogun State v Aberuagba [1985] 1 NSCC 487</w:t>
      </w:r>
    </w:p>
    <w:p w14:paraId="731EA110">
      <w:pPr>
        <w:spacing w:after="160" w:line="480" w:lineRule="auto"/>
        <w:jc w:val="both"/>
        <w:rPr>
          <w:rFonts w:eastAsia="Calibri"/>
        </w:rPr>
      </w:pPr>
      <w:r>
        <w:rPr>
          <w:rFonts w:eastAsia="Calibri"/>
        </w:rPr>
        <w:t>AG Rivers State &amp; 2 Ors.  v AG. Federation of Nigeria: 2 Suit No. SC/964 [2016]</w:t>
      </w:r>
    </w:p>
    <w:p w14:paraId="7915D347">
      <w:pPr>
        <w:spacing w:after="160" w:line="480" w:lineRule="auto"/>
        <w:jc w:val="both"/>
        <w:rPr>
          <w:rFonts w:eastAsia="Calibri"/>
        </w:rPr>
      </w:pPr>
      <w:r>
        <w:rPr>
          <w:rFonts w:eastAsia="Calibri"/>
        </w:rPr>
        <w:t>Alitalia Airlines Ltd v FBIR [1 NTC 222]</w:t>
      </w:r>
    </w:p>
    <w:p w14:paraId="55573D5B">
      <w:pPr>
        <w:spacing w:after="160" w:line="480" w:lineRule="auto"/>
        <w:jc w:val="both"/>
        <w:rPr>
          <w:rFonts w:eastAsia="Calibri"/>
        </w:rPr>
      </w:pPr>
      <w:r>
        <w:rPr>
          <w:rFonts w:eastAsia="Calibri"/>
        </w:rPr>
        <w:t>Ariori v Elemo [1983] 1 SCNLR, [1983] ANLR 1</w:t>
      </w:r>
    </w:p>
    <w:p w14:paraId="52F149DC">
      <w:pPr>
        <w:spacing w:after="160" w:line="480" w:lineRule="auto"/>
        <w:jc w:val="both"/>
        <w:rPr>
          <w:rFonts w:eastAsia="Calibri"/>
        </w:rPr>
      </w:pPr>
      <w:r>
        <w:rPr>
          <w:rFonts w:eastAsia="Calibri"/>
        </w:rPr>
        <w:t>Attorney General (AG) of Lagos State v Eko Hotels Ltd &amp; Anor [2006] 6 All NTC,356</w:t>
      </w:r>
    </w:p>
    <w:p w14:paraId="0DAB4F92">
      <w:pPr>
        <w:spacing w:after="160" w:line="480" w:lineRule="auto"/>
        <w:rPr>
          <w:rFonts w:eastAsia="Calibri"/>
        </w:rPr>
      </w:pPr>
      <w:r>
        <w:rPr>
          <w:rFonts w:eastAsia="Calibri"/>
        </w:rPr>
        <w:t>Attorney General (AG) of Lagos State v. Eko Hotels Ltd &amp; Anor.  6 ALL NTC P356 Line 2, 5-6).</w:t>
      </w:r>
    </w:p>
    <w:p w14:paraId="001854EE">
      <w:pPr>
        <w:spacing w:after="160" w:line="480" w:lineRule="auto"/>
        <w:jc w:val="both"/>
        <w:rPr>
          <w:rFonts w:eastAsia="Calibri"/>
        </w:rPr>
      </w:pPr>
      <w:r>
        <w:rPr>
          <w:rFonts w:eastAsia="Calibri"/>
        </w:rPr>
        <w:t>Attorney General of the Federation v Attorney General of Abia State [2002] (No 2) 617</w:t>
      </w:r>
    </w:p>
    <w:p w14:paraId="407EED7A">
      <w:pPr>
        <w:spacing w:after="160" w:line="480" w:lineRule="auto"/>
        <w:rPr>
          <w:rFonts w:eastAsia="Calibri"/>
        </w:rPr>
      </w:pPr>
      <w:r>
        <w:rPr>
          <w:rFonts w:eastAsia="Calibri"/>
        </w:rPr>
        <w:t xml:space="preserve">Attorney General of the Federation v. Attorney General, Abia State &amp; 35 Ors. (No. 2) (2002) 6 NWLR (Pt 764)542 </w:t>
      </w:r>
    </w:p>
    <w:p w14:paraId="606931F1">
      <w:pPr>
        <w:spacing w:after="160" w:line="480" w:lineRule="auto"/>
        <w:rPr>
          <w:rFonts w:eastAsia="Calibri"/>
        </w:rPr>
      </w:pPr>
      <w:r>
        <w:rPr>
          <w:rFonts w:eastAsia="Calibri"/>
        </w:rPr>
        <w:t>Attorney General Rivers State v FIRS &amp; Attorney General of the Federation (suit no FHC/PH/CS/149/2020)</w:t>
      </w:r>
    </w:p>
    <w:p w14:paraId="3EADE31C">
      <w:pPr>
        <w:spacing w:after="160" w:line="480" w:lineRule="auto"/>
        <w:rPr>
          <w:rFonts w:eastAsia="Calibri"/>
        </w:rPr>
      </w:pPr>
      <w:r>
        <w:rPr>
          <w:rFonts w:eastAsia="Calibri"/>
        </w:rPr>
        <w:t>Attorney General, Ogun State v Alhaja Ayinke Aberuagba 1984 S.C.20; (1985) 1 NWLR (PT. 3) 395.</w:t>
      </w:r>
    </w:p>
    <w:p w14:paraId="2FEE8CFA">
      <w:pPr>
        <w:spacing w:after="160" w:line="480" w:lineRule="auto"/>
        <w:rPr>
          <w:rFonts w:eastAsia="Calibri"/>
        </w:rPr>
      </w:pPr>
      <w:r>
        <w:rPr>
          <w:rFonts w:eastAsia="Calibri"/>
        </w:rPr>
        <w:t>Attorney Generals of Rivers, Bayelsa &amp; Akwa Ibom States vs Attorney General of the Federation, Suit No. SC964/2016.</w:t>
      </w:r>
    </w:p>
    <w:p w14:paraId="6DA32A8F">
      <w:pPr>
        <w:spacing w:after="160" w:line="480" w:lineRule="auto"/>
        <w:jc w:val="both"/>
        <w:rPr>
          <w:rFonts w:eastAsia="Calibri"/>
        </w:rPr>
      </w:pPr>
      <w:r>
        <w:rPr>
          <w:rFonts w:eastAsia="Calibri"/>
        </w:rPr>
        <w:t>Bamidele v Commissioner for Local Government [1994] 2 NWLR pt 328 -585</w:t>
      </w:r>
    </w:p>
    <w:p w14:paraId="27A4A4B0">
      <w:pPr>
        <w:spacing w:after="160" w:line="480" w:lineRule="auto"/>
        <w:jc w:val="both"/>
        <w:rPr>
          <w:rFonts w:eastAsia="Calibri"/>
        </w:rPr>
      </w:pPr>
      <w:r>
        <w:rPr>
          <w:rFonts w:eastAsia="Calibri"/>
        </w:rPr>
        <w:t>Brasoil Services Company (Nigeria) Ltd v FIRS [2016] 24 TLRN 24</w:t>
      </w:r>
    </w:p>
    <w:p w14:paraId="1185783B">
      <w:pPr>
        <w:spacing w:after="160" w:line="480" w:lineRule="auto"/>
        <w:jc w:val="both"/>
        <w:rPr>
          <w:rFonts w:eastAsia="Calibri"/>
        </w:rPr>
      </w:pPr>
      <w:r>
        <w:rPr>
          <w:rFonts w:eastAsia="Calibri"/>
        </w:rPr>
        <w:t>Chevron Nigeria Ltd v FIRS (EGP3) [2016] 21TLRN53</w:t>
      </w:r>
    </w:p>
    <w:p w14:paraId="486232F2">
      <w:pPr>
        <w:spacing w:after="160" w:line="480" w:lineRule="auto"/>
        <w:jc w:val="both"/>
        <w:rPr>
          <w:rFonts w:eastAsia="Calibri"/>
        </w:rPr>
      </w:pPr>
      <w:r>
        <w:rPr>
          <w:rFonts w:eastAsia="Calibri"/>
        </w:rPr>
        <w:t>Chevron Nigeria Ltd v FIRS (EGTL Appeal) [2016] 21TLRN 26</w:t>
      </w:r>
    </w:p>
    <w:p w14:paraId="7A493AA3">
      <w:pPr>
        <w:spacing w:after="160" w:line="480" w:lineRule="auto"/>
        <w:jc w:val="both"/>
        <w:rPr>
          <w:rFonts w:eastAsia="Calibri"/>
        </w:rPr>
      </w:pPr>
      <w:r>
        <w:rPr>
          <w:rFonts w:eastAsia="Calibri"/>
        </w:rPr>
        <w:t xml:space="preserve">Chevron Nigeria Ltd v FIRS II [2016] 22 TLRN 117  </w:t>
      </w:r>
    </w:p>
    <w:p w14:paraId="665B7F6A">
      <w:pPr>
        <w:spacing w:after="160" w:line="480" w:lineRule="auto"/>
        <w:jc w:val="both"/>
        <w:rPr>
          <w:rFonts w:eastAsia="Calibri"/>
        </w:rPr>
      </w:pPr>
      <w:r>
        <w:rPr>
          <w:rFonts w:eastAsia="Calibri"/>
        </w:rPr>
        <w:t xml:space="preserve"> Chevron Nigeria Ltd v Ondo State Board of Internal Revenue [2015] 19 TLRN 1</w:t>
      </w:r>
    </w:p>
    <w:p w14:paraId="689576C1">
      <w:pPr>
        <w:spacing w:after="160" w:line="480" w:lineRule="auto"/>
        <w:jc w:val="both"/>
        <w:rPr>
          <w:rFonts w:eastAsia="Calibri"/>
        </w:rPr>
      </w:pPr>
      <w:r>
        <w:rPr>
          <w:rFonts w:eastAsia="Calibri"/>
        </w:rPr>
        <w:t>CNOOC Exploration v FIRS [2013] 9 TLRN 28</w:t>
      </w:r>
    </w:p>
    <w:p w14:paraId="1DFE566F">
      <w:pPr>
        <w:spacing w:after="160" w:line="480" w:lineRule="auto"/>
        <w:rPr>
          <w:rFonts w:eastAsia="Calibri"/>
        </w:rPr>
      </w:pPr>
      <w:r>
        <w:rPr>
          <w:rFonts w:eastAsia="Calibri"/>
        </w:rPr>
        <w:t>Doherty v Balewa (1961)2 NSCC 248 at 252</w:t>
      </w:r>
    </w:p>
    <w:p w14:paraId="4146AC9A">
      <w:pPr>
        <w:spacing w:after="160" w:line="480" w:lineRule="auto"/>
        <w:rPr>
          <w:rFonts w:eastAsia="Calibri"/>
        </w:rPr>
      </w:pPr>
      <w:r>
        <w:rPr>
          <w:rFonts w:eastAsia="Calibri"/>
        </w:rPr>
        <w:t>Emmanuel C. Ukala SAN v FIRS &amp; Attorney General of Federation, (Suit no: FHC/PHC/CS/30/2020.</w:t>
      </w:r>
    </w:p>
    <w:p w14:paraId="4F586656">
      <w:pPr>
        <w:spacing w:after="160" w:line="480" w:lineRule="auto"/>
        <w:jc w:val="both"/>
        <w:rPr>
          <w:rFonts w:eastAsia="Calibri"/>
        </w:rPr>
      </w:pPr>
      <w:r>
        <w:rPr>
          <w:rFonts w:eastAsia="Calibri"/>
        </w:rPr>
        <w:t>Ess-Ay Holdings limited v Federal Inland Revenue Service TAT /LZ/VAT/029[2019]</w:t>
      </w:r>
    </w:p>
    <w:p w14:paraId="0D5ADBA5">
      <w:pPr>
        <w:spacing w:after="160" w:line="480" w:lineRule="auto"/>
        <w:jc w:val="both"/>
        <w:rPr>
          <w:rFonts w:eastAsia="Calibri"/>
        </w:rPr>
      </w:pPr>
      <w:r>
        <w:rPr>
          <w:rFonts w:eastAsia="Calibri"/>
        </w:rPr>
        <w:t>Esso Exploration &amp; Production Nig. Ltd &amp; Anor v FIRS [2015] 17 TLRN 83</w:t>
      </w:r>
    </w:p>
    <w:p w14:paraId="71A8F9B8">
      <w:pPr>
        <w:spacing w:after="160" w:line="480" w:lineRule="auto"/>
        <w:jc w:val="both"/>
        <w:rPr>
          <w:rFonts w:eastAsia="Calibri"/>
        </w:rPr>
      </w:pPr>
      <w:r>
        <w:rPr>
          <w:rFonts w:eastAsia="Calibri"/>
        </w:rPr>
        <w:t>Eti-Osa Local Government v Jegede [2018] 6 ALL NTC VOL 6, 251</w:t>
      </w:r>
    </w:p>
    <w:p w14:paraId="7A80EB32">
      <w:pPr>
        <w:spacing w:after="160" w:line="480" w:lineRule="auto"/>
        <w:jc w:val="both"/>
        <w:rPr>
          <w:rFonts w:eastAsia="Calibri"/>
        </w:rPr>
      </w:pPr>
      <w:r>
        <w:rPr>
          <w:rFonts w:eastAsia="Calibri"/>
        </w:rPr>
        <w:t>FBIR v Halliburton (WA) Limited [2015] 17 TLRN 1</w:t>
      </w:r>
    </w:p>
    <w:p w14:paraId="3ECBD7F9">
      <w:pPr>
        <w:spacing w:after="160" w:line="480" w:lineRule="auto"/>
        <w:rPr>
          <w:rFonts w:eastAsia="Calibri"/>
        </w:rPr>
      </w:pPr>
      <w:r>
        <w:rPr>
          <w:rFonts w:eastAsia="Calibri"/>
        </w:rPr>
        <w:t>FBIR v. Halliburton (WA) Ltd 2016 4 NWLR (Pt. 1501) 53.</w:t>
      </w:r>
    </w:p>
    <w:p w14:paraId="2D293A35">
      <w:pPr>
        <w:spacing w:after="160" w:line="480" w:lineRule="auto"/>
        <w:jc w:val="both"/>
        <w:rPr>
          <w:rFonts w:eastAsia="Calibri"/>
        </w:rPr>
      </w:pPr>
      <w:r>
        <w:rPr>
          <w:rFonts w:eastAsia="Calibri"/>
        </w:rPr>
        <w:t>Federal Board of Inland Revenue v Omotosho 1 NTC 257</w:t>
      </w:r>
    </w:p>
    <w:p w14:paraId="21AAD96C">
      <w:pPr>
        <w:spacing w:after="160" w:line="480" w:lineRule="auto"/>
        <w:jc w:val="both"/>
        <w:rPr>
          <w:rFonts w:eastAsia="Calibri"/>
        </w:rPr>
      </w:pPr>
      <w:r>
        <w:rPr>
          <w:rFonts w:eastAsia="Calibri"/>
        </w:rPr>
        <w:t>Federal Government of Nigeria v Zebra Energy Ltd NOGC 3 (2) [2001-2002], 354</w:t>
      </w:r>
    </w:p>
    <w:p w14:paraId="3263D9BB">
      <w:pPr>
        <w:spacing w:after="160" w:line="480" w:lineRule="auto"/>
        <w:jc w:val="both"/>
        <w:rPr>
          <w:rFonts w:eastAsia="Calibri"/>
        </w:rPr>
      </w:pPr>
      <w:r>
        <w:rPr>
          <w:rFonts w:eastAsia="Calibri"/>
        </w:rPr>
        <w:t>FIRS v Mobil Producing Nigeria Unlimited [2018] 37 TLRN 1</w:t>
      </w:r>
    </w:p>
    <w:p w14:paraId="3BA49813">
      <w:pPr>
        <w:spacing w:after="160" w:line="480" w:lineRule="auto"/>
        <w:rPr>
          <w:rFonts w:eastAsia="Calibri"/>
        </w:rPr>
      </w:pPr>
      <w:r>
        <w:rPr>
          <w:rFonts w:eastAsia="Calibri"/>
        </w:rPr>
        <w:t>FIRS v Total E&amp;P Nigeria Limited, FHC [2020]</w:t>
      </w:r>
    </w:p>
    <w:p w14:paraId="346AF322">
      <w:pPr>
        <w:spacing w:after="160" w:line="480" w:lineRule="auto"/>
        <w:jc w:val="both"/>
        <w:rPr>
          <w:rFonts w:eastAsia="Calibri"/>
        </w:rPr>
      </w:pPr>
      <w:r>
        <w:rPr>
          <w:rFonts w:eastAsia="Calibri"/>
        </w:rPr>
        <w:t xml:space="preserve">Gazprom Oil and Gas Nig. Ltd v. Federal Inland Revenue Service [2015] 19 TLRN 66 </w:t>
      </w:r>
    </w:p>
    <w:p w14:paraId="05FE3E37">
      <w:pPr>
        <w:spacing w:after="160" w:line="480" w:lineRule="auto"/>
        <w:jc w:val="both"/>
        <w:rPr>
          <w:rFonts w:eastAsia="Calibri"/>
        </w:rPr>
      </w:pPr>
      <w:r>
        <w:rPr>
          <w:rFonts w:eastAsia="Calibri"/>
        </w:rPr>
        <w:t>Global International Drilling v FIRS [2013] 12 TLRN 1</w:t>
      </w:r>
    </w:p>
    <w:p w14:paraId="37A55806">
      <w:pPr>
        <w:spacing w:after="160" w:line="480" w:lineRule="auto"/>
        <w:jc w:val="both"/>
        <w:rPr>
          <w:rFonts w:eastAsia="Calibri"/>
        </w:rPr>
      </w:pPr>
      <w:r>
        <w:rPr>
          <w:rFonts w:eastAsia="Calibri"/>
        </w:rPr>
        <w:t>Gulf Oil Company (Nig) Ltd v FBIR (1997) NWLR (Pt 514), [2012] 7 TLRN 163</w:t>
      </w:r>
    </w:p>
    <w:p w14:paraId="609C146C">
      <w:pPr>
        <w:spacing w:after="160" w:line="480" w:lineRule="auto"/>
        <w:jc w:val="both"/>
        <w:rPr>
          <w:rFonts w:eastAsia="Calibri"/>
        </w:rPr>
      </w:pPr>
      <w:r>
        <w:rPr>
          <w:rFonts w:eastAsia="Calibri"/>
        </w:rPr>
        <w:t>Halliburton West Africa Ltd v FBIR [2013] 11 TLRN 84</w:t>
      </w:r>
    </w:p>
    <w:p w14:paraId="5EC86619">
      <w:pPr>
        <w:spacing w:after="160" w:line="480" w:lineRule="auto"/>
        <w:jc w:val="both"/>
        <w:rPr>
          <w:rFonts w:eastAsia="Calibri"/>
        </w:rPr>
      </w:pPr>
      <w:r>
        <w:rPr>
          <w:rFonts w:eastAsia="Calibri"/>
        </w:rPr>
        <w:t>Ibidapo v Lufthansa Airlines (1997) 4 NWLR (Pt 498) 124</w:t>
      </w:r>
    </w:p>
    <w:p w14:paraId="648738B1">
      <w:pPr>
        <w:spacing w:after="160" w:line="480" w:lineRule="auto"/>
        <w:jc w:val="both"/>
        <w:rPr>
          <w:rFonts w:eastAsia="Calibri"/>
        </w:rPr>
      </w:pPr>
      <w:r>
        <w:rPr>
          <w:rFonts w:eastAsia="Calibri"/>
        </w:rPr>
        <w:t>Ishola v Ajiboye (1994) 6 NWLR (Pt 352) 506.</w:t>
      </w:r>
    </w:p>
    <w:p w14:paraId="3296DD75">
      <w:pPr>
        <w:spacing w:after="160" w:line="480" w:lineRule="auto"/>
        <w:jc w:val="both"/>
        <w:rPr>
          <w:rFonts w:eastAsia="Calibri"/>
        </w:rPr>
      </w:pPr>
      <w:r>
        <w:rPr>
          <w:rFonts w:eastAsia="Calibri"/>
        </w:rPr>
        <w:t>JGC Corporation vs FIRS [2014] 15 TLRN 105</w:t>
      </w:r>
    </w:p>
    <w:p w14:paraId="731AF947">
      <w:pPr>
        <w:spacing w:after="160" w:line="480" w:lineRule="auto"/>
        <w:jc w:val="both"/>
        <w:rPr>
          <w:rFonts w:eastAsia="Calibri"/>
        </w:rPr>
      </w:pPr>
      <w:r>
        <w:rPr>
          <w:rFonts w:eastAsia="Calibri"/>
        </w:rPr>
        <w:t>Mama Cass Restaurant v FBIR 6ALL NTC 97</w:t>
      </w:r>
    </w:p>
    <w:p w14:paraId="2E426337">
      <w:pPr>
        <w:spacing w:after="160" w:line="480" w:lineRule="auto"/>
        <w:jc w:val="both"/>
        <w:rPr>
          <w:rFonts w:eastAsia="Calibri"/>
        </w:rPr>
      </w:pPr>
      <w:r>
        <w:rPr>
          <w:rFonts w:eastAsia="Calibri"/>
        </w:rPr>
        <w:t>Mobil Producing Nigeria Unlimited v FIRS No. 4 (2015) 18 TLRN 115</w:t>
      </w:r>
    </w:p>
    <w:p w14:paraId="43E51065">
      <w:pPr>
        <w:spacing w:after="160" w:line="480" w:lineRule="auto"/>
        <w:jc w:val="both"/>
        <w:rPr>
          <w:rFonts w:eastAsia="Calibri"/>
        </w:rPr>
      </w:pPr>
      <w:r>
        <w:rPr>
          <w:rFonts w:eastAsia="Calibri"/>
        </w:rPr>
        <w:t>Mobil Producing Nigeria Unlimited V Tai Local Government [2003] 5 All NTC.</w:t>
      </w:r>
    </w:p>
    <w:p w14:paraId="45B2BD3F">
      <w:pPr>
        <w:spacing w:after="160" w:line="480" w:lineRule="auto"/>
        <w:jc w:val="both"/>
        <w:rPr>
          <w:rFonts w:eastAsia="Calibri"/>
        </w:rPr>
      </w:pPr>
      <w:r>
        <w:rPr>
          <w:rFonts w:eastAsia="Calibri"/>
        </w:rPr>
        <w:t>Mobil Production Nigeria Unlimited v FIRS [2016] 25 TLRN 39</w:t>
      </w:r>
    </w:p>
    <w:p w14:paraId="7512E975">
      <w:pPr>
        <w:spacing w:after="160" w:line="480" w:lineRule="auto"/>
        <w:jc w:val="both"/>
        <w:rPr>
          <w:rFonts w:eastAsia="Calibri"/>
        </w:rPr>
      </w:pPr>
      <w:r>
        <w:rPr>
          <w:rFonts w:eastAsia="Calibri"/>
        </w:rPr>
        <w:t>Moni Pulo v Brass Exploration [2012] 6 CLRN 153</w:t>
      </w:r>
    </w:p>
    <w:p w14:paraId="719329F5">
      <w:pPr>
        <w:spacing w:after="160" w:line="480" w:lineRule="auto"/>
        <w:jc w:val="both"/>
        <w:rPr>
          <w:rFonts w:eastAsia="Calibri"/>
        </w:rPr>
      </w:pPr>
      <w:r>
        <w:rPr>
          <w:rFonts w:eastAsia="Calibri"/>
        </w:rPr>
        <w:t>MTN Nigeria Communications Plc v FIRS [2020] 50 TLRN 42</w:t>
      </w:r>
    </w:p>
    <w:p w14:paraId="35BD90F8">
      <w:pPr>
        <w:spacing w:after="160" w:line="480" w:lineRule="auto"/>
        <w:jc w:val="both"/>
        <w:rPr>
          <w:rFonts w:eastAsia="Calibri"/>
        </w:rPr>
      </w:pPr>
      <w:r>
        <w:rPr>
          <w:rFonts w:eastAsia="Calibri"/>
        </w:rPr>
        <w:t>Muskrat v United States [1911] 219 US</w:t>
      </w:r>
    </w:p>
    <w:p w14:paraId="446F4266">
      <w:pPr>
        <w:spacing w:after="160" w:line="480" w:lineRule="auto"/>
        <w:rPr>
          <w:rFonts w:eastAsia="Calibri"/>
        </w:rPr>
      </w:pPr>
      <w:r>
        <w:rPr>
          <w:rFonts w:eastAsia="Calibri"/>
        </w:rPr>
        <w:t>Niger Delta Development Commission v Nigeria Liquefied National Gas Limited (NDDC v NLNG) (2010) LPELR-CA/PH/520/2007.</w:t>
      </w:r>
    </w:p>
    <w:p w14:paraId="7B5327C1">
      <w:pPr>
        <w:spacing w:after="160" w:line="480" w:lineRule="auto"/>
        <w:jc w:val="both"/>
        <w:rPr>
          <w:rFonts w:eastAsia="Calibri"/>
        </w:rPr>
      </w:pPr>
      <w:r>
        <w:rPr>
          <w:rFonts w:eastAsia="Calibri"/>
        </w:rPr>
        <w:t>Nigeria LNG Ltd v AGF &amp; 2 Ors [2018] 33 TLRN 9</w:t>
      </w:r>
    </w:p>
    <w:p w14:paraId="40291C1C">
      <w:pPr>
        <w:spacing w:after="160" w:line="480" w:lineRule="auto"/>
        <w:jc w:val="both"/>
        <w:rPr>
          <w:rFonts w:eastAsia="Calibri"/>
        </w:rPr>
      </w:pPr>
      <w:r>
        <w:rPr>
          <w:rFonts w:eastAsia="Calibri"/>
        </w:rPr>
        <w:t>Nigeria National Petroleum Corporation v Tax Appeal Tribunal &amp; 3 Ors [2013] (Suit No FHC/L/CS/630/2013)</w:t>
      </w:r>
    </w:p>
    <w:p w14:paraId="042847E6">
      <w:pPr>
        <w:spacing w:after="160" w:line="480" w:lineRule="auto"/>
        <w:jc w:val="both"/>
        <w:rPr>
          <w:rFonts w:eastAsia="Calibri"/>
        </w:rPr>
      </w:pPr>
      <w:r>
        <w:rPr>
          <w:rFonts w:eastAsia="Calibri"/>
        </w:rPr>
        <w:t>Nigerian Agip Oil Company Limited vs FIRS [2014] 16 TLRN 25</w:t>
      </w:r>
    </w:p>
    <w:p w14:paraId="185B0159">
      <w:pPr>
        <w:spacing w:after="160" w:line="480" w:lineRule="auto"/>
        <w:jc w:val="both"/>
        <w:rPr>
          <w:rFonts w:eastAsia="Calibri"/>
        </w:rPr>
      </w:pPr>
      <w:r>
        <w:rPr>
          <w:rFonts w:eastAsia="Calibri"/>
        </w:rPr>
        <w:t>Nigerian Breweries PLC v Federal Inland Revenue Service [2016] 24 TLRN 40</w:t>
      </w:r>
    </w:p>
    <w:p w14:paraId="764F6F0C">
      <w:pPr>
        <w:spacing w:after="160" w:line="480" w:lineRule="auto"/>
        <w:jc w:val="both"/>
        <w:rPr>
          <w:rFonts w:eastAsia="Calibri"/>
        </w:rPr>
      </w:pPr>
      <w:r>
        <w:rPr>
          <w:rFonts w:eastAsia="Calibri"/>
        </w:rPr>
        <w:t>Nigerian National Petroleum Corporation v CNOOC Exploration &amp; Production Nigeria Limited &amp; Ors [2015] 20 TLRN 17</w:t>
      </w:r>
    </w:p>
    <w:p w14:paraId="606416A5">
      <w:pPr>
        <w:spacing w:after="160" w:line="480" w:lineRule="auto"/>
        <w:jc w:val="both"/>
        <w:rPr>
          <w:rFonts w:eastAsia="Calibri"/>
        </w:rPr>
      </w:pPr>
      <w:r>
        <w:rPr>
          <w:rFonts w:eastAsia="Calibri"/>
        </w:rPr>
        <w:t>Nigerian National Petroleum Corporation vs Tax Appeal Tribunal [2014] 13 TLRN 39</w:t>
      </w:r>
    </w:p>
    <w:p w14:paraId="7AC5985F">
      <w:pPr>
        <w:spacing w:after="160" w:line="480" w:lineRule="auto"/>
        <w:jc w:val="both"/>
        <w:rPr>
          <w:rFonts w:eastAsia="Calibri"/>
        </w:rPr>
      </w:pPr>
      <w:r>
        <w:rPr>
          <w:rFonts w:eastAsia="Calibri"/>
        </w:rPr>
        <w:t>Njikonye v MTN Nigeria Communication [2008] 9 NWLR (Pt 1092) 339</w:t>
      </w:r>
    </w:p>
    <w:p w14:paraId="09736BF3">
      <w:pPr>
        <w:spacing w:after="160" w:line="480" w:lineRule="auto"/>
        <w:jc w:val="both"/>
        <w:rPr>
          <w:rFonts w:eastAsia="Calibri"/>
        </w:rPr>
      </w:pPr>
      <w:r>
        <w:rPr>
          <w:rFonts w:eastAsia="Calibri"/>
        </w:rPr>
        <w:t>NOSDRA V ExxonMobil [2018] 13 NWLR (PT. 1636) 334</w:t>
      </w:r>
    </w:p>
    <w:p w14:paraId="2C01116F">
      <w:pPr>
        <w:spacing w:after="160" w:line="480" w:lineRule="auto"/>
        <w:jc w:val="both"/>
        <w:rPr>
          <w:rFonts w:eastAsia="Calibri"/>
        </w:rPr>
      </w:pPr>
      <w:r>
        <w:rPr>
          <w:rFonts w:eastAsia="Calibri"/>
        </w:rPr>
        <w:t>Nwadioro &amp; 2 Ors v Shell Petroleum Development Company of Nigeria Ltd, NOGC 1 [1961 -1995], 205</w:t>
      </w:r>
    </w:p>
    <w:p w14:paraId="4006A617">
      <w:pPr>
        <w:spacing w:after="160" w:line="480" w:lineRule="auto"/>
        <w:rPr>
          <w:rFonts w:eastAsia="Calibri"/>
          <w:highlight w:val="yellow"/>
        </w:rPr>
      </w:pPr>
      <w:r>
        <w:rPr>
          <w:rFonts w:eastAsia="Calibri"/>
        </w:rPr>
        <w:t>Nwadioro &amp; 2 Ors. v. Shell Petroleum Development Company of Nigeria Ltd NOGC 1 [1961 -1995] 205 CA.</w:t>
      </w:r>
    </w:p>
    <w:p w14:paraId="5A1EA73B">
      <w:pPr>
        <w:spacing w:after="160" w:line="480" w:lineRule="auto"/>
        <w:jc w:val="both"/>
        <w:rPr>
          <w:rFonts w:eastAsia="Calibri"/>
        </w:rPr>
      </w:pPr>
      <w:r>
        <w:rPr>
          <w:rFonts w:eastAsia="Calibri"/>
        </w:rPr>
        <w:t>Oando Plc v FIRS [2015] 17 TLRN 1Oando Plc v FIRS [2014] 16; TLRN 99 [2016] 26 TLRN 1</w:t>
      </w:r>
    </w:p>
    <w:p w14:paraId="65026B55">
      <w:pPr>
        <w:spacing w:after="160" w:line="480" w:lineRule="auto"/>
        <w:jc w:val="both"/>
        <w:rPr>
          <w:rFonts w:eastAsia="Calibri"/>
        </w:rPr>
      </w:pPr>
      <w:r>
        <w:rPr>
          <w:rFonts w:eastAsia="Calibri"/>
        </w:rPr>
        <w:t>Oando Plc v FIRS II [2013] 11 TLRN 169</w:t>
      </w:r>
    </w:p>
    <w:p w14:paraId="28DC811C">
      <w:pPr>
        <w:spacing w:after="160" w:line="480" w:lineRule="auto"/>
        <w:jc w:val="both"/>
        <w:rPr>
          <w:rFonts w:eastAsia="Calibri"/>
        </w:rPr>
      </w:pPr>
      <w:r>
        <w:rPr>
          <w:rFonts w:eastAsia="Calibri"/>
        </w:rPr>
        <w:t>Oando Supply &amp; Trading Ltd v FIRS [2011] 4 TLRN 113</w:t>
      </w:r>
    </w:p>
    <w:p w14:paraId="2E51D1DC">
      <w:pPr>
        <w:spacing w:after="160" w:line="480" w:lineRule="auto"/>
        <w:jc w:val="both"/>
        <w:rPr>
          <w:rFonts w:eastAsia="Calibri"/>
        </w:rPr>
      </w:pPr>
      <w:r>
        <w:rPr>
          <w:rFonts w:eastAsia="Calibri"/>
        </w:rPr>
        <w:t>Oando v FBIR (2009) 1 TLRN 6</w:t>
      </w:r>
    </w:p>
    <w:p w14:paraId="13ECB1BA">
      <w:pPr>
        <w:spacing w:after="160" w:line="480" w:lineRule="auto"/>
        <w:jc w:val="both"/>
        <w:rPr>
          <w:rFonts w:eastAsia="Calibri"/>
        </w:rPr>
      </w:pPr>
      <w:r>
        <w:rPr>
          <w:rFonts w:eastAsia="Calibri"/>
        </w:rPr>
        <w:t>Offshore International v FBIR [1 NTC 384]</w:t>
      </w:r>
    </w:p>
    <w:p w14:paraId="7A6AE703">
      <w:pPr>
        <w:spacing w:after="160" w:line="480" w:lineRule="auto"/>
        <w:jc w:val="both"/>
        <w:rPr>
          <w:rFonts w:eastAsia="Calibri"/>
        </w:rPr>
      </w:pPr>
      <w:r>
        <w:rPr>
          <w:rFonts w:eastAsia="Calibri"/>
        </w:rPr>
        <w:t>Offshore International v FBIR [2011] 4 TLRN 59, 84</w:t>
      </w:r>
    </w:p>
    <w:p w14:paraId="25ECFEA4">
      <w:pPr>
        <w:spacing w:after="160" w:line="480" w:lineRule="auto"/>
        <w:jc w:val="both"/>
        <w:rPr>
          <w:rFonts w:eastAsia="Calibri"/>
        </w:rPr>
      </w:pPr>
      <w:r>
        <w:rPr>
          <w:rFonts w:eastAsia="Calibri"/>
        </w:rPr>
        <w:t>Okupe v FBIR [1 NTC 321]</w:t>
      </w:r>
    </w:p>
    <w:p w14:paraId="0FF19393">
      <w:pPr>
        <w:spacing w:after="160" w:line="480" w:lineRule="auto"/>
        <w:jc w:val="both"/>
        <w:rPr>
          <w:rFonts w:eastAsia="Calibri"/>
        </w:rPr>
      </w:pPr>
      <w:r>
        <w:rPr>
          <w:rFonts w:eastAsia="Calibri"/>
        </w:rPr>
        <w:t>Onagoruwa v The State [1993] 7 NWLR (Pt 303) 49,102</w:t>
      </w:r>
    </w:p>
    <w:p w14:paraId="65912E83">
      <w:pPr>
        <w:spacing w:after="160" w:line="480" w:lineRule="auto"/>
        <w:jc w:val="both"/>
        <w:rPr>
          <w:rFonts w:eastAsia="Calibri"/>
        </w:rPr>
      </w:pPr>
      <w:r>
        <w:rPr>
          <w:rFonts w:eastAsia="Calibri"/>
        </w:rPr>
        <w:t>Oyeniran v Egbetola [1997] 5 NWLR (Pt 504) 122,131</w:t>
      </w:r>
    </w:p>
    <w:p w14:paraId="0DB24A3C">
      <w:pPr>
        <w:spacing w:after="160" w:line="480" w:lineRule="auto"/>
        <w:rPr>
          <w:rFonts w:eastAsia="Calibri"/>
        </w:rPr>
      </w:pPr>
      <w:r>
        <w:rPr>
          <w:rFonts w:eastAsia="Calibri"/>
        </w:rPr>
        <w:t>Peenok Investments Ltd v. Hotel Presidential (1982) 12 SC 1.</w:t>
      </w:r>
    </w:p>
    <w:p w14:paraId="41587C0D">
      <w:pPr>
        <w:spacing w:after="160" w:line="480" w:lineRule="auto"/>
        <w:jc w:val="both"/>
        <w:rPr>
          <w:rFonts w:eastAsia="Calibri"/>
        </w:rPr>
      </w:pPr>
      <w:r>
        <w:rPr>
          <w:rFonts w:eastAsia="Calibri"/>
        </w:rPr>
        <w:t xml:space="preserve">R&amp;B Falcon Exploration Company LLC v Federal Inland Revenue Service [2016] 25 TLRN 94 </w:t>
      </w:r>
    </w:p>
    <w:p w14:paraId="476862A4">
      <w:pPr>
        <w:spacing w:after="160" w:line="480" w:lineRule="auto"/>
        <w:jc w:val="both"/>
        <w:rPr>
          <w:rFonts w:eastAsia="Calibri"/>
        </w:rPr>
      </w:pPr>
      <w:r>
        <w:rPr>
          <w:rFonts w:eastAsia="Calibri"/>
        </w:rPr>
        <w:t>Re Eurig's Estate [1998] 165 DLR (4th)</w:t>
      </w:r>
    </w:p>
    <w:p w14:paraId="0A9D0207">
      <w:pPr>
        <w:spacing w:after="160" w:line="480" w:lineRule="auto"/>
        <w:jc w:val="both"/>
        <w:rPr>
          <w:rFonts w:eastAsia="Calibri"/>
        </w:rPr>
      </w:pPr>
      <w:r>
        <w:rPr>
          <w:rFonts w:eastAsia="Calibri"/>
        </w:rPr>
        <w:t>Registered Trustees of Hotel Owners and Managers Association v AG Federation &amp; Minister of Finance FHC/L/CS/1082/19 [2020]</w:t>
      </w:r>
    </w:p>
    <w:p w14:paraId="44636EDB">
      <w:pPr>
        <w:spacing w:after="160" w:line="480" w:lineRule="auto"/>
        <w:jc w:val="both"/>
        <w:rPr>
          <w:rFonts w:eastAsia="Calibri"/>
        </w:rPr>
      </w:pPr>
      <w:r>
        <w:rPr>
          <w:rFonts w:eastAsia="Calibri"/>
        </w:rPr>
        <w:t>Reverend Shodipo v Federal Board of Inland Revenue [1 NTC 273]</w:t>
      </w:r>
    </w:p>
    <w:p w14:paraId="35A096C2">
      <w:pPr>
        <w:spacing w:line="480" w:lineRule="auto"/>
        <w:jc w:val="both"/>
        <w:rPr>
          <w:rFonts w:eastAsia="Calibri"/>
          <w:bCs/>
          <w:iCs/>
          <w:color w:val="000000"/>
          <w:u w:color="000000"/>
        </w:rPr>
      </w:pPr>
      <w:r>
        <w:rPr>
          <w:rFonts w:eastAsia="Calibri"/>
          <w:bCs/>
          <w:iCs/>
          <w:color w:val="000000"/>
          <w:u w:color="000000"/>
        </w:rPr>
        <w:t>Sahara Energy Exploration and Production Limited v Federal Inland Revenue Service (Bloomberg Tax 2022)</w:t>
      </w:r>
    </w:p>
    <w:p w14:paraId="6CC46A17">
      <w:pPr>
        <w:spacing w:after="160" w:line="480" w:lineRule="auto"/>
        <w:jc w:val="both"/>
        <w:rPr>
          <w:rFonts w:eastAsia="Calibri"/>
        </w:rPr>
      </w:pPr>
      <w:r>
        <w:rPr>
          <w:rFonts w:eastAsia="Calibri"/>
        </w:rPr>
        <w:t>Saipem Contracting Nigeria Ltd v FIRS [2014] 15 TLRN 76</w:t>
      </w:r>
    </w:p>
    <w:p w14:paraId="4626D77C">
      <w:pPr>
        <w:spacing w:after="160" w:line="480" w:lineRule="auto"/>
        <w:jc w:val="both"/>
        <w:rPr>
          <w:rFonts w:eastAsia="Calibri"/>
        </w:rPr>
      </w:pPr>
      <w:r>
        <w:rPr>
          <w:rFonts w:eastAsia="Calibri"/>
        </w:rPr>
        <w:t>Schlumberger Nigeria Limited v Obio-Akpor Local Government Council [2007] Suit PHC/1206/2007</w:t>
      </w:r>
    </w:p>
    <w:p w14:paraId="4BF38672">
      <w:pPr>
        <w:spacing w:after="160" w:line="480" w:lineRule="auto"/>
        <w:rPr>
          <w:rFonts w:eastAsia="Calibri"/>
        </w:rPr>
      </w:pPr>
      <w:r>
        <w:rPr>
          <w:rFonts w:eastAsia="Calibri"/>
        </w:rPr>
        <w:t xml:space="preserve">Shell (Nig.) Exploration and Production Ltd &amp; 3 others v Federal Inland Revenue Service case Unreported Appeal No CA/A/208/2012 </w:t>
      </w:r>
    </w:p>
    <w:p w14:paraId="5879959C">
      <w:pPr>
        <w:spacing w:after="160" w:line="480" w:lineRule="auto"/>
        <w:jc w:val="both"/>
        <w:rPr>
          <w:rFonts w:eastAsia="Calibri"/>
        </w:rPr>
      </w:pPr>
      <w:r>
        <w:rPr>
          <w:rFonts w:eastAsia="Calibri"/>
        </w:rPr>
        <w:t>Shell (Nig.) Exploration and Production Ltd &amp; 3 others v Federal Inland Revenue Service [2016] 21 TLRN 41</w:t>
      </w:r>
    </w:p>
    <w:p w14:paraId="4B6D657A">
      <w:pPr>
        <w:spacing w:after="160" w:line="480" w:lineRule="auto"/>
        <w:jc w:val="both"/>
        <w:rPr>
          <w:rFonts w:eastAsia="Calibri"/>
        </w:rPr>
      </w:pPr>
      <w:r>
        <w:rPr>
          <w:rFonts w:eastAsia="Calibri"/>
        </w:rPr>
        <w:t>Shell BP Petroleum Development Company v Federal Board of Inland Revenue NOGC 1 [1961-1965] 90 FRC</w:t>
      </w:r>
    </w:p>
    <w:p w14:paraId="6B93212F">
      <w:pPr>
        <w:spacing w:after="160" w:line="480" w:lineRule="auto"/>
        <w:jc w:val="both"/>
        <w:rPr>
          <w:rFonts w:eastAsia="Calibri"/>
        </w:rPr>
      </w:pPr>
      <w:r>
        <w:rPr>
          <w:rFonts w:eastAsia="Calibri"/>
        </w:rPr>
        <w:t>Shell International v FBIR [2004] 3 NWLR (Pt 859) 46</w:t>
      </w:r>
    </w:p>
    <w:p w14:paraId="066D0821">
      <w:pPr>
        <w:spacing w:after="160" w:line="480" w:lineRule="auto"/>
        <w:jc w:val="both"/>
        <w:rPr>
          <w:rFonts w:eastAsia="Calibri"/>
        </w:rPr>
      </w:pPr>
      <w:r>
        <w:rPr>
          <w:rFonts w:eastAsia="Calibri"/>
        </w:rPr>
        <w:t>Shell Nigeria Exploration &amp; Production Co. Ltd &amp; 3 Ors v FIRS &amp; Anor (2013) 11 TLRN 45</w:t>
      </w:r>
    </w:p>
    <w:p w14:paraId="1FDD9DCD">
      <w:pPr>
        <w:spacing w:after="160" w:line="480" w:lineRule="auto"/>
        <w:rPr>
          <w:rFonts w:eastAsia="Calibri"/>
        </w:rPr>
      </w:pPr>
      <w:r>
        <w:rPr>
          <w:rFonts w:eastAsia="Calibri"/>
        </w:rPr>
        <w:t>Shell Petroleum Development Co Nigeria Ltd v Bayelsa State Board of Internal Revenue 7 All NTC vol. 7.</w:t>
      </w:r>
      <w:r>
        <w:rPr>
          <w:rFonts w:eastAsia="Calibri"/>
        </w:rPr>
        <w:tab/>
      </w:r>
    </w:p>
    <w:p w14:paraId="13FB83B6">
      <w:pPr>
        <w:spacing w:after="160" w:line="480" w:lineRule="auto"/>
        <w:jc w:val="both"/>
        <w:rPr>
          <w:rFonts w:eastAsia="Calibri"/>
        </w:rPr>
      </w:pPr>
      <w:r>
        <w:rPr>
          <w:rFonts w:eastAsia="Calibri"/>
        </w:rPr>
        <w:t>Shell Petroleum Development Company (Nig) Ltd v Federal Board of Inland Revenue [1996] 8 NWLR (Pt 466) 256</w:t>
      </w:r>
    </w:p>
    <w:p w14:paraId="32F8A679">
      <w:pPr>
        <w:spacing w:after="160" w:line="480" w:lineRule="auto"/>
        <w:jc w:val="both"/>
        <w:rPr>
          <w:rFonts w:eastAsia="Calibri"/>
        </w:rPr>
      </w:pPr>
      <w:r>
        <w:rPr>
          <w:rFonts w:eastAsia="Calibri"/>
        </w:rPr>
        <w:t>Shell Petroleum Development Company of Nigeria Ltd v FIRS [2016] 26 TLRN 98</w:t>
      </w:r>
    </w:p>
    <w:p w14:paraId="08174322">
      <w:pPr>
        <w:spacing w:after="160" w:line="480" w:lineRule="auto"/>
        <w:jc w:val="both"/>
        <w:rPr>
          <w:rFonts w:eastAsia="Calibri"/>
        </w:rPr>
      </w:pPr>
      <w:r>
        <w:rPr>
          <w:rFonts w:eastAsia="Calibri"/>
        </w:rPr>
        <w:t>Shell International Petroleum Mattschappij BV v FBIR (2011) 4 TLRN 97.</w:t>
      </w:r>
    </w:p>
    <w:p w14:paraId="7F77144A">
      <w:pPr>
        <w:spacing w:after="160" w:line="480" w:lineRule="auto"/>
        <w:rPr>
          <w:rFonts w:eastAsia="Calibri"/>
        </w:rPr>
      </w:pPr>
      <w:r>
        <w:rPr>
          <w:rFonts w:eastAsia="Calibri"/>
        </w:rPr>
        <w:t>Shell Petroleum Development Company (Nig.) Ltd v Federal Board of Inland Revenue NOGC 2 [1996-2000] 80 SC</w:t>
      </w:r>
    </w:p>
    <w:p w14:paraId="165249C8">
      <w:pPr>
        <w:spacing w:after="160" w:line="480" w:lineRule="auto"/>
        <w:jc w:val="both"/>
        <w:rPr>
          <w:rFonts w:eastAsia="Calibri"/>
        </w:rPr>
      </w:pPr>
      <w:r>
        <w:rPr>
          <w:rFonts w:eastAsia="Calibri"/>
        </w:rPr>
        <w:t>Shell Petroleum Development Company Nigeria Ltd v Bayelsa State Board of Internal Revenue 7 All NTC, Vol 7</w:t>
      </w:r>
    </w:p>
    <w:p w14:paraId="6DE52A89">
      <w:pPr>
        <w:spacing w:after="160" w:line="480" w:lineRule="auto"/>
        <w:jc w:val="both"/>
        <w:rPr>
          <w:rFonts w:eastAsia="Calibri"/>
        </w:rPr>
      </w:pPr>
      <w:r>
        <w:rPr>
          <w:rFonts w:eastAsia="Calibri"/>
        </w:rPr>
        <w:t>South Atlantic Petroleum Coy Ltd v FIRS [2012] 6 TLRN 1</w:t>
      </w:r>
    </w:p>
    <w:p w14:paraId="0B9DC268">
      <w:pPr>
        <w:spacing w:after="160" w:line="480" w:lineRule="auto"/>
        <w:jc w:val="both"/>
        <w:rPr>
          <w:rFonts w:eastAsia="Calibri"/>
        </w:rPr>
      </w:pPr>
      <w:r>
        <w:rPr>
          <w:rFonts w:eastAsia="Calibri"/>
        </w:rPr>
        <w:t>South Atlantic Petroleum Limited v Minister of Petroleum Resources NOGC 6 [2007-2008] 245</w:t>
      </w:r>
    </w:p>
    <w:p w14:paraId="3E37D457">
      <w:pPr>
        <w:spacing w:after="160" w:line="480" w:lineRule="auto"/>
        <w:jc w:val="both"/>
        <w:rPr>
          <w:rFonts w:eastAsia="Calibri"/>
        </w:rPr>
      </w:pPr>
      <w:r>
        <w:rPr>
          <w:rFonts w:eastAsia="Calibri"/>
        </w:rPr>
        <w:t>South Atlantic Petroleum Ltd v Minister of Petroleum Resources [2006] 10 CLRN 122</w:t>
      </w:r>
    </w:p>
    <w:p w14:paraId="7ED9EF29">
      <w:pPr>
        <w:spacing w:after="160" w:line="480" w:lineRule="auto"/>
        <w:rPr>
          <w:rFonts w:eastAsia="Calibri"/>
        </w:rPr>
      </w:pPr>
      <w:r>
        <w:rPr>
          <w:rFonts w:eastAsia="Calibri"/>
        </w:rPr>
        <w:t>South Atlantic Petroleum Ltd v. Minister of Petroleum Resources (2019) LCN/12662(CA).</w:t>
      </w:r>
    </w:p>
    <w:p w14:paraId="09B8E4C5">
      <w:pPr>
        <w:spacing w:after="160" w:line="480" w:lineRule="auto"/>
        <w:jc w:val="both"/>
        <w:rPr>
          <w:rFonts w:eastAsia="Calibri"/>
        </w:rPr>
      </w:pPr>
      <w:r>
        <w:rPr>
          <w:rFonts w:eastAsia="Calibri"/>
        </w:rPr>
        <w:t>SPDC v FBIR</w:t>
      </w:r>
      <w:r>
        <w:rPr>
          <w:rFonts w:eastAsia="Calibri"/>
          <w:i/>
          <w:iCs/>
        </w:rPr>
        <w:t xml:space="preserve"> </w:t>
      </w:r>
      <w:r>
        <w:rPr>
          <w:rFonts w:eastAsia="Calibri"/>
        </w:rPr>
        <w:t>(1976) 2 FRCR 39 &amp; (1996) 8 NWLR (Pt 466) 261</w:t>
      </w:r>
    </w:p>
    <w:p w14:paraId="152D0A33">
      <w:pPr>
        <w:spacing w:after="160" w:line="480" w:lineRule="auto"/>
        <w:rPr>
          <w:rFonts w:eastAsia="Calibri"/>
        </w:rPr>
      </w:pPr>
      <w:r>
        <w:rPr>
          <w:rFonts w:eastAsia="Calibri"/>
        </w:rPr>
        <w:t>SPDCN Ltd v. Amaro 2015 12 NWLR (Pt. 1472), 122.</w:t>
      </w:r>
    </w:p>
    <w:p w14:paraId="7BECF594">
      <w:pPr>
        <w:spacing w:after="160" w:line="480" w:lineRule="auto"/>
        <w:jc w:val="both"/>
        <w:rPr>
          <w:rFonts w:eastAsia="Calibri"/>
        </w:rPr>
      </w:pPr>
      <w:r>
        <w:rPr>
          <w:rFonts w:eastAsia="Calibri"/>
        </w:rPr>
        <w:t>Star Deep Water Petroleum Ltd v FIRS [2016] 23 TLRN 14</w:t>
      </w:r>
    </w:p>
    <w:p w14:paraId="4C9631AA">
      <w:pPr>
        <w:spacing w:after="160" w:line="480" w:lineRule="auto"/>
        <w:jc w:val="both"/>
        <w:rPr>
          <w:rFonts w:eastAsia="Calibri"/>
        </w:rPr>
      </w:pPr>
      <w:r>
        <w:rPr>
          <w:rFonts w:eastAsia="Calibri"/>
        </w:rPr>
        <w:t>Statoil (Nig) Petroleum v Nigeria National Petroleum [2014] 15 TLRN 1</w:t>
      </w:r>
    </w:p>
    <w:p w14:paraId="38FC2D2F">
      <w:pPr>
        <w:spacing w:after="160" w:line="480" w:lineRule="auto"/>
        <w:jc w:val="both"/>
        <w:rPr>
          <w:rFonts w:eastAsia="Calibri"/>
        </w:rPr>
      </w:pPr>
      <w:r>
        <w:rPr>
          <w:rFonts w:eastAsia="Calibri"/>
        </w:rPr>
        <w:t>Statoil (Nigeria) Ltd and Texaco Nigeria Outer Shelf Ltd v FIRS [2016]24 TLRN 13</w:t>
      </w:r>
    </w:p>
    <w:p w14:paraId="3D5E4987">
      <w:pPr>
        <w:spacing w:after="160" w:line="480" w:lineRule="auto"/>
        <w:jc w:val="both"/>
        <w:rPr>
          <w:rFonts w:eastAsia="Calibri"/>
        </w:rPr>
      </w:pPr>
      <w:r>
        <w:rPr>
          <w:rFonts w:eastAsia="Calibri"/>
        </w:rPr>
        <w:t>Sweet Sensation Confectionaries v FBIR FHC/UCS/826/04</w:t>
      </w:r>
    </w:p>
    <w:p w14:paraId="20C108A8">
      <w:pPr>
        <w:spacing w:after="160" w:line="480" w:lineRule="auto"/>
        <w:rPr>
          <w:rFonts w:eastAsia="Calibri"/>
        </w:rPr>
      </w:pPr>
      <w:r>
        <w:rPr>
          <w:rFonts w:eastAsia="Calibri"/>
        </w:rPr>
        <w:t xml:space="preserve">Tetra Pak West Africa Ltd v FIRS – Consolidated appeal Nos; TAT/LZ//EDT/031/2015, TAT/LZ/CIT/032/2015, TAT/LZ/EDT/033/2015. </w:t>
      </w:r>
    </w:p>
    <w:p w14:paraId="2875D09A">
      <w:pPr>
        <w:spacing w:after="160" w:line="480" w:lineRule="auto"/>
        <w:jc w:val="both"/>
        <w:rPr>
          <w:rFonts w:eastAsia="Calibri"/>
        </w:rPr>
      </w:pPr>
      <w:r>
        <w:rPr>
          <w:rFonts w:eastAsia="Calibri"/>
        </w:rPr>
        <w:t>The Queen v Urhobo Rating Authority [1 NTC 76]</w:t>
      </w:r>
    </w:p>
    <w:p w14:paraId="3809A123">
      <w:pPr>
        <w:spacing w:after="160" w:line="480" w:lineRule="auto"/>
        <w:rPr>
          <w:rFonts w:eastAsia="Calibri"/>
        </w:rPr>
      </w:pPr>
      <w:r>
        <w:rPr>
          <w:rFonts w:eastAsia="Calibri"/>
        </w:rPr>
        <w:t>Togun v Oputa (2001)16 NWLR (pt. 740) page 597 at 644</w:t>
      </w:r>
    </w:p>
    <w:p w14:paraId="64778C09">
      <w:pPr>
        <w:spacing w:after="160" w:line="480" w:lineRule="auto"/>
        <w:rPr>
          <w:rFonts w:eastAsia="Calibri"/>
        </w:rPr>
      </w:pPr>
      <w:r>
        <w:rPr>
          <w:rFonts w:eastAsia="Calibri"/>
        </w:rPr>
        <w:t>Tope Alabi v FRSC (FHC/L/CS/123/13</w:t>
      </w:r>
    </w:p>
    <w:p w14:paraId="59442AAE">
      <w:pPr>
        <w:spacing w:after="160" w:line="480" w:lineRule="auto"/>
        <w:rPr>
          <w:rFonts w:eastAsia="Calibri"/>
        </w:rPr>
      </w:pPr>
      <w:r>
        <w:rPr>
          <w:rFonts w:eastAsia="Calibri"/>
        </w:rPr>
        <w:t>Total Exploration &amp; Production Nig. Ltd. &amp; Ors. V. Federal Inland Revenue Service (unreported) TAT/LZ/010/2013</w:t>
      </w:r>
    </w:p>
    <w:p w14:paraId="27264741">
      <w:pPr>
        <w:spacing w:after="160" w:line="480" w:lineRule="auto"/>
        <w:jc w:val="both"/>
        <w:rPr>
          <w:rFonts w:eastAsia="Calibri"/>
        </w:rPr>
      </w:pPr>
      <w:r>
        <w:rPr>
          <w:rFonts w:eastAsia="Calibri"/>
        </w:rPr>
        <w:t>TSKJ II Construces v FIRS [2014] 13 TLRN 1</w:t>
      </w:r>
    </w:p>
    <w:p w14:paraId="02884DA0">
      <w:pPr>
        <w:spacing w:after="160" w:line="480" w:lineRule="auto"/>
        <w:jc w:val="both"/>
        <w:rPr>
          <w:rFonts w:eastAsia="Calibri"/>
        </w:rPr>
      </w:pPr>
      <w:r>
        <w:rPr>
          <w:rFonts w:eastAsia="Calibri"/>
        </w:rPr>
        <w:t>Williams v Adelaja [1 NTC 141]</w:t>
      </w:r>
    </w:p>
    <w:p w14:paraId="4216B1C4">
      <w:pPr>
        <w:spacing w:after="160" w:line="480" w:lineRule="auto"/>
        <w:jc w:val="both"/>
        <w:rPr>
          <w:rFonts w:eastAsia="Calibri"/>
          <w:u w:val="single"/>
        </w:rPr>
      </w:pPr>
    </w:p>
    <w:p w14:paraId="707EC67F">
      <w:pPr>
        <w:spacing w:after="160" w:line="480" w:lineRule="auto"/>
        <w:jc w:val="both"/>
        <w:rPr>
          <w:rFonts w:eastAsia="Calibri"/>
          <w:b/>
          <w:bCs/>
          <w:sz w:val="28"/>
          <w:szCs w:val="28"/>
        </w:rPr>
      </w:pPr>
      <w:r>
        <w:rPr>
          <w:rFonts w:eastAsia="Calibri"/>
          <w:b/>
          <w:bCs/>
          <w:sz w:val="28"/>
          <w:szCs w:val="28"/>
        </w:rPr>
        <w:t xml:space="preserve">CASES - CANADA </w:t>
      </w:r>
    </w:p>
    <w:p w14:paraId="4A91F331">
      <w:pPr>
        <w:spacing w:after="160" w:line="480" w:lineRule="auto"/>
        <w:jc w:val="both"/>
      </w:pPr>
      <w:r>
        <w:t>Re Accel Canada Holdings Limited 2020 ABQB 182</w:t>
      </w:r>
    </w:p>
    <w:p w14:paraId="5C2B7EC8">
      <w:pPr>
        <w:spacing w:after="160" w:line="480" w:lineRule="auto"/>
        <w:jc w:val="both"/>
      </w:pPr>
      <w:r>
        <w:t>Canadian Industrial Gas and Oil Limited v Government of Saskatchewan et al [1978] 2 SCR 545</w:t>
      </w:r>
    </w:p>
    <w:p w14:paraId="0BABB2A6">
      <w:pPr>
        <w:spacing w:after="160" w:line="480" w:lineRule="auto"/>
        <w:jc w:val="both"/>
      </w:pPr>
      <w:r>
        <w:t>Coldwater Indian Band et al v Attorney General of Canada, 2020 FCA 34</w:t>
      </w:r>
    </w:p>
    <w:p w14:paraId="54F144AC">
      <w:pPr>
        <w:spacing w:after="160" w:line="480" w:lineRule="auto"/>
        <w:jc w:val="both"/>
      </w:pPr>
      <w:r>
        <w:t>Tsleil-Waututh Nation v Canada (Attorney General), 2018 FCA 153</w:t>
      </w:r>
    </w:p>
    <w:p w14:paraId="46E4676E">
      <w:pPr>
        <w:spacing w:after="160" w:line="480" w:lineRule="auto"/>
        <w:jc w:val="both"/>
      </w:pPr>
      <w:r>
        <w:t>United States v. Sanchez-Gomez, No. 13-50561 (9th Cir. 2017)</w:t>
      </w:r>
    </w:p>
    <w:p w14:paraId="4360C4D9">
      <w:pPr>
        <w:spacing w:after="160" w:line="480" w:lineRule="auto"/>
        <w:jc w:val="both"/>
        <w:rPr>
          <w:rFonts w:eastAsia="Calibri"/>
          <w:u w:val="single"/>
        </w:rPr>
      </w:pPr>
    </w:p>
    <w:p w14:paraId="47F09CED">
      <w:pPr>
        <w:spacing w:after="160" w:line="480" w:lineRule="auto"/>
        <w:jc w:val="both"/>
        <w:rPr>
          <w:rFonts w:eastAsia="Calibri"/>
          <w:b/>
          <w:bCs/>
          <w:sz w:val="28"/>
          <w:szCs w:val="28"/>
        </w:rPr>
      </w:pPr>
      <w:r>
        <w:rPr>
          <w:rFonts w:eastAsia="Calibri"/>
          <w:b/>
          <w:bCs/>
          <w:sz w:val="28"/>
          <w:szCs w:val="28"/>
        </w:rPr>
        <w:t>CASES - UNITED KINGDOM</w:t>
      </w:r>
    </w:p>
    <w:p w14:paraId="74C112A0">
      <w:pPr>
        <w:spacing w:after="160" w:line="480" w:lineRule="auto"/>
        <w:jc w:val="both"/>
      </w:pPr>
      <w:r>
        <w:t>Adamson v Attorney General [1933] AC 257</w:t>
      </w:r>
    </w:p>
    <w:p w14:paraId="2DF47EDC">
      <w:pPr>
        <w:spacing w:after="160" w:line="480" w:lineRule="auto"/>
        <w:jc w:val="both"/>
      </w:pPr>
      <w:r>
        <w:t>Astor v Perry [1935] AC 398: [1935] All ER Rep 713</w:t>
      </w:r>
    </w:p>
    <w:p w14:paraId="17B385C8">
      <w:pPr>
        <w:spacing w:after="160" w:line="480" w:lineRule="auto"/>
        <w:jc w:val="both"/>
      </w:pPr>
      <w:r>
        <w:t>Camdim Eagle Oil Co. v. R. [1946]1 A.C. 119</w:t>
      </w:r>
    </w:p>
    <w:p w14:paraId="5D20048C">
      <w:pPr>
        <w:spacing w:after="160" w:line="480" w:lineRule="auto"/>
        <w:jc w:val="both"/>
      </w:pPr>
      <w:r>
        <w:t>Cape Brandy Syndicate v. I.R.C [1921] 1 K.B. 64, 71.</w:t>
      </w:r>
    </w:p>
    <w:p w14:paraId="305B6639">
      <w:pPr>
        <w:spacing w:after="160" w:line="480" w:lineRule="auto"/>
        <w:jc w:val="both"/>
      </w:pPr>
      <w:r>
        <w:t>CIT v Ajax Products Ltd [1965] 55 ITR 741</w:t>
      </w:r>
    </w:p>
    <w:p w14:paraId="3D6D59BF">
      <w:pPr>
        <w:spacing w:after="160" w:line="480" w:lineRule="auto"/>
        <w:jc w:val="both"/>
      </w:pPr>
      <w:r>
        <w:t>Coltness Iron co v Black [1881] LR 6 AC 315 (HL)</w:t>
      </w:r>
    </w:p>
    <w:p w14:paraId="2718C157">
      <w:pPr>
        <w:spacing w:after="160" w:line="480" w:lineRule="auto"/>
        <w:jc w:val="both"/>
      </w:pPr>
      <w:r>
        <w:t>Grey v Pearson (1857) 6HLC 61 at 106.</w:t>
      </w:r>
    </w:p>
    <w:p w14:paraId="7BBDEEFC">
      <w:pPr>
        <w:spacing w:after="160" w:line="480" w:lineRule="auto"/>
        <w:jc w:val="both"/>
        <w:rPr>
          <w:color w:val="000000"/>
        </w:rPr>
      </w:pPr>
      <w:r>
        <w:rPr>
          <w:color w:val="000000"/>
        </w:rPr>
        <w:t>IRC v Ayrshire Employers Mutual Insurance Assn Ltd [1946] 1 All ER 637</w:t>
      </w:r>
    </w:p>
    <w:p w14:paraId="40862538">
      <w:pPr>
        <w:spacing w:after="160" w:line="480" w:lineRule="auto"/>
        <w:jc w:val="both"/>
        <w:rPr>
          <w:color w:val="000000"/>
        </w:rPr>
      </w:pPr>
      <w:r>
        <w:rPr>
          <w:color w:val="000000"/>
        </w:rPr>
        <w:t>IRC v Duke of Westminster [1936] AC 1: [1935] All ER Rep 259 (HL)</w:t>
      </w:r>
    </w:p>
    <w:p w14:paraId="754EAFEE">
      <w:pPr>
        <w:spacing w:after="160" w:line="480" w:lineRule="auto"/>
        <w:jc w:val="both"/>
        <w:rPr>
          <w:color w:val="000000"/>
        </w:rPr>
      </w:pPr>
      <w:r>
        <w:rPr>
          <w:color w:val="000000"/>
        </w:rPr>
        <w:t>Lawson v Interior Tree [1931] SCR 357 (SCR 357)</w:t>
      </w:r>
    </w:p>
    <w:p w14:paraId="66C02E73">
      <w:pPr>
        <w:spacing w:after="160" w:line="480" w:lineRule="auto"/>
        <w:jc w:val="both"/>
        <w:rPr>
          <w:color w:val="000000"/>
        </w:rPr>
      </w:pPr>
      <w:r>
        <w:rPr>
          <w:color w:val="000000"/>
        </w:rPr>
        <w:t>Luke v IRC [1963] AC 557</w:t>
      </w:r>
    </w:p>
    <w:p w14:paraId="75C2EEAE">
      <w:pPr>
        <w:spacing w:after="160" w:line="480" w:lineRule="auto"/>
        <w:jc w:val="both"/>
      </w:pPr>
      <w:r>
        <w:t>Mangin v. I.R.C. [1971]1 A.C. 739</w:t>
      </w:r>
    </w:p>
    <w:p w14:paraId="524B818C">
      <w:pPr>
        <w:spacing w:after="160" w:line="480" w:lineRule="auto"/>
        <w:jc w:val="both"/>
      </w:pPr>
      <w:r>
        <w:t>Mapp v. Oram [1970] 1 A.C. 362</w:t>
      </w:r>
    </w:p>
    <w:p w14:paraId="35B5A6E9">
      <w:pPr>
        <w:spacing w:after="160" w:line="480" w:lineRule="auto"/>
        <w:jc w:val="both"/>
      </w:pPr>
      <w:r>
        <w:t>Mathews v Chicory Marketing Board [1938] CLR 263</w:t>
      </w:r>
    </w:p>
    <w:p w14:paraId="14D10453">
      <w:pPr>
        <w:spacing w:after="160" w:line="480" w:lineRule="auto"/>
        <w:jc w:val="both"/>
      </w:pPr>
      <w:r>
        <w:t>Ormond Investment co Ltd v Betts [1928] AC 143: [1928] All ER Rep 709 (HL)</w:t>
      </w:r>
    </w:p>
    <w:p w14:paraId="319FA92A">
      <w:pPr>
        <w:spacing w:after="160" w:line="480" w:lineRule="auto"/>
        <w:jc w:val="both"/>
      </w:pPr>
      <w:r>
        <w:t>Pryce v Monmouthshire Canal and Railway [1879] LR 4 AC 197 (HL)</w:t>
      </w:r>
    </w:p>
    <w:p w14:paraId="55296EE6">
      <w:pPr>
        <w:spacing w:after="160" w:line="480" w:lineRule="auto"/>
        <w:jc w:val="both"/>
      </w:pPr>
      <w:r>
        <w:t>Tennant v. Smith (1891) A.C. 150, 154.</w:t>
      </w:r>
    </w:p>
    <w:p w14:paraId="319041B3">
      <w:pPr>
        <w:spacing w:after="160" w:line="480" w:lineRule="auto"/>
        <w:jc w:val="both"/>
      </w:pPr>
      <w:r>
        <w:t>Seaford Court Estates v Asher [1949] 2 KB 481</w:t>
      </w:r>
    </w:p>
    <w:p w14:paraId="4545BC7C">
      <w:pPr>
        <w:spacing w:after="160" w:line="480" w:lineRule="auto"/>
        <w:jc w:val="both"/>
        <w:rPr>
          <w:u w:val="single"/>
        </w:rPr>
      </w:pPr>
    </w:p>
    <w:p w14:paraId="5F4DFA7F">
      <w:pPr>
        <w:spacing w:after="160" w:line="480" w:lineRule="auto"/>
        <w:jc w:val="both"/>
        <w:rPr>
          <w:b/>
          <w:sz w:val="28"/>
        </w:rPr>
      </w:pPr>
      <w:bookmarkStart w:id="35" w:name="_Toc16"/>
    </w:p>
    <w:p w14:paraId="1CC491D3">
      <w:pPr>
        <w:spacing w:after="160" w:line="480" w:lineRule="auto"/>
        <w:jc w:val="both"/>
        <w:rPr>
          <w:b/>
          <w:sz w:val="28"/>
        </w:rPr>
      </w:pPr>
    </w:p>
    <w:p w14:paraId="43384B1C">
      <w:pPr>
        <w:spacing w:after="160" w:line="480" w:lineRule="auto"/>
        <w:jc w:val="both"/>
        <w:rPr>
          <w:b/>
          <w:sz w:val="28"/>
          <w:u w:val="single"/>
        </w:rPr>
      </w:pPr>
      <w:r>
        <w:rPr>
          <w:b/>
          <w:sz w:val="28"/>
        </w:rPr>
        <w:t>LEGISLATION</w:t>
      </w:r>
      <w:bookmarkEnd w:id="35"/>
      <w:r>
        <w:rPr>
          <w:rFonts w:eastAsia="Calibri"/>
          <w:b/>
          <w:bCs/>
          <w:sz w:val="28"/>
          <w:szCs w:val="28"/>
        </w:rPr>
        <w:t xml:space="preserve"> -</w:t>
      </w:r>
      <w:r>
        <w:rPr>
          <w:rFonts w:eastAsia="Calibri"/>
          <w:b/>
          <w:bCs/>
          <w:sz w:val="28"/>
          <w:szCs w:val="28"/>
        </w:rPr>
        <w:tab/>
      </w:r>
      <w:r>
        <w:rPr>
          <w:rFonts w:eastAsia="Calibri"/>
          <w:b/>
          <w:bCs/>
          <w:sz w:val="28"/>
          <w:szCs w:val="28"/>
        </w:rPr>
        <w:t>NIGERIA</w:t>
      </w:r>
    </w:p>
    <w:p w14:paraId="61A65C9E">
      <w:pPr>
        <w:spacing w:after="160" w:line="480" w:lineRule="auto"/>
        <w:jc w:val="both"/>
        <w:rPr>
          <w:rFonts w:eastAsia="Calibri"/>
        </w:rPr>
      </w:pPr>
      <w:r>
        <w:rPr>
          <w:rFonts w:eastAsia="Calibri"/>
        </w:rPr>
        <w:t>Arbitration and Conciliation Act 2004</w:t>
      </w:r>
    </w:p>
    <w:p w14:paraId="463C055F">
      <w:pPr>
        <w:spacing w:after="160" w:line="480" w:lineRule="auto"/>
        <w:rPr>
          <w:rFonts w:eastAsia="Calibri"/>
          <w:bCs/>
        </w:rPr>
      </w:pPr>
      <w:r>
        <w:rPr>
          <w:rFonts w:eastAsia="Calibri"/>
          <w:bCs/>
        </w:rPr>
        <w:t>Associated Gas Reinjection Act, 1979 CAP A25 Laws of the Federation 2004</w:t>
      </w:r>
    </w:p>
    <w:p w14:paraId="278DAA50">
      <w:pPr>
        <w:spacing w:after="160" w:line="480" w:lineRule="auto"/>
        <w:rPr>
          <w:rFonts w:eastAsia="Calibri"/>
          <w:bCs/>
        </w:rPr>
      </w:pPr>
      <w:r>
        <w:rPr>
          <w:rFonts w:eastAsia="Calibri"/>
          <w:bCs/>
        </w:rPr>
        <w:t>Budget Responsibility and National Audit Act 2011.</w:t>
      </w:r>
    </w:p>
    <w:p w14:paraId="76F5A7F2">
      <w:pPr>
        <w:spacing w:after="160" w:line="480" w:lineRule="auto"/>
        <w:rPr>
          <w:rFonts w:eastAsia="Calibri"/>
        </w:rPr>
      </w:pPr>
      <w:r>
        <w:rPr>
          <w:rFonts w:eastAsia="Calibri"/>
        </w:rPr>
        <w:t xml:space="preserve">Capital Gains Tax Act Cap C1 2004 LFN </w:t>
      </w:r>
    </w:p>
    <w:p w14:paraId="4938EF14">
      <w:pPr>
        <w:spacing w:after="160" w:line="480" w:lineRule="auto"/>
        <w:jc w:val="both"/>
        <w:rPr>
          <w:rFonts w:eastAsia="Calibri"/>
        </w:rPr>
      </w:pPr>
      <w:r>
        <w:rPr>
          <w:rFonts w:eastAsia="Calibri"/>
        </w:rPr>
        <w:t>Capital Gains Tax Act 2004</w:t>
      </w:r>
    </w:p>
    <w:p w14:paraId="2838B3C0">
      <w:pPr>
        <w:spacing w:after="160" w:line="480" w:lineRule="auto"/>
        <w:jc w:val="both"/>
        <w:rPr>
          <w:rFonts w:eastAsia="Calibri"/>
        </w:rPr>
      </w:pPr>
      <w:r>
        <w:rPr>
          <w:rFonts w:eastAsia="Calibri"/>
        </w:rPr>
        <w:t>Companies and Allied Matters Act 2004</w:t>
      </w:r>
    </w:p>
    <w:p w14:paraId="22548C4B">
      <w:pPr>
        <w:spacing w:after="160" w:line="480" w:lineRule="auto"/>
        <w:rPr>
          <w:rFonts w:eastAsia="Calibri"/>
          <w:bCs/>
        </w:rPr>
      </w:pPr>
      <w:r>
        <w:rPr>
          <w:rFonts w:eastAsia="Calibri"/>
          <w:bCs/>
        </w:rPr>
        <w:t>Companies and Allied Matters Act 2004</w:t>
      </w:r>
    </w:p>
    <w:p w14:paraId="2096CDEC">
      <w:pPr>
        <w:spacing w:after="160" w:line="480" w:lineRule="auto"/>
        <w:rPr>
          <w:rFonts w:eastAsia="Calibri"/>
        </w:rPr>
      </w:pPr>
      <w:r>
        <w:rPr>
          <w:rFonts w:eastAsia="Calibri"/>
        </w:rPr>
        <w:t>Companies Income Tax (Significant Economic Presence) Order, 2020</w:t>
      </w:r>
    </w:p>
    <w:p w14:paraId="5466A4CF">
      <w:pPr>
        <w:spacing w:after="160" w:line="480" w:lineRule="auto"/>
        <w:rPr>
          <w:rFonts w:eastAsia="Calibri"/>
        </w:rPr>
      </w:pPr>
      <w:r>
        <w:rPr>
          <w:rFonts w:eastAsia="Calibri"/>
        </w:rPr>
        <w:t>Companies Income Tax Act (CITA), Cap C21, LFN 2004.</w:t>
      </w:r>
    </w:p>
    <w:p w14:paraId="00CD7D62">
      <w:pPr>
        <w:spacing w:after="160" w:line="480" w:lineRule="auto"/>
        <w:jc w:val="both"/>
        <w:rPr>
          <w:rFonts w:eastAsia="Calibri"/>
        </w:rPr>
      </w:pPr>
      <w:r>
        <w:rPr>
          <w:rFonts w:eastAsia="Calibri"/>
        </w:rPr>
        <w:t>Companies Income Tax Act 1979</w:t>
      </w:r>
    </w:p>
    <w:p w14:paraId="3B5EA84D">
      <w:pPr>
        <w:spacing w:after="160" w:line="480" w:lineRule="auto"/>
        <w:jc w:val="both"/>
        <w:rPr>
          <w:rFonts w:eastAsia="Calibri"/>
        </w:rPr>
      </w:pPr>
      <w:r>
        <w:rPr>
          <w:rFonts w:eastAsia="Calibri"/>
        </w:rPr>
        <w:t>Constitution of the Federal Republic of Nigeria 1999</w:t>
      </w:r>
    </w:p>
    <w:p w14:paraId="37E2D1D6">
      <w:pPr>
        <w:spacing w:after="160" w:line="480" w:lineRule="auto"/>
        <w:rPr>
          <w:rFonts w:eastAsia="Calibri"/>
          <w:bCs/>
        </w:rPr>
      </w:pPr>
      <w:r>
        <w:rPr>
          <w:rFonts w:eastAsia="Calibri"/>
          <w:bCs/>
        </w:rPr>
        <w:t>Deep Offshore and Inland Basin Production Sharing Contract Act 1993 CAP D3, LFN 2004</w:t>
      </w:r>
    </w:p>
    <w:p w14:paraId="1B62F80A">
      <w:pPr>
        <w:spacing w:after="160" w:line="480" w:lineRule="auto"/>
        <w:rPr>
          <w:rFonts w:eastAsia="Calibri"/>
          <w:bCs/>
        </w:rPr>
      </w:pPr>
      <w:r>
        <w:rPr>
          <w:rFonts w:eastAsia="Calibri"/>
          <w:bCs/>
        </w:rPr>
        <w:t>Education Tax Act No.7 of 1993</w:t>
      </w:r>
    </w:p>
    <w:p w14:paraId="26C309E3">
      <w:pPr>
        <w:spacing w:after="160" w:line="480" w:lineRule="auto"/>
        <w:rPr>
          <w:rFonts w:eastAsia="Calibri"/>
          <w:bCs/>
        </w:rPr>
      </w:pPr>
      <w:r>
        <w:rPr>
          <w:rFonts w:eastAsia="Calibri"/>
          <w:bCs/>
        </w:rPr>
        <w:t>Federal Inland Revenue Service Establishment Act 2007</w:t>
      </w:r>
    </w:p>
    <w:p w14:paraId="4B93FBCA">
      <w:pPr>
        <w:spacing w:after="160" w:line="480" w:lineRule="auto"/>
        <w:rPr>
          <w:rFonts w:eastAsia="Calibri"/>
        </w:rPr>
      </w:pPr>
      <w:r>
        <w:rPr>
          <w:rFonts w:eastAsia="Calibri"/>
        </w:rPr>
        <w:t>Finance Act of Nigeria 2021</w:t>
      </w:r>
    </w:p>
    <w:p w14:paraId="072F58DE">
      <w:pPr>
        <w:spacing w:after="160" w:line="480" w:lineRule="auto"/>
        <w:rPr>
          <w:rFonts w:eastAsia="Calibri"/>
          <w:bCs/>
        </w:rPr>
      </w:pPr>
      <w:r>
        <w:rPr>
          <w:rFonts w:eastAsia="Calibri"/>
          <w:bCs/>
        </w:rPr>
        <w:t>Hydrocarbon Oil Refineries Act No. 17 of 1965, CAP H5 Laws of the Federation of Nigeria 2004</w:t>
      </w:r>
    </w:p>
    <w:p w14:paraId="0E10587E">
      <w:pPr>
        <w:spacing w:after="160" w:line="480" w:lineRule="auto"/>
        <w:rPr>
          <w:rFonts w:eastAsia="Calibri"/>
          <w:bCs/>
        </w:rPr>
      </w:pPr>
      <w:r>
        <w:rPr>
          <w:rFonts w:eastAsia="Calibri"/>
          <w:bCs/>
        </w:rPr>
        <w:t>International Centre for Settlement of Investment Disputes (Enforcement of Awards) Act, 2004</w:t>
      </w:r>
    </w:p>
    <w:p w14:paraId="241F91BF">
      <w:pPr>
        <w:spacing w:after="160" w:line="480" w:lineRule="auto"/>
        <w:jc w:val="both"/>
        <w:rPr>
          <w:rFonts w:eastAsia="Calibri"/>
        </w:rPr>
      </w:pPr>
      <w:r>
        <w:rPr>
          <w:rFonts w:eastAsia="Calibri"/>
        </w:rPr>
        <w:t xml:space="preserve">Lagos State Local Government Levies (Approved Collection List) Law 2012 </w:t>
      </w:r>
    </w:p>
    <w:p w14:paraId="6A271A29">
      <w:pPr>
        <w:spacing w:after="160" w:line="480" w:lineRule="auto"/>
        <w:jc w:val="both"/>
        <w:rPr>
          <w:rFonts w:eastAsia="Calibri"/>
          <w:bCs/>
        </w:rPr>
      </w:pPr>
      <w:r>
        <w:rPr>
          <w:rFonts w:eastAsia="Calibri"/>
          <w:bCs/>
        </w:rPr>
        <w:t>Mineral Oils Act (Cap 120)</w:t>
      </w:r>
    </w:p>
    <w:p w14:paraId="259DDA17">
      <w:pPr>
        <w:spacing w:after="160" w:line="480" w:lineRule="auto"/>
        <w:rPr>
          <w:rFonts w:eastAsia="Calibri"/>
          <w:bCs/>
        </w:rPr>
      </w:pPr>
      <w:r>
        <w:rPr>
          <w:rFonts w:eastAsia="Calibri"/>
          <w:bCs/>
        </w:rPr>
        <w:t>Motor Spirits (Returns) Act, CAP M20 Laws of the Federation of Nigeria 2004</w:t>
      </w:r>
    </w:p>
    <w:p w14:paraId="04CA0B0C">
      <w:pPr>
        <w:spacing w:after="160" w:line="480" w:lineRule="auto"/>
        <w:jc w:val="both"/>
        <w:rPr>
          <w:rFonts w:eastAsia="Calibri"/>
        </w:rPr>
      </w:pPr>
      <w:r>
        <w:rPr>
          <w:rFonts w:eastAsia="Calibri"/>
        </w:rPr>
        <w:t>National Information Technology Development Act 2004</w:t>
      </w:r>
    </w:p>
    <w:p w14:paraId="5616758B">
      <w:pPr>
        <w:spacing w:after="160" w:line="480" w:lineRule="auto"/>
        <w:jc w:val="both"/>
        <w:rPr>
          <w:rFonts w:eastAsia="Calibri"/>
        </w:rPr>
      </w:pPr>
      <w:r>
        <w:rPr>
          <w:rFonts w:eastAsia="Calibri"/>
        </w:rPr>
        <w:t>Native Revenue Ordinance 1917</w:t>
      </w:r>
    </w:p>
    <w:p w14:paraId="36A83974">
      <w:pPr>
        <w:tabs>
          <w:tab w:val="left" w:pos="2562"/>
        </w:tabs>
        <w:spacing w:after="160" w:line="480" w:lineRule="auto"/>
        <w:rPr>
          <w:rFonts w:eastAsia="Calibri"/>
        </w:rPr>
      </w:pPr>
      <w:r>
        <w:rPr>
          <w:rFonts w:eastAsia="Calibri"/>
          <w:bCs/>
        </w:rPr>
        <w:t>Niger Delta Development Commission (Establishment etc.) Act 2000, CAP N</w:t>
      </w:r>
      <w:r>
        <w:rPr>
          <w:rFonts w:eastAsia="Calibri"/>
          <w:bCs/>
          <w:u w:val="single"/>
        </w:rPr>
        <w:t>o</w:t>
      </w:r>
      <w:r>
        <w:rPr>
          <w:rFonts w:eastAsia="Calibri"/>
          <w:bCs/>
        </w:rPr>
        <w:t xml:space="preserve"> 6, Laws of Federation.</w:t>
      </w:r>
      <w:r>
        <w:rPr>
          <w:rFonts w:eastAsia="Calibri"/>
        </w:rPr>
        <w:tab/>
      </w:r>
    </w:p>
    <w:p w14:paraId="11200CA4">
      <w:pPr>
        <w:spacing w:after="160" w:line="480" w:lineRule="auto"/>
        <w:jc w:val="both"/>
        <w:rPr>
          <w:rFonts w:eastAsia="Calibri"/>
        </w:rPr>
      </w:pPr>
      <w:r>
        <w:rPr>
          <w:rFonts w:eastAsia="Calibri"/>
        </w:rPr>
        <w:t>Nigeria Liquefied Natural Gas, LNG (Fiscal Incentives, Guarantees and Assurances) Act 1990</w:t>
      </w:r>
    </w:p>
    <w:p w14:paraId="1591A3A8">
      <w:pPr>
        <w:spacing w:after="160" w:line="480" w:lineRule="auto"/>
        <w:rPr>
          <w:rFonts w:eastAsia="Calibri"/>
        </w:rPr>
      </w:pPr>
      <w:r>
        <w:rPr>
          <w:rFonts w:eastAsia="Calibri"/>
        </w:rPr>
        <w:t>Nigerian Content Monitoring Board Act (NLCD Act).</w:t>
      </w:r>
    </w:p>
    <w:p w14:paraId="0F4020BA">
      <w:pPr>
        <w:tabs>
          <w:tab w:val="left" w:pos="2562"/>
        </w:tabs>
        <w:spacing w:after="160" w:line="480" w:lineRule="auto"/>
        <w:rPr>
          <w:rFonts w:eastAsia="Calibri"/>
        </w:rPr>
      </w:pPr>
      <w:r>
        <w:rPr>
          <w:rFonts w:eastAsia="Calibri"/>
        </w:rPr>
        <w:t>Nigerian Export Free Zone Act No.8 of 1996</w:t>
      </w:r>
    </w:p>
    <w:p w14:paraId="2A3437FE">
      <w:pPr>
        <w:spacing w:after="160" w:line="480" w:lineRule="auto"/>
        <w:jc w:val="both"/>
        <w:rPr>
          <w:rFonts w:eastAsia="Calibri"/>
        </w:rPr>
      </w:pPr>
      <w:r>
        <w:rPr>
          <w:rFonts w:eastAsia="Calibri"/>
        </w:rPr>
        <w:t>Nigerian Extractive Industries Transparency Initiative Act 2007</w:t>
      </w:r>
    </w:p>
    <w:p w14:paraId="3054DC7F">
      <w:pPr>
        <w:spacing w:after="160" w:line="480" w:lineRule="auto"/>
        <w:rPr>
          <w:rFonts w:eastAsia="Calibri"/>
          <w:bCs/>
        </w:rPr>
      </w:pPr>
      <w:r>
        <w:rPr>
          <w:rFonts w:eastAsia="Calibri"/>
          <w:bCs/>
        </w:rPr>
        <w:t>Nigerian National Petroleum Corporation (Projects) Act No. 94 of 1993, CAP N124 Laws of the Federation of Nigeria 2004</w:t>
      </w:r>
    </w:p>
    <w:p w14:paraId="429BCA14">
      <w:pPr>
        <w:spacing w:after="160" w:line="480" w:lineRule="auto"/>
        <w:rPr>
          <w:rFonts w:eastAsia="Calibri"/>
          <w:bCs/>
        </w:rPr>
      </w:pPr>
      <w:r>
        <w:rPr>
          <w:rFonts w:eastAsia="Calibri"/>
          <w:bCs/>
        </w:rPr>
        <w:t>Nigerian National Petroleum Corporation Act (NNPC) 1977 No, 33 CAP N123 Laws of the Federation of Nigeria as amended.</w:t>
      </w:r>
    </w:p>
    <w:p w14:paraId="527355D9">
      <w:pPr>
        <w:spacing w:after="160" w:line="480" w:lineRule="auto"/>
        <w:jc w:val="both"/>
        <w:rPr>
          <w:rFonts w:eastAsia="Calibri"/>
        </w:rPr>
      </w:pPr>
      <w:r>
        <w:rPr>
          <w:rFonts w:eastAsia="Calibri"/>
        </w:rPr>
        <w:t>Nigerian Oil and Gas Industry Content Development Act, 2010</w:t>
      </w:r>
    </w:p>
    <w:p w14:paraId="025C8DD6">
      <w:pPr>
        <w:spacing w:after="160" w:line="480" w:lineRule="auto"/>
        <w:rPr>
          <w:rFonts w:eastAsia="Calibri"/>
          <w:bCs/>
        </w:rPr>
      </w:pPr>
      <w:r>
        <w:rPr>
          <w:rFonts w:eastAsia="Calibri"/>
          <w:bCs/>
        </w:rPr>
        <w:t xml:space="preserve">Onne Oil and Gas Export Free Trade Zone Act 1996 </w:t>
      </w:r>
    </w:p>
    <w:p w14:paraId="33B9F048">
      <w:pPr>
        <w:spacing w:after="160" w:line="480" w:lineRule="auto"/>
        <w:rPr>
          <w:rFonts w:eastAsia="Calibri"/>
          <w:bCs/>
        </w:rPr>
      </w:pPr>
      <w:r>
        <w:rPr>
          <w:rFonts w:eastAsia="Calibri"/>
          <w:bCs/>
        </w:rPr>
        <w:t xml:space="preserve">Petroleum Act 1969 </w:t>
      </w:r>
    </w:p>
    <w:p w14:paraId="6D93256C">
      <w:pPr>
        <w:spacing w:after="160" w:line="480" w:lineRule="auto"/>
        <w:rPr>
          <w:rFonts w:eastAsia="Calibri"/>
          <w:bCs/>
        </w:rPr>
      </w:pPr>
      <w:r>
        <w:rPr>
          <w:rFonts w:eastAsia="Calibri"/>
          <w:bCs/>
        </w:rPr>
        <w:t>Personal Income Tax Act 2004</w:t>
      </w:r>
    </w:p>
    <w:p w14:paraId="410FA3F5">
      <w:pPr>
        <w:spacing w:after="160" w:line="480" w:lineRule="auto"/>
        <w:rPr>
          <w:rFonts w:eastAsia="Calibri"/>
          <w:bCs/>
        </w:rPr>
      </w:pPr>
      <w:r>
        <w:rPr>
          <w:rFonts w:eastAsia="Calibri"/>
          <w:bCs/>
        </w:rPr>
        <w:t>Petroleum (Drilling and Production) Regulations 1969</w:t>
      </w:r>
    </w:p>
    <w:p w14:paraId="0BC384E3">
      <w:pPr>
        <w:spacing w:after="160" w:line="480" w:lineRule="auto"/>
        <w:rPr>
          <w:rFonts w:eastAsia="Calibri"/>
          <w:bCs/>
        </w:rPr>
      </w:pPr>
      <w:r>
        <w:rPr>
          <w:rFonts w:eastAsia="Calibri"/>
          <w:bCs/>
        </w:rPr>
        <w:t>Petroleum Equalization Fund (Management Board etc.) Act No. 9 of 1975</w:t>
      </w:r>
    </w:p>
    <w:p w14:paraId="66CDB408">
      <w:pPr>
        <w:spacing w:after="160" w:line="480" w:lineRule="auto"/>
        <w:rPr>
          <w:rFonts w:eastAsia="Calibri"/>
          <w:bCs/>
        </w:rPr>
      </w:pPr>
      <w:r>
        <w:rPr>
          <w:rFonts w:eastAsia="Calibri"/>
          <w:bCs/>
        </w:rPr>
        <w:t>Petroleum Industry Act (PIA) 2021.</w:t>
      </w:r>
    </w:p>
    <w:p w14:paraId="7C808041">
      <w:pPr>
        <w:spacing w:after="160" w:line="480" w:lineRule="auto"/>
        <w:rPr>
          <w:rFonts w:eastAsia="Calibri"/>
          <w:bCs/>
        </w:rPr>
      </w:pPr>
      <w:r>
        <w:rPr>
          <w:rFonts w:eastAsia="Calibri"/>
          <w:bCs/>
        </w:rPr>
        <w:t xml:space="preserve">Petroleum Industry Bill (PIB) 2008, </w:t>
      </w:r>
    </w:p>
    <w:p w14:paraId="68C52649">
      <w:pPr>
        <w:spacing w:after="160" w:line="480" w:lineRule="auto"/>
        <w:rPr>
          <w:rFonts w:eastAsia="Calibri"/>
          <w:bCs/>
        </w:rPr>
      </w:pPr>
      <w:r>
        <w:rPr>
          <w:rFonts w:eastAsia="Calibri"/>
          <w:bCs/>
        </w:rPr>
        <w:t>Petroleum Products Pricing Regulatory Agency (Establishment) Act 2003</w:t>
      </w:r>
    </w:p>
    <w:p w14:paraId="6E5AB547">
      <w:pPr>
        <w:spacing w:after="160" w:line="480" w:lineRule="auto"/>
        <w:rPr>
          <w:rFonts w:eastAsia="Calibri"/>
          <w:bCs/>
        </w:rPr>
      </w:pPr>
      <w:r>
        <w:rPr>
          <w:rFonts w:eastAsia="Calibri"/>
          <w:bCs/>
        </w:rPr>
        <w:t>Petroleum Profit Tax Act 1959</w:t>
      </w:r>
    </w:p>
    <w:p w14:paraId="1C41C2E8">
      <w:pPr>
        <w:spacing w:after="160" w:line="480" w:lineRule="auto"/>
        <w:rPr>
          <w:rFonts w:eastAsia="Calibri"/>
          <w:bCs/>
        </w:rPr>
      </w:pPr>
      <w:r>
        <w:rPr>
          <w:rFonts w:eastAsia="Calibri"/>
          <w:bCs/>
        </w:rPr>
        <w:t>Petroleum Profits Tax Act (PPTA), Cap P13, LFN (2004).</w:t>
      </w:r>
    </w:p>
    <w:p w14:paraId="21DF03AB">
      <w:pPr>
        <w:spacing w:after="160" w:line="480" w:lineRule="auto"/>
        <w:rPr>
          <w:rFonts w:eastAsia="Calibri"/>
          <w:bCs/>
        </w:rPr>
      </w:pPr>
      <w:r>
        <w:rPr>
          <w:rFonts w:eastAsia="Calibri"/>
          <w:bCs/>
        </w:rPr>
        <w:t>Petroleum Profits Tax Act 1999</w:t>
      </w:r>
    </w:p>
    <w:p w14:paraId="392FA92F">
      <w:pPr>
        <w:spacing w:after="160" w:line="480" w:lineRule="auto"/>
        <w:rPr>
          <w:rFonts w:eastAsia="Calibri"/>
          <w:bCs/>
        </w:rPr>
      </w:pPr>
      <w:r>
        <w:rPr>
          <w:rFonts w:eastAsia="Calibri"/>
          <w:bCs/>
        </w:rPr>
        <w:t>Production Sharing Contracts (PSC) Act.</w:t>
      </w:r>
    </w:p>
    <w:p w14:paraId="747A30CF">
      <w:pPr>
        <w:spacing w:after="160" w:line="480" w:lineRule="auto"/>
        <w:rPr>
          <w:rFonts w:eastAsia="Calibri"/>
          <w:bCs/>
        </w:rPr>
      </w:pPr>
      <w:r>
        <w:rPr>
          <w:rFonts w:eastAsia="Calibri"/>
          <w:bCs/>
        </w:rPr>
        <w:t>Police Service Commission Act 1999</w:t>
      </w:r>
    </w:p>
    <w:p w14:paraId="7BDBC64D">
      <w:pPr>
        <w:spacing w:after="160" w:line="480" w:lineRule="auto"/>
        <w:rPr>
          <w:rFonts w:eastAsia="Calibri"/>
          <w:bCs/>
        </w:rPr>
      </w:pPr>
      <w:r>
        <w:rPr>
          <w:rFonts w:eastAsia="Calibri"/>
          <w:bCs/>
        </w:rPr>
        <w:t>Pre-Shipment Inspection of Oil Export Act, 1996</w:t>
      </w:r>
    </w:p>
    <w:p w14:paraId="3953691D">
      <w:pPr>
        <w:spacing w:after="160" w:line="480" w:lineRule="auto"/>
        <w:rPr>
          <w:rFonts w:eastAsia="Calibri"/>
          <w:bCs/>
        </w:rPr>
      </w:pPr>
      <w:r>
        <w:rPr>
          <w:rFonts w:eastAsia="Calibri"/>
          <w:bCs/>
        </w:rPr>
        <w:t>Provisions of the Pre-shipment Inspection of Oil Export Act, 1966</w:t>
      </w:r>
    </w:p>
    <w:p w14:paraId="4FF4622A">
      <w:pPr>
        <w:spacing w:after="160" w:line="480" w:lineRule="auto"/>
        <w:rPr>
          <w:rFonts w:eastAsia="Calibri"/>
          <w:bCs/>
        </w:rPr>
      </w:pPr>
      <w:r>
        <w:rPr>
          <w:rFonts w:eastAsia="Calibri"/>
          <w:bCs/>
        </w:rPr>
        <w:t>Stamp Duties Act 2004</w:t>
      </w:r>
    </w:p>
    <w:p w14:paraId="6D66BCEC">
      <w:pPr>
        <w:spacing w:after="160" w:line="480" w:lineRule="auto"/>
        <w:rPr>
          <w:rFonts w:eastAsia="Calibri"/>
          <w:bCs/>
        </w:rPr>
      </w:pPr>
      <w:r>
        <w:rPr>
          <w:rFonts w:eastAsia="Calibri"/>
          <w:bCs/>
        </w:rPr>
        <w:t>Tax Appeal Tribunals (Establishment) Order 2009 (Nigeria)</w:t>
      </w:r>
    </w:p>
    <w:p w14:paraId="196A9782">
      <w:pPr>
        <w:spacing w:after="160" w:line="480" w:lineRule="auto"/>
        <w:rPr>
          <w:rFonts w:eastAsia="Calibri"/>
          <w:bCs/>
        </w:rPr>
      </w:pPr>
      <w:r>
        <w:rPr>
          <w:rFonts w:eastAsia="Calibri"/>
          <w:bCs/>
        </w:rPr>
        <w:t>Taxation (International and Other Provisions) Act 2010</w:t>
      </w:r>
    </w:p>
    <w:p w14:paraId="0C734915">
      <w:pPr>
        <w:spacing w:after="160" w:line="480" w:lineRule="auto"/>
        <w:rPr>
          <w:rFonts w:eastAsia="Calibri"/>
          <w:bCs/>
        </w:rPr>
      </w:pPr>
      <w:r>
        <w:rPr>
          <w:rFonts w:eastAsia="Calibri"/>
          <w:bCs/>
        </w:rPr>
        <w:t>Taxes and Levies (Approved List for Collection) Act no 2, 1998</w:t>
      </w:r>
    </w:p>
    <w:p w14:paraId="3DC7654C">
      <w:pPr>
        <w:spacing w:after="160" w:line="480" w:lineRule="auto"/>
        <w:rPr>
          <w:rFonts w:eastAsia="Calibri"/>
          <w:bCs/>
        </w:rPr>
      </w:pPr>
      <w:bookmarkStart w:id="36" w:name="_Hlk157028714"/>
      <w:r>
        <w:rPr>
          <w:rFonts w:eastAsia="Calibri"/>
          <w:bCs/>
        </w:rPr>
        <w:t xml:space="preserve">The Taxes and Levies (Approved List for collection) </w:t>
      </w:r>
      <w:bookmarkEnd w:id="36"/>
      <w:r>
        <w:rPr>
          <w:rFonts w:eastAsia="Calibri"/>
          <w:bCs/>
        </w:rPr>
        <w:t>Amendment Order 2015.</w:t>
      </w:r>
    </w:p>
    <w:p w14:paraId="5D763D97">
      <w:pPr>
        <w:spacing w:after="160" w:line="480" w:lineRule="auto"/>
        <w:rPr>
          <w:rFonts w:eastAsia="Calibri"/>
          <w:bCs/>
        </w:rPr>
      </w:pPr>
      <w:r>
        <w:rPr>
          <w:rFonts w:eastAsia="Calibri"/>
          <w:bCs/>
        </w:rPr>
        <w:t>Tertiary Education Trust Fund (Establishment, etc.) Act 2011</w:t>
      </w:r>
    </w:p>
    <w:p w14:paraId="77B6134F">
      <w:pPr>
        <w:spacing w:after="160" w:line="480" w:lineRule="auto"/>
        <w:rPr>
          <w:rFonts w:eastAsia="Calibri"/>
          <w:bCs/>
        </w:rPr>
      </w:pPr>
      <w:r>
        <w:rPr>
          <w:rFonts w:eastAsia="Calibri"/>
          <w:bCs/>
        </w:rPr>
        <w:t>The Nigeria Liquefied Natural Gas (Fiscal Incentives Guaranties and Assurances etc.) Act, Chapter N87, Laws of Federation of Nigeria 2004.</w:t>
      </w:r>
    </w:p>
    <w:p w14:paraId="3B736764">
      <w:pPr>
        <w:spacing w:after="160" w:line="480" w:lineRule="auto"/>
        <w:rPr>
          <w:rFonts w:eastAsia="Calibri"/>
          <w:bCs/>
        </w:rPr>
      </w:pPr>
      <w:r>
        <w:rPr>
          <w:rFonts w:eastAsia="Calibri"/>
          <w:bCs/>
        </w:rPr>
        <w:t>The Nigeria National Tax Policy (NNTP), 2012.</w:t>
      </w:r>
    </w:p>
    <w:p w14:paraId="555235B4">
      <w:pPr>
        <w:spacing w:after="160" w:line="480" w:lineRule="auto"/>
        <w:rPr>
          <w:rFonts w:eastAsia="Calibri"/>
          <w:bCs/>
        </w:rPr>
      </w:pPr>
      <w:r>
        <w:rPr>
          <w:rFonts w:eastAsia="Calibri"/>
          <w:bCs/>
        </w:rPr>
        <w:t>United Nations Convention on the Law of the Sea -1982.</w:t>
      </w:r>
    </w:p>
    <w:p w14:paraId="4DE31414">
      <w:pPr>
        <w:spacing w:after="160" w:line="480" w:lineRule="auto"/>
        <w:rPr>
          <w:rFonts w:eastAsia="Calibri"/>
          <w:bCs/>
        </w:rPr>
      </w:pPr>
      <w:r>
        <w:rPr>
          <w:rFonts w:eastAsia="Calibri"/>
          <w:bCs/>
        </w:rPr>
        <w:t>Value Added Tax Act No.102 of 1993</w:t>
      </w:r>
    </w:p>
    <w:p w14:paraId="1B862D5E">
      <w:pPr>
        <w:spacing w:after="160" w:line="480" w:lineRule="auto"/>
        <w:rPr>
          <w:b/>
          <w:u w:val="single"/>
        </w:rPr>
      </w:pPr>
    </w:p>
    <w:p w14:paraId="2D731859">
      <w:pPr>
        <w:spacing w:after="160" w:line="480" w:lineRule="auto"/>
        <w:rPr>
          <w:rFonts w:eastAsia="Calibri"/>
          <w:b/>
          <w:sz w:val="28"/>
          <w:szCs w:val="28"/>
        </w:rPr>
      </w:pPr>
      <w:r>
        <w:rPr>
          <w:rFonts w:eastAsia="Calibri"/>
          <w:b/>
          <w:sz w:val="28"/>
          <w:szCs w:val="28"/>
        </w:rPr>
        <w:t>LEGISLATION -</w:t>
      </w:r>
      <w:r>
        <w:rPr>
          <w:rFonts w:eastAsia="Calibri"/>
          <w:b/>
          <w:sz w:val="28"/>
          <w:szCs w:val="28"/>
        </w:rPr>
        <w:tab/>
      </w:r>
      <w:r>
        <w:rPr>
          <w:rFonts w:eastAsia="Calibri"/>
          <w:b/>
          <w:sz w:val="28"/>
          <w:szCs w:val="28"/>
        </w:rPr>
        <w:t xml:space="preserve">CANADA </w:t>
      </w:r>
    </w:p>
    <w:p w14:paraId="3379E121">
      <w:pPr>
        <w:spacing w:after="160" w:line="480" w:lineRule="auto"/>
        <w:rPr>
          <w:rFonts w:eastAsia="Calibri"/>
          <w:bCs/>
        </w:rPr>
      </w:pPr>
      <w:r>
        <w:rPr>
          <w:rFonts w:eastAsia="Calibri"/>
          <w:bCs/>
        </w:rPr>
        <w:t>British North America Act</w:t>
      </w:r>
    </w:p>
    <w:p w14:paraId="65BE7DD0">
      <w:pPr>
        <w:spacing w:after="160" w:line="480" w:lineRule="auto"/>
        <w:rPr>
          <w:rFonts w:eastAsia="Calibri"/>
          <w:bCs/>
        </w:rPr>
      </w:pPr>
      <w:r>
        <w:rPr>
          <w:rFonts w:eastAsia="Calibri"/>
          <w:bCs/>
        </w:rPr>
        <w:t>Canada Oil and Gas Operations Act</w:t>
      </w:r>
    </w:p>
    <w:p w14:paraId="57ED71B2">
      <w:pPr>
        <w:spacing w:after="160" w:line="480" w:lineRule="auto"/>
        <w:rPr>
          <w:rFonts w:eastAsia="Calibri"/>
          <w:bCs/>
        </w:rPr>
      </w:pPr>
      <w:r>
        <w:rPr>
          <w:rFonts w:eastAsia="Calibri"/>
          <w:bCs/>
        </w:rPr>
        <w:t>Canada Petroleum Resources Act</w:t>
      </w:r>
    </w:p>
    <w:p w14:paraId="4B2FB166">
      <w:pPr>
        <w:spacing w:after="160" w:line="480" w:lineRule="auto"/>
        <w:rPr>
          <w:rFonts w:eastAsia="Calibri"/>
          <w:bCs/>
        </w:rPr>
      </w:pPr>
      <w:r>
        <w:rPr>
          <w:rFonts w:eastAsia="Calibri"/>
          <w:bCs/>
        </w:rPr>
        <w:t>Canadian Petroleum Resources Act (R.S.C., 1985, c.36 (2</w:t>
      </w:r>
      <w:r>
        <w:rPr>
          <w:rFonts w:eastAsia="Calibri"/>
          <w:bCs/>
          <w:vertAlign w:val="superscript"/>
        </w:rPr>
        <w:t>nd</w:t>
      </w:r>
      <w:r>
        <w:rPr>
          <w:rFonts w:eastAsia="Calibri"/>
          <w:bCs/>
        </w:rPr>
        <w:t xml:space="preserve"> Supp)). </w:t>
      </w:r>
    </w:p>
    <w:p w14:paraId="7FB579EE">
      <w:pPr>
        <w:spacing w:after="160" w:line="480" w:lineRule="auto"/>
        <w:rPr>
          <w:rFonts w:eastAsia="Calibri"/>
          <w:bCs/>
        </w:rPr>
      </w:pPr>
      <w:r>
        <w:rPr>
          <w:rFonts w:eastAsia="Calibri"/>
          <w:bCs/>
        </w:rPr>
        <w:t xml:space="preserve">Canada Oil and Gas Operations Act (RSC, 1985, c.O-7, </w:t>
      </w:r>
    </w:p>
    <w:p w14:paraId="7013A488">
      <w:pPr>
        <w:spacing w:after="160" w:line="480" w:lineRule="auto"/>
        <w:rPr>
          <w:rFonts w:eastAsia="Calibri"/>
          <w:bCs/>
        </w:rPr>
      </w:pPr>
      <w:r>
        <w:fldChar w:fldCharType="begin"/>
      </w:r>
      <w:r>
        <w:instrText xml:space="preserve"> HYPERLINK "https://www.google.co.uk/url?sa=t&amp;rct=j&amp;q=&amp;esrc=s&amp;source=web&amp;cd=&amp;cad=rja&amp;uact=8&amp;ved=2ahUKEwjS0IzYktyAAxVjVUEAHcoQAEoQFnoECA0QAw&amp;url=https%3A%2F%2Ficlg.com%2Fpractice-areas%2Foil-and-gas-laws-and-regulations%2Fcanada%23%3A~%3Atext%3DFor%2520example%252C%2520in%2520the%2520province%2Cheld%2520by%2520corporations%2520or%2520trusts.&amp;usg=AOvVaw1Luw0SIqVLCt6k3gl1s5y6&amp;opi=89978449" </w:instrText>
      </w:r>
      <w:r>
        <w:fldChar w:fldCharType="separate"/>
      </w:r>
      <w:r>
        <w:rPr>
          <w:rStyle w:val="27"/>
          <w:rFonts w:eastAsia="Calibri"/>
          <w:bCs/>
        </w:rPr>
        <w:t xml:space="preserve">Oil &amp; Gas Laws and Regulations Canada 2023 - ICLG.ccom </w:t>
      </w:r>
      <w:r>
        <w:rPr>
          <w:rStyle w:val="27"/>
          <w:rFonts w:eastAsia="Calibri"/>
          <w:bCs/>
        </w:rPr>
        <w:fldChar w:fldCharType="end"/>
      </w:r>
    </w:p>
    <w:p w14:paraId="3C9BE606">
      <w:pPr>
        <w:spacing w:after="160" w:line="480" w:lineRule="auto"/>
        <w:rPr>
          <w:rFonts w:eastAsia="Calibri"/>
          <w:bCs/>
        </w:rPr>
      </w:pPr>
      <w:r>
        <w:rPr>
          <w:rFonts w:eastAsia="Calibri"/>
          <w:bCs/>
        </w:rPr>
        <w:t>Federal Income Tax Act</w:t>
      </w:r>
    </w:p>
    <w:p w14:paraId="43D44E52">
      <w:pPr>
        <w:spacing w:after="160" w:line="480" w:lineRule="auto"/>
        <w:rPr>
          <w:rFonts w:eastAsia="Calibri"/>
          <w:bCs/>
        </w:rPr>
      </w:pPr>
      <w:r>
        <w:rPr>
          <w:rFonts w:eastAsia="Calibri"/>
          <w:bCs/>
        </w:rPr>
        <w:t>Companies’ Creditors Arrangement Act.</w:t>
      </w:r>
    </w:p>
    <w:p w14:paraId="42CD66F9">
      <w:pPr>
        <w:spacing w:after="160" w:line="480" w:lineRule="auto"/>
        <w:rPr>
          <w:rFonts w:eastAsia="Calibri"/>
        </w:rPr>
      </w:pPr>
      <w:r>
        <w:rPr>
          <w:rFonts w:eastAsia="Calibri"/>
        </w:rPr>
        <w:t>Constitution Act 1867</w:t>
      </w:r>
    </w:p>
    <w:p w14:paraId="5CF4275C">
      <w:pPr>
        <w:spacing w:after="160" w:line="480" w:lineRule="auto"/>
        <w:rPr>
          <w:rFonts w:eastAsia="Calibri"/>
          <w:bCs/>
        </w:rPr>
      </w:pPr>
      <w:r>
        <w:rPr>
          <w:rFonts w:eastAsia="Calibri"/>
          <w:bCs/>
        </w:rPr>
        <w:t>Constitution Act 1867 (Canada)</w:t>
      </w:r>
    </w:p>
    <w:p w14:paraId="1D96EA83">
      <w:pPr>
        <w:spacing w:after="160" w:line="480" w:lineRule="auto"/>
        <w:rPr>
          <w:rFonts w:eastAsia="Calibri"/>
          <w:bCs/>
        </w:rPr>
      </w:pPr>
      <w:r>
        <w:rPr>
          <w:rFonts w:eastAsia="Calibri"/>
          <w:bCs/>
        </w:rPr>
        <w:t>Constitution Act, 1867 (British North American Act).</w:t>
      </w:r>
    </w:p>
    <w:p w14:paraId="41AF6142">
      <w:pPr>
        <w:spacing w:after="160" w:line="480" w:lineRule="auto"/>
        <w:rPr>
          <w:rFonts w:eastAsia="Calibri"/>
          <w:bCs/>
        </w:rPr>
      </w:pPr>
      <w:r>
        <w:rPr>
          <w:rFonts w:eastAsia="Calibri"/>
          <w:bCs/>
        </w:rPr>
        <w:t>Corporation Tax Act 2009 (Canada)</w:t>
      </w:r>
    </w:p>
    <w:p w14:paraId="0032E743">
      <w:pPr>
        <w:spacing w:after="160" w:line="480" w:lineRule="auto"/>
        <w:rPr>
          <w:rFonts w:eastAsia="Calibri"/>
          <w:bCs/>
        </w:rPr>
      </w:pPr>
      <w:r>
        <w:rPr>
          <w:rFonts w:eastAsia="Calibri"/>
          <w:bCs/>
        </w:rPr>
        <w:t>Corporation Tax Act 2010 (Canada)</w:t>
      </w:r>
    </w:p>
    <w:p w14:paraId="3BDEB75A">
      <w:pPr>
        <w:spacing w:after="160" w:line="480" w:lineRule="auto"/>
        <w:rPr>
          <w:rFonts w:eastAsia="Calibri"/>
          <w:bCs/>
        </w:rPr>
      </w:pPr>
      <w:r>
        <w:rPr>
          <w:rFonts w:eastAsia="Calibri"/>
          <w:bCs/>
        </w:rPr>
        <w:t>Environmental Management Act (British Columbia), 2019 BCCA 181.</w:t>
      </w:r>
    </w:p>
    <w:p w14:paraId="6A2CD282">
      <w:pPr>
        <w:spacing w:after="160" w:line="480" w:lineRule="auto"/>
        <w:rPr>
          <w:rFonts w:eastAsia="Calibri"/>
          <w:bCs/>
        </w:rPr>
      </w:pPr>
      <w:r>
        <w:rPr>
          <w:rFonts w:eastAsia="Calibri"/>
          <w:bCs/>
        </w:rPr>
        <w:t xml:space="preserve">The Mineral Resources Act, 1973-74 (Sask.), c. 64 (Bill 127) </w:t>
      </w:r>
    </w:p>
    <w:p w14:paraId="5494B325">
      <w:pPr>
        <w:spacing w:after="160" w:line="480" w:lineRule="auto"/>
        <w:rPr>
          <w:rFonts w:eastAsia="Calibri"/>
          <w:b/>
          <w:bCs/>
        </w:rPr>
      </w:pPr>
      <w:r>
        <w:rPr>
          <w:rFonts w:eastAsia="Calibri"/>
          <w:bCs/>
        </w:rPr>
        <w:t>The Petroleum and Natural Gas Regulations, 1969, under The Mineral Resources Act</w:t>
      </w:r>
    </w:p>
    <w:p w14:paraId="67A97E30">
      <w:pPr>
        <w:spacing w:after="160" w:line="480" w:lineRule="auto"/>
        <w:rPr>
          <w:rFonts w:eastAsia="Calibri"/>
          <w:bCs/>
        </w:rPr>
      </w:pPr>
      <w:r>
        <w:rPr>
          <w:rFonts w:eastAsia="Calibri"/>
          <w:bCs/>
        </w:rPr>
        <w:t>National Energy Board Act (Canada)</w:t>
      </w:r>
    </w:p>
    <w:p w14:paraId="6C5AD8EB">
      <w:pPr>
        <w:spacing w:after="160" w:line="480" w:lineRule="auto"/>
        <w:rPr>
          <w:rFonts w:eastAsia="Calibri"/>
          <w:bCs/>
        </w:rPr>
      </w:pPr>
      <w:r>
        <w:rPr>
          <w:rFonts w:eastAsia="Calibri"/>
          <w:bCs/>
        </w:rPr>
        <w:t>Natural Resources Act of 1930 (Canada)</w:t>
      </w:r>
    </w:p>
    <w:p w14:paraId="74409545">
      <w:pPr>
        <w:spacing w:after="160" w:line="480" w:lineRule="auto"/>
        <w:rPr>
          <w:rFonts w:eastAsia="Calibri"/>
          <w:bCs/>
        </w:rPr>
      </w:pPr>
      <w:r>
        <w:rPr>
          <w:rFonts w:eastAsia="Calibri"/>
          <w:bCs/>
        </w:rPr>
        <w:t>The Oil and Gas Conservation Stabilization and Development Act 1973-1974 (Canada)</w:t>
      </w:r>
    </w:p>
    <w:p w14:paraId="6CAB7977">
      <w:pPr>
        <w:spacing w:after="160" w:line="480" w:lineRule="auto"/>
        <w:rPr>
          <w:rFonts w:eastAsia="Calibri"/>
          <w:b/>
        </w:rPr>
      </w:pPr>
    </w:p>
    <w:p w14:paraId="39256A3F">
      <w:pPr>
        <w:spacing w:after="160" w:line="480" w:lineRule="auto"/>
        <w:rPr>
          <w:rFonts w:eastAsia="Calibri"/>
          <w:b/>
          <w:sz w:val="28"/>
          <w:szCs w:val="28"/>
        </w:rPr>
      </w:pPr>
      <w:r>
        <w:rPr>
          <w:rFonts w:eastAsia="Calibri"/>
          <w:b/>
          <w:sz w:val="28"/>
          <w:szCs w:val="28"/>
        </w:rPr>
        <w:t>LEGISLATION -</w:t>
      </w:r>
      <w:r>
        <w:rPr>
          <w:rFonts w:eastAsia="Calibri"/>
          <w:b/>
          <w:sz w:val="28"/>
          <w:szCs w:val="28"/>
        </w:rPr>
        <w:tab/>
      </w:r>
      <w:r>
        <w:rPr>
          <w:rFonts w:eastAsia="Calibri"/>
          <w:b/>
          <w:sz w:val="28"/>
          <w:szCs w:val="28"/>
        </w:rPr>
        <w:t xml:space="preserve">UNITED KINGDOM </w:t>
      </w:r>
    </w:p>
    <w:p w14:paraId="6B69C9F3">
      <w:pPr>
        <w:spacing w:after="160" w:line="480" w:lineRule="auto"/>
        <w:rPr>
          <w:rFonts w:eastAsia="Calibri"/>
          <w:bCs/>
        </w:rPr>
      </w:pPr>
      <w:r>
        <w:rPr>
          <w:rFonts w:eastAsia="Calibri"/>
          <w:bCs/>
        </w:rPr>
        <w:t>Capital Allowance Act 2001</w:t>
      </w:r>
    </w:p>
    <w:p w14:paraId="54757207">
      <w:pPr>
        <w:spacing w:after="160" w:line="480" w:lineRule="auto"/>
        <w:rPr>
          <w:rFonts w:eastAsia="Calibri"/>
          <w:bCs/>
        </w:rPr>
      </w:pPr>
      <w:r>
        <w:rPr>
          <w:rFonts w:eastAsia="Calibri"/>
          <w:bCs/>
        </w:rPr>
        <w:t>Finance Act 2008 (UK)</w:t>
      </w:r>
    </w:p>
    <w:p w14:paraId="38A44F09">
      <w:pPr>
        <w:spacing w:after="160" w:line="480" w:lineRule="auto"/>
        <w:rPr>
          <w:rFonts w:eastAsia="Calibri"/>
          <w:bCs/>
        </w:rPr>
      </w:pPr>
      <w:r>
        <w:rPr>
          <w:rFonts w:eastAsia="Calibri"/>
          <w:bCs/>
        </w:rPr>
        <w:t>Finance Act 2012 (UK)</w:t>
      </w:r>
    </w:p>
    <w:p w14:paraId="1278D39B">
      <w:pPr>
        <w:spacing w:after="160" w:line="480" w:lineRule="auto"/>
        <w:rPr>
          <w:rFonts w:eastAsia="Calibri"/>
          <w:bCs/>
        </w:rPr>
      </w:pPr>
      <w:r>
        <w:rPr>
          <w:rFonts w:eastAsia="Calibri"/>
          <w:bCs/>
        </w:rPr>
        <w:t>Finance Act 2015 (UK)</w:t>
      </w:r>
    </w:p>
    <w:p w14:paraId="405A91CA">
      <w:pPr>
        <w:spacing w:after="160" w:line="480" w:lineRule="auto"/>
        <w:rPr>
          <w:rFonts w:eastAsia="Calibri"/>
          <w:bCs/>
        </w:rPr>
      </w:pPr>
      <w:r>
        <w:rPr>
          <w:rFonts w:eastAsia="Calibri"/>
          <w:bCs/>
        </w:rPr>
        <w:t>Finance Act 2016 (UK)</w:t>
      </w:r>
    </w:p>
    <w:p w14:paraId="6D97B9DD">
      <w:pPr>
        <w:spacing w:after="160" w:line="480" w:lineRule="auto"/>
        <w:rPr>
          <w:rFonts w:eastAsia="Calibri"/>
          <w:bCs/>
        </w:rPr>
      </w:pPr>
      <w:r>
        <w:rPr>
          <w:rFonts w:eastAsia="Calibri"/>
          <w:bCs/>
        </w:rPr>
        <w:t>Income Tax (Earnings and Pensions) Act 2003</w:t>
      </w:r>
    </w:p>
    <w:p w14:paraId="70C23810">
      <w:pPr>
        <w:spacing w:after="160" w:line="480" w:lineRule="auto"/>
        <w:rPr>
          <w:rFonts w:eastAsia="Calibri"/>
          <w:bCs/>
        </w:rPr>
      </w:pPr>
      <w:r>
        <w:rPr>
          <w:rFonts w:eastAsia="Calibri"/>
          <w:bCs/>
        </w:rPr>
        <w:t>Income Tax (Trading and Other Income) Act 2005</w:t>
      </w:r>
    </w:p>
    <w:p w14:paraId="65EDA37D">
      <w:pPr>
        <w:spacing w:after="160" w:line="480" w:lineRule="auto"/>
        <w:rPr>
          <w:rFonts w:eastAsia="Calibri"/>
          <w:bCs/>
        </w:rPr>
      </w:pPr>
      <w:r>
        <w:rPr>
          <w:rFonts w:eastAsia="Calibri"/>
          <w:bCs/>
        </w:rPr>
        <w:t>Income Tax Act 2007</w:t>
      </w:r>
    </w:p>
    <w:p w14:paraId="68A5DEFB">
      <w:pPr>
        <w:spacing w:after="160" w:line="480" w:lineRule="auto"/>
        <w:rPr>
          <w:rFonts w:eastAsia="Calibri"/>
          <w:bCs/>
        </w:rPr>
      </w:pPr>
      <w:r>
        <w:rPr>
          <w:rFonts w:eastAsia="Calibri"/>
          <w:bCs/>
        </w:rPr>
        <w:t>Income Tax and Social Services Contribution Assessment Act 1964</w:t>
      </w:r>
    </w:p>
    <w:p w14:paraId="3E682497">
      <w:pPr>
        <w:spacing w:after="160" w:line="480" w:lineRule="auto"/>
        <w:rPr>
          <w:rFonts w:eastAsia="Calibri"/>
          <w:bCs/>
        </w:rPr>
      </w:pPr>
      <w:r>
        <w:rPr>
          <w:rFonts w:eastAsia="Calibri"/>
          <w:bCs/>
        </w:rPr>
        <w:t>Oil Taxation Act 1975 (UK)</w:t>
      </w:r>
    </w:p>
    <w:p w14:paraId="3C5093CA">
      <w:pPr>
        <w:spacing w:after="160" w:line="480" w:lineRule="auto"/>
        <w:rPr>
          <w:rFonts w:eastAsia="Calibri"/>
          <w:bCs/>
        </w:rPr>
      </w:pPr>
      <w:r>
        <w:rPr>
          <w:rFonts w:eastAsia="Calibri"/>
          <w:bCs/>
        </w:rPr>
        <w:t>Oil Taxation Act 1983 (UK)</w:t>
      </w:r>
    </w:p>
    <w:p w14:paraId="7A428B8A">
      <w:pPr>
        <w:spacing w:after="160" w:line="480" w:lineRule="auto"/>
        <w:jc w:val="both"/>
        <w:rPr>
          <w:rFonts w:eastAsia="Calibri"/>
        </w:rPr>
      </w:pPr>
      <w:r>
        <w:rPr>
          <w:rFonts w:eastAsia="Calibri"/>
        </w:rPr>
        <w:t>Ordinance No. 3 1863</w:t>
      </w:r>
    </w:p>
    <w:p w14:paraId="65F02132">
      <w:pPr>
        <w:spacing w:after="160" w:line="480" w:lineRule="auto"/>
        <w:jc w:val="both"/>
        <w:rPr>
          <w:rFonts w:eastAsia="Calibri"/>
        </w:rPr>
      </w:pPr>
      <w:r>
        <w:rPr>
          <w:rFonts w:eastAsia="Calibri"/>
        </w:rPr>
        <w:t>Petroleum Revenue Tax Act 1980</w:t>
      </w:r>
    </w:p>
    <w:p w14:paraId="483662F1">
      <w:pPr>
        <w:spacing w:after="160" w:line="480" w:lineRule="auto"/>
        <w:jc w:val="both"/>
        <w:rPr>
          <w:rFonts w:eastAsia="Calibri"/>
        </w:rPr>
      </w:pPr>
      <w:r>
        <w:rPr>
          <w:rFonts w:eastAsia="Calibri"/>
        </w:rPr>
        <w:t>Petroleum Royalties (Relief) Act 1983</w:t>
      </w:r>
    </w:p>
    <w:p w14:paraId="697E80FA">
      <w:pPr>
        <w:spacing w:after="160" w:line="480" w:lineRule="auto"/>
        <w:jc w:val="both"/>
        <w:rPr>
          <w:rFonts w:eastAsia="Calibri"/>
        </w:rPr>
      </w:pPr>
      <w:r>
        <w:rPr>
          <w:rFonts w:eastAsia="Calibri"/>
        </w:rPr>
        <w:t>Petroleum Royalties (Relief) and Continental Shelf Act 1989</w:t>
      </w:r>
    </w:p>
    <w:p w14:paraId="622C5D2D">
      <w:pPr>
        <w:spacing w:after="160" w:line="480" w:lineRule="auto"/>
        <w:jc w:val="both"/>
        <w:rPr>
          <w:rFonts w:eastAsia="Calibri"/>
          <w:b/>
        </w:rPr>
      </w:pPr>
    </w:p>
    <w:p w14:paraId="40CAC213">
      <w:pPr>
        <w:spacing w:after="160" w:line="480" w:lineRule="auto"/>
        <w:jc w:val="both"/>
        <w:rPr>
          <w:sz w:val="28"/>
        </w:rPr>
      </w:pPr>
      <w:r>
        <w:rPr>
          <w:b/>
          <w:sz w:val="28"/>
        </w:rPr>
        <w:t>AGREEMENTS, GUIDANCE</w:t>
      </w:r>
      <w:r>
        <w:rPr>
          <w:rFonts w:eastAsia="Calibri"/>
          <w:b/>
          <w:sz w:val="28"/>
          <w:szCs w:val="28"/>
        </w:rPr>
        <w:t xml:space="preserve"> NOTES</w:t>
      </w:r>
      <w:r>
        <w:rPr>
          <w:b/>
          <w:sz w:val="28"/>
        </w:rPr>
        <w:t>, BILLS AND POLICY DOCUMENTS</w:t>
      </w:r>
      <w:r>
        <w:rPr>
          <w:sz w:val="28"/>
        </w:rPr>
        <w:t>.</w:t>
      </w:r>
    </w:p>
    <w:p w14:paraId="3D841930">
      <w:pPr>
        <w:spacing w:after="160" w:line="480" w:lineRule="auto"/>
        <w:ind w:left="-90"/>
        <w:rPr>
          <w:rFonts w:eastAsia="Calibri"/>
          <w:bCs/>
        </w:rPr>
      </w:pPr>
      <w:r>
        <w:rPr>
          <w:rFonts w:eastAsia="Calibri"/>
          <w:bCs/>
        </w:rPr>
        <w:t>A Guide to UK Taxation, May 2019</w:t>
      </w:r>
    </w:p>
    <w:p w14:paraId="0FC70874">
      <w:pPr>
        <w:spacing w:after="160" w:line="480" w:lineRule="auto"/>
        <w:ind w:left="-90"/>
        <w:rPr>
          <w:rFonts w:eastAsia="Calibri"/>
          <w:bCs/>
        </w:rPr>
      </w:pPr>
      <w:r>
        <w:rPr>
          <w:rFonts w:eastAsia="Calibri"/>
          <w:bCs/>
        </w:rPr>
        <w:t>Amendments to The Petroleum and Natural Gas Regulations, 1969, made under The Mineral Resources Act</w:t>
      </w:r>
    </w:p>
    <w:p w14:paraId="6184070C">
      <w:pPr>
        <w:spacing w:after="160" w:line="480" w:lineRule="auto"/>
        <w:ind w:left="-90"/>
        <w:rPr>
          <w:rFonts w:eastAsia="Calibri"/>
          <w:bCs/>
        </w:rPr>
      </w:pPr>
      <w:r>
        <w:rPr>
          <w:rFonts w:eastAsia="Calibri"/>
          <w:bCs/>
        </w:rPr>
        <w:t>Associated Gas Framework Agreement (AGFA) 1995.</w:t>
      </w:r>
    </w:p>
    <w:p w14:paraId="0C01B483">
      <w:pPr>
        <w:spacing w:after="160" w:line="480" w:lineRule="auto"/>
        <w:ind w:left="-90"/>
        <w:rPr>
          <w:rFonts w:eastAsia="Calibri"/>
          <w:bCs/>
        </w:rPr>
      </w:pPr>
      <w:r>
        <w:rPr>
          <w:rFonts w:eastAsia="Calibri"/>
        </w:rPr>
        <w:t>Australian Tax Policy</w:t>
      </w:r>
    </w:p>
    <w:p w14:paraId="3876B253">
      <w:pPr>
        <w:spacing w:after="160" w:line="480" w:lineRule="auto"/>
        <w:ind w:left="-90"/>
        <w:rPr>
          <w:rFonts w:eastAsia="Calibri"/>
          <w:bCs/>
        </w:rPr>
      </w:pPr>
      <w:r>
        <w:rPr>
          <w:rFonts w:eastAsia="Calibri"/>
          <w:bCs/>
        </w:rPr>
        <w:t xml:space="preserve">Bill C-259, An Act to amend the Income Tax Act </w:t>
      </w:r>
    </w:p>
    <w:p w14:paraId="3CA3DE7D">
      <w:pPr>
        <w:spacing w:after="160" w:line="480" w:lineRule="auto"/>
        <w:ind w:left="-90"/>
        <w:rPr>
          <w:rFonts w:eastAsia="Calibri"/>
          <w:bCs/>
        </w:rPr>
      </w:pPr>
      <w:r>
        <w:rPr>
          <w:rFonts w:eastAsia="Calibri"/>
          <w:bCs/>
        </w:rPr>
        <w:t xml:space="preserve">Budget 2016, HC 901, (PDF) March 2016 </w:t>
      </w:r>
    </w:p>
    <w:p w14:paraId="759B2E0F">
      <w:pPr>
        <w:spacing w:after="160" w:line="480" w:lineRule="auto"/>
        <w:ind w:left="-90"/>
        <w:rPr>
          <w:rFonts w:eastAsia="Calibri"/>
          <w:bCs/>
        </w:rPr>
      </w:pPr>
      <w:r>
        <w:rPr>
          <w:rFonts w:eastAsia="Calibri"/>
          <w:bCs/>
        </w:rPr>
        <w:t>Canada 2022-Energy Policy</w:t>
      </w:r>
    </w:p>
    <w:p w14:paraId="5D42EEAF">
      <w:pPr>
        <w:spacing w:after="160" w:line="480" w:lineRule="auto"/>
        <w:ind w:left="-90"/>
        <w:rPr>
          <w:rFonts w:eastAsia="Calibri"/>
          <w:bCs/>
        </w:rPr>
      </w:pPr>
      <w:r>
        <w:rPr>
          <w:rFonts w:eastAsia="Calibri"/>
          <w:bCs/>
        </w:rPr>
        <w:t>Canada, House of Commons, Standing Committee on Finance, Trade and Economic Affairs, Eighteenth</w:t>
      </w:r>
    </w:p>
    <w:p w14:paraId="6BCB8584">
      <w:pPr>
        <w:spacing w:after="160" w:line="480" w:lineRule="auto"/>
        <w:ind w:left="-90"/>
        <w:rPr>
          <w:rFonts w:eastAsia="Calibri"/>
          <w:bCs/>
        </w:rPr>
      </w:pPr>
      <w:r>
        <w:rPr>
          <w:rFonts w:eastAsia="Calibri"/>
          <w:bCs/>
        </w:rPr>
        <w:t>Canada’s Foreign Investment Protection Agreements;’</w:t>
      </w:r>
    </w:p>
    <w:p w14:paraId="5F1E54D1">
      <w:pPr>
        <w:spacing w:after="160" w:line="480" w:lineRule="auto"/>
        <w:ind w:left="-90"/>
        <w:rPr>
          <w:rFonts w:eastAsia="Calibri"/>
          <w:bCs/>
        </w:rPr>
      </w:pPr>
      <w:r>
        <w:rPr>
          <w:rFonts w:eastAsia="Calibri"/>
          <w:bCs/>
        </w:rPr>
        <w:t>Canada's Proposals for Tax reform, 1969. (Department of Finance)</w:t>
      </w:r>
    </w:p>
    <w:p w14:paraId="6EDF30EF">
      <w:pPr>
        <w:spacing w:after="160" w:line="480" w:lineRule="auto"/>
        <w:ind w:left="-90"/>
        <w:rPr>
          <w:rFonts w:eastAsia="Calibri"/>
          <w:bCs/>
        </w:rPr>
      </w:pPr>
      <w:r>
        <w:rPr>
          <w:rFonts w:eastAsia="Calibri"/>
        </w:rPr>
        <w:t>Canadian Tax Policy.</w:t>
      </w:r>
    </w:p>
    <w:p w14:paraId="03652FF2">
      <w:pPr>
        <w:spacing w:after="160" w:line="480" w:lineRule="auto"/>
        <w:ind w:left="-90"/>
        <w:rPr>
          <w:rFonts w:eastAsia="Calibri"/>
          <w:bCs/>
        </w:rPr>
      </w:pPr>
      <w:r>
        <w:rPr>
          <w:rFonts w:eastAsia="Calibri"/>
          <w:bCs/>
        </w:rPr>
        <w:t>Eighth report: principles of tax policy, HC 753, (PDF) 15 March 2011 para 84.</w:t>
      </w:r>
    </w:p>
    <w:p w14:paraId="5BED18C6">
      <w:pPr>
        <w:spacing w:after="160" w:line="480" w:lineRule="auto"/>
        <w:ind w:left="-90"/>
        <w:rPr>
          <w:rFonts w:eastAsia="Calibri"/>
          <w:bCs/>
        </w:rPr>
      </w:pPr>
      <w:r>
        <w:rPr>
          <w:rFonts w:eastAsia="Calibri"/>
          <w:bCs/>
        </w:rPr>
        <w:t>HM Treasury press notice, Radical reforms for oil and gas industry, 4 December 2014</w:t>
      </w:r>
    </w:p>
    <w:p w14:paraId="31DC572C">
      <w:pPr>
        <w:spacing w:after="160" w:line="480" w:lineRule="auto"/>
        <w:ind w:left="-90"/>
        <w:rPr>
          <w:rFonts w:eastAsia="Calibri"/>
          <w:bCs/>
        </w:rPr>
      </w:pPr>
      <w:r>
        <w:rPr>
          <w:rFonts w:eastAsia="Calibri"/>
          <w:bCs/>
        </w:rPr>
        <w:t>HM Treasury, Energy Profits Levy Factsheet, 26 May 2022.</w:t>
      </w:r>
    </w:p>
    <w:p w14:paraId="6D08F465">
      <w:pPr>
        <w:spacing w:after="160" w:line="480" w:lineRule="auto"/>
        <w:ind w:left="-90"/>
        <w:rPr>
          <w:rFonts w:eastAsia="Calibri"/>
          <w:bCs/>
        </w:rPr>
      </w:pPr>
      <w:r>
        <w:rPr>
          <w:rFonts w:eastAsia="Calibri"/>
          <w:bCs/>
        </w:rPr>
        <w:t>HM Treasury, Review of the oil and gas fiscal regime: call for evidence, (PDF) July 2014 p 6. P12-14.</w:t>
      </w:r>
    </w:p>
    <w:p w14:paraId="0B94B67D">
      <w:pPr>
        <w:spacing w:after="160" w:line="480" w:lineRule="auto"/>
        <w:ind w:left="-90"/>
        <w:rPr>
          <w:rFonts w:eastAsia="Calibri"/>
          <w:bCs/>
        </w:rPr>
      </w:pPr>
      <w:r>
        <w:rPr>
          <w:rFonts w:eastAsia="Calibri"/>
          <w:bCs/>
        </w:rPr>
        <w:t>HMRC, Corporation tax: oil and gas companies: investment allowance and reduction in supplementary charge – tax information note, 18 March 2015</w:t>
      </w:r>
    </w:p>
    <w:p w14:paraId="63298D2F">
      <w:pPr>
        <w:spacing w:after="160" w:line="480" w:lineRule="auto"/>
        <w:ind w:left="-90"/>
        <w:rPr>
          <w:rFonts w:eastAsia="Calibri"/>
          <w:bCs/>
        </w:rPr>
      </w:pPr>
      <w:r>
        <w:rPr>
          <w:rFonts w:eastAsia="Calibri"/>
          <w:bCs/>
        </w:rPr>
        <w:t>HRMC Oil Taxation Manual</w:t>
      </w:r>
    </w:p>
    <w:p w14:paraId="38DE8AFC">
      <w:pPr>
        <w:spacing w:after="160" w:line="480" w:lineRule="auto"/>
        <w:ind w:left="-90"/>
        <w:rPr>
          <w:rFonts w:eastAsia="Calibri"/>
          <w:bCs/>
        </w:rPr>
      </w:pPr>
      <w:r>
        <w:rPr>
          <w:rFonts w:eastAsia="Calibri"/>
          <w:bCs/>
        </w:rPr>
        <w:t>HRMC Oil Taxation Manual - OT00150</w:t>
      </w:r>
    </w:p>
    <w:p w14:paraId="23EE69AB">
      <w:pPr>
        <w:spacing w:after="160" w:line="480" w:lineRule="auto"/>
        <w:ind w:left="-90"/>
        <w:rPr>
          <w:rFonts w:eastAsia="Calibri"/>
          <w:bCs/>
        </w:rPr>
      </w:pPr>
      <w:r>
        <w:rPr>
          <w:rFonts w:eastAsia="Calibri"/>
        </w:rPr>
        <w:t>Joint Audit and the Mutual Agreement Procedure (MAP).</w:t>
      </w:r>
    </w:p>
    <w:p w14:paraId="07D21990">
      <w:pPr>
        <w:spacing w:after="160" w:line="480" w:lineRule="auto"/>
        <w:ind w:left="-90"/>
        <w:rPr>
          <w:rFonts w:eastAsia="Calibri"/>
          <w:bCs/>
        </w:rPr>
      </w:pPr>
      <w:r>
        <w:rPr>
          <w:rFonts w:eastAsia="Calibri"/>
          <w:bCs/>
        </w:rPr>
        <w:t>Memorandum of Understanding (MOU) between the IOC’s and the NNPC</w:t>
      </w:r>
    </w:p>
    <w:p w14:paraId="3D530680">
      <w:pPr>
        <w:spacing w:after="160" w:line="480" w:lineRule="auto"/>
        <w:ind w:left="-90"/>
        <w:rPr>
          <w:rFonts w:eastAsia="Calibri"/>
          <w:bCs/>
        </w:rPr>
      </w:pPr>
      <w:r>
        <w:rPr>
          <w:rFonts w:eastAsia="Calibri"/>
        </w:rPr>
        <w:t xml:space="preserve">Mission &amp; Vison, (Nnpcgroup.com, 2017), &lt;http://www.nnpcgroup.com/AboutNNPC/MissionVision.aspx&gt; accessed 5 August 2017. </w:t>
      </w:r>
    </w:p>
    <w:p w14:paraId="352D22C9">
      <w:pPr>
        <w:spacing w:after="160" w:line="480" w:lineRule="auto"/>
        <w:ind w:left="-90"/>
        <w:rPr>
          <w:rFonts w:eastAsia="Calibri"/>
          <w:bCs/>
        </w:rPr>
      </w:pPr>
      <w:r>
        <w:rPr>
          <w:rFonts w:eastAsia="Calibri"/>
          <w:bCs/>
        </w:rPr>
        <w:t>National Domestic Gas Supply &amp; Pricing Regulation.</w:t>
      </w:r>
    </w:p>
    <w:p w14:paraId="1F9C3B09">
      <w:pPr>
        <w:spacing w:after="160" w:line="480" w:lineRule="auto"/>
        <w:ind w:left="-90"/>
        <w:rPr>
          <w:rFonts w:eastAsia="Calibri"/>
          <w:bCs/>
        </w:rPr>
      </w:pPr>
      <w:r>
        <w:rPr>
          <w:rFonts w:eastAsia="Calibri"/>
          <w:bCs/>
        </w:rPr>
        <w:t>National Energy Policy (2003).</w:t>
      </w:r>
    </w:p>
    <w:p w14:paraId="47917CB8">
      <w:pPr>
        <w:spacing w:after="160" w:line="480" w:lineRule="auto"/>
        <w:ind w:left="-90"/>
        <w:rPr>
          <w:rFonts w:eastAsia="Calibri"/>
          <w:bCs/>
        </w:rPr>
      </w:pPr>
      <w:r>
        <w:rPr>
          <w:rFonts w:eastAsia="Calibri"/>
          <w:bCs/>
        </w:rPr>
        <w:t xml:space="preserve">National Oil and Gas Policy (NOGP) of 2007. </w:t>
      </w:r>
    </w:p>
    <w:p w14:paraId="336A7E61">
      <w:pPr>
        <w:spacing w:after="160" w:line="480" w:lineRule="auto"/>
        <w:ind w:left="-90"/>
        <w:rPr>
          <w:rFonts w:eastAsia="Calibri"/>
          <w:bCs/>
        </w:rPr>
      </w:pPr>
      <w:r>
        <w:rPr>
          <w:rFonts w:eastAsia="Calibri"/>
          <w:bCs/>
        </w:rPr>
        <w:t>Nigeria Petroleum Industry Bill (NPIB), 2008.</w:t>
      </w:r>
    </w:p>
    <w:p w14:paraId="177F196C">
      <w:pPr>
        <w:spacing w:after="160" w:line="480" w:lineRule="auto"/>
        <w:ind w:left="-90"/>
        <w:rPr>
          <w:rFonts w:eastAsia="Calibri"/>
          <w:bCs/>
        </w:rPr>
      </w:pPr>
      <w:r>
        <w:rPr>
          <w:rFonts w:eastAsia="Calibri"/>
          <w:bCs/>
        </w:rPr>
        <w:t xml:space="preserve">Nigerian National Tax Policy (NNTP), 2012. </w:t>
      </w:r>
    </w:p>
    <w:p w14:paraId="4BED8148">
      <w:pPr>
        <w:spacing w:after="160" w:line="480" w:lineRule="auto"/>
        <w:ind w:left="-90"/>
        <w:rPr>
          <w:rFonts w:eastAsia="Calibri"/>
          <w:bCs/>
        </w:rPr>
      </w:pPr>
      <w:r>
        <w:rPr>
          <w:rFonts w:eastAsia="Calibri"/>
          <w:bCs/>
        </w:rPr>
        <w:t>Nigerian National Tax Policy (NNTP) 2016</w:t>
      </w:r>
    </w:p>
    <w:p w14:paraId="2C6F1E6E">
      <w:pPr>
        <w:spacing w:after="160" w:line="480" w:lineRule="auto"/>
        <w:ind w:left="-90"/>
        <w:rPr>
          <w:rFonts w:eastAsia="Calibri"/>
          <w:bCs/>
        </w:rPr>
      </w:pPr>
      <w:r>
        <w:rPr>
          <w:rFonts w:eastAsia="Calibri"/>
        </w:rPr>
        <w:t>National Oil Policy Draft Consultative document 2017.</w:t>
      </w:r>
    </w:p>
    <w:p w14:paraId="3DEF2E9E">
      <w:pPr>
        <w:spacing w:after="160" w:line="480" w:lineRule="auto"/>
        <w:ind w:left="-90"/>
        <w:rPr>
          <w:rFonts w:eastAsia="Calibri"/>
          <w:bCs/>
        </w:rPr>
      </w:pPr>
      <w:r>
        <w:rPr>
          <w:rFonts w:eastAsia="Calibri"/>
          <w:bCs/>
        </w:rPr>
        <w:t>Nigeria National Gas Policy 2017</w:t>
      </w:r>
    </w:p>
    <w:p w14:paraId="1C08422C">
      <w:pPr>
        <w:spacing w:after="160" w:line="480" w:lineRule="auto"/>
        <w:ind w:left="-90"/>
        <w:rPr>
          <w:rFonts w:eastAsia="Calibri"/>
        </w:rPr>
      </w:pPr>
      <w:r>
        <w:rPr>
          <w:rFonts w:eastAsia="Calibri"/>
        </w:rPr>
        <w:t>Nigeria National Oil Policy 2017</w:t>
      </w:r>
    </w:p>
    <w:p w14:paraId="67CD855E">
      <w:pPr>
        <w:spacing w:after="160" w:line="480" w:lineRule="auto"/>
        <w:ind w:left="-90"/>
        <w:rPr>
          <w:rFonts w:eastAsia="Calibri"/>
        </w:rPr>
      </w:pPr>
      <w:r>
        <w:rPr>
          <w:rFonts w:eastAsia="Calibri"/>
          <w:bCs/>
        </w:rPr>
        <w:t>National Petroleum Fiscal Policy 2017</w:t>
      </w:r>
    </w:p>
    <w:p w14:paraId="121768D5">
      <w:pPr>
        <w:spacing w:after="160" w:line="480" w:lineRule="auto"/>
        <w:ind w:left="-90"/>
        <w:rPr>
          <w:rFonts w:eastAsia="Calibri"/>
          <w:bCs/>
        </w:rPr>
      </w:pPr>
      <w:r>
        <w:rPr>
          <w:rFonts w:eastAsia="Calibri"/>
          <w:bCs/>
        </w:rPr>
        <w:t>Petroleum Fiscal Framework Bill</w:t>
      </w:r>
    </w:p>
    <w:p w14:paraId="0C255644">
      <w:pPr>
        <w:spacing w:after="160" w:line="480" w:lineRule="auto"/>
        <w:ind w:left="-90"/>
        <w:rPr>
          <w:rFonts w:eastAsia="Calibri"/>
          <w:bCs/>
        </w:rPr>
      </w:pPr>
      <w:r>
        <w:rPr>
          <w:rFonts w:eastAsia="Calibri"/>
        </w:rPr>
        <w:t>Petroleum Industry Bill 2012</w:t>
      </w:r>
    </w:p>
    <w:p w14:paraId="42AB248A">
      <w:pPr>
        <w:spacing w:after="160" w:line="480" w:lineRule="auto"/>
        <w:ind w:left="-90"/>
        <w:rPr>
          <w:rFonts w:eastAsia="Calibri"/>
          <w:bCs/>
        </w:rPr>
      </w:pPr>
      <w:r>
        <w:rPr>
          <w:rFonts w:eastAsia="Calibri"/>
        </w:rPr>
        <w:t>Petroleum Industry Governance Bill 2017</w:t>
      </w:r>
    </w:p>
    <w:p w14:paraId="3AA5906F">
      <w:pPr>
        <w:spacing w:after="160" w:line="480" w:lineRule="auto"/>
        <w:ind w:left="-90"/>
        <w:rPr>
          <w:rFonts w:eastAsia="Calibri"/>
          <w:bCs/>
        </w:rPr>
      </w:pPr>
      <w:r>
        <w:rPr>
          <w:rFonts w:eastAsia="Calibri"/>
          <w:bCs/>
        </w:rPr>
        <w:t>Spring Finance Bill 2023</w:t>
      </w:r>
    </w:p>
    <w:p w14:paraId="7CA2C50B">
      <w:pPr>
        <w:spacing w:after="160" w:line="480" w:lineRule="auto"/>
        <w:ind w:left="-90"/>
        <w:rPr>
          <w:rFonts w:eastAsia="Calibri"/>
          <w:bCs/>
        </w:rPr>
      </w:pPr>
      <w:r>
        <w:rPr>
          <w:rFonts w:eastAsia="Calibri"/>
          <w:bCs/>
        </w:rPr>
        <w:t>Standing Orders of the House of Commons</w:t>
      </w:r>
    </w:p>
    <w:p w14:paraId="0B6E2538">
      <w:pPr>
        <w:spacing w:after="160" w:line="480" w:lineRule="auto"/>
        <w:ind w:left="-90"/>
        <w:rPr>
          <w:rFonts w:eastAsia="Calibri"/>
          <w:bCs/>
        </w:rPr>
      </w:pPr>
      <w:r>
        <w:rPr>
          <w:rFonts w:eastAsia="Calibri"/>
          <w:bCs/>
        </w:rPr>
        <w:t>The Kyoto Protocol,</w:t>
      </w:r>
    </w:p>
    <w:p w14:paraId="1B969051">
      <w:pPr>
        <w:spacing w:after="160" w:line="480" w:lineRule="auto"/>
        <w:ind w:left="-90"/>
        <w:rPr>
          <w:rFonts w:eastAsia="Calibri"/>
          <w:bCs/>
        </w:rPr>
      </w:pPr>
      <w:r>
        <w:rPr>
          <w:rFonts w:eastAsia="Calibri"/>
        </w:rPr>
        <w:t>The Memorandum of Understanding (MOU) between IOC’s and the FG.</w:t>
      </w:r>
    </w:p>
    <w:p w14:paraId="7A2B2506">
      <w:pPr>
        <w:spacing w:after="160" w:line="480" w:lineRule="auto"/>
        <w:ind w:left="-90"/>
        <w:rPr>
          <w:rFonts w:eastAsia="Calibri"/>
          <w:bCs/>
        </w:rPr>
      </w:pPr>
      <w:r>
        <w:rPr>
          <w:rFonts w:eastAsia="Calibri"/>
          <w:bCs/>
        </w:rPr>
        <w:t>The NOGP (National Oil Policy) (2016),</w:t>
      </w:r>
    </w:p>
    <w:p w14:paraId="643860D2">
      <w:pPr>
        <w:pStyle w:val="33"/>
        <w:rPr>
          <w:rFonts w:eastAsia="Calibri"/>
        </w:rPr>
      </w:pPr>
      <w:r>
        <w:rPr>
          <w:rFonts w:eastAsia="Calibri"/>
        </w:rPr>
        <w:t xml:space="preserve"> </w:t>
      </w:r>
    </w:p>
    <w:p w14:paraId="61E74C0D">
      <w:pPr>
        <w:pStyle w:val="33"/>
        <w:rPr>
          <w:rFonts w:eastAsia="Calibri"/>
        </w:rPr>
      </w:pPr>
    </w:p>
    <w:p w14:paraId="015D80EB">
      <w:pPr>
        <w:pStyle w:val="33"/>
        <w:rPr>
          <w:rFonts w:ascii="Times New Roman" w:hAnsi="Times New Roman" w:eastAsia="Calibri"/>
        </w:rPr>
      </w:pPr>
    </w:p>
    <w:p w14:paraId="7B2763F3">
      <w:pPr>
        <w:pStyle w:val="33"/>
        <w:rPr>
          <w:rFonts w:ascii="Times New Roman" w:hAnsi="Times New Roman" w:eastAsia="Arial MT"/>
          <w:color w:val="202024"/>
          <w:sz w:val="24"/>
          <w:szCs w:val="24"/>
        </w:rPr>
      </w:pPr>
    </w:p>
    <w:p w14:paraId="1A140704"/>
    <w:p w14:paraId="68B80303"/>
    <w:p w14:paraId="3C00A4F7"/>
    <w:p w14:paraId="5291D782"/>
    <w:p w14:paraId="2A449DE3"/>
    <w:p w14:paraId="66E1DAC9"/>
    <w:p w14:paraId="0BB6C859"/>
    <w:p w14:paraId="2DDFE6D7"/>
    <w:p w14:paraId="128E082E"/>
    <w:p w14:paraId="422B2C36"/>
    <w:p w14:paraId="33B680A0"/>
    <w:p w14:paraId="469AB1CC"/>
    <w:p w14:paraId="2003880E"/>
    <w:p w14:paraId="58938300"/>
    <w:p w14:paraId="08AAAD5E"/>
    <w:p w14:paraId="4E937B44"/>
    <w:p w14:paraId="358E6711"/>
    <w:p w14:paraId="3FE5A0A9"/>
    <w:p w14:paraId="31326467">
      <w:pPr>
        <w:pStyle w:val="33"/>
        <w:rPr>
          <w:rFonts w:ascii="Times New Roman" w:hAnsi="Times New Roman" w:eastAsia="Arial MT"/>
          <w:color w:val="202024"/>
          <w:sz w:val="24"/>
          <w:szCs w:val="24"/>
        </w:rPr>
      </w:pPr>
    </w:p>
    <w:p w14:paraId="7542A3D9">
      <w:pPr>
        <w:pStyle w:val="33"/>
        <w:rPr>
          <w:rFonts w:ascii="Times New Roman" w:hAnsi="Times New Roman" w:eastAsia="Arial MT"/>
          <w:color w:val="202024"/>
          <w:sz w:val="24"/>
          <w:szCs w:val="24"/>
        </w:rPr>
      </w:pPr>
    </w:p>
    <w:p w14:paraId="1894B345">
      <w:pPr>
        <w:pStyle w:val="33"/>
        <w:rPr>
          <w:rFonts w:ascii="Times New Roman" w:hAnsi="Times New Roman"/>
          <w:color w:val="202024"/>
          <w:sz w:val="28"/>
        </w:rPr>
      </w:pPr>
      <w:r>
        <w:rPr>
          <w:rFonts w:ascii="Times New Roman" w:hAnsi="Times New Roman"/>
          <w:b/>
          <w:color w:val="202024"/>
          <w:sz w:val="28"/>
        </w:rPr>
        <w:t>APPENDIX</w:t>
      </w:r>
      <w:r>
        <w:rPr>
          <w:rFonts w:ascii="Times New Roman" w:hAnsi="Times New Roman"/>
          <w:color w:val="202024"/>
          <w:sz w:val="28"/>
        </w:rPr>
        <w:t xml:space="preserve">  </w:t>
      </w:r>
      <w:bookmarkStart w:id="37" w:name="_Hlk173159754"/>
      <w:r>
        <w:rPr>
          <w:rFonts w:ascii="Times New Roman" w:hAnsi="Times New Roman"/>
          <w:color w:val="202024"/>
          <w:sz w:val="28"/>
        </w:rPr>
        <w:t xml:space="preserve">I </w:t>
      </w:r>
    </w:p>
    <w:bookmarkEnd w:id="37"/>
    <w:p w14:paraId="1BAE263A">
      <w:pPr>
        <w:pStyle w:val="33"/>
        <w:rPr>
          <w:rFonts w:ascii="Arial MT" w:hAnsi="Arial MT" w:eastAsia="Arial MT" w:cs="Arial MT"/>
          <w:color w:val="202024"/>
          <w:sz w:val="48"/>
          <w:szCs w:val="48"/>
        </w:rPr>
      </w:pPr>
    </w:p>
    <w:p w14:paraId="02FD2F7A">
      <w:pPr>
        <w:pStyle w:val="33"/>
        <w:jc w:val="center"/>
        <w:rPr>
          <w:rFonts w:ascii="Times New Roman" w:hAnsi="Times New Roman" w:eastAsia="Arial MT"/>
          <w:b/>
          <w:bCs/>
          <w:sz w:val="48"/>
          <w:szCs w:val="48"/>
        </w:rPr>
      </w:pPr>
      <w:r>
        <w:rPr>
          <w:rFonts w:ascii="Times New Roman" w:hAnsi="Times New Roman" w:eastAsia="Arial MT"/>
          <w:b/>
          <w:bCs/>
          <w:color w:val="202024"/>
          <w:sz w:val="24"/>
          <w:szCs w:val="24"/>
        </w:rPr>
        <w:t>SURVEY</w:t>
      </w:r>
      <w:r>
        <w:rPr>
          <w:rFonts w:ascii="Times New Roman" w:hAnsi="Times New Roman" w:eastAsia="Arial MT"/>
          <w:b/>
          <w:bCs/>
          <w:color w:val="202024"/>
          <w:spacing w:val="-13"/>
          <w:sz w:val="48"/>
          <w:szCs w:val="48"/>
        </w:rPr>
        <w:t xml:space="preserve"> </w:t>
      </w:r>
      <w:r>
        <w:rPr>
          <w:rFonts w:ascii="Times New Roman" w:hAnsi="Times New Roman" w:eastAsia="Arial MT"/>
          <w:b/>
          <w:bCs/>
          <w:color w:val="202024"/>
          <w:sz w:val="24"/>
          <w:szCs w:val="24"/>
        </w:rPr>
        <w:t>QUESTIONNAIRE</w:t>
      </w:r>
    </w:p>
    <w:p w14:paraId="46131BD5">
      <w:pPr>
        <w:widowControl w:val="0"/>
        <w:autoSpaceDE w:val="0"/>
        <w:autoSpaceDN w:val="0"/>
        <w:rPr>
          <w:rFonts w:ascii="Arial MT" w:hAnsi="Arial MT" w:eastAsia="Arial MT" w:cs="Arial MT"/>
          <w:sz w:val="20"/>
        </w:rPr>
      </w:pPr>
    </w:p>
    <w:p w14:paraId="661FA347">
      <w:pPr>
        <w:widowControl w:val="0"/>
        <w:autoSpaceDE w:val="0"/>
        <w:autoSpaceDN w:val="0"/>
        <w:rPr>
          <w:rFonts w:ascii="Arial MT" w:hAnsi="Arial MT" w:eastAsia="Arial MT" w:cs="Arial MT"/>
          <w:sz w:val="20"/>
        </w:rPr>
      </w:pPr>
    </w:p>
    <w:p w14:paraId="66C7D706">
      <w:pPr>
        <w:widowControl w:val="0"/>
        <w:autoSpaceDE w:val="0"/>
        <w:autoSpaceDN w:val="0"/>
        <w:spacing w:before="3"/>
        <w:rPr>
          <w:rFonts w:eastAsia="Arial MT"/>
        </w:rPr>
      </w:pPr>
    </w:p>
    <w:p w14:paraId="1B90E12A">
      <w:pPr>
        <w:widowControl w:val="0"/>
        <w:tabs>
          <w:tab w:val="left" w:pos="602"/>
        </w:tabs>
        <w:autoSpaceDE w:val="0"/>
        <w:autoSpaceDN w:val="0"/>
        <w:spacing w:before="94"/>
        <w:rPr>
          <w:rFonts w:eastAsia="Arial MT"/>
        </w:rPr>
      </w:pPr>
      <w:r>
        <w:rPr>
          <w:rFonts w:eastAsia="Arial MT"/>
          <w:color w:val="202024"/>
        </w:rPr>
        <w:t>1.</w:t>
      </w:r>
      <w:r>
        <w:rPr>
          <w:rFonts w:eastAsia="Arial MT"/>
          <w:color w:val="202024"/>
        </w:rPr>
        <w:tab/>
      </w:r>
      <w:r>
        <w:rPr>
          <w:rFonts w:eastAsia="Arial MT"/>
          <w:color w:val="202024"/>
        </w:rPr>
        <w:t>Email</w:t>
      </w:r>
      <w:r>
        <w:rPr>
          <w:rFonts w:eastAsia="Arial MT"/>
          <w:color w:val="202024"/>
          <w:spacing w:val="-8"/>
        </w:rPr>
        <w:t xml:space="preserve"> </w:t>
      </w:r>
      <w:r>
        <w:rPr>
          <w:rFonts w:eastAsia="Arial MT"/>
          <w:color w:val="D92F25"/>
        </w:rPr>
        <w:t>*</w:t>
      </w:r>
    </w:p>
    <w:p w14:paraId="201AD5E3">
      <w:pPr>
        <w:widowControl w:val="0"/>
        <w:tabs>
          <w:tab w:val="left" w:pos="602"/>
        </w:tabs>
        <w:autoSpaceDE w:val="0"/>
        <w:autoSpaceDN w:val="0"/>
        <w:spacing w:before="94"/>
        <w:rPr>
          <w:rFonts w:ascii="Roboto" w:hAnsi="Arial MT" w:eastAsia="Arial MT" w:cs="Arial MT"/>
          <w:sz w:val="39"/>
        </w:rPr>
      </w:pPr>
      <w:r>
        <mc:AlternateContent>
          <mc:Choice Requires="wps">
            <w:drawing>
              <wp:anchor distT="0" distB="0" distL="0" distR="0" simplePos="0" relativeHeight="251660288" behindDoc="1" locked="0" layoutInCell="1" allowOverlap="1">
                <wp:simplePos x="0" y="0"/>
                <wp:positionH relativeFrom="page">
                  <wp:posOffset>1181100</wp:posOffset>
                </wp:positionH>
                <wp:positionV relativeFrom="paragraph">
                  <wp:posOffset>143510</wp:posOffset>
                </wp:positionV>
                <wp:extent cx="2771775" cy="9525"/>
                <wp:effectExtent l="0" t="0" r="0" b="0"/>
                <wp:wrapTopAndBottom/>
                <wp:docPr id="958934952" name="Rectangle 109"/>
                <wp:cNvGraphicFramePr/>
                <a:graphic xmlns:a="http://schemas.openxmlformats.org/drawingml/2006/main">
                  <a:graphicData uri="http://schemas.microsoft.com/office/word/2010/wordprocessingShape">
                    <wps:wsp>
                      <wps:cNvSpPr>
                        <a:spLocks noChangeArrowheads="1"/>
                      </wps:cNvSpPr>
                      <wps:spPr bwMode="auto">
                        <a:xfrm>
                          <a:off x="0" y="0"/>
                          <a:ext cx="2771775" cy="952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109" o:spid="_x0000_s1026" o:spt="1" style="position:absolute;left:0pt;margin-left:93pt;margin-top:11.3pt;height:0.75pt;width:218.25pt;mso-position-horizontal-relative:page;mso-wrap-distance-bottom:0pt;mso-wrap-distance-top:0pt;z-index:-251656192;mso-width-relative:page;mso-height-relative:page;" fillcolor="#BDC1C6" filled="t" stroked="f" coordsize="21600,21600" o:gfxdata="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1sm1QAAAAkB&#10;AAAPAAAAAAAAAAEAIAAAACIAAABkcnMvZG93bnJldi54bWxQSwECFAAUAAAACACHTuJAJzVHmx4C&#10;AAA/BAAADgAAAAAAAAABACAAAAAkAQAAZHJzL2Uyb0RvYy54bWxQSwUGAAAAAAYABgBZAQAAtAUA&#10;AAAA&#10;">
                <v:fill on="t" focussize="0,0"/>
                <v:stroke on="f"/>
                <v:imagedata o:title=""/>
                <o:lock v:ext="edit" aspectratio="f"/>
                <w10:wrap type="topAndBottom"/>
              </v:rect>
            </w:pict>
          </mc:Fallback>
        </mc:AlternateContent>
      </w:r>
    </w:p>
    <w:p w14:paraId="408C1FD6">
      <w:pPr>
        <w:pStyle w:val="52"/>
        <w:numPr>
          <w:ilvl w:val="0"/>
          <w:numId w:val="13"/>
        </w:numPr>
        <w:rPr>
          <w:rFonts w:ascii="Times New Roman" w:hAnsi="Times New Roman" w:cs="Times New Roman"/>
          <w:sz w:val="24"/>
          <w:szCs w:val="24"/>
        </w:rPr>
      </w:pPr>
      <w:r>
        <w:rPr>
          <w:rFonts w:eastAsia="Arial MT"/>
          <w:color w:val="202024"/>
        </w:rPr>
        <w:tab/>
      </w:r>
      <w:r>
        <w:rPr>
          <w:rFonts w:ascii="Times New Roman" w:hAnsi="Times New Roman" w:cs="Times New Roman"/>
          <w:w w:val="95"/>
          <w:sz w:val="24"/>
          <w:szCs w:val="24"/>
        </w:rPr>
        <w:t>Mark</w:t>
      </w:r>
      <w:r>
        <w:rPr>
          <w:rFonts w:ascii="Times New Roman" w:hAnsi="Times New Roman" w:cs="Times New Roman"/>
          <w:spacing w:val="7"/>
          <w:w w:val="95"/>
          <w:sz w:val="24"/>
          <w:szCs w:val="24"/>
        </w:rPr>
        <w:t xml:space="preserve"> </w:t>
      </w:r>
      <w:r>
        <w:rPr>
          <w:rFonts w:ascii="Times New Roman" w:hAnsi="Times New Roman" w:cs="Times New Roman"/>
          <w:w w:val="95"/>
          <w:sz w:val="24"/>
          <w:szCs w:val="24"/>
        </w:rPr>
        <w:t>only</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one</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oval.</w:t>
      </w:r>
    </w:p>
    <w:p w14:paraId="5AAE1B53">
      <w:pPr>
        <w:widowControl w:val="0"/>
        <w:tabs>
          <w:tab w:val="left" w:pos="720"/>
          <w:tab w:val="left" w:pos="1440"/>
          <w:tab w:val="left" w:pos="2160"/>
          <w:tab w:val="center" w:pos="4720"/>
          <w:tab w:val="left" w:pos="7187"/>
        </w:tabs>
        <w:autoSpaceDE w:val="0"/>
        <w:autoSpaceDN w:val="0"/>
        <w:spacing w:before="9"/>
        <w:rPr>
          <w:rFonts w:eastAsia="Arial MT"/>
          <w:sz w:val="22"/>
          <w:szCs w:val="22"/>
        </w:rPr>
      </w:pPr>
      <w:r>
        <mc:AlternateContent>
          <mc:Choice Requires="wps">
            <w:drawing>
              <wp:anchor distT="0" distB="0" distL="114300" distR="114300" simplePos="0" relativeHeight="251661312" behindDoc="0" locked="0" layoutInCell="1" allowOverlap="1">
                <wp:simplePos x="0" y="0"/>
                <wp:positionH relativeFrom="page">
                  <wp:posOffset>1305560</wp:posOffset>
                </wp:positionH>
                <wp:positionV relativeFrom="paragraph">
                  <wp:posOffset>7620</wp:posOffset>
                </wp:positionV>
                <wp:extent cx="295275" cy="161925"/>
                <wp:effectExtent l="0" t="0" r="9525" b="9525"/>
                <wp:wrapNone/>
                <wp:docPr id="488279868" name="Freeform: Shape 108"/>
                <wp:cNvGraphicFramePr/>
                <a:graphic xmlns:a="http://schemas.openxmlformats.org/drawingml/2006/main">
                  <a:graphicData uri="http://schemas.microsoft.com/office/word/2010/wordprocessingShape">
                    <wps:wsp>
                      <wps:cNvSpPr/>
                      <wps:spPr bwMode="auto">
                        <a:xfrm>
                          <a:off x="0" y="0"/>
                          <a:ext cx="295275" cy="161925"/>
                        </a:xfrm>
                        <a:custGeom>
                          <a:avLst/>
                          <a:gdLst>
                            <a:gd name="T0" fmla="+- 0 1942 1942"/>
                            <a:gd name="T1" fmla="*/ T0 w 465"/>
                            <a:gd name="T2" fmla="+- 0 119 -8"/>
                            <a:gd name="T3" fmla="*/ 119 h 255"/>
                            <a:gd name="T4" fmla="+- 0 1942 1942"/>
                            <a:gd name="T5" fmla="*/ T4 w 465"/>
                            <a:gd name="T6" fmla="+- 0 111 -8"/>
                            <a:gd name="T7" fmla="*/ 111 h 255"/>
                            <a:gd name="T8" fmla="+- 0 1943 1942"/>
                            <a:gd name="T9" fmla="*/ T8 w 465"/>
                            <a:gd name="T10" fmla="+- 0 102 -8"/>
                            <a:gd name="T11" fmla="*/ 102 h 255"/>
                            <a:gd name="T12" fmla="+- 0 1945 1942"/>
                            <a:gd name="T13" fmla="*/ T12 w 465"/>
                            <a:gd name="T14" fmla="+- 0 94 -8"/>
                            <a:gd name="T15" fmla="*/ 94 h 255"/>
                            <a:gd name="T16" fmla="+- 0 1947 1942"/>
                            <a:gd name="T17" fmla="*/ T16 w 465"/>
                            <a:gd name="T18" fmla="+- 0 86 -8"/>
                            <a:gd name="T19" fmla="*/ 86 h 255"/>
                            <a:gd name="T20" fmla="+- 0 1949 1942"/>
                            <a:gd name="T21" fmla="*/ T20 w 465"/>
                            <a:gd name="T22" fmla="+- 0 78 -8"/>
                            <a:gd name="T23" fmla="*/ 78 h 255"/>
                            <a:gd name="T24" fmla="+- 0 1952 1942"/>
                            <a:gd name="T25" fmla="*/ T24 w 465"/>
                            <a:gd name="T26" fmla="+- 0 70 -8"/>
                            <a:gd name="T27" fmla="*/ 70 h 255"/>
                            <a:gd name="T28" fmla="+- 0 1955 1942"/>
                            <a:gd name="T29" fmla="*/ T28 w 465"/>
                            <a:gd name="T30" fmla="+- 0 63 -8"/>
                            <a:gd name="T31" fmla="*/ 63 h 255"/>
                            <a:gd name="T32" fmla="+- 0 1959 1942"/>
                            <a:gd name="T33" fmla="*/ T32 w 465"/>
                            <a:gd name="T34" fmla="+- 0 55 -8"/>
                            <a:gd name="T35" fmla="*/ 55 h 255"/>
                            <a:gd name="T36" fmla="+- 0 1964 1942"/>
                            <a:gd name="T37" fmla="*/ T36 w 465"/>
                            <a:gd name="T38" fmla="+- 0 48 -8"/>
                            <a:gd name="T39" fmla="*/ 48 h 255"/>
                            <a:gd name="T40" fmla="+- 0 1969 1942"/>
                            <a:gd name="T41" fmla="*/ T40 w 465"/>
                            <a:gd name="T42" fmla="+- 0 41 -8"/>
                            <a:gd name="T43" fmla="*/ 41 h 255"/>
                            <a:gd name="T44" fmla="+- 0 1974 1942"/>
                            <a:gd name="T45" fmla="*/ T44 w 465"/>
                            <a:gd name="T46" fmla="+- 0 35 -8"/>
                            <a:gd name="T47" fmla="*/ 35 h 255"/>
                            <a:gd name="T48" fmla="+- 0 1980 1942"/>
                            <a:gd name="T49" fmla="*/ T48 w 465"/>
                            <a:gd name="T50" fmla="+- 0 29 -8"/>
                            <a:gd name="T51" fmla="*/ 29 h 255"/>
                            <a:gd name="T52" fmla="+- 0 1986 1942"/>
                            <a:gd name="T53" fmla="*/ T52 w 465"/>
                            <a:gd name="T54" fmla="+- 0 23 -8"/>
                            <a:gd name="T55" fmla="*/ 23 h 255"/>
                            <a:gd name="T56" fmla="+- 0 1992 1942"/>
                            <a:gd name="T57" fmla="*/ T56 w 465"/>
                            <a:gd name="T58" fmla="+- 0 18 -8"/>
                            <a:gd name="T59" fmla="*/ 18 h 255"/>
                            <a:gd name="T60" fmla="+- 0 1999 1942"/>
                            <a:gd name="T61" fmla="*/ T60 w 465"/>
                            <a:gd name="T62" fmla="+- 0 13 -8"/>
                            <a:gd name="T63" fmla="*/ 13 h 255"/>
                            <a:gd name="T64" fmla="+- 0 2006 1942"/>
                            <a:gd name="T65" fmla="*/ T64 w 465"/>
                            <a:gd name="T66" fmla="+- 0 8 -8"/>
                            <a:gd name="T67" fmla="*/ 8 h 255"/>
                            <a:gd name="T68" fmla="+- 0 2062 1942"/>
                            <a:gd name="T69" fmla="*/ T68 w 465"/>
                            <a:gd name="T70" fmla="+- 0 -8 -8"/>
                            <a:gd name="T71" fmla="*/ -8 h 255"/>
                            <a:gd name="T72" fmla="+- 0 2070 1942"/>
                            <a:gd name="T73" fmla="*/ T72 w 465"/>
                            <a:gd name="T74" fmla="+- 0 -8 -8"/>
                            <a:gd name="T75" fmla="*/ -8 h 255"/>
                            <a:gd name="T76" fmla="+- 0 2280 1942"/>
                            <a:gd name="T77" fmla="*/ T76 w 465"/>
                            <a:gd name="T78" fmla="+- 0 -8 -8"/>
                            <a:gd name="T79" fmla="*/ -8 h 255"/>
                            <a:gd name="T80" fmla="+- 0 2288 1942"/>
                            <a:gd name="T81" fmla="*/ T80 w 465"/>
                            <a:gd name="T82" fmla="+- 0 -8 -8"/>
                            <a:gd name="T83" fmla="*/ -8 h 255"/>
                            <a:gd name="T84" fmla="+- 0 2297 1942"/>
                            <a:gd name="T85" fmla="*/ T84 w 465"/>
                            <a:gd name="T86" fmla="+- 0 -8 -8"/>
                            <a:gd name="T87" fmla="*/ -8 h 255"/>
                            <a:gd name="T88" fmla="+- 0 2358 1942"/>
                            <a:gd name="T89" fmla="*/ T88 w 465"/>
                            <a:gd name="T90" fmla="+- 0 18 -8"/>
                            <a:gd name="T91" fmla="*/ 18 h 255"/>
                            <a:gd name="T92" fmla="+- 0 2370 1942"/>
                            <a:gd name="T93" fmla="*/ T92 w 465"/>
                            <a:gd name="T94" fmla="+- 0 29 -8"/>
                            <a:gd name="T95" fmla="*/ 29 h 255"/>
                            <a:gd name="T96" fmla="+- 0 2376 1942"/>
                            <a:gd name="T97" fmla="*/ T96 w 465"/>
                            <a:gd name="T98" fmla="+- 0 35 -8"/>
                            <a:gd name="T99" fmla="*/ 35 h 255"/>
                            <a:gd name="T100" fmla="+- 0 2381 1942"/>
                            <a:gd name="T101" fmla="*/ T100 w 465"/>
                            <a:gd name="T102" fmla="+- 0 41 -8"/>
                            <a:gd name="T103" fmla="*/ 41 h 255"/>
                            <a:gd name="T104" fmla="+- 0 2386 1942"/>
                            <a:gd name="T105" fmla="*/ T104 w 465"/>
                            <a:gd name="T106" fmla="+- 0 48 -8"/>
                            <a:gd name="T107" fmla="*/ 48 h 255"/>
                            <a:gd name="T108" fmla="+- 0 2391 1942"/>
                            <a:gd name="T109" fmla="*/ T108 w 465"/>
                            <a:gd name="T110" fmla="+- 0 55 -8"/>
                            <a:gd name="T111" fmla="*/ 55 h 255"/>
                            <a:gd name="T112" fmla="+- 0 2395 1942"/>
                            <a:gd name="T113" fmla="*/ T112 w 465"/>
                            <a:gd name="T114" fmla="+- 0 63 -8"/>
                            <a:gd name="T115" fmla="*/ 63 h 255"/>
                            <a:gd name="T116" fmla="+- 0 2398 1942"/>
                            <a:gd name="T117" fmla="*/ T116 w 465"/>
                            <a:gd name="T118" fmla="+- 0 70 -8"/>
                            <a:gd name="T119" fmla="*/ 70 h 255"/>
                            <a:gd name="T120" fmla="+- 0 2401 1942"/>
                            <a:gd name="T121" fmla="*/ T120 w 465"/>
                            <a:gd name="T122" fmla="+- 0 78 -8"/>
                            <a:gd name="T123" fmla="*/ 78 h 255"/>
                            <a:gd name="T124" fmla="+- 0 2403 1942"/>
                            <a:gd name="T125" fmla="*/ T124 w 465"/>
                            <a:gd name="T126" fmla="+- 0 86 -8"/>
                            <a:gd name="T127" fmla="*/ 86 h 255"/>
                            <a:gd name="T128" fmla="+- 0 2405 1942"/>
                            <a:gd name="T129" fmla="*/ T128 w 465"/>
                            <a:gd name="T130" fmla="+- 0 94 -8"/>
                            <a:gd name="T131" fmla="*/ 94 h 255"/>
                            <a:gd name="T132" fmla="+- 0 2407 1942"/>
                            <a:gd name="T133" fmla="*/ T132 w 465"/>
                            <a:gd name="T134" fmla="+- 0 102 -8"/>
                            <a:gd name="T135" fmla="*/ 102 h 255"/>
                            <a:gd name="T136" fmla="+- 0 2407 1942"/>
                            <a:gd name="T137" fmla="*/ T136 w 465"/>
                            <a:gd name="T138" fmla="+- 0 111 -8"/>
                            <a:gd name="T139" fmla="*/ 111 h 255"/>
                            <a:gd name="T140" fmla="+- 0 2407 1942"/>
                            <a:gd name="T141" fmla="*/ T140 w 465"/>
                            <a:gd name="T142" fmla="+- 0 119 -8"/>
                            <a:gd name="T143" fmla="*/ 119 h 255"/>
                            <a:gd name="T144" fmla="+- 0 2407 1942"/>
                            <a:gd name="T145" fmla="*/ T144 w 465"/>
                            <a:gd name="T146" fmla="+- 0 127 -8"/>
                            <a:gd name="T147" fmla="*/ 127 h 255"/>
                            <a:gd name="T148" fmla="+- 0 2386 1942"/>
                            <a:gd name="T149" fmla="*/ T148 w 465"/>
                            <a:gd name="T150" fmla="+- 0 190 -8"/>
                            <a:gd name="T151" fmla="*/ 190 h 255"/>
                            <a:gd name="T152" fmla="+- 0 2337 1942"/>
                            <a:gd name="T153" fmla="*/ T152 w 465"/>
                            <a:gd name="T154" fmla="+- 0 234 -8"/>
                            <a:gd name="T155" fmla="*/ 234 h 255"/>
                            <a:gd name="T156" fmla="+- 0 2305 1942"/>
                            <a:gd name="T157" fmla="*/ T156 w 465"/>
                            <a:gd name="T158" fmla="+- 0 244 -8"/>
                            <a:gd name="T159" fmla="*/ 244 h 255"/>
                            <a:gd name="T160" fmla="+- 0 2297 1942"/>
                            <a:gd name="T161" fmla="*/ T160 w 465"/>
                            <a:gd name="T162" fmla="+- 0 246 -8"/>
                            <a:gd name="T163" fmla="*/ 246 h 255"/>
                            <a:gd name="T164" fmla="+- 0 2288 1942"/>
                            <a:gd name="T165" fmla="*/ T164 w 465"/>
                            <a:gd name="T166" fmla="+- 0 247 -8"/>
                            <a:gd name="T167" fmla="*/ 247 h 255"/>
                            <a:gd name="T168" fmla="+- 0 2280 1942"/>
                            <a:gd name="T169" fmla="*/ T168 w 465"/>
                            <a:gd name="T170" fmla="+- 0 247 -8"/>
                            <a:gd name="T171" fmla="*/ 247 h 255"/>
                            <a:gd name="T172" fmla="+- 0 2070 1942"/>
                            <a:gd name="T173" fmla="*/ T172 w 465"/>
                            <a:gd name="T174" fmla="+- 0 247 -8"/>
                            <a:gd name="T175" fmla="*/ 247 h 255"/>
                            <a:gd name="T176" fmla="+- 0 2062 1942"/>
                            <a:gd name="T177" fmla="*/ T176 w 465"/>
                            <a:gd name="T178" fmla="+- 0 247 -8"/>
                            <a:gd name="T179" fmla="*/ 247 h 255"/>
                            <a:gd name="T180" fmla="+- 0 2053 1942"/>
                            <a:gd name="T181" fmla="*/ T180 w 465"/>
                            <a:gd name="T182" fmla="+- 0 246 -8"/>
                            <a:gd name="T183" fmla="*/ 246 h 255"/>
                            <a:gd name="T184" fmla="+- 0 2045 1942"/>
                            <a:gd name="T185" fmla="*/ T184 w 465"/>
                            <a:gd name="T186" fmla="+- 0 244 -8"/>
                            <a:gd name="T187" fmla="*/ 244 h 255"/>
                            <a:gd name="T188" fmla="+- 0 2037 1942"/>
                            <a:gd name="T189" fmla="*/ T188 w 465"/>
                            <a:gd name="T190" fmla="+- 0 242 -8"/>
                            <a:gd name="T191" fmla="*/ 242 h 255"/>
                            <a:gd name="T192" fmla="+- 0 1999 1942"/>
                            <a:gd name="T193" fmla="*/ T192 w 465"/>
                            <a:gd name="T194" fmla="+- 0 225 -8"/>
                            <a:gd name="T195" fmla="*/ 225 h 255"/>
                            <a:gd name="T196" fmla="+- 0 1992 1942"/>
                            <a:gd name="T197" fmla="*/ T196 w 465"/>
                            <a:gd name="T198" fmla="+- 0 220 -8"/>
                            <a:gd name="T199" fmla="*/ 220 h 255"/>
                            <a:gd name="T200" fmla="+- 0 1952 1942"/>
                            <a:gd name="T201" fmla="*/ T200 w 465"/>
                            <a:gd name="T202" fmla="+- 0 168 -8"/>
                            <a:gd name="T203" fmla="*/ 168 h 255"/>
                            <a:gd name="T204" fmla="+- 0 1945 1942"/>
                            <a:gd name="T205" fmla="*/ T204 w 465"/>
                            <a:gd name="T206" fmla="+- 0 144 -8"/>
                            <a:gd name="T207" fmla="*/ 144 h 255"/>
                            <a:gd name="T208" fmla="+- 0 1943 1942"/>
                            <a:gd name="T209" fmla="*/ T208 w 465"/>
                            <a:gd name="T210" fmla="+- 0 136 -8"/>
                            <a:gd name="T211" fmla="*/ 136 h 255"/>
                            <a:gd name="T212" fmla="+- 0 1942 1942"/>
                            <a:gd name="T213" fmla="*/ T212 w 465"/>
                            <a:gd name="T214" fmla="+- 0 127 -8"/>
                            <a:gd name="T215" fmla="*/ 127 h 255"/>
                            <a:gd name="T216" fmla="+- 0 1942 1942"/>
                            <a:gd name="T217" fmla="*/ T216 w 465"/>
                            <a:gd name="T218" fmla="+- 0 119 -8"/>
                            <a:gd name="T219"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5" h="255">
                              <a:moveTo>
                                <a:pt x="0" y="127"/>
                              </a:moveTo>
                              <a:lnTo>
                                <a:pt x="0" y="119"/>
                              </a:lnTo>
                              <a:lnTo>
                                <a:pt x="1" y="110"/>
                              </a:lnTo>
                              <a:lnTo>
                                <a:pt x="3" y="102"/>
                              </a:lnTo>
                              <a:lnTo>
                                <a:pt x="5" y="94"/>
                              </a:lnTo>
                              <a:lnTo>
                                <a:pt x="7" y="86"/>
                              </a:lnTo>
                              <a:lnTo>
                                <a:pt x="10" y="78"/>
                              </a:lnTo>
                              <a:lnTo>
                                <a:pt x="13" y="71"/>
                              </a:lnTo>
                              <a:lnTo>
                                <a:pt x="17" y="63"/>
                              </a:lnTo>
                              <a:lnTo>
                                <a:pt x="22" y="56"/>
                              </a:lnTo>
                              <a:lnTo>
                                <a:pt x="27" y="49"/>
                              </a:lnTo>
                              <a:lnTo>
                                <a:pt x="32" y="43"/>
                              </a:lnTo>
                              <a:lnTo>
                                <a:pt x="38" y="37"/>
                              </a:lnTo>
                              <a:lnTo>
                                <a:pt x="44" y="31"/>
                              </a:lnTo>
                              <a:lnTo>
                                <a:pt x="50" y="26"/>
                              </a:lnTo>
                              <a:lnTo>
                                <a:pt x="57" y="21"/>
                              </a:lnTo>
                              <a:lnTo>
                                <a:pt x="64" y="16"/>
                              </a:lnTo>
                              <a:lnTo>
                                <a:pt x="120" y="0"/>
                              </a:lnTo>
                              <a:lnTo>
                                <a:pt x="128" y="0"/>
                              </a:lnTo>
                              <a:lnTo>
                                <a:pt x="338" y="0"/>
                              </a:lnTo>
                              <a:lnTo>
                                <a:pt x="346" y="0"/>
                              </a:lnTo>
                              <a:lnTo>
                                <a:pt x="355" y="0"/>
                              </a:lnTo>
                              <a:lnTo>
                                <a:pt x="416" y="26"/>
                              </a:lnTo>
                              <a:lnTo>
                                <a:pt x="428" y="37"/>
                              </a:lnTo>
                              <a:lnTo>
                                <a:pt x="434" y="43"/>
                              </a:lnTo>
                              <a:lnTo>
                                <a:pt x="439" y="49"/>
                              </a:lnTo>
                              <a:lnTo>
                                <a:pt x="444" y="56"/>
                              </a:lnTo>
                              <a:lnTo>
                                <a:pt x="449" y="63"/>
                              </a:lnTo>
                              <a:lnTo>
                                <a:pt x="453" y="71"/>
                              </a:lnTo>
                              <a:lnTo>
                                <a:pt x="456" y="78"/>
                              </a:lnTo>
                              <a:lnTo>
                                <a:pt x="459" y="86"/>
                              </a:lnTo>
                              <a:lnTo>
                                <a:pt x="461" y="94"/>
                              </a:lnTo>
                              <a:lnTo>
                                <a:pt x="463" y="102"/>
                              </a:lnTo>
                              <a:lnTo>
                                <a:pt x="465" y="110"/>
                              </a:lnTo>
                              <a:lnTo>
                                <a:pt x="465" y="119"/>
                              </a:lnTo>
                              <a:lnTo>
                                <a:pt x="465" y="127"/>
                              </a:lnTo>
                              <a:lnTo>
                                <a:pt x="465" y="135"/>
                              </a:lnTo>
                              <a:lnTo>
                                <a:pt x="444" y="198"/>
                              </a:lnTo>
                              <a:lnTo>
                                <a:pt x="395" y="242"/>
                              </a:lnTo>
                              <a:lnTo>
                                <a:pt x="363" y="252"/>
                              </a:lnTo>
                              <a:lnTo>
                                <a:pt x="355" y="254"/>
                              </a:lnTo>
                              <a:lnTo>
                                <a:pt x="346" y="255"/>
                              </a:lnTo>
                              <a:lnTo>
                                <a:pt x="338" y="255"/>
                              </a:lnTo>
                              <a:lnTo>
                                <a:pt x="128" y="255"/>
                              </a:lnTo>
                              <a:lnTo>
                                <a:pt x="120" y="255"/>
                              </a:lnTo>
                              <a:lnTo>
                                <a:pt x="111" y="254"/>
                              </a:lnTo>
                              <a:lnTo>
                                <a:pt x="103" y="252"/>
                              </a:lnTo>
                              <a:lnTo>
                                <a:pt x="95" y="250"/>
                              </a:lnTo>
                              <a:lnTo>
                                <a:pt x="57" y="233"/>
                              </a:lnTo>
                              <a:lnTo>
                                <a:pt x="50" y="228"/>
                              </a:lnTo>
                              <a:lnTo>
                                <a:pt x="10" y="176"/>
                              </a:lnTo>
                              <a:lnTo>
                                <a:pt x="3" y="152"/>
                              </a:lnTo>
                              <a:lnTo>
                                <a:pt x="1" y="144"/>
                              </a:lnTo>
                              <a:lnTo>
                                <a:pt x="0" y="135"/>
                              </a:lnTo>
                              <a:lnTo>
                                <a:pt x="0" y="127"/>
                              </a:lnTo>
                              <a:close/>
                            </a:path>
                          </a:pathLst>
                        </a:custGeom>
                        <a:noFill/>
                        <a:ln w="9525">
                          <a:solidFill>
                            <a:srgbClr val="99A0A6"/>
                          </a:solidFill>
                          <a:prstDash val="solid"/>
                          <a:round/>
                        </a:ln>
                        <a:effectLst/>
                      </wps:spPr>
                      <wps:bodyPr rot="0" vert="horz" wrap="square" lIns="91440" tIns="45720" rIns="91440" bIns="45720" anchor="t" anchorCtr="0" upright="1">
                        <a:noAutofit/>
                      </wps:bodyPr>
                    </wps:wsp>
                  </a:graphicData>
                </a:graphic>
              </wp:anchor>
            </w:drawing>
          </mc:Choice>
          <mc:Fallback>
            <w:pict>
              <v:shape id="Freeform: Shape 108" o:spid="_x0000_s1026" o:spt="100" style="position:absolute;left:0pt;margin-left:102.8pt;margin-top:0.6pt;height:12.75pt;width:23.25pt;mso-position-horizontal-relative:page;z-index:251661312;mso-width-relative:page;mso-height-relative:page;" filled="f" stroked="t" coordsize="465,255" o:gfxdata="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" path="m0,127l0,119,1,110,3,102,5,94,7,86,10,78,13,71,17,63,22,56,27,49,32,43,38,37,44,31,50,26,57,21,64,16,120,0,128,0,338,0,346,0,355,0,416,26,428,37,434,43,439,49,444,56,449,63,453,71,456,78,459,86,461,94,463,102,465,110,465,119,465,127,465,135,444,198,395,242,363,252,355,254,346,255,338,255,128,255,120,255,111,254,103,252,95,250,57,233,50,228,10,176,3,152,1,144,0,135,0,127xe">
                <v:path o:connectlocs="0,75565;0,70485;635,64770;1905,59690;3175,54610;4445,49530;6350,44450;8255,40005;10795,34925;13970,30480;17145,26035;20320,22225;24130,18415;27940,14605;31750,11430;36195,8255;40640,5080;76200,-5080;81280,-5080;214630,-5080;219710,-5080;225425,-5080;264160,11430;271780,18415;275590,22225;278765,26035;281940,30480;285115,34925;287655,40005;289560,44450;291465,49530;292735,54610;294005,59690;295275,64770;295275,70485;295275,75565;295275,80645;281940,120650;250825,148590;230505,154940;225425,156210;219710,156845;214630,156845;81280,156845;76200,156845;70485,156210;65405,154940;60325,153670;36195,142875;31750,139700;6350,106680;1905,91440;635,86360;0,80645;0,75565" o:connectangles="0,0,0,0,0,0,0,0,0,0,0,0,0,0,0,0,0,0,0,0,0,0,0,0,0,0,0,0,0,0,0,0,0,0,0,0,0,0,0,0,0,0,0,0,0,0,0,0,0,0,0,0,0,0,0"/>
                <v:fill on="f" focussize="0,0"/>
                <v:stroke color="#99A0A6" joinstyle="round"/>
                <v:imagedata o:title=""/>
                <o:lock v:ext="edit" aspectratio="f"/>
              </v:shape>
            </w:pict>
          </mc:Fallback>
        </mc:AlternateContent>
      </w:r>
      <w:r>
        <w:rPr>
          <w:rFonts w:ascii="Roboto" w:hAnsi="Arial MT" w:eastAsia="Arial MT" w:cs="Arial MT"/>
          <w:i/>
          <w:sz w:val="28"/>
        </w:rPr>
        <w:tab/>
      </w:r>
      <w:r>
        <w:rPr>
          <w:rFonts w:ascii="Roboto" w:hAnsi="Arial MT" w:eastAsia="Arial MT" w:cs="Arial MT"/>
          <w:i/>
          <w:sz w:val="28"/>
        </w:rPr>
        <w:t xml:space="preserve">          </w:t>
      </w:r>
      <w:r>
        <w:rPr>
          <w:rFonts w:eastAsia="Arial MT"/>
          <w:color w:val="202024"/>
        </w:rPr>
        <w:t>Option</w:t>
      </w:r>
      <w:r>
        <w:rPr>
          <w:rFonts w:eastAsia="Arial MT"/>
          <w:color w:val="202024"/>
          <w:spacing w:val="-5"/>
          <w:sz w:val="22"/>
          <w:szCs w:val="22"/>
        </w:rPr>
        <w:t xml:space="preserve"> </w:t>
      </w:r>
      <w:r>
        <w:rPr>
          <w:rFonts w:eastAsia="Arial MT"/>
          <w:color w:val="202024"/>
          <w:sz w:val="22"/>
          <w:szCs w:val="22"/>
        </w:rPr>
        <w:t>1</w:t>
      </w:r>
      <w:r>
        <w:rPr>
          <w:rFonts w:eastAsia="Arial MT"/>
          <w:color w:val="202024"/>
          <w:sz w:val="22"/>
          <w:szCs w:val="22"/>
        </w:rPr>
        <w:tab/>
      </w:r>
      <w:r>
        <w:rPr>
          <w:rFonts w:eastAsia="Arial MT"/>
          <w:color w:val="202024"/>
          <w:sz w:val="22"/>
          <w:szCs w:val="22"/>
        </w:rPr>
        <w:tab/>
      </w:r>
    </w:p>
    <w:p w14:paraId="645B1D09">
      <w:pPr>
        <w:widowControl w:val="0"/>
        <w:autoSpaceDE w:val="0"/>
        <w:autoSpaceDN w:val="0"/>
        <w:ind w:right="6750"/>
        <w:jc w:val="center"/>
        <w:rPr>
          <w:rFonts w:ascii="Roboto" w:hAnsi="Arial MT" w:eastAsia="Arial MT" w:cs="Arial MT"/>
          <w:sz w:val="34"/>
        </w:rPr>
      </w:pPr>
    </w:p>
    <w:p w14:paraId="1675D2F7">
      <w:pPr>
        <w:pStyle w:val="52"/>
        <w:numPr>
          <w:ilvl w:val="0"/>
          <w:numId w:val="13"/>
        </w:numPr>
        <w:rPr>
          <w:rFonts w:ascii="Times New Roman" w:hAnsi="Times New Roman" w:cs="Times New Roman"/>
          <w:i/>
          <w:sz w:val="24"/>
          <w:szCs w:val="24"/>
        </w:rPr>
      </w:pPr>
      <w:r>
        <w:rPr>
          <w:rFonts w:ascii="Times New Roman" w:hAnsi="Times New Roman" w:eastAsia="Arial MT" w:cs="Times New Roman"/>
          <w:color w:val="202024"/>
          <w:sz w:val="24"/>
          <w:szCs w:val="24"/>
        </w:rPr>
        <w:tab/>
      </w:r>
      <w:r>
        <w:rPr>
          <w:rFonts w:ascii="Times New Roman" w:hAnsi="Times New Roman" w:cs="Times New Roman"/>
          <w:iCs/>
          <w:w w:val="95"/>
          <w:sz w:val="24"/>
          <w:szCs w:val="24"/>
        </w:rPr>
        <w:t>Mark</w:t>
      </w:r>
      <w:r>
        <w:rPr>
          <w:rFonts w:ascii="Times New Roman" w:hAnsi="Times New Roman" w:cs="Times New Roman"/>
          <w:i/>
          <w:spacing w:val="7"/>
          <w:w w:val="95"/>
          <w:sz w:val="24"/>
          <w:szCs w:val="24"/>
        </w:rPr>
        <w:t xml:space="preserve"> </w:t>
      </w:r>
      <w:r>
        <w:rPr>
          <w:rFonts w:ascii="Times New Roman" w:hAnsi="Times New Roman" w:cs="Times New Roman"/>
          <w:iCs/>
          <w:w w:val="95"/>
          <w:sz w:val="24"/>
          <w:szCs w:val="24"/>
        </w:rPr>
        <w:t>only</w:t>
      </w:r>
      <w:r>
        <w:rPr>
          <w:rFonts w:ascii="Times New Roman" w:hAnsi="Times New Roman" w:cs="Times New Roman"/>
          <w:iCs/>
          <w:spacing w:val="8"/>
          <w:w w:val="95"/>
          <w:sz w:val="24"/>
          <w:szCs w:val="24"/>
        </w:rPr>
        <w:t xml:space="preserve"> </w:t>
      </w:r>
      <w:r>
        <w:rPr>
          <w:rFonts w:ascii="Times New Roman" w:hAnsi="Times New Roman" w:cs="Times New Roman"/>
          <w:iCs/>
          <w:w w:val="95"/>
          <w:sz w:val="24"/>
          <w:szCs w:val="24"/>
        </w:rPr>
        <w:t>one</w:t>
      </w:r>
      <w:r>
        <w:rPr>
          <w:rFonts w:ascii="Times New Roman" w:hAnsi="Times New Roman" w:cs="Times New Roman"/>
          <w:iCs/>
          <w:spacing w:val="8"/>
          <w:w w:val="95"/>
          <w:sz w:val="24"/>
          <w:szCs w:val="24"/>
        </w:rPr>
        <w:t xml:space="preserve"> </w:t>
      </w:r>
      <w:r>
        <w:rPr>
          <w:rFonts w:ascii="Times New Roman" w:hAnsi="Times New Roman" w:cs="Times New Roman"/>
          <w:iCs/>
          <w:w w:val="95"/>
          <w:sz w:val="24"/>
          <w:szCs w:val="24"/>
        </w:rPr>
        <w:t>oval.</w:t>
      </w:r>
    </w:p>
    <w:p w14:paraId="412B0866">
      <w:pPr>
        <w:widowControl w:val="0"/>
        <w:tabs>
          <w:tab w:val="left" w:pos="404"/>
          <w:tab w:val="center" w:pos="1345"/>
          <w:tab w:val="right" w:pos="2690"/>
        </w:tabs>
        <w:autoSpaceDE w:val="0"/>
        <w:autoSpaceDN w:val="0"/>
        <w:ind w:right="6750"/>
        <w:rPr>
          <w:rFonts w:eastAsia="Arial MT"/>
        </w:rPr>
      </w:pPr>
      <w:r>
        <mc:AlternateContent>
          <mc:Choice Requires="wps">
            <w:drawing>
              <wp:anchor distT="0" distB="0" distL="114300" distR="114300" simplePos="0" relativeHeight="251662336" behindDoc="0" locked="0" layoutInCell="1" allowOverlap="1">
                <wp:simplePos x="0" y="0"/>
                <wp:positionH relativeFrom="page">
                  <wp:posOffset>1233170</wp:posOffset>
                </wp:positionH>
                <wp:positionV relativeFrom="paragraph">
                  <wp:posOffset>-5080</wp:posOffset>
                </wp:positionV>
                <wp:extent cx="295275" cy="161925"/>
                <wp:effectExtent l="0" t="0" r="9525" b="9525"/>
                <wp:wrapNone/>
                <wp:docPr id="1346708700" name="Freeform: Shape 107"/>
                <wp:cNvGraphicFramePr/>
                <a:graphic xmlns:a="http://schemas.openxmlformats.org/drawingml/2006/main">
                  <a:graphicData uri="http://schemas.microsoft.com/office/word/2010/wordprocessingShape">
                    <wps:wsp>
                      <wps:cNvSpPr/>
                      <wps:spPr bwMode="auto">
                        <a:xfrm>
                          <a:off x="0" y="0"/>
                          <a:ext cx="295275" cy="161925"/>
                        </a:xfrm>
                        <a:custGeom>
                          <a:avLst/>
                          <a:gdLst>
                            <a:gd name="T0" fmla="+- 0 1942 1942"/>
                            <a:gd name="T1" fmla="*/ T0 w 465"/>
                            <a:gd name="T2" fmla="+- 0 119 -8"/>
                            <a:gd name="T3" fmla="*/ 119 h 255"/>
                            <a:gd name="T4" fmla="+- 0 1952 1942"/>
                            <a:gd name="T5" fmla="*/ T4 w 465"/>
                            <a:gd name="T6" fmla="+- 0 70 -8"/>
                            <a:gd name="T7" fmla="*/ 70 h 255"/>
                            <a:gd name="T8" fmla="+- 0 1955 1942"/>
                            <a:gd name="T9" fmla="*/ T8 w 465"/>
                            <a:gd name="T10" fmla="+- 0 63 -8"/>
                            <a:gd name="T11" fmla="*/ 63 h 255"/>
                            <a:gd name="T12" fmla="+- 0 1959 1942"/>
                            <a:gd name="T13" fmla="*/ T12 w 465"/>
                            <a:gd name="T14" fmla="+- 0 55 -8"/>
                            <a:gd name="T15" fmla="*/ 55 h 255"/>
                            <a:gd name="T16" fmla="+- 0 1964 1942"/>
                            <a:gd name="T17" fmla="*/ T16 w 465"/>
                            <a:gd name="T18" fmla="+- 0 48 -8"/>
                            <a:gd name="T19" fmla="*/ 48 h 255"/>
                            <a:gd name="T20" fmla="+- 0 1969 1942"/>
                            <a:gd name="T21" fmla="*/ T20 w 465"/>
                            <a:gd name="T22" fmla="+- 0 41 -8"/>
                            <a:gd name="T23" fmla="*/ 41 h 255"/>
                            <a:gd name="T24" fmla="+- 0 1974 1942"/>
                            <a:gd name="T25" fmla="*/ T24 w 465"/>
                            <a:gd name="T26" fmla="+- 0 35 -8"/>
                            <a:gd name="T27" fmla="*/ 35 h 255"/>
                            <a:gd name="T28" fmla="+- 0 1980 1942"/>
                            <a:gd name="T29" fmla="*/ T28 w 465"/>
                            <a:gd name="T30" fmla="+- 0 29 -8"/>
                            <a:gd name="T31" fmla="*/ 29 h 255"/>
                            <a:gd name="T32" fmla="+- 0 1986 1942"/>
                            <a:gd name="T33" fmla="*/ T32 w 465"/>
                            <a:gd name="T34" fmla="+- 0 23 -8"/>
                            <a:gd name="T35" fmla="*/ 23 h 255"/>
                            <a:gd name="T36" fmla="+- 0 2045 1942"/>
                            <a:gd name="T37" fmla="*/ T36 w 465"/>
                            <a:gd name="T38" fmla="+- 0 -6 -8"/>
                            <a:gd name="T39" fmla="*/ -6 h 255"/>
                            <a:gd name="T40" fmla="+- 0 2053 1942"/>
                            <a:gd name="T41" fmla="*/ T40 w 465"/>
                            <a:gd name="T42" fmla="+- 0 -8 -8"/>
                            <a:gd name="T43" fmla="*/ -8 h 255"/>
                            <a:gd name="T44" fmla="+- 0 2062 1942"/>
                            <a:gd name="T45" fmla="*/ T44 w 465"/>
                            <a:gd name="T46" fmla="+- 0 -8 -8"/>
                            <a:gd name="T47" fmla="*/ -8 h 255"/>
                            <a:gd name="T48" fmla="+- 0 2070 1942"/>
                            <a:gd name="T49" fmla="*/ T48 w 465"/>
                            <a:gd name="T50" fmla="+- 0 -8 -8"/>
                            <a:gd name="T51" fmla="*/ -8 h 255"/>
                            <a:gd name="T52" fmla="+- 0 2280 1942"/>
                            <a:gd name="T53" fmla="*/ T52 w 465"/>
                            <a:gd name="T54" fmla="+- 0 -8 -8"/>
                            <a:gd name="T55" fmla="*/ -8 h 255"/>
                            <a:gd name="T56" fmla="+- 0 2288 1942"/>
                            <a:gd name="T57" fmla="*/ T56 w 465"/>
                            <a:gd name="T58" fmla="+- 0 -8 -8"/>
                            <a:gd name="T59" fmla="*/ -8 h 255"/>
                            <a:gd name="T60" fmla="+- 0 2297 1942"/>
                            <a:gd name="T61" fmla="*/ T60 w 465"/>
                            <a:gd name="T62" fmla="+- 0 -8 -8"/>
                            <a:gd name="T63" fmla="*/ -8 h 255"/>
                            <a:gd name="T64" fmla="+- 0 2305 1942"/>
                            <a:gd name="T65" fmla="*/ T64 w 465"/>
                            <a:gd name="T66" fmla="+- 0 -6 -8"/>
                            <a:gd name="T67" fmla="*/ -6 h 255"/>
                            <a:gd name="T68" fmla="+- 0 2313 1942"/>
                            <a:gd name="T69" fmla="*/ T68 w 465"/>
                            <a:gd name="T70" fmla="+- 0 -4 -8"/>
                            <a:gd name="T71" fmla="*/ -4 h 255"/>
                            <a:gd name="T72" fmla="+- 0 2370 1942"/>
                            <a:gd name="T73" fmla="*/ T72 w 465"/>
                            <a:gd name="T74" fmla="+- 0 29 -8"/>
                            <a:gd name="T75" fmla="*/ 29 h 255"/>
                            <a:gd name="T76" fmla="+- 0 2376 1942"/>
                            <a:gd name="T77" fmla="*/ T76 w 465"/>
                            <a:gd name="T78" fmla="+- 0 35 -8"/>
                            <a:gd name="T79" fmla="*/ 35 h 255"/>
                            <a:gd name="T80" fmla="+- 0 2381 1942"/>
                            <a:gd name="T81" fmla="*/ T80 w 465"/>
                            <a:gd name="T82" fmla="+- 0 41 -8"/>
                            <a:gd name="T83" fmla="*/ 41 h 255"/>
                            <a:gd name="T84" fmla="+- 0 2386 1942"/>
                            <a:gd name="T85" fmla="*/ T84 w 465"/>
                            <a:gd name="T86" fmla="+- 0 48 -8"/>
                            <a:gd name="T87" fmla="*/ 48 h 255"/>
                            <a:gd name="T88" fmla="+- 0 2391 1942"/>
                            <a:gd name="T89" fmla="*/ T88 w 465"/>
                            <a:gd name="T90" fmla="+- 0 55 -8"/>
                            <a:gd name="T91" fmla="*/ 55 h 255"/>
                            <a:gd name="T92" fmla="+- 0 2407 1942"/>
                            <a:gd name="T93" fmla="*/ T92 w 465"/>
                            <a:gd name="T94" fmla="+- 0 111 -8"/>
                            <a:gd name="T95" fmla="*/ 111 h 255"/>
                            <a:gd name="T96" fmla="+- 0 2407 1942"/>
                            <a:gd name="T97" fmla="*/ T96 w 465"/>
                            <a:gd name="T98" fmla="+- 0 119 -8"/>
                            <a:gd name="T99" fmla="*/ 119 h 255"/>
                            <a:gd name="T100" fmla="+- 0 2407 1942"/>
                            <a:gd name="T101" fmla="*/ T100 w 465"/>
                            <a:gd name="T102" fmla="+- 0 127 -8"/>
                            <a:gd name="T103" fmla="*/ 127 h 255"/>
                            <a:gd name="T104" fmla="+- 0 2407 1942"/>
                            <a:gd name="T105" fmla="*/ T104 w 465"/>
                            <a:gd name="T106" fmla="+- 0 136 -8"/>
                            <a:gd name="T107" fmla="*/ 136 h 255"/>
                            <a:gd name="T108" fmla="+- 0 2405 1942"/>
                            <a:gd name="T109" fmla="*/ T108 w 465"/>
                            <a:gd name="T110" fmla="+- 0 144 -8"/>
                            <a:gd name="T111" fmla="*/ 144 h 255"/>
                            <a:gd name="T112" fmla="+- 0 2403 1942"/>
                            <a:gd name="T113" fmla="*/ T112 w 465"/>
                            <a:gd name="T114" fmla="+- 0 152 -8"/>
                            <a:gd name="T115" fmla="*/ 152 h 255"/>
                            <a:gd name="T116" fmla="+- 0 2401 1942"/>
                            <a:gd name="T117" fmla="*/ T116 w 465"/>
                            <a:gd name="T118" fmla="+- 0 160 -8"/>
                            <a:gd name="T119" fmla="*/ 160 h 255"/>
                            <a:gd name="T120" fmla="+- 0 2398 1942"/>
                            <a:gd name="T121" fmla="*/ T120 w 465"/>
                            <a:gd name="T122" fmla="+- 0 168 -8"/>
                            <a:gd name="T123" fmla="*/ 168 h 255"/>
                            <a:gd name="T124" fmla="+- 0 2395 1942"/>
                            <a:gd name="T125" fmla="*/ T124 w 465"/>
                            <a:gd name="T126" fmla="+- 0 176 -8"/>
                            <a:gd name="T127" fmla="*/ 176 h 255"/>
                            <a:gd name="T128" fmla="+- 0 2351 1942"/>
                            <a:gd name="T129" fmla="*/ T128 w 465"/>
                            <a:gd name="T130" fmla="+- 0 225 -8"/>
                            <a:gd name="T131" fmla="*/ 225 h 255"/>
                            <a:gd name="T132" fmla="+- 0 2344 1942"/>
                            <a:gd name="T133" fmla="*/ T132 w 465"/>
                            <a:gd name="T134" fmla="+- 0 230 -8"/>
                            <a:gd name="T135" fmla="*/ 230 h 255"/>
                            <a:gd name="T136" fmla="+- 0 2305 1942"/>
                            <a:gd name="T137" fmla="*/ T136 w 465"/>
                            <a:gd name="T138" fmla="+- 0 244 -8"/>
                            <a:gd name="T139" fmla="*/ 244 h 255"/>
                            <a:gd name="T140" fmla="+- 0 2297 1942"/>
                            <a:gd name="T141" fmla="*/ T140 w 465"/>
                            <a:gd name="T142" fmla="+- 0 246 -8"/>
                            <a:gd name="T143" fmla="*/ 246 h 255"/>
                            <a:gd name="T144" fmla="+- 0 2288 1942"/>
                            <a:gd name="T145" fmla="*/ T144 w 465"/>
                            <a:gd name="T146" fmla="+- 0 247 -8"/>
                            <a:gd name="T147" fmla="*/ 247 h 255"/>
                            <a:gd name="T148" fmla="+- 0 2280 1942"/>
                            <a:gd name="T149" fmla="*/ T148 w 465"/>
                            <a:gd name="T150" fmla="+- 0 247 -8"/>
                            <a:gd name="T151" fmla="*/ 247 h 255"/>
                            <a:gd name="T152" fmla="+- 0 2070 1942"/>
                            <a:gd name="T153" fmla="*/ T152 w 465"/>
                            <a:gd name="T154" fmla="+- 0 247 -8"/>
                            <a:gd name="T155" fmla="*/ 247 h 255"/>
                            <a:gd name="T156" fmla="+- 0 2006 1942"/>
                            <a:gd name="T157" fmla="*/ T156 w 465"/>
                            <a:gd name="T158" fmla="+- 0 230 -8"/>
                            <a:gd name="T159" fmla="*/ 230 h 255"/>
                            <a:gd name="T160" fmla="+- 0 1999 1942"/>
                            <a:gd name="T161" fmla="*/ T160 w 465"/>
                            <a:gd name="T162" fmla="+- 0 225 -8"/>
                            <a:gd name="T163" fmla="*/ 225 h 255"/>
                            <a:gd name="T164" fmla="+- 0 1992 1942"/>
                            <a:gd name="T165" fmla="*/ T164 w 465"/>
                            <a:gd name="T166" fmla="+- 0 220 -8"/>
                            <a:gd name="T167" fmla="*/ 220 h 255"/>
                            <a:gd name="T168" fmla="+- 0 1952 1942"/>
                            <a:gd name="T169" fmla="*/ T168 w 465"/>
                            <a:gd name="T170" fmla="+- 0 168 -8"/>
                            <a:gd name="T171" fmla="*/ 168 h 255"/>
                            <a:gd name="T172" fmla="+- 0 1949 1942"/>
                            <a:gd name="T173" fmla="*/ T172 w 465"/>
                            <a:gd name="T174" fmla="+- 0 160 -8"/>
                            <a:gd name="T175" fmla="*/ 160 h 255"/>
                            <a:gd name="T176" fmla="+- 0 1947 1942"/>
                            <a:gd name="T177" fmla="*/ T176 w 465"/>
                            <a:gd name="T178" fmla="+- 0 152 -8"/>
                            <a:gd name="T179" fmla="*/ 152 h 255"/>
                            <a:gd name="T180" fmla="+- 0 1945 1942"/>
                            <a:gd name="T181" fmla="*/ T180 w 465"/>
                            <a:gd name="T182" fmla="+- 0 144 -8"/>
                            <a:gd name="T183" fmla="*/ 144 h 255"/>
                            <a:gd name="T184" fmla="+- 0 1943 1942"/>
                            <a:gd name="T185" fmla="*/ T184 w 465"/>
                            <a:gd name="T186" fmla="+- 0 136 -8"/>
                            <a:gd name="T187" fmla="*/ 136 h 255"/>
                            <a:gd name="T188" fmla="+- 0 1942 1942"/>
                            <a:gd name="T189" fmla="*/ T188 w 465"/>
                            <a:gd name="T190" fmla="+- 0 127 -8"/>
                            <a:gd name="T191" fmla="*/ 127 h 255"/>
                            <a:gd name="T192" fmla="+- 0 1942 1942"/>
                            <a:gd name="T193" fmla="*/ T192 w 465"/>
                            <a:gd name="T194" fmla="+- 0 119 -8"/>
                            <a:gd name="T195"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5" h="255">
                              <a:moveTo>
                                <a:pt x="0" y="127"/>
                              </a:moveTo>
                              <a:lnTo>
                                <a:pt x="10" y="78"/>
                              </a:lnTo>
                              <a:lnTo>
                                <a:pt x="13" y="71"/>
                              </a:lnTo>
                              <a:lnTo>
                                <a:pt x="17" y="63"/>
                              </a:lnTo>
                              <a:lnTo>
                                <a:pt x="22" y="56"/>
                              </a:lnTo>
                              <a:lnTo>
                                <a:pt x="27" y="49"/>
                              </a:lnTo>
                              <a:lnTo>
                                <a:pt x="32" y="43"/>
                              </a:lnTo>
                              <a:lnTo>
                                <a:pt x="38" y="37"/>
                              </a:lnTo>
                              <a:lnTo>
                                <a:pt x="44" y="31"/>
                              </a:lnTo>
                              <a:lnTo>
                                <a:pt x="103" y="2"/>
                              </a:lnTo>
                              <a:lnTo>
                                <a:pt x="111" y="0"/>
                              </a:lnTo>
                              <a:lnTo>
                                <a:pt x="120" y="0"/>
                              </a:lnTo>
                              <a:lnTo>
                                <a:pt x="128" y="0"/>
                              </a:lnTo>
                              <a:lnTo>
                                <a:pt x="338" y="0"/>
                              </a:lnTo>
                              <a:lnTo>
                                <a:pt x="346" y="0"/>
                              </a:lnTo>
                              <a:lnTo>
                                <a:pt x="355" y="0"/>
                              </a:lnTo>
                              <a:lnTo>
                                <a:pt x="363" y="2"/>
                              </a:lnTo>
                              <a:lnTo>
                                <a:pt x="371" y="4"/>
                              </a:lnTo>
                              <a:lnTo>
                                <a:pt x="428" y="37"/>
                              </a:lnTo>
                              <a:lnTo>
                                <a:pt x="434" y="43"/>
                              </a:lnTo>
                              <a:lnTo>
                                <a:pt x="439" y="49"/>
                              </a:lnTo>
                              <a:lnTo>
                                <a:pt x="444" y="56"/>
                              </a:lnTo>
                              <a:lnTo>
                                <a:pt x="449" y="63"/>
                              </a:lnTo>
                              <a:lnTo>
                                <a:pt x="465" y="119"/>
                              </a:lnTo>
                              <a:lnTo>
                                <a:pt x="465" y="127"/>
                              </a:lnTo>
                              <a:lnTo>
                                <a:pt x="465" y="135"/>
                              </a:lnTo>
                              <a:lnTo>
                                <a:pt x="465" y="144"/>
                              </a:lnTo>
                              <a:lnTo>
                                <a:pt x="463" y="152"/>
                              </a:lnTo>
                              <a:lnTo>
                                <a:pt x="461" y="160"/>
                              </a:lnTo>
                              <a:lnTo>
                                <a:pt x="459" y="168"/>
                              </a:lnTo>
                              <a:lnTo>
                                <a:pt x="456" y="176"/>
                              </a:lnTo>
                              <a:lnTo>
                                <a:pt x="453" y="184"/>
                              </a:lnTo>
                              <a:lnTo>
                                <a:pt x="409" y="233"/>
                              </a:lnTo>
                              <a:lnTo>
                                <a:pt x="402" y="238"/>
                              </a:lnTo>
                              <a:lnTo>
                                <a:pt x="363" y="252"/>
                              </a:lnTo>
                              <a:lnTo>
                                <a:pt x="355" y="254"/>
                              </a:lnTo>
                              <a:lnTo>
                                <a:pt x="346" y="255"/>
                              </a:lnTo>
                              <a:lnTo>
                                <a:pt x="338" y="255"/>
                              </a:lnTo>
                              <a:lnTo>
                                <a:pt x="128" y="255"/>
                              </a:lnTo>
                              <a:lnTo>
                                <a:pt x="64" y="238"/>
                              </a:lnTo>
                              <a:lnTo>
                                <a:pt x="57" y="233"/>
                              </a:lnTo>
                              <a:lnTo>
                                <a:pt x="50" y="228"/>
                              </a:lnTo>
                              <a:lnTo>
                                <a:pt x="10" y="176"/>
                              </a:lnTo>
                              <a:lnTo>
                                <a:pt x="7" y="168"/>
                              </a:lnTo>
                              <a:lnTo>
                                <a:pt x="5" y="160"/>
                              </a:lnTo>
                              <a:lnTo>
                                <a:pt x="3" y="152"/>
                              </a:lnTo>
                              <a:lnTo>
                                <a:pt x="1" y="144"/>
                              </a:lnTo>
                              <a:lnTo>
                                <a:pt x="0" y="135"/>
                              </a:lnTo>
                              <a:lnTo>
                                <a:pt x="0" y="127"/>
                              </a:lnTo>
                              <a:close/>
                            </a:path>
                          </a:pathLst>
                        </a:custGeom>
                        <a:noFill/>
                        <a:ln w="9525">
                          <a:solidFill>
                            <a:srgbClr val="99A0A6"/>
                          </a:solidFill>
                          <a:prstDash val="solid"/>
                          <a:round/>
                        </a:ln>
                        <a:effectLst/>
                      </wps:spPr>
                      <wps:bodyPr rot="0" vert="horz" wrap="square" lIns="91440" tIns="45720" rIns="91440" bIns="45720" anchor="t" anchorCtr="0" upright="1">
                        <a:noAutofit/>
                      </wps:bodyPr>
                    </wps:wsp>
                  </a:graphicData>
                </a:graphic>
              </wp:anchor>
            </w:drawing>
          </mc:Choice>
          <mc:Fallback>
            <w:pict>
              <v:shape id="Freeform: Shape 107" o:spid="_x0000_s1026" o:spt="100" style="position:absolute;left:0pt;margin-left:97.1pt;margin-top:-0.4pt;height:12.75pt;width:23.25pt;mso-position-horizontal-relative:page;z-index:251662336;mso-width-relative:page;mso-height-relative:page;" filled="f" stroked="t" coordsize="465,255" o:gfxdata="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" path="m0,127l10,78,13,71,17,63,22,56,27,49,32,43,38,37,44,31,103,2,111,0,120,0,128,0,338,0,346,0,355,0,363,2,371,4,428,37,434,43,439,49,444,56,449,63,465,119,465,127,465,135,465,144,463,152,461,160,459,168,456,176,453,184,409,233,402,238,363,252,355,254,346,255,338,255,128,255,64,238,57,233,50,228,10,176,7,168,5,160,3,152,1,144,0,135,0,127xe">
                <v:path o:connectlocs="0,75565;6350,44450;8255,40005;10795,34925;13970,30480;17145,26035;20320,22225;24130,18415;27940,14605;65405,-3810;70485,-5080;76200,-5080;81280,-5080;214630,-5080;219710,-5080;225425,-5080;230505,-3810;235585,-2540;271780,18415;275590,22225;278765,26035;281940,30480;285115,34925;295275,70485;295275,75565;295275,80645;295275,86360;294005,91440;292735,96520;291465,101600;289560,106680;287655,111760;259715,142875;255270,146050;230505,154940;225425,156210;219710,156845;214630,156845;81280,156845;40640,146050;36195,142875;31750,139700;6350,106680;4445,101600;3175,96520;1905,91440;635,86360;0,80645;0,75565" o:connectangles="0,0,0,0,0,0,0,0,0,0,0,0,0,0,0,0,0,0,0,0,0,0,0,0,0,0,0,0,0,0,0,0,0,0,0,0,0,0,0,0,0,0,0,0,0,0,0,0,0"/>
                <v:fill on="f" focussize="0,0"/>
                <v:stroke color="#99A0A6" joinstyle="round"/>
                <v:imagedata o:title=""/>
                <o:lock v:ext="edit" aspectratio="f"/>
              </v:shape>
            </w:pict>
          </mc:Fallback>
        </mc:AlternateContent>
      </w:r>
      <w:r>
        <w:rPr>
          <w:rFonts w:ascii="Roboto" w:hAnsi="Arial MT" w:eastAsia="Arial MT" w:cs="Arial MT"/>
          <w:color w:val="202024"/>
          <w:sz w:val="22"/>
          <w:szCs w:val="22"/>
        </w:rPr>
        <w:t xml:space="preserve">                          </w:t>
      </w:r>
      <w:r>
        <w:rPr>
          <w:rFonts w:eastAsia="Arial MT"/>
          <w:color w:val="202024"/>
        </w:rPr>
        <w:t>Option</w:t>
      </w:r>
      <w:r>
        <w:rPr>
          <w:rFonts w:eastAsia="Arial MT"/>
          <w:color w:val="202024"/>
          <w:spacing w:val="-5"/>
        </w:rPr>
        <w:t xml:space="preserve"> </w:t>
      </w:r>
      <w:r>
        <w:rPr>
          <w:rFonts w:eastAsia="Arial MT"/>
          <w:color w:val="202024"/>
        </w:rPr>
        <w:t>1</w:t>
      </w:r>
      <w:r>
        <w:rPr>
          <w:rFonts w:eastAsia="Arial MT"/>
          <w:color w:val="202024"/>
        </w:rPr>
        <w:tab/>
      </w:r>
    </w:p>
    <w:p w14:paraId="2AEE1383">
      <w:pPr>
        <w:widowControl w:val="0"/>
        <w:autoSpaceDE w:val="0"/>
        <w:autoSpaceDN w:val="0"/>
        <w:rPr>
          <w:rFonts w:ascii="Roboto" w:hAnsi="Arial MT" w:eastAsia="Arial MT" w:cs="Arial MT"/>
          <w:sz w:val="26"/>
        </w:rPr>
      </w:pPr>
    </w:p>
    <w:p w14:paraId="0A6F55FF">
      <w:pPr>
        <w:widowControl w:val="0"/>
        <w:autoSpaceDE w:val="0"/>
        <w:autoSpaceDN w:val="0"/>
        <w:rPr>
          <w:rFonts w:ascii="Roboto" w:hAnsi="Arial MT" w:eastAsia="Arial MT" w:cs="Arial MT"/>
          <w:sz w:val="26"/>
        </w:rPr>
      </w:pPr>
    </w:p>
    <w:p w14:paraId="6C42BD19">
      <w:pPr>
        <w:widowControl w:val="0"/>
        <w:autoSpaceDE w:val="0"/>
        <w:autoSpaceDN w:val="0"/>
        <w:spacing w:line="312" w:lineRule="auto"/>
        <w:jc w:val="center"/>
        <w:rPr>
          <w:rFonts w:eastAsia="Arial MT"/>
          <w:b/>
          <w:bCs/>
        </w:rPr>
      </w:pPr>
      <w:r>
        <w:rPr>
          <w:rFonts w:eastAsia="Arial MT"/>
          <w:b/>
          <w:bCs/>
          <w:color w:val="202024"/>
          <w:spacing w:val="-2"/>
        </w:rPr>
        <w:t xml:space="preserve">RESEARCH </w:t>
      </w:r>
      <w:r>
        <w:rPr>
          <w:rFonts w:eastAsia="Arial MT"/>
          <w:b/>
          <w:bCs/>
          <w:color w:val="202024"/>
          <w:spacing w:val="-1"/>
        </w:rPr>
        <w:t>TOPIC – TAX POLICY AND TAX LEGISLATION IN THE NIGERIAN</w:t>
      </w:r>
      <w:r>
        <w:rPr>
          <w:rFonts w:eastAsia="Arial MT"/>
          <w:b/>
          <w:bCs/>
          <w:color w:val="202024"/>
        </w:rPr>
        <w:t xml:space="preserve"> </w:t>
      </w:r>
      <w:r>
        <w:rPr>
          <w:rFonts w:eastAsia="Arial MT"/>
          <w:b/>
          <w:bCs/>
          <w:color w:val="202024"/>
          <w:spacing w:val="-2"/>
        </w:rPr>
        <w:t>UPSTREAM</w:t>
      </w:r>
      <w:r>
        <w:rPr>
          <w:rFonts w:eastAsia="Arial MT"/>
          <w:b/>
          <w:bCs/>
          <w:color w:val="202024"/>
        </w:rPr>
        <w:t xml:space="preserve"> </w:t>
      </w:r>
      <w:r>
        <w:rPr>
          <w:rFonts w:eastAsia="Arial MT"/>
          <w:b/>
          <w:bCs/>
          <w:color w:val="202024"/>
          <w:spacing w:val="-2"/>
        </w:rPr>
        <w:t>OIL</w:t>
      </w:r>
      <w:r>
        <w:rPr>
          <w:rFonts w:eastAsia="Arial MT"/>
          <w:b/>
          <w:bCs/>
          <w:color w:val="202024"/>
          <w:spacing w:val="-22"/>
        </w:rPr>
        <w:t xml:space="preserve"> </w:t>
      </w:r>
      <w:r>
        <w:rPr>
          <w:rFonts w:eastAsia="Arial MT"/>
          <w:b/>
          <w:bCs/>
          <w:color w:val="202024"/>
          <w:spacing w:val="-2"/>
        </w:rPr>
        <w:t>AND</w:t>
      </w:r>
      <w:r>
        <w:rPr>
          <w:rFonts w:eastAsia="Arial MT"/>
          <w:b/>
          <w:bCs/>
          <w:color w:val="202024"/>
        </w:rPr>
        <w:t xml:space="preserve"> </w:t>
      </w:r>
      <w:r>
        <w:rPr>
          <w:rFonts w:eastAsia="Arial MT"/>
          <w:b/>
          <w:bCs/>
          <w:color w:val="202024"/>
          <w:spacing w:val="-2"/>
        </w:rPr>
        <w:t>GAS</w:t>
      </w:r>
      <w:r>
        <w:rPr>
          <w:rFonts w:eastAsia="Arial MT"/>
          <w:b/>
          <w:bCs/>
          <w:color w:val="202024"/>
          <w:spacing w:val="1"/>
        </w:rPr>
        <w:t xml:space="preserve"> </w:t>
      </w:r>
      <w:r>
        <w:rPr>
          <w:rFonts w:eastAsia="Arial MT"/>
          <w:b/>
          <w:bCs/>
          <w:color w:val="202024"/>
          <w:spacing w:val="-2"/>
        </w:rPr>
        <w:t>INDUSTRY:</w:t>
      </w:r>
      <w:r>
        <w:rPr>
          <w:rFonts w:eastAsia="Arial MT"/>
          <w:b/>
          <w:bCs/>
          <w:color w:val="202024"/>
          <w:spacing w:val="-13"/>
        </w:rPr>
        <w:t xml:space="preserve"> </w:t>
      </w:r>
      <w:r>
        <w:rPr>
          <w:rFonts w:eastAsia="Arial MT"/>
          <w:b/>
          <w:bCs/>
          <w:color w:val="202024"/>
          <w:spacing w:val="-2"/>
        </w:rPr>
        <w:t>ACHIEVING</w:t>
      </w:r>
      <w:r>
        <w:rPr>
          <w:rFonts w:eastAsia="Arial MT"/>
          <w:b/>
          <w:bCs/>
          <w:color w:val="202024"/>
        </w:rPr>
        <w:t xml:space="preserve"> </w:t>
      </w:r>
      <w:r>
        <w:rPr>
          <w:rFonts w:eastAsia="Arial MT"/>
          <w:b/>
          <w:bCs/>
          <w:color w:val="202024"/>
          <w:spacing w:val="-1"/>
        </w:rPr>
        <w:t>CERTAINTY,</w:t>
      </w:r>
      <w:r>
        <w:rPr>
          <w:rFonts w:eastAsia="Arial MT"/>
          <w:b/>
          <w:bCs/>
          <w:color w:val="202024"/>
          <w:spacing w:val="1"/>
        </w:rPr>
        <w:t xml:space="preserve"> </w:t>
      </w:r>
      <w:r>
        <w:rPr>
          <w:rFonts w:eastAsia="Arial MT"/>
          <w:b/>
          <w:bCs/>
          <w:color w:val="202024"/>
          <w:spacing w:val="-1"/>
        </w:rPr>
        <w:t>CLARITY,</w:t>
      </w:r>
      <w:r>
        <w:rPr>
          <w:rFonts w:eastAsia="Arial MT"/>
          <w:b/>
          <w:bCs/>
          <w:color w:val="202024"/>
          <w:spacing w:val="-17"/>
        </w:rPr>
        <w:t xml:space="preserve"> </w:t>
      </w:r>
      <w:r>
        <w:rPr>
          <w:rFonts w:eastAsia="Arial MT"/>
          <w:b/>
          <w:bCs/>
          <w:color w:val="202024"/>
          <w:spacing w:val="-1"/>
        </w:rPr>
        <w:t>AND</w:t>
      </w:r>
      <w:r>
        <w:rPr>
          <w:rFonts w:eastAsia="Arial MT"/>
          <w:b/>
          <w:bCs/>
          <w:color w:val="202024"/>
          <w:spacing w:val="-64"/>
        </w:rPr>
        <w:t xml:space="preserve"> </w:t>
      </w:r>
      <w:r>
        <w:rPr>
          <w:rFonts w:eastAsia="Arial MT"/>
          <w:b/>
          <w:bCs/>
          <w:color w:val="202024"/>
        </w:rPr>
        <w:t>CONSISTENCY</w:t>
      </w:r>
    </w:p>
    <w:p w14:paraId="575D6164">
      <w:pPr>
        <w:widowControl w:val="0"/>
        <w:autoSpaceDE w:val="0"/>
        <w:autoSpaceDN w:val="0"/>
        <w:spacing w:line="273" w:lineRule="auto"/>
        <w:ind w:right="869"/>
        <w:rPr>
          <w:rFonts w:ascii="Roboto" w:hAnsi="Arial MT" w:eastAsia="Arial MT" w:cs="Arial MT"/>
          <w:color w:val="202024"/>
          <w:sz w:val="22"/>
          <w:szCs w:val="22"/>
        </w:rPr>
      </w:pPr>
    </w:p>
    <w:p w14:paraId="346E162A">
      <w:pPr>
        <w:widowControl w:val="0"/>
        <w:autoSpaceDE w:val="0"/>
        <w:autoSpaceDN w:val="0"/>
        <w:spacing w:line="480" w:lineRule="auto"/>
        <w:ind w:right="869"/>
        <w:jc w:val="both"/>
        <w:rPr>
          <w:rFonts w:eastAsia="Arial MT"/>
        </w:rPr>
      </w:pPr>
      <w:r>
        <w:rPr>
          <w:rFonts w:eastAsia="Arial MT"/>
          <w:color w:val="202024"/>
        </w:rPr>
        <w:t>The</w:t>
      </w:r>
      <w:r>
        <w:rPr>
          <w:rFonts w:eastAsia="Arial MT"/>
          <w:color w:val="202024"/>
          <w:spacing w:val="-10"/>
        </w:rPr>
        <w:t xml:space="preserve"> </w:t>
      </w:r>
      <w:r>
        <w:rPr>
          <w:rFonts w:eastAsia="Arial MT"/>
          <w:color w:val="202024"/>
        </w:rPr>
        <w:t>survey</w:t>
      </w:r>
      <w:r>
        <w:rPr>
          <w:rFonts w:eastAsia="Arial MT"/>
          <w:color w:val="202024"/>
          <w:spacing w:val="-10"/>
        </w:rPr>
        <w:t xml:space="preserve"> </w:t>
      </w:r>
      <w:r>
        <w:rPr>
          <w:rFonts w:eastAsia="Arial MT"/>
          <w:color w:val="202024"/>
        </w:rPr>
        <w:t>is</w:t>
      </w:r>
      <w:r>
        <w:rPr>
          <w:rFonts w:eastAsia="Arial MT"/>
          <w:color w:val="202024"/>
          <w:spacing w:val="-9"/>
        </w:rPr>
        <w:t xml:space="preserve"> </w:t>
      </w:r>
      <w:r>
        <w:rPr>
          <w:rFonts w:eastAsia="Arial MT"/>
          <w:color w:val="202024"/>
        </w:rPr>
        <w:t>being</w:t>
      </w:r>
      <w:r>
        <w:rPr>
          <w:rFonts w:eastAsia="Arial MT"/>
          <w:color w:val="202024"/>
          <w:spacing w:val="-10"/>
        </w:rPr>
        <w:t xml:space="preserve"> </w:t>
      </w:r>
      <w:r>
        <w:rPr>
          <w:rFonts w:eastAsia="Arial MT"/>
          <w:color w:val="202024"/>
        </w:rPr>
        <w:t>undertaken</w:t>
      </w:r>
      <w:r>
        <w:rPr>
          <w:rFonts w:eastAsia="Arial MT"/>
          <w:color w:val="202024"/>
          <w:spacing w:val="-9"/>
        </w:rPr>
        <w:t xml:space="preserve"> </w:t>
      </w:r>
      <w:r>
        <w:rPr>
          <w:rFonts w:eastAsia="Arial MT"/>
          <w:color w:val="202024"/>
        </w:rPr>
        <w:t>by</w:t>
      </w:r>
      <w:r>
        <w:rPr>
          <w:rFonts w:eastAsia="Arial MT"/>
          <w:color w:val="202024"/>
          <w:spacing w:val="-10"/>
        </w:rPr>
        <w:t xml:space="preserve"> </w:t>
      </w:r>
      <w:r>
        <w:rPr>
          <w:rFonts w:eastAsia="Arial MT"/>
          <w:color w:val="202024"/>
        </w:rPr>
        <w:t>Mr.</w:t>
      </w:r>
      <w:r>
        <w:rPr>
          <w:rFonts w:eastAsia="Arial MT"/>
          <w:color w:val="202024"/>
          <w:spacing w:val="-9"/>
        </w:rPr>
        <w:t xml:space="preserve"> </w:t>
      </w:r>
      <w:r>
        <w:rPr>
          <w:rFonts w:eastAsia="Arial MT"/>
          <w:color w:val="202024"/>
        </w:rPr>
        <w:t>Edem</w:t>
      </w:r>
      <w:r>
        <w:rPr>
          <w:rFonts w:eastAsia="Arial MT"/>
          <w:color w:val="202024"/>
          <w:spacing w:val="-10"/>
        </w:rPr>
        <w:t xml:space="preserve"> </w:t>
      </w:r>
      <w:r>
        <w:rPr>
          <w:rFonts w:eastAsia="Arial MT"/>
          <w:color w:val="202024"/>
        </w:rPr>
        <w:t>Andah,</w:t>
      </w:r>
      <w:r>
        <w:rPr>
          <w:rFonts w:eastAsia="Arial MT"/>
          <w:color w:val="202024"/>
          <w:spacing w:val="-9"/>
        </w:rPr>
        <w:t xml:space="preserve"> </w:t>
      </w:r>
      <w:r>
        <w:rPr>
          <w:rFonts w:eastAsia="Arial MT"/>
          <w:color w:val="202024"/>
        </w:rPr>
        <w:t>towards</w:t>
      </w:r>
      <w:r>
        <w:rPr>
          <w:rFonts w:eastAsia="Arial MT"/>
          <w:color w:val="202024"/>
          <w:spacing w:val="-10"/>
        </w:rPr>
        <w:t xml:space="preserve"> </w:t>
      </w:r>
      <w:r>
        <w:rPr>
          <w:rFonts w:eastAsia="Arial MT"/>
          <w:color w:val="202024"/>
        </w:rPr>
        <w:t>his</w:t>
      </w:r>
      <w:r>
        <w:rPr>
          <w:rFonts w:eastAsia="Arial MT"/>
          <w:color w:val="202024"/>
          <w:spacing w:val="-9"/>
        </w:rPr>
        <w:t xml:space="preserve"> </w:t>
      </w:r>
      <w:r>
        <w:rPr>
          <w:rFonts w:eastAsia="Arial MT"/>
          <w:color w:val="202024"/>
        </w:rPr>
        <w:t>thesis</w:t>
      </w:r>
      <w:r>
        <w:rPr>
          <w:rFonts w:eastAsia="Arial MT"/>
          <w:color w:val="202024"/>
          <w:spacing w:val="-10"/>
        </w:rPr>
        <w:t xml:space="preserve"> </w:t>
      </w:r>
      <w:r>
        <w:rPr>
          <w:rFonts w:eastAsia="Arial MT"/>
          <w:color w:val="202024"/>
        </w:rPr>
        <w:t>in</w:t>
      </w:r>
      <w:r>
        <w:rPr>
          <w:rFonts w:eastAsia="Arial MT"/>
          <w:color w:val="202024"/>
          <w:spacing w:val="-9"/>
        </w:rPr>
        <w:t xml:space="preserve"> </w:t>
      </w:r>
      <w:r>
        <w:rPr>
          <w:rFonts w:eastAsia="Arial MT"/>
          <w:color w:val="202024"/>
        </w:rPr>
        <w:t>the</w:t>
      </w:r>
      <w:r>
        <w:rPr>
          <w:rFonts w:eastAsia="Arial MT"/>
          <w:color w:val="202024"/>
          <w:spacing w:val="-10"/>
        </w:rPr>
        <w:t xml:space="preserve"> </w:t>
      </w:r>
      <w:r>
        <w:rPr>
          <w:rFonts w:eastAsia="Arial MT"/>
          <w:color w:val="202024"/>
        </w:rPr>
        <w:t>subject</w:t>
      </w:r>
      <w:r>
        <w:rPr>
          <w:rFonts w:eastAsia="Arial MT"/>
          <w:color w:val="202024"/>
          <w:spacing w:val="-9"/>
        </w:rPr>
        <w:t xml:space="preserve"> </w:t>
      </w:r>
      <w:r>
        <w:rPr>
          <w:rFonts w:eastAsia="Arial MT"/>
          <w:color w:val="202024"/>
        </w:rPr>
        <w:t>of</w:t>
      </w:r>
      <w:r>
        <w:rPr>
          <w:rFonts w:eastAsia="Arial MT"/>
          <w:color w:val="202024"/>
          <w:spacing w:val="-52"/>
        </w:rPr>
        <w:t xml:space="preserve"> </w:t>
      </w:r>
      <w:r>
        <w:rPr>
          <w:rFonts w:eastAsia="Arial MT"/>
          <w:color w:val="202024"/>
        </w:rPr>
        <w:t>Taxation</w:t>
      </w:r>
      <w:r>
        <w:rPr>
          <w:rFonts w:eastAsia="Arial MT"/>
          <w:color w:val="202024"/>
          <w:spacing w:val="-5"/>
        </w:rPr>
        <w:t xml:space="preserve"> </w:t>
      </w:r>
      <w:r>
        <w:rPr>
          <w:rFonts w:eastAsia="Arial MT"/>
          <w:color w:val="202024"/>
        </w:rPr>
        <w:t>Law,</w:t>
      </w:r>
      <w:r>
        <w:rPr>
          <w:rFonts w:eastAsia="Arial MT"/>
          <w:color w:val="202024"/>
          <w:spacing w:val="-5"/>
        </w:rPr>
        <w:t xml:space="preserve"> </w:t>
      </w:r>
      <w:r>
        <w:rPr>
          <w:rFonts w:eastAsia="Arial MT"/>
          <w:color w:val="202024"/>
        </w:rPr>
        <w:t>at</w:t>
      </w:r>
      <w:r>
        <w:rPr>
          <w:rFonts w:eastAsia="Arial MT"/>
          <w:color w:val="202024"/>
          <w:spacing w:val="-5"/>
        </w:rPr>
        <w:t xml:space="preserve"> </w:t>
      </w:r>
      <w:r>
        <w:rPr>
          <w:rFonts w:eastAsia="Arial MT"/>
          <w:color w:val="202024"/>
        </w:rPr>
        <w:t>the</w:t>
      </w:r>
      <w:r>
        <w:rPr>
          <w:rFonts w:eastAsia="Arial MT"/>
          <w:color w:val="202024"/>
          <w:spacing w:val="-5"/>
        </w:rPr>
        <w:t xml:space="preserve"> </w:t>
      </w:r>
      <w:r>
        <w:rPr>
          <w:rFonts w:eastAsia="Arial MT"/>
          <w:color w:val="202024"/>
        </w:rPr>
        <w:t>School</w:t>
      </w:r>
      <w:r>
        <w:rPr>
          <w:rFonts w:eastAsia="Arial MT"/>
          <w:color w:val="202024"/>
          <w:spacing w:val="-5"/>
        </w:rPr>
        <w:t xml:space="preserve"> </w:t>
      </w:r>
      <w:r>
        <w:rPr>
          <w:rFonts w:eastAsia="Arial MT"/>
          <w:color w:val="202024"/>
        </w:rPr>
        <w:t>of</w:t>
      </w:r>
      <w:r>
        <w:rPr>
          <w:rFonts w:eastAsia="Arial MT"/>
          <w:color w:val="202024"/>
          <w:spacing w:val="-5"/>
        </w:rPr>
        <w:t xml:space="preserve"> </w:t>
      </w:r>
      <w:r>
        <w:rPr>
          <w:rFonts w:eastAsia="Arial MT"/>
          <w:color w:val="202024"/>
        </w:rPr>
        <w:t>Advanced</w:t>
      </w:r>
      <w:r>
        <w:rPr>
          <w:rFonts w:eastAsia="Arial MT"/>
          <w:color w:val="202024"/>
          <w:spacing w:val="-5"/>
        </w:rPr>
        <w:t xml:space="preserve"> </w:t>
      </w:r>
      <w:r>
        <w:rPr>
          <w:rFonts w:eastAsia="Arial MT"/>
          <w:color w:val="202024"/>
        </w:rPr>
        <w:t>Studies</w:t>
      </w:r>
      <w:r>
        <w:rPr>
          <w:rFonts w:eastAsia="Arial MT"/>
          <w:color w:val="202024"/>
          <w:spacing w:val="-5"/>
        </w:rPr>
        <w:t xml:space="preserve"> </w:t>
      </w:r>
      <w:r>
        <w:rPr>
          <w:rFonts w:eastAsia="Arial MT"/>
          <w:color w:val="202024"/>
        </w:rPr>
        <w:t>(SAS),</w:t>
      </w:r>
      <w:r>
        <w:rPr>
          <w:rFonts w:eastAsia="Arial MT"/>
          <w:color w:val="202024"/>
          <w:spacing w:val="-5"/>
        </w:rPr>
        <w:t xml:space="preserve"> </w:t>
      </w:r>
      <w:r>
        <w:rPr>
          <w:rFonts w:eastAsia="Arial MT"/>
          <w:color w:val="202024"/>
        </w:rPr>
        <w:t>University</w:t>
      </w:r>
      <w:r>
        <w:rPr>
          <w:rFonts w:eastAsia="Arial MT"/>
          <w:color w:val="202024"/>
          <w:spacing w:val="-5"/>
        </w:rPr>
        <w:t xml:space="preserve"> </w:t>
      </w:r>
      <w:r>
        <w:rPr>
          <w:rFonts w:eastAsia="Arial MT"/>
          <w:color w:val="202024"/>
        </w:rPr>
        <w:t>of</w:t>
      </w:r>
      <w:r>
        <w:rPr>
          <w:rFonts w:eastAsia="Arial MT"/>
          <w:color w:val="202024"/>
          <w:spacing w:val="-5"/>
        </w:rPr>
        <w:t xml:space="preserve"> </w:t>
      </w:r>
      <w:r>
        <w:rPr>
          <w:rFonts w:eastAsia="Arial MT"/>
          <w:color w:val="202024"/>
        </w:rPr>
        <w:t>London.</w:t>
      </w:r>
    </w:p>
    <w:p w14:paraId="7E55251E">
      <w:pPr>
        <w:widowControl w:val="0"/>
        <w:autoSpaceDE w:val="0"/>
        <w:autoSpaceDN w:val="0"/>
        <w:spacing w:before="11" w:line="480" w:lineRule="auto"/>
        <w:jc w:val="both"/>
        <w:rPr>
          <w:rFonts w:eastAsia="Arial MT"/>
        </w:rPr>
      </w:pPr>
    </w:p>
    <w:p w14:paraId="237DE444">
      <w:pPr>
        <w:widowControl w:val="0"/>
        <w:autoSpaceDE w:val="0"/>
        <w:autoSpaceDN w:val="0"/>
        <w:spacing w:before="1" w:line="480" w:lineRule="auto"/>
        <w:ind w:right="195"/>
        <w:jc w:val="both"/>
        <w:rPr>
          <w:rFonts w:eastAsia="Arial MT"/>
        </w:rPr>
      </w:pPr>
      <w:r>
        <w:rPr>
          <w:rFonts w:eastAsia="Arial MT"/>
          <w:color w:val="202024"/>
        </w:rPr>
        <w:t>The survey of critical stakeholders in the Nigeria upstream oil and gas industry is in five (5)</w:t>
      </w:r>
      <w:r>
        <w:rPr>
          <w:rFonts w:eastAsia="Arial MT"/>
          <w:color w:val="202024"/>
          <w:spacing w:val="1"/>
        </w:rPr>
        <w:t xml:space="preserve"> </w:t>
      </w:r>
      <w:r>
        <w:rPr>
          <w:rFonts w:eastAsia="Arial MT"/>
          <w:color w:val="202024"/>
        </w:rPr>
        <w:t>sub-sections.</w:t>
      </w:r>
      <w:r>
        <w:rPr>
          <w:rFonts w:eastAsia="Arial MT"/>
          <w:color w:val="202024"/>
          <w:spacing w:val="-12"/>
        </w:rPr>
        <w:t xml:space="preserve"> </w:t>
      </w:r>
      <w:r>
        <w:rPr>
          <w:rFonts w:eastAsia="Arial MT"/>
          <w:color w:val="202024"/>
        </w:rPr>
        <w:t>Each</w:t>
      </w:r>
      <w:r>
        <w:rPr>
          <w:rFonts w:eastAsia="Arial MT"/>
          <w:color w:val="202024"/>
          <w:spacing w:val="-12"/>
        </w:rPr>
        <w:t xml:space="preserve"> </w:t>
      </w:r>
      <w:r>
        <w:rPr>
          <w:rFonts w:eastAsia="Arial MT"/>
          <w:color w:val="202024"/>
        </w:rPr>
        <w:t>section</w:t>
      </w:r>
      <w:r>
        <w:rPr>
          <w:rFonts w:eastAsia="Arial MT"/>
          <w:color w:val="202024"/>
          <w:spacing w:val="-12"/>
        </w:rPr>
        <w:t xml:space="preserve"> </w:t>
      </w:r>
      <w:r>
        <w:rPr>
          <w:rFonts w:eastAsia="Arial MT"/>
          <w:color w:val="202024"/>
        </w:rPr>
        <w:t>has</w:t>
      </w:r>
      <w:r>
        <w:rPr>
          <w:rFonts w:eastAsia="Arial MT"/>
          <w:color w:val="202024"/>
          <w:spacing w:val="32"/>
        </w:rPr>
        <w:t xml:space="preserve"> </w:t>
      </w:r>
      <w:r>
        <w:rPr>
          <w:rFonts w:eastAsia="Arial MT"/>
          <w:color w:val="202024"/>
        </w:rPr>
        <w:t>specific</w:t>
      </w:r>
      <w:r>
        <w:rPr>
          <w:rFonts w:eastAsia="Arial MT"/>
          <w:color w:val="202024"/>
          <w:spacing w:val="-12"/>
        </w:rPr>
        <w:t xml:space="preserve"> </w:t>
      </w:r>
      <w:r>
        <w:rPr>
          <w:rFonts w:eastAsia="Arial MT"/>
          <w:color w:val="202024"/>
        </w:rPr>
        <w:t>questions</w:t>
      </w:r>
      <w:r>
        <w:rPr>
          <w:rFonts w:eastAsia="Arial MT"/>
          <w:color w:val="202024"/>
          <w:spacing w:val="-12"/>
        </w:rPr>
        <w:t xml:space="preserve"> </w:t>
      </w:r>
      <w:r>
        <w:rPr>
          <w:rFonts w:eastAsia="Arial MT"/>
          <w:color w:val="202024"/>
        </w:rPr>
        <w:t>about certainty</w:t>
      </w:r>
      <w:r>
        <w:rPr>
          <w:rFonts w:eastAsia="Arial MT"/>
          <w:color w:val="202024"/>
          <w:spacing w:val="-12"/>
        </w:rPr>
        <w:t xml:space="preserve"> </w:t>
      </w:r>
      <w:r>
        <w:rPr>
          <w:rFonts w:eastAsia="Arial MT"/>
          <w:color w:val="202024"/>
        </w:rPr>
        <w:t>or</w:t>
      </w:r>
      <w:r>
        <w:rPr>
          <w:rFonts w:eastAsia="Arial MT"/>
          <w:color w:val="202024"/>
          <w:spacing w:val="-12"/>
        </w:rPr>
        <w:t xml:space="preserve"> </w:t>
      </w:r>
      <w:r>
        <w:rPr>
          <w:rFonts w:eastAsia="Arial MT"/>
          <w:color w:val="202024"/>
        </w:rPr>
        <w:t>uncertainty</w:t>
      </w:r>
      <w:r>
        <w:rPr>
          <w:rFonts w:eastAsia="Arial MT"/>
          <w:color w:val="202024"/>
          <w:spacing w:val="-12"/>
        </w:rPr>
        <w:t xml:space="preserve"> </w:t>
      </w:r>
      <w:r>
        <w:rPr>
          <w:rFonts w:eastAsia="Arial MT"/>
          <w:color w:val="202024"/>
        </w:rPr>
        <w:t>in</w:t>
      </w:r>
      <w:r>
        <w:rPr>
          <w:rFonts w:eastAsia="Arial MT"/>
          <w:color w:val="202024"/>
          <w:spacing w:val="-52"/>
        </w:rPr>
        <w:t xml:space="preserve"> </w:t>
      </w:r>
      <w:r>
        <w:rPr>
          <w:rFonts w:eastAsia="Arial MT"/>
          <w:color w:val="202024"/>
        </w:rPr>
        <w:t>fiscal and tax policy, tax legislation, tax law interpretation and administration. It also asks</w:t>
      </w:r>
      <w:r>
        <w:rPr>
          <w:rFonts w:eastAsia="Arial MT"/>
          <w:color w:val="202024"/>
          <w:spacing w:val="1"/>
        </w:rPr>
        <w:t xml:space="preserve"> </w:t>
      </w:r>
      <w:r>
        <w:rPr>
          <w:rFonts w:eastAsia="Arial MT"/>
          <w:color w:val="202024"/>
        </w:rPr>
        <w:t>questions on the judicial process for achieving clarity, certainty and consistency (CCC) in tax</w:t>
      </w:r>
      <w:r>
        <w:rPr>
          <w:rFonts w:eastAsia="Arial MT"/>
          <w:color w:val="202024"/>
          <w:spacing w:val="1"/>
        </w:rPr>
        <w:t xml:space="preserve"> </w:t>
      </w:r>
      <w:r>
        <w:rPr>
          <w:rFonts w:eastAsia="Arial MT"/>
          <w:color w:val="202024"/>
        </w:rPr>
        <w:t>law</w:t>
      </w:r>
      <w:r>
        <w:rPr>
          <w:rFonts w:eastAsia="Arial MT"/>
          <w:color w:val="202024"/>
          <w:spacing w:val="-2"/>
        </w:rPr>
        <w:t xml:space="preserve"> </w:t>
      </w:r>
      <w:r>
        <w:rPr>
          <w:rFonts w:eastAsia="Arial MT"/>
          <w:color w:val="202024"/>
        </w:rPr>
        <w:t>interpretation.</w:t>
      </w:r>
    </w:p>
    <w:p w14:paraId="2FAABBA0">
      <w:pPr>
        <w:widowControl w:val="0"/>
        <w:autoSpaceDE w:val="0"/>
        <w:autoSpaceDN w:val="0"/>
        <w:spacing w:before="6" w:line="480" w:lineRule="auto"/>
        <w:jc w:val="both"/>
        <w:rPr>
          <w:rFonts w:eastAsia="Arial MT"/>
        </w:rPr>
      </w:pPr>
    </w:p>
    <w:p w14:paraId="43ECC86F">
      <w:pPr>
        <w:widowControl w:val="0"/>
        <w:autoSpaceDE w:val="0"/>
        <w:autoSpaceDN w:val="0"/>
        <w:spacing w:line="480" w:lineRule="auto"/>
        <w:ind w:right="237"/>
        <w:jc w:val="both"/>
        <w:rPr>
          <w:rFonts w:eastAsia="Arial MT"/>
        </w:rPr>
      </w:pPr>
      <w:r>
        <w:rPr>
          <w:rFonts w:eastAsia="Arial MT"/>
          <w:color w:val="202024"/>
        </w:rPr>
        <w:t>On</w:t>
      </w:r>
      <w:r>
        <w:rPr>
          <w:rFonts w:eastAsia="Arial MT"/>
          <w:color w:val="202024"/>
          <w:spacing w:val="-6"/>
        </w:rPr>
        <w:t xml:space="preserve"> </w:t>
      </w:r>
      <w:r>
        <w:rPr>
          <w:rFonts w:eastAsia="Arial MT"/>
          <w:color w:val="202024"/>
        </w:rPr>
        <w:t>the</w:t>
      </w:r>
      <w:r>
        <w:rPr>
          <w:rFonts w:eastAsia="Arial MT"/>
          <w:color w:val="202024"/>
          <w:spacing w:val="-6"/>
        </w:rPr>
        <w:t xml:space="preserve"> </w:t>
      </w:r>
      <w:r>
        <w:rPr>
          <w:rFonts w:eastAsia="Arial MT"/>
          <w:color w:val="202024"/>
        </w:rPr>
        <w:t>scale</w:t>
      </w:r>
      <w:r>
        <w:rPr>
          <w:rFonts w:eastAsia="Arial MT"/>
          <w:color w:val="202024"/>
          <w:spacing w:val="-6"/>
        </w:rPr>
        <w:t xml:space="preserve"> </w:t>
      </w:r>
      <w:r>
        <w:rPr>
          <w:rFonts w:eastAsia="Arial MT"/>
          <w:color w:val="202024"/>
        </w:rPr>
        <w:t>of</w:t>
      </w:r>
      <w:r>
        <w:rPr>
          <w:rFonts w:eastAsia="Arial MT"/>
          <w:color w:val="202024"/>
          <w:spacing w:val="-6"/>
        </w:rPr>
        <w:t xml:space="preserve"> </w:t>
      </w:r>
      <w:r>
        <w:rPr>
          <w:rFonts w:eastAsia="Arial MT"/>
          <w:color w:val="202024"/>
        </w:rPr>
        <w:t>5</w:t>
      </w:r>
      <w:r>
        <w:rPr>
          <w:rFonts w:eastAsia="Arial MT"/>
          <w:color w:val="202024"/>
          <w:spacing w:val="-6"/>
        </w:rPr>
        <w:t xml:space="preserve"> </w:t>
      </w:r>
      <w:r>
        <w:rPr>
          <w:rFonts w:eastAsia="Arial MT"/>
          <w:color w:val="202024"/>
        </w:rPr>
        <w:t>to</w:t>
      </w:r>
      <w:r>
        <w:rPr>
          <w:rFonts w:eastAsia="Arial MT"/>
          <w:color w:val="202024"/>
          <w:spacing w:val="-5"/>
        </w:rPr>
        <w:t xml:space="preserve"> </w:t>
      </w:r>
      <w:r>
        <w:rPr>
          <w:rFonts w:eastAsia="Arial MT"/>
          <w:color w:val="202024"/>
        </w:rPr>
        <w:t>1,</w:t>
      </w:r>
      <w:r>
        <w:rPr>
          <w:rFonts w:eastAsia="Arial MT"/>
          <w:color w:val="202024"/>
          <w:spacing w:val="-6"/>
        </w:rPr>
        <w:t xml:space="preserve"> </w:t>
      </w:r>
      <w:r>
        <w:rPr>
          <w:rFonts w:eastAsia="Arial MT"/>
          <w:color w:val="202024"/>
        </w:rPr>
        <w:t>please</w:t>
      </w:r>
      <w:r>
        <w:rPr>
          <w:rFonts w:eastAsia="Arial MT"/>
          <w:color w:val="202024"/>
          <w:spacing w:val="-6"/>
        </w:rPr>
        <w:t xml:space="preserve"> </w:t>
      </w:r>
      <w:r>
        <w:rPr>
          <w:rFonts w:eastAsia="Arial MT"/>
          <w:color w:val="202024"/>
        </w:rPr>
        <w:t>use</w:t>
      </w:r>
      <w:r>
        <w:rPr>
          <w:rFonts w:eastAsia="Arial MT"/>
          <w:color w:val="202024"/>
          <w:spacing w:val="-6"/>
        </w:rPr>
        <w:t xml:space="preserve"> </w:t>
      </w:r>
      <w:r>
        <w:rPr>
          <w:rFonts w:eastAsia="Arial MT"/>
          <w:color w:val="202024"/>
        </w:rPr>
        <w:t>5</w:t>
      </w:r>
      <w:r>
        <w:rPr>
          <w:rFonts w:eastAsia="Arial MT"/>
          <w:color w:val="202024"/>
          <w:spacing w:val="-6"/>
        </w:rPr>
        <w:t xml:space="preserve"> </w:t>
      </w:r>
      <w:r>
        <w:rPr>
          <w:rFonts w:eastAsia="Arial MT"/>
          <w:color w:val="202024"/>
        </w:rPr>
        <w:t>when</w:t>
      </w:r>
      <w:r>
        <w:rPr>
          <w:rFonts w:eastAsia="Arial MT"/>
          <w:color w:val="202024"/>
          <w:spacing w:val="-5"/>
        </w:rPr>
        <w:t xml:space="preserve"> </w:t>
      </w:r>
      <w:r>
        <w:rPr>
          <w:rFonts w:eastAsia="Arial MT"/>
          <w:color w:val="202024"/>
        </w:rPr>
        <w:t>the</w:t>
      </w:r>
      <w:r>
        <w:rPr>
          <w:rFonts w:eastAsia="Arial MT"/>
          <w:color w:val="202024"/>
          <w:spacing w:val="-6"/>
        </w:rPr>
        <w:t xml:space="preserve"> </w:t>
      </w:r>
      <w:r>
        <w:rPr>
          <w:rFonts w:eastAsia="Arial MT"/>
          <w:color w:val="202024"/>
        </w:rPr>
        <w:t>factor</w:t>
      </w:r>
      <w:r>
        <w:rPr>
          <w:rFonts w:eastAsia="Arial MT"/>
          <w:color w:val="202024"/>
          <w:spacing w:val="-6"/>
        </w:rPr>
        <w:t xml:space="preserve"> </w:t>
      </w:r>
      <w:r>
        <w:rPr>
          <w:rFonts w:eastAsia="Arial MT"/>
          <w:color w:val="202024"/>
        </w:rPr>
        <w:t>is</w:t>
      </w:r>
      <w:r>
        <w:rPr>
          <w:rFonts w:eastAsia="Arial MT"/>
          <w:color w:val="202024"/>
          <w:spacing w:val="-6"/>
        </w:rPr>
        <w:t xml:space="preserve"> </w:t>
      </w:r>
      <w:r>
        <w:rPr>
          <w:rFonts w:eastAsia="Arial MT"/>
          <w:color w:val="202024"/>
        </w:rPr>
        <w:t>extremely</w:t>
      </w:r>
      <w:r>
        <w:rPr>
          <w:rFonts w:eastAsia="Arial MT"/>
          <w:color w:val="202024"/>
          <w:spacing w:val="-6"/>
        </w:rPr>
        <w:t xml:space="preserve"> </w:t>
      </w:r>
      <w:r>
        <w:rPr>
          <w:rFonts w:eastAsia="Arial MT"/>
          <w:color w:val="202024"/>
        </w:rPr>
        <w:t>important</w:t>
      </w:r>
      <w:r>
        <w:rPr>
          <w:rFonts w:eastAsia="Arial MT"/>
          <w:color w:val="202024"/>
          <w:spacing w:val="-5"/>
        </w:rPr>
        <w:t xml:space="preserve"> </w:t>
      </w:r>
      <w:r>
        <w:rPr>
          <w:rFonts w:eastAsia="Arial MT"/>
          <w:color w:val="202024"/>
        </w:rPr>
        <w:t>or</w:t>
      </w:r>
      <w:r>
        <w:rPr>
          <w:rFonts w:eastAsia="Arial MT"/>
          <w:color w:val="202024"/>
          <w:spacing w:val="-6"/>
        </w:rPr>
        <w:t xml:space="preserve"> </w:t>
      </w:r>
      <w:r>
        <w:rPr>
          <w:rFonts w:eastAsia="Arial MT"/>
          <w:color w:val="202024"/>
        </w:rPr>
        <w:t>significant,</w:t>
      </w:r>
      <w:r>
        <w:rPr>
          <w:rFonts w:eastAsia="Arial MT"/>
          <w:color w:val="202024"/>
          <w:spacing w:val="-6"/>
        </w:rPr>
        <w:t xml:space="preserve"> </w:t>
      </w:r>
      <w:r>
        <w:rPr>
          <w:rFonts w:eastAsia="Arial MT"/>
          <w:color w:val="202024"/>
        </w:rPr>
        <w:t>and</w:t>
      </w:r>
      <w:r>
        <w:rPr>
          <w:rFonts w:eastAsia="Arial MT"/>
          <w:color w:val="202024"/>
          <w:spacing w:val="1"/>
        </w:rPr>
        <w:t xml:space="preserve"> </w:t>
      </w:r>
      <w:r>
        <w:rPr>
          <w:rFonts w:eastAsia="Arial MT"/>
          <w:color w:val="202024"/>
        </w:rPr>
        <w:t>lower</w:t>
      </w:r>
      <w:r>
        <w:rPr>
          <w:rFonts w:eastAsia="Arial MT"/>
          <w:color w:val="202024"/>
          <w:spacing w:val="-12"/>
        </w:rPr>
        <w:t xml:space="preserve"> </w:t>
      </w:r>
      <w:r>
        <w:rPr>
          <w:rFonts w:eastAsia="Arial MT"/>
          <w:color w:val="202024"/>
        </w:rPr>
        <w:t>numbers</w:t>
      </w:r>
      <w:r>
        <w:rPr>
          <w:rFonts w:eastAsia="Arial MT"/>
          <w:color w:val="202024"/>
          <w:spacing w:val="-12"/>
        </w:rPr>
        <w:t xml:space="preserve"> </w:t>
      </w:r>
      <w:r>
        <w:rPr>
          <w:rFonts w:eastAsia="Arial MT"/>
          <w:color w:val="202024"/>
        </w:rPr>
        <w:t>when</w:t>
      </w:r>
      <w:r>
        <w:rPr>
          <w:rFonts w:eastAsia="Arial MT"/>
          <w:color w:val="202024"/>
          <w:spacing w:val="-11"/>
        </w:rPr>
        <w:t xml:space="preserve"> </w:t>
      </w:r>
      <w:r>
        <w:rPr>
          <w:rFonts w:eastAsia="Arial MT"/>
          <w:color w:val="202024"/>
        </w:rPr>
        <w:t>it</w:t>
      </w:r>
      <w:r>
        <w:rPr>
          <w:rFonts w:eastAsia="Arial MT"/>
          <w:color w:val="202024"/>
          <w:spacing w:val="-12"/>
        </w:rPr>
        <w:t xml:space="preserve"> </w:t>
      </w:r>
      <w:r>
        <w:rPr>
          <w:rFonts w:eastAsia="Arial MT"/>
          <w:color w:val="202024"/>
        </w:rPr>
        <w:t>is</w:t>
      </w:r>
      <w:r>
        <w:rPr>
          <w:rFonts w:eastAsia="Arial MT"/>
          <w:color w:val="202024"/>
          <w:spacing w:val="-11"/>
        </w:rPr>
        <w:t xml:space="preserve"> </w:t>
      </w:r>
      <w:r>
        <w:rPr>
          <w:rFonts w:eastAsia="Arial MT"/>
          <w:color w:val="202024"/>
        </w:rPr>
        <w:t>progressively</w:t>
      </w:r>
      <w:r>
        <w:rPr>
          <w:rFonts w:eastAsia="Arial MT"/>
          <w:color w:val="202024"/>
          <w:spacing w:val="-12"/>
        </w:rPr>
        <w:t xml:space="preserve"> </w:t>
      </w:r>
      <w:r>
        <w:rPr>
          <w:rFonts w:eastAsia="Arial MT"/>
          <w:color w:val="202024"/>
        </w:rPr>
        <w:t>less</w:t>
      </w:r>
      <w:r>
        <w:rPr>
          <w:rFonts w:eastAsia="Arial MT"/>
          <w:color w:val="202024"/>
          <w:spacing w:val="-11"/>
        </w:rPr>
        <w:t xml:space="preserve"> </w:t>
      </w:r>
      <w:r>
        <w:rPr>
          <w:rFonts w:eastAsia="Arial MT"/>
          <w:color w:val="202024"/>
        </w:rPr>
        <w:t>important</w:t>
      </w:r>
      <w:r>
        <w:rPr>
          <w:rFonts w:eastAsia="Arial MT"/>
          <w:color w:val="202024"/>
          <w:spacing w:val="-12"/>
        </w:rPr>
        <w:t xml:space="preserve"> </w:t>
      </w:r>
      <w:r>
        <w:rPr>
          <w:rFonts w:eastAsia="Arial MT"/>
          <w:color w:val="202024"/>
        </w:rPr>
        <w:t>or</w:t>
      </w:r>
      <w:r>
        <w:rPr>
          <w:rFonts w:eastAsia="Arial MT"/>
          <w:color w:val="202024"/>
          <w:spacing w:val="-12"/>
        </w:rPr>
        <w:t xml:space="preserve"> </w:t>
      </w:r>
      <w:r>
        <w:rPr>
          <w:rFonts w:eastAsia="Arial MT"/>
          <w:color w:val="202024"/>
        </w:rPr>
        <w:t>significant,</w:t>
      </w:r>
      <w:r>
        <w:rPr>
          <w:rFonts w:eastAsia="Arial MT"/>
          <w:color w:val="202024"/>
          <w:spacing w:val="-11"/>
        </w:rPr>
        <w:t xml:space="preserve"> </w:t>
      </w:r>
      <w:r>
        <w:rPr>
          <w:rFonts w:eastAsia="Arial MT"/>
          <w:color w:val="202024"/>
        </w:rPr>
        <w:t>in</w:t>
      </w:r>
      <w:r>
        <w:rPr>
          <w:rFonts w:eastAsia="Arial MT"/>
          <w:color w:val="202024"/>
          <w:spacing w:val="-12"/>
        </w:rPr>
        <w:t xml:space="preserve"> </w:t>
      </w:r>
      <w:r>
        <w:rPr>
          <w:rFonts w:eastAsia="Arial MT"/>
          <w:color w:val="202024"/>
        </w:rPr>
        <w:t>ascertaining</w:t>
      </w:r>
      <w:r>
        <w:rPr>
          <w:rFonts w:eastAsia="Arial MT"/>
          <w:color w:val="202024"/>
          <w:spacing w:val="-11"/>
        </w:rPr>
        <w:t xml:space="preserve"> </w:t>
      </w:r>
      <w:r>
        <w:rPr>
          <w:rFonts w:eastAsia="Arial MT"/>
          <w:color w:val="202024"/>
        </w:rPr>
        <w:t>tax</w:t>
      </w:r>
      <w:r>
        <w:rPr>
          <w:rFonts w:eastAsia="Arial MT"/>
          <w:color w:val="202024"/>
          <w:spacing w:val="-12"/>
        </w:rPr>
        <w:t xml:space="preserve"> </w:t>
      </w:r>
      <w:r>
        <w:rPr>
          <w:rFonts w:eastAsia="Arial MT"/>
          <w:color w:val="202024"/>
        </w:rPr>
        <w:t>policy</w:t>
      </w:r>
      <w:r>
        <w:rPr>
          <w:rFonts w:eastAsia="Arial MT"/>
          <w:color w:val="202024"/>
          <w:spacing w:val="-52"/>
        </w:rPr>
        <w:t xml:space="preserve"> </w:t>
      </w:r>
      <w:r>
        <w:rPr>
          <w:rFonts w:eastAsia="Arial MT"/>
          <w:color w:val="202024"/>
        </w:rPr>
        <w:t>and</w:t>
      </w:r>
      <w:r>
        <w:rPr>
          <w:rFonts w:eastAsia="Arial MT"/>
          <w:color w:val="202024"/>
          <w:spacing w:val="-2"/>
        </w:rPr>
        <w:t xml:space="preserve"> </w:t>
      </w:r>
      <w:r>
        <w:rPr>
          <w:rFonts w:eastAsia="Arial MT"/>
          <w:color w:val="202024"/>
        </w:rPr>
        <w:t>legislation</w:t>
      </w:r>
      <w:r>
        <w:rPr>
          <w:rFonts w:eastAsia="Arial MT"/>
          <w:color w:val="202024"/>
          <w:spacing w:val="-1"/>
        </w:rPr>
        <w:t xml:space="preserve"> </w:t>
      </w:r>
      <w:r>
        <w:rPr>
          <w:rFonts w:eastAsia="Arial MT"/>
          <w:color w:val="202024"/>
        </w:rPr>
        <w:t>certainty.</w:t>
      </w:r>
    </w:p>
    <w:p w14:paraId="5875E160">
      <w:pPr>
        <w:widowControl w:val="0"/>
        <w:autoSpaceDE w:val="0"/>
        <w:autoSpaceDN w:val="0"/>
        <w:spacing w:line="480" w:lineRule="auto"/>
        <w:ind w:right="503"/>
        <w:jc w:val="both"/>
        <w:rPr>
          <w:rFonts w:eastAsia="Arial MT"/>
          <w:color w:val="202024"/>
        </w:rPr>
      </w:pPr>
    </w:p>
    <w:p w14:paraId="3D540507">
      <w:pPr>
        <w:widowControl w:val="0"/>
        <w:autoSpaceDE w:val="0"/>
        <w:autoSpaceDN w:val="0"/>
        <w:spacing w:line="480" w:lineRule="auto"/>
        <w:ind w:right="503"/>
        <w:jc w:val="both"/>
        <w:rPr>
          <w:rFonts w:eastAsia="Arial MT"/>
        </w:rPr>
      </w:pPr>
      <w:r>
        <w:rPr>
          <w:rFonts w:eastAsia="Arial MT"/>
          <w:color w:val="202024"/>
        </w:rPr>
        <w:t>We</w:t>
      </w:r>
      <w:r>
        <w:rPr>
          <w:rFonts w:eastAsia="Arial MT"/>
          <w:color w:val="202024"/>
          <w:spacing w:val="-10"/>
        </w:rPr>
        <w:t xml:space="preserve"> </w:t>
      </w:r>
      <w:r>
        <w:rPr>
          <w:rFonts w:eastAsia="Arial MT"/>
          <w:color w:val="202024"/>
        </w:rPr>
        <w:t>are</w:t>
      </w:r>
      <w:r>
        <w:rPr>
          <w:rFonts w:eastAsia="Arial MT"/>
          <w:color w:val="202024"/>
          <w:spacing w:val="-10"/>
        </w:rPr>
        <w:t xml:space="preserve"> </w:t>
      </w:r>
      <w:r>
        <w:rPr>
          <w:rFonts w:eastAsia="Arial MT"/>
          <w:color w:val="202024"/>
        </w:rPr>
        <w:t>very</w:t>
      </w:r>
      <w:r>
        <w:rPr>
          <w:rFonts w:eastAsia="Arial MT"/>
          <w:color w:val="202024"/>
          <w:spacing w:val="-10"/>
        </w:rPr>
        <w:t xml:space="preserve"> </w:t>
      </w:r>
      <w:r>
        <w:rPr>
          <w:rFonts w:eastAsia="Arial MT"/>
          <w:color w:val="202024"/>
        </w:rPr>
        <w:t>grateful</w:t>
      </w:r>
      <w:r>
        <w:rPr>
          <w:rFonts w:eastAsia="Arial MT"/>
          <w:color w:val="202024"/>
          <w:spacing w:val="-10"/>
        </w:rPr>
        <w:t xml:space="preserve"> </w:t>
      </w:r>
      <w:r>
        <w:rPr>
          <w:rFonts w:eastAsia="Arial MT"/>
          <w:color w:val="202024"/>
        </w:rPr>
        <w:t>for</w:t>
      </w:r>
      <w:r>
        <w:rPr>
          <w:rFonts w:eastAsia="Arial MT"/>
          <w:color w:val="202024"/>
          <w:spacing w:val="-10"/>
        </w:rPr>
        <w:t xml:space="preserve"> </w:t>
      </w:r>
      <w:r>
        <w:rPr>
          <w:rFonts w:eastAsia="Arial MT"/>
          <w:color w:val="202024"/>
        </w:rPr>
        <w:t>your</w:t>
      </w:r>
      <w:r>
        <w:rPr>
          <w:rFonts w:eastAsia="Arial MT"/>
          <w:color w:val="202024"/>
          <w:spacing w:val="-10"/>
        </w:rPr>
        <w:t xml:space="preserve"> </w:t>
      </w:r>
      <w:r>
        <w:rPr>
          <w:rFonts w:eastAsia="Arial MT"/>
          <w:color w:val="202024"/>
        </w:rPr>
        <w:t>time</w:t>
      </w:r>
      <w:r>
        <w:rPr>
          <w:rFonts w:eastAsia="Arial MT"/>
          <w:color w:val="202024"/>
          <w:spacing w:val="-10"/>
        </w:rPr>
        <w:t xml:space="preserve"> </w:t>
      </w:r>
      <w:r>
        <w:rPr>
          <w:rFonts w:eastAsia="Arial MT"/>
          <w:color w:val="202024"/>
        </w:rPr>
        <w:t>and</w:t>
      </w:r>
      <w:r>
        <w:rPr>
          <w:rFonts w:eastAsia="Arial MT"/>
          <w:color w:val="202024"/>
          <w:spacing w:val="-10"/>
        </w:rPr>
        <w:t xml:space="preserve"> </w:t>
      </w:r>
      <w:r>
        <w:rPr>
          <w:rFonts w:eastAsia="Arial MT"/>
          <w:color w:val="202024"/>
        </w:rPr>
        <w:t>support</w:t>
      </w:r>
      <w:r>
        <w:rPr>
          <w:rFonts w:eastAsia="Arial MT"/>
          <w:color w:val="202024"/>
          <w:spacing w:val="-10"/>
        </w:rPr>
        <w:t xml:space="preserve"> </w:t>
      </w:r>
      <w:r>
        <w:rPr>
          <w:rFonts w:eastAsia="Arial MT"/>
          <w:color w:val="202024"/>
        </w:rPr>
        <w:t>in</w:t>
      </w:r>
      <w:r>
        <w:rPr>
          <w:rFonts w:eastAsia="Arial MT"/>
          <w:color w:val="202024"/>
          <w:spacing w:val="-10"/>
        </w:rPr>
        <w:t xml:space="preserve"> </w:t>
      </w:r>
      <w:r>
        <w:rPr>
          <w:rFonts w:eastAsia="Arial MT"/>
          <w:color w:val="202024"/>
        </w:rPr>
        <w:t>completing</w:t>
      </w:r>
      <w:r>
        <w:rPr>
          <w:rFonts w:eastAsia="Arial MT"/>
          <w:color w:val="202024"/>
          <w:spacing w:val="-10"/>
        </w:rPr>
        <w:t xml:space="preserve"> </w:t>
      </w:r>
      <w:r>
        <w:rPr>
          <w:rFonts w:eastAsia="Arial MT"/>
          <w:color w:val="202024"/>
        </w:rPr>
        <w:t>this</w:t>
      </w:r>
      <w:r>
        <w:rPr>
          <w:rFonts w:eastAsia="Arial MT"/>
          <w:color w:val="202024"/>
          <w:spacing w:val="-10"/>
        </w:rPr>
        <w:t xml:space="preserve"> </w:t>
      </w:r>
      <w:r>
        <w:rPr>
          <w:rFonts w:eastAsia="Arial MT"/>
          <w:color w:val="202024"/>
        </w:rPr>
        <w:t>survey</w:t>
      </w:r>
      <w:r>
        <w:rPr>
          <w:rFonts w:eastAsia="Arial MT"/>
          <w:color w:val="202024"/>
          <w:spacing w:val="-10"/>
        </w:rPr>
        <w:t xml:space="preserve"> </w:t>
      </w:r>
      <w:r>
        <w:rPr>
          <w:rFonts w:eastAsia="Arial MT"/>
          <w:color w:val="202024"/>
        </w:rPr>
        <w:t>and</w:t>
      </w:r>
      <w:r>
        <w:rPr>
          <w:rFonts w:eastAsia="Arial MT"/>
          <w:color w:val="202024"/>
          <w:spacing w:val="-10"/>
        </w:rPr>
        <w:t xml:space="preserve"> </w:t>
      </w:r>
      <w:r>
        <w:rPr>
          <w:rFonts w:eastAsia="Arial MT"/>
          <w:color w:val="202024"/>
        </w:rPr>
        <w:t>thank</w:t>
      </w:r>
      <w:r>
        <w:rPr>
          <w:rFonts w:eastAsia="Arial MT"/>
          <w:color w:val="202024"/>
          <w:spacing w:val="-10"/>
        </w:rPr>
        <w:t xml:space="preserve"> </w:t>
      </w:r>
      <w:r>
        <w:rPr>
          <w:rFonts w:eastAsia="Arial MT"/>
          <w:color w:val="202024"/>
        </w:rPr>
        <w:t>you</w:t>
      </w:r>
      <w:r>
        <w:rPr>
          <w:rFonts w:eastAsia="Arial MT"/>
          <w:color w:val="202024"/>
          <w:spacing w:val="-10"/>
        </w:rPr>
        <w:t xml:space="preserve"> </w:t>
      </w:r>
      <w:r>
        <w:rPr>
          <w:rFonts w:eastAsia="Arial MT"/>
          <w:color w:val="202024"/>
        </w:rPr>
        <w:t>very</w:t>
      </w:r>
      <w:r>
        <w:rPr>
          <w:rFonts w:eastAsia="Arial MT"/>
          <w:color w:val="202024"/>
          <w:spacing w:val="-51"/>
        </w:rPr>
        <w:t xml:space="preserve"> </w:t>
      </w:r>
      <w:r>
        <w:rPr>
          <w:rFonts w:eastAsia="Arial MT"/>
          <w:color w:val="202024"/>
        </w:rPr>
        <w:t>much</w:t>
      </w:r>
      <w:r>
        <w:rPr>
          <w:rFonts w:eastAsia="Arial MT"/>
          <w:color w:val="202024"/>
          <w:spacing w:val="-6"/>
        </w:rPr>
        <w:t xml:space="preserve"> </w:t>
      </w:r>
      <w:r>
        <w:rPr>
          <w:rFonts w:eastAsia="Arial MT"/>
          <w:color w:val="202024"/>
        </w:rPr>
        <w:t>for</w:t>
      </w:r>
      <w:r>
        <w:rPr>
          <w:rFonts w:eastAsia="Arial MT"/>
          <w:color w:val="202024"/>
          <w:spacing w:val="-5"/>
        </w:rPr>
        <w:t xml:space="preserve"> </w:t>
      </w:r>
      <w:r>
        <w:rPr>
          <w:rFonts w:eastAsia="Arial MT"/>
          <w:color w:val="202024"/>
        </w:rPr>
        <w:t>agreeing</w:t>
      </w:r>
      <w:r>
        <w:rPr>
          <w:rFonts w:eastAsia="Arial MT"/>
          <w:color w:val="202024"/>
          <w:spacing w:val="-6"/>
        </w:rPr>
        <w:t xml:space="preserve"> </w:t>
      </w:r>
      <w:r>
        <w:rPr>
          <w:rFonts w:eastAsia="Arial MT"/>
          <w:color w:val="202024"/>
        </w:rPr>
        <w:t>to</w:t>
      </w:r>
      <w:r>
        <w:rPr>
          <w:rFonts w:eastAsia="Arial MT"/>
          <w:color w:val="202024"/>
          <w:spacing w:val="-5"/>
        </w:rPr>
        <w:t xml:space="preserve"> </w:t>
      </w:r>
      <w:r>
        <w:rPr>
          <w:rFonts w:eastAsia="Arial MT"/>
          <w:color w:val="202024"/>
        </w:rPr>
        <w:t>give</w:t>
      </w:r>
      <w:r>
        <w:rPr>
          <w:rFonts w:eastAsia="Arial MT"/>
          <w:color w:val="202024"/>
          <w:spacing w:val="-5"/>
        </w:rPr>
        <w:t xml:space="preserve"> </w:t>
      </w:r>
      <w:r>
        <w:rPr>
          <w:rFonts w:eastAsia="Arial MT"/>
          <w:color w:val="202024"/>
        </w:rPr>
        <w:t>your</w:t>
      </w:r>
      <w:r>
        <w:rPr>
          <w:rFonts w:eastAsia="Arial MT"/>
          <w:color w:val="202024"/>
          <w:spacing w:val="-6"/>
        </w:rPr>
        <w:t xml:space="preserve"> </w:t>
      </w:r>
      <w:r>
        <w:rPr>
          <w:rFonts w:eastAsia="Arial MT"/>
          <w:color w:val="202024"/>
        </w:rPr>
        <w:t>views.</w:t>
      </w:r>
      <w:r>
        <w:rPr>
          <w:rFonts w:eastAsia="Arial MT"/>
          <w:color w:val="202024"/>
          <w:spacing w:val="-5"/>
        </w:rPr>
        <w:t xml:space="preserve"> </w:t>
      </w:r>
      <w:r>
        <w:rPr>
          <w:rFonts w:eastAsia="Arial MT"/>
          <w:color w:val="202024"/>
        </w:rPr>
        <w:t>Individual</w:t>
      </w:r>
      <w:r>
        <w:rPr>
          <w:rFonts w:eastAsia="Arial MT"/>
          <w:color w:val="202024"/>
          <w:spacing w:val="-5"/>
        </w:rPr>
        <w:t xml:space="preserve"> </w:t>
      </w:r>
      <w:r>
        <w:rPr>
          <w:rFonts w:eastAsia="Arial MT"/>
          <w:color w:val="202024"/>
        </w:rPr>
        <w:t>answers</w:t>
      </w:r>
      <w:r>
        <w:rPr>
          <w:rFonts w:eastAsia="Arial MT"/>
          <w:color w:val="202024"/>
          <w:spacing w:val="-6"/>
        </w:rPr>
        <w:t xml:space="preserve"> </w:t>
      </w:r>
      <w:r>
        <w:rPr>
          <w:rFonts w:eastAsia="Arial MT"/>
          <w:color w:val="202024"/>
        </w:rPr>
        <w:t>will</w:t>
      </w:r>
      <w:r>
        <w:rPr>
          <w:rFonts w:eastAsia="Arial MT"/>
          <w:color w:val="202024"/>
          <w:spacing w:val="-5"/>
        </w:rPr>
        <w:t xml:space="preserve"> </w:t>
      </w:r>
      <w:r>
        <w:rPr>
          <w:rFonts w:eastAsia="Arial MT"/>
          <w:color w:val="202024"/>
        </w:rPr>
        <w:t>remain</w:t>
      </w:r>
      <w:r>
        <w:rPr>
          <w:rFonts w:eastAsia="Arial MT"/>
          <w:color w:val="202024"/>
          <w:spacing w:val="-5"/>
        </w:rPr>
        <w:t xml:space="preserve"> </w:t>
      </w:r>
      <w:r>
        <w:rPr>
          <w:rFonts w:eastAsia="Arial MT"/>
          <w:color w:val="202024"/>
        </w:rPr>
        <w:t>confidential.</w:t>
      </w:r>
    </w:p>
    <w:p w14:paraId="5B51BF9F">
      <w:pPr>
        <w:widowControl w:val="0"/>
        <w:autoSpaceDE w:val="0"/>
        <w:autoSpaceDN w:val="0"/>
        <w:spacing w:before="7"/>
        <w:rPr>
          <w:rFonts w:eastAsia="Arial MT"/>
        </w:rPr>
      </w:pPr>
    </w:p>
    <w:p w14:paraId="6A312E0C">
      <w:pPr>
        <w:widowControl w:val="0"/>
        <w:tabs>
          <w:tab w:val="left" w:pos="5167"/>
        </w:tabs>
        <w:autoSpaceDE w:val="0"/>
        <w:autoSpaceDN w:val="0"/>
        <w:jc w:val="both"/>
        <w:rPr>
          <w:rFonts w:eastAsia="Arial MT"/>
        </w:rPr>
      </w:pPr>
      <w:r>
        <w:rPr>
          <w:rFonts w:eastAsia="Arial MT"/>
          <w:color w:val="202024"/>
        </w:rPr>
        <w:t>Edem</w:t>
      </w:r>
      <w:r>
        <w:rPr>
          <w:rFonts w:eastAsia="Arial MT"/>
          <w:color w:val="202024"/>
          <w:spacing w:val="-3"/>
        </w:rPr>
        <w:t xml:space="preserve"> </w:t>
      </w:r>
      <w:r>
        <w:rPr>
          <w:rFonts w:eastAsia="Arial MT"/>
          <w:color w:val="202024"/>
        </w:rPr>
        <w:t>Andah</w:t>
      </w:r>
      <w:r>
        <w:rPr>
          <w:rFonts w:eastAsia="Arial MT"/>
          <w:color w:val="202024"/>
        </w:rPr>
        <w:tab/>
      </w:r>
      <w:r>
        <w:rPr>
          <w:rFonts w:eastAsia="Arial MT"/>
          <w:color w:val="202024"/>
        </w:rPr>
        <w:t>Professor</w:t>
      </w:r>
      <w:r>
        <w:rPr>
          <w:rFonts w:eastAsia="Arial MT"/>
          <w:color w:val="202024"/>
          <w:spacing w:val="-8"/>
        </w:rPr>
        <w:t xml:space="preserve"> </w:t>
      </w:r>
      <w:r>
        <w:rPr>
          <w:rFonts w:eastAsia="Arial MT"/>
          <w:color w:val="202024"/>
        </w:rPr>
        <w:t>Philip</w:t>
      </w:r>
      <w:r>
        <w:rPr>
          <w:rFonts w:eastAsia="Arial MT"/>
          <w:color w:val="202024"/>
          <w:spacing w:val="-8"/>
        </w:rPr>
        <w:t xml:space="preserve"> </w:t>
      </w:r>
      <w:r>
        <w:rPr>
          <w:rFonts w:eastAsia="Arial MT"/>
          <w:color w:val="202024"/>
        </w:rPr>
        <w:t>Baker</w:t>
      </w:r>
      <w:r>
        <w:rPr>
          <w:rFonts w:eastAsia="Arial MT"/>
          <w:color w:val="202024"/>
          <w:spacing w:val="-8"/>
        </w:rPr>
        <w:t xml:space="preserve"> </w:t>
      </w:r>
      <w:r>
        <w:rPr>
          <w:rFonts w:eastAsia="Arial MT"/>
          <w:color w:val="202024"/>
        </w:rPr>
        <w:t>QC.</w:t>
      </w:r>
    </w:p>
    <w:p w14:paraId="7BC062CA">
      <w:pPr>
        <w:widowControl w:val="0"/>
        <w:autoSpaceDE w:val="0"/>
        <w:autoSpaceDN w:val="0"/>
        <w:rPr>
          <w:rFonts w:eastAsia="Arial MT"/>
        </w:rPr>
      </w:pPr>
    </w:p>
    <w:p w14:paraId="1E9AD6D2">
      <w:pPr>
        <w:widowControl w:val="0"/>
        <w:tabs>
          <w:tab w:val="left" w:pos="5603"/>
        </w:tabs>
        <w:autoSpaceDE w:val="0"/>
        <w:autoSpaceDN w:val="0"/>
        <w:jc w:val="both"/>
        <w:rPr>
          <w:rFonts w:eastAsia="Arial MT"/>
          <w:color w:val="202024"/>
        </w:rPr>
      </w:pPr>
      <w:r>
        <w:rPr>
          <w:rFonts w:eastAsia="Arial MT"/>
          <w:color w:val="202024"/>
        </w:rPr>
        <w:t>PhD</w:t>
      </w:r>
      <w:r>
        <w:rPr>
          <w:rFonts w:eastAsia="Arial MT"/>
          <w:color w:val="202024"/>
          <w:spacing w:val="-10"/>
        </w:rPr>
        <w:t xml:space="preserve"> </w:t>
      </w:r>
      <w:r>
        <w:rPr>
          <w:rFonts w:eastAsia="Arial MT"/>
          <w:color w:val="202024"/>
        </w:rPr>
        <w:t>Research</w:t>
      </w:r>
      <w:r>
        <w:rPr>
          <w:rFonts w:eastAsia="Arial MT"/>
          <w:color w:val="202024"/>
          <w:spacing w:val="-10"/>
        </w:rPr>
        <w:t xml:space="preserve"> </w:t>
      </w:r>
      <w:r>
        <w:rPr>
          <w:rFonts w:eastAsia="Arial MT"/>
          <w:color w:val="202024"/>
        </w:rPr>
        <w:t>Student</w:t>
      </w:r>
      <w:r>
        <w:rPr>
          <w:rFonts w:eastAsia="Arial MT"/>
          <w:color w:val="202024"/>
        </w:rPr>
        <w:tab/>
      </w:r>
      <w:r>
        <w:rPr>
          <w:rFonts w:eastAsia="Arial MT"/>
          <w:color w:val="202024"/>
          <w:spacing w:val="-1"/>
        </w:rPr>
        <w:t>Research</w:t>
      </w:r>
      <w:r>
        <w:rPr>
          <w:rFonts w:eastAsia="Arial MT"/>
          <w:color w:val="202024"/>
          <w:spacing w:val="-12"/>
        </w:rPr>
        <w:t xml:space="preserve"> </w:t>
      </w:r>
      <w:r>
        <w:rPr>
          <w:rFonts w:eastAsia="Arial MT"/>
          <w:color w:val="202024"/>
        </w:rPr>
        <w:t>Supervisor</w:t>
      </w:r>
    </w:p>
    <w:p w14:paraId="352FFE72">
      <w:pPr>
        <w:rPr>
          <w:rFonts w:ascii="Roboto" w:hAnsi="Arial MT" w:eastAsia="Arial MT" w:cs="Arial MT"/>
          <w:sz w:val="22"/>
          <w:szCs w:val="22"/>
        </w:rPr>
      </w:pPr>
    </w:p>
    <w:p w14:paraId="0D41322F">
      <w:pPr>
        <w:widowControl w:val="0"/>
        <w:autoSpaceDE w:val="0"/>
        <w:autoSpaceDN w:val="0"/>
        <w:spacing w:before="93"/>
        <w:rPr>
          <w:rFonts w:ascii="Arial MT" w:hAnsi="Arial MT" w:eastAsia="Arial MT" w:cs="Arial MT"/>
        </w:rPr>
      </w:pPr>
    </w:p>
    <w:p w14:paraId="192EF597">
      <w:pPr>
        <w:widowControl w:val="0"/>
        <w:autoSpaceDE w:val="0"/>
        <w:autoSpaceDN w:val="0"/>
        <w:spacing w:before="93"/>
        <w:rPr>
          <w:rFonts w:ascii="Arial MT" w:hAnsi="Arial MT" w:eastAsia="Arial MT" w:cs="Arial MT"/>
        </w:rPr>
      </w:pPr>
    </w:p>
    <w:p w14:paraId="39906464">
      <w:pPr>
        <w:widowControl w:val="0"/>
        <w:autoSpaceDE w:val="0"/>
        <w:autoSpaceDN w:val="0"/>
        <w:spacing w:before="93"/>
        <w:jc w:val="center"/>
        <w:rPr>
          <w:rFonts w:eastAsia="Arial MT"/>
          <w:b/>
          <w:bCs/>
        </w:rPr>
      </w:pPr>
      <w:r>
        <w:rPr>
          <w:rFonts w:eastAsia="Arial MT"/>
          <w:b/>
          <w:bCs/>
        </w:rPr>
        <w:t>SURVEY</w:t>
      </w:r>
      <w:r>
        <w:rPr>
          <w:rFonts w:eastAsia="Arial MT"/>
          <w:b/>
          <w:bCs/>
          <w:spacing w:val="-8"/>
        </w:rPr>
        <w:t xml:space="preserve"> </w:t>
      </w:r>
      <w:r>
        <w:rPr>
          <w:rFonts w:eastAsia="Arial MT"/>
          <w:b/>
          <w:bCs/>
        </w:rPr>
        <w:t>QUESTIONNAIRE</w:t>
      </w:r>
    </w:p>
    <w:p w14:paraId="7368358E">
      <w:pPr>
        <w:widowControl w:val="0"/>
        <w:autoSpaceDE w:val="0"/>
        <w:autoSpaceDN w:val="0"/>
        <w:spacing w:before="11"/>
        <w:rPr>
          <w:rFonts w:eastAsia="Arial MT"/>
        </w:rPr>
      </w:pPr>
    </w:p>
    <w:p w14:paraId="7FDB71A2">
      <w:pPr>
        <w:widowControl w:val="0"/>
        <w:autoSpaceDE w:val="0"/>
        <w:autoSpaceDN w:val="0"/>
        <w:rPr>
          <w:rFonts w:eastAsia="Arial MT"/>
        </w:rPr>
      </w:pPr>
      <w:r>
        <w:rPr>
          <w:rFonts w:eastAsia="Arial MT"/>
        </w:rPr>
        <w:t>Upstream</w:t>
      </w:r>
      <w:r>
        <w:rPr>
          <w:rFonts w:eastAsia="Arial MT"/>
          <w:spacing w:val="-7"/>
        </w:rPr>
        <w:t xml:space="preserve"> </w:t>
      </w:r>
      <w:r>
        <w:rPr>
          <w:rFonts w:eastAsia="Arial MT"/>
        </w:rPr>
        <w:t>Petroleum</w:t>
      </w:r>
      <w:r>
        <w:rPr>
          <w:rFonts w:eastAsia="Arial MT"/>
          <w:spacing w:val="-11"/>
        </w:rPr>
        <w:t xml:space="preserve"> </w:t>
      </w:r>
      <w:r>
        <w:rPr>
          <w:rFonts w:eastAsia="Arial MT"/>
        </w:rPr>
        <w:t>Taxing</w:t>
      </w:r>
      <w:r>
        <w:rPr>
          <w:rFonts w:eastAsia="Arial MT"/>
          <w:spacing w:val="-7"/>
        </w:rPr>
        <w:t xml:space="preserve"> </w:t>
      </w:r>
      <w:r>
        <w:rPr>
          <w:rFonts w:eastAsia="Arial MT"/>
        </w:rPr>
        <w:t>Regime</w:t>
      </w:r>
    </w:p>
    <w:p w14:paraId="20A3472B">
      <w:pPr>
        <w:widowControl w:val="0"/>
        <w:autoSpaceDE w:val="0"/>
        <w:autoSpaceDN w:val="0"/>
        <w:spacing w:before="1"/>
        <w:rPr>
          <w:rFonts w:eastAsia="Arial MT"/>
        </w:rPr>
      </w:pPr>
    </w:p>
    <w:p w14:paraId="32EE0514">
      <w:pPr>
        <w:widowControl w:val="0"/>
        <w:autoSpaceDE w:val="0"/>
        <w:autoSpaceDN w:val="0"/>
        <w:spacing w:line="480" w:lineRule="auto"/>
        <w:ind w:right="939"/>
        <w:jc w:val="both"/>
        <w:rPr>
          <w:rFonts w:eastAsia="Arial MT"/>
        </w:rPr>
      </w:pPr>
      <w:r>
        <w:rPr>
          <w:rFonts w:eastAsia="Arial MT"/>
          <w:color w:val="202024"/>
        </w:rPr>
        <w:t>In</w:t>
      </w:r>
      <w:r>
        <w:rPr>
          <w:rFonts w:eastAsia="Arial MT"/>
          <w:color w:val="202024"/>
          <w:spacing w:val="-9"/>
        </w:rPr>
        <w:t xml:space="preserve"> </w:t>
      </w:r>
      <w:r>
        <w:rPr>
          <w:rFonts w:eastAsia="Arial MT"/>
          <w:color w:val="202024"/>
        </w:rPr>
        <w:t>this</w:t>
      </w:r>
      <w:r>
        <w:rPr>
          <w:rFonts w:eastAsia="Arial MT"/>
          <w:color w:val="202024"/>
          <w:spacing w:val="-9"/>
        </w:rPr>
        <w:t xml:space="preserve"> </w:t>
      </w:r>
      <w:r>
        <w:rPr>
          <w:rFonts w:eastAsia="Arial MT"/>
          <w:color w:val="202024"/>
        </w:rPr>
        <w:t>section,</w:t>
      </w:r>
      <w:r>
        <w:rPr>
          <w:rFonts w:eastAsia="Arial MT"/>
          <w:color w:val="202024"/>
          <w:spacing w:val="-8"/>
        </w:rPr>
        <w:t xml:space="preserve"> </w:t>
      </w:r>
      <w:r>
        <w:rPr>
          <w:rFonts w:eastAsia="Arial MT"/>
          <w:color w:val="202024"/>
        </w:rPr>
        <w:t>we</w:t>
      </w:r>
      <w:r>
        <w:rPr>
          <w:rFonts w:eastAsia="Arial MT"/>
          <w:color w:val="202024"/>
          <w:spacing w:val="-9"/>
        </w:rPr>
        <w:t xml:space="preserve"> </w:t>
      </w:r>
      <w:r>
        <w:rPr>
          <w:rFonts w:eastAsia="Arial MT"/>
          <w:color w:val="202024"/>
        </w:rPr>
        <w:t>are</w:t>
      </w:r>
      <w:r>
        <w:rPr>
          <w:rFonts w:eastAsia="Arial MT"/>
          <w:color w:val="202024"/>
          <w:spacing w:val="-8"/>
        </w:rPr>
        <w:t xml:space="preserve"> </w:t>
      </w:r>
      <w:r>
        <w:rPr>
          <w:rFonts w:eastAsia="Arial MT"/>
          <w:color w:val="202024"/>
        </w:rPr>
        <w:t>seeking</w:t>
      </w:r>
      <w:r>
        <w:rPr>
          <w:rFonts w:eastAsia="Arial MT"/>
          <w:color w:val="202024"/>
          <w:spacing w:val="-9"/>
        </w:rPr>
        <w:t xml:space="preserve"> </w:t>
      </w:r>
      <w:r>
        <w:rPr>
          <w:rFonts w:eastAsia="Arial MT"/>
          <w:color w:val="202024"/>
        </w:rPr>
        <w:t>to</w:t>
      </w:r>
      <w:r>
        <w:rPr>
          <w:rFonts w:eastAsia="Arial MT"/>
          <w:color w:val="202024"/>
          <w:spacing w:val="-9"/>
        </w:rPr>
        <w:t xml:space="preserve"> </w:t>
      </w:r>
      <w:r>
        <w:rPr>
          <w:rFonts w:eastAsia="Arial MT"/>
          <w:color w:val="202024"/>
        </w:rPr>
        <w:t>identify</w:t>
      </w:r>
      <w:r>
        <w:rPr>
          <w:rFonts w:eastAsia="Arial MT"/>
          <w:color w:val="202024"/>
          <w:spacing w:val="-8"/>
        </w:rPr>
        <w:t xml:space="preserve"> </w:t>
      </w:r>
      <w:r>
        <w:rPr>
          <w:rFonts w:eastAsia="Arial MT"/>
          <w:color w:val="202024"/>
        </w:rPr>
        <w:t>the</w:t>
      </w:r>
      <w:r>
        <w:rPr>
          <w:rFonts w:eastAsia="Arial MT"/>
          <w:color w:val="202024"/>
          <w:spacing w:val="-9"/>
        </w:rPr>
        <w:t xml:space="preserve"> </w:t>
      </w:r>
      <w:r>
        <w:rPr>
          <w:rFonts w:eastAsia="Arial MT"/>
          <w:color w:val="202024"/>
        </w:rPr>
        <w:t>factors</w:t>
      </w:r>
      <w:r>
        <w:rPr>
          <w:rFonts w:eastAsia="Arial MT"/>
          <w:color w:val="202024"/>
          <w:spacing w:val="-8"/>
        </w:rPr>
        <w:t xml:space="preserve"> </w:t>
      </w:r>
      <w:r>
        <w:rPr>
          <w:rFonts w:eastAsia="Arial MT"/>
          <w:color w:val="202024"/>
        </w:rPr>
        <w:t>and</w:t>
      </w:r>
      <w:r>
        <w:rPr>
          <w:rFonts w:eastAsia="Arial MT"/>
          <w:color w:val="202024"/>
          <w:spacing w:val="-9"/>
        </w:rPr>
        <w:t xml:space="preserve"> </w:t>
      </w:r>
      <w:r>
        <w:rPr>
          <w:rFonts w:eastAsia="Arial MT"/>
          <w:color w:val="202024"/>
        </w:rPr>
        <w:t>requirements</w:t>
      </w:r>
      <w:r>
        <w:rPr>
          <w:rFonts w:eastAsia="Arial MT"/>
          <w:color w:val="202024"/>
          <w:spacing w:val="-9"/>
        </w:rPr>
        <w:t xml:space="preserve"> </w:t>
      </w:r>
      <w:r>
        <w:rPr>
          <w:rFonts w:eastAsia="Arial MT"/>
          <w:color w:val="202024"/>
        </w:rPr>
        <w:t>for</w:t>
      </w:r>
      <w:r>
        <w:rPr>
          <w:rFonts w:eastAsia="Arial MT"/>
          <w:color w:val="202024"/>
          <w:spacing w:val="-8"/>
        </w:rPr>
        <w:t xml:space="preserve"> </w:t>
      </w:r>
      <w:r>
        <w:rPr>
          <w:rFonts w:eastAsia="Arial MT"/>
          <w:color w:val="202024"/>
        </w:rPr>
        <w:t>achieving</w:t>
      </w:r>
      <w:r>
        <w:rPr>
          <w:rFonts w:eastAsia="Arial MT"/>
          <w:color w:val="202024"/>
          <w:spacing w:val="-53"/>
        </w:rPr>
        <w:t xml:space="preserve"> </w:t>
      </w:r>
      <w:r>
        <w:rPr>
          <w:rFonts w:eastAsia="Arial MT"/>
          <w:color w:val="202024"/>
        </w:rPr>
        <w:t>clarity,</w:t>
      </w:r>
      <w:r>
        <w:rPr>
          <w:rFonts w:eastAsia="Arial MT"/>
          <w:color w:val="202024"/>
          <w:spacing w:val="-12"/>
        </w:rPr>
        <w:t xml:space="preserve"> </w:t>
      </w:r>
      <w:r>
        <w:rPr>
          <w:rFonts w:eastAsia="Arial MT"/>
          <w:color w:val="202024"/>
        </w:rPr>
        <w:t>certainty,</w:t>
      </w:r>
      <w:r>
        <w:rPr>
          <w:rFonts w:eastAsia="Arial MT"/>
          <w:color w:val="202024"/>
          <w:spacing w:val="-11"/>
        </w:rPr>
        <w:t xml:space="preserve"> </w:t>
      </w:r>
      <w:r>
        <w:rPr>
          <w:rFonts w:eastAsia="Arial MT"/>
          <w:color w:val="202024"/>
        </w:rPr>
        <w:t>and</w:t>
      </w:r>
      <w:r>
        <w:rPr>
          <w:rFonts w:eastAsia="Arial MT"/>
          <w:color w:val="202024"/>
          <w:spacing w:val="-11"/>
        </w:rPr>
        <w:t xml:space="preserve"> </w:t>
      </w:r>
      <w:r>
        <w:rPr>
          <w:rFonts w:eastAsia="Arial MT"/>
          <w:color w:val="202024"/>
        </w:rPr>
        <w:t>consistency</w:t>
      </w:r>
      <w:r>
        <w:rPr>
          <w:rFonts w:eastAsia="Arial MT"/>
          <w:color w:val="202024"/>
          <w:spacing w:val="-12"/>
        </w:rPr>
        <w:t xml:space="preserve"> </w:t>
      </w:r>
      <w:r>
        <w:rPr>
          <w:rFonts w:eastAsia="Arial MT"/>
          <w:color w:val="202024"/>
        </w:rPr>
        <w:t>(CCC)</w:t>
      </w:r>
      <w:r>
        <w:rPr>
          <w:rFonts w:eastAsia="Arial MT"/>
          <w:color w:val="202024"/>
          <w:spacing w:val="-11"/>
        </w:rPr>
        <w:t xml:space="preserve"> </w:t>
      </w:r>
      <w:r>
        <w:rPr>
          <w:rFonts w:eastAsia="Arial MT"/>
          <w:color w:val="202024"/>
        </w:rPr>
        <w:t>in</w:t>
      </w:r>
      <w:r>
        <w:rPr>
          <w:rFonts w:eastAsia="Arial MT"/>
          <w:color w:val="202024"/>
          <w:spacing w:val="-11"/>
        </w:rPr>
        <w:t xml:space="preserve"> </w:t>
      </w:r>
      <w:r>
        <w:rPr>
          <w:rFonts w:eastAsia="Arial MT"/>
          <w:color w:val="202024"/>
        </w:rPr>
        <w:t>fiscal</w:t>
      </w:r>
      <w:r>
        <w:rPr>
          <w:rFonts w:eastAsia="Arial MT"/>
          <w:color w:val="202024"/>
          <w:spacing w:val="-11"/>
        </w:rPr>
        <w:t xml:space="preserve"> </w:t>
      </w:r>
      <w:r>
        <w:rPr>
          <w:rFonts w:eastAsia="Arial MT"/>
          <w:color w:val="202024"/>
        </w:rPr>
        <w:t>and</w:t>
      </w:r>
      <w:r>
        <w:rPr>
          <w:rFonts w:eastAsia="Arial MT"/>
          <w:color w:val="202024"/>
          <w:spacing w:val="-12"/>
        </w:rPr>
        <w:t xml:space="preserve"> </w:t>
      </w:r>
      <w:r>
        <w:rPr>
          <w:rFonts w:eastAsia="Arial MT"/>
          <w:color w:val="202024"/>
        </w:rPr>
        <w:t>tax</w:t>
      </w:r>
      <w:r>
        <w:rPr>
          <w:rFonts w:eastAsia="Arial MT"/>
          <w:color w:val="202024"/>
          <w:spacing w:val="-11"/>
        </w:rPr>
        <w:t xml:space="preserve"> </w:t>
      </w:r>
      <w:r>
        <w:rPr>
          <w:rFonts w:eastAsia="Arial MT"/>
          <w:color w:val="202024"/>
        </w:rPr>
        <w:t>policy</w:t>
      </w:r>
      <w:r>
        <w:rPr>
          <w:rFonts w:eastAsia="Arial MT"/>
          <w:color w:val="202024"/>
          <w:spacing w:val="-11"/>
        </w:rPr>
        <w:t xml:space="preserve"> </w:t>
      </w:r>
      <w:r>
        <w:rPr>
          <w:rFonts w:eastAsia="Arial MT"/>
          <w:color w:val="202024"/>
        </w:rPr>
        <w:t>design,</w:t>
      </w:r>
      <w:r>
        <w:rPr>
          <w:rFonts w:eastAsia="Arial MT"/>
          <w:color w:val="202024"/>
          <w:spacing w:val="-11"/>
        </w:rPr>
        <w:t xml:space="preserve"> </w:t>
      </w:r>
      <w:r>
        <w:rPr>
          <w:rFonts w:eastAsia="Arial MT"/>
          <w:color w:val="202024"/>
        </w:rPr>
        <w:t>tax</w:t>
      </w:r>
      <w:r>
        <w:rPr>
          <w:rFonts w:eastAsia="Arial MT"/>
          <w:color w:val="202024"/>
          <w:spacing w:val="-12"/>
        </w:rPr>
        <w:t xml:space="preserve"> </w:t>
      </w:r>
      <w:r>
        <w:rPr>
          <w:rFonts w:eastAsia="Arial MT"/>
          <w:color w:val="202024"/>
        </w:rPr>
        <w:t>legislation</w:t>
      </w:r>
      <w:r>
        <w:rPr>
          <w:rFonts w:eastAsia="Arial MT"/>
          <w:color w:val="202024"/>
          <w:spacing w:val="-52"/>
        </w:rPr>
        <w:t xml:space="preserve"> </w:t>
      </w:r>
      <w:r>
        <w:rPr>
          <w:rFonts w:eastAsia="Arial MT"/>
          <w:color w:val="202024"/>
        </w:rPr>
        <w:t>making</w:t>
      </w:r>
      <w:r>
        <w:rPr>
          <w:rFonts w:eastAsia="Arial MT"/>
          <w:color w:val="202024"/>
          <w:spacing w:val="-2"/>
        </w:rPr>
        <w:t xml:space="preserve"> </w:t>
      </w:r>
      <w:r>
        <w:rPr>
          <w:rFonts w:eastAsia="Arial MT"/>
          <w:color w:val="202024"/>
        </w:rPr>
        <w:t>and</w:t>
      </w:r>
      <w:r>
        <w:rPr>
          <w:rFonts w:eastAsia="Arial MT"/>
          <w:color w:val="202024"/>
          <w:spacing w:val="-1"/>
        </w:rPr>
        <w:t xml:space="preserve"> </w:t>
      </w:r>
      <w:r>
        <w:rPr>
          <w:rFonts w:eastAsia="Arial MT"/>
          <w:color w:val="202024"/>
        </w:rPr>
        <w:t>administration.</w:t>
      </w:r>
    </w:p>
    <w:p w14:paraId="70459C8A">
      <w:pPr>
        <w:widowControl w:val="0"/>
        <w:autoSpaceDE w:val="0"/>
        <w:autoSpaceDN w:val="0"/>
        <w:spacing w:before="8"/>
        <w:rPr>
          <w:rFonts w:eastAsia="Arial MT"/>
        </w:rPr>
      </w:pPr>
    </w:p>
    <w:p w14:paraId="399356E4">
      <w:pPr>
        <w:widowControl w:val="0"/>
        <w:numPr>
          <w:ilvl w:val="0"/>
          <w:numId w:val="41"/>
        </w:numPr>
        <w:tabs>
          <w:tab w:val="left" w:pos="602"/>
          <w:tab w:val="left" w:pos="604"/>
        </w:tabs>
        <w:autoSpaceDE w:val="0"/>
        <w:autoSpaceDN w:val="0"/>
        <w:spacing w:line="480" w:lineRule="auto"/>
        <w:ind w:right="349"/>
        <w:rPr>
          <w:rFonts w:eastAsia="Arial MT"/>
        </w:rPr>
      </w:pPr>
      <w:r>
        <w:rPr>
          <w:rFonts w:eastAsia="Arial MT"/>
          <w:color w:val="202024"/>
        </w:rPr>
        <w:t>1. In your experience, how important is regular and transparent engagement</w:t>
      </w:r>
      <w:r>
        <w:rPr>
          <w:rFonts w:eastAsia="Arial MT"/>
          <w:color w:val="202024"/>
          <w:spacing w:val="1"/>
        </w:rPr>
        <w:t xml:space="preserve"> </w:t>
      </w:r>
      <w:r>
        <w:rPr>
          <w:rFonts w:eastAsia="Arial MT"/>
          <w:color w:val="202024"/>
        </w:rPr>
        <w:t>between the relevant agencies of government and taxpayers in the annual</w:t>
      </w:r>
      <w:r>
        <w:rPr>
          <w:rFonts w:eastAsia="Arial MT"/>
          <w:color w:val="202024"/>
          <w:spacing w:val="1"/>
        </w:rPr>
        <w:t xml:space="preserve"> </w:t>
      </w:r>
      <w:r>
        <w:rPr>
          <w:rFonts w:eastAsia="Arial MT"/>
          <w:color w:val="202024"/>
        </w:rPr>
        <w:t>budgeting and fiscal objectives setting for achieving clarity, certainty, and</w:t>
      </w:r>
      <w:r>
        <w:rPr>
          <w:rFonts w:eastAsia="Arial MT"/>
          <w:color w:val="202024"/>
          <w:spacing w:val="1"/>
        </w:rPr>
        <w:t xml:space="preserve"> </w:t>
      </w:r>
      <w:r>
        <w:rPr>
          <w:rFonts w:eastAsia="Arial MT"/>
          <w:color w:val="202024"/>
        </w:rPr>
        <w:t>consistency of understanding of Nigeria upstream oil and gas tax legislation and</w:t>
      </w:r>
      <w:r>
        <w:rPr>
          <w:rFonts w:eastAsia="Arial MT"/>
          <w:color w:val="202024"/>
          <w:spacing w:val="-65"/>
        </w:rPr>
        <w:t xml:space="preserve"> </w:t>
      </w:r>
      <w:r>
        <w:rPr>
          <w:rFonts w:eastAsia="Arial MT"/>
          <w:color w:val="202024"/>
        </w:rPr>
        <w:t>compliance.</w:t>
      </w:r>
    </w:p>
    <w:p w14:paraId="64792CF0">
      <w:pPr>
        <w:widowControl w:val="0"/>
        <w:autoSpaceDE w:val="0"/>
        <w:autoSpaceDN w:val="0"/>
        <w:spacing w:before="95"/>
        <w:rPr>
          <w:rFonts w:eastAsia="Arial MT"/>
          <w:i/>
        </w:rPr>
      </w:pPr>
      <w:r>
        <w:rPr>
          <w:rFonts w:eastAsia="Arial MT"/>
          <w:i/>
        </w:rPr>
        <w:t>Mark</w:t>
      </w:r>
      <w:r>
        <w:rPr>
          <w:rFonts w:eastAsia="Arial MT"/>
          <w:i/>
          <w:spacing w:val="-2"/>
        </w:rPr>
        <w:t xml:space="preserve"> </w:t>
      </w:r>
      <w:r>
        <w:rPr>
          <w:rFonts w:eastAsia="Arial MT"/>
          <w:i/>
        </w:rPr>
        <w:t>only</w:t>
      </w:r>
      <w:r>
        <w:rPr>
          <w:rFonts w:eastAsia="Arial MT"/>
          <w:i/>
          <w:spacing w:val="-1"/>
        </w:rPr>
        <w:t xml:space="preserve"> </w:t>
      </w:r>
      <w:r>
        <w:rPr>
          <w:rFonts w:eastAsia="Arial MT"/>
          <w:i/>
        </w:rPr>
        <w:t>one</w:t>
      </w:r>
      <w:r>
        <w:rPr>
          <w:rFonts w:eastAsia="Arial MT"/>
          <w:i/>
          <w:spacing w:val="-1"/>
        </w:rPr>
        <w:t xml:space="preserve"> </w:t>
      </w:r>
      <w:r>
        <w:rPr>
          <w:rFonts w:eastAsia="Arial MT"/>
          <w:i/>
        </w:rPr>
        <w:t>oval.</w:t>
      </w:r>
    </w:p>
    <w:p w14:paraId="17BDD14D">
      <w:pPr>
        <w:widowControl w:val="0"/>
        <w:tabs>
          <w:tab w:val="left" w:pos="1802"/>
          <w:tab w:val="left" w:pos="2282"/>
          <w:tab w:val="left" w:pos="2762"/>
          <w:tab w:val="left" w:pos="3242"/>
        </w:tabs>
        <w:autoSpaceDE w:val="0"/>
        <w:autoSpaceDN w:val="0"/>
        <w:spacing w:before="95"/>
        <w:rPr>
          <w:rFonts w:eastAsia="Arial MT"/>
        </w:rPr>
      </w:pPr>
      <w:r>
        <w:rPr>
          <w:rFonts w:eastAsia="Arial MT"/>
          <w:color w:val="202024"/>
        </w:rPr>
        <w:tab/>
      </w:r>
      <w:r>
        <w:rPr>
          <w:rFonts w:eastAsia="Arial MT"/>
          <w:color w:val="202024"/>
        </w:rPr>
        <w:t xml:space="preserve"> 1</w:t>
      </w:r>
      <w:r>
        <w:rPr>
          <w:rFonts w:eastAsia="Arial MT"/>
          <w:color w:val="202024"/>
        </w:rPr>
        <w:tab/>
      </w:r>
      <w:r>
        <w:rPr>
          <w:rFonts w:eastAsia="Arial MT"/>
          <w:color w:val="202024"/>
        </w:rPr>
        <w:t xml:space="preserve"> 2</w:t>
      </w:r>
      <w:r>
        <w:rPr>
          <w:rFonts w:eastAsia="Arial MT"/>
          <w:color w:val="202024"/>
        </w:rPr>
        <w:tab/>
      </w:r>
      <w:r>
        <w:rPr>
          <w:rFonts w:eastAsia="Arial MT"/>
          <w:color w:val="202024"/>
        </w:rPr>
        <w:t xml:space="preserve"> 3</w:t>
      </w:r>
      <w:r>
        <w:rPr>
          <w:rFonts w:eastAsia="Arial MT"/>
          <w:color w:val="202024"/>
        </w:rPr>
        <w:tab/>
      </w:r>
      <w:r>
        <w:rPr>
          <w:rFonts w:eastAsia="Arial MT"/>
          <w:color w:val="202024"/>
        </w:rPr>
        <w:t xml:space="preserve"> 4</w:t>
      </w:r>
      <w:r>
        <w:rPr>
          <w:rFonts w:eastAsia="Arial MT"/>
          <w:color w:val="202024"/>
        </w:rPr>
        <w:tab/>
      </w:r>
      <w:r>
        <w:rPr>
          <w:rFonts w:eastAsia="Arial MT"/>
          <w:color w:val="202024"/>
        </w:rPr>
        <w:t xml:space="preserve">    5</w:t>
      </w:r>
      <w:r>
        <w:rPr>
          <w:rFonts w:eastAsia="Arial MT"/>
        </w:rPr>
        <w:tab/>
      </w:r>
    </w:p>
    <w:p w14:paraId="68132FD7">
      <w:pPr>
        <w:widowControl w:val="0"/>
        <w:autoSpaceDE w:val="0"/>
        <w:autoSpaceDN w:val="0"/>
        <w:ind w:left="720" w:firstLine="720"/>
        <w:rPr>
          <w:rFonts w:eastAsia="Arial MT"/>
        </w:rPr>
      </w:pPr>
      <w:r>
        <w:rPr>
          <w:rFonts w:eastAsia="Arial MT"/>
          <w:spacing w:val="100"/>
        </w:rPr>
        <w:t xml:space="preserve">  </w:t>
      </w:r>
      <w:r>
        <w:rPr>
          <w:rFonts w:eastAsia="Arial MT"/>
        </w:rPr>
        <w:drawing>
          <wp:inline distT="0" distB="0" distL="0" distR="0">
            <wp:extent cx="209550" cy="171450"/>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a:picLocks noChangeAspect="1"/>
                    </pic:cNvPicPr>
                  </pic:nvPicPr>
                  <pic:blipFill>
                    <a:blip r:embed="rId42"/>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42"/>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pic:cNvPicPr>
                  </pic:nvPicPr>
                  <pic:blipFill>
                    <a:blip r:embed="rId43"/>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pic:cNvPicPr>
                      <a:picLocks noChangeAspect="1"/>
                    </pic:cNvPicPr>
                  </pic:nvPicPr>
                  <pic:blipFill>
                    <a:blip r:embed="rId42"/>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a:picLocks noChangeAspect="1"/>
                    </pic:cNvPicPr>
                  </pic:nvPicPr>
                  <pic:blipFill>
                    <a:blip r:embed="rId44"/>
                    <a:stretch>
                      <a:fillRect/>
                    </a:stretch>
                  </pic:blipFill>
                  <pic:spPr>
                    <a:xfrm>
                      <a:off x="0" y="0"/>
                      <a:ext cx="209550" cy="171450"/>
                    </a:xfrm>
                    <a:prstGeom prst="rect">
                      <a:avLst/>
                    </a:prstGeom>
                    <a:noFill/>
                    <a:ln>
                      <a:noFill/>
                    </a:ln>
                  </pic:spPr>
                </pic:pic>
              </a:graphicData>
            </a:graphic>
          </wp:inline>
        </w:drawing>
      </w:r>
    </w:p>
    <w:p w14:paraId="431F4623">
      <w:pPr>
        <w:widowControl w:val="0"/>
        <w:autoSpaceDE w:val="0"/>
        <w:autoSpaceDN w:val="0"/>
        <w:spacing w:before="6"/>
        <w:rPr>
          <w:rFonts w:eastAsia="Arial MT"/>
        </w:rPr>
      </w:pPr>
    </w:p>
    <w:p w14:paraId="21D2904C">
      <w:pPr>
        <w:pStyle w:val="52"/>
        <w:widowControl w:val="0"/>
        <w:numPr>
          <w:ilvl w:val="0"/>
          <w:numId w:val="41"/>
        </w:numPr>
        <w:tabs>
          <w:tab w:val="left" w:pos="602"/>
          <w:tab w:val="left" w:pos="604"/>
        </w:tabs>
        <w:autoSpaceDE w:val="0"/>
        <w:autoSpaceDN w:val="0"/>
        <w:spacing w:before="95" w:line="480" w:lineRule="auto"/>
        <w:ind w:right="736"/>
        <w:jc w:val="both"/>
        <w:rPr>
          <w:rFonts w:ascii="Times New Roman" w:hAnsi="Times New Roman" w:eastAsia="Arial MT" w:cs="Times New Roman"/>
          <w:sz w:val="24"/>
          <w:szCs w:val="24"/>
        </w:rPr>
      </w:pPr>
      <w:r>
        <w:rPr>
          <w:rFonts w:ascii="Times New Roman" w:hAnsi="Times New Roman" w:eastAsia="Arial MT" w:cs="Times New Roman"/>
          <w:color w:val="202024"/>
          <w:sz w:val="24"/>
          <w:szCs w:val="24"/>
        </w:rPr>
        <w:t>2. In your experience how essential or important is clear policy articulation in</w:t>
      </w:r>
      <w:r>
        <w:rPr>
          <w:rFonts w:ascii="Times New Roman" w:hAnsi="Times New Roman" w:eastAsia="Arial MT" w:cs="Times New Roman"/>
          <w:color w:val="202024"/>
          <w:spacing w:val="-64"/>
          <w:sz w:val="24"/>
          <w:szCs w:val="24"/>
        </w:rPr>
        <w:t xml:space="preserve"> </w:t>
      </w:r>
      <w:r>
        <w:rPr>
          <w:rFonts w:ascii="Times New Roman" w:hAnsi="Times New Roman" w:eastAsia="Arial MT" w:cs="Times New Roman"/>
          <w:color w:val="202024"/>
          <w:sz w:val="24"/>
          <w:szCs w:val="24"/>
        </w:rPr>
        <w:t>drafting clear upstream oil and gas tax legislation.</w:t>
      </w:r>
    </w:p>
    <w:p w14:paraId="25F67673">
      <w:pPr>
        <w:widowControl w:val="0"/>
        <w:autoSpaceDE w:val="0"/>
        <w:autoSpaceDN w:val="0"/>
        <w:spacing w:before="96"/>
        <w:rPr>
          <w:rFonts w:eastAsia="Arial MT"/>
          <w:i/>
        </w:rPr>
      </w:pPr>
      <w:r>
        <w:rPr>
          <w:rFonts w:eastAsia="Arial MT"/>
          <w:i/>
        </w:rPr>
        <w:t>Mark</w:t>
      </w:r>
      <w:r>
        <w:rPr>
          <w:rFonts w:eastAsia="Arial MT"/>
          <w:i/>
          <w:spacing w:val="-2"/>
        </w:rPr>
        <w:t xml:space="preserve"> </w:t>
      </w:r>
      <w:r>
        <w:rPr>
          <w:rFonts w:eastAsia="Arial MT"/>
          <w:i/>
        </w:rPr>
        <w:t>only</w:t>
      </w:r>
      <w:r>
        <w:rPr>
          <w:rFonts w:eastAsia="Arial MT"/>
          <w:i/>
          <w:spacing w:val="-1"/>
        </w:rPr>
        <w:t xml:space="preserve"> </w:t>
      </w:r>
      <w:r>
        <w:rPr>
          <w:rFonts w:eastAsia="Arial MT"/>
          <w:i/>
        </w:rPr>
        <w:t>one</w:t>
      </w:r>
      <w:r>
        <w:rPr>
          <w:rFonts w:eastAsia="Arial MT"/>
          <w:i/>
          <w:spacing w:val="-1"/>
        </w:rPr>
        <w:t xml:space="preserve"> </w:t>
      </w:r>
      <w:r>
        <w:rPr>
          <w:rFonts w:eastAsia="Arial MT"/>
          <w:i/>
        </w:rPr>
        <w:t>oval.</w:t>
      </w:r>
    </w:p>
    <w:p w14:paraId="7B2ACE26">
      <w:pPr>
        <w:widowControl w:val="0"/>
        <w:tabs>
          <w:tab w:val="left" w:pos="1802"/>
          <w:tab w:val="left" w:pos="2282"/>
          <w:tab w:val="left" w:pos="2762"/>
          <w:tab w:val="left" w:pos="3242"/>
        </w:tabs>
        <w:autoSpaceDE w:val="0"/>
        <w:autoSpaceDN w:val="0"/>
        <w:spacing w:before="96"/>
        <w:rPr>
          <w:rFonts w:eastAsia="Arial MT"/>
        </w:rPr>
      </w:pPr>
      <w:r>
        <w:rPr>
          <w:rFonts w:eastAsia="Arial MT"/>
          <w:color w:val="202024"/>
        </w:rPr>
        <w:tab/>
      </w:r>
      <w:r>
        <w:rPr>
          <w:rFonts w:eastAsia="Arial MT"/>
          <w:color w:val="202024"/>
        </w:rPr>
        <w:t xml:space="preserve"> 1</w:t>
      </w:r>
      <w:r>
        <w:rPr>
          <w:rFonts w:eastAsia="Arial MT"/>
          <w:color w:val="202024"/>
        </w:rPr>
        <w:tab/>
      </w:r>
      <w:r>
        <w:rPr>
          <w:rFonts w:eastAsia="Arial MT"/>
          <w:color w:val="202024"/>
        </w:rPr>
        <w:t xml:space="preserve"> 2</w:t>
      </w:r>
      <w:r>
        <w:rPr>
          <w:rFonts w:eastAsia="Arial MT"/>
          <w:color w:val="202024"/>
        </w:rPr>
        <w:tab/>
      </w:r>
      <w:r>
        <w:rPr>
          <w:rFonts w:eastAsia="Arial MT"/>
          <w:color w:val="202024"/>
        </w:rPr>
        <w:t xml:space="preserve"> 3</w:t>
      </w:r>
      <w:r>
        <w:rPr>
          <w:rFonts w:eastAsia="Arial MT"/>
          <w:color w:val="202024"/>
        </w:rPr>
        <w:tab/>
      </w:r>
      <w:r>
        <w:rPr>
          <w:rFonts w:eastAsia="Arial MT"/>
          <w:color w:val="202024"/>
        </w:rPr>
        <w:t xml:space="preserve"> 4</w:t>
      </w:r>
      <w:r>
        <w:rPr>
          <w:rFonts w:eastAsia="Arial MT"/>
          <w:color w:val="202024"/>
        </w:rPr>
        <w:tab/>
      </w:r>
      <w:r>
        <w:rPr>
          <w:rFonts w:eastAsia="Arial MT"/>
          <w:color w:val="202024"/>
        </w:rPr>
        <w:t xml:space="preserve">   5</w:t>
      </w:r>
    </w:p>
    <w:p w14:paraId="343386BC">
      <w:pPr>
        <w:widowControl w:val="0"/>
        <w:autoSpaceDE w:val="0"/>
        <w:autoSpaceDN w:val="0"/>
        <w:rPr>
          <w:rFonts w:eastAsia="Arial MT"/>
        </w:rPr>
      </w:pPr>
      <w:r>
        <w:rPr>
          <w:rFonts w:eastAsia="Arial MT"/>
          <w:spacing w:val="100"/>
        </w:rPr>
        <w:t xml:space="preserve">           </w:t>
      </w:r>
      <w:r>
        <w:rPr>
          <w:rFonts w:eastAsia="Arial MT"/>
        </w:rPr>
        <w:drawing>
          <wp:inline distT="0" distB="0" distL="0" distR="0">
            <wp:extent cx="209550" cy="171450"/>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pic:cNvPicPr>
                      <a:picLocks noChangeAspect="1"/>
                    </pic:cNvPicPr>
                  </pic:nvPicPr>
                  <pic:blipFill>
                    <a:blip r:embed="rId45"/>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a:picLocks noChangeAspect="1"/>
                    </pic:cNvPicPr>
                  </pic:nvPicPr>
                  <pic:blipFill>
                    <a:blip r:embed="rId46"/>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png"/>
                    <pic:cNvPicPr>
                      <a:picLocks noChangeAspect="1"/>
                    </pic:cNvPicPr>
                  </pic:nvPicPr>
                  <pic:blipFill>
                    <a:blip r:embed="rId47"/>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a:picLocks noChangeAspect="1"/>
                    </pic:cNvPicPr>
                  </pic:nvPicPr>
                  <pic:blipFill>
                    <a:blip r:embed="rId45"/>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pic:cNvPicPr>
                      <a:picLocks noChangeAspect="1"/>
                    </pic:cNvPicPr>
                  </pic:nvPicPr>
                  <pic:blipFill>
                    <a:blip r:embed="rId48"/>
                    <a:stretch>
                      <a:fillRect/>
                    </a:stretch>
                  </pic:blipFill>
                  <pic:spPr>
                    <a:xfrm>
                      <a:off x="0" y="0"/>
                      <a:ext cx="209550" cy="171450"/>
                    </a:xfrm>
                    <a:prstGeom prst="rect">
                      <a:avLst/>
                    </a:prstGeom>
                    <a:noFill/>
                    <a:ln>
                      <a:noFill/>
                    </a:ln>
                  </pic:spPr>
                </pic:pic>
              </a:graphicData>
            </a:graphic>
          </wp:inline>
        </w:drawing>
      </w:r>
    </w:p>
    <w:p w14:paraId="37C4A8BF">
      <w:pPr>
        <w:widowControl w:val="0"/>
        <w:autoSpaceDE w:val="0"/>
        <w:autoSpaceDN w:val="0"/>
        <w:spacing w:before="6"/>
        <w:rPr>
          <w:rFonts w:eastAsia="Arial MT"/>
        </w:rPr>
      </w:pPr>
    </w:p>
    <w:p w14:paraId="0E8A880C">
      <w:pPr>
        <w:pStyle w:val="52"/>
        <w:widowControl w:val="0"/>
        <w:numPr>
          <w:ilvl w:val="0"/>
          <w:numId w:val="41"/>
        </w:numPr>
        <w:tabs>
          <w:tab w:val="left" w:pos="602"/>
          <w:tab w:val="left" w:pos="604"/>
        </w:tabs>
        <w:autoSpaceDE w:val="0"/>
        <w:autoSpaceDN w:val="0"/>
        <w:spacing w:before="95" w:line="480" w:lineRule="auto"/>
        <w:ind w:right="271"/>
        <w:jc w:val="both"/>
        <w:rPr>
          <w:rFonts w:ascii="Times New Roman" w:hAnsi="Times New Roman" w:eastAsia="Arial MT" w:cs="Times New Roman"/>
          <w:color w:val="auto"/>
          <w:sz w:val="24"/>
          <w:szCs w:val="24"/>
        </w:rPr>
      </w:pPr>
      <w:r>
        <w:rPr>
          <w:rFonts w:ascii="Times New Roman" w:hAnsi="Times New Roman" w:eastAsia="Arial MT" w:cs="Times New Roman"/>
          <w:color w:val="auto"/>
          <w:sz w:val="24"/>
          <w:szCs w:val="24"/>
        </w:rPr>
        <w:t>3. Clear fiscal policy objectives, principle driven tax policy, and drafting</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competence by the relevant ministries and agencies, i.e. Ministry of Petroleum</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Resources (MPR), Finance (MoF), Justice (MoJ), the Nigeria National Petroleum</w:t>
      </w:r>
      <w:r>
        <w:rPr>
          <w:rFonts w:ascii="Times New Roman" w:hAnsi="Times New Roman" w:eastAsia="Arial MT" w:cs="Times New Roman"/>
          <w:color w:val="auto"/>
          <w:spacing w:val="-64"/>
          <w:sz w:val="24"/>
          <w:szCs w:val="24"/>
        </w:rPr>
        <w:t xml:space="preserve"> </w:t>
      </w:r>
      <w:r>
        <w:rPr>
          <w:rFonts w:ascii="Times New Roman" w:hAnsi="Times New Roman" w:eastAsia="Arial MT" w:cs="Times New Roman"/>
          <w:color w:val="auto"/>
          <w:sz w:val="24"/>
          <w:szCs w:val="24"/>
        </w:rPr>
        <w:t>Corporation (NNPC), and the National Assembly (NA), play a vital role in making</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and drafting clear and certain upstream petroleum tax laws.</w:t>
      </w:r>
    </w:p>
    <w:p w14:paraId="7391F3F8">
      <w:pPr>
        <w:widowControl w:val="0"/>
        <w:autoSpaceDE w:val="0"/>
        <w:autoSpaceDN w:val="0"/>
        <w:spacing w:before="6" w:line="480" w:lineRule="auto"/>
        <w:jc w:val="both"/>
        <w:rPr>
          <w:rFonts w:eastAsia="Arial MT"/>
        </w:rPr>
      </w:pPr>
    </w:p>
    <w:p w14:paraId="41497977">
      <w:pPr>
        <w:widowControl w:val="0"/>
        <w:autoSpaceDE w:val="0"/>
        <w:autoSpaceDN w:val="0"/>
        <w:jc w:val="both"/>
        <w:rPr>
          <w:rFonts w:eastAsia="Arial MT"/>
          <w:color w:val="202024"/>
        </w:rPr>
      </w:pPr>
      <w:r>
        <w:rPr>
          <w:rFonts w:eastAsia="Arial MT"/>
          <w:i/>
        </w:rPr>
        <w:t>Mark</w:t>
      </w:r>
      <w:r>
        <w:rPr>
          <w:rFonts w:eastAsia="Arial MT"/>
          <w:i/>
          <w:spacing w:val="-2"/>
        </w:rPr>
        <w:t xml:space="preserve"> </w:t>
      </w:r>
      <w:r>
        <w:rPr>
          <w:rFonts w:eastAsia="Arial MT"/>
          <w:i/>
        </w:rPr>
        <w:t>only</w:t>
      </w:r>
      <w:r>
        <w:rPr>
          <w:rFonts w:eastAsia="Arial MT"/>
          <w:i/>
          <w:spacing w:val="-1"/>
        </w:rPr>
        <w:t xml:space="preserve"> </w:t>
      </w:r>
      <w:r>
        <w:rPr>
          <w:rFonts w:eastAsia="Arial MT"/>
          <w:i/>
        </w:rPr>
        <w:t>one</w:t>
      </w:r>
      <w:r>
        <w:rPr>
          <w:rFonts w:eastAsia="Arial MT"/>
          <w:i/>
          <w:spacing w:val="-1"/>
        </w:rPr>
        <w:t xml:space="preserve"> </w:t>
      </w:r>
      <w:r>
        <w:rPr>
          <w:rFonts w:eastAsia="Arial MT"/>
          <w:i/>
        </w:rPr>
        <w:t>oval.</w:t>
      </w:r>
    </w:p>
    <w:p w14:paraId="3AC5942F">
      <w:pPr>
        <w:widowControl w:val="0"/>
        <w:autoSpaceDE w:val="0"/>
        <w:autoSpaceDN w:val="0"/>
        <w:jc w:val="both"/>
        <w:rPr>
          <w:rFonts w:eastAsia="Arial MT"/>
          <w:i/>
        </w:rPr>
      </w:pPr>
      <w:r>
        <w:rPr>
          <w:rFonts w:eastAsia="Arial MT"/>
          <w:color w:val="202024"/>
        </w:rPr>
        <w:tab/>
      </w:r>
    </w:p>
    <w:p w14:paraId="48D2B3A1">
      <w:pPr>
        <w:widowControl w:val="0"/>
        <w:autoSpaceDE w:val="0"/>
        <w:autoSpaceDN w:val="0"/>
        <w:ind w:left="1440"/>
        <w:jc w:val="both"/>
        <w:rPr>
          <w:rFonts w:ascii="Roboto" w:hAnsi="Arial MT" w:eastAsia="Arial MT" w:cs="Arial MT"/>
          <w:sz w:val="13"/>
        </w:rPr>
      </w:pPr>
      <w:r>
        <w:rPr>
          <w:rFonts w:eastAsia="Arial MT"/>
          <w:color w:val="202024"/>
        </w:rPr>
        <w:t xml:space="preserve">       1</w:t>
      </w:r>
      <w:r>
        <w:rPr>
          <w:rFonts w:eastAsia="Arial MT"/>
          <w:color w:val="202024"/>
        </w:rPr>
        <w:tab/>
      </w:r>
      <w:r>
        <w:rPr>
          <w:rFonts w:eastAsia="Arial MT"/>
          <w:color w:val="202024"/>
        </w:rPr>
        <w:t xml:space="preserve">   2      3      4</w:t>
      </w:r>
      <w:r>
        <w:rPr>
          <w:rFonts w:eastAsia="Arial MT"/>
          <w:color w:val="202024"/>
        </w:rPr>
        <w:tab/>
      </w:r>
      <w:r>
        <w:rPr>
          <w:rFonts w:eastAsia="Arial MT"/>
          <w:color w:val="202024"/>
        </w:rPr>
        <w:t xml:space="preserve">   5</w:t>
      </w:r>
    </w:p>
    <w:p w14:paraId="5641F82F">
      <w:pPr>
        <w:widowControl w:val="0"/>
        <w:autoSpaceDE w:val="0"/>
        <w:autoSpaceDN w:val="0"/>
        <w:ind w:firstLine="720"/>
        <w:jc w:val="both"/>
        <w:rPr>
          <w:rFonts w:hAnsi="Arial MT" w:eastAsia="Arial MT" w:cs="Arial MT"/>
          <w:spacing w:val="100"/>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a:picLocks noChangeAspect="1"/>
                    </pic:cNvPicPr>
                  </pic:nvPicPr>
                  <pic:blipFill>
                    <a:blip r:embed="rId49"/>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50"/>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a:picLocks noChangeAspect="1"/>
                    </pic:cNvPicPr>
                  </pic:nvPicPr>
                  <pic:blipFill>
                    <a:blip r:embed="rId50"/>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pic:cNvPicPr>
                      <a:picLocks noChangeAspect="1"/>
                    </pic:cNvPicPr>
                  </pic:nvPicPr>
                  <pic:blipFill>
                    <a:blip r:embed="rId49"/>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2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a:picLocks noChangeAspect="1"/>
                    </pic:cNvPicPr>
                  </pic:nvPicPr>
                  <pic:blipFill>
                    <a:blip r:embed="rId49"/>
                    <a:stretch>
                      <a:fillRect/>
                    </a:stretch>
                  </pic:blipFill>
                  <pic:spPr>
                    <a:xfrm>
                      <a:off x="0" y="0"/>
                      <a:ext cx="209550" cy="171450"/>
                    </a:xfrm>
                    <a:prstGeom prst="rect">
                      <a:avLst/>
                    </a:prstGeom>
                    <a:noFill/>
                    <a:ln>
                      <a:noFill/>
                    </a:ln>
                  </pic:spPr>
                </pic:pic>
              </a:graphicData>
            </a:graphic>
          </wp:inline>
        </w:drawing>
      </w:r>
    </w:p>
    <w:p w14:paraId="3BDB14F7">
      <w:pPr>
        <w:widowControl w:val="0"/>
        <w:autoSpaceDE w:val="0"/>
        <w:autoSpaceDN w:val="0"/>
        <w:ind w:firstLine="720"/>
        <w:jc w:val="both"/>
        <w:rPr>
          <w:rFonts w:ascii="Roboto" w:hAnsi="Arial MT" w:eastAsia="Arial MT" w:cs="Arial MT"/>
          <w:sz w:val="20"/>
          <w:szCs w:val="22"/>
        </w:rPr>
      </w:pPr>
    </w:p>
    <w:p w14:paraId="5EC0252A">
      <w:pPr>
        <w:widowControl w:val="0"/>
        <w:autoSpaceDE w:val="0"/>
        <w:autoSpaceDN w:val="0"/>
        <w:spacing w:before="6"/>
        <w:rPr>
          <w:rFonts w:ascii="Roboto" w:hAnsi="Arial MT" w:eastAsia="Arial MT" w:cs="Arial MT"/>
          <w:sz w:val="5"/>
        </w:rPr>
      </w:pPr>
    </w:p>
    <w:p w14:paraId="0C5EA982">
      <w:pPr>
        <w:widowControl w:val="0"/>
        <w:numPr>
          <w:ilvl w:val="0"/>
          <w:numId w:val="41"/>
        </w:numPr>
        <w:tabs>
          <w:tab w:val="left" w:pos="602"/>
          <w:tab w:val="left" w:pos="604"/>
        </w:tabs>
        <w:autoSpaceDE w:val="0"/>
        <w:autoSpaceDN w:val="0"/>
        <w:spacing w:before="95" w:line="480" w:lineRule="auto"/>
        <w:ind w:right="509"/>
        <w:jc w:val="both"/>
        <w:rPr>
          <w:rFonts w:eastAsia="Arial MT"/>
        </w:rPr>
      </w:pPr>
      <w:r>
        <w:rPr>
          <w:rFonts w:eastAsia="Arial MT"/>
        </w:rPr>
        <w:t xml:space="preserve">4. In your experience, how important is the use of appropriate and well-defined </w:t>
      </w:r>
      <w:r>
        <w:rPr>
          <w:rFonts w:eastAsia="Arial MT"/>
          <w:spacing w:val="-65"/>
        </w:rPr>
        <w:t xml:space="preserve">   </w:t>
      </w:r>
      <w:r>
        <w:rPr>
          <w:rFonts w:eastAsia="Arial MT"/>
        </w:rPr>
        <w:t>words and concepts in achieving clarity and certainty in upstream oil and gas</w:t>
      </w:r>
      <w:r>
        <w:rPr>
          <w:rFonts w:eastAsia="Arial MT"/>
          <w:spacing w:val="1"/>
        </w:rPr>
        <w:t xml:space="preserve"> </w:t>
      </w:r>
      <w:r>
        <w:rPr>
          <w:rFonts w:eastAsia="Arial MT"/>
        </w:rPr>
        <w:t>fiscal and tax policy and tax legislation.</w:t>
      </w:r>
    </w:p>
    <w:p w14:paraId="26998D43">
      <w:pPr>
        <w:widowControl w:val="0"/>
        <w:autoSpaceDE w:val="0"/>
        <w:autoSpaceDN w:val="0"/>
        <w:spacing w:before="95"/>
        <w:jc w:val="both"/>
        <w:rPr>
          <w:rFonts w:eastAsia="Arial MT"/>
          <w:i/>
        </w:rPr>
      </w:pPr>
      <w:r>
        <w:rPr>
          <w:rFonts w:eastAsia="Arial MT"/>
          <w:i/>
        </w:rPr>
        <w:t>Mark</w:t>
      </w:r>
      <w:r>
        <w:rPr>
          <w:rFonts w:eastAsia="Arial MT"/>
          <w:i/>
          <w:spacing w:val="-2"/>
        </w:rPr>
        <w:t xml:space="preserve"> </w:t>
      </w:r>
      <w:r>
        <w:rPr>
          <w:rFonts w:eastAsia="Arial MT"/>
          <w:i/>
        </w:rPr>
        <w:t>only</w:t>
      </w:r>
      <w:r>
        <w:rPr>
          <w:rFonts w:eastAsia="Arial MT"/>
          <w:i/>
          <w:spacing w:val="-1"/>
        </w:rPr>
        <w:t xml:space="preserve"> </w:t>
      </w:r>
      <w:r>
        <w:rPr>
          <w:rFonts w:eastAsia="Arial MT"/>
          <w:i/>
        </w:rPr>
        <w:t>one</w:t>
      </w:r>
      <w:r>
        <w:rPr>
          <w:rFonts w:eastAsia="Arial MT"/>
          <w:i/>
          <w:spacing w:val="-1"/>
        </w:rPr>
        <w:t xml:space="preserve"> </w:t>
      </w:r>
      <w:r>
        <w:rPr>
          <w:rFonts w:eastAsia="Arial MT"/>
          <w:i/>
        </w:rPr>
        <w:t>oval.</w:t>
      </w:r>
      <w:r>
        <w:rPr>
          <w:rFonts w:eastAsia="Arial MT"/>
        </w:rPr>
        <w:tab/>
      </w:r>
      <w:r>
        <w:rPr>
          <w:rFonts w:eastAsia="Arial MT"/>
        </w:rPr>
        <w:tab/>
      </w:r>
    </w:p>
    <w:p w14:paraId="6BCCFD2F">
      <w:pPr>
        <w:widowControl w:val="0"/>
        <w:autoSpaceDE w:val="0"/>
        <w:autoSpaceDN w:val="0"/>
        <w:spacing w:before="95"/>
        <w:jc w:val="both"/>
        <w:rPr>
          <w:rFonts w:eastAsia="Arial MT"/>
        </w:rPr>
      </w:pPr>
      <w:r>
        <w:rPr>
          <w:rFonts w:eastAsia="Arial MT"/>
          <w:i/>
        </w:rPr>
        <w:tab/>
      </w:r>
      <w:r>
        <w:rPr>
          <w:rFonts w:eastAsia="Arial MT"/>
          <w:i/>
        </w:rPr>
        <w:tab/>
      </w:r>
      <w:r>
        <w:rPr>
          <w:rFonts w:eastAsia="Arial MT"/>
          <w:i/>
        </w:rPr>
        <w:t xml:space="preserve">         </w:t>
      </w:r>
      <w:r>
        <w:rPr>
          <w:rFonts w:eastAsia="Arial MT"/>
        </w:rPr>
        <w:t>1</w:t>
      </w:r>
      <w:r>
        <w:rPr>
          <w:rFonts w:eastAsia="Arial MT"/>
        </w:rPr>
        <w:tab/>
      </w:r>
      <w:r>
        <w:rPr>
          <w:rFonts w:eastAsia="Arial MT"/>
        </w:rPr>
        <w:t xml:space="preserve">      2</w:t>
      </w:r>
      <w:r>
        <w:rPr>
          <w:rFonts w:eastAsia="Arial MT"/>
        </w:rPr>
        <w:tab/>
      </w:r>
      <w:r>
        <w:rPr>
          <w:rFonts w:eastAsia="Arial MT"/>
        </w:rPr>
        <w:t xml:space="preserve">  3       4       5</w:t>
      </w:r>
    </w:p>
    <w:p w14:paraId="3219D69B">
      <w:pPr>
        <w:widowControl w:val="0"/>
        <w:autoSpaceDE w:val="0"/>
        <w:autoSpaceDN w:val="0"/>
        <w:jc w:val="both"/>
        <w:rPr>
          <w:rFonts w:eastAsia="Arial MT"/>
        </w:rPr>
      </w:pPr>
      <w:r>
        <w:rPr>
          <w:rFonts w:eastAsia="Arial MT"/>
          <w:spacing w:val="100"/>
        </w:rPr>
        <w:t xml:space="preserve">            </w:t>
      </w:r>
      <w:r>
        <w:rPr>
          <w:rFonts w:eastAsia="Arial MT"/>
        </w:rPr>
        <w:drawing>
          <wp:inline distT="0" distB="0" distL="0" distR="0">
            <wp:extent cx="209550" cy="171450"/>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51"/>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a:picLocks noChangeAspect="1"/>
                    </pic:cNvPicPr>
                  </pic:nvPicPr>
                  <pic:blipFill>
                    <a:blip r:embed="rId52"/>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53"/>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a:picLocks noChangeAspect="1"/>
                    </pic:cNvPicPr>
                  </pic:nvPicPr>
                  <pic:blipFill>
                    <a:blip r:embed="rId54"/>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55"/>
                    <a:stretch>
                      <a:fillRect/>
                    </a:stretch>
                  </pic:blipFill>
                  <pic:spPr>
                    <a:xfrm>
                      <a:off x="0" y="0"/>
                      <a:ext cx="209550" cy="171450"/>
                    </a:xfrm>
                    <a:prstGeom prst="rect">
                      <a:avLst/>
                    </a:prstGeom>
                    <a:noFill/>
                    <a:ln>
                      <a:noFill/>
                    </a:ln>
                  </pic:spPr>
                </pic:pic>
              </a:graphicData>
            </a:graphic>
          </wp:inline>
        </w:drawing>
      </w:r>
    </w:p>
    <w:p w14:paraId="244ACCC1">
      <w:pPr>
        <w:widowControl w:val="0"/>
        <w:autoSpaceDE w:val="0"/>
        <w:autoSpaceDN w:val="0"/>
        <w:spacing w:before="6"/>
        <w:jc w:val="both"/>
        <w:rPr>
          <w:rFonts w:eastAsia="Arial MT"/>
        </w:rPr>
      </w:pPr>
    </w:p>
    <w:p w14:paraId="649DD6C9">
      <w:pPr>
        <w:widowControl w:val="0"/>
        <w:autoSpaceDE w:val="0"/>
        <w:autoSpaceDN w:val="0"/>
        <w:rPr>
          <w:rFonts w:ascii="Roboto" w:hAnsi="Arial MT" w:eastAsia="Arial MT" w:cs="Arial MT"/>
          <w:sz w:val="20"/>
        </w:rPr>
      </w:pPr>
    </w:p>
    <w:p w14:paraId="1645D296">
      <w:pPr>
        <w:widowControl w:val="0"/>
        <w:autoSpaceDE w:val="0"/>
        <w:autoSpaceDN w:val="0"/>
        <w:rPr>
          <w:rFonts w:ascii="Roboto" w:hAnsi="Arial MT" w:eastAsia="Arial MT" w:cs="Arial MT"/>
          <w:sz w:val="20"/>
        </w:rPr>
      </w:pPr>
    </w:p>
    <w:p w14:paraId="0FAC77BF">
      <w:pPr>
        <w:pStyle w:val="52"/>
        <w:widowControl w:val="0"/>
        <w:numPr>
          <w:ilvl w:val="0"/>
          <w:numId w:val="35"/>
        </w:numPr>
        <w:tabs>
          <w:tab w:val="left" w:pos="602"/>
          <w:tab w:val="left" w:pos="604"/>
        </w:tabs>
        <w:autoSpaceDE w:val="0"/>
        <w:autoSpaceDN w:val="0"/>
        <w:spacing w:before="95" w:line="480" w:lineRule="auto"/>
        <w:ind w:right="220"/>
        <w:jc w:val="both"/>
        <w:rPr>
          <w:rFonts w:ascii="Times New Roman" w:hAnsi="Times New Roman" w:eastAsia="Arial MT" w:cs="Times New Roman"/>
          <w:color w:val="auto"/>
          <w:sz w:val="24"/>
          <w:szCs w:val="24"/>
        </w:rPr>
      </w:pPr>
      <w:r>
        <w:rPr>
          <w:rFonts w:ascii="Times New Roman" w:hAnsi="Times New Roman" w:eastAsia="Arial MT" w:cs="Times New Roman"/>
          <w:color w:val="202024"/>
          <w:sz w:val="24"/>
          <w:szCs w:val="24"/>
        </w:rPr>
        <w:t>5. The allocation of fiscal and taxing powers between the federating units in</w:t>
      </w:r>
      <w:r>
        <w:rPr>
          <w:rFonts w:ascii="Times New Roman" w:hAnsi="Times New Roman" w:eastAsia="Arial MT" w:cs="Times New Roman"/>
          <w:color w:val="202024"/>
          <w:spacing w:val="1"/>
          <w:sz w:val="24"/>
          <w:szCs w:val="24"/>
        </w:rPr>
        <w:t xml:space="preserve"> </w:t>
      </w:r>
      <w:r>
        <w:rPr>
          <w:rFonts w:ascii="Times New Roman" w:hAnsi="Times New Roman" w:eastAsia="Arial MT" w:cs="Times New Roman"/>
          <w:color w:val="202024"/>
          <w:sz w:val="24"/>
          <w:szCs w:val="24"/>
        </w:rPr>
        <w:t xml:space="preserve">Nigeria and </w:t>
      </w:r>
      <w:r>
        <w:rPr>
          <w:rFonts w:ascii="Times New Roman" w:hAnsi="Times New Roman" w:eastAsia="Arial MT" w:cs="Times New Roman"/>
          <w:color w:val="auto"/>
          <w:sz w:val="24"/>
          <w:szCs w:val="24"/>
        </w:rPr>
        <w:t>the competition for revenue capture impacts tax law making and</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collection,</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as</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well</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as</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the</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clarity,</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certainty,</w:t>
      </w:r>
      <w:r>
        <w:rPr>
          <w:rFonts w:ascii="Times New Roman" w:hAnsi="Times New Roman" w:eastAsia="Arial MT" w:cs="Times New Roman"/>
          <w:color w:val="auto"/>
          <w:spacing w:val="-2"/>
          <w:sz w:val="24"/>
          <w:szCs w:val="24"/>
        </w:rPr>
        <w:t xml:space="preserve"> </w:t>
      </w:r>
      <w:r>
        <w:rPr>
          <w:rFonts w:ascii="Times New Roman" w:hAnsi="Times New Roman" w:eastAsia="Arial MT" w:cs="Times New Roman"/>
          <w:color w:val="auto"/>
          <w:sz w:val="24"/>
          <w:szCs w:val="24"/>
        </w:rPr>
        <w:t>and</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consistency</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of</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understanding</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of</w:t>
      </w:r>
      <w:r>
        <w:rPr>
          <w:rFonts w:ascii="Times New Roman" w:hAnsi="Times New Roman" w:eastAsia="Arial MT" w:cs="Times New Roman"/>
          <w:color w:val="auto"/>
          <w:spacing w:val="-3"/>
          <w:sz w:val="24"/>
          <w:szCs w:val="24"/>
        </w:rPr>
        <w:t xml:space="preserve"> </w:t>
      </w:r>
      <w:r>
        <w:rPr>
          <w:rFonts w:ascii="Times New Roman" w:hAnsi="Times New Roman" w:eastAsia="Arial MT" w:cs="Times New Roman"/>
          <w:color w:val="auto"/>
          <w:sz w:val="24"/>
          <w:szCs w:val="24"/>
        </w:rPr>
        <w:t>the</w:t>
      </w:r>
      <w:r>
        <w:rPr>
          <w:rFonts w:ascii="Times New Roman" w:hAnsi="Times New Roman" w:eastAsia="Arial MT" w:cs="Times New Roman"/>
          <w:color w:val="auto"/>
          <w:spacing w:val="-63"/>
          <w:sz w:val="24"/>
          <w:szCs w:val="24"/>
        </w:rPr>
        <w:t xml:space="preserve"> </w:t>
      </w:r>
      <w:r>
        <w:rPr>
          <w:rFonts w:ascii="Times New Roman" w:hAnsi="Times New Roman" w:eastAsia="Arial MT" w:cs="Times New Roman"/>
          <w:color w:val="auto"/>
          <w:sz w:val="24"/>
          <w:szCs w:val="24"/>
        </w:rPr>
        <w:t>Upstream petroleum tax legislation.</w:t>
      </w:r>
    </w:p>
    <w:p w14:paraId="667A9727">
      <w:pPr>
        <w:widowControl w:val="0"/>
        <w:autoSpaceDE w:val="0"/>
        <w:autoSpaceDN w:val="0"/>
        <w:spacing w:before="96"/>
        <w:jc w:val="both"/>
        <w:rPr>
          <w:rFonts w:eastAsia="Arial MT"/>
          <w:i/>
        </w:rPr>
      </w:pPr>
      <w:r>
        <w:rPr>
          <w:rFonts w:eastAsia="Arial MT"/>
          <w:i/>
        </w:rPr>
        <w:t>Mark</w:t>
      </w:r>
      <w:r>
        <w:rPr>
          <w:rFonts w:eastAsia="Arial MT"/>
          <w:i/>
          <w:spacing w:val="-2"/>
        </w:rPr>
        <w:t xml:space="preserve"> </w:t>
      </w:r>
      <w:r>
        <w:rPr>
          <w:rFonts w:eastAsia="Arial MT"/>
          <w:i/>
        </w:rPr>
        <w:t>only</w:t>
      </w:r>
      <w:r>
        <w:rPr>
          <w:rFonts w:eastAsia="Arial MT"/>
          <w:i/>
          <w:spacing w:val="-1"/>
        </w:rPr>
        <w:t xml:space="preserve"> </w:t>
      </w:r>
      <w:r>
        <w:rPr>
          <w:rFonts w:eastAsia="Arial MT"/>
          <w:i/>
        </w:rPr>
        <w:t>one</w:t>
      </w:r>
      <w:r>
        <w:rPr>
          <w:rFonts w:eastAsia="Arial MT"/>
          <w:i/>
          <w:spacing w:val="-1"/>
        </w:rPr>
        <w:t xml:space="preserve"> </w:t>
      </w:r>
      <w:r>
        <w:rPr>
          <w:rFonts w:eastAsia="Arial MT"/>
          <w:i/>
        </w:rPr>
        <w:t>oval.</w:t>
      </w:r>
      <w:r>
        <w:rPr>
          <w:rFonts w:eastAsia="Arial MT"/>
        </w:rPr>
        <w:tab/>
      </w:r>
    </w:p>
    <w:p w14:paraId="080598ED">
      <w:pPr>
        <w:widowControl w:val="0"/>
        <w:autoSpaceDE w:val="0"/>
        <w:autoSpaceDN w:val="0"/>
        <w:spacing w:before="96"/>
        <w:jc w:val="both"/>
        <w:rPr>
          <w:rFonts w:eastAsia="Arial MT"/>
        </w:rPr>
      </w:pPr>
      <w:r>
        <w:rPr>
          <w:rFonts w:eastAsia="Arial MT"/>
          <w:i/>
        </w:rPr>
        <w:tab/>
      </w:r>
      <w:r>
        <w:rPr>
          <w:rFonts w:eastAsia="Arial MT"/>
          <w:i/>
        </w:rPr>
        <w:tab/>
      </w:r>
      <w:r>
        <w:rPr>
          <w:rFonts w:eastAsia="Arial MT"/>
          <w:i/>
        </w:rPr>
        <w:t xml:space="preserve"> </w:t>
      </w:r>
      <w:r>
        <w:rPr>
          <w:rFonts w:eastAsia="Arial MT"/>
        </w:rPr>
        <w:t>1       2      3</w:t>
      </w:r>
      <w:r>
        <w:rPr>
          <w:rFonts w:eastAsia="Arial MT"/>
        </w:rPr>
        <w:tab/>
      </w:r>
      <w:r>
        <w:rPr>
          <w:rFonts w:eastAsia="Arial MT"/>
        </w:rPr>
        <w:t xml:space="preserve">  4      5</w:t>
      </w:r>
      <w:r>
        <w:rPr>
          <w:rFonts w:eastAsia="Arial MT"/>
        </w:rPr>
        <w:tab/>
      </w:r>
    </w:p>
    <w:p w14:paraId="59C862D6">
      <w:pPr>
        <w:widowControl w:val="0"/>
        <w:autoSpaceDE w:val="0"/>
        <w:autoSpaceDN w:val="0"/>
        <w:spacing w:before="96"/>
        <w:jc w:val="both"/>
        <w:rPr>
          <w:rFonts w:eastAsia="Arial MT"/>
          <w:spacing w:val="100"/>
        </w:rPr>
      </w:pPr>
      <w:r>
        <w:rPr>
          <w:rFonts w:eastAsia="Arial MT"/>
        </w:rPr>
        <w:tab/>
      </w:r>
      <w:r>
        <w:rPr>
          <w:rFonts w:eastAsia="Arial MT"/>
        </w:rPr>
        <w:tab/>
      </w:r>
      <w:r>
        <w:rPr>
          <w:rFonts w:eastAsia="Arial MT"/>
        </w:rPr>
        <w:drawing>
          <wp:inline distT="0" distB="0" distL="0" distR="0">
            <wp:extent cx="209550" cy="171450"/>
            <wp:effectExtent l="0" t="0" r="0" b="0"/>
            <wp:docPr id="3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a:picLocks noChangeAspect="1"/>
                    </pic:cNvPicPr>
                  </pic:nvPicPr>
                  <pic:blipFill>
                    <a:blip r:embed="rId56"/>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png"/>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3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a:picLocks noChangeAspect="1"/>
                    </pic:cNvPicPr>
                  </pic:nvPicPr>
                  <pic:blipFill>
                    <a:blip r:embed="rId58"/>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png"/>
                    <pic:cNvPicPr>
                      <a:picLocks noChangeAspect="1"/>
                    </pic:cNvPicPr>
                  </pic:nvPicPr>
                  <pic:blipFill>
                    <a:blip r:embed="rId59"/>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3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a:picLocks noChangeAspect="1"/>
                    </pic:cNvPicPr>
                  </pic:nvPicPr>
                  <pic:blipFill>
                    <a:blip r:embed="rId56"/>
                    <a:stretch>
                      <a:fillRect/>
                    </a:stretch>
                  </pic:blipFill>
                  <pic:spPr>
                    <a:xfrm>
                      <a:off x="0" y="0"/>
                      <a:ext cx="209550" cy="171450"/>
                    </a:xfrm>
                    <a:prstGeom prst="rect">
                      <a:avLst/>
                    </a:prstGeom>
                    <a:noFill/>
                    <a:ln>
                      <a:noFill/>
                    </a:ln>
                  </pic:spPr>
                </pic:pic>
              </a:graphicData>
            </a:graphic>
          </wp:inline>
        </w:drawing>
      </w:r>
    </w:p>
    <w:p w14:paraId="7784820E">
      <w:pPr>
        <w:widowControl w:val="0"/>
        <w:autoSpaceDE w:val="0"/>
        <w:autoSpaceDN w:val="0"/>
        <w:spacing w:before="96"/>
        <w:jc w:val="both"/>
        <w:rPr>
          <w:rFonts w:eastAsia="Arial MT"/>
          <w:spacing w:val="100"/>
        </w:rPr>
      </w:pPr>
    </w:p>
    <w:p w14:paraId="317E5CE1">
      <w:pPr>
        <w:widowControl w:val="0"/>
        <w:autoSpaceDE w:val="0"/>
        <w:autoSpaceDN w:val="0"/>
        <w:spacing w:before="96"/>
        <w:jc w:val="both"/>
        <w:rPr>
          <w:rFonts w:eastAsia="Arial MT"/>
        </w:rPr>
      </w:pPr>
    </w:p>
    <w:p w14:paraId="57BDFF13">
      <w:pPr>
        <w:pStyle w:val="52"/>
        <w:widowControl w:val="0"/>
        <w:numPr>
          <w:ilvl w:val="0"/>
          <w:numId w:val="35"/>
        </w:numPr>
        <w:autoSpaceDE w:val="0"/>
        <w:autoSpaceDN w:val="0"/>
        <w:spacing w:before="6"/>
        <w:jc w:val="both"/>
      </w:pPr>
      <w:r>
        <mc:AlternateContent>
          <mc:Choice Requires="wps">
            <w:drawing>
              <wp:anchor distT="0" distB="0" distL="0" distR="0" simplePos="0" relativeHeight="251663360" behindDoc="1" locked="0" layoutInCell="1" allowOverlap="1">
                <wp:simplePos x="0" y="0"/>
                <wp:positionH relativeFrom="page">
                  <wp:posOffset>1044575</wp:posOffset>
                </wp:positionH>
                <wp:positionV relativeFrom="paragraph">
                  <wp:posOffset>474345</wp:posOffset>
                </wp:positionV>
                <wp:extent cx="2771775" cy="635"/>
                <wp:effectExtent l="0" t="0" r="0" b="0"/>
                <wp:wrapTopAndBottom/>
                <wp:docPr id="227503294" name="Rectangle 106"/>
                <wp:cNvGraphicFramePr/>
                <a:graphic xmlns:a="http://schemas.openxmlformats.org/drawingml/2006/main">
                  <a:graphicData uri="http://schemas.microsoft.com/office/word/2010/wordprocessingShape">
                    <wps:wsp>
                      <wps:cNvSpPr>
                        <a:spLocks noChangeArrowheads="1"/>
                      </wps:cNvSpPr>
                      <wps:spPr bwMode="auto">
                        <a:xfrm>
                          <a:off x="0" y="0"/>
                          <a:ext cx="2771775" cy="63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106" o:spid="_x0000_s1026" o:spt="1" style="position:absolute;left:0pt;margin-left:82.25pt;margin-top:37.35pt;height:0.05pt;width:218.25pt;mso-position-horizontal-relative:page;mso-wrap-distance-bottom:0pt;mso-wrap-distance-top:0pt;z-index:-251653120;mso-width-relative:page;mso-height-relative:page;" fillcolor="#BDC1C6" filled="t" stroked="f" coordsize="21600,21600" o:gfxdata="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IhLE1AAAAAkB&#10;AAAPAAAAAAAAAAEAIAAAACIAAABkcnMvZG93bnJldi54bWxQSwECFAAUAAAACACHTuJAxDN/Ux8C&#10;AAA+BAAADgAAAAAAAAABACAAAAAjAQAAZHJzL2Uyb0RvYy54bWxQSwUGAAAAAAYABgBZAQAAtAUA&#10;AAAA&#10;">
                <v:fill on="t" focussize="0,0"/>
                <v:stroke on="f"/>
                <v:imagedata o:title=""/>
                <o:lock v:ext="edit" aspectratio="f"/>
                <w10:wrap type="topAndBottom"/>
              </v:rect>
            </w:pict>
          </mc:Fallback>
        </mc:AlternateContent>
      </w:r>
      <w:r>
        <w:rPr>
          <w:rFonts w:ascii="Times New Roman" w:hAnsi="Times New Roman" w:eastAsia="Arial MT" w:cs="Times New Roman"/>
          <w:color w:val="auto"/>
          <w:sz w:val="24"/>
          <w:szCs w:val="24"/>
        </w:rPr>
        <w:t>Please add any other comments below_1:</w:t>
      </w:r>
    </w:p>
    <w:p w14:paraId="2EEF65DA">
      <w:pPr>
        <w:rPr>
          <w:rFonts w:eastAsia="Arial MT"/>
          <w:color w:val="202024"/>
        </w:rPr>
      </w:pPr>
    </w:p>
    <w:p w14:paraId="31232FE4">
      <w:pPr>
        <w:rPr>
          <w:rFonts w:eastAsia="Arial MT"/>
          <w:color w:val="202024"/>
        </w:rPr>
      </w:pPr>
    </w:p>
    <w:p w14:paraId="2DF1138C">
      <w:pPr>
        <w:widowControl w:val="0"/>
        <w:autoSpaceDE w:val="0"/>
        <w:autoSpaceDN w:val="0"/>
        <w:spacing w:before="92" w:line="480" w:lineRule="auto"/>
        <w:jc w:val="center"/>
        <w:rPr>
          <w:rFonts w:eastAsia="Arial MT"/>
          <w:b/>
          <w:bCs/>
        </w:rPr>
      </w:pPr>
      <w:r>
        <w:rPr>
          <w:rFonts w:eastAsia="Arial MT"/>
          <w:b/>
          <w:bCs/>
        </w:rPr>
        <w:t>Constitutional and Statutory Framework and Regulations</w:t>
      </w:r>
    </w:p>
    <w:p w14:paraId="1487B3E9">
      <w:pPr>
        <w:widowControl w:val="0"/>
        <w:autoSpaceDE w:val="0"/>
        <w:autoSpaceDN w:val="0"/>
        <w:spacing w:before="1" w:line="480" w:lineRule="auto"/>
        <w:rPr>
          <w:rFonts w:eastAsia="Arial MT"/>
        </w:rPr>
      </w:pPr>
    </w:p>
    <w:p w14:paraId="350DA126">
      <w:pPr>
        <w:widowControl w:val="0"/>
        <w:autoSpaceDE w:val="0"/>
        <w:autoSpaceDN w:val="0"/>
        <w:spacing w:line="480" w:lineRule="auto"/>
        <w:ind w:right="445"/>
        <w:jc w:val="both"/>
        <w:rPr>
          <w:rFonts w:eastAsia="Arial MT"/>
        </w:rPr>
      </w:pPr>
      <w:r>
        <w:rPr>
          <w:rFonts w:eastAsia="Arial MT"/>
          <w:color w:val="202024"/>
        </w:rPr>
        <w:t>In</w:t>
      </w:r>
      <w:r>
        <w:rPr>
          <w:rFonts w:eastAsia="Arial MT"/>
          <w:color w:val="202024"/>
          <w:spacing w:val="-9"/>
        </w:rPr>
        <w:t xml:space="preserve"> </w:t>
      </w:r>
      <w:r>
        <w:rPr>
          <w:rFonts w:eastAsia="Arial MT"/>
          <w:color w:val="202024"/>
        </w:rPr>
        <w:t>this</w:t>
      </w:r>
      <w:r>
        <w:rPr>
          <w:rFonts w:eastAsia="Arial MT"/>
          <w:color w:val="202024"/>
          <w:spacing w:val="-8"/>
        </w:rPr>
        <w:t xml:space="preserve"> </w:t>
      </w:r>
      <w:r>
        <w:rPr>
          <w:rFonts w:eastAsia="Arial MT"/>
          <w:color w:val="202024"/>
        </w:rPr>
        <w:t>section,</w:t>
      </w:r>
      <w:r>
        <w:rPr>
          <w:rFonts w:eastAsia="Arial MT"/>
          <w:color w:val="202024"/>
          <w:spacing w:val="39"/>
        </w:rPr>
        <w:t xml:space="preserve"> </w:t>
      </w:r>
      <w:r>
        <w:rPr>
          <w:rFonts w:eastAsia="Arial MT"/>
          <w:color w:val="202024"/>
        </w:rPr>
        <w:t>we</w:t>
      </w:r>
      <w:r>
        <w:rPr>
          <w:rFonts w:eastAsia="Arial MT"/>
          <w:color w:val="202024"/>
          <w:spacing w:val="-8"/>
        </w:rPr>
        <w:t xml:space="preserve"> </w:t>
      </w:r>
      <w:r>
        <w:rPr>
          <w:rFonts w:eastAsia="Arial MT"/>
          <w:color w:val="202024"/>
        </w:rPr>
        <w:t>are</w:t>
      </w:r>
      <w:r>
        <w:rPr>
          <w:rFonts w:eastAsia="Arial MT"/>
          <w:color w:val="202024"/>
          <w:spacing w:val="-8"/>
        </w:rPr>
        <w:t xml:space="preserve"> </w:t>
      </w:r>
      <w:r>
        <w:rPr>
          <w:rFonts w:eastAsia="Arial MT"/>
          <w:color w:val="202024"/>
        </w:rPr>
        <w:t>seeking</w:t>
      </w:r>
      <w:r>
        <w:rPr>
          <w:rFonts w:eastAsia="Arial MT"/>
          <w:color w:val="202024"/>
          <w:spacing w:val="-9"/>
        </w:rPr>
        <w:t xml:space="preserve"> </w:t>
      </w:r>
      <w:r>
        <w:rPr>
          <w:rFonts w:eastAsia="Arial MT"/>
          <w:color w:val="202024"/>
        </w:rPr>
        <w:t>to</w:t>
      </w:r>
      <w:r>
        <w:rPr>
          <w:rFonts w:eastAsia="Arial MT"/>
          <w:color w:val="202024"/>
          <w:spacing w:val="-8"/>
        </w:rPr>
        <w:t xml:space="preserve"> </w:t>
      </w:r>
      <w:r>
        <w:rPr>
          <w:rFonts w:eastAsia="Arial MT"/>
          <w:color w:val="202024"/>
        </w:rPr>
        <w:t>understand</w:t>
      </w:r>
      <w:r>
        <w:rPr>
          <w:rFonts w:eastAsia="Arial MT"/>
          <w:color w:val="202024"/>
          <w:spacing w:val="-8"/>
        </w:rPr>
        <w:t xml:space="preserve"> </w:t>
      </w:r>
      <w:r>
        <w:rPr>
          <w:rFonts w:eastAsia="Arial MT"/>
          <w:color w:val="202024"/>
        </w:rPr>
        <w:t>how</w:t>
      </w:r>
      <w:r>
        <w:rPr>
          <w:rFonts w:eastAsia="Arial MT"/>
          <w:color w:val="202024"/>
          <w:spacing w:val="-8"/>
        </w:rPr>
        <w:t xml:space="preserve"> </w:t>
      </w:r>
      <w:r>
        <w:rPr>
          <w:rFonts w:eastAsia="Arial MT"/>
          <w:color w:val="202024"/>
        </w:rPr>
        <w:t>the</w:t>
      </w:r>
      <w:r>
        <w:rPr>
          <w:rFonts w:eastAsia="Arial MT"/>
          <w:color w:val="202024"/>
          <w:spacing w:val="-9"/>
        </w:rPr>
        <w:t xml:space="preserve"> </w:t>
      </w:r>
      <w:r>
        <w:rPr>
          <w:rFonts w:eastAsia="Arial MT"/>
          <w:color w:val="202024"/>
        </w:rPr>
        <w:t>1999</w:t>
      </w:r>
      <w:r>
        <w:rPr>
          <w:rFonts w:eastAsia="Arial MT"/>
          <w:color w:val="202024"/>
          <w:spacing w:val="-8"/>
        </w:rPr>
        <w:t xml:space="preserve"> </w:t>
      </w:r>
      <w:r>
        <w:rPr>
          <w:rFonts w:eastAsia="Arial MT"/>
          <w:color w:val="202024"/>
        </w:rPr>
        <w:t>Nigerian</w:t>
      </w:r>
      <w:r>
        <w:rPr>
          <w:rFonts w:eastAsia="Arial MT"/>
          <w:color w:val="202024"/>
          <w:spacing w:val="-8"/>
        </w:rPr>
        <w:t xml:space="preserve"> </w:t>
      </w:r>
      <w:r>
        <w:rPr>
          <w:rFonts w:eastAsia="Arial MT"/>
          <w:color w:val="202024"/>
        </w:rPr>
        <w:t>Constitution</w:t>
      </w:r>
      <w:r>
        <w:rPr>
          <w:rFonts w:eastAsia="Arial MT"/>
          <w:color w:val="202024"/>
          <w:spacing w:val="-8"/>
        </w:rPr>
        <w:t xml:space="preserve"> </w:t>
      </w:r>
      <w:r>
        <w:rPr>
          <w:rFonts w:eastAsia="Arial MT"/>
          <w:color w:val="202024"/>
        </w:rPr>
        <w:t>and</w:t>
      </w:r>
      <w:r>
        <w:rPr>
          <w:rFonts w:eastAsia="Arial MT"/>
          <w:color w:val="202024"/>
          <w:spacing w:val="-9"/>
        </w:rPr>
        <w:t xml:space="preserve"> </w:t>
      </w:r>
      <w:r>
        <w:rPr>
          <w:rFonts w:eastAsia="Arial MT"/>
          <w:color w:val="202024"/>
        </w:rPr>
        <w:t>the</w:t>
      </w:r>
      <w:r>
        <w:rPr>
          <w:rFonts w:eastAsia="Arial MT"/>
          <w:color w:val="202024"/>
          <w:spacing w:val="-51"/>
        </w:rPr>
        <w:t xml:space="preserve"> </w:t>
      </w:r>
      <w:r>
        <w:rPr>
          <w:rFonts w:eastAsia="Arial MT"/>
          <w:color w:val="202024"/>
        </w:rPr>
        <w:t>interaction of the Upstream Taxing legislation with other principal and subsidiary tax</w:t>
      </w:r>
      <w:r>
        <w:rPr>
          <w:rFonts w:eastAsia="Arial MT"/>
          <w:color w:val="202024"/>
          <w:spacing w:val="1"/>
        </w:rPr>
        <w:t xml:space="preserve"> </w:t>
      </w:r>
      <w:r>
        <w:rPr>
          <w:rFonts w:eastAsia="Arial MT"/>
          <w:color w:val="202024"/>
        </w:rPr>
        <w:t>legislations, affect certainty, clarity and consistency in the understanding and</w:t>
      </w:r>
      <w:r>
        <w:rPr>
          <w:rFonts w:eastAsia="Arial MT"/>
          <w:color w:val="202024"/>
          <w:spacing w:val="1"/>
        </w:rPr>
        <w:t xml:space="preserve"> </w:t>
      </w:r>
      <w:r>
        <w:rPr>
          <w:rFonts w:eastAsia="Arial MT"/>
          <w:color w:val="202024"/>
        </w:rPr>
        <w:t>interpretation</w:t>
      </w:r>
      <w:r>
        <w:rPr>
          <w:rFonts w:eastAsia="Arial MT"/>
          <w:color w:val="202024"/>
          <w:spacing w:val="-2"/>
        </w:rPr>
        <w:t xml:space="preserve"> </w:t>
      </w:r>
      <w:r>
        <w:rPr>
          <w:rFonts w:eastAsia="Arial MT"/>
          <w:color w:val="202024"/>
        </w:rPr>
        <w:t>of</w:t>
      </w:r>
      <w:r>
        <w:rPr>
          <w:rFonts w:eastAsia="Arial MT"/>
          <w:color w:val="202024"/>
          <w:spacing w:val="-2"/>
        </w:rPr>
        <w:t xml:space="preserve"> </w:t>
      </w:r>
      <w:r>
        <w:rPr>
          <w:rFonts w:eastAsia="Arial MT"/>
          <w:color w:val="202024"/>
        </w:rPr>
        <w:t>Upstream</w:t>
      </w:r>
      <w:r>
        <w:rPr>
          <w:rFonts w:eastAsia="Arial MT"/>
          <w:color w:val="202024"/>
          <w:spacing w:val="52"/>
        </w:rPr>
        <w:t xml:space="preserve"> </w:t>
      </w:r>
      <w:r>
        <w:rPr>
          <w:rFonts w:eastAsia="Arial MT"/>
          <w:color w:val="202024"/>
        </w:rPr>
        <w:t>oil</w:t>
      </w:r>
      <w:r>
        <w:rPr>
          <w:rFonts w:eastAsia="Arial MT"/>
          <w:color w:val="202024"/>
          <w:spacing w:val="-2"/>
        </w:rPr>
        <w:t xml:space="preserve"> </w:t>
      </w:r>
      <w:r>
        <w:rPr>
          <w:rFonts w:eastAsia="Arial MT"/>
          <w:color w:val="202024"/>
        </w:rPr>
        <w:t>and</w:t>
      </w:r>
      <w:r>
        <w:rPr>
          <w:rFonts w:eastAsia="Arial MT"/>
          <w:color w:val="202024"/>
          <w:spacing w:val="-2"/>
        </w:rPr>
        <w:t xml:space="preserve"> </w:t>
      </w:r>
      <w:r>
        <w:rPr>
          <w:rFonts w:eastAsia="Arial MT"/>
          <w:color w:val="202024"/>
        </w:rPr>
        <w:t>gas</w:t>
      </w:r>
      <w:r>
        <w:rPr>
          <w:rFonts w:eastAsia="Arial MT"/>
          <w:color w:val="202024"/>
          <w:spacing w:val="-2"/>
        </w:rPr>
        <w:t xml:space="preserve"> </w:t>
      </w:r>
      <w:r>
        <w:rPr>
          <w:rFonts w:eastAsia="Arial MT"/>
          <w:color w:val="202024"/>
        </w:rPr>
        <w:t>taxation.</w:t>
      </w:r>
    </w:p>
    <w:p w14:paraId="66EC0EC9">
      <w:pPr>
        <w:widowControl w:val="0"/>
        <w:autoSpaceDE w:val="0"/>
        <w:autoSpaceDN w:val="0"/>
        <w:spacing w:before="8" w:line="480" w:lineRule="auto"/>
        <w:rPr>
          <w:rFonts w:eastAsia="Arial MT"/>
        </w:rPr>
      </w:pPr>
    </w:p>
    <w:p w14:paraId="09002903">
      <w:pPr>
        <w:widowControl w:val="0"/>
        <w:autoSpaceDE w:val="0"/>
        <w:autoSpaceDN w:val="0"/>
        <w:spacing w:line="480" w:lineRule="auto"/>
        <w:ind w:right="1354"/>
        <w:jc w:val="both"/>
        <w:rPr>
          <w:rFonts w:eastAsia="Arial MT"/>
        </w:rPr>
      </w:pPr>
      <w:r>
        <w:rPr>
          <w:rFonts w:eastAsia="Arial MT"/>
          <w:color w:val="202024"/>
        </w:rPr>
        <w:t>Again,</w:t>
      </w:r>
      <w:r>
        <w:rPr>
          <w:rFonts w:eastAsia="Arial MT"/>
          <w:color w:val="202024"/>
          <w:spacing w:val="-5"/>
        </w:rPr>
        <w:t xml:space="preserve"> </w:t>
      </w:r>
      <w:r>
        <w:rPr>
          <w:rFonts w:eastAsia="Arial MT"/>
          <w:color w:val="202024"/>
        </w:rPr>
        <w:t>please</w:t>
      </w:r>
      <w:r>
        <w:rPr>
          <w:rFonts w:eastAsia="Arial MT"/>
          <w:color w:val="202024"/>
          <w:spacing w:val="-4"/>
        </w:rPr>
        <w:t xml:space="preserve"> </w:t>
      </w:r>
      <w:r>
        <w:rPr>
          <w:rFonts w:eastAsia="Arial MT"/>
          <w:color w:val="202024"/>
        </w:rPr>
        <w:t>use</w:t>
      </w:r>
      <w:r>
        <w:rPr>
          <w:rFonts w:eastAsia="Arial MT"/>
          <w:color w:val="202024"/>
          <w:spacing w:val="-5"/>
        </w:rPr>
        <w:t xml:space="preserve"> </w:t>
      </w:r>
      <w:r>
        <w:rPr>
          <w:rFonts w:eastAsia="Arial MT"/>
          <w:color w:val="202024"/>
        </w:rPr>
        <w:t>the</w:t>
      </w:r>
      <w:r>
        <w:rPr>
          <w:rFonts w:eastAsia="Arial MT"/>
          <w:color w:val="202024"/>
          <w:spacing w:val="-4"/>
        </w:rPr>
        <w:t xml:space="preserve"> </w:t>
      </w:r>
      <w:r>
        <w:rPr>
          <w:rFonts w:eastAsia="Arial MT"/>
          <w:color w:val="202024"/>
        </w:rPr>
        <w:t>scale</w:t>
      </w:r>
      <w:r>
        <w:rPr>
          <w:rFonts w:eastAsia="Arial MT"/>
          <w:color w:val="202024"/>
          <w:spacing w:val="-4"/>
        </w:rPr>
        <w:t xml:space="preserve"> </w:t>
      </w:r>
      <w:r>
        <w:rPr>
          <w:rFonts w:eastAsia="Arial MT"/>
          <w:color w:val="202024"/>
        </w:rPr>
        <w:t>of</w:t>
      </w:r>
      <w:r>
        <w:rPr>
          <w:rFonts w:eastAsia="Arial MT"/>
          <w:color w:val="202024"/>
          <w:spacing w:val="-5"/>
        </w:rPr>
        <w:t xml:space="preserve"> </w:t>
      </w:r>
      <w:r>
        <w:rPr>
          <w:rFonts w:eastAsia="Arial MT"/>
          <w:color w:val="202024"/>
        </w:rPr>
        <w:t>5</w:t>
      </w:r>
      <w:r>
        <w:rPr>
          <w:rFonts w:eastAsia="Arial MT"/>
          <w:color w:val="202024"/>
          <w:spacing w:val="-4"/>
        </w:rPr>
        <w:t xml:space="preserve"> </w:t>
      </w:r>
      <w:r>
        <w:rPr>
          <w:rFonts w:eastAsia="Arial MT"/>
          <w:color w:val="202024"/>
        </w:rPr>
        <w:t>to</w:t>
      </w:r>
      <w:r>
        <w:rPr>
          <w:rFonts w:eastAsia="Arial MT"/>
          <w:color w:val="202024"/>
          <w:spacing w:val="-4"/>
        </w:rPr>
        <w:t xml:space="preserve"> </w:t>
      </w:r>
      <w:r>
        <w:rPr>
          <w:rFonts w:eastAsia="Arial MT"/>
          <w:color w:val="202024"/>
        </w:rPr>
        <w:t>1,</w:t>
      </w:r>
      <w:r>
        <w:rPr>
          <w:rFonts w:eastAsia="Arial MT"/>
          <w:color w:val="202024"/>
          <w:spacing w:val="-5"/>
        </w:rPr>
        <w:t xml:space="preserve"> </w:t>
      </w:r>
      <w:r>
        <w:rPr>
          <w:rFonts w:eastAsia="Arial MT"/>
          <w:color w:val="202024"/>
        </w:rPr>
        <w:t>to</w:t>
      </w:r>
      <w:r>
        <w:rPr>
          <w:rFonts w:eastAsia="Arial MT"/>
          <w:color w:val="202024"/>
          <w:spacing w:val="-4"/>
        </w:rPr>
        <w:t xml:space="preserve"> </w:t>
      </w:r>
      <w:r>
        <w:rPr>
          <w:rFonts w:eastAsia="Arial MT"/>
          <w:color w:val="202024"/>
        </w:rPr>
        <w:t>indicate</w:t>
      </w:r>
      <w:r>
        <w:rPr>
          <w:rFonts w:eastAsia="Arial MT"/>
          <w:color w:val="202024"/>
          <w:spacing w:val="-4"/>
        </w:rPr>
        <w:t xml:space="preserve"> </w:t>
      </w:r>
      <w:r>
        <w:rPr>
          <w:rFonts w:eastAsia="Arial MT"/>
          <w:color w:val="202024"/>
        </w:rPr>
        <w:t>the</w:t>
      </w:r>
      <w:r>
        <w:rPr>
          <w:rFonts w:eastAsia="Arial MT"/>
          <w:color w:val="202024"/>
          <w:spacing w:val="-5"/>
        </w:rPr>
        <w:t xml:space="preserve"> </w:t>
      </w:r>
      <w:r>
        <w:rPr>
          <w:rFonts w:eastAsia="Arial MT"/>
          <w:color w:val="202024"/>
        </w:rPr>
        <w:t>degree</w:t>
      </w:r>
      <w:r>
        <w:rPr>
          <w:rFonts w:eastAsia="Arial MT"/>
          <w:color w:val="202024"/>
          <w:spacing w:val="-4"/>
        </w:rPr>
        <w:t xml:space="preserve"> </w:t>
      </w:r>
      <w:r>
        <w:rPr>
          <w:rFonts w:eastAsia="Arial MT"/>
          <w:color w:val="202024"/>
        </w:rPr>
        <w:t>of</w:t>
      </w:r>
      <w:r>
        <w:rPr>
          <w:rFonts w:eastAsia="Arial MT"/>
          <w:color w:val="202024"/>
          <w:spacing w:val="-4"/>
        </w:rPr>
        <w:t xml:space="preserve"> </w:t>
      </w:r>
      <w:r>
        <w:rPr>
          <w:rFonts w:eastAsia="Arial MT"/>
          <w:color w:val="202024"/>
        </w:rPr>
        <w:t>the</w:t>
      </w:r>
      <w:r>
        <w:rPr>
          <w:rFonts w:eastAsia="Arial MT"/>
          <w:color w:val="202024"/>
          <w:spacing w:val="-5"/>
        </w:rPr>
        <w:t xml:space="preserve"> </w:t>
      </w:r>
      <w:r>
        <w:rPr>
          <w:rFonts w:eastAsia="Arial MT"/>
          <w:color w:val="202024"/>
        </w:rPr>
        <w:t>importance</w:t>
      </w:r>
      <w:r>
        <w:rPr>
          <w:rFonts w:eastAsia="Arial MT"/>
          <w:color w:val="202024"/>
          <w:spacing w:val="-4"/>
        </w:rPr>
        <w:t xml:space="preserve"> </w:t>
      </w:r>
      <w:r>
        <w:rPr>
          <w:rFonts w:eastAsia="Arial MT"/>
          <w:color w:val="202024"/>
        </w:rPr>
        <w:t>or</w:t>
      </w:r>
      <w:r>
        <w:rPr>
          <w:rFonts w:eastAsia="Arial MT"/>
          <w:color w:val="202024"/>
          <w:spacing w:val="-52"/>
        </w:rPr>
        <w:t xml:space="preserve"> </w:t>
      </w:r>
      <w:r>
        <w:rPr>
          <w:rFonts w:eastAsia="Arial MT"/>
          <w:color w:val="202024"/>
        </w:rPr>
        <w:t>significance</w:t>
      </w:r>
      <w:r>
        <w:rPr>
          <w:rFonts w:eastAsia="Arial MT"/>
          <w:color w:val="202024"/>
          <w:spacing w:val="-2"/>
        </w:rPr>
        <w:t xml:space="preserve"> </w:t>
      </w:r>
      <w:r>
        <w:rPr>
          <w:rFonts w:eastAsia="Arial MT"/>
          <w:color w:val="202024"/>
        </w:rPr>
        <w:t>of</w:t>
      </w:r>
      <w:r>
        <w:rPr>
          <w:rFonts w:eastAsia="Arial MT"/>
          <w:color w:val="202024"/>
          <w:spacing w:val="-1"/>
        </w:rPr>
        <w:t xml:space="preserve"> </w:t>
      </w:r>
      <w:r>
        <w:rPr>
          <w:rFonts w:eastAsia="Arial MT"/>
          <w:color w:val="202024"/>
        </w:rPr>
        <w:t>these</w:t>
      </w:r>
      <w:r>
        <w:rPr>
          <w:rFonts w:eastAsia="Arial MT"/>
          <w:color w:val="202024"/>
          <w:spacing w:val="-1"/>
        </w:rPr>
        <w:t xml:space="preserve"> </w:t>
      </w:r>
      <w:r>
        <w:rPr>
          <w:rFonts w:eastAsia="Arial MT"/>
          <w:color w:val="202024"/>
        </w:rPr>
        <w:t>factors.</w:t>
      </w:r>
    </w:p>
    <w:p w14:paraId="66321275">
      <w:pPr>
        <w:widowControl w:val="0"/>
        <w:autoSpaceDE w:val="0"/>
        <w:autoSpaceDN w:val="0"/>
        <w:spacing w:line="480" w:lineRule="auto"/>
        <w:rPr>
          <w:rFonts w:eastAsia="Arial MT"/>
        </w:rPr>
      </w:pPr>
    </w:p>
    <w:p w14:paraId="29FAFF74">
      <w:pPr>
        <w:widowControl w:val="0"/>
        <w:autoSpaceDE w:val="0"/>
        <w:autoSpaceDN w:val="0"/>
        <w:spacing w:line="480" w:lineRule="auto"/>
        <w:rPr>
          <w:rFonts w:eastAsia="Arial MT"/>
        </w:rPr>
      </w:pPr>
    </w:p>
    <w:p w14:paraId="1D26BCAA">
      <w:pPr>
        <w:widowControl w:val="0"/>
        <w:autoSpaceDE w:val="0"/>
        <w:autoSpaceDN w:val="0"/>
        <w:spacing w:before="9" w:line="480" w:lineRule="auto"/>
        <w:rPr>
          <w:rFonts w:eastAsia="Arial MT"/>
        </w:rPr>
      </w:pPr>
    </w:p>
    <w:p w14:paraId="72209015">
      <w:pPr>
        <w:pStyle w:val="52"/>
        <w:widowControl w:val="0"/>
        <w:numPr>
          <w:ilvl w:val="0"/>
          <w:numId w:val="35"/>
        </w:numPr>
        <w:tabs>
          <w:tab w:val="left" w:pos="737"/>
          <w:tab w:val="left" w:pos="738"/>
        </w:tabs>
        <w:autoSpaceDE w:val="0"/>
        <w:autoSpaceDN w:val="0"/>
        <w:spacing w:line="480" w:lineRule="auto"/>
        <w:ind w:right="160"/>
        <w:jc w:val="both"/>
        <w:rPr>
          <w:rFonts w:eastAsia="Arial MT"/>
        </w:rPr>
      </w:pPr>
      <w:r>
        <w:rPr>
          <w:rFonts w:ascii="Times New Roman" w:hAnsi="Times New Roman" w:eastAsia="Arial MT" w:cs="Times New Roman"/>
          <w:color w:val="202024"/>
          <w:sz w:val="24"/>
          <w:szCs w:val="24"/>
        </w:rPr>
        <w:t>6. In your view, to what extent does the ownership structure of petroleum</w:t>
      </w:r>
      <w:r>
        <w:rPr>
          <w:rFonts w:ascii="Times New Roman" w:hAnsi="Times New Roman" w:eastAsia="Arial MT" w:cs="Times New Roman"/>
          <w:color w:val="202024"/>
          <w:spacing w:val="1"/>
          <w:sz w:val="24"/>
          <w:szCs w:val="24"/>
        </w:rPr>
        <w:t xml:space="preserve"> </w:t>
      </w:r>
      <w:r>
        <w:rPr>
          <w:rFonts w:ascii="Times New Roman" w:hAnsi="Times New Roman" w:eastAsia="Arial MT" w:cs="Times New Roman"/>
          <w:color w:val="202024"/>
          <w:sz w:val="24"/>
          <w:szCs w:val="24"/>
        </w:rPr>
        <w:t xml:space="preserve">resources and the allocation of fiscal and taxing powers under the 1999 Nigerian </w:t>
      </w:r>
      <w:r>
        <w:rPr>
          <w:rFonts w:ascii="Times New Roman" w:hAnsi="Times New Roman" w:eastAsia="Arial MT" w:cs="Times New Roman"/>
          <w:color w:val="202024"/>
          <w:spacing w:val="-64"/>
          <w:sz w:val="24"/>
          <w:szCs w:val="24"/>
        </w:rPr>
        <w:t xml:space="preserve"> </w:t>
      </w:r>
      <w:r>
        <w:rPr>
          <w:rFonts w:ascii="Times New Roman" w:hAnsi="Times New Roman" w:eastAsia="Arial MT" w:cs="Times New Roman"/>
          <w:color w:val="202024"/>
          <w:sz w:val="24"/>
          <w:szCs w:val="24"/>
        </w:rPr>
        <w:t>Constitution affect clarity, certainty and consistent interpretation and</w:t>
      </w:r>
      <w:r>
        <w:rPr>
          <w:rFonts w:ascii="Times New Roman" w:hAnsi="Times New Roman" w:eastAsia="Arial MT" w:cs="Times New Roman"/>
          <w:color w:val="202024"/>
          <w:spacing w:val="1"/>
          <w:sz w:val="24"/>
          <w:szCs w:val="24"/>
        </w:rPr>
        <w:t xml:space="preserve"> </w:t>
      </w:r>
      <w:r>
        <w:rPr>
          <w:rFonts w:ascii="Times New Roman" w:hAnsi="Times New Roman" w:eastAsia="Arial MT" w:cs="Times New Roman"/>
          <w:color w:val="202024"/>
          <w:sz w:val="24"/>
          <w:szCs w:val="24"/>
        </w:rPr>
        <w:t>administration of upstream oil and gas taxation.</w:t>
      </w:r>
    </w:p>
    <w:p w14:paraId="66447D06">
      <w:pPr>
        <w:widowControl w:val="0"/>
        <w:autoSpaceDE w:val="0"/>
        <w:autoSpaceDN w:val="0"/>
        <w:spacing w:before="96"/>
        <w:rPr>
          <w:rFonts w:ascii="Roboto" w:hAnsi="Arial MT" w:eastAsia="Arial MT" w:cs="Arial MT"/>
          <w:i/>
          <w:sz w:val="21"/>
          <w:szCs w:val="22"/>
        </w:rPr>
      </w:pPr>
      <w:r>
        <w:rPr>
          <w:rFonts w:ascii="Roboto" w:hAnsi="Arial MT" w:eastAsia="Arial MT" w:cs="Arial MT"/>
          <w:i/>
          <w:sz w:val="21"/>
          <w:szCs w:val="22"/>
        </w:rPr>
        <w:t>Mark</w:t>
      </w:r>
      <w:r>
        <w:rPr>
          <w:rFonts w:ascii="Roboto" w:hAnsi="Arial MT" w:eastAsia="Arial MT" w:cs="Arial MT"/>
          <w:i/>
          <w:color w:val="6D6F72"/>
          <w:spacing w:val="-2"/>
          <w:sz w:val="21"/>
          <w:szCs w:val="22"/>
        </w:rPr>
        <w:t xml:space="preserve"> </w:t>
      </w:r>
      <w:r>
        <w:rPr>
          <w:rFonts w:ascii="Roboto" w:hAnsi="Arial MT" w:eastAsia="Arial MT" w:cs="Arial MT"/>
          <w:i/>
          <w:sz w:val="21"/>
          <w:szCs w:val="22"/>
        </w:rPr>
        <w:t>only</w:t>
      </w:r>
      <w:r>
        <w:rPr>
          <w:rFonts w:ascii="Roboto" w:hAnsi="Arial MT" w:eastAsia="Arial MT" w:cs="Arial MT"/>
          <w:i/>
          <w:spacing w:val="-1"/>
          <w:sz w:val="21"/>
          <w:szCs w:val="22"/>
        </w:rPr>
        <w:t xml:space="preserve"> </w:t>
      </w:r>
      <w:r>
        <w:rPr>
          <w:rFonts w:ascii="Roboto" w:hAnsi="Arial MT" w:eastAsia="Arial MT" w:cs="Arial MT"/>
          <w:i/>
          <w:sz w:val="21"/>
          <w:szCs w:val="22"/>
        </w:rPr>
        <w:t>one</w:t>
      </w:r>
      <w:r>
        <w:rPr>
          <w:rFonts w:ascii="Roboto" w:hAnsi="Arial MT" w:eastAsia="Arial MT" w:cs="Arial MT"/>
          <w:i/>
          <w:spacing w:val="-1"/>
          <w:sz w:val="21"/>
          <w:szCs w:val="22"/>
        </w:rPr>
        <w:t xml:space="preserve"> </w:t>
      </w:r>
      <w:r>
        <w:rPr>
          <w:rFonts w:ascii="Roboto" w:hAnsi="Arial MT" w:eastAsia="Arial MT" w:cs="Arial MT"/>
          <w:i/>
          <w:sz w:val="21"/>
          <w:szCs w:val="22"/>
        </w:rPr>
        <w:t>oval.</w:t>
      </w:r>
    </w:p>
    <w:p w14:paraId="6C7D31B5">
      <w:pPr>
        <w:widowControl w:val="0"/>
        <w:autoSpaceDE w:val="0"/>
        <w:autoSpaceDN w:val="0"/>
        <w:spacing w:before="6"/>
        <w:rPr>
          <w:rFonts w:eastAsia="Arial MT"/>
          <w:i/>
          <w:sz w:val="28"/>
        </w:rPr>
      </w:pPr>
    </w:p>
    <w:p w14:paraId="19E8E77D">
      <w:pPr>
        <w:widowControl w:val="0"/>
        <w:tabs>
          <w:tab w:val="left" w:pos="1937"/>
          <w:tab w:val="left" w:pos="2417"/>
          <w:tab w:val="left" w:pos="2897"/>
          <w:tab w:val="left" w:pos="3377"/>
        </w:tabs>
        <w:autoSpaceDE w:val="0"/>
        <w:autoSpaceDN w:val="0"/>
        <w:spacing w:before="95"/>
        <w:rPr>
          <w:rFonts w:eastAsia="Arial MT"/>
          <w:sz w:val="21"/>
          <w:szCs w:val="22"/>
        </w:rPr>
      </w:pPr>
      <w:r>
        <w:rPr>
          <w:rFonts w:eastAsia="Arial MT"/>
          <w:color w:val="202024"/>
          <w:sz w:val="21"/>
          <w:szCs w:val="22"/>
        </w:rPr>
        <w:tab/>
      </w:r>
      <w:r>
        <w:rPr>
          <w:rFonts w:eastAsia="Arial MT"/>
          <w:color w:val="202024"/>
          <w:sz w:val="21"/>
          <w:szCs w:val="22"/>
        </w:rPr>
        <w:t>1</w:t>
      </w:r>
      <w:r>
        <w:rPr>
          <w:rFonts w:eastAsia="Arial MT"/>
          <w:color w:val="202024"/>
          <w:sz w:val="21"/>
          <w:szCs w:val="22"/>
        </w:rPr>
        <w:tab/>
      </w:r>
      <w:r>
        <w:rPr>
          <w:rFonts w:eastAsia="Arial MT"/>
          <w:color w:val="202024"/>
          <w:sz w:val="21"/>
          <w:szCs w:val="22"/>
        </w:rPr>
        <w:t>2</w:t>
      </w:r>
      <w:r>
        <w:rPr>
          <w:rFonts w:eastAsia="Arial MT"/>
          <w:color w:val="202024"/>
          <w:sz w:val="21"/>
          <w:szCs w:val="22"/>
        </w:rPr>
        <w:tab/>
      </w:r>
      <w:r>
        <w:rPr>
          <w:rFonts w:eastAsia="Arial MT"/>
          <w:color w:val="202024"/>
          <w:sz w:val="21"/>
          <w:szCs w:val="22"/>
        </w:rPr>
        <w:t>3</w:t>
      </w:r>
      <w:r>
        <w:rPr>
          <w:rFonts w:eastAsia="Arial MT"/>
          <w:color w:val="202024"/>
          <w:sz w:val="21"/>
          <w:szCs w:val="22"/>
        </w:rPr>
        <w:tab/>
      </w:r>
      <w:r>
        <w:rPr>
          <w:rFonts w:eastAsia="Arial MT"/>
          <w:color w:val="202024"/>
          <w:sz w:val="21"/>
          <w:szCs w:val="22"/>
        </w:rPr>
        <w:t xml:space="preserve">  4</w:t>
      </w:r>
      <w:r>
        <w:rPr>
          <w:rFonts w:eastAsia="Arial MT"/>
          <w:color w:val="202024"/>
          <w:sz w:val="21"/>
          <w:szCs w:val="22"/>
        </w:rPr>
        <w:tab/>
      </w:r>
      <w:r>
        <w:rPr>
          <w:rFonts w:eastAsia="Arial MT"/>
          <w:color w:val="202024"/>
          <w:sz w:val="21"/>
          <w:szCs w:val="22"/>
        </w:rPr>
        <w:t xml:space="preserve">      5</w:t>
      </w:r>
    </w:p>
    <w:p w14:paraId="17056E45">
      <w:pPr>
        <w:widowControl w:val="0"/>
        <w:autoSpaceDE w:val="0"/>
        <w:autoSpaceDN w:val="0"/>
        <w:spacing w:before="8"/>
        <w:rPr>
          <w:rFonts w:ascii="Roboto" w:hAnsi="Arial MT" w:eastAsia="Arial MT" w:cs="Arial MT"/>
          <w:sz w:val="13"/>
        </w:rPr>
      </w:pPr>
    </w:p>
    <w:p w14:paraId="466407F6">
      <w:pPr>
        <w:widowControl w:val="0"/>
        <w:autoSpaceDE w:val="0"/>
        <w:autoSpaceDN w:val="0"/>
        <w:spacing w:before="8"/>
        <w:rPr>
          <w:rFonts w:ascii="Roboto" w:hAnsi="Arial MT" w:eastAsia="Arial MT" w:cs="Arial MT"/>
          <w:sz w:val="13"/>
        </w:rPr>
      </w:pPr>
    </w:p>
    <w:p w14:paraId="0692395E">
      <w:pPr>
        <w:widowControl w:val="0"/>
        <w:autoSpaceDE w:val="0"/>
        <w:autoSpaceDN w:val="0"/>
        <w:spacing w:before="3"/>
        <w:rPr>
          <w:rFonts w:ascii="Roboto" w:hAnsi="Arial MT" w:eastAsia="Arial MT" w:cs="Arial MT"/>
          <w:sz w:val="6"/>
        </w:rPr>
      </w:pPr>
    </w:p>
    <w:p w14:paraId="32AF8C30">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png"/>
                    <pic:cNvPicPr>
                      <a:picLocks noChangeAspect="1"/>
                    </pic:cNvPicPr>
                  </pic:nvPicPr>
                  <pic:blipFill>
                    <a:blip r:embed="rId60"/>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3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a:picLocks noChangeAspect="1"/>
                    </pic:cNvPicPr>
                  </pic:nvPicPr>
                  <pic:blipFill>
                    <a:blip r:embed="rId61"/>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png"/>
                    <pic:cNvPicPr>
                      <a:picLocks noChangeAspect="1"/>
                    </pic:cNvPicPr>
                  </pic:nvPicPr>
                  <pic:blipFill>
                    <a:blip r:embed="rId61"/>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a:picLocks noChangeAspect="1"/>
                    </pic:cNvPicPr>
                  </pic:nvPicPr>
                  <pic:blipFill>
                    <a:blip r:embed="rId62"/>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png"/>
                    <pic:cNvPicPr>
                      <a:picLocks noChangeAspect="1"/>
                    </pic:cNvPicPr>
                  </pic:nvPicPr>
                  <pic:blipFill>
                    <a:blip r:embed="rId63"/>
                    <a:stretch>
                      <a:fillRect/>
                    </a:stretch>
                  </pic:blipFill>
                  <pic:spPr>
                    <a:xfrm>
                      <a:off x="0" y="0"/>
                      <a:ext cx="209550" cy="171450"/>
                    </a:xfrm>
                    <a:prstGeom prst="rect">
                      <a:avLst/>
                    </a:prstGeom>
                    <a:noFill/>
                    <a:ln>
                      <a:noFill/>
                    </a:ln>
                  </pic:spPr>
                </pic:pic>
              </a:graphicData>
            </a:graphic>
          </wp:inline>
        </w:drawing>
      </w:r>
    </w:p>
    <w:p w14:paraId="13A1DA64">
      <w:pPr>
        <w:widowControl w:val="0"/>
        <w:autoSpaceDE w:val="0"/>
        <w:autoSpaceDN w:val="0"/>
        <w:spacing w:before="6"/>
        <w:rPr>
          <w:rFonts w:ascii="Roboto" w:hAnsi="Arial MT" w:eastAsia="Arial MT" w:cs="Arial MT"/>
          <w:sz w:val="5"/>
        </w:rPr>
      </w:pPr>
    </w:p>
    <w:p w14:paraId="4343F6B5">
      <w:pPr>
        <w:widowControl w:val="0"/>
        <w:autoSpaceDE w:val="0"/>
        <w:autoSpaceDN w:val="0"/>
        <w:spacing w:before="11" w:line="480" w:lineRule="auto"/>
        <w:rPr>
          <w:rFonts w:ascii="Roboto" w:hAnsi="Arial MT" w:eastAsia="Arial MT" w:cs="Arial MT"/>
          <w:sz w:val="16"/>
        </w:rPr>
      </w:pPr>
    </w:p>
    <w:p w14:paraId="215C696E">
      <w:pPr>
        <w:widowControl w:val="0"/>
        <w:numPr>
          <w:ilvl w:val="0"/>
          <w:numId w:val="35"/>
        </w:numPr>
        <w:tabs>
          <w:tab w:val="left" w:pos="737"/>
          <w:tab w:val="left" w:pos="738"/>
        </w:tabs>
        <w:autoSpaceDE w:val="0"/>
        <w:autoSpaceDN w:val="0"/>
        <w:spacing w:before="95" w:line="480" w:lineRule="auto"/>
        <w:ind w:left="737" w:right="494" w:hanging="633"/>
        <w:jc w:val="both"/>
        <w:rPr>
          <w:rFonts w:eastAsia="Arial MT"/>
          <w:szCs w:val="22"/>
        </w:rPr>
      </w:pPr>
      <w:r>
        <w:rPr>
          <w:rFonts w:eastAsia="Arial MT"/>
          <w:color w:val="202024"/>
          <w:szCs w:val="22"/>
        </w:rPr>
        <w:t>7.</w:t>
      </w:r>
      <w:r>
        <w:rPr>
          <w:rFonts w:eastAsia="Arial MT"/>
          <w:color w:val="202024"/>
          <w:spacing w:val="1"/>
          <w:szCs w:val="22"/>
        </w:rPr>
        <w:t xml:space="preserve"> </w:t>
      </w:r>
      <w:r>
        <w:rPr>
          <w:rFonts w:eastAsia="Arial MT"/>
          <w:color w:val="202024"/>
          <w:szCs w:val="22"/>
        </w:rPr>
        <w:t>In your opinion, to what extent does the existence and interaction of fiscal</w:t>
      </w:r>
      <w:r>
        <w:rPr>
          <w:rFonts w:eastAsia="Arial MT"/>
          <w:color w:val="202024"/>
          <w:spacing w:val="1"/>
          <w:szCs w:val="22"/>
        </w:rPr>
        <w:t xml:space="preserve"> </w:t>
      </w:r>
      <w:r>
        <w:rPr>
          <w:rFonts w:eastAsia="Arial MT"/>
          <w:color w:val="202024"/>
          <w:szCs w:val="22"/>
        </w:rPr>
        <w:t>regimes, taxing legislation, extra statutory agreements and directives in the</w:t>
      </w:r>
      <w:r>
        <w:rPr>
          <w:rFonts w:eastAsia="Arial MT"/>
          <w:color w:val="202024"/>
          <w:spacing w:val="1"/>
          <w:szCs w:val="22"/>
        </w:rPr>
        <w:t xml:space="preserve"> </w:t>
      </w:r>
      <w:r>
        <w:rPr>
          <w:rFonts w:eastAsia="Arial MT"/>
          <w:color w:val="202024"/>
          <w:szCs w:val="22"/>
        </w:rPr>
        <w:t>Upstream oil and gas tax system impact and affect clarity, certainty and</w:t>
      </w:r>
      <w:r>
        <w:rPr>
          <w:rFonts w:eastAsia="Arial MT"/>
          <w:color w:val="202024"/>
          <w:spacing w:val="1"/>
          <w:szCs w:val="22"/>
        </w:rPr>
        <w:t xml:space="preserve"> </w:t>
      </w:r>
      <w:r>
        <w:rPr>
          <w:rFonts w:eastAsia="Arial MT"/>
          <w:color w:val="202024"/>
          <w:szCs w:val="22"/>
        </w:rPr>
        <w:t>consistent</w:t>
      </w:r>
      <w:r>
        <w:rPr>
          <w:rFonts w:eastAsia="Arial MT"/>
          <w:color w:val="202024"/>
          <w:spacing w:val="-2"/>
          <w:szCs w:val="22"/>
        </w:rPr>
        <w:t xml:space="preserve"> </w:t>
      </w:r>
      <w:r>
        <w:rPr>
          <w:rFonts w:eastAsia="Arial MT"/>
          <w:color w:val="202024"/>
          <w:szCs w:val="22"/>
        </w:rPr>
        <w:t>interpretation</w:t>
      </w:r>
      <w:r>
        <w:rPr>
          <w:rFonts w:eastAsia="Arial MT"/>
          <w:color w:val="202024"/>
          <w:spacing w:val="-2"/>
          <w:szCs w:val="22"/>
        </w:rPr>
        <w:t xml:space="preserve"> </w:t>
      </w:r>
      <w:r>
        <w:rPr>
          <w:rFonts w:eastAsia="Arial MT"/>
          <w:color w:val="202024"/>
          <w:szCs w:val="22"/>
        </w:rPr>
        <w:t>and</w:t>
      </w:r>
      <w:r>
        <w:rPr>
          <w:rFonts w:eastAsia="Arial MT"/>
          <w:color w:val="202024"/>
          <w:spacing w:val="-2"/>
          <w:szCs w:val="22"/>
        </w:rPr>
        <w:t xml:space="preserve"> </w:t>
      </w:r>
      <w:r>
        <w:rPr>
          <w:rFonts w:eastAsia="Arial MT"/>
          <w:color w:val="202024"/>
          <w:szCs w:val="22"/>
        </w:rPr>
        <w:t>understanding</w:t>
      </w:r>
      <w:r>
        <w:rPr>
          <w:rFonts w:eastAsia="Arial MT"/>
          <w:color w:val="202024"/>
          <w:spacing w:val="-2"/>
          <w:szCs w:val="22"/>
        </w:rPr>
        <w:t xml:space="preserve"> </w:t>
      </w:r>
      <w:r>
        <w:rPr>
          <w:rFonts w:eastAsia="Arial MT"/>
          <w:color w:val="202024"/>
          <w:szCs w:val="22"/>
        </w:rPr>
        <w:t>of</w:t>
      </w:r>
      <w:r>
        <w:rPr>
          <w:rFonts w:eastAsia="Arial MT"/>
          <w:color w:val="202024"/>
          <w:spacing w:val="-2"/>
          <w:szCs w:val="22"/>
        </w:rPr>
        <w:t xml:space="preserve"> </w:t>
      </w:r>
      <w:r>
        <w:rPr>
          <w:rFonts w:eastAsia="Arial MT"/>
          <w:color w:val="202024"/>
          <w:szCs w:val="22"/>
        </w:rPr>
        <w:t>upstream</w:t>
      </w:r>
      <w:r>
        <w:rPr>
          <w:rFonts w:eastAsia="Arial MT"/>
          <w:color w:val="202024"/>
          <w:spacing w:val="-2"/>
          <w:szCs w:val="22"/>
        </w:rPr>
        <w:t xml:space="preserve"> </w:t>
      </w:r>
      <w:r>
        <w:rPr>
          <w:rFonts w:eastAsia="Arial MT"/>
          <w:color w:val="202024"/>
          <w:szCs w:val="22"/>
        </w:rPr>
        <w:t>oil</w:t>
      </w:r>
      <w:r>
        <w:rPr>
          <w:rFonts w:eastAsia="Arial MT"/>
          <w:color w:val="202024"/>
          <w:spacing w:val="-1"/>
          <w:szCs w:val="22"/>
        </w:rPr>
        <w:t xml:space="preserve"> </w:t>
      </w:r>
      <w:r>
        <w:rPr>
          <w:rFonts w:eastAsia="Arial MT"/>
          <w:color w:val="202024"/>
          <w:szCs w:val="22"/>
        </w:rPr>
        <w:t>and</w:t>
      </w:r>
      <w:r>
        <w:rPr>
          <w:rFonts w:eastAsia="Arial MT"/>
          <w:color w:val="202024"/>
          <w:spacing w:val="-2"/>
          <w:szCs w:val="22"/>
        </w:rPr>
        <w:t xml:space="preserve"> </w:t>
      </w:r>
      <w:r>
        <w:rPr>
          <w:rFonts w:eastAsia="Arial MT"/>
          <w:color w:val="202024"/>
          <w:szCs w:val="22"/>
        </w:rPr>
        <w:t>gas</w:t>
      </w:r>
      <w:r>
        <w:rPr>
          <w:rFonts w:eastAsia="Arial MT"/>
          <w:color w:val="202024"/>
          <w:spacing w:val="-2"/>
          <w:szCs w:val="22"/>
        </w:rPr>
        <w:t xml:space="preserve"> </w:t>
      </w:r>
      <w:r>
        <w:rPr>
          <w:rFonts w:eastAsia="Arial MT"/>
          <w:color w:val="202024"/>
          <w:szCs w:val="22"/>
        </w:rPr>
        <w:t>taxation?</w:t>
      </w:r>
    </w:p>
    <w:p w14:paraId="7145551C">
      <w:pPr>
        <w:widowControl w:val="0"/>
        <w:autoSpaceDE w:val="0"/>
        <w:autoSpaceDN w:val="0"/>
        <w:spacing w:before="1"/>
        <w:rPr>
          <w:rFonts w:ascii="Arial MT" w:hAnsi="Arial MT" w:eastAsia="Arial MT" w:cs="Arial MT"/>
          <w:sz w:val="11"/>
        </w:rPr>
      </w:pPr>
    </w:p>
    <w:p w14:paraId="0BDEFD33">
      <w:pPr>
        <w:widowControl w:val="0"/>
        <w:autoSpaceDE w:val="0"/>
        <w:autoSpaceDN w:val="0"/>
        <w:spacing w:before="96"/>
        <w:rPr>
          <w:rFonts w:eastAsia="Arial MT"/>
          <w:i/>
          <w:sz w:val="21"/>
          <w:szCs w:val="22"/>
        </w:rPr>
      </w:pPr>
      <w:r>
        <w:rPr>
          <w:rFonts w:eastAsia="Arial MT"/>
          <w:i/>
          <w:color w:val="6D6F72"/>
          <w:sz w:val="21"/>
          <w:szCs w:val="22"/>
        </w:rPr>
        <w:t>Mark</w:t>
      </w:r>
      <w:r>
        <w:rPr>
          <w:rFonts w:eastAsia="Arial MT"/>
          <w:i/>
          <w:color w:val="6D6F72"/>
          <w:spacing w:val="-2"/>
          <w:sz w:val="21"/>
          <w:szCs w:val="22"/>
        </w:rPr>
        <w:t xml:space="preserve"> </w:t>
      </w:r>
      <w:r>
        <w:rPr>
          <w:rFonts w:eastAsia="Arial MT"/>
          <w:i/>
          <w:color w:val="6D6F72"/>
          <w:sz w:val="21"/>
          <w:szCs w:val="22"/>
        </w:rPr>
        <w:t>only</w:t>
      </w:r>
      <w:r>
        <w:rPr>
          <w:rFonts w:eastAsia="Arial MT"/>
          <w:i/>
          <w:color w:val="6D6F72"/>
          <w:spacing w:val="-1"/>
          <w:sz w:val="21"/>
          <w:szCs w:val="22"/>
        </w:rPr>
        <w:t xml:space="preserve"> </w:t>
      </w:r>
      <w:r>
        <w:rPr>
          <w:rFonts w:eastAsia="Arial MT"/>
          <w:i/>
          <w:color w:val="6D6F72"/>
          <w:sz w:val="21"/>
          <w:szCs w:val="22"/>
        </w:rPr>
        <w:t>one</w:t>
      </w:r>
      <w:r>
        <w:rPr>
          <w:rFonts w:eastAsia="Arial MT"/>
          <w:i/>
          <w:color w:val="6D6F72"/>
          <w:spacing w:val="-1"/>
          <w:sz w:val="21"/>
          <w:szCs w:val="22"/>
        </w:rPr>
        <w:t xml:space="preserve"> </w:t>
      </w:r>
      <w:r>
        <w:rPr>
          <w:rFonts w:eastAsia="Arial MT"/>
          <w:i/>
          <w:color w:val="6D6F72"/>
          <w:sz w:val="21"/>
          <w:szCs w:val="22"/>
        </w:rPr>
        <w:t>oval.</w:t>
      </w:r>
    </w:p>
    <w:p w14:paraId="04A441E8">
      <w:pPr>
        <w:widowControl w:val="0"/>
        <w:autoSpaceDE w:val="0"/>
        <w:autoSpaceDN w:val="0"/>
        <w:spacing w:before="6"/>
        <w:rPr>
          <w:rFonts w:ascii="Roboto" w:hAnsi="Arial MT" w:eastAsia="Arial MT" w:cs="Arial MT"/>
          <w:i/>
          <w:sz w:val="28"/>
        </w:rPr>
      </w:pPr>
    </w:p>
    <w:p w14:paraId="2C81137C">
      <w:pPr>
        <w:widowControl w:val="0"/>
        <w:tabs>
          <w:tab w:val="left" w:pos="1937"/>
          <w:tab w:val="left" w:pos="2417"/>
          <w:tab w:val="left" w:pos="2897"/>
          <w:tab w:val="left" w:pos="3377"/>
        </w:tabs>
        <w:autoSpaceDE w:val="0"/>
        <w:autoSpaceDN w:val="0"/>
        <w:spacing w:before="96"/>
        <w:rPr>
          <w:rFonts w:eastAsia="Arial MT"/>
        </w:rPr>
      </w:pPr>
      <w:r>
        <w:rPr>
          <w:rFonts w:ascii="Roboto" w:hAnsi="Arial MT" w:eastAsia="Arial MT" w:cs="Arial MT"/>
          <w:color w:val="202024"/>
          <w:sz w:val="21"/>
          <w:szCs w:val="22"/>
        </w:rPr>
        <w:tab/>
      </w:r>
      <w:r>
        <w:rPr>
          <w:rFonts w:eastAsia="Arial MT"/>
          <w:color w:val="202024"/>
        </w:rPr>
        <w:t>1     2</w:t>
      </w:r>
      <w:r>
        <w:rPr>
          <w:rFonts w:eastAsia="Arial MT"/>
          <w:color w:val="202024"/>
        </w:rPr>
        <w:tab/>
      </w:r>
      <w:r>
        <w:rPr>
          <w:rFonts w:eastAsia="Arial MT"/>
          <w:color w:val="202024"/>
        </w:rPr>
        <w:t>3      4</w:t>
      </w:r>
      <w:r>
        <w:rPr>
          <w:rFonts w:eastAsia="Arial MT"/>
          <w:color w:val="202024"/>
        </w:rPr>
        <w:tab/>
      </w:r>
      <w:r>
        <w:rPr>
          <w:rFonts w:eastAsia="Arial MT"/>
          <w:color w:val="202024"/>
        </w:rPr>
        <w:t xml:space="preserve">   5</w:t>
      </w:r>
    </w:p>
    <w:p w14:paraId="6ED54A58">
      <w:pPr>
        <w:widowControl w:val="0"/>
        <w:autoSpaceDE w:val="0"/>
        <w:autoSpaceDN w:val="0"/>
        <w:spacing w:before="7"/>
        <w:rPr>
          <w:rFonts w:ascii="Roboto" w:hAnsi="Arial MT" w:eastAsia="Arial MT" w:cs="Arial MT"/>
          <w:sz w:val="13"/>
        </w:rPr>
      </w:pPr>
    </w:p>
    <w:p w14:paraId="07920B0E">
      <w:pPr>
        <w:widowControl w:val="0"/>
        <w:autoSpaceDE w:val="0"/>
        <w:autoSpaceDN w:val="0"/>
        <w:spacing w:before="3"/>
        <w:rPr>
          <w:rFonts w:ascii="Roboto" w:hAnsi="Arial MT" w:eastAsia="Arial MT" w:cs="Arial MT"/>
          <w:sz w:val="6"/>
        </w:rPr>
      </w:pPr>
    </w:p>
    <w:p w14:paraId="08BEDFF2">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4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a:picLocks noChangeAspect="1"/>
                    </pic:cNvPicPr>
                  </pic:nvPicPr>
                  <pic:blipFill>
                    <a:blip r:embed="rId6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8.png"/>
                    <pic:cNvPicPr>
                      <a:picLocks noChangeAspect="1"/>
                    </pic:cNvPicPr>
                  </pic:nvPicPr>
                  <pic:blipFill>
                    <a:blip r:embed="rId65"/>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a:picLocks noChangeAspect="1"/>
                    </pic:cNvPicPr>
                  </pic:nvPicPr>
                  <pic:blipFill>
                    <a:blip r:embed="rId66"/>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0.png"/>
                    <pic:cNvPicPr>
                      <a:picLocks noChangeAspect="1"/>
                    </pic:cNvPicPr>
                  </pic:nvPicPr>
                  <pic:blipFill>
                    <a:blip r:embed="rId67"/>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a:picLocks noChangeAspect="1"/>
                    </pic:cNvPicPr>
                  </pic:nvPicPr>
                  <pic:blipFill>
                    <a:blip r:embed="rId68"/>
                    <a:stretch>
                      <a:fillRect/>
                    </a:stretch>
                  </pic:blipFill>
                  <pic:spPr>
                    <a:xfrm>
                      <a:off x="0" y="0"/>
                      <a:ext cx="209550" cy="171450"/>
                    </a:xfrm>
                    <a:prstGeom prst="rect">
                      <a:avLst/>
                    </a:prstGeom>
                    <a:noFill/>
                    <a:ln>
                      <a:noFill/>
                    </a:ln>
                  </pic:spPr>
                </pic:pic>
              </a:graphicData>
            </a:graphic>
          </wp:inline>
        </w:drawing>
      </w:r>
    </w:p>
    <w:p w14:paraId="1DA201CF">
      <w:pPr>
        <w:widowControl w:val="0"/>
        <w:autoSpaceDE w:val="0"/>
        <w:autoSpaceDN w:val="0"/>
        <w:spacing w:before="6"/>
        <w:rPr>
          <w:rFonts w:ascii="Roboto" w:hAnsi="Arial MT" w:eastAsia="Arial MT" w:cs="Arial MT"/>
          <w:sz w:val="5"/>
        </w:rPr>
      </w:pPr>
    </w:p>
    <w:p w14:paraId="6B2C3332">
      <w:pPr>
        <w:rPr>
          <w:rFonts w:eastAsia="Arial MT"/>
          <w:color w:val="202024"/>
        </w:rPr>
      </w:pPr>
    </w:p>
    <w:p w14:paraId="19B4EC91">
      <w:pPr>
        <w:widowControl w:val="0"/>
        <w:numPr>
          <w:ilvl w:val="0"/>
          <w:numId w:val="35"/>
        </w:numPr>
        <w:tabs>
          <w:tab w:val="left" w:pos="737"/>
          <w:tab w:val="left" w:pos="738"/>
        </w:tabs>
        <w:autoSpaceDE w:val="0"/>
        <w:autoSpaceDN w:val="0"/>
        <w:spacing w:before="95" w:line="480" w:lineRule="auto"/>
        <w:ind w:left="737" w:right="161" w:hanging="633"/>
        <w:jc w:val="both"/>
        <w:rPr>
          <w:rFonts w:eastAsia="Arial MT"/>
          <w:szCs w:val="22"/>
        </w:rPr>
      </w:pPr>
      <w:r>
        <w:rPr>
          <w:rFonts w:eastAsia="Arial MT"/>
          <w:color w:val="202024"/>
          <w:szCs w:val="22"/>
        </w:rPr>
        <w:t>8. In your opinion how important is the age of the various petroleum taxing</w:t>
      </w:r>
      <w:r>
        <w:rPr>
          <w:rFonts w:eastAsia="Arial MT"/>
          <w:color w:val="202024"/>
          <w:spacing w:val="1"/>
          <w:szCs w:val="22"/>
        </w:rPr>
        <w:t xml:space="preserve"> </w:t>
      </w:r>
      <w:r>
        <w:rPr>
          <w:rFonts w:eastAsia="Arial MT"/>
          <w:color w:val="202024"/>
          <w:szCs w:val="22"/>
        </w:rPr>
        <w:t>statutes, and the infrequent or delayed tax policy and tax law reform in achieving</w:t>
      </w:r>
      <w:r>
        <w:rPr>
          <w:rFonts w:eastAsia="Arial MT"/>
          <w:color w:val="202024"/>
          <w:spacing w:val="-64"/>
          <w:szCs w:val="22"/>
        </w:rPr>
        <w:t xml:space="preserve"> </w:t>
      </w:r>
      <w:r>
        <w:rPr>
          <w:rFonts w:eastAsia="Arial MT"/>
          <w:color w:val="202024"/>
          <w:szCs w:val="22"/>
        </w:rPr>
        <w:t>clarity, certainty and consistent understanding of upstream oil and gas tax</w:t>
      </w:r>
      <w:r>
        <w:rPr>
          <w:rFonts w:eastAsia="Arial MT"/>
          <w:color w:val="202024"/>
          <w:spacing w:val="1"/>
          <w:szCs w:val="22"/>
        </w:rPr>
        <w:t xml:space="preserve"> </w:t>
      </w:r>
      <w:r>
        <w:rPr>
          <w:rFonts w:eastAsia="Arial MT"/>
          <w:color w:val="202024"/>
          <w:szCs w:val="22"/>
        </w:rPr>
        <w:t>legislation interpretation and administration.</w:t>
      </w:r>
    </w:p>
    <w:p w14:paraId="4CE443A0">
      <w:pPr>
        <w:widowControl w:val="0"/>
        <w:autoSpaceDE w:val="0"/>
        <w:autoSpaceDN w:val="0"/>
        <w:spacing w:before="2"/>
        <w:rPr>
          <w:rFonts w:ascii="Arial MT" w:hAnsi="Arial MT" w:eastAsia="Arial MT" w:cs="Arial MT"/>
          <w:sz w:val="11"/>
        </w:rPr>
      </w:pPr>
    </w:p>
    <w:p w14:paraId="6C033FDE">
      <w:pPr>
        <w:widowControl w:val="0"/>
        <w:autoSpaceDE w:val="0"/>
        <w:autoSpaceDN w:val="0"/>
        <w:spacing w:before="95"/>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53B61352">
      <w:pPr>
        <w:widowControl w:val="0"/>
        <w:autoSpaceDE w:val="0"/>
        <w:autoSpaceDN w:val="0"/>
        <w:spacing w:before="7"/>
        <w:rPr>
          <w:rFonts w:ascii="Roboto" w:hAnsi="Arial MT" w:eastAsia="Arial MT" w:cs="Arial MT"/>
          <w:i/>
          <w:sz w:val="28"/>
        </w:rPr>
      </w:pPr>
    </w:p>
    <w:p w14:paraId="0B100B62">
      <w:pPr>
        <w:widowControl w:val="0"/>
        <w:tabs>
          <w:tab w:val="left" w:pos="1937"/>
          <w:tab w:val="left" w:pos="2417"/>
          <w:tab w:val="left" w:pos="2897"/>
          <w:tab w:val="left" w:pos="3377"/>
        </w:tabs>
        <w:autoSpaceDE w:val="0"/>
        <w:autoSpaceDN w:val="0"/>
        <w:spacing w:before="95"/>
        <w:rPr>
          <w:rFonts w:ascii="Roboto" w:hAnsi="Arial MT" w:eastAsia="Arial MT" w:cs="Arial MT"/>
          <w:sz w:val="21"/>
          <w:szCs w:val="22"/>
        </w:rPr>
      </w:pPr>
      <w:r>
        <w:rPr>
          <w:rFonts w:ascii="Roboto" w:hAnsi="Arial MT" w:eastAsia="Arial MT" w:cs="Arial MT"/>
          <w:color w:val="202024"/>
          <w:sz w:val="21"/>
          <w:szCs w:val="22"/>
        </w:rPr>
        <w:t xml:space="preserve">                                1</w:t>
      </w:r>
      <w:r>
        <w:rPr>
          <w:rFonts w:ascii="Roboto" w:hAnsi="Arial MT" w:eastAsia="Arial MT" w:cs="Arial MT"/>
          <w:color w:val="202024"/>
          <w:sz w:val="21"/>
          <w:szCs w:val="22"/>
        </w:rPr>
        <w:tab/>
      </w:r>
      <w:r>
        <w:rPr>
          <w:rFonts w:ascii="Roboto" w:hAnsi="Arial MT" w:eastAsia="Arial MT" w:cs="Arial MT"/>
          <w:color w:val="202024"/>
          <w:sz w:val="21"/>
          <w:szCs w:val="22"/>
        </w:rPr>
        <w:t xml:space="preserve">    2</w:t>
      </w:r>
      <w:r>
        <w:rPr>
          <w:rFonts w:ascii="Roboto" w:hAnsi="Arial MT" w:eastAsia="Arial MT" w:cs="Arial MT"/>
          <w:color w:val="202024"/>
          <w:sz w:val="21"/>
          <w:szCs w:val="22"/>
        </w:rPr>
        <w:tab/>
      </w:r>
      <w:r>
        <w:rPr>
          <w:rFonts w:ascii="Roboto" w:hAnsi="Arial MT" w:eastAsia="Arial MT" w:cs="Arial MT"/>
          <w:color w:val="202024"/>
          <w:sz w:val="21"/>
          <w:szCs w:val="22"/>
        </w:rPr>
        <w:t xml:space="preserve">    3</w:t>
      </w:r>
      <w:r>
        <w:rPr>
          <w:rFonts w:ascii="Roboto" w:hAnsi="Arial MT" w:eastAsia="Arial MT" w:cs="Arial MT"/>
          <w:color w:val="202024"/>
          <w:sz w:val="21"/>
          <w:szCs w:val="22"/>
        </w:rPr>
        <w:tab/>
      </w:r>
      <w:r>
        <w:rPr>
          <w:rFonts w:ascii="Roboto" w:hAnsi="Arial MT" w:eastAsia="Arial MT" w:cs="Arial MT"/>
          <w:color w:val="202024"/>
          <w:sz w:val="21"/>
          <w:szCs w:val="22"/>
        </w:rPr>
        <w:t xml:space="preserve">    4</w:t>
      </w:r>
      <w:r>
        <w:rPr>
          <w:rFonts w:ascii="Roboto" w:hAnsi="Arial MT" w:eastAsia="Arial MT" w:cs="Arial MT"/>
          <w:color w:val="202024"/>
          <w:sz w:val="21"/>
          <w:szCs w:val="22"/>
        </w:rPr>
        <w:tab/>
      </w:r>
      <w:r>
        <w:rPr>
          <w:rFonts w:ascii="Roboto" w:hAnsi="Arial MT" w:eastAsia="Arial MT" w:cs="Arial MT"/>
          <w:color w:val="202024"/>
          <w:sz w:val="21"/>
          <w:szCs w:val="22"/>
        </w:rPr>
        <w:t xml:space="preserve">     5</w:t>
      </w:r>
    </w:p>
    <w:p w14:paraId="019152DF">
      <w:pPr>
        <w:widowControl w:val="0"/>
        <w:autoSpaceDE w:val="0"/>
        <w:autoSpaceDN w:val="0"/>
        <w:spacing w:before="7"/>
        <w:rPr>
          <w:rFonts w:ascii="Roboto" w:hAnsi="Arial MT" w:eastAsia="Arial MT" w:cs="Arial MT"/>
          <w:sz w:val="13"/>
        </w:rPr>
      </w:pPr>
    </w:p>
    <w:p w14:paraId="3F24E531">
      <w:pPr>
        <w:widowControl w:val="0"/>
        <w:autoSpaceDE w:val="0"/>
        <w:autoSpaceDN w:val="0"/>
        <w:spacing w:before="3"/>
        <w:rPr>
          <w:rFonts w:ascii="Roboto" w:hAnsi="Arial MT" w:eastAsia="Arial MT" w:cs="Arial MT"/>
          <w:sz w:val="6"/>
        </w:rPr>
      </w:pPr>
    </w:p>
    <w:p w14:paraId="05795AC7">
      <w:pPr>
        <w:widowControl w:val="0"/>
        <w:autoSpaceDE w:val="0"/>
        <w:autoSpaceDN w:val="0"/>
        <w:rPr>
          <w:rFonts w:ascii="Roboto" w:hAnsi="Arial MT" w:eastAsia="Arial MT" w:cs="Arial MT"/>
          <w:sz w:val="20"/>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pic:cNvPicPr>
                      <a:picLocks noChangeAspect="1"/>
                    </pic:cNvPicPr>
                  </pic:nvPicPr>
                  <pic:blipFill>
                    <a:blip r:embed="rId69"/>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a:picLocks noChangeAspect="1"/>
                    </pic:cNvPicPr>
                  </pic:nvPicPr>
                  <pic:blipFill>
                    <a:blip r:embed="rId70"/>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4.png"/>
                    <pic:cNvPicPr>
                      <a:picLocks noChangeAspect="1"/>
                    </pic:cNvPicPr>
                  </pic:nvPicPr>
                  <pic:blipFill>
                    <a:blip r:embed="rId71"/>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a:picLocks noChangeAspect="1"/>
                    </pic:cNvPicPr>
                  </pic:nvPicPr>
                  <pic:blipFill>
                    <a:blip r:embed="rId71"/>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5.png"/>
                    <pic:cNvPicPr>
                      <a:picLocks noChangeAspect="1"/>
                    </pic:cNvPicPr>
                  </pic:nvPicPr>
                  <pic:blipFill>
                    <a:blip r:embed="rId72"/>
                    <a:stretch>
                      <a:fillRect/>
                    </a:stretch>
                  </pic:blipFill>
                  <pic:spPr>
                    <a:xfrm>
                      <a:off x="0" y="0"/>
                      <a:ext cx="209550" cy="171450"/>
                    </a:xfrm>
                    <a:prstGeom prst="rect">
                      <a:avLst/>
                    </a:prstGeom>
                    <a:noFill/>
                    <a:ln>
                      <a:noFill/>
                    </a:ln>
                  </pic:spPr>
                </pic:pic>
              </a:graphicData>
            </a:graphic>
          </wp:inline>
        </w:drawing>
      </w:r>
    </w:p>
    <w:p w14:paraId="1B9C384C">
      <w:pPr>
        <w:widowControl w:val="0"/>
        <w:autoSpaceDE w:val="0"/>
        <w:autoSpaceDN w:val="0"/>
        <w:spacing w:before="11"/>
        <w:rPr>
          <w:rFonts w:ascii="Roboto" w:hAnsi="Arial MT" w:eastAsia="Arial MT" w:cs="Arial MT"/>
          <w:sz w:val="16"/>
        </w:rPr>
      </w:pPr>
    </w:p>
    <w:p w14:paraId="53287155">
      <w:pPr>
        <w:widowControl w:val="0"/>
        <w:numPr>
          <w:ilvl w:val="0"/>
          <w:numId w:val="35"/>
        </w:numPr>
        <w:tabs>
          <w:tab w:val="left" w:pos="737"/>
          <w:tab w:val="left" w:pos="738"/>
        </w:tabs>
        <w:autoSpaceDE w:val="0"/>
        <w:autoSpaceDN w:val="0"/>
        <w:spacing w:before="95" w:line="480" w:lineRule="auto"/>
        <w:ind w:left="737" w:right="494" w:hanging="633"/>
        <w:jc w:val="both"/>
        <w:rPr>
          <w:rFonts w:eastAsia="Arial MT"/>
          <w:szCs w:val="22"/>
        </w:rPr>
      </w:pPr>
      <w:r>
        <w:rPr>
          <w:rFonts w:eastAsia="Arial MT"/>
          <w:color w:val="202024"/>
          <w:szCs w:val="22"/>
        </w:rPr>
        <w:t>9. In your experience, to what extent do ad-hoc fiscal incentives introduced to</w:t>
      </w:r>
      <w:r>
        <w:rPr>
          <w:rFonts w:eastAsia="Arial MT"/>
          <w:color w:val="202024"/>
          <w:spacing w:val="-64"/>
          <w:szCs w:val="22"/>
        </w:rPr>
        <w:t xml:space="preserve"> </w:t>
      </w:r>
      <w:r>
        <w:rPr>
          <w:rFonts w:eastAsia="Arial MT"/>
          <w:color w:val="202024"/>
          <w:szCs w:val="22"/>
        </w:rPr>
        <w:t>the PPTA, and piecemeal amendment of the PPTA, as well as the extra-legal</w:t>
      </w:r>
      <w:r>
        <w:rPr>
          <w:rFonts w:eastAsia="Arial MT"/>
          <w:color w:val="202024"/>
          <w:spacing w:val="-64"/>
          <w:szCs w:val="22"/>
        </w:rPr>
        <w:t xml:space="preserve"> </w:t>
      </w:r>
      <w:r>
        <w:rPr>
          <w:rFonts w:eastAsia="Arial MT"/>
          <w:color w:val="202024"/>
          <w:szCs w:val="22"/>
        </w:rPr>
        <w:t>agreements, impact clarity, certainty</w:t>
      </w:r>
      <w:r>
        <w:rPr>
          <w:rFonts w:eastAsia="Arial MT"/>
          <w:color w:val="202024"/>
          <w:spacing w:val="1"/>
          <w:szCs w:val="22"/>
        </w:rPr>
        <w:t xml:space="preserve"> </w:t>
      </w:r>
      <w:r>
        <w:rPr>
          <w:rFonts w:eastAsia="Arial MT"/>
          <w:color w:val="202024"/>
          <w:szCs w:val="22"/>
        </w:rPr>
        <w:t>and consistency in understanding and</w:t>
      </w:r>
      <w:r>
        <w:rPr>
          <w:rFonts w:eastAsia="Arial MT"/>
          <w:color w:val="202024"/>
          <w:spacing w:val="1"/>
          <w:szCs w:val="22"/>
        </w:rPr>
        <w:t xml:space="preserve"> </w:t>
      </w:r>
      <w:r>
        <w:rPr>
          <w:rFonts w:eastAsia="Arial MT"/>
          <w:color w:val="202024"/>
          <w:szCs w:val="22"/>
        </w:rPr>
        <w:t>interpretation of upstream oil and gas tax statutes.</w:t>
      </w:r>
    </w:p>
    <w:p w14:paraId="5190ACC9">
      <w:pPr>
        <w:widowControl w:val="0"/>
        <w:autoSpaceDE w:val="0"/>
        <w:autoSpaceDN w:val="0"/>
        <w:spacing w:before="1"/>
        <w:rPr>
          <w:rFonts w:eastAsia="Arial MT"/>
        </w:rPr>
      </w:pPr>
    </w:p>
    <w:p w14:paraId="36416BDE">
      <w:pPr>
        <w:widowControl w:val="0"/>
        <w:autoSpaceDE w:val="0"/>
        <w:autoSpaceDN w:val="0"/>
        <w:spacing w:before="96"/>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06D3FD1E">
      <w:pPr>
        <w:widowControl w:val="0"/>
        <w:autoSpaceDE w:val="0"/>
        <w:autoSpaceDN w:val="0"/>
        <w:spacing w:before="6"/>
        <w:rPr>
          <w:rFonts w:ascii="Roboto" w:hAnsi="Arial MT" w:eastAsia="Arial MT" w:cs="Arial MT"/>
          <w:i/>
          <w:sz w:val="28"/>
        </w:rPr>
      </w:pPr>
    </w:p>
    <w:p w14:paraId="0DA216BB">
      <w:pPr>
        <w:widowControl w:val="0"/>
        <w:tabs>
          <w:tab w:val="left" w:pos="1937"/>
          <w:tab w:val="left" w:pos="2417"/>
          <w:tab w:val="left" w:pos="2897"/>
          <w:tab w:val="left" w:pos="3377"/>
        </w:tabs>
        <w:autoSpaceDE w:val="0"/>
        <w:autoSpaceDN w:val="0"/>
        <w:spacing w:before="96"/>
        <w:rPr>
          <w:rFonts w:ascii="Roboto" w:hAnsi="Arial MT" w:eastAsia="Arial MT" w:cs="Arial MT"/>
          <w:sz w:val="21"/>
          <w:szCs w:val="22"/>
        </w:rPr>
      </w:pPr>
      <w:r>
        <w:rPr>
          <w:rFonts w:ascii="Roboto" w:hAnsi="Arial MT" w:eastAsia="Arial MT" w:cs="Arial MT"/>
          <w:color w:val="202024"/>
          <w:sz w:val="21"/>
          <w:szCs w:val="22"/>
        </w:rPr>
        <w:tab/>
      </w:r>
      <w:r>
        <w:rPr>
          <w:rFonts w:ascii="Roboto" w:hAnsi="Arial MT" w:eastAsia="Arial MT" w:cs="Arial MT"/>
          <w:color w:val="202024"/>
          <w:sz w:val="21"/>
          <w:szCs w:val="22"/>
        </w:rPr>
        <w:t>1</w:t>
      </w:r>
      <w:r>
        <w:rPr>
          <w:rFonts w:ascii="Roboto" w:hAnsi="Arial MT" w:eastAsia="Arial MT" w:cs="Arial MT"/>
          <w:color w:val="202024"/>
          <w:sz w:val="21"/>
          <w:szCs w:val="22"/>
        </w:rPr>
        <w:tab/>
      </w:r>
      <w:r>
        <w:rPr>
          <w:rFonts w:ascii="Roboto" w:hAnsi="Arial MT" w:eastAsia="Arial MT" w:cs="Arial MT"/>
          <w:color w:val="202024"/>
          <w:sz w:val="21"/>
          <w:szCs w:val="22"/>
        </w:rPr>
        <w:t>2</w:t>
      </w:r>
      <w:r>
        <w:rPr>
          <w:rFonts w:ascii="Roboto" w:hAnsi="Arial MT" w:eastAsia="Arial MT" w:cs="Arial MT"/>
          <w:color w:val="202024"/>
          <w:sz w:val="21"/>
          <w:szCs w:val="22"/>
        </w:rPr>
        <w:tab/>
      </w:r>
      <w:r>
        <w:rPr>
          <w:rFonts w:ascii="Roboto" w:hAnsi="Arial MT" w:eastAsia="Arial MT" w:cs="Arial MT"/>
          <w:color w:val="202024"/>
          <w:sz w:val="21"/>
          <w:szCs w:val="22"/>
        </w:rPr>
        <w:t>3</w:t>
      </w:r>
      <w:r>
        <w:rPr>
          <w:rFonts w:ascii="Roboto" w:hAnsi="Arial MT" w:eastAsia="Arial MT" w:cs="Arial MT"/>
          <w:color w:val="202024"/>
          <w:sz w:val="21"/>
          <w:szCs w:val="22"/>
        </w:rPr>
        <w:tab/>
      </w:r>
      <w:r>
        <w:rPr>
          <w:rFonts w:ascii="Roboto" w:hAnsi="Arial MT" w:eastAsia="Arial MT" w:cs="Arial MT"/>
          <w:color w:val="202024"/>
          <w:sz w:val="21"/>
          <w:szCs w:val="22"/>
        </w:rPr>
        <w:t>4</w:t>
      </w:r>
      <w:r>
        <w:rPr>
          <w:rFonts w:ascii="Roboto" w:hAnsi="Arial MT" w:eastAsia="Arial MT" w:cs="Arial MT"/>
          <w:color w:val="202024"/>
          <w:sz w:val="21"/>
          <w:szCs w:val="22"/>
        </w:rPr>
        <w:tab/>
      </w:r>
      <w:r>
        <w:rPr>
          <w:rFonts w:ascii="Roboto" w:hAnsi="Arial MT" w:eastAsia="Arial MT" w:cs="Arial MT"/>
          <w:color w:val="202024"/>
          <w:sz w:val="21"/>
          <w:szCs w:val="22"/>
        </w:rPr>
        <w:t xml:space="preserve">   5</w:t>
      </w:r>
    </w:p>
    <w:p w14:paraId="1E4ECB91">
      <w:pPr>
        <w:widowControl w:val="0"/>
        <w:autoSpaceDE w:val="0"/>
        <w:autoSpaceDN w:val="0"/>
        <w:spacing w:before="7"/>
        <w:rPr>
          <w:rFonts w:ascii="Roboto" w:hAnsi="Arial MT" w:eastAsia="Arial MT" w:cs="Arial MT"/>
          <w:sz w:val="13"/>
        </w:rPr>
      </w:pPr>
    </w:p>
    <w:p w14:paraId="4FE44607">
      <w:pPr>
        <w:widowControl w:val="0"/>
        <w:autoSpaceDE w:val="0"/>
        <w:autoSpaceDN w:val="0"/>
        <w:spacing w:before="3"/>
        <w:rPr>
          <w:rFonts w:ascii="Roboto" w:hAnsi="Arial MT" w:eastAsia="Arial MT" w:cs="Arial MT"/>
          <w:sz w:val="6"/>
        </w:rPr>
      </w:pPr>
    </w:p>
    <w:p w14:paraId="035F57E8">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5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a:picLocks noChangeAspect="1"/>
                    </pic:cNvPicPr>
                  </pic:nvPicPr>
                  <pic:blipFill>
                    <a:blip r:embed="rId73"/>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7.png"/>
                    <pic:cNvPicPr>
                      <a:picLocks noChangeAspect="1"/>
                    </pic:cNvPicPr>
                  </pic:nvPicPr>
                  <pic:blipFill>
                    <a:blip r:embed="rId7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a:picLocks noChangeAspect="1"/>
                    </pic:cNvPicPr>
                  </pic:nvPicPr>
                  <pic:blipFill>
                    <a:blip r:embed="rId75"/>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9.png"/>
                    <pic:cNvPicPr>
                      <a:picLocks noChangeAspect="1"/>
                    </pic:cNvPicPr>
                  </pic:nvPicPr>
                  <pic:blipFill>
                    <a:blip r:embed="rId7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png"/>
                    <pic:cNvPicPr>
                      <a:picLocks noChangeAspect="1"/>
                    </pic:cNvPicPr>
                  </pic:nvPicPr>
                  <pic:blipFill>
                    <a:blip r:embed="rId75"/>
                    <a:stretch>
                      <a:fillRect/>
                    </a:stretch>
                  </pic:blipFill>
                  <pic:spPr>
                    <a:xfrm>
                      <a:off x="0" y="0"/>
                      <a:ext cx="209550" cy="171450"/>
                    </a:xfrm>
                    <a:prstGeom prst="rect">
                      <a:avLst/>
                    </a:prstGeom>
                    <a:noFill/>
                    <a:ln>
                      <a:noFill/>
                    </a:ln>
                  </pic:spPr>
                </pic:pic>
              </a:graphicData>
            </a:graphic>
          </wp:inline>
        </w:drawing>
      </w:r>
    </w:p>
    <w:p w14:paraId="7BBC1F31">
      <w:pPr>
        <w:widowControl w:val="0"/>
        <w:autoSpaceDE w:val="0"/>
        <w:autoSpaceDN w:val="0"/>
        <w:spacing w:before="6"/>
        <w:rPr>
          <w:rFonts w:ascii="Roboto" w:hAnsi="Arial MT" w:eastAsia="Arial MT" w:cs="Arial MT"/>
          <w:sz w:val="5"/>
        </w:rPr>
      </w:pPr>
    </w:p>
    <w:p w14:paraId="7B0598AD">
      <w:pPr>
        <w:widowControl w:val="0"/>
        <w:autoSpaceDE w:val="0"/>
        <w:autoSpaceDN w:val="0"/>
        <w:rPr>
          <w:rFonts w:ascii="Roboto" w:hAnsi="Arial MT" w:eastAsia="Arial MT" w:cs="Arial MT"/>
          <w:sz w:val="20"/>
        </w:rPr>
      </w:pPr>
    </w:p>
    <w:p w14:paraId="20BF2B0C">
      <w:pPr>
        <w:widowControl w:val="0"/>
        <w:autoSpaceDE w:val="0"/>
        <w:autoSpaceDN w:val="0"/>
        <w:spacing w:before="11"/>
        <w:rPr>
          <w:rFonts w:ascii="Roboto" w:hAnsi="Arial MT" w:eastAsia="Arial MT" w:cs="Arial MT"/>
          <w:sz w:val="16"/>
        </w:rPr>
      </w:pPr>
    </w:p>
    <w:p w14:paraId="60E32B1F">
      <w:pPr>
        <w:widowControl w:val="0"/>
        <w:numPr>
          <w:ilvl w:val="0"/>
          <w:numId w:val="35"/>
        </w:numPr>
        <w:tabs>
          <w:tab w:val="left" w:pos="737"/>
          <w:tab w:val="left" w:pos="738"/>
        </w:tabs>
        <w:autoSpaceDE w:val="0"/>
        <w:autoSpaceDN w:val="0"/>
        <w:spacing w:before="95"/>
        <w:ind w:left="737" w:hanging="634"/>
        <w:rPr>
          <w:rFonts w:ascii="Arial MT" w:hAnsi="Arial MT" w:eastAsia="Arial MT" w:cs="Arial MT"/>
          <w:szCs w:val="22"/>
        </w:rPr>
      </w:pPr>
      <w:r>
        <w:rPr>
          <w:rFonts w:ascii="Arial MT" w:hAnsi="Arial MT" w:eastAsia="Arial MT" w:cs="Arial MT"/>
          <w:color w:val="202024"/>
          <w:szCs w:val="22"/>
        </w:rPr>
        <w:t>Please add any other comments below_2:</w:t>
      </w:r>
    </w:p>
    <w:p w14:paraId="05FA3435">
      <w:pPr>
        <w:widowControl w:val="0"/>
        <w:autoSpaceDE w:val="0"/>
        <w:autoSpaceDN w:val="0"/>
        <w:rPr>
          <w:rFonts w:ascii="Arial MT" w:hAnsi="Arial MT" w:eastAsia="Arial MT" w:cs="Arial MT"/>
          <w:sz w:val="20"/>
        </w:rPr>
      </w:pPr>
    </w:p>
    <w:p w14:paraId="6AB196F7">
      <w:pPr>
        <w:widowControl w:val="0"/>
        <w:autoSpaceDE w:val="0"/>
        <w:autoSpaceDN w:val="0"/>
        <w:rPr>
          <w:rFonts w:eastAsia="Arial MT"/>
          <w:spacing w:val="-1"/>
        </w:rPr>
      </w:pPr>
    </w:p>
    <w:p w14:paraId="39F96709">
      <w:pPr>
        <w:widowControl w:val="0"/>
        <w:autoSpaceDE w:val="0"/>
        <w:autoSpaceDN w:val="0"/>
        <w:rPr>
          <w:rFonts w:ascii="Arial MT" w:hAnsi="Arial MT" w:eastAsia="Arial MT" w:cs="Arial MT"/>
          <w:sz w:val="20"/>
        </w:rPr>
      </w:pPr>
    </w:p>
    <w:p w14:paraId="2FF28DED">
      <w:pPr>
        <w:widowControl w:val="0"/>
        <w:autoSpaceDE w:val="0"/>
        <w:autoSpaceDN w:val="0"/>
        <w:spacing w:before="93" w:line="480" w:lineRule="auto"/>
        <w:jc w:val="both"/>
        <w:rPr>
          <w:rFonts w:eastAsia="Arial MT"/>
        </w:rPr>
      </w:pPr>
      <w:r>
        <w:rPr>
          <w:rFonts w:eastAsia="Arial MT"/>
          <w:spacing w:val="-1"/>
        </w:rPr>
        <w:t>The</w:t>
      </w:r>
      <w:r>
        <w:rPr>
          <w:rFonts w:eastAsia="Arial MT"/>
          <w:spacing w:val="-7"/>
        </w:rPr>
        <w:t xml:space="preserve"> </w:t>
      </w:r>
      <w:r>
        <w:rPr>
          <w:rFonts w:eastAsia="Arial MT"/>
          <w:spacing w:val="-1"/>
        </w:rPr>
        <w:t>Tax</w:t>
      </w:r>
      <w:r>
        <w:rPr>
          <w:rFonts w:eastAsia="Arial MT"/>
          <w:spacing w:val="-16"/>
        </w:rPr>
        <w:t xml:space="preserve"> </w:t>
      </w:r>
      <w:r>
        <w:rPr>
          <w:rFonts w:eastAsia="Arial MT"/>
          <w:spacing w:val="-1"/>
        </w:rPr>
        <w:t>Authority</w:t>
      </w:r>
      <w:r>
        <w:rPr>
          <w:rFonts w:eastAsia="Arial MT"/>
          <w:spacing w:val="-2"/>
        </w:rPr>
        <w:t xml:space="preserve"> </w:t>
      </w:r>
      <w:r>
        <w:rPr>
          <w:rFonts w:eastAsia="Arial MT"/>
          <w:spacing w:val="-1"/>
        </w:rPr>
        <w:t>and</w:t>
      </w:r>
      <w:r>
        <w:rPr>
          <w:rFonts w:eastAsia="Arial MT"/>
          <w:spacing w:val="-2"/>
        </w:rPr>
        <w:t xml:space="preserve"> </w:t>
      </w:r>
      <w:r>
        <w:rPr>
          <w:rFonts w:eastAsia="Arial MT"/>
          <w:spacing w:val="-1"/>
        </w:rPr>
        <w:t>the</w:t>
      </w:r>
      <w:r>
        <w:rPr>
          <w:rFonts w:eastAsia="Arial MT"/>
          <w:spacing w:val="-7"/>
        </w:rPr>
        <w:t xml:space="preserve"> </w:t>
      </w:r>
      <w:r>
        <w:rPr>
          <w:rFonts w:eastAsia="Arial MT"/>
          <w:spacing w:val="-1"/>
        </w:rPr>
        <w:t>Tax</w:t>
      </w:r>
      <w:r>
        <w:rPr>
          <w:rFonts w:eastAsia="Arial MT"/>
          <w:spacing w:val="-2"/>
        </w:rPr>
        <w:t xml:space="preserve"> </w:t>
      </w:r>
      <w:r>
        <w:rPr>
          <w:rFonts w:eastAsia="Arial MT"/>
          <w:spacing w:val="-1"/>
        </w:rPr>
        <w:t>Payer</w:t>
      </w:r>
      <w:r>
        <w:rPr>
          <w:rFonts w:eastAsia="Arial MT"/>
          <w:spacing w:val="-2"/>
        </w:rPr>
        <w:t xml:space="preserve"> </w:t>
      </w:r>
      <w:r>
        <w:rPr>
          <w:rFonts w:eastAsia="Arial MT"/>
          <w:spacing w:val="-1"/>
        </w:rPr>
        <w:t>understanding</w:t>
      </w:r>
      <w:r>
        <w:rPr>
          <w:rFonts w:eastAsia="Arial MT"/>
          <w:spacing w:val="-2"/>
        </w:rPr>
        <w:t xml:space="preserve"> </w:t>
      </w:r>
      <w:r>
        <w:rPr>
          <w:rFonts w:eastAsia="Arial MT"/>
          <w:spacing w:val="-1"/>
        </w:rPr>
        <w:t>of</w:t>
      </w:r>
      <w:r>
        <w:rPr>
          <w:rFonts w:eastAsia="Arial MT"/>
          <w:spacing w:val="-7"/>
        </w:rPr>
        <w:t xml:space="preserve"> </w:t>
      </w:r>
      <w:r>
        <w:rPr>
          <w:rFonts w:eastAsia="Arial MT"/>
          <w:spacing w:val="-1"/>
        </w:rPr>
        <w:t>Tax</w:t>
      </w:r>
      <w:r>
        <w:rPr>
          <w:rFonts w:eastAsia="Arial MT"/>
          <w:spacing w:val="-2"/>
        </w:rPr>
        <w:t xml:space="preserve"> </w:t>
      </w:r>
      <w:r>
        <w:rPr>
          <w:rFonts w:eastAsia="Arial MT"/>
          <w:spacing w:val="-1"/>
        </w:rPr>
        <w:t>legislation.</w:t>
      </w:r>
    </w:p>
    <w:p w14:paraId="073B85C8">
      <w:pPr>
        <w:widowControl w:val="0"/>
        <w:autoSpaceDE w:val="0"/>
        <w:autoSpaceDN w:val="0"/>
        <w:spacing w:line="480" w:lineRule="auto"/>
        <w:ind w:right="351"/>
        <w:jc w:val="both"/>
        <w:rPr>
          <w:rFonts w:eastAsia="Arial MT"/>
        </w:rPr>
      </w:pPr>
      <w:r>
        <w:rPr>
          <w:rFonts w:eastAsia="Arial MT"/>
          <w:color w:val="202024"/>
        </w:rPr>
        <w:t>The desire of Revenue Authorities to achieve revenue targets and increase government</w:t>
      </w:r>
      <w:r>
        <w:rPr>
          <w:rFonts w:eastAsia="Arial MT"/>
          <w:color w:val="202024"/>
          <w:spacing w:val="1"/>
        </w:rPr>
        <w:t xml:space="preserve"> </w:t>
      </w:r>
      <w:r>
        <w:rPr>
          <w:rFonts w:eastAsia="Arial MT"/>
          <w:color w:val="202024"/>
          <w:spacing w:val="-1"/>
        </w:rPr>
        <w:t>take</w:t>
      </w:r>
      <w:r>
        <w:rPr>
          <w:rFonts w:eastAsia="Arial MT"/>
          <w:color w:val="202024"/>
          <w:spacing w:val="-10"/>
        </w:rPr>
        <w:t xml:space="preserve"> </w:t>
      </w:r>
      <w:r>
        <w:rPr>
          <w:rFonts w:eastAsia="Arial MT"/>
          <w:color w:val="202024"/>
          <w:spacing w:val="-1"/>
        </w:rPr>
        <w:t>and</w:t>
      </w:r>
      <w:r>
        <w:rPr>
          <w:rFonts w:eastAsia="Arial MT"/>
          <w:color w:val="202024"/>
          <w:spacing w:val="-10"/>
        </w:rPr>
        <w:t xml:space="preserve"> </w:t>
      </w:r>
      <w:r>
        <w:rPr>
          <w:rFonts w:eastAsia="Arial MT"/>
          <w:color w:val="202024"/>
          <w:spacing w:val="-1"/>
        </w:rPr>
        <w:t>the</w:t>
      </w:r>
      <w:r>
        <w:rPr>
          <w:rFonts w:eastAsia="Arial MT"/>
          <w:color w:val="202024"/>
          <w:spacing w:val="-10"/>
        </w:rPr>
        <w:t xml:space="preserve"> </w:t>
      </w:r>
      <w:r>
        <w:rPr>
          <w:rFonts w:eastAsia="Arial MT"/>
          <w:color w:val="202024"/>
          <w:spacing w:val="-1"/>
        </w:rPr>
        <w:t>desire</w:t>
      </w:r>
      <w:r>
        <w:rPr>
          <w:rFonts w:eastAsia="Arial MT"/>
          <w:color w:val="202024"/>
          <w:spacing w:val="-9"/>
        </w:rPr>
        <w:t xml:space="preserve"> </w:t>
      </w:r>
      <w:r>
        <w:rPr>
          <w:rFonts w:eastAsia="Arial MT"/>
          <w:color w:val="202024"/>
          <w:spacing w:val="-1"/>
        </w:rPr>
        <w:t>for</w:t>
      </w:r>
      <w:r>
        <w:rPr>
          <w:rFonts w:eastAsia="Arial MT"/>
          <w:color w:val="202024"/>
          <w:spacing w:val="-10"/>
        </w:rPr>
        <w:t xml:space="preserve"> </w:t>
      </w:r>
      <w:r>
        <w:rPr>
          <w:rFonts w:eastAsia="Arial MT"/>
          <w:color w:val="202024"/>
          <w:spacing w:val="-1"/>
        </w:rPr>
        <w:t>tax</w:t>
      </w:r>
      <w:r>
        <w:rPr>
          <w:rFonts w:eastAsia="Arial MT"/>
          <w:color w:val="202024"/>
          <w:spacing w:val="-10"/>
        </w:rPr>
        <w:t xml:space="preserve"> </w:t>
      </w:r>
      <w:r>
        <w:rPr>
          <w:rFonts w:eastAsia="Arial MT"/>
          <w:color w:val="202024"/>
          <w:spacing w:val="-1"/>
        </w:rPr>
        <w:t>optimization</w:t>
      </w:r>
      <w:r>
        <w:rPr>
          <w:rFonts w:eastAsia="Arial MT"/>
          <w:color w:val="202024"/>
          <w:spacing w:val="-9"/>
        </w:rPr>
        <w:t xml:space="preserve"> </w:t>
      </w:r>
      <w:r>
        <w:rPr>
          <w:rFonts w:eastAsia="Arial MT"/>
          <w:color w:val="202024"/>
        </w:rPr>
        <w:t>by</w:t>
      </w:r>
      <w:r>
        <w:rPr>
          <w:rFonts w:eastAsia="Arial MT"/>
          <w:color w:val="202024"/>
          <w:spacing w:val="-13"/>
        </w:rPr>
        <w:t xml:space="preserve"> </w:t>
      </w:r>
      <w:r>
        <w:rPr>
          <w:rFonts w:eastAsia="Arial MT"/>
          <w:color w:val="202024"/>
        </w:rPr>
        <w:t>Tax</w:t>
      </w:r>
      <w:r>
        <w:rPr>
          <w:rFonts w:eastAsia="Arial MT"/>
          <w:color w:val="202024"/>
          <w:spacing w:val="-10"/>
        </w:rPr>
        <w:t xml:space="preserve"> </w:t>
      </w:r>
      <w:r>
        <w:rPr>
          <w:rFonts w:eastAsia="Arial MT"/>
          <w:color w:val="202024"/>
        </w:rPr>
        <w:t>Advisers</w:t>
      </w:r>
      <w:r>
        <w:rPr>
          <w:rFonts w:eastAsia="Arial MT"/>
          <w:color w:val="202024"/>
          <w:spacing w:val="-10"/>
        </w:rPr>
        <w:t xml:space="preserve"> </w:t>
      </w:r>
      <w:r>
        <w:rPr>
          <w:rFonts w:eastAsia="Arial MT"/>
          <w:color w:val="202024"/>
        </w:rPr>
        <w:t>and</w:t>
      </w:r>
      <w:r>
        <w:rPr>
          <w:rFonts w:eastAsia="Arial MT"/>
          <w:color w:val="202024"/>
          <w:spacing w:val="-13"/>
        </w:rPr>
        <w:t xml:space="preserve"> </w:t>
      </w:r>
      <w:r>
        <w:rPr>
          <w:rFonts w:eastAsia="Arial MT"/>
          <w:color w:val="202024"/>
        </w:rPr>
        <w:t>Tax</w:t>
      </w:r>
      <w:r>
        <w:rPr>
          <w:rFonts w:eastAsia="Arial MT"/>
          <w:color w:val="202024"/>
          <w:spacing w:val="-9"/>
        </w:rPr>
        <w:t xml:space="preserve"> </w:t>
      </w:r>
      <w:r>
        <w:rPr>
          <w:rFonts w:eastAsia="Arial MT"/>
          <w:color w:val="202024"/>
        </w:rPr>
        <w:t>payers,</w:t>
      </w:r>
      <w:r>
        <w:rPr>
          <w:rFonts w:eastAsia="Arial MT"/>
          <w:color w:val="202024"/>
          <w:spacing w:val="-10"/>
        </w:rPr>
        <w:t xml:space="preserve"> </w:t>
      </w:r>
      <w:r>
        <w:rPr>
          <w:rFonts w:eastAsia="Arial MT"/>
          <w:color w:val="202024"/>
        </w:rPr>
        <w:t>invariably</w:t>
      </w:r>
      <w:r>
        <w:rPr>
          <w:rFonts w:eastAsia="Arial MT"/>
          <w:color w:val="202024"/>
          <w:spacing w:val="-10"/>
        </w:rPr>
        <w:t xml:space="preserve"> </w:t>
      </w:r>
      <w:r>
        <w:rPr>
          <w:rFonts w:eastAsia="Arial MT"/>
          <w:color w:val="202024"/>
        </w:rPr>
        <w:t>result</w:t>
      </w:r>
      <w:r>
        <w:rPr>
          <w:rFonts w:eastAsia="Arial MT"/>
          <w:color w:val="202024"/>
          <w:spacing w:val="-10"/>
        </w:rPr>
        <w:t xml:space="preserve"> </w:t>
      </w:r>
      <w:r>
        <w:rPr>
          <w:rFonts w:eastAsia="Arial MT"/>
          <w:color w:val="202024"/>
        </w:rPr>
        <w:t>in</w:t>
      </w:r>
      <w:r>
        <w:rPr>
          <w:rFonts w:eastAsia="Arial MT"/>
          <w:color w:val="202024"/>
          <w:spacing w:val="-51"/>
        </w:rPr>
        <w:t xml:space="preserve"> </w:t>
      </w:r>
      <w:r>
        <w:rPr>
          <w:rFonts w:eastAsia="Arial MT"/>
          <w:color w:val="202024"/>
        </w:rPr>
        <w:t>differences</w:t>
      </w:r>
      <w:r>
        <w:rPr>
          <w:rFonts w:eastAsia="Arial MT"/>
          <w:color w:val="202024"/>
          <w:spacing w:val="-8"/>
        </w:rPr>
        <w:t xml:space="preserve"> </w:t>
      </w:r>
      <w:r>
        <w:rPr>
          <w:rFonts w:eastAsia="Arial MT"/>
          <w:color w:val="202024"/>
        </w:rPr>
        <w:t>in</w:t>
      </w:r>
      <w:r>
        <w:rPr>
          <w:rFonts w:eastAsia="Arial MT"/>
          <w:color w:val="202024"/>
          <w:spacing w:val="-8"/>
        </w:rPr>
        <w:t xml:space="preserve"> </w:t>
      </w:r>
      <w:r>
        <w:rPr>
          <w:rFonts w:eastAsia="Arial MT"/>
          <w:color w:val="202024"/>
        </w:rPr>
        <w:t>understanding</w:t>
      </w:r>
      <w:r>
        <w:rPr>
          <w:rFonts w:eastAsia="Arial MT"/>
          <w:color w:val="202024"/>
          <w:spacing w:val="-8"/>
        </w:rPr>
        <w:t xml:space="preserve"> </w:t>
      </w:r>
      <w:r>
        <w:rPr>
          <w:rFonts w:eastAsia="Arial MT"/>
          <w:color w:val="202024"/>
        </w:rPr>
        <w:t>and</w:t>
      </w:r>
      <w:r>
        <w:rPr>
          <w:rFonts w:eastAsia="Arial MT"/>
          <w:color w:val="202024"/>
          <w:spacing w:val="-7"/>
        </w:rPr>
        <w:t xml:space="preserve"> </w:t>
      </w:r>
      <w:r>
        <w:rPr>
          <w:rFonts w:eastAsia="Arial MT"/>
          <w:color w:val="202024"/>
        </w:rPr>
        <w:t>interpretation</w:t>
      </w:r>
      <w:r>
        <w:rPr>
          <w:rFonts w:eastAsia="Arial MT"/>
          <w:color w:val="202024"/>
          <w:spacing w:val="-8"/>
        </w:rPr>
        <w:t xml:space="preserve"> </w:t>
      </w:r>
      <w:r>
        <w:rPr>
          <w:rFonts w:eastAsia="Arial MT"/>
          <w:color w:val="202024"/>
        </w:rPr>
        <w:t>of</w:t>
      </w:r>
      <w:r>
        <w:rPr>
          <w:rFonts w:eastAsia="Arial MT"/>
          <w:color w:val="202024"/>
          <w:spacing w:val="-8"/>
        </w:rPr>
        <w:t xml:space="preserve"> </w:t>
      </w:r>
      <w:r>
        <w:rPr>
          <w:rFonts w:eastAsia="Arial MT"/>
          <w:color w:val="202024"/>
        </w:rPr>
        <w:t>Upstream</w:t>
      </w:r>
      <w:r>
        <w:rPr>
          <w:rFonts w:eastAsia="Arial MT"/>
          <w:color w:val="202024"/>
          <w:spacing w:val="-8"/>
        </w:rPr>
        <w:t xml:space="preserve"> </w:t>
      </w:r>
      <w:r>
        <w:rPr>
          <w:rFonts w:eastAsia="Arial MT"/>
          <w:color w:val="202024"/>
        </w:rPr>
        <w:t>oil</w:t>
      </w:r>
      <w:r>
        <w:rPr>
          <w:rFonts w:eastAsia="Arial MT"/>
          <w:color w:val="202024"/>
          <w:spacing w:val="-7"/>
        </w:rPr>
        <w:t xml:space="preserve"> </w:t>
      </w:r>
      <w:r>
        <w:rPr>
          <w:rFonts w:eastAsia="Arial MT"/>
          <w:color w:val="202024"/>
        </w:rPr>
        <w:t>and</w:t>
      </w:r>
      <w:r>
        <w:rPr>
          <w:rFonts w:eastAsia="Arial MT"/>
          <w:color w:val="202024"/>
          <w:spacing w:val="-8"/>
        </w:rPr>
        <w:t xml:space="preserve"> </w:t>
      </w:r>
      <w:r>
        <w:rPr>
          <w:rFonts w:eastAsia="Arial MT"/>
          <w:color w:val="202024"/>
        </w:rPr>
        <w:t>gas</w:t>
      </w:r>
      <w:r>
        <w:rPr>
          <w:rFonts w:eastAsia="Arial MT"/>
          <w:color w:val="202024"/>
          <w:spacing w:val="-8"/>
        </w:rPr>
        <w:t xml:space="preserve"> </w:t>
      </w:r>
      <w:r>
        <w:rPr>
          <w:rFonts w:eastAsia="Arial MT"/>
          <w:color w:val="202024"/>
        </w:rPr>
        <w:t>tax</w:t>
      </w:r>
      <w:r>
        <w:rPr>
          <w:rFonts w:eastAsia="Arial MT"/>
          <w:color w:val="202024"/>
          <w:spacing w:val="-8"/>
        </w:rPr>
        <w:t xml:space="preserve"> </w:t>
      </w:r>
      <w:r>
        <w:rPr>
          <w:rFonts w:eastAsia="Arial MT"/>
          <w:color w:val="202024"/>
        </w:rPr>
        <w:t>legislation.</w:t>
      </w:r>
    </w:p>
    <w:p w14:paraId="1188047A">
      <w:pPr>
        <w:widowControl w:val="0"/>
        <w:autoSpaceDE w:val="0"/>
        <w:autoSpaceDN w:val="0"/>
        <w:spacing w:before="1" w:line="480" w:lineRule="auto"/>
        <w:ind w:right="775"/>
        <w:jc w:val="both"/>
        <w:rPr>
          <w:rFonts w:ascii="Roboto" w:hAnsi="Arial MT" w:eastAsia="Arial MT" w:cs="Arial MT"/>
          <w:sz w:val="22"/>
          <w:szCs w:val="22"/>
        </w:rPr>
      </w:pPr>
      <w:r>
        <w:rPr>
          <w:rFonts w:eastAsia="Arial MT"/>
          <w:color w:val="202024"/>
        </w:rPr>
        <w:t>Again,</w:t>
      </w:r>
      <w:r>
        <w:rPr>
          <w:rFonts w:eastAsia="Arial MT"/>
          <w:color w:val="202024"/>
          <w:spacing w:val="-8"/>
        </w:rPr>
        <w:t xml:space="preserve"> </w:t>
      </w:r>
      <w:r>
        <w:rPr>
          <w:rFonts w:eastAsia="Arial MT"/>
          <w:color w:val="202024"/>
        </w:rPr>
        <w:t>on</w:t>
      </w:r>
      <w:r>
        <w:rPr>
          <w:rFonts w:eastAsia="Arial MT"/>
          <w:color w:val="202024"/>
          <w:spacing w:val="-7"/>
        </w:rPr>
        <w:t xml:space="preserve"> </w:t>
      </w:r>
      <w:r>
        <w:rPr>
          <w:rFonts w:eastAsia="Arial MT"/>
          <w:color w:val="202024"/>
        </w:rPr>
        <w:t>a</w:t>
      </w:r>
      <w:r>
        <w:rPr>
          <w:rFonts w:eastAsia="Arial MT"/>
          <w:color w:val="202024"/>
          <w:spacing w:val="-7"/>
        </w:rPr>
        <w:t xml:space="preserve"> </w:t>
      </w:r>
      <w:r>
        <w:rPr>
          <w:rFonts w:eastAsia="Arial MT"/>
          <w:color w:val="202024"/>
        </w:rPr>
        <w:t>scale</w:t>
      </w:r>
      <w:r>
        <w:rPr>
          <w:rFonts w:eastAsia="Arial MT"/>
          <w:color w:val="202024"/>
          <w:spacing w:val="-8"/>
        </w:rPr>
        <w:t xml:space="preserve"> </w:t>
      </w:r>
      <w:r>
        <w:rPr>
          <w:rFonts w:eastAsia="Arial MT"/>
          <w:color w:val="202024"/>
        </w:rPr>
        <w:t>of</w:t>
      </w:r>
      <w:r>
        <w:rPr>
          <w:rFonts w:eastAsia="Arial MT"/>
          <w:color w:val="202024"/>
          <w:spacing w:val="-7"/>
        </w:rPr>
        <w:t xml:space="preserve"> </w:t>
      </w:r>
      <w:r>
        <w:rPr>
          <w:rFonts w:eastAsia="Arial MT"/>
          <w:color w:val="202024"/>
        </w:rPr>
        <w:t>5</w:t>
      </w:r>
      <w:r>
        <w:rPr>
          <w:rFonts w:eastAsia="Arial MT"/>
          <w:color w:val="202024"/>
          <w:spacing w:val="-7"/>
        </w:rPr>
        <w:t xml:space="preserve"> </w:t>
      </w:r>
      <w:r>
        <w:rPr>
          <w:rFonts w:eastAsia="Arial MT"/>
          <w:color w:val="202024"/>
        </w:rPr>
        <w:t>to</w:t>
      </w:r>
      <w:r>
        <w:rPr>
          <w:rFonts w:eastAsia="Arial MT"/>
          <w:color w:val="202024"/>
          <w:spacing w:val="-8"/>
        </w:rPr>
        <w:t xml:space="preserve"> </w:t>
      </w:r>
      <w:r>
        <w:rPr>
          <w:rFonts w:eastAsia="Arial MT"/>
          <w:color w:val="202024"/>
        </w:rPr>
        <w:t>1,</w:t>
      </w:r>
      <w:r>
        <w:rPr>
          <w:rFonts w:eastAsia="Arial MT"/>
          <w:color w:val="202024"/>
          <w:spacing w:val="-7"/>
        </w:rPr>
        <w:t xml:space="preserve"> </w:t>
      </w:r>
      <w:r>
        <w:rPr>
          <w:rFonts w:eastAsia="Arial MT"/>
          <w:color w:val="202024"/>
        </w:rPr>
        <w:t>with</w:t>
      </w:r>
      <w:r>
        <w:rPr>
          <w:rFonts w:eastAsia="Arial MT"/>
          <w:color w:val="202024"/>
          <w:spacing w:val="-7"/>
        </w:rPr>
        <w:t xml:space="preserve"> </w:t>
      </w:r>
      <w:r>
        <w:rPr>
          <w:rFonts w:eastAsia="Arial MT"/>
          <w:color w:val="202024"/>
        </w:rPr>
        <w:t>5,</w:t>
      </w:r>
      <w:r>
        <w:rPr>
          <w:rFonts w:eastAsia="Arial MT"/>
          <w:color w:val="202024"/>
          <w:spacing w:val="-8"/>
        </w:rPr>
        <w:t xml:space="preserve"> </w:t>
      </w:r>
      <w:r>
        <w:rPr>
          <w:rFonts w:eastAsia="Arial MT"/>
          <w:color w:val="202024"/>
        </w:rPr>
        <w:t>indicating</w:t>
      </w:r>
      <w:r>
        <w:rPr>
          <w:rFonts w:eastAsia="Arial MT"/>
          <w:color w:val="202024"/>
          <w:spacing w:val="-7"/>
        </w:rPr>
        <w:t xml:space="preserve"> </w:t>
      </w:r>
      <w:r>
        <w:rPr>
          <w:rFonts w:eastAsia="Arial MT"/>
          <w:color w:val="202024"/>
        </w:rPr>
        <w:t>extremely</w:t>
      </w:r>
      <w:r>
        <w:rPr>
          <w:rFonts w:eastAsia="Arial MT"/>
          <w:color w:val="202024"/>
          <w:spacing w:val="-7"/>
        </w:rPr>
        <w:t xml:space="preserve"> </w:t>
      </w:r>
      <w:r>
        <w:rPr>
          <w:rFonts w:eastAsia="Arial MT"/>
          <w:color w:val="202024"/>
        </w:rPr>
        <w:t>important</w:t>
      </w:r>
      <w:r>
        <w:rPr>
          <w:rFonts w:eastAsia="Arial MT"/>
          <w:color w:val="202024"/>
          <w:spacing w:val="-8"/>
        </w:rPr>
        <w:t xml:space="preserve"> </w:t>
      </w:r>
      <w:r>
        <w:rPr>
          <w:rFonts w:eastAsia="Arial MT"/>
          <w:color w:val="202024"/>
        </w:rPr>
        <w:t>or</w:t>
      </w:r>
      <w:r>
        <w:rPr>
          <w:rFonts w:eastAsia="Arial MT"/>
          <w:color w:val="202024"/>
          <w:spacing w:val="-7"/>
        </w:rPr>
        <w:t xml:space="preserve"> </w:t>
      </w:r>
      <w:r>
        <w:rPr>
          <w:rFonts w:eastAsia="Arial MT"/>
          <w:color w:val="202024"/>
        </w:rPr>
        <w:t>significant,</w:t>
      </w:r>
      <w:r>
        <w:rPr>
          <w:rFonts w:eastAsia="Arial MT"/>
          <w:color w:val="202024"/>
          <w:spacing w:val="-7"/>
        </w:rPr>
        <w:t xml:space="preserve"> </w:t>
      </w:r>
      <w:r>
        <w:rPr>
          <w:rFonts w:eastAsia="Arial MT"/>
          <w:color w:val="202024"/>
        </w:rPr>
        <w:t>please</w:t>
      </w:r>
      <w:r>
        <w:rPr>
          <w:rFonts w:eastAsia="Arial MT"/>
          <w:color w:val="202024"/>
          <w:spacing w:val="-52"/>
        </w:rPr>
        <w:t xml:space="preserve"> </w:t>
      </w:r>
      <w:r>
        <w:rPr>
          <w:rFonts w:eastAsia="Arial MT"/>
          <w:color w:val="202024"/>
        </w:rPr>
        <w:t>indicate</w:t>
      </w:r>
      <w:r>
        <w:rPr>
          <w:rFonts w:eastAsia="Arial MT"/>
          <w:color w:val="202024"/>
          <w:spacing w:val="-2"/>
        </w:rPr>
        <w:t xml:space="preserve"> </w:t>
      </w:r>
      <w:r>
        <w:rPr>
          <w:rFonts w:eastAsia="Arial MT"/>
          <w:color w:val="202024"/>
        </w:rPr>
        <w:t>the</w:t>
      </w:r>
      <w:r>
        <w:rPr>
          <w:rFonts w:eastAsia="Arial MT"/>
          <w:color w:val="202024"/>
          <w:spacing w:val="-1"/>
        </w:rPr>
        <w:t xml:space="preserve"> </w:t>
      </w:r>
      <w:r>
        <w:rPr>
          <w:rFonts w:eastAsia="Arial MT"/>
          <w:color w:val="202024"/>
        </w:rPr>
        <w:t>importance</w:t>
      </w:r>
      <w:r>
        <w:rPr>
          <w:rFonts w:eastAsia="Arial MT"/>
          <w:color w:val="202024"/>
          <w:spacing w:val="-2"/>
        </w:rPr>
        <w:t xml:space="preserve"> </w:t>
      </w:r>
      <w:r>
        <w:rPr>
          <w:rFonts w:eastAsia="Arial MT"/>
          <w:color w:val="202024"/>
        </w:rPr>
        <w:t>of</w:t>
      </w:r>
      <w:r>
        <w:rPr>
          <w:rFonts w:eastAsia="Arial MT"/>
          <w:color w:val="202024"/>
          <w:spacing w:val="-1"/>
        </w:rPr>
        <w:t xml:space="preserve"> </w:t>
      </w:r>
      <w:r>
        <w:rPr>
          <w:rFonts w:eastAsia="Arial MT"/>
          <w:color w:val="202024"/>
        </w:rPr>
        <w:t>these</w:t>
      </w:r>
      <w:r>
        <w:rPr>
          <w:rFonts w:eastAsia="Arial MT"/>
          <w:color w:val="202024"/>
          <w:spacing w:val="-1"/>
        </w:rPr>
        <w:t xml:space="preserve"> </w:t>
      </w:r>
      <w:r>
        <w:rPr>
          <w:rFonts w:eastAsia="Arial MT"/>
          <w:color w:val="202024"/>
        </w:rPr>
        <w:t>factors.</w:t>
      </w:r>
    </w:p>
    <w:p w14:paraId="2A20865A">
      <w:pPr>
        <w:widowControl w:val="0"/>
        <w:autoSpaceDE w:val="0"/>
        <w:autoSpaceDN w:val="0"/>
        <w:spacing w:before="1" w:line="480" w:lineRule="auto"/>
        <w:ind w:right="775"/>
        <w:jc w:val="both"/>
        <w:rPr>
          <w:rFonts w:eastAsia="Arial MT"/>
        </w:rPr>
      </w:pPr>
    </w:p>
    <w:p w14:paraId="3CCEEFDB">
      <w:pPr>
        <w:widowControl w:val="0"/>
        <w:autoSpaceDE w:val="0"/>
        <w:autoSpaceDN w:val="0"/>
        <w:spacing w:before="1" w:line="480" w:lineRule="auto"/>
        <w:ind w:right="775"/>
        <w:jc w:val="both"/>
        <w:rPr>
          <w:rFonts w:ascii="Arial MT" w:hAnsi="Arial MT" w:eastAsia="Arial MT" w:cs="Arial MT"/>
        </w:rPr>
      </w:pPr>
      <w:r>
        <w:rPr>
          <w:rFonts w:ascii="Arial MT" w:hAnsi="Arial MT" w:eastAsia="Arial MT" w:cs="Arial MT"/>
          <w:color w:val="202024"/>
        </w:rPr>
        <w:t>15. 10. To the understanding and consistent application of tax legislation by both the tax</w:t>
      </w:r>
      <w:r>
        <w:rPr>
          <w:rFonts w:ascii="Arial MT" w:hAnsi="Arial MT" w:eastAsia="Arial MT" w:cs="Arial MT"/>
          <w:color w:val="202024"/>
          <w:spacing w:val="-64"/>
        </w:rPr>
        <w:t xml:space="preserve"> </w:t>
      </w:r>
      <w:r>
        <w:rPr>
          <w:rFonts w:ascii="Arial MT" w:hAnsi="Arial MT" w:eastAsia="Arial MT" w:cs="Arial MT"/>
          <w:color w:val="202024"/>
        </w:rPr>
        <w:t>authority and tax payers. In your opinion how important is this for achieving</w:t>
      </w:r>
      <w:r>
        <w:rPr>
          <w:rFonts w:ascii="Arial MT" w:hAnsi="Arial MT" w:eastAsia="Arial MT" w:cs="Arial MT"/>
          <w:color w:val="202024"/>
          <w:spacing w:val="1"/>
        </w:rPr>
        <w:t xml:space="preserve"> </w:t>
      </w:r>
      <w:r>
        <w:rPr>
          <w:rFonts w:ascii="Arial MT" w:hAnsi="Arial MT" w:eastAsia="Arial MT" w:cs="Arial MT"/>
          <w:color w:val="202024"/>
        </w:rPr>
        <w:t>clarity and certainty?</w:t>
      </w:r>
    </w:p>
    <w:p w14:paraId="69D47122">
      <w:pPr>
        <w:widowControl w:val="0"/>
        <w:autoSpaceDE w:val="0"/>
        <w:autoSpaceDN w:val="0"/>
        <w:spacing w:before="2"/>
        <w:rPr>
          <w:rFonts w:ascii="Arial MT" w:hAnsi="Arial MT" w:eastAsia="Arial MT" w:cs="Arial MT"/>
          <w:sz w:val="11"/>
        </w:rPr>
      </w:pPr>
    </w:p>
    <w:p w14:paraId="1605179F">
      <w:pPr>
        <w:widowControl w:val="0"/>
        <w:autoSpaceDE w:val="0"/>
        <w:autoSpaceDN w:val="0"/>
        <w:spacing w:before="96"/>
        <w:rPr>
          <w:rFonts w:eastAsia="Arial MT"/>
          <w:i/>
        </w:rPr>
      </w:pPr>
      <w:r>
        <w:rPr>
          <w:rFonts w:eastAsia="Arial MT"/>
          <w:i/>
        </w:rPr>
        <w:t>Mark</w:t>
      </w:r>
      <w:r>
        <w:rPr>
          <w:rFonts w:eastAsia="Arial MT"/>
          <w:i/>
          <w:spacing w:val="-2"/>
        </w:rPr>
        <w:t xml:space="preserve"> </w:t>
      </w:r>
      <w:r>
        <w:rPr>
          <w:rFonts w:eastAsia="Arial MT"/>
          <w:i/>
        </w:rPr>
        <w:t>only</w:t>
      </w:r>
      <w:r>
        <w:rPr>
          <w:rFonts w:eastAsia="Arial MT"/>
          <w:i/>
          <w:spacing w:val="-1"/>
        </w:rPr>
        <w:t xml:space="preserve"> </w:t>
      </w:r>
      <w:r>
        <w:rPr>
          <w:rFonts w:eastAsia="Arial MT"/>
          <w:i/>
        </w:rPr>
        <w:t>one</w:t>
      </w:r>
      <w:r>
        <w:rPr>
          <w:rFonts w:eastAsia="Arial MT"/>
          <w:i/>
          <w:spacing w:val="-1"/>
        </w:rPr>
        <w:t xml:space="preserve"> </w:t>
      </w:r>
      <w:r>
        <w:rPr>
          <w:rFonts w:eastAsia="Arial MT"/>
          <w:i/>
        </w:rPr>
        <w:t>oval.</w:t>
      </w:r>
    </w:p>
    <w:p w14:paraId="5C67E250">
      <w:pPr>
        <w:widowControl w:val="0"/>
        <w:autoSpaceDE w:val="0"/>
        <w:autoSpaceDN w:val="0"/>
        <w:spacing w:before="6"/>
        <w:rPr>
          <w:rFonts w:ascii="Roboto" w:hAnsi="Arial MT" w:eastAsia="Arial MT" w:cs="Arial MT"/>
          <w:i/>
          <w:sz w:val="28"/>
        </w:rPr>
      </w:pPr>
    </w:p>
    <w:p w14:paraId="1861EFB5">
      <w:pPr>
        <w:widowControl w:val="0"/>
        <w:tabs>
          <w:tab w:val="left" w:pos="1937"/>
          <w:tab w:val="left" w:pos="2417"/>
          <w:tab w:val="left" w:pos="2897"/>
          <w:tab w:val="left" w:pos="3377"/>
        </w:tabs>
        <w:autoSpaceDE w:val="0"/>
        <w:autoSpaceDN w:val="0"/>
        <w:spacing w:before="96"/>
        <w:rPr>
          <w:rFonts w:ascii="Roboto" w:hAnsi="Arial MT" w:eastAsia="Arial MT" w:cs="Arial MT"/>
          <w:sz w:val="21"/>
          <w:szCs w:val="22"/>
        </w:rPr>
      </w:pPr>
      <w:r>
        <w:rPr>
          <w:rFonts w:ascii="Roboto" w:hAnsi="Arial MT" w:eastAsia="Arial MT" w:cs="Arial MT"/>
          <w:color w:val="202024"/>
          <w:sz w:val="21"/>
          <w:szCs w:val="22"/>
        </w:rPr>
        <w:t xml:space="preserve">                              1</w:t>
      </w:r>
      <w:r>
        <w:rPr>
          <w:rFonts w:ascii="Roboto" w:hAnsi="Arial MT" w:eastAsia="Arial MT" w:cs="Arial MT"/>
          <w:color w:val="202024"/>
          <w:sz w:val="21"/>
          <w:szCs w:val="22"/>
        </w:rPr>
        <w:tab/>
      </w:r>
      <w:r>
        <w:rPr>
          <w:rFonts w:ascii="Roboto" w:hAnsi="Arial MT" w:eastAsia="Arial MT" w:cs="Arial MT"/>
          <w:color w:val="202024"/>
          <w:sz w:val="21"/>
          <w:szCs w:val="22"/>
        </w:rPr>
        <w:t xml:space="preserve">  2</w:t>
      </w:r>
      <w:r>
        <w:rPr>
          <w:rFonts w:ascii="Roboto" w:hAnsi="Arial MT" w:eastAsia="Arial MT" w:cs="Arial MT"/>
          <w:color w:val="202024"/>
          <w:sz w:val="21"/>
          <w:szCs w:val="22"/>
        </w:rPr>
        <w:tab/>
      </w:r>
      <w:r>
        <w:rPr>
          <w:rFonts w:ascii="Roboto" w:hAnsi="Arial MT" w:eastAsia="Arial MT" w:cs="Arial MT"/>
          <w:color w:val="202024"/>
          <w:sz w:val="21"/>
          <w:szCs w:val="22"/>
        </w:rPr>
        <w:t xml:space="preserve">  3</w:t>
      </w:r>
      <w:r>
        <w:rPr>
          <w:rFonts w:ascii="Roboto" w:hAnsi="Arial MT" w:eastAsia="Arial MT" w:cs="Arial MT"/>
          <w:color w:val="202024"/>
          <w:sz w:val="21"/>
          <w:szCs w:val="22"/>
        </w:rPr>
        <w:tab/>
      </w:r>
      <w:r>
        <w:rPr>
          <w:rFonts w:ascii="Roboto" w:hAnsi="Arial MT" w:eastAsia="Arial MT" w:cs="Arial MT"/>
          <w:color w:val="202024"/>
          <w:sz w:val="21"/>
          <w:szCs w:val="22"/>
        </w:rPr>
        <w:t xml:space="preserve">  4</w:t>
      </w:r>
      <w:r>
        <w:rPr>
          <w:rFonts w:ascii="Roboto" w:hAnsi="Arial MT" w:eastAsia="Arial MT" w:cs="Arial MT"/>
          <w:color w:val="202024"/>
          <w:sz w:val="21"/>
          <w:szCs w:val="22"/>
        </w:rPr>
        <w:tab/>
      </w:r>
      <w:r>
        <w:rPr>
          <w:rFonts w:ascii="Roboto" w:hAnsi="Arial MT" w:eastAsia="Arial MT" w:cs="Arial MT"/>
          <w:color w:val="202024"/>
          <w:sz w:val="21"/>
          <w:szCs w:val="22"/>
        </w:rPr>
        <w:t>5</w:t>
      </w:r>
    </w:p>
    <w:p w14:paraId="0035A1AA">
      <w:pPr>
        <w:widowControl w:val="0"/>
        <w:autoSpaceDE w:val="0"/>
        <w:autoSpaceDN w:val="0"/>
        <w:spacing w:before="7"/>
        <w:rPr>
          <w:rFonts w:ascii="Roboto" w:hAnsi="Arial MT" w:eastAsia="Arial MT" w:cs="Arial MT"/>
          <w:sz w:val="13"/>
        </w:rPr>
      </w:pPr>
    </w:p>
    <w:p w14:paraId="24879EFF">
      <w:pPr>
        <w:widowControl w:val="0"/>
        <w:autoSpaceDE w:val="0"/>
        <w:autoSpaceDN w:val="0"/>
        <w:spacing w:before="3"/>
        <w:rPr>
          <w:rFonts w:ascii="Roboto" w:hAnsi="Arial MT" w:eastAsia="Arial MT" w:cs="Arial MT"/>
          <w:sz w:val="6"/>
        </w:rPr>
      </w:pPr>
    </w:p>
    <w:p w14:paraId="01EB64E0">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1.png"/>
                    <pic:cNvPicPr>
                      <a:picLocks noChangeAspect="1"/>
                    </pic:cNvPicPr>
                  </pic:nvPicPr>
                  <pic:blipFill>
                    <a:blip r:embed="rId76"/>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png"/>
                    <pic:cNvPicPr>
                      <a:picLocks noChangeAspect="1"/>
                    </pic:cNvPicPr>
                  </pic:nvPicPr>
                  <pic:blipFill>
                    <a:blip r:embed="rId77"/>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3.png"/>
                    <pic:cNvPicPr>
                      <a:picLocks noChangeAspect="1"/>
                    </pic:cNvPicPr>
                  </pic:nvPicPr>
                  <pic:blipFill>
                    <a:blip r:embed="rId78"/>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png"/>
                    <pic:cNvPicPr>
                      <a:picLocks noChangeAspect="1"/>
                    </pic:cNvPicPr>
                  </pic:nvPicPr>
                  <pic:blipFill>
                    <a:blip r:embed="rId78"/>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3.png"/>
                    <pic:cNvPicPr>
                      <a:picLocks noChangeAspect="1"/>
                    </pic:cNvPicPr>
                  </pic:nvPicPr>
                  <pic:blipFill>
                    <a:blip r:embed="rId78"/>
                    <a:stretch>
                      <a:fillRect/>
                    </a:stretch>
                  </pic:blipFill>
                  <pic:spPr>
                    <a:xfrm>
                      <a:off x="0" y="0"/>
                      <a:ext cx="209550" cy="171450"/>
                    </a:xfrm>
                    <a:prstGeom prst="rect">
                      <a:avLst/>
                    </a:prstGeom>
                    <a:noFill/>
                    <a:ln>
                      <a:noFill/>
                    </a:ln>
                  </pic:spPr>
                </pic:pic>
              </a:graphicData>
            </a:graphic>
          </wp:inline>
        </w:drawing>
      </w:r>
    </w:p>
    <w:p w14:paraId="3E8984C5">
      <w:pPr>
        <w:widowControl w:val="0"/>
        <w:autoSpaceDE w:val="0"/>
        <w:autoSpaceDN w:val="0"/>
        <w:spacing w:before="6"/>
        <w:rPr>
          <w:rFonts w:ascii="Roboto" w:hAnsi="Arial MT" w:eastAsia="Arial MT" w:cs="Arial MT"/>
          <w:sz w:val="5"/>
        </w:rPr>
      </w:pPr>
    </w:p>
    <w:p w14:paraId="3CB75788">
      <w:pPr>
        <w:widowControl w:val="0"/>
        <w:autoSpaceDE w:val="0"/>
        <w:autoSpaceDN w:val="0"/>
        <w:rPr>
          <w:rFonts w:ascii="Roboto" w:hAnsi="Arial MT" w:eastAsia="Arial MT" w:cs="Arial MT"/>
          <w:sz w:val="20"/>
        </w:rPr>
      </w:pPr>
    </w:p>
    <w:p w14:paraId="60A5BE57">
      <w:pPr>
        <w:widowControl w:val="0"/>
        <w:autoSpaceDE w:val="0"/>
        <w:autoSpaceDN w:val="0"/>
        <w:spacing w:before="11"/>
        <w:rPr>
          <w:rFonts w:ascii="Roboto" w:hAnsi="Arial MT" w:eastAsia="Arial MT" w:cs="Arial MT"/>
          <w:sz w:val="16"/>
        </w:rPr>
      </w:pPr>
    </w:p>
    <w:p w14:paraId="518409D0">
      <w:pPr>
        <w:widowControl w:val="0"/>
        <w:numPr>
          <w:ilvl w:val="0"/>
          <w:numId w:val="42"/>
        </w:numPr>
        <w:tabs>
          <w:tab w:val="left" w:pos="737"/>
          <w:tab w:val="left" w:pos="738"/>
        </w:tabs>
        <w:autoSpaceDE w:val="0"/>
        <w:autoSpaceDN w:val="0"/>
        <w:spacing w:before="95" w:line="302" w:lineRule="auto"/>
        <w:ind w:right="291"/>
        <w:rPr>
          <w:rFonts w:ascii="Arial MT" w:hAnsi="Arial MT" w:eastAsia="Arial MT" w:cs="Arial MT"/>
          <w:szCs w:val="22"/>
        </w:rPr>
      </w:pPr>
      <w:r>
        <w:rPr>
          <w:rFonts w:ascii="Arial MT" w:hAnsi="Arial MT" w:eastAsia="Arial MT" w:cs="Arial MT"/>
          <w:color w:val="202024"/>
          <w:szCs w:val="22"/>
        </w:rPr>
        <w:t>11.</w:t>
      </w:r>
      <w:r>
        <w:rPr>
          <w:rFonts w:ascii="Arial MT" w:hAnsi="Arial MT" w:eastAsia="Arial MT" w:cs="Arial MT"/>
          <w:color w:val="202024"/>
          <w:spacing w:val="-4"/>
          <w:szCs w:val="22"/>
        </w:rPr>
        <w:t xml:space="preserve"> </w:t>
      </w:r>
      <w:r>
        <w:rPr>
          <w:rFonts w:ascii="Arial MT" w:hAnsi="Arial MT" w:eastAsia="Arial MT" w:cs="Arial MT"/>
          <w:color w:val="202024"/>
          <w:szCs w:val="22"/>
        </w:rPr>
        <w:t>For</w:t>
      </w:r>
      <w:r>
        <w:rPr>
          <w:rFonts w:ascii="Arial MT" w:hAnsi="Arial MT" w:eastAsia="Arial MT" w:cs="Arial MT"/>
          <w:color w:val="202024"/>
          <w:spacing w:val="-3"/>
          <w:szCs w:val="22"/>
        </w:rPr>
        <w:t xml:space="preserve"> </w:t>
      </w:r>
      <w:r>
        <w:rPr>
          <w:rFonts w:ascii="Arial MT" w:hAnsi="Arial MT" w:eastAsia="Arial MT" w:cs="Arial MT"/>
          <w:color w:val="202024"/>
          <w:szCs w:val="22"/>
        </w:rPr>
        <w:t>effective</w:t>
      </w:r>
      <w:r>
        <w:rPr>
          <w:rFonts w:ascii="Arial MT" w:hAnsi="Arial MT" w:eastAsia="Arial MT" w:cs="Arial MT"/>
          <w:color w:val="202024"/>
          <w:spacing w:val="-3"/>
          <w:szCs w:val="22"/>
        </w:rPr>
        <w:t xml:space="preserve"> </w:t>
      </w:r>
      <w:r>
        <w:rPr>
          <w:rFonts w:ascii="Arial MT" w:hAnsi="Arial MT" w:eastAsia="Arial MT" w:cs="Arial MT"/>
          <w:color w:val="202024"/>
          <w:szCs w:val="22"/>
        </w:rPr>
        <w:t>tax</w:t>
      </w:r>
      <w:r>
        <w:rPr>
          <w:rFonts w:ascii="Arial MT" w:hAnsi="Arial MT" w:eastAsia="Arial MT" w:cs="Arial MT"/>
          <w:color w:val="202024"/>
          <w:spacing w:val="-3"/>
          <w:szCs w:val="22"/>
        </w:rPr>
        <w:t xml:space="preserve"> </w:t>
      </w:r>
      <w:r>
        <w:rPr>
          <w:rFonts w:ascii="Arial MT" w:hAnsi="Arial MT" w:eastAsia="Arial MT" w:cs="Arial MT"/>
          <w:color w:val="202024"/>
          <w:szCs w:val="22"/>
        </w:rPr>
        <w:t>compliance,</w:t>
      </w:r>
      <w:r>
        <w:rPr>
          <w:rFonts w:ascii="Arial MT" w:hAnsi="Arial MT" w:eastAsia="Arial MT" w:cs="Arial MT"/>
          <w:color w:val="202024"/>
          <w:spacing w:val="-3"/>
          <w:szCs w:val="22"/>
        </w:rPr>
        <w:t xml:space="preserve"> </w:t>
      </w:r>
      <w:r>
        <w:rPr>
          <w:rFonts w:ascii="Arial MT" w:hAnsi="Arial MT" w:eastAsia="Arial MT" w:cs="Arial MT"/>
          <w:color w:val="202024"/>
          <w:szCs w:val="22"/>
        </w:rPr>
        <w:t>how</w:t>
      </w:r>
      <w:r>
        <w:rPr>
          <w:rFonts w:ascii="Arial MT" w:hAnsi="Arial MT" w:eastAsia="Arial MT" w:cs="Arial MT"/>
          <w:color w:val="202024"/>
          <w:spacing w:val="-3"/>
          <w:szCs w:val="22"/>
        </w:rPr>
        <w:t xml:space="preserve"> </w:t>
      </w:r>
      <w:r>
        <w:rPr>
          <w:rFonts w:ascii="Arial MT" w:hAnsi="Arial MT" w:eastAsia="Arial MT" w:cs="Arial MT"/>
          <w:color w:val="202024"/>
          <w:szCs w:val="22"/>
        </w:rPr>
        <w:t>important</w:t>
      </w:r>
      <w:r>
        <w:rPr>
          <w:rFonts w:ascii="Arial MT" w:hAnsi="Arial MT" w:eastAsia="Arial MT" w:cs="Arial MT"/>
          <w:color w:val="202024"/>
          <w:spacing w:val="-4"/>
          <w:szCs w:val="22"/>
        </w:rPr>
        <w:t xml:space="preserve"> </w:t>
      </w:r>
      <w:r>
        <w:rPr>
          <w:rFonts w:ascii="Arial MT" w:hAnsi="Arial MT" w:eastAsia="Arial MT" w:cs="Arial MT"/>
          <w:color w:val="202024"/>
          <w:szCs w:val="22"/>
        </w:rPr>
        <w:t>is</w:t>
      </w:r>
      <w:r>
        <w:rPr>
          <w:rFonts w:ascii="Arial MT" w:hAnsi="Arial MT" w:eastAsia="Arial MT" w:cs="Arial MT"/>
          <w:color w:val="202024"/>
          <w:spacing w:val="-3"/>
          <w:szCs w:val="22"/>
        </w:rPr>
        <w:t xml:space="preserve"> </w:t>
      </w:r>
      <w:r>
        <w:rPr>
          <w:rFonts w:ascii="Arial MT" w:hAnsi="Arial MT" w:eastAsia="Arial MT" w:cs="Arial MT"/>
          <w:color w:val="202024"/>
          <w:szCs w:val="22"/>
        </w:rPr>
        <w:t>it</w:t>
      </w:r>
      <w:r>
        <w:rPr>
          <w:rFonts w:ascii="Arial MT" w:hAnsi="Arial MT" w:eastAsia="Arial MT" w:cs="Arial MT"/>
          <w:color w:val="202024"/>
          <w:spacing w:val="-3"/>
          <w:szCs w:val="22"/>
        </w:rPr>
        <w:t xml:space="preserve"> </w:t>
      </w:r>
      <w:r>
        <w:rPr>
          <w:rFonts w:ascii="Arial MT" w:hAnsi="Arial MT" w:eastAsia="Arial MT" w:cs="Arial MT"/>
          <w:color w:val="202024"/>
          <w:szCs w:val="22"/>
        </w:rPr>
        <w:t>for</w:t>
      </w:r>
      <w:r>
        <w:rPr>
          <w:rFonts w:ascii="Arial MT" w:hAnsi="Arial MT" w:eastAsia="Arial MT" w:cs="Arial MT"/>
          <w:color w:val="202024"/>
          <w:spacing w:val="-3"/>
          <w:szCs w:val="22"/>
        </w:rPr>
        <w:t xml:space="preserve"> </w:t>
      </w:r>
      <w:r>
        <w:rPr>
          <w:rFonts w:ascii="Arial MT" w:hAnsi="Arial MT" w:eastAsia="Arial MT" w:cs="Arial MT"/>
          <w:color w:val="202024"/>
          <w:szCs w:val="22"/>
        </w:rPr>
        <w:t>taxing</w:t>
      </w:r>
      <w:r>
        <w:rPr>
          <w:rFonts w:ascii="Arial MT" w:hAnsi="Arial MT" w:eastAsia="Arial MT" w:cs="Arial MT"/>
          <w:color w:val="202024"/>
          <w:spacing w:val="-3"/>
          <w:szCs w:val="22"/>
        </w:rPr>
        <w:t xml:space="preserve"> </w:t>
      </w:r>
      <w:r>
        <w:rPr>
          <w:rFonts w:ascii="Arial MT" w:hAnsi="Arial MT" w:eastAsia="Arial MT" w:cs="Arial MT"/>
          <w:color w:val="202024"/>
          <w:szCs w:val="22"/>
        </w:rPr>
        <w:t>provisions,</w:t>
      </w:r>
      <w:r>
        <w:rPr>
          <w:rFonts w:ascii="Arial MT" w:hAnsi="Arial MT" w:eastAsia="Arial MT" w:cs="Arial MT"/>
          <w:color w:val="202024"/>
          <w:spacing w:val="-4"/>
          <w:szCs w:val="22"/>
        </w:rPr>
        <w:t xml:space="preserve"> </w:t>
      </w:r>
      <w:r>
        <w:rPr>
          <w:rFonts w:ascii="Arial MT" w:hAnsi="Arial MT" w:eastAsia="Arial MT" w:cs="Arial MT"/>
          <w:color w:val="202024"/>
          <w:szCs w:val="22"/>
        </w:rPr>
        <w:t>words</w:t>
      </w:r>
      <w:r>
        <w:rPr>
          <w:rFonts w:ascii="Arial MT" w:hAnsi="Arial MT" w:eastAsia="Arial MT" w:cs="Arial MT"/>
          <w:color w:val="202024"/>
          <w:spacing w:val="-63"/>
          <w:szCs w:val="22"/>
        </w:rPr>
        <w:t xml:space="preserve"> </w:t>
      </w:r>
      <w:r>
        <w:rPr>
          <w:rFonts w:ascii="Arial MT" w:hAnsi="Arial MT" w:eastAsia="Arial MT" w:cs="Arial MT"/>
          <w:color w:val="202024"/>
          <w:szCs w:val="22"/>
        </w:rPr>
        <w:t>and concepts to be clearly defined and principle based?</w:t>
      </w:r>
    </w:p>
    <w:p w14:paraId="51795437">
      <w:pPr>
        <w:widowControl w:val="0"/>
        <w:autoSpaceDE w:val="0"/>
        <w:autoSpaceDN w:val="0"/>
        <w:spacing w:before="10"/>
        <w:rPr>
          <w:rFonts w:ascii="Arial MT" w:hAnsi="Arial MT" w:eastAsia="Arial MT" w:cs="Arial MT"/>
          <w:sz w:val="11"/>
        </w:rPr>
      </w:pPr>
    </w:p>
    <w:p w14:paraId="36A0B226">
      <w:pPr>
        <w:widowControl w:val="0"/>
        <w:autoSpaceDE w:val="0"/>
        <w:autoSpaceDN w:val="0"/>
        <w:spacing w:before="96"/>
        <w:rPr>
          <w:rFonts w:ascii="Roboto" w:hAnsi="Arial MT" w:eastAsia="Arial MT" w:cs="Arial MT"/>
          <w:i/>
          <w:sz w:val="21"/>
          <w:szCs w:val="22"/>
        </w:rPr>
      </w:pPr>
      <w:r>
        <w:rPr>
          <w:rFonts w:ascii="Roboto" w:hAnsi="Arial MT" w:eastAsia="Arial MT" w:cs="Arial MT"/>
          <w:i/>
          <w:color w:val="6D6F72"/>
          <w:sz w:val="21"/>
          <w:szCs w:val="22"/>
        </w:rPr>
        <w:t>Mark</w:t>
      </w:r>
      <w:r>
        <w:rPr>
          <w:rFonts w:ascii="Roboto" w:hAnsi="Arial MT" w:eastAsia="Arial MT" w:cs="Arial MT"/>
          <w:i/>
          <w:color w:val="6D6F72"/>
          <w:spacing w:val="-2"/>
          <w:sz w:val="21"/>
          <w:szCs w:val="22"/>
        </w:rPr>
        <w:t xml:space="preserve"> </w:t>
      </w:r>
      <w:r>
        <w:rPr>
          <w:rFonts w:ascii="Roboto" w:hAnsi="Arial MT" w:eastAsia="Arial MT" w:cs="Arial MT"/>
          <w:i/>
          <w:color w:val="6D6F72"/>
          <w:sz w:val="21"/>
          <w:szCs w:val="22"/>
        </w:rPr>
        <w:t>only</w:t>
      </w:r>
      <w:r>
        <w:rPr>
          <w:rFonts w:ascii="Roboto" w:hAnsi="Arial MT" w:eastAsia="Arial MT" w:cs="Arial MT"/>
          <w:i/>
          <w:color w:val="6D6F72"/>
          <w:spacing w:val="-1"/>
          <w:sz w:val="21"/>
          <w:szCs w:val="22"/>
        </w:rPr>
        <w:t xml:space="preserve"> </w:t>
      </w:r>
      <w:r>
        <w:rPr>
          <w:rFonts w:ascii="Roboto" w:hAnsi="Arial MT" w:eastAsia="Arial MT" w:cs="Arial MT"/>
          <w:i/>
          <w:color w:val="6D6F72"/>
          <w:sz w:val="21"/>
          <w:szCs w:val="22"/>
        </w:rPr>
        <w:t>one</w:t>
      </w:r>
      <w:r>
        <w:rPr>
          <w:rFonts w:ascii="Roboto" w:hAnsi="Arial MT" w:eastAsia="Arial MT" w:cs="Arial MT"/>
          <w:i/>
          <w:color w:val="6D6F72"/>
          <w:spacing w:val="-1"/>
          <w:sz w:val="21"/>
          <w:szCs w:val="22"/>
        </w:rPr>
        <w:t xml:space="preserve"> </w:t>
      </w:r>
      <w:r>
        <w:rPr>
          <w:rFonts w:ascii="Roboto" w:hAnsi="Arial MT" w:eastAsia="Arial MT" w:cs="Arial MT"/>
          <w:i/>
          <w:color w:val="6D6F72"/>
          <w:sz w:val="21"/>
          <w:szCs w:val="22"/>
        </w:rPr>
        <w:t>oval.</w:t>
      </w:r>
    </w:p>
    <w:p w14:paraId="4DDF326C">
      <w:pPr>
        <w:widowControl w:val="0"/>
        <w:autoSpaceDE w:val="0"/>
        <w:autoSpaceDN w:val="0"/>
        <w:spacing w:before="6"/>
        <w:rPr>
          <w:rFonts w:ascii="Roboto" w:hAnsi="Arial MT" w:eastAsia="Arial MT" w:cs="Arial MT"/>
          <w:i/>
          <w:sz w:val="28"/>
        </w:rPr>
      </w:pPr>
    </w:p>
    <w:p w14:paraId="069E322E">
      <w:pPr>
        <w:widowControl w:val="0"/>
        <w:tabs>
          <w:tab w:val="left" w:pos="1937"/>
          <w:tab w:val="left" w:pos="2417"/>
          <w:tab w:val="left" w:pos="2897"/>
          <w:tab w:val="left" w:pos="3377"/>
        </w:tabs>
        <w:autoSpaceDE w:val="0"/>
        <w:autoSpaceDN w:val="0"/>
        <w:spacing w:before="96"/>
        <w:rPr>
          <w:rFonts w:ascii="Roboto" w:hAnsi="Arial MT" w:eastAsia="Arial MT" w:cs="Arial MT"/>
          <w:sz w:val="21"/>
          <w:szCs w:val="22"/>
        </w:rPr>
      </w:pPr>
      <w:r>
        <w:rPr>
          <w:rFonts w:ascii="Roboto" w:hAnsi="Arial MT" w:eastAsia="Arial MT" w:cs="Arial MT"/>
          <w:color w:val="202024"/>
          <w:sz w:val="21"/>
          <w:szCs w:val="22"/>
        </w:rPr>
        <w:t xml:space="preserve">                             1</w:t>
      </w:r>
      <w:r>
        <w:rPr>
          <w:rFonts w:ascii="Roboto" w:hAnsi="Arial MT" w:eastAsia="Arial MT" w:cs="Arial MT"/>
          <w:color w:val="202024"/>
          <w:sz w:val="21"/>
          <w:szCs w:val="22"/>
        </w:rPr>
        <w:tab/>
      </w:r>
      <w:r>
        <w:rPr>
          <w:rFonts w:ascii="Roboto" w:hAnsi="Arial MT" w:eastAsia="Arial MT" w:cs="Arial MT"/>
          <w:color w:val="202024"/>
          <w:sz w:val="21"/>
          <w:szCs w:val="22"/>
        </w:rPr>
        <w:t>2</w:t>
      </w:r>
      <w:r>
        <w:rPr>
          <w:rFonts w:ascii="Roboto" w:hAnsi="Arial MT" w:eastAsia="Arial MT" w:cs="Arial MT"/>
          <w:color w:val="202024"/>
          <w:sz w:val="21"/>
          <w:szCs w:val="22"/>
        </w:rPr>
        <w:tab/>
      </w:r>
      <w:r>
        <w:rPr>
          <w:rFonts w:ascii="Roboto" w:hAnsi="Arial MT" w:eastAsia="Arial MT" w:cs="Arial MT"/>
          <w:color w:val="202024"/>
          <w:sz w:val="21"/>
          <w:szCs w:val="22"/>
        </w:rPr>
        <w:t>3</w:t>
      </w:r>
      <w:r>
        <w:rPr>
          <w:rFonts w:ascii="Roboto" w:hAnsi="Arial MT" w:eastAsia="Arial MT" w:cs="Arial MT"/>
          <w:color w:val="202024"/>
          <w:sz w:val="21"/>
          <w:szCs w:val="22"/>
        </w:rPr>
        <w:tab/>
      </w:r>
      <w:r>
        <w:rPr>
          <w:rFonts w:ascii="Roboto" w:hAnsi="Arial MT" w:eastAsia="Arial MT" w:cs="Arial MT"/>
          <w:color w:val="202024"/>
          <w:sz w:val="21"/>
          <w:szCs w:val="22"/>
        </w:rPr>
        <w:t>4</w:t>
      </w:r>
      <w:r>
        <w:rPr>
          <w:rFonts w:ascii="Roboto" w:hAnsi="Arial MT" w:eastAsia="Arial MT" w:cs="Arial MT"/>
          <w:color w:val="202024"/>
          <w:sz w:val="21"/>
          <w:szCs w:val="22"/>
        </w:rPr>
        <w:tab/>
      </w:r>
      <w:r>
        <w:rPr>
          <w:rFonts w:ascii="Roboto" w:hAnsi="Arial MT" w:eastAsia="Arial MT" w:cs="Arial MT"/>
          <w:color w:val="202024"/>
          <w:sz w:val="21"/>
          <w:szCs w:val="22"/>
        </w:rPr>
        <w:t>5</w:t>
      </w:r>
    </w:p>
    <w:p w14:paraId="7DF7B31F">
      <w:pPr>
        <w:widowControl w:val="0"/>
        <w:autoSpaceDE w:val="0"/>
        <w:autoSpaceDN w:val="0"/>
        <w:spacing w:before="7"/>
        <w:rPr>
          <w:rFonts w:ascii="Roboto" w:hAnsi="Arial MT" w:eastAsia="Arial MT" w:cs="Arial MT"/>
          <w:sz w:val="13"/>
        </w:rPr>
      </w:pPr>
    </w:p>
    <w:p w14:paraId="229FB71B">
      <w:pPr>
        <w:widowControl w:val="0"/>
        <w:autoSpaceDE w:val="0"/>
        <w:autoSpaceDN w:val="0"/>
        <w:spacing w:before="3"/>
        <w:rPr>
          <w:rFonts w:ascii="Roboto" w:hAnsi="Arial MT" w:eastAsia="Arial MT" w:cs="Arial MT"/>
          <w:sz w:val="6"/>
        </w:rPr>
      </w:pPr>
    </w:p>
    <w:p w14:paraId="6440509C">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6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png"/>
                    <pic:cNvPicPr>
                      <a:picLocks noChangeAspect="1"/>
                    </pic:cNvPicPr>
                  </pic:nvPicPr>
                  <pic:blipFill>
                    <a:blip r:embed="rId79"/>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5.png"/>
                    <pic:cNvPicPr>
                      <a:picLocks noChangeAspect="1"/>
                    </pic:cNvPicPr>
                  </pic:nvPicPr>
                  <pic:blipFill>
                    <a:blip r:embed="rId80"/>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a:picLocks noChangeAspect="1"/>
                    </pic:cNvPicPr>
                  </pic:nvPicPr>
                  <pic:blipFill>
                    <a:blip r:embed="rId81"/>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7.png"/>
                    <pic:cNvPicPr>
                      <a:picLocks noChangeAspect="1"/>
                    </pic:cNvPicPr>
                  </pic:nvPicPr>
                  <pic:blipFill>
                    <a:blip r:embed="rId80"/>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6"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a:picLocks noChangeAspect="1"/>
                    </pic:cNvPicPr>
                  </pic:nvPicPr>
                  <pic:blipFill>
                    <a:blip r:embed="rId81"/>
                    <a:stretch>
                      <a:fillRect/>
                    </a:stretch>
                  </pic:blipFill>
                  <pic:spPr>
                    <a:xfrm>
                      <a:off x="0" y="0"/>
                      <a:ext cx="209550" cy="171450"/>
                    </a:xfrm>
                    <a:prstGeom prst="rect">
                      <a:avLst/>
                    </a:prstGeom>
                    <a:noFill/>
                    <a:ln>
                      <a:noFill/>
                    </a:ln>
                  </pic:spPr>
                </pic:pic>
              </a:graphicData>
            </a:graphic>
          </wp:inline>
        </w:drawing>
      </w:r>
    </w:p>
    <w:p w14:paraId="12616DA8">
      <w:pPr>
        <w:widowControl w:val="0"/>
        <w:autoSpaceDE w:val="0"/>
        <w:autoSpaceDN w:val="0"/>
        <w:spacing w:before="6"/>
        <w:rPr>
          <w:rFonts w:ascii="Roboto" w:hAnsi="Arial MT" w:eastAsia="Arial MT" w:cs="Arial MT"/>
          <w:sz w:val="5"/>
        </w:rPr>
      </w:pPr>
    </w:p>
    <w:p w14:paraId="3EB8789C">
      <w:pPr>
        <w:widowControl w:val="0"/>
        <w:autoSpaceDE w:val="0"/>
        <w:autoSpaceDN w:val="0"/>
        <w:rPr>
          <w:rFonts w:ascii="Roboto" w:hAnsi="Arial MT" w:eastAsia="Arial MT" w:cs="Arial MT"/>
          <w:sz w:val="20"/>
        </w:rPr>
      </w:pPr>
    </w:p>
    <w:p w14:paraId="45F7C373">
      <w:pPr>
        <w:widowControl w:val="0"/>
        <w:autoSpaceDE w:val="0"/>
        <w:autoSpaceDN w:val="0"/>
        <w:spacing w:before="11"/>
        <w:rPr>
          <w:rFonts w:ascii="Roboto" w:hAnsi="Arial MT" w:eastAsia="Arial MT" w:cs="Arial MT"/>
          <w:sz w:val="16"/>
        </w:rPr>
      </w:pPr>
    </w:p>
    <w:p w14:paraId="4D11F741">
      <w:pPr>
        <w:widowControl w:val="0"/>
        <w:numPr>
          <w:ilvl w:val="0"/>
          <w:numId w:val="42"/>
        </w:numPr>
        <w:tabs>
          <w:tab w:val="left" w:pos="737"/>
          <w:tab w:val="left" w:pos="738"/>
        </w:tabs>
        <w:autoSpaceDE w:val="0"/>
        <w:autoSpaceDN w:val="0"/>
        <w:spacing w:before="95" w:line="480" w:lineRule="auto"/>
        <w:ind w:right="108"/>
        <w:jc w:val="both"/>
        <w:rPr>
          <w:rFonts w:eastAsia="Arial MT"/>
        </w:rPr>
      </w:pPr>
      <w:r>
        <w:rPr>
          <w:rFonts w:eastAsia="Arial MT"/>
          <w:color w:val="202024"/>
          <w:szCs w:val="22"/>
        </w:rPr>
        <w:t>12.</w:t>
      </w:r>
      <w:r>
        <w:rPr>
          <w:rFonts w:eastAsia="Arial MT"/>
          <w:color w:val="202024"/>
          <w:spacing w:val="-8"/>
          <w:szCs w:val="22"/>
        </w:rPr>
        <w:t xml:space="preserve"> </w:t>
      </w:r>
      <w:r>
        <w:rPr>
          <w:rFonts w:eastAsia="Arial MT"/>
          <w:color w:val="202024"/>
          <w:szCs w:val="22"/>
        </w:rPr>
        <w:t>To</w:t>
      </w:r>
      <w:r>
        <w:rPr>
          <w:rFonts w:eastAsia="Arial MT"/>
          <w:color w:val="202024"/>
          <w:spacing w:val="-2"/>
          <w:szCs w:val="22"/>
        </w:rPr>
        <w:t xml:space="preserve"> </w:t>
      </w:r>
      <w:r>
        <w:rPr>
          <w:rFonts w:eastAsia="Arial MT"/>
          <w:color w:val="202024"/>
          <w:szCs w:val="22"/>
        </w:rPr>
        <w:t>what</w:t>
      </w:r>
      <w:r>
        <w:rPr>
          <w:rFonts w:eastAsia="Arial MT"/>
          <w:color w:val="202024"/>
          <w:spacing w:val="-2"/>
          <w:szCs w:val="22"/>
        </w:rPr>
        <w:t xml:space="preserve"> </w:t>
      </w:r>
      <w:r>
        <w:rPr>
          <w:rFonts w:eastAsia="Arial MT"/>
          <w:color w:val="202024"/>
          <w:szCs w:val="22"/>
        </w:rPr>
        <w:t>extent</w:t>
      </w:r>
      <w:r>
        <w:rPr>
          <w:rFonts w:eastAsia="Arial MT"/>
          <w:color w:val="202024"/>
          <w:spacing w:val="-2"/>
          <w:szCs w:val="22"/>
        </w:rPr>
        <w:t xml:space="preserve"> </w:t>
      </w:r>
      <w:r>
        <w:rPr>
          <w:rFonts w:eastAsia="Arial MT"/>
          <w:color w:val="202024"/>
          <w:szCs w:val="22"/>
        </w:rPr>
        <w:t>does</w:t>
      </w:r>
      <w:r>
        <w:rPr>
          <w:rFonts w:eastAsia="Arial MT"/>
          <w:color w:val="202024"/>
          <w:spacing w:val="-2"/>
          <w:szCs w:val="22"/>
        </w:rPr>
        <w:t xml:space="preserve"> </w:t>
      </w:r>
      <w:r>
        <w:rPr>
          <w:rFonts w:eastAsia="Arial MT"/>
          <w:color w:val="202024"/>
          <w:szCs w:val="22"/>
        </w:rPr>
        <w:t>the</w:t>
      </w:r>
      <w:r>
        <w:rPr>
          <w:rFonts w:eastAsia="Arial MT"/>
          <w:color w:val="202024"/>
          <w:spacing w:val="-3"/>
          <w:szCs w:val="22"/>
        </w:rPr>
        <w:t xml:space="preserve"> </w:t>
      </w:r>
      <w:r>
        <w:rPr>
          <w:rFonts w:eastAsia="Arial MT"/>
          <w:color w:val="202024"/>
          <w:szCs w:val="22"/>
        </w:rPr>
        <w:t>interaction</w:t>
      </w:r>
      <w:r>
        <w:rPr>
          <w:rFonts w:eastAsia="Arial MT"/>
          <w:color w:val="202024"/>
          <w:spacing w:val="-2"/>
          <w:szCs w:val="22"/>
        </w:rPr>
        <w:t xml:space="preserve"> </w:t>
      </w:r>
      <w:r>
        <w:rPr>
          <w:rFonts w:eastAsia="Arial MT"/>
          <w:color w:val="202024"/>
          <w:szCs w:val="22"/>
        </w:rPr>
        <w:t>of</w:t>
      </w:r>
      <w:r>
        <w:rPr>
          <w:rFonts w:eastAsia="Arial MT"/>
          <w:color w:val="202024"/>
          <w:spacing w:val="-2"/>
          <w:szCs w:val="22"/>
        </w:rPr>
        <w:t xml:space="preserve"> </w:t>
      </w:r>
      <w:r>
        <w:rPr>
          <w:rFonts w:eastAsia="Arial MT"/>
          <w:color w:val="202024"/>
          <w:szCs w:val="22"/>
        </w:rPr>
        <w:t>different</w:t>
      </w:r>
      <w:r>
        <w:rPr>
          <w:rFonts w:eastAsia="Arial MT"/>
          <w:color w:val="202024"/>
          <w:spacing w:val="-2"/>
          <w:szCs w:val="22"/>
        </w:rPr>
        <w:t xml:space="preserve"> </w:t>
      </w:r>
      <w:r>
        <w:rPr>
          <w:rFonts w:eastAsia="Arial MT"/>
          <w:color w:val="202024"/>
          <w:szCs w:val="22"/>
        </w:rPr>
        <w:t>tax</w:t>
      </w:r>
      <w:r>
        <w:rPr>
          <w:rFonts w:eastAsia="Arial MT"/>
          <w:color w:val="202024"/>
          <w:spacing w:val="-3"/>
          <w:szCs w:val="22"/>
        </w:rPr>
        <w:t xml:space="preserve"> </w:t>
      </w:r>
      <w:r>
        <w:rPr>
          <w:rFonts w:eastAsia="Arial MT"/>
          <w:color w:val="202024"/>
          <w:szCs w:val="22"/>
        </w:rPr>
        <w:t>rates</w:t>
      </w:r>
      <w:r>
        <w:rPr>
          <w:rFonts w:eastAsia="Arial MT"/>
          <w:color w:val="202024"/>
          <w:spacing w:val="-2"/>
          <w:szCs w:val="22"/>
        </w:rPr>
        <w:t xml:space="preserve"> </w:t>
      </w:r>
      <w:r>
        <w:rPr>
          <w:rFonts w:eastAsia="Arial MT"/>
          <w:color w:val="202024"/>
          <w:szCs w:val="22"/>
        </w:rPr>
        <w:t>and</w:t>
      </w:r>
      <w:r>
        <w:rPr>
          <w:rFonts w:eastAsia="Arial MT"/>
          <w:color w:val="202024"/>
          <w:spacing w:val="-2"/>
          <w:szCs w:val="22"/>
        </w:rPr>
        <w:t xml:space="preserve"> </w:t>
      </w:r>
      <w:r>
        <w:rPr>
          <w:rFonts w:eastAsia="Arial MT"/>
          <w:color w:val="202024"/>
          <w:szCs w:val="22"/>
        </w:rPr>
        <w:t>fiscal</w:t>
      </w:r>
      <w:r>
        <w:rPr>
          <w:rFonts w:eastAsia="Arial MT"/>
          <w:color w:val="202024"/>
          <w:spacing w:val="-2"/>
          <w:szCs w:val="22"/>
        </w:rPr>
        <w:t xml:space="preserve"> </w:t>
      </w:r>
      <w:r>
        <w:rPr>
          <w:rFonts w:eastAsia="Arial MT"/>
          <w:color w:val="202024"/>
          <w:szCs w:val="22"/>
        </w:rPr>
        <w:t>systems</w:t>
      </w:r>
      <w:r>
        <w:rPr>
          <w:rFonts w:eastAsia="Arial MT"/>
          <w:color w:val="202024"/>
          <w:spacing w:val="-3"/>
          <w:szCs w:val="22"/>
        </w:rPr>
        <w:t xml:space="preserve"> </w:t>
      </w:r>
      <w:r>
        <w:rPr>
          <w:rFonts w:eastAsia="Arial MT"/>
          <w:color w:val="202024"/>
          <w:szCs w:val="22"/>
        </w:rPr>
        <w:t>in</w:t>
      </w:r>
      <w:r>
        <w:rPr>
          <w:rFonts w:eastAsia="Arial MT"/>
          <w:color w:val="202024"/>
          <w:spacing w:val="-63"/>
          <w:szCs w:val="22"/>
        </w:rPr>
        <w:t xml:space="preserve"> </w:t>
      </w:r>
      <w:r>
        <w:rPr>
          <w:rFonts w:eastAsia="Arial MT"/>
          <w:color w:val="202024"/>
          <w:szCs w:val="22"/>
        </w:rPr>
        <w:t>the</w:t>
      </w:r>
      <w:r>
        <w:rPr>
          <w:rFonts w:eastAsia="Arial MT"/>
          <w:color w:val="202024"/>
          <w:spacing w:val="-2"/>
          <w:szCs w:val="22"/>
        </w:rPr>
        <w:t xml:space="preserve"> </w:t>
      </w:r>
      <w:r>
        <w:rPr>
          <w:rFonts w:eastAsia="Arial MT"/>
          <w:color w:val="202024"/>
          <w:szCs w:val="22"/>
        </w:rPr>
        <w:t>Nigeria</w:t>
      </w:r>
      <w:r>
        <w:rPr>
          <w:rFonts w:eastAsia="Arial MT"/>
          <w:color w:val="202024"/>
          <w:spacing w:val="-1"/>
          <w:szCs w:val="22"/>
        </w:rPr>
        <w:t xml:space="preserve"> </w:t>
      </w:r>
      <w:r>
        <w:rPr>
          <w:rFonts w:eastAsia="Arial MT"/>
          <w:color w:val="202024"/>
          <w:szCs w:val="22"/>
        </w:rPr>
        <w:t>Petroleum</w:t>
      </w:r>
      <w:r>
        <w:rPr>
          <w:rFonts w:eastAsia="Arial MT"/>
          <w:color w:val="202024"/>
          <w:spacing w:val="-1"/>
          <w:szCs w:val="22"/>
        </w:rPr>
        <w:t xml:space="preserve"> </w:t>
      </w:r>
      <w:r>
        <w:rPr>
          <w:rFonts w:eastAsia="Arial MT"/>
          <w:color w:val="202024"/>
          <w:szCs w:val="22"/>
        </w:rPr>
        <w:t>tax</w:t>
      </w:r>
      <w:r>
        <w:rPr>
          <w:rFonts w:eastAsia="Arial MT"/>
          <w:color w:val="202024"/>
          <w:spacing w:val="-1"/>
          <w:szCs w:val="22"/>
        </w:rPr>
        <w:t xml:space="preserve"> </w:t>
      </w:r>
      <w:r>
        <w:rPr>
          <w:rFonts w:eastAsia="Arial MT"/>
          <w:color w:val="202024"/>
          <w:szCs w:val="22"/>
        </w:rPr>
        <w:t>system</w:t>
      </w:r>
      <w:r>
        <w:rPr>
          <w:rFonts w:eastAsia="Arial MT"/>
          <w:color w:val="202024"/>
          <w:spacing w:val="-2"/>
          <w:szCs w:val="22"/>
        </w:rPr>
        <w:t xml:space="preserve"> </w:t>
      </w:r>
      <w:r>
        <w:rPr>
          <w:rFonts w:eastAsia="Arial MT"/>
          <w:color w:val="202024"/>
          <w:szCs w:val="22"/>
        </w:rPr>
        <w:t>over</w:t>
      </w:r>
      <w:r>
        <w:rPr>
          <w:rFonts w:eastAsia="Arial MT"/>
          <w:color w:val="202024"/>
          <w:spacing w:val="-1"/>
          <w:szCs w:val="22"/>
        </w:rPr>
        <w:t xml:space="preserve"> </w:t>
      </w:r>
      <w:r>
        <w:rPr>
          <w:rFonts w:eastAsia="Arial MT"/>
          <w:color w:val="202024"/>
          <w:szCs w:val="22"/>
        </w:rPr>
        <w:t>the</w:t>
      </w:r>
      <w:r>
        <w:rPr>
          <w:rFonts w:eastAsia="Arial MT"/>
          <w:color w:val="202024"/>
          <w:spacing w:val="-1"/>
          <w:szCs w:val="22"/>
        </w:rPr>
        <w:t xml:space="preserve"> </w:t>
      </w:r>
      <w:r>
        <w:rPr>
          <w:rFonts w:eastAsia="Arial MT"/>
          <w:color w:val="202024"/>
          <w:szCs w:val="22"/>
        </w:rPr>
        <w:t>years,</w:t>
      </w:r>
      <w:r>
        <w:rPr>
          <w:rFonts w:eastAsia="Arial MT"/>
          <w:color w:val="202024"/>
          <w:spacing w:val="-1"/>
          <w:szCs w:val="22"/>
        </w:rPr>
        <w:t xml:space="preserve"> </w:t>
      </w:r>
      <w:r>
        <w:rPr>
          <w:rFonts w:eastAsia="Arial MT"/>
          <w:color w:val="202024"/>
          <w:szCs w:val="22"/>
        </w:rPr>
        <w:t>i.e.</w:t>
      </w:r>
      <w:r>
        <w:rPr>
          <w:rFonts w:eastAsia="Arial MT"/>
          <w:color w:val="202024"/>
          <w:spacing w:val="-2"/>
          <w:szCs w:val="22"/>
        </w:rPr>
        <w:t xml:space="preserve"> </w:t>
      </w:r>
      <w:r>
        <w:rPr>
          <w:rFonts w:eastAsia="Arial MT"/>
          <w:color w:val="202024"/>
          <w:szCs w:val="22"/>
        </w:rPr>
        <w:t>(65.75%,</w:t>
      </w:r>
      <w:r>
        <w:rPr>
          <w:rFonts w:eastAsia="Arial MT"/>
          <w:color w:val="202024"/>
          <w:spacing w:val="-1"/>
          <w:szCs w:val="22"/>
        </w:rPr>
        <w:t xml:space="preserve"> </w:t>
      </w:r>
      <w:r>
        <w:rPr>
          <w:rFonts w:eastAsia="Arial MT"/>
          <w:color w:val="202024"/>
          <w:szCs w:val="22"/>
        </w:rPr>
        <w:t>85%,</w:t>
      </w:r>
      <w:r>
        <w:rPr>
          <w:rFonts w:eastAsia="Arial MT"/>
          <w:color w:val="202024"/>
          <w:spacing w:val="-1"/>
          <w:szCs w:val="22"/>
        </w:rPr>
        <w:t xml:space="preserve"> </w:t>
      </w:r>
      <w:r>
        <w:rPr>
          <w:rFonts w:eastAsia="Arial MT"/>
          <w:color w:val="202024"/>
          <w:szCs w:val="22"/>
        </w:rPr>
        <w:t>50%</w:t>
      </w:r>
      <w:r>
        <w:rPr>
          <w:rFonts w:eastAsia="Arial MT"/>
          <w:color w:val="202024"/>
          <w:spacing w:val="-1"/>
          <w:szCs w:val="22"/>
        </w:rPr>
        <w:t xml:space="preserve"> </w:t>
      </w:r>
      <w:r>
        <w:rPr>
          <w:rFonts w:eastAsia="Arial MT"/>
          <w:color w:val="202024"/>
          <w:szCs w:val="22"/>
        </w:rPr>
        <w:t>or</w:t>
      </w:r>
      <w:r>
        <w:rPr>
          <w:rFonts w:eastAsia="Arial MT"/>
          <w:color w:val="202024"/>
          <w:spacing w:val="-2"/>
          <w:szCs w:val="22"/>
        </w:rPr>
        <w:t xml:space="preserve"> </w:t>
      </w:r>
      <w:r>
        <w:rPr>
          <w:rFonts w:eastAsia="Arial MT"/>
          <w:color w:val="202024"/>
          <w:szCs w:val="22"/>
        </w:rPr>
        <w:t>30%</w:t>
      </w:r>
      <w:r>
        <w:rPr>
          <w:rFonts w:eastAsia="Arial MT"/>
          <w:color w:val="202024"/>
        </w:rPr>
        <w:t>),</w:t>
      </w:r>
      <w:r>
        <w:rPr>
          <w:rFonts w:eastAsia="Arial MT"/>
          <w:color w:val="202024"/>
          <w:spacing w:val="65"/>
        </w:rPr>
        <w:t xml:space="preserve"> </w:t>
      </w:r>
      <w:r>
        <w:rPr>
          <w:rFonts w:eastAsia="Arial MT"/>
          <w:color w:val="202024"/>
        </w:rPr>
        <w:t>affect clarity and</w:t>
      </w:r>
      <w:r>
        <w:rPr>
          <w:rFonts w:eastAsia="Arial MT"/>
          <w:color w:val="202024"/>
          <w:spacing w:val="-1"/>
        </w:rPr>
        <w:t xml:space="preserve"> </w:t>
      </w:r>
      <w:r>
        <w:rPr>
          <w:rFonts w:eastAsia="Arial MT"/>
          <w:color w:val="202024"/>
        </w:rPr>
        <w:t>certainty in Nigeria</w:t>
      </w:r>
      <w:r>
        <w:rPr>
          <w:rFonts w:eastAsia="Arial MT"/>
          <w:color w:val="202024"/>
          <w:spacing w:val="-1"/>
        </w:rPr>
        <w:t xml:space="preserve"> </w:t>
      </w:r>
      <w:r>
        <w:rPr>
          <w:rFonts w:eastAsia="Arial MT"/>
          <w:color w:val="202024"/>
        </w:rPr>
        <w:t>upstream oil</w:t>
      </w:r>
      <w:r>
        <w:rPr>
          <w:rFonts w:eastAsia="Arial MT"/>
          <w:color w:val="202024"/>
          <w:spacing w:val="-1"/>
        </w:rPr>
        <w:t xml:space="preserve"> </w:t>
      </w:r>
      <w:r>
        <w:rPr>
          <w:rFonts w:eastAsia="Arial MT"/>
          <w:color w:val="202024"/>
        </w:rPr>
        <w:t>and gas taxation?</w:t>
      </w:r>
    </w:p>
    <w:p w14:paraId="454768B5">
      <w:pPr>
        <w:widowControl w:val="0"/>
        <w:autoSpaceDE w:val="0"/>
        <w:autoSpaceDN w:val="0"/>
        <w:spacing w:before="95"/>
        <w:rPr>
          <w:rFonts w:eastAsia="Arial MT"/>
          <w:i/>
        </w:rPr>
      </w:pPr>
      <w:r>
        <w:rPr>
          <w:rFonts w:eastAsia="Arial MT"/>
          <w:i/>
        </w:rPr>
        <w:t>Mark</w:t>
      </w:r>
      <w:r>
        <w:rPr>
          <w:rFonts w:eastAsia="Arial MT"/>
          <w:i/>
          <w:spacing w:val="-2"/>
        </w:rPr>
        <w:t xml:space="preserve"> </w:t>
      </w:r>
      <w:r>
        <w:rPr>
          <w:rFonts w:eastAsia="Arial MT"/>
          <w:i/>
        </w:rPr>
        <w:t>only</w:t>
      </w:r>
      <w:r>
        <w:rPr>
          <w:rFonts w:eastAsia="Arial MT"/>
          <w:i/>
          <w:spacing w:val="-1"/>
        </w:rPr>
        <w:t xml:space="preserve"> </w:t>
      </w:r>
      <w:r>
        <w:rPr>
          <w:rFonts w:eastAsia="Arial MT"/>
          <w:i/>
        </w:rPr>
        <w:t>one</w:t>
      </w:r>
      <w:r>
        <w:rPr>
          <w:rFonts w:eastAsia="Arial MT"/>
          <w:i/>
          <w:spacing w:val="-1"/>
        </w:rPr>
        <w:t xml:space="preserve"> </w:t>
      </w:r>
      <w:r>
        <w:rPr>
          <w:rFonts w:eastAsia="Arial MT"/>
          <w:i/>
        </w:rPr>
        <w:t>oval.</w:t>
      </w:r>
    </w:p>
    <w:p w14:paraId="5F88B767">
      <w:pPr>
        <w:widowControl w:val="0"/>
        <w:autoSpaceDE w:val="0"/>
        <w:autoSpaceDN w:val="0"/>
        <w:spacing w:before="7"/>
        <w:rPr>
          <w:rFonts w:ascii="Roboto" w:hAnsi="Arial MT" w:eastAsia="Arial MT" w:cs="Arial MT"/>
          <w:i/>
          <w:sz w:val="28"/>
        </w:rPr>
      </w:pPr>
    </w:p>
    <w:p w14:paraId="1AF0C77B">
      <w:pPr>
        <w:widowControl w:val="0"/>
        <w:tabs>
          <w:tab w:val="left" w:pos="1937"/>
          <w:tab w:val="left" w:pos="2417"/>
          <w:tab w:val="left" w:pos="2897"/>
          <w:tab w:val="left" w:pos="3377"/>
        </w:tabs>
        <w:autoSpaceDE w:val="0"/>
        <w:autoSpaceDN w:val="0"/>
        <w:spacing w:before="95"/>
        <w:rPr>
          <w:rFonts w:eastAsia="Arial MT"/>
        </w:rPr>
      </w:pPr>
      <w:r>
        <w:rPr>
          <w:rFonts w:ascii="Roboto" w:hAnsi="Arial MT" w:eastAsia="Arial MT" w:cs="Arial MT"/>
          <w:color w:val="202024"/>
          <w:sz w:val="21"/>
          <w:szCs w:val="22"/>
        </w:rPr>
        <w:tab/>
      </w:r>
      <w:r>
        <w:rPr>
          <w:rFonts w:eastAsia="Arial MT"/>
          <w:color w:val="202024"/>
        </w:rPr>
        <w:t>1</w:t>
      </w:r>
      <w:r>
        <w:rPr>
          <w:rFonts w:eastAsia="Arial MT"/>
          <w:color w:val="202024"/>
        </w:rPr>
        <w:tab/>
      </w:r>
      <w:r>
        <w:rPr>
          <w:rFonts w:eastAsia="Arial MT"/>
          <w:color w:val="202024"/>
        </w:rPr>
        <w:t>2</w:t>
      </w:r>
      <w:r>
        <w:rPr>
          <w:rFonts w:eastAsia="Arial MT"/>
          <w:color w:val="202024"/>
        </w:rPr>
        <w:tab/>
      </w:r>
      <w:r>
        <w:rPr>
          <w:rFonts w:eastAsia="Arial MT"/>
          <w:color w:val="202024"/>
        </w:rPr>
        <w:t>3</w:t>
      </w:r>
      <w:r>
        <w:rPr>
          <w:rFonts w:eastAsia="Arial MT"/>
          <w:color w:val="202024"/>
        </w:rPr>
        <w:tab/>
      </w:r>
      <w:r>
        <w:rPr>
          <w:rFonts w:eastAsia="Arial MT"/>
          <w:color w:val="202024"/>
        </w:rPr>
        <w:t>4</w:t>
      </w:r>
      <w:r>
        <w:rPr>
          <w:rFonts w:eastAsia="Arial MT"/>
          <w:color w:val="202024"/>
        </w:rPr>
        <w:tab/>
      </w:r>
      <w:r>
        <w:rPr>
          <w:rFonts w:eastAsia="Arial MT"/>
          <w:color w:val="202024"/>
        </w:rPr>
        <w:t xml:space="preserve">     5</w:t>
      </w:r>
    </w:p>
    <w:p w14:paraId="22218417">
      <w:pPr>
        <w:widowControl w:val="0"/>
        <w:autoSpaceDE w:val="0"/>
        <w:autoSpaceDN w:val="0"/>
        <w:spacing w:before="8"/>
        <w:rPr>
          <w:rFonts w:ascii="Roboto" w:hAnsi="Arial MT" w:eastAsia="Arial MT" w:cs="Arial MT"/>
          <w:sz w:val="13"/>
        </w:rPr>
      </w:pPr>
    </w:p>
    <w:p w14:paraId="7AD527FD">
      <w:pPr>
        <w:widowControl w:val="0"/>
        <w:autoSpaceDE w:val="0"/>
        <w:autoSpaceDN w:val="0"/>
        <w:spacing w:before="3"/>
        <w:rPr>
          <w:rFonts w:ascii="Roboto" w:hAnsi="Arial MT" w:eastAsia="Arial MT" w:cs="Arial MT"/>
          <w:sz w:val="6"/>
        </w:rPr>
      </w:pPr>
    </w:p>
    <w:p w14:paraId="5E6C199B">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9.png"/>
                    <pic:cNvPicPr>
                      <a:picLocks noChangeAspect="1"/>
                    </pic:cNvPicPr>
                  </pic:nvPicPr>
                  <pic:blipFill>
                    <a:blip r:embed="rId82"/>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a:picLocks noChangeAspect="1"/>
                    </pic:cNvPicPr>
                  </pic:nvPicPr>
                  <pic:blipFill>
                    <a:blip r:embed="rId83"/>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1.png"/>
                    <pic:cNvPicPr>
                      <a:picLocks noChangeAspect="1"/>
                    </pic:cNvPicPr>
                  </pic:nvPicPr>
                  <pic:blipFill>
                    <a:blip r:embed="rId8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png"/>
                    <pic:cNvPicPr>
                      <a:picLocks noChangeAspect="1"/>
                    </pic:cNvPicPr>
                  </pic:nvPicPr>
                  <pic:blipFill>
                    <a:blip r:embed="rId85"/>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3.png"/>
                    <pic:cNvPicPr>
                      <a:picLocks noChangeAspect="1"/>
                    </pic:cNvPicPr>
                  </pic:nvPicPr>
                  <pic:blipFill>
                    <a:blip r:embed="rId84"/>
                    <a:stretch>
                      <a:fillRect/>
                    </a:stretch>
                  </pic:blipFill>
                  <pic:spPr>
                    <a:xfrm>
                      <a:off x="0" y="0"/>
                      <a:ext cx="209550" cy="171450"/>
                    </a:xfrm>
                    <a:prstGeom prst="rect">
                      <a:avLst/>
                    </a:prstGeom>
                    <a:noFill/>
                    <a:ln>
                      <a:noFill/>
                    </a:ln>
                  </pic:spPr>
                </pic:pic>
              </a:graphicData>
            </a:graphic>
          </wp:inline>
        </w:drawing>
      </w:r>
    </w:p>
    <w:p w14:paraId="741F4385">
      <w:pPr>
        <w:widowControl w:val="0"/>
        <w:autoSpaceDE w:val="0"/>
        <w:autoSpaceDN w:val="0"/>
        <w:spacing w:before="6"/>
        <w:rPr>
          <w:rFonts w:ascii="Roboto" w:hAnsi="Arial MT" w:eastAsia="Arial MT" w:cs="Arial MT"/>
          <w:sz w:val="5"/>
        </w:rPr>
      </w:pPr>
    </w:p>
    <w:p w14:paraId="6E6E3AF4">
      <w:pPr>
        <w:widowControl w:val="0"/>
        <w:autoSpaceDE w:val="0"/>
        <w:autoSpaceDN w:val="0"/>
        <w:rPr>
          <w:rFonts w:ascii="Roboto" w:hAnsi="Arial MT" w:eastAsia="Arial MT" w:cs="Arial MT"/>
          <w:sz w:val="5"/>
          <w:szCs w:val="22"/>
        </w:rPr>
      </w:pPr>
    </w:p>
    <w:p w14:paraId="15D88360">
      <w:pPr>
        <w:rPr>
          <w:rFonts w:ascii="Roboto" w:hAnsi="Arial MT" w:eastAsia="Arial MT" w:cs="Arial MT"/>
          <w:sz w:val="5"/>
          <w:szCs w:val="22"/>
        </w:rPr>
      </w:pPr>
    </w:p>
    <w:p w14:paraId="2E34C089">
      <w:pPr>
        <w:rPr>
          <w:rFonts w:ascii="Roboto" w:hAnsi="Arial MT" w:eastAsia="Arial MT" w:cs="Arial MT"/>
          <w:sz w:val="5"/>
          <w:szCs w:val="22"/>
        </w:rPr>
      </w:pPr>
    </w:p>
    <w:p w14:paraId="38CB0643">
      <w:pPr>
        <w:rPr>
          <w:rFonts w:ascii="Roboto" w:hAnsi="Arial MT" w:eastAsia="Arial MT" w:cs="Arial MT"/>
          <w:sz w:val="5"/>
          <w:szCs w:val="22"/>
        </w:rPr>
      </w:pPr>
    </w:p>
    <w:p w14:paraId="5FBBFE8C">
      <w:pPr>
        <w:rPr>
          <w:rFonts w:ascii="Roboto" w:hAnsi="Arial MT" w:eastAsia="Arial MT" w:cs="Arial MT"/>
          <w:sz w:val="5"/>
          <w:szCs w:val="22"/>
        </w:rPr>
      </w:pPr>
    </w:p>
    <w:p w14:paraId="4A212244">
      <w:pPr>
        <w:rPr>
          <w:rFonts w:ascii="Roboto" w:hAnsi="Arial MT" w:eastAsia="Arial MT" w:cs="Arial MT"/>
          <w:sz w:val="5"/>
          <w:szCs w:val="22"/>
        </w:rPr>
      </w:pPr>
    </w:p>
    <w:p w14:paraId="742C69A2">
      <w:pPr>
        <w:pStyle w:val="52"/>
        <w:widowControl w:val="0"/>
        <w:numPr>
          <w:ilvl w:val="0"/>
          <w:numId w:val="42"/>
        </w:numPr>
        <w:tabs>
          <w:tab w:val="left" w:pos="737"/>
          <w:tab w:val="left" w:pos="738"/>
        </w:tabs>
        <w:autoSpaceDE w:val="0"/>
        <w:autoSpaceDN w:val="0"/>
        <w:spacing w:before="95" w:line="480" w:lineRule="auto"/>
        <w:ind w:right="180"/>
        <w:jc w:val="both"/>
        <w:rPr>
          <w:rFonts w:ascii="Times New Roman" w:hAnsi="Times New Roman" w:eastAsia="Arial MT" w:cs="Times New Roman"/>
          <w:color w:val="auto"/>
          <w:sz w:val="24"/>
          <w:szCs w:val="24"/>
        </w:rPr>
      </w:pPr>
      <w:r>
        <w:rPr>
          <w:rFonts w:ascii="Times New Roman" w:hAnsi="Times New Roman" w:eastAsia="Arial MT" w:cs="Times New Roman"/>
          <w:color w:val="auto"/>
          <w:sz w:val="24"/>
          <w:szCs w:val="24"/>
        </w:rPr>
        <w:t>13. In your view how significant or important is</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the introduction of the two tier</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hydrocarbon and corporate income tax regime to Nigeria upstream oil and gas</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taxation</w:t>
      </w:r>
      <w:r>
        <w:rPr>
          <w:rFonts w:ascii="Times New Roman" w:hAnsi="Times New Roman" w:eastAsia="Arial MT" w:cs="Times New Roman"/>
          <w:color w:val="auto"/>
          <w:spacing w:val="-2"/>
          <w:sz w:val="24"/>
          <w:szCs w:val="24"/>
        </w:rPr>
        <w:t xml:space="preserve"> </w:t>
      </w:r>
      <w:r>
        <w:rPr>
          <w:rFonts w:ascii="Times New Roman" w:hAnsi="Times New Roman" w:eastAsia="Arial MT" w:cs="Times New Roman"/>
          <w:color w:val="auto"/>
          <w:sz w:val="24"/>
          <w:szCs w:val="24"/>
        </w:rPr>
        <w:t>by</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Petroleum</w:t>
      </w:r>
      <w:r>
        <w:rPr>
          <w:rFonts w:ascii="Times New Roman" w:hAnsi="Times New Roman" w:eastAsia="Arial MT" w:cs="Times New Roman"/>
          <w:color w:val="auto"/>
          <w:spacing w:val="-2"/>
          <w:sz w:val="24"/>
          <w:szCs w:val="24"/>
        </w:rPr>
        <w:t xml:space="preserve"> </w:t>
      </w:r>
      <w:r>
        <w:rPr>
          <w:rFonts w:ascii="Times New Roman" w:hAnsi="Times New Roman" w:eastAsia="Arial MT" w:cs="Times New Roman"/>
          <w:color w:val="auto"/>
          <w:sz w:val="24"/>
          <w:szCs w:val="24"/>
        </w:rPr>
        <w:t>Industry</w:t>
      </w:r>
      <w:r>
        <w:rPr>
          <w:rFonts w:ascii="Times New Roman" w:hAnsi="Times New Roman" w:eastAsia="Arial MT" w:cs="Times New Roman"/>
          <w:color w:val="auto"/>
          <w:spacing w:val="-15"/>
          <w:sz w:val="24"/>
          <w:szCs w:val="24"/>
        </w:rPr>
        <w:t xml:space="preserve"> </w:t>
      </w:r>
      <w:r>
        <w:rPr>
          <w:rFonts w:ascii="Times New Roman" w:hAnsi="Times New Roman" w:eastAsia="Arial MT" w:cs="Times New Roman"/>
          <w:color w:val="auto"/>
          <w:sz w:val="24"/>
          <w:szCs w:val="24"/>
        </w:rPr>
        <w:t>Act</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(PIA),</w:t>
      </w:r>
      <w:r>
        <w:rPr>
          <w:rFonts w:ascii="Times New Roman" w:hAnsi="Times New Roman" w:eastAsia="Arial MT" w:cs="Times New Roman"/>
          <w:color w:val="auto"/>
          <w:spacing w:val="63"/>
          <w:sz w:val="24"/>
          <w:szCs w:val="24"/>
        </w:rPr>
        <w:t xml:space="preserve"> </w:t>
      </w:r>
      <w:r>
        <w:rPr>
          <w:rFonts w:ascii="Times New Roman" w:hAnsi="Times New Roman" w:eastAsia="Arial MT" w:cs="Times New Roman"/>
          <w:color w:val="auto"/>
          <w:sz w:val="24"/>
          <w:szCs w:val="24"/>
        </w:rPr>
        <w:t>on</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the</w:t>
      </w:r>
      <w:r>
        <w:rPr>
          <w:rFonts w:ascii="Times New Roman" w:hAnsi="Times New Roman" w:eastAsia="Arial MT" w:cs="Times New Roman"/>
          <w:color w:val="auto"/>
          <w:spacing w:val="-2"/>
          <w:sz w:val="24"/>
          <w:szCs w:val="24"/>
        </w:rPr>
        <w:t xml:space="preserve"> </w:t>
      </w:r>
      <w:r>
        <w:rPr>
          <w:rFonts w:ascii="Times New Roman" w:hAnsi="Times New Roman" w:eastAsia="Arial MT" w:cs="Times New Roman"/>
          <w:color w:val="auto"/>
          <w:sz w:val="24"/>
          <w:szCs w:val="24"/>
        </w:rPr>
        <w:t>effective</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tax</w:t>
      </w:r>
      <w:r>
        <w:rPr>
          <w:rFonts w:ascii="Times New Roman" w:hAnsi="Times New Roman" w:eastAsia="Arial MT" w:cs="Times New Roman"/>
          <w:color w:val="auto"/>
          <w:spacing w:val="-2"/>
          <w:sz w:val="24"/>
          <w:szCs w:val="24"/>
        </w:rPr>
        <w:t xml:space="preserve"> </w:t>
      </w:r>
      <w:r>
        <w:rPr>
          <w:rFonts w:ascii="Times New Roman" w:hAnsi="Times New Roman" w:eastAsia="Arial MT" w:cs="Times New Roman"/>
          <w:color w:val="auto"/>
          <w:sz w:val="24"/>
          <w:szCs w:val="24"/>
        </w:rPr>
        <w:t>rate</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(ETR),</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as</w:t>
      </w:r>
      <w:r>
        <w:rPr>
          <w:rFonts w:ascii="Times New Roman" w:hAnsi="Times New Roman" w:eastAsia="Arial MT" w:cs="Times New Roman"/>
          <w:color w:val="auto"/>
          <w:spacing w:val="-2"/>
          <w:sz w:val="24"/>
          <w:szCs w:val="24"/>
        </w:rPr>
        <w:t xml:space="preserve"> </w:t>
      </w:r>
      <w:r>
        <w:rPr>
          <w:rFonts w:ascii="Times New Roman" w:hAnsi="Times New Roman" w:eastAsia="Arial MT" w:cs="Times New Roman"/>
          <w:color w:val="auto"/>
          <w:sz w:val="24"/>
          <w:szCs w:val="24"/>
        </w:rPr>
        <w:t>well</w:t>
      </w:r>
      <w:r>
        <w:rPr>
          <w:rFonts w:ascii="Times New Roman" w:hAnsi="Times New Roman" w:eastAsia="Arial MT" w:cs="Times New Roman"/>
          <w:color w:val="auto"/>
          <w:spacing w:val="-64"/>
          <w:sz w:val="24"/>
          <w:szCs w:val="24"/>
        </w:rPr>
        <w:t xml:space="preserve"> </w:t>
      </w:r>
      <w:r>
        <w:rPr>
          <w:rFonts w:ascii="Times New Roman" w:hAnsi="Times New Roman" w:eastAsia="Arial MT" w:cs="Times New Roman"/>
          <w:color w:val="auto"/>
          <w:sz w:val="24"/>
          <w:szCs w:val="24"/>
        </w:rPr>
        <w:t>as the clarity, certainty and consistent understanding and administration of</w:t>
      </w:r>
      <w:r>
        <w:rPr>
          <w:rFonts w:ascii="Times New Roman" w:hAnsi="Times New Roman" w:eastAsia="Arial MT" w:cs="Times New Roman"/>
          <w:color w:val="auto"/>
          <w:spacing w:val="1"/>
          <w:sz w:val="24"/>
          <w:szCs w:val="24"/>
        </w:rPr>
        <w:t xml:space="preserve"> </w:t>
      </w:r>
      <w:r>
        <w:rPr>
          <w:rFonts w:ascii="Times New Roman" w:hAnsi="Times New Roman" w:eastAsia="Arial MT" w:cs="Times New Roman"/>
          <w:color w:val="auto"/>
          <w:sz w:val="24"/>
          <w:szCs w:val="24"/>
        </w:rPr>
        <w:t>upstream oil and gas taxation.</w:t>
      </w:r>
    </w:p>
    <w:p w14:paraId="66DD715F">
      <w:pPr>
        <w:widowControl w:val="0"/>
        <w:autoSpaceDE w:val="0"/>
        <w:autoSpaceDN w:val="0"/>
        <w:spacing w:before="6"/>
        <w:rPr>
          <w:rFonts w:ascii="Arial MT" w:hAnsi="Arial MT" w:eastAsia="Arial MT" w:cs="Arial MT"/>
          <w:sz w:val="11"/>
        </w:rPr>
      </w:pPr>
    </w:p>
    <w:p w14:paraId="58533DB9">
      <w:pPr>
        <w:widowControl w:val="0"/>
        <w:autoSpaceDE w:val="0"/>
        <w:autoSpaceDN w:val="0"/>
        <w:spacing w:before="95"/>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0C73D7D9">
      <w:pPr>
        <w:widowControl w:val="0"/>
        <w:autoSpaceDE w:val="0"/>
        <w:autoSpaceDN w:val="0"/>
        <w:spacing w:before="7"/>
        <w:rPr>
          <w:rFonts w:ascii="Roboto" w:hAnsi="Arial MT" w:eastAsia="Arial MT" w:cs="Arial MT"/>
          <w:i/>
          <w:sz w:val="28"/>
        </w:rPr>
      </w:pPr>
    </w:p>
    <w:p w14:paraId="532C5A0D">
      <w:pPr>
        <w:widowControl w:val="0"/>
        <w:tabs>
          <w:tab w:val="left" w:pos="1937"/>
          <w:tab w:val="left" w:pos="2417"/>
          <w:tab w:val="left" w:pos="2897"/>
          <w:tab w:val="left" w:pos="3377"/>
        </w:tabs>
        <w:autoSpaceDE w:val="0"/>
        <w:autoSpaceDN w:val="0"/>
        <w:spacing w:before="95"/>
        <w:rPr>
          <w:rFonts w:ascii="Roboto" w:hAnsi="Arial MT" w:eastAsia="Arial MT" w:cs="Arial MT"/>
          <w:sz w:val="21"/>
          <w:szCs w:val="22"/>
        </w:rPr>
      </w:pPr>
      <w:r>
        <w:rPr>
          <w:rFonts w:ascii="Roboto" w:hAnsi="Arial MT" w:eastAsia="Arial MT" w:cs="Arial MT"/>
          <w:color w:val="202024"/>
          <w:sz w:val="21"/>
          <w:szCs w:val="22"/>
        </w:rPr>
        <w:t xml:space="preserve">                                1</w:t>
      </w:r>
      <w:r>
        <w:rPr>
          <w:rFonts w:ascii="Roboto" w:hAnsi="Arial MT" w:eastAsia="Arial MT" w:cs="Arial MT"/>
          <w:color w:val="202024"/>
          <w:sz w:val="21"/>
          <w:szCs w:val="22"/>
        </w:rPr>
        <w:tab/>
      </w:r>
      <w:r>
        <w:rPr>
          <w:rFonts w:ascii="Roboto" w:hAnsi="Arial MT" w:eastAsia="Arial MT" w:cs="Arial MT"/>
          <w:color w:val="202024"/>
          <w:sz w:val="21"/>
          <w:szCs w:val="22"/>
        </w:rPr>
        <w:t xml:space="preserve">     2</w:t>
      </w:r>
      <w:r>
        <w:rPr>
          <w:rFonts w:ascii="Roboto" w:hAnsi="Arial MT" w:eastAsia="Arial MT" w:cs="Arial MT"/>
          <w:color w:val="202024"/>
          <w:sz w:val="21"/>
          <w:szCs w:val="22"/>
        </w:rPr>
        <w:tab/>
      </w:r>
      <w:r>
        <w:rPr>
          <w:rFonts w:ascii="Roboto" w:hAnsi="Arial MT" w:eastAsia="Arial MT" w:cs="Arial MT"/>
          <w:color w:val="202024"/>
          <w:sz w:val="21"/>
          <w:szCs w:val="22"/>
        </w:rPr>
        <w:t xml:space="preserve">     3</w:t>
      </w:r>
      <w:r>
        <w:rPr>
          <w:rFonts w:ascii="Roboto" w:hAnsi="Arial MT" w:eastAsia="Arial MT" w:cs="Arial MT"/>
          <w:color w:val="202024"/>
          <w:sz w:val="21"/>
          <w:szCs w:val="22"/>
        </w:rPr>
        <w:tab/>
      </w:r>
      <w:r>
        <w:rPr>
          <w:rFonts w:ascii="Roboto" w:hAnsi="Arial MT" w:eastAsia="Arial MT" w:cs="Arial MT"/>
          <w:color w:val="202024"/>
          <w:sz w:val="21"/>
          <w:szCs w:val="22"/>
        </w:rPr>
        <w:t xml:space="preserve">     4</w:t>
      </w:r>
      <w:r>
        <w:rPr>
          <w:rFonts w:ascii="Roboto" w:hAnsi="Arial MT" w:eastAsia="Arial MT" w:cs="Arial MT"/>
          <w:color w:val="202024"/>
          <w:sz w:val="21"/>
          <w:szCs w:val="22"/>
        </w:rPr>
        <w:tab/>
      </w:r>
      <w:r>
        <w:rPr>
          <w:rFonts w:ascii="Roboto" w:hAnsi="Arial MT" w:eastAsia="Arial MT" w:cs="Arial MT"/>
          <w:color w:val="202024"/>
          <w:sz w:val="21"/>
          <w:szCs w:val="22"/>
        </w:rPr>
        <w:t xml:space="preserve">     5</w:t>
      </w:r>
    </w:p>
    <w:p w14:paraId="678783BB">
      <w:pPr>
        <w:widowControl w:val="0"/>
        <w:autoSpaceDE w:val="0"/>
        <w:autoSpaceDN w:val="0"/>
        <w:spacing w:before="7"/>
        <w:rPr>
          <w:rFonts w:ascii="Roboto" w:hAnsi="Arial MT" w:eastAsia="Arial MT" w:cs="Arial MT"/>
          <w:sz w:val="13"/>
        </w:rPr>
      </w:pPr>
    </w:p>
    <w:p w14:paraId="54D5830F">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7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png"/>
                    <pic:cNvPicPr>
                      <a:picLocks noChangeAspect="1"/>
                    </pic:cNvPicPr>
                  </pic:nvPicPr>
                  <pic:blipFill>
                    <a:blip r:embed="rId86"/>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4.png"/>
                    <pic:cNvPicPr>
                      <a:picLocks noChangeAspect="1"/>
                    </pic:cNvPicPr>
                  </pic:nvPicPr>
                  <pic:blipFill>
                    <a:blip r:embed="rId86"/>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4"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a:picLocks noChangeAspect="1"/>
                    </pic:cNvPicPr>
                  </pic:nvPicPr>
                  <pic:blipFill>
                    <a:blip r:embed="rId87"/>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6.png"/>
                    <pic:cNvPicPr>
                      <a:picLocks noChangeAspect="1"/>
                    </pic:cNvPicPr>
                  </pic:nvPicPr>
                  <pic:blipFill>
                    <a:blip r:embed="rId88"/>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png"/>
                    <pic:cNvPicPr>
                      <a:picLocks noChangeAspect="1"/>
                    </pic:cNvPicPr>
                  </pic:nvPicPr>
                  <pic:blipFill>
                    <a:blip r:embed="rId89"/>
                    <a:stretch>
                      <a:fillRect/>
                    </a:stretch>
                  </pic:blipFill>
                  <pic:spPr>
                    <a:xfrm>
                      <a:off x="0" y="0"/>
                      <a:ext cx="209550" cy="171450"/>
                    </a:xfrm>
                    <a:prstGeom prst="rect">
                      <a:avLst/>
                    </a:prstGeom>
                    <a:noFill/>
                    <a:ln>
                      <a:noFill/>
                    </a:ln>
                  </pic:spPr>
                </pic:pic>
              </a:graphicData>
            </a:graphic>
          </wp:inline>
        </w:drawing>
      </w:r>
    </w:p>
    <w:p w14:paraId="1E11C665">
      <w:pPr>
        <w:widowControl w:val="0"/>
        <w:autoSpaceDE w:val="0"/>
        <w:autoSpaceDN w:val="0"/>
        <w:spacing w:before="6"/>
        <w:rPr>
          <w:rFonts w:ascii="Roboto" w:hAnsi="Arial MT" w:eastAsia="Arial MT" w:cs="Arial MT"/>
          <w:sz w:val="5"/>
        </w:rPr>
      </w:pPr>
    </w:p>
    <w:p w14:paraId="2AF4D268">
      <w:pPr>
        <w:widowControl w:val="0"/>
        <w:autoSpaceDE w:val="0"/>
        <w:autoSpaceDN w:val="0"/>
        <w:rPr>
          <w:rFonts w:ascii="Roboto" w:hAnsi="Arial MT" w:eastAsia="Arial MT" w:cs="Arial MT"/>
          <w:sz w:val="20"/>
        </w:rPr>
      </w:pPr>
    </w:p>
    <w:p w14:paraId="0D389EB9">
      <w:pPr>
        <w:widowControl w:val="0"/>
        <w:autoSpaceDE w:val="0"/>
        <w:autoSpaceDN w:val="0"/>
        <w:spacing w:before="11"/>
        <w:rPr>
          <w:rFonts w:ascii="Roboto" w:hAnsi="Arial MT" w:eastAsia="Arial MT" w:cs="Arial MT"/>
          <w:sz w:val="16"/>
        </w:rPr>
      </w:pPr>
    </w:p>
    <w:p w14:paraId="502DE8DC">
      <w:pPr>
        <w:widowControl w:val="0"/>
        <w:numPr>
          <w:ilvl w:val="0"/>
          <w:numId w:val="42"/>
        </w:numPr>
        <w:tabs>
          <w:tab w:val="left" w:pos="737"/>
          <w:tab w:val="left" w:pos="738"/>
        </w:tabs>
        <w:autoSpaceDE w:val="0"/>
        <w:autoSpaceDN w:val="0"/>
        <w:spacing w:before="95" w:line="480" w:lineRule="auto"/>
        <w:ind w:right="495"/>
        <w:jc w:val="both"/>
        <w:rPr>
          <w:rFonts w:eastAsia="Arial MT"/>
        </w:rPr>
      </w:pPr>
      <w:r>
        <w:rPr>
          <w:rFonts w:eastAsia="Arial MT"/>
          <w:color w:val="202024"/>
        </w:rPr>
        <w:t>14. In your experience, how important are clear FIRS circulars and guidelines</w:t>
      </w:r>
      <w:r>
        <w:rPr>
          <w:rFonts w:eastAsia="Arial MT"/>
          <w:color w:val="202024"/>
          <w:spacing w:val="-64"/>
        </w:rPr>
        <w:t xml:space="preserve"> </w:t>
      </w:r>
      <w:r>
        <w:rPr>
          <w:rFonts w:eastAsia="Arial MT"/>
          <w:color w:val="202024"/>
        </w:rPr>
        <w:t>which are consistent with tax legislation, in achieving clarity, certainty and</w:t>
      </w:r>
      <w:r>
        <w:rPr>
          <w:rFonts w:eastAsia="Arial MT"/>
          <w:color w:val="202024"/>
          <w:spacing w:val="1"/>
        </w:rPr>
        <w:t xml:space="preserve"> </w:t>
      </w:r>
      <w:r>
        <w:rPr>
          <w:rFonts w:eastAsia="Arial MT"/>
          <w:color w:val="202024"/>
        </w:rPr>
        <w:t>consistent understanding of Nigeria upstream oil and gas tax legislation.</w:t>
      </w:r>
    </w:p>
    <w:p w14:paraId="0C4B2EF8">
      <w:pPr>
        <w:widowControl w:val="0"/>
        <w:autoSpaceDE w:val="0"/>
        <w:autoSpaceDN w:val="0"/>
        <w:spacing w:before="95" w:line="480" w:lineRule="auto"/>
        <w:jc w:val="both"/>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3B559AEA">
      <w:pPr>
        <w:widowControl w:val="0"/>
        <w:autoSpaceDE w:val="0"/>
        <w:autoSpaceDN w:val="0"/>
        <w:spacing w:before="95" w:line="480" w:lineRule="auto"/>
        <w:jc w:val="both"/>
        <w:rPr>
          <w:rFonts w:ascii="Roboto" w:hAnsi="Arial MT" w:eastAsia="Arial MT" w:cs="Arial MT"/>
          <w:sz w:val="21"/>
          <w:szCs w:val="22"/>
        </w:rPr>
      </w:pPr>
      <w:r>
        <w:rPr>
          <w:rFonts w:ascii="Roboto" w:hAnsi="Arial MT" w:eastAsia="Arial MT" w:cs="Arial MT"/>
          <w:i/>
          <w:sz w:val="28"/>
        </w:rPr>
        <w:tab/>
      </w:r>
      <w:r>
        <w:rPr>
          <w:rFonts w:ascii="Roboto" w:hAnsi="Arial MT" w:eastAsia="Arial MT" w:cs="Arial MT"/>
          <w:i/>
          <w:sz w:val="28"/>
        </w:rPr>
        <w:tab/>
      </w:r>
      <w:r>
        <w:rPr>
          <w:rFonts w:ascii="Roboto" w:hAnsi="Arial MT" w:eastAsia="Arial MT" w:cs="Arial MT"/>
          <w:color w:val="202024"/>
          <w:sz w:val="21"/>
          <w:szCs w:val="22"/>
        </w:rPr>
        <w:t>1</w:t>
      </w:r>
      <w:r>
        <w:rPr>
          <w:rFonts w:ascii="Roboto" w:hAnsi="Arial MT" w:eastAsia="Arial MT" w:cs="Arial MT"/>
          <w:color w:val="202024"/>
          <w:sz w:val="21"/>
          <w:szCs w:val="22"/>
        </w:rPr>
        <w:tab/>
      </w:r>
      <w:r>
        <w:rPr>
          <w:rFonts w:ascii="Roboto" w:hAnsi="Arial MT" w:eastAsia="Arial MT" w:cs="Arial MT"/>
          <w:color w:val="202024"/>
          <w:sz w:val="21"/>
          <w:szCs w:val="22"/>
        </w:rPr>
        <w:t>2</w:t>
      </w:r>
      <w:r>
        <w:rPr>
          <w:rFonts w:ascii="Roboto" w:hAnsi="Arial MT" w:eastAsia="Arial MT" w:cs="Arial MT"/>
          <w:color w:val="202024"/>
          <w:sz w:val="21"/>
          <w:szCs w:val="22"/>
        </w:rPr>
        <w:tab/>
      </w:r>
      <w:r>
        <w:rPr>
          <w:rFonts w:ascii="Roboto" w:hAnsi="Arial MT" w:eastAsia="Arial MT" w:cs="Arial MT"/>
          <w:color w:val="202024"/>
          <w:sz w:val="21"/>
          <w:szCs w:val="22"/>
        </w:rPr>
        <w:t>3</w:t>
      </w:r>
      <w:r>
        <w:rPr>
          <w:rFonts w:ascii="Roboto" w:hAnsi="Arial MT" w:eastAsia="Arial MT" w:cs="Arial MT"/>
          <w:color w:val="202024"/>
          <w:sz w:val="21"/>
          <w:szCs w:val="22"/>
        </w:rPr>
        <w:tab/>
      </w:r>
      <w:r>
        <w:rPr>
          <w:rFonts w:ascii="Roboto" w:hAnsi="Arial MT" w:eastAsia="Arial MT" w:cs="Arial MT"/>
          <w:color w:val="202024"/>
          <w:sz w:val="21"/>
          <w:szCs w:val="22"/>
        </w:rPr>
        <w:t>4</w:t>
      </w:r>
      <w:r>
        <w:rPr>
          <w:rFonts w:ascii="Roboto" w:hAnsi="Arial MT" w:eastAsia="Arial MT" w:cs="Arial MT"/>
          <w:color w:val="202024"/>
          <w:sz w:val="21"/>
          <w:szCs w:val="22"/>
        </w:rPr>
        <w:tab/>
      </w:r>
      <w:r>
        <w:rPr>
          <w:rFonts w:ascii="Roboto" w:hAnsi="Arial MT" w:eastAsia="Arial MT" w:cs="Arial MT"/>
          <w:color w:val="202024"/>
          <w:sz w:val="21"/>
          <w:szCs w:val="22"/>
        </w:rPr>
        <w:t>5</w:t>
      </w:r>
      <w:r>
        <w:rPr>
          <w:rFonts w:ascii="Roboto" w:hAnsi="Arial MT" w:eastAsia="Arial MT" w:cs="Arial MT"/>
          <w:sz w:val="13"/>
        </w:rPr>
        <w:t xml:space="preserve">     </w:t>
      </w:r>
    </w:p>
    <w:p w14:paraId="5E24CD09">
      <w:pPr>
        <w:widowControl w:val="0"/>
        <w:autoSpaceDE w:val="0"/>
        <w:autoSpaceDN w:val="0"/>
        <w:spacing w:before="95" w:line="480" w:lineRule="auto"/>
        <w:jc w:val="both"/>
        <w:rPr>
          <w:rFonts w:ascii="Roboto" w:hAnsi="Arial MT" w:eastAsia="Arial MT" w:cs="Arial MT"/>
          <w:sz w:val="20"/>
          <w:szCs w:val="22"/>
        </w:rPr>
      </w:pPr>
      <w:r>
        <w:rPr>
          <w:rFonts w:ascii="Roboto" w:hAnsi="Arial MT" w:eastAsia="Arial MT" w:cs="Arial MT"/>
          <w:sz w:val="13"/>
        </w:rPr>
        <w:t xml:space="preserve">                                             </w:t>
      </w:r>
      <w:r>
        <w:rPr>
          <w:rFonts w:ascii="Roboto" w:hAnsi="Arial MT" w:eastAsia="Arial MT" w:cs="Arial MT"/>
          <w:sz w:val="20"/>
          <w:szCs w:val="22"/>
        </w:rPr>
        <w:drawing>
          <wp:inline distT="0" distB="0" distL="0" distR="0">
            <wp:extent cx="209550" cy="171450"/>
            <wp:effectExtent l="0" t="0" r="0" b="0"/>
            <wp:docPr id="7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8.png"/>
                    <pic:cNvPicPr>
                      <a:picLocks noChangeAspect="1"/>
                    </pic:cNvPicPr>
                  </pic:nvPicPr>
                  <pic:blipFill>
                    <a:blip r:embed="rId90"/>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8"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9.png"/>
                    <pic:cNvPicPr>
                      <a:picLocks noChangeAspect="1"/>
                    </pic:cNvPicPr>
                  </pic:nvPicPr>
                  <pic:blipFill>
                    <a:blip r:embed="rId91"/>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7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0.png"/>
                    <pic:cNvPicPr>
                      <a:picLocks noChangeAspect="1"/>
                    </pic:cNvPicPr>
                  </pic:nvPicPr>
                  <pic:blipFill>
                    <a:blip r:embed="rId92"/>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80"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a:picLocks noChangeAspect="1"/>
                    </pic:cNvPicPr>
                  </pic:nvPicPr>
                  <pic:blipFill>
                    <a:blip r:embed="rId93"/>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8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1.png"/>
                    <pic:cNvPicPr>
                      <a:picLocks noChangeAspect="1"/>
                    </pic:cNvPicPr>
                  </pic:nvPicPr>
                  <pic:blipFill>
                    <a:blip r:embed="rId93"/>
                    <a:stretch>
                      <a:fillRect/>
                    </a:stretch>
                  </pic:blipFill>
                  <pic:spPr>
                    <a:xfrm>
                      <a:off x="0" y="0"/>
                      <a:ext cx="209550" cy="171450"/>
                    </a:xfrm>
                    <a:prstGeom prst="rect">
                      <a:avLst/>
                    </a:prstGeom>
                    <a:noFill/>
                    <a:ln>
                      <a:noFill/>
                    </a:ln>
                  </pic:spPr>
                </pic:pic>
              </a:graphicData>
            </a:graphic>
          </wp:inline>
        </w:drawing>
      </w:r>
    </w:p>
    <w:p w14:paraId="44DABDCB">
      <w:pPr>
        <w:widowControl w:val="0"/>
        <w:autoSpaceDE w:val="0"/>
        <w:autoSpaceDN w:val="0"/>
        <w:spacing w:before="6"/>
        <w:rPr>
          <w:rFonts w:ascii="Roboto" w:hAnsi="Arial MT" w:eastAsia="Arial MT" w:cs="Arial MT"/>
          <w:sz w:val="5"/>
        </w:rPr>
      </w:pPr>
    </w:p>
    <w:p w14:paraId="16AFE153">
      <w:pPr>
        <w:widowControl w:val="0"/>
        <w:autoSpaceDE w:val="0"/>
        <w:autoSpaceDN w:val="0"/>
        <w:rPr>
          <w:rFonts w:ascii="Roboto" w:hAnsi="Arial MT" w:eastAsia="Arial MT" w:cs="Arial MT"/>
          <w:sz w:val="20"/>
        </w:rPr>
      </w:pPr>
    </w:p>
    <w:p w14:paraId="7463F90D">
      <w:pPr>
        <w:widowControl w:val="0"/>
        <w:autoSpaceDE w:val="0"/>
        <w:autoSpaceDN w:val="0"/>
        <w:rPr>
          <w:rFonts w:ascii="Roboto" w:hAnsi="Arial MT" w:eastAsia="Arial MT" w:cs="Arial MT"/>
          <w:sz w:val="20"/>
        </w:rPr>
      </w:pPr>
    </w:p>
    <w:p w14:paraId="3A566800">
      <w:pPr>
        <w:widowControl w:val="0"/>
        <w:autoSpaceDE w:val="0"/>
        <w:autoSpaceDN w:val="0"/>
        <w:rPr>
          <w:rFonts w:ascii="Roboto" w:hAnsi="Arial MT" w:eastAsia="Arial MT" w:cs="Arial MT"/>
          <w:sz w:val="20"/>
        </w:rPr>
      </w:pPr>
    </w:p>
    <w:p w14:paraId="1FE0A0A4">
      <w:pPr>
        <w:widowControl w:val="0"/>
        <w:autoSpaceDE w:val="0"/>
        <w:autoSpaceDN w:val="0"/>
        <w:spacing w:before="11"/>
        <w:rPr>
          <w:rFonts w:ascii="Roboto" w:hAnsi="Arial MT" w:eastAsia="Arial MT" w:cs="Arial MT"/>
          <w:sz w:val="16"/>
        </w:rPr>
      </w:pPr>
    </w:p>
    <w:p w14:paraId="077F88DA">
      <w:pPr>
        <w:widowControl w:val="0"/>
        <w:numPr>
          <w:ilvl w:val="0"/>
          <w:numId w:val="42"/>
        </w:numPr>
        <w:tabs>
          <w:tab w:val="left" w:pos="737"/>
          <w:tab w:val="left" w:pos="738"/>
        </w:tabs>
        <w:autoSpaceDE w:val="0"/>
        <w:autoSpaceDN w:val="0"/>
        <w:spacing w:before="95" w:line="480" w:lineRule="auto"/>
        <w:ind w:hanging="634"/>
        <w:jc w:val="both"/>
        <w:rPr>
          <w:rFonts w:eastAsia="Arial MT"/>
        </w:rPr>
      </w:pPr>
      <w:r>
        <w:rPr>
          <w:rFonts w:eastAsia="Arial MT"/>
          <w:color w:val="202024"/>
        </w:rPr>
        <w:t>Please add any other comments below_3</w:t>
      </w:r>
    </w:p>
    <w:p w14:paraId="42B1BB6F">
      <w:pPr>
        <w:widowControl w:val="0"/>
        <w:autoSpaceDE w:val="0"/>
        <w:autoSpaceDN w:val="0"/>
        <w:spacing w:before="93" w:line="480" w:lineRule="auto"/>
        <w:jc w:val="both"/>
        <w:rPr>
          <w:rFonts w:eastAsia="Arial MT"/>
          <w:w w:val="95"/>
        </w:rPr>
      </w:pPr>
      <w:r>
        <mc:AlternateContent>
          <mc:Choice Requires="wps">
            <w:drawing>
              <wp:anchor distT="0" distB="0" distL="0" distR="0" simplePos="0" relativeHeight="251664384" behindDoc="1" locked="0" layoutInCell="1" allowOverlap="1">
                <wp:simplePos x="0" y="0"/>
                <wp:positionH relativeFrom="page">
                  <wp:posOffset>1266825</wp:posOffset>
                </wp:positionH>
                <wp:positionV relativeFrom="paragraph">
                  <wp:posOffset>278765</wp:posOffset>
                </wp:positionV>
                <wp:extent cx="2733675" cy="9525"/>
                <wp:effectExtent l="0" t="0" r="0" b="0"/>
                <wp:wrapTopAndBottom/>
                <wp:docPr id="491543589" name="Rectangle 105"/>
                <wp:cNvGraphicFramePr/>
                <a:graphic xmlns:a="http://schemas.openxmlformats.org/drawingml/2006/main">
                  <a:graphicData uri="http://schemas.microsoft.com/office/word/2010/wordprocessingShape">
                    <wps:wsp>
                      <wps:cNvSpPr>
                        <a:spLocks noChangeArrowheads="1"/>
                      </wps:cNvSpPr>
                      <wps:spPr bwMode="auto">
                        <a:xfrm>
                          <a:off x="0" y="0"/>
                          <a:ext cx="2733675" cy="952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105" o:spid="_x0000_s1026" o:spt="1" style="position:absolute;left:0pt;margin-left:99.75pt;margin-top:21.95pt;height:0.75pt;width:215.25pt;mso-position-horizontal-relative:page;mso-wrap-distance-bottom:0pt;mso-wrap-distance-top:0pt;z-index:-251652096;mso-width-relative:page;mso-height-relative:page;" fillcolor="#BDC1C6" filled="t" stroked="f" coordsize="21600,21600" o:gfxdata="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0ve7VAAAA&#10;CQEAAA8AAAAAAAAAAQAgAAAAIgAAAGRycy9kb3ducmV2LnhtbFBLAQIUABQAAAAIAIdO4kAZ2fyr&#10;IAIAAD8EAAAOAAAAAAAAAAEAIAAAACQBAABkcnMvZTJvRG9jLnhtbFBLBQYAAAAABgAGAFkBAAC2&#10;BQAAAAA=&#10;">
                <v:fill on="t" focussize="0,0"/>
                <v:stroke on="f"/>
                <v:imagedata o:title=""/>
                <o:lock v:ext="edit" aspectratio="f"/>
                <w10:wrap type="topAndBottom"/>
              </v:rect>
            </w:pict>
          </mc:Fallback>
        </mc:AlternateContent>
      </w:r>
    </w:p>
    <w:p w14:paraId="3770598E">
      <w:pPr>
        <w:widowControl w:val="0"/>
        <w:autoSpaceDE w:val="0"/>
        <w:autoSpaceDN w:val="0"/>
        <w:spacing w:before="93" w:line="480" w:lineRule="auto"/>
        <w:jc w:val="both"/>
        <w:rPr>
          <w:rFonts w:eastAsia="Arial MT"/>
          <w:w w:val="95"/>
        </w:rPr>
      </w:pPr>
    </w:p>
    <w:p w14:paraId="6C287A52">
      <w:pPr>
        <w:widowControl w:val="0"/>
        <w:autoSpaceDE w:val="0"/>
        <w:autoSpaceDN w:val="0"/>
        <w:spacing w:before="93" w:line="480" w:lineRule="auto"/>
        <w:jc w:val="both"/>
        <w:rPr>
          <w:rFonts w:eastAsia="Arial MT"/>
        </w:rPr>
      </w:pPr>
      <w:r>
        <w:rPr>
          <w:rFonts w:eastAsia="Arial MT"/>
          <w:w w:val="95"/>
        </w:rPr>
        <w:t>Tax</w:t>
      </w:r>
      <w:r>
        <w:rPr>
          <w:rFonts w:eastAsia="Arial MT"/>
          <w:spacing w:val="18"/>
          <w:w w:val="95"/>
        </w:rPr>
        <w:t xml:space="preserve"> </w:t>
      </w:r>
      <w:r>
        <w:rPr>
          <w:rFonts w:eastAsia="Arial MT"/>
          <w:w w:val="95"/>
        </w:rPr>
        <w:t>Adjudication</w:t>
      </w:r>
      <w:r>
        <w:rPr>
          <w:rFonts w:eastAsia="Arial MT"/>
          <w:spacing w:val="41"/>
          <w:w w:val="95"/>
        </w:rPr>
        <w:t xml:space="preserve"> </w:t>
      </w:r>
      <w:r>
        <w:rPr>
          <w:rFonts w:eastAsia="Arial MT"/>
          <w:w w:val="95"/>
        </w:rPr>
        <w:t>and</w:t>
      </w:r>
      <w:r>
        <w:rPr>
          <w:rFonts w:eastAsia="Arial MT"/>
          <w:spacing w:val="40"/>
          <w:w w:val="95"/>
        </w:rPr>
        <w:t xml:space="preserve"> </w:t>
      </w:r>
      <w:r>
        <w:rPr>
          <w:rFonts w:eastAsia="Arial MT"/>
          <w:w w:val="95"/>
        </w:rPr>
        <w:t>Dispute</w:t>
      </w:r>
      <w:r>
        <w:rPr>
          <w:rFonts w:eastAsia="Arial MT"/>
          <w:spacing w:val="41"/>
          <w:w w:val="95"/>
        </w:rPr>
        <w:t xml:space="preserve"> </w:t>
      </w:r>
      <w:r>
        <w:rPr>
          <w:rFonts w:eastAsia="Arial MT"/>
          <w:w w:val="95"/>
        </w:rPr>
        <w:t>Resolution</w:t>
      </w:r>
      <w:r>
        <w:rPr>
          <w:rFonts w:eastAsia="Arial MT"/>
          <w:spacing w:val="40"/>
          <w:w w:val="95"/>
        </w:rPr>
        <w:t xml:space="preserve"> </w:t>
      </w:r>
      <w:r>
        <w:rPr>
          <w:rFonts w:eastAsia="Arial MT"/>
          <w:w w:val="95"/>
        </w:rPr>
        <w:t>Process.</w:t>
      </w:r>
    </w:p>
    <w:p w14:paraId="67E97E8B">
      <w:pPr>
        <w:widowControl w:val="0"/>
        <w:autoSpaceDE w:val="0"/>
        <w:autoSpaceDN w:val="0"/>
        <w:spacing w:line="480" w:lineRule="auto"/>
        <w:ind w:right="314"/>
        <w:jc w:val="both"/>
        <w:rPr>
          <w:rFonts w:eastAsia="Arial MT"/>
        </w:rPr>
      </w:pPr>
      <w:r>
        <w:rPr>
          <w:rFonts w:eastAsia="Arial MT"/>
          <w:color w:val="202024"/>
        </w:rPr>
        <w:t>In</w:t>
      </w:r>
      <w:r>
        <w:rPr>
          <w:rFonts w:eastAsia="Arial MT"/>
          <w:color w:val="202024"/>
          <w:spacing w:val="-10"/>
        </w:rPr>
        <w:t xml:space="preserve"> </w:t>
      </w:r>
      <w:r>
        <w:rPr>
          <w:rFonts w:eastAsia="Arial MT"/>
          <w:color w:val="202024"/>
        </w:rPr>
        <w:t>this</w:t>
      </w:r>
      <w:r>
        <w:rPr>
          <w:rFonts w:eastAsia="Arial MT"/>
          <w:color w:val="202024"/>
          <w:spacing w:val="-9"/>
        </w:rPr>
        <w:t xml:space="preserve"> </w:t>
      </w:r>
      <w:r>
        <w:rPr>
          <w:rFonts w:eastAsia="Arial MT"/>
          <w:color w:val="202024"/>
        </w:rPr>
        <w:t>section,</w:t>
      </w:r>
      <w:r>
        <w:rPr>
          <w:rFonts w:eastAsia="Arial MT"/>
          <w:color w:val="202024"/>
          <w:spacing w:val="-9"/>
        </w:rPr>
        <w:t xml:space="preserve"> </w:t>
      </w:r>
      <w:r>
        <w:rPr>
          <w:rFonts w:eastAsia="Arial MT"/>
          <w:color w:val="202024"/>
        </w:rPr>
        <w:t>we</w:t>
      </w:r>
      <w:r>
        <w:rPr>
          <w:rFonts w:eastAsia="Arial MT"/>
          <w:color w:val="202024"/>
          <w:spacing w:val="-9"/>
        </w:rPr>
        <w:t xml:space="preserve"> </w:t>
      </w:r>
      <w:r>
        <w:rPr>
          <w:rFonts w:eastAsia="Arial MT"/>
          <w:color w:val="202024"/>
        </w:rPr>
        <w:t>are</w:t>
      </w:r>
      <w:r>
        <w:rPr>
          <w:rFonts w:eastAsia="Arial MT"/>
          <w:color w:val="202024"/>
          <w:spacing w:val="-10"/>
        </w:rPr>
        <w:t xml:space="preserve"> </w:t>
      </w:r>
      <w:r>
        <w:rPr>
          <w:rFonts w:eastAsia="Arial MT"/>
          <w:color w:val="202024"/>
        </w:rPr>
        <w:t>seeking</w:t>
      </w:r>
      <w:r>
        <w:rPr>
          <w:rFonts w:eastAsia="Arial MT"/>
          <w:color w:val="202024"/>
          <w:spacing w:val="-9"/>
        </w:rPr>
        <w:t xml:space="preserve"> </w:t>
      </w:r>
      <w:r>
        <w:rPr>
          <w:rFonts w:eastAsia="Arial MT"/>
          <w:color w:val="202024"/>
        </w:rPr>
        <w:t>to</w:t>
      </w:r>
      <w:r>
        <w:rPr>
          <w:rFonts w:eastAsia="Arial MT"/>
          <w:color w:val="202024"/>
          <w:spacing w:val="-9"/>
        </w:rPr>
        <w:t xml:space="preserve"> </w:t>
      </w:r>
      <w:r>
        <w:rPr>
          <w:rFonts w:eastAsia="Arial MT"/>
          <w:color w:val="202024"/>
        </w:rPr>
        <w:t>understand</w:t>
      </w:r>
      <w:r>
        <w:rPr>
          <w:rFonts w:eastAsia="Arial MT"/>
          <w:color w:val="202024"/>
          <w:spacing w:val="-9"/>
        </w:rPr>
        <w:t xml:space="preserve"> </w:t>
      </w:r>
      <w:r>
        <w:rPr>
          <w:rFonts w:eastAsia="Arial MT"/>
          <w:color w:val="202024"/>
        </w:rPr>
        <w:t>how</w:t>
      </w:r>
      <w:r>
        <w:rPr>
          <w:rFonts w:eastAsia="Arial MT"/>
          <w:color w:val="202024"/>
          <w:spacing w:val="-10"/>
        </w:rPr>
        <w:t xml:space="preserve"> </w:t>
      </w:r>
      <w:r>
        <w:rPr>
          <w:rFonts w:eastAsia="Arial MT"/>
          <w:color w:val="202024"/>
        </w:rPr>
        <w:t>significant</w:t>
      </w:r>
      <w:r>
        <w:rPr>
          <w:rFonts w:eastAsia="Arial MT"/>
          <w:color w:val="202024"/>
          <w:spacing w:val="-9"/>
        </w:rPr>
        <w:t xml:space="preserve"> </w:t>
      </w:r>
      <w:r>
        <w:rPr>
          <w:rFonts w:eastAsia="Arial MT"/>
          <w:color w:val="202024"/>
        </w:rPr>
        <w:t>the</w:t>
      </w:r>
      <w:r>
        <w:rPr>
          <w:rFonts w:eastAsia="Arial MT"/>
          <w:color w:val="202024"/>
          <w:spacing w:val="-9"/>
        </w:rPr>
        <w:t xml:space="preserve"> </w:t>
      </w:r>
      <w:r>
        <w:rPr>
          <w:rFonts w:eastAsia="Arial MT"/>
          <w:color w:val="202024"/>
        </w:rPr>
        <w:t>tax</w:t>
      </w:r>
      <w:r>
        <w:rPr>
          <w:rFonts w:eastAsia="Arial MT"/>
          <w:color w:val="202024"/>
          <w:spacing w:val="-9"/>
        </w:rPr>
        <w:t xml:space="preserve"> </w:t>
      </w:r>
      <w:r>
        <w:rPr>
          <w:rFonts w:eastAsia="Arial MT"/>
          <w:color w:val="202024"/>
        </w:rPr>
        <w:t>Adjudication</w:t>
      </w:r>
      <w:r>
        <w:rPr>
          <w:rFonts w:eastAsia="Arial MT"/>
          <w:color w:val="202024"/>
          <w:spacing w:val="-9"/>
        </w:rPr>
        <w:t xml:space="preserve"> </w:t>
      </w:r>
      <w:r>
        <w:rPr>
          <w:rFonts w:eastAsia="Arial MT"/>
          <w:color w:val="202024"/>
        </w:rPr>
        <w:t>process</w:t>
      </w:r>
      <w:r>
        <w:rPr>
          <w:rFonts w:eastAsia="Arial MT"/>
          <w:color w:val="202024"/>
          <w:spacing w:val="1"/>
        </w:rPr>
        <w:t xml:space="preserve"> </w:t>
      </w:r>
      <w:r>
        <w:rPr>
          <w:rFonts w:eastAsia="Arial MT"/>
          <w:color w:val="202024"/>
        </w:rPr>
        <w:t>and</w:t>
      </w:r>
      <w:r>
        <w:rPr>
          <w:rFonts w:eastAsia="Arial MT"/>
          <w:color w:val="202024"/>
          <w:spacing w:val="-11"/>
        </w:rPr>
        <w:t xml:space="preserve"> </w:t>
      </w:r>
      <w:r>
        <w:rPr>
          <w:rFonts w:eastAsia="Arial MT"/>
          <w:color w:val="202024"/>
        </w:rPr>
        <w:t>the</w:t>
      </w:r>
      <w:r>
        <w:rPr>
          <w:rFonts w:eastAsia="Arial MT"/>
          <w:color w:val="202024"/>
          <w:spacing w:val="-10"/>
        </w:rPr>
        <w:t xml:space="preserve"> </w:t>
      </w:r>
      <w:r>
        <w:rPr>
          <w:rFonts w:eastAsia="Arial MT"/>
          <w:color w:val="202024"/>
        </w:rPr>
        <w:t>implementation</w:t>
      </w:r>
      <w:r>
        <w:rPr>
          <w:rFonts w:eastAsia="Arial MT"/>
          <w:color w:val="202024"/>
          <w:spacing w:val="-10"/>
        </w:rPr>
        <w:t xml:space="preserve"> </w:t>
      </w:r>
      <w:r>
        <w:rPr>
          <w:rFonts w:eastAsia="Arial MT"/>
          <w:color w:val="202024"/>
        </w:rPr>
        <w:t>of</w:t>
      </w:r>
      <w:r>
        <w:rPr>
          <w:rFonts w:eastAsia="Arial MT"/>
          <w:color w:val="202024"/>
          <w:spacing w:val="-11"/>
        </w:rPr>
        <w:t xml:space="preserve"> </w:t>
      </w:r>
      <w:r>
        <w:rPr>
          <w:rFonts w:eastAsia="Arial MT"/>
          <w:color w:val="202024"/>
        </w:rPr>
        <w:t>a</w:t>
      </w:r>
      <w:r>
        <w:rPr>
          <w:rFonts w:eastAsia="Arial MT"/>
          <w:color w:val="202024"/>
          <w:spacing w:val="-10"/>
        </w:rPr>
        <w:t xml:space="preserve"> </w:t>
      </w:r>
      <w:r>
        <w:rPr>
          <w:rFonts w:eastAsia="Arial MT"/>
          <w:color w:val="202024"/>
        </w:rPr>
        <w:t>transparent</w:t>
      </w:r>
      <w:r>
        <w:rPr>
          <w:rFonts w:eastAsia="Arial MT"/>
          <w:color w:val="202024"/>
          <w:spacing w:val="-10"/>
        </w:rPr>
        <w:t xml:space="preserve"> </w:t>
      </w:r>
      <w:r>
        <w:rPr>
          <w:rFonts w:eastAsia="Arial MT"/>
          <w:color w:val="202024"/>
        </w:rPr>
        <w:t>and</w:t>
      </w:r>
      <w:r>
        <w:rPr>
          <w:rFonts w:eastAsia="Arial MT"/>
          <w:color w:val="202024"/>
          <w:spacing w:val="-11"/>
        </w:rPr>
        <w:t xml:space="preserve"> </w:t>
      </w:r>
      <w:r>
        <w:rPr>
          <w:rFonts w:eastAsia="Arial MT"/>
          <w:color w:val="202024"/>
        </w:rPr>
        <w:t>independent</w:t>
      </w:r>
      <w:r>
        <w:rPr>
          <w:rFonts w:eastAsia="Arial MT"/>
          <w:color w:val="202024"/>
          <w:spacing w:val="-10"/>
        </w:rPr>
        <w:t xml:space="preserve"> </w:t>
      </w:r>
      <w:r>
        <w:rPr>
          <w:rFonts w:eastAsia="Arial MT"/>
          <w:color w:val="202024"/>
        </w:rPr>
        <w:t>dispute</w:t>
      </w:r>
      <w:r>
        <w:rPr>
          <w:rFonts w:eastAsia="Arial MT"/>
          <w:color w:val="202024"/>
          <w:spacing w:val="-10"/>
        </w:rPr>
        <w:t xml:space="preserve"> </w:t>
      </w:r>
      <w:r>
        <w:rPr>
          <w:rFonts w:eastAsia="Arial MT"/>
          <w:color w:val="202024"/>
        </w:rPr>
        <w:t>resolution</w:t>
      </w:r>
      <w:r>
        <w:rPr>
          <w:rFonts w:eastAsia="Arial MT"/>
          <w:color w:val="202024"/>
          <w:spacing w:val="-11"/>
        </w:rPr>
        <w:t xml:space="preserve"> </w:t>
      </w:r>
      <w:r>
        <w:rPr>
          <w:rFonts w:eastAsia="Arial MT"/>
          <w:color w:val="202024"/>
        </w:rPr>
        <w:t>process</w:t>
      </w:r>
      <w:r>
        <w:rPr>
          <w:rFonts w:eastAsia="Arial MT"/>
          <w:color w:val="202024"/>
          <w:spacing w:val="-10"/>
        </w:rPr>
        <w:t xml:space="preserve"> </w:t>
      </w:r>
      <w:r>
        <w:rPr>
          <w:rFonts w:eastAsia="Arial MT"/>
          <w:color w:val="202024"/>
        </w:rPr>
        <w:t>is</w:t>
      </w:r>
      <w:r>
        <w:rPr>
          <w:rFonts w:eastAsia="Arial MT"/>
          <w:color w:val="202024"/>
          <w:spacing w:val="-10"/>
        </w:rPr>
        <w:t xml:space="preserve"> </w:t>
      </w:r>
      <w:r>
        <w:rPr>
          <w:rFonts w:eastAsia="Arial MT"/>
          <w:color w:val="202024"/>
        </w:rPr>
        <w:t>for</w:t>
      </w:r>
      <w:r>
        <w:rPr>
          <w:rFonts w:eastAsia="Arial MT"/>
          <w:color w:val="202024"/>
          <w:spacing w:val="-52"/>
        </w:rPr>
        <w:t xml:space="preserve"> </w:t>
      </w:r>
      <w:r>
        <w:rPr>
          <w:rFonts w:eastAsia="Arial MT"/>
          <w:color w:val="202024"/>
        </w:rPr>
        <w:t>achieving</w:t>
      </w:r>
      <w:r>
        <w:rPr>
          <w:rFonts w:eastAsia="Arial MT"/>
          <w:color w:val="202024"/>
          <w:spacing w:val="-3"/>
        </w:rPr>
        <w:t xml:space="preserve"> </w:t>
      </w:r>
      <w:r>
        <w:rPr>
          <w:rFonts w:eastAsia="Arial MT"/>
          <w:color w:val="202024"/>
        </w:rPr>
        <w:t>tax</w:t>
      </w:r>
      <w:r>
        <w:rPr>
          <w:rFonts w:eastAsia="Arial MT"/>
          <w:color w:val="202024"/>
          <w:spacing w:val="-2"/>
        </w:rPr>
        <w:t xml:space="preserve"> </w:t>
      </w:r>
      <w:r>
        <w:rPr>
          <w:rFonts w:eastAsia="Arial MT"/>
          <w:color w:val="202024"/>
        </w:rPr>
        <w:t>law</w:t>
      </w:r>
      <w:r>
        <w:rPr>
          <w:rFonts w:eastAsia="Arial MT"/>
          <w:color w:val="202024"/>
          <w:spacing w:val="-3"/>
        </w:rPr>
        <w:t xml:space="preserve"> </w:t>
      </w:r>
      <w:r>
        <w:rPr>
          <w:rFonts w:eastAsia="Arial MT"/>
          <w:color w:val="202024"/>
        </w:rPr>
        <w:t>and</w:t>
      </w:r>
      <w:r>
        <w:rPr>
          <w:rFonts w:eastAsia="Arial MT"/>
          <w:color w:val="202024"/>
          <w:spacing w:val="-2"/>
        </w:rPr>
        <w:t xml:space="preserve"> </w:t>
      </w:r>
      <w:r>
        <w:rPr>
          <w:rFonts w:eastAsia="Arial MT"/>
          <w:color w:val="202024"/>
        </w:rPr>
        <w:t>tax</w:t>
      </w:r>
      <w:r>
        <w:rPr>
          <w:rFonts w:eastAsia="Arial MT"/>
          <w:color w:val="202024"/>
          <w:spacing w:val="-2"/>
        </w:rPr>
        <w:t xml:space="preserve"> </w:t>
      </w:r>
      <w:r>
        <w:rPr>
          <w:rFonts w:eastAsia="Arial MT"/>
          <w:color w:val="202024"/>
        </w:rPr>
        <w:t>system</w:t>
      </w:r>
      <w:r>
        <w:rPr>
          <w:rFonts w:eastAsia="Arial MT"/>
          <w:color w:val="202024"/>
          <w:spacing w:val="-3"/>
        </w:rPr>
        <w:t xml:space="preserve"> </w:t>
      </w:r>
      <w:r>
        <w:rPr>
          <w:rFonts w:eastAsia="Arial MT"/>
          <w:color w:val="202024"/>
        </w:rPr>
        <w:t>clarity</w:t>
      </w:r>
      <w:r>
        <w:rPr>
          <w:rFonts w:eastAsia="Arial MT"/>
          <w:color w:val="202024"/>
          <w:spacing w:val="-2"/>
        </w:rPr>
        <w:t xml:space="preserve"> </w:t>
      </w:r>
      <w:r>
        <w:rPr>
          <w:rFonts w:eastAsia="Arial MT"/>
          <w:color w:val="202024"/>
        </w:rPr>
        <w:t>and</w:t>
      </w:r>
      <w:r>
        <w:rPr>
          <w:rFonts w:eastAsia="Arial MT"/>
          <w:color w:val="202024"/>
          <w:spacing w:val="-2"/>
        </w:rPr>
        <w:t xml:space="preserve"> </w:t>
      </w:r>
      <w:r>
        <w:rPr>
          <w:rFonts w:eastAsia="Arial MT"/>
          <w:color w:val="202024"/>
        </w:rPr>
        <w:t>certainty.</w:t>
      </w:r>
    </w:p>
    <w:p w14:paraId="03A883ED">
      <w:pPr>
        <w:widowControl w:val="0"/>
        <w:autoSpaceDE w:val="0"/>
        <w:autoSpaceDN w:val="0"/>
        <w:spacing w:before="1" w:line="480" w:lineRule="auto"/>
        <w:jc w:val="both"/>
        <w:rPr>
          <w:rFonts w:eastAsia="Arial MT"/>
        </w:rPr>
      </w:pPr>
      <w:r>
        <w:rPr>
          <w:rFonts w:eastAsia="Arial MT"/>
          <w:color w:val="202024"/>
        </w:rPr>
        <w:t>Again,</w:t>
      </w:r>
      <w:r>
        <w:rPr>
          <w:rFonts w:eastAsia="Arial MT"/>
          <w:color w:val="202024"/>
          <w:spacing w:val="-6"/>
        </w:rPr>
        <w:t xml:space="preserve"> </w:t>
      </w:r>
      <w:r>
        <w:rPr>
          <w:rFonts w:eastAsia="Arial MT"/>
          <w:color w:val="202024"/>
        </w:rPr>
        <w:t>please</w:t>
      </w:r>
      <w:r>
        <w:rPr>
          <w:rFonts w:eastAsia="Arial MT"/>
          <w:color w:val="202024"/>
          <w:spacing w:val="-5"/>
        </w:rPr>
        <w:t xml:space="preserve"> </w:t>
      </w:r>
      <w:r>
        <w:rPr>
          <w:rFonts w:eastAsia="Arial MT"/>
          <w:color w:val="202024"/>
        </w:rPr>
        <w:t>indicate</w:t>
      </w:r>
      <w:r>
        <w:rPr>
          <w:rFonts w:eastAsia="Arial MT"/>
          <w:color w:val="202024"/>
          <w:spacing w:val="-5"/>
        </w:rPr>
        <w:t xml:space="preserve"> </w:t>
      </w:r>
      <w:r>
        <w:rPr>
          <w:rFonts w:eastAsia="Arial MT"/>
          <w:color w:val="202024"/>
        </w:rPr>
        <w:t>on</w:t>
      </w:r>
      <w:r>
        <w:rPr>
          <w:rFonts w:eastAsia="Arial MT"/>
          <w:color w:val="202024"/>
          <w:spacing w:val="-5"/>
        </w:rPr>
        <w:t xml:space="preserve"> </w:t>
      </w:r>
      <w:r>
        <w:rPr>
          <w:rFonts w:eastAsia="Arial MT"/>
          <w:color w:val="202024"/>
        </w:rPr>
        <w:t>a</w:t>
      </w:r>
      <w:r>
        <w:rPr>
          <w:rFonts w:eastAsia="Arial MT"/>
          <w:color w:val="202024"/>
          <w:spacing w:val="-5"/>
        </w:rPr>
        <w:t xml:space="preserve"> </w:t>
      </w:r>
      <w:r>
        <w:rPr>
          <w:rFonts w:eastAsia="Arial MT"/>
          <w:color w:val="202024"/>
        </w:rPr>
        <w:t>scale</w:t>
      </w:r>
      <w:r>
        <w:rPr>
          <w:rFonts w:eastAsia="Arial MT"/>
          <w:color w:val="202024"/>
          <w:spacing w:val="-5"/>
        </w:rPr>
        <w:t xml:space="preserve"> </w:t>
      </w:r>
      <w:r>
        <w:rPr>
          <w:rFonts w:eastAsia="Arial MT"/>
          <w:color w:val="202024"/>
        </w:rPr>
        <w:t>of</w:t>
      </w:r>
      <w:r>
        <w:rPr>
          <w:rFonts w:eastAsia="Arial MT"/>
          <w:color w:val="202024"/>
          <w:spacing w:val="-5"/>
        </w:rPr>
        <w:t xml:space="preserve"> </w:t>
      </w:r>
      <w:r>
        <w:rPr>
          <w:rFonts w:eastAsia="Arial MT"/>
          <w:color w:val="202024"/>
        </w:rPr>
        <w:t>5</w:t>
      </w:r>
      <w:r>
        <w:rPr>
          <w:rFonts w:eastAsia="Arial MT"/>
          <w:color w:val="202024"/>
          <w:spacing w:val="-5"/>
        </w:rPr>
        <w:t xml:space="preserve"> </w:t>
      </w:r>
      <w:r>
        <w:rPr>
          <w:rFonts w:eastAsia="Arial MT"/>
          <w:color w:val="202024"/>
        </w:rPr>
        <w:t>to</w:t>
      </w:r>
      <w:r>
        <w:rPr>
          <w:rFonts w:eastAsia="Arial MT"/>
          <w:color w:val="202024"/>
          <w:spacing w:val="-5"/>
        </w:rPr>
        <w:t xml:space="preserve"> </w:t>
      </w:r>
      <w:r>
        <w:rPr>
          <w:rFonts w:eastAsia="Arial MT"/>
          <w:color w:val="202024"/>
        </w:rPr>
        <w:t>1,</w:t>
      </w:r>
      <w:r>
        <w:rPr>
          <w:rFonts w:eastAsia="Arial MT"/>
          <w:color w:val="202024"/>
          <w:spacing w:val="-5"/>
        </w:rPr>
        <w:t xml:space="preserve"> </w:t>
      </w:r>
      <w:r>
        <w:rPr>
          <w:rFonts w:eastAsia="Arial MT"/>
          <w:color w:val="202024"/>
        </w:rPr>
        <w:t>the</w:t>
      </w:r>
      <w:r>
        <w:rPr>
          <w:rFonts w:eastAsia="Arial MT"/>
          <w:color w:val="202024"/>
          <w:spacing w:val="-5"/>
        </w:rPr>
        <w:t xml:space="preserve"> </w:t>
      </w:r>
      <w:r>
        <w:rPr>
          <w:rFonts w:eastAsia="Arial MT"/>
          <w:color w:val="202024"/>
        </w:rPr>
        <w:t>importance</w:t>
      </w:r>
      <w:r>
        <w:rPr>
          <w:rFonts w:eastAsia="Arial MT"/>
          <w:color w:val="202024"/>
          <w:spacing w:val="-6"/>
        </w:rPr>
        <w:t xml:space="preserve"> </w:t>
      </w:r>
      <w:r>
        <w:rPr>
          <w:rFonts w:eastAsia="Arial MT"/>
          <w:color w:val="202024"/>
        </w:rPr>
        <w:t>or</w:t>
      </w:r>
      <w:r>
        <w:rPr>
          <w:rFonts w:eastAsia="Arial MT"/>
          <w:color w:val="202024"/>
          <w:spacing w:val="-5"/>
        </w:rPr>
        <w:t xml:space="preserve"> </w:t>
      </w:r>
      <w:r>
        <w:rPr>
          <w:rFonts w:eastAsia="Arial MT"/>
          <w:color w:val="202024"/>
        </w:rPr>
        <w:t>significance</w:t>
      </w:r>
      <w:r>
        <w:rPr>
          <w:rFonts w:eastAsia="Arial MT"/>
          <w:color w:val="202024"/>
          <w:spacing w:val="-5"/>
        </w:rPr>
        <w:t xml:space="preserve"> </w:t>
      </w:r>
      <w:r>
        <w:rPr>
          <w:rFonts w:eastAsia="Arial MT"/>
          <w:color w:val="202024"/>
        </w:rPr>
        <w:t>of</w:t>
      </w:r>
      <w:r>
        <w:rPr>
          <w:rFonts w:eastAsia="Arial MT"/>
          <w:color w:val="202024"/>
          <w:spacing w:val="-5"/>
        </w:rPr>
        <w:t xml:space="preserve"> </w:t>
      </w:r>
      <w:r>
        <w:rPr>
          <w:rFonts w:eastAsia="Arial MT"/>
          <w:color w:val="202024"/>
        </w:rPr>
        <w:t>these</w:t>
      </w:r>
      <w:r>
        <w:rPr>
          <w:rFonts w:eastAsia="Arial MT"/>
          <w:color w:val="202024"/>
          <w:spacing w:val="-5"/>
        </w:rPr>
        <w:t xml:space="preserve"> </w:t>
      </w:r>
      <w:r>
        <w:rPr>
          <w:rFonts w:eastAsia="Arial MT"/>
          <w:color w:val="202024"/>
        </w:rPr>
        <w:t>factors:</w:t>
      </w:r>
    </w:p>
    <w:p w14:paraId="72D9BE03">
      <w:pPr>
        <w:rPr>
          <w:rFonts w:ascii="Roboto" w:hAnsi="Arial MT" w:eastAsia="Arial MT" w:cs="Arial MT"/>
          <w:sz w:val="5"/>
          <w:szCs w:val="22"/>
        </w:rPr>
      </w:pPr>
    </w:p>
    <w:p w14:paraId="265B6BA8">
      <w:pPr>
        <w:rPr>
          <w:rFonts w:ascii="Roboto" w:hAnsi="Arial MT" w:eastAsia="Arial MT" w:cs="Arial MT"/>
          <w:sz w:val="5"/>
          <w:szCs w:val="22"/>
        </w:rPr>
      </w:pPr>
    </w:p>
    <w:p w14:paraId="1C3DDB88">
      <w:pPr>
        <w:rPr>
          <w:rFonts w:ascii="Roboto" w:hAnsi="Arial MT" w:eastAsia="Arial MT" w:cs="Arial MT"/>
          <w:sz w:val="5"/>
          <w:szCs w:val="22"/>
        </w:rPr>
      </w:pPr>
    </w:p>
    <w:p w14:paraId="0C1BBF89">
      <w:pPr>
        <w:rPr>
          <w:rFonts w:ascii="Roboto" w:hAnsi="Arial MT" w:eastAsia="Arial MT" w:cs="Arial MT"/>
          <w:sz w:val="5"/>
          <w:szCs w:val="22"/>
        </w:rPr>
      </w:pPr>
    </w:p>
    <w:p w14:paraId="1F8F970E">
      <w:pPr>
        <w:rPr>
          <w:rFonts w:ascii="Roboto" w:hAnsi="Arial MT" w:eastAsia="Arial MT" w:cs="Arial MT"/>
          <w:sz w:val="5"/>
          <w:szCs w:val="22"/>
        </w:rPr>
      </w:pPr>
    </w:p>
    <w:p w14:paraId="62A2B4F9">
      <w:pPr>
        <w:pStyle w:val="52"/>
        <w:widowControl w:val="0"/>
        <w:numPr>
          <w:ilvl w:val="0"/>
          <w:numId w:val="42"/>
        </w:numPr>
        <w:tabs>
          <w:tab w:val="left" w:pos="738"/>
        </w:tabs>
        <w:autoSpaceDE w:val="0"/>
        <w:autoSpaceDN w:val="0"/>
        <w:spacing w:before="95" w:line="480" w:lineRule="auto"/>
        <w:ind w:right="166"/>
        <w:jc w:val="both"/>
        <w:rPr>
          <w:rFonts w:ascii="Times New Roman" w:hAnsi="Times New Roman" w:eastAsia="Arial MT" w:cs="Times New Roman"/>
          <w:sz w:val="24"/>
          <w:szCs w:val="24"/>
        </w:rPr>
      </w:pPr>
      <w:r>
        <w:rPr>
          <w:rFonts w:ascii="Times New Roman" w:hAnsi="Times New Roman" w:eastAsia="Arial MT" w:cs="Times New Roman"/>
          <w:color w:val="202024"/>
          <w:sz w:val="24"/>
          <w:szCs w:val="24"/>
        </w:rPr>
        <w:t>15.</w:t>
      </w:r>
      <w:r>
        <w:rPr>
          <w:rFonts w:ascii="Times New Roman" w:hAnsi="Times New Roman" w:eastAsia="Arial MT" w:cs="Times New Roman"/>
          <w:color w:val="202024"/>
          <w:spacing w:val="1"/>
          <w:sz w:val="24"/>
          <w:szCs w:val="24"/>
        </w:rPr>
        <w:t xml:space="preserve"> </w:t>
      </w:r>
      <w:r>
        <w:rPr>
          <w:rFonts w:ascii="Times New Roman" w:hAnsi="Times New Roman" w:eastAsia="Arial MT" w:cs="Times New Roman"/>
          <w:color w:val="202024"/>
          <w:sz w:val="24"/>
          <w:szCs w:val="24"/>
        </w:rPr>
        <w:t>In your experience, how important is it for judicial officers, the Tribunals and</w:t>
      </w:r>
      <w:r>
        <w:rPr>
          <w:rFonts w:ascii="Times New Roman" w:hAnsi="Times New Roman" w:eastAsia="Arial MT" w:cs="Times New Roman"/>
          <w:color w:val="202024"/>
          <w:spacing w:val="-64"/>
          <w:sz w:val="24"/>
          <w:szCs w:val="24"/>
        </w:rPr>
        <w:t xml:space="preserve"> </w:t>
      </w:r>
      <w:r>
        <w:rPr>
          <w:rFonts w:ascii="Times New Roman" w:hAnsi="Times New Roman" w:eastAsia="Arial MT" w:cs="Times New Roman"/>
          <w:color w:val="202024"/>
          <w:sz w:val="24"/>
          <w:szCs w:val="24"/>
        </w:rPr>
        <w:t>the Courts, to have adequate understanding of taxation principles and upstream</w:t>
      </w:r>
      <w:r>
        <w:rPr>
          <w:rFonts w:ascii="Times New Roman" w:hAnsi="Times New Roman" w:eastAsia="Arial MT" w:cs="Times New Roman"/>
          <w:color w:val="202024"/>
          <w:spacing w:val="-64"/>
          <w:sz w:val="24"/>
          <w:szCs w:val="24"/>
        </w:rPr>
        <w:t xml:space="preserve"> </w:t>
      </w:r>
      <w:r>
        <w:rPr>
          <w:rFonts w:ascii="Times New Roman" w:hAnsi="Times New Roman" w:eastAsia="Arial MT" w:cs="Times New Roman"/>
          <w:color w:val="202024"/>
          <w:sz w:val="24"/>
          <w:szCs w:val="24"/>
        </w:rPr>
        <w:t>tax legislation, in achieving clarity and consistent application of upstream oil and</w:t>
      </w:r>
      <w:r>
        <w:rPr>
          <w:rFonts w:ascii="Times New Roman" w:hAnsi="Times New Roman" w:eastAsia="Arial MT" w:cs="Times New Roman"/>
          <w:color w:val="202024"/>
          <w:spacing w:val="-64"/>
          <w:sz w:val="24"/>
          <w:szCs w:val="24"/>
        </w:rPr>
        <w:t xml:space="preserve"> </w:t>
      </w:r>
      <w:r>
        <w:rPr>
          <w:rFonts w:ascii="Times New Roman" w:hAnsi="Times New Roman" w:eastAsia="Arial MT" w:cs="Times New Roman"/>
          <w:color w:val="202024"/>
          <w:sz w:val="24"/>
          <w:szCs w:val="24"/>
        </w:rPr>
        <w:t>gas tax Legislation.</w:t>
      </w:r>
    </w:p>
    <w:p w14:paraId="170599D6">
      <w:pPr>
        <w:widowControl w:val="0"/>
        <w:autoSpaceDE w:val="0"/>
        <w:autoSpaceDN w:val="0"/>
        <w:spacing w:before="2"/>
        <w:rPr>
          <w:rFonts w:ascii="Arial MT" w:hAnsi="Arial MT" w:eastAsia="Arial MT" w:cs="Arial MT"/>
          <w:sz w:val="11"/>
        </w:rPr>
      </w:pPr>
    </w:p>
    <w:p w14:paraId="4CEB775D">
      <w:pPr>
        <w:widowControl w:val="0"/>
        <w:autoSpaceDE w:val="0"/>
        <w:autoSpaceDN w:val="0"/>
        <w:spacing w:before="95"/>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004F15B6">
      <w:pPr>
        <w:widowControl w:val="0"/>
        <w:autoSpaceDE w:val="0"/>
        <w:autoSpaceDN w:val="0"/>
        <w:spacing w:before="7"/>
        <w:rPr>
          <w:rFonts w:ascii="Roboto" w:hAnsi="Arial MT" w:eastAsia="Arial MT" w:cs="Arial MT"/>
          <w:i/>
          <w:sz w:val="28"/>
        </w:rPr>
      </w:pPr>
    </w:p>
    <w:p w14:paraId="7500A24F">
      <w:pPr>
        <w:widowControl w:val="0"/>
        <w:tabs>
          <w:tab w:val="left" w:pos="1937"/>
          <w:tab w:val="left" w:pos="2417"/>
          <w:tab w:val="left" w:pos="2897"/>
          <w:tab w:val="left" w:pos="3377"/>
        </w:tabs>
        <w:autoSpaceDE w:val="0"/>
        <w:autoSpaceDN w:val="0"/>
        <w:spacing w:before="95"/>
        <w:rPr>
          <w:rFonts w:eastAsia="Arial MT"/>
        </w:rPr>
      </w:pPr>
      <w:r>
        <w:rPr>
          <w:rFonts w:ascii="Roboto" w:hAnsi="Arial MT" w:eastAsia="Arial MT" w:cs="Arial MT"/>
          <w:color w:val="202024"/>
          <w:sz w:val="21"/>
          <w:szCs w:val="22"/>
        </w:rPr>
        <w:tab/>
      </w:r>
      <w:r>
        <w:rPr>
          <w:rFonts w:eastAsia="Arial MT"/>
          <w:color w:val="202024"/>
        </w:rPr>
        <w:t>1</w:t>
      </w:r>
      <w:r>
        <w:rPr>
          <w:rFonts w:eastAsia="Arial MT"/>
          <w:color w:val="202024"/>
        </w:rPr>
        <w:tab/>
      </w:r>
      <w:r>
        <w:rPr>
          <w:rFonts w:eastAsia="Arial MT"/>
          <w:color w:val="202024"/>
        </w:rPr>
        <w:t>2</w:t>
      </w:r>
      <w:r>
        <w:rPr>
          <w:rFonts w:eastAsia="Arial MT"/>
          <w:color w:val="202024"/>
        </w:rPr>
        <w:tab/>
      </w:r>
      <w:r>
        <w:rPr>
          <w:rFonts w:eastAsia="Arial MT"/>
          <w:color w:val="202024"/>
        </w:rPr>
        <w:t>3</w:t>
      </w:r>
      <w:r>
        <w:rPr>
          <w:rFonts w:eastAsia="Arial MT"/>
          <w:color w:val="202024"/>
        </w:rPr>
        <w:tab/>
      </w:r>
      <w:r>
        <w:rPr>
          <w:rFonts w:eastAsia="Arial MT"/>
          <w:color w:val="202024"/>
        </w:rPr>
        <w:t>4</w:t>
      </w:r>
      <w:r>
        <w:rPr>
          <w:rFonts w:eastAsia="Arial MT"/>
          <w:color w:val="202024"/>
        </w:rPr>
        <w:tab/>
      </w:r>
      <w:r>
        <w:rPr>
          <w:rFonts w:eastAsia="Arial MT"/>
          <w:color w:val="202024"/>
        </w:rPr>
        <w:t xml:space="preserve">    5</w:t>
      </w:r>
    </w:p>
    <w:p w14:paraId="345F9D93">
      <w:pPr>
        <w:widowControl w:val="0"/>
        <w:autoSpaceDE w:val="0"/>
        <w:autoSpaceDN w:val="0"/>
        <w:spacing w:before="7"/>
        <w:rPr>
          <w:rFonts w:ascii="Roboto" w:hAnsi="Arial MT" w:eastAsia="Arial MT" w:cs="Arial MT"/>
          <w:sz w:val="13"/>
        </w:rPr>
      </w:pPr>
    </w:p>
    <w:p w14:paraId="532CCF6B">
      <w:pPr>
        <w:widowControl w:val="0"/>
        <w:autoSpaceDE w:val="0"/>
        <w:autoSpaceDN w:val="0"/>
        <w:spacing w:before="3"/>
        <w:rPr>
          <w:rFonts w:ascii="Roboto" w:hAnsi="Arial MT" w:eastAsia="Arial MT" w:cs="Arial MT"/>
          <w:sz w:val="6"/>
        </w:rPr>
      </w:pPr>
    </w:p>
    <w:p w14:paraId="791E0C7E">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82"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2.png"/>
                    <pic:cNvPicPr>
                      <a:picLocks noChangeAspect="1"/>
                    </pic:cNvPicPr>
                  </pic:nvPicPr>
                  <pic:blipFill>
                    <a:blip r:embed="rId9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2.png"/>
                    <pic:cNvPicPr>
                      <a:picLocks noChangeAspect="1"/>
                    </pic:cNvPicPr>
                  </pic:nvPicPr>
                  <pic:blipFill>
                    <a:blip r:embed="rId9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84"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3.png"/>
                    <pic:cNvPicPr>
                      <a:picLocks noChangeAspect="1"/>
                    </pic:cNvPicPr>
                  </pic:nvPicPr>
                  <pic:blipFill>
                    <a:blip r:embed="rId95"/>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4.png"/>
                    <pic:cNvPicPr>
                      <a:picLocks noChangeAspect="1"/>
                    </pic:cNvPicPr>
                  </pic:nvPicPr>
                  <pic:blipFill>
                    <a:blip r:embed="rId96"/>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8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png"/>
                    <pic:cNvPicPr>
                      <a:picLocks noChangeAspect="1"/>
                    </pic:cNvPicPr>
                  </pic:nvPicPr>
                  <pic:blipFill>
                    <a:blip r:embed="rId97"/>
                    <a:stretch>
                      <a:fillRect/>
                    </a:stretch>
                  </pic:blipFill>
                  <pic:spPr>
                    <a:xfrm>
                      <a:off x="0" y="0"/>
                      <a:ext cx="209550" cy="171450"/>
                    </a:xfrm>
                    <a:prstGeom prst="rect">
                      <a:avLst/>
                    </a:prstGeom>
                    <a:noFill/>
                    <a:ln>
                      <a:noFill/>
                    </a:ln>
                  </pic:spPr>
                </pic:pic>
              </a:graphicData>
            </a:graphic>
          </wp:inline>
        </w:drawing>
      </w:r>
    </w:p>
    <w:p w14:paraId="10D228B3">
      <w:pPr>
        <w:widowControl w:val="0"/>
        <w:autoSpaceDE w:val="0"/>
        <w:autoSpaceDN w:val="0"/>
        <w:spacing w:before="6"/>
        <w:rPr>
          <w:rFonts w:ascii="Roboto" w:hAnsi="Arial MT" w:eastAsia="Arial MT" w:cs="Arial MT"/>
          <w:sz w:val="5"/>
        </w:rPr>
      </w:pPr>
    </w:p>
    <w:p w14:paraId="6970164B">
      <w:pPr>
        <w:widowControl w:val="0"/>
        <w:autoSpaceDE w:val="0"/>
        <w:autoSpaceDN w:val="0"/>
        <w:rPr>
          <w:rFonts w:ascii="Roboto" w:hAnsi="Arial MT" w:eastAsia="Arial MT" w:cs="Arial MT"/>
          <w:sz w:val="20"/>
        </w:rPr>
      </w:pPr>
    </w:p>
    <w:p w14:paraId="0C142F17">
      <w:pPr>
        <w:widowControl w:val="0"/>
        <w:autoSpaceDE w:val="0"/>
        <w:autoSpaceDN w:val="0"/>
        <w:spacing w:before="11"/>
        <w:rPr>
          <w:rFonts w:ascii="Roboto" w:hAnsi="Arial MT" w:eastAsia="Arial MT" w:cs="Arial MT"/>
          <w:sz w:val="16"/>
        </w:rPr>
      </w:pPr>
    </w:p>
    <w:p w14:paraId="7D5F31C9">
      <w:pPr>
        <w:widowControl w:val="0"/>
        <w:numPr>
          <w:ilvl w:val="0"/>
          <w:numId w:val="42"/>
        </w:numPr>
        <w:tabs>
          <w:tab w:val="left" w:pos="737"/>
          <w:tab w:val="left" w:pos="738"/>
        </w:tabs>
        <w:autoSpaceDE w:val="0"/>
        <w:autoSpaceDN w:val="0"/>
        <w:spacing w:before="95" w:line="480" w:lineRule="auto"/>
        <w:ind w:right="166"/>
        <w:jc w:val="both"/>
        <w:rPr>
          <w:rFonts w:eastAsia="Arial MT"/>
        </w:rPr>
      </w:pPr>
      <w:r>
        <w:rPr>
          <w:rFonts w:eastAsia="Arial MT"/>
          <w:color w:val="202024"/>
        </w:rPr>
        <w:t>16. In your opinion, how important is a well-defined, transparent tax appeal</w:t>
      </w:r>
      <w:r>
        <w:rPr>
          <w:rFonts w:eastAsia="Arial MT"/>
          <w:color w:val="202024"/>
          <w:spacing w:val="1"/>
        </w:rPr>
        <w:t xml:space="preserve"> </w:t>
      </w:r>
      <w:r>
        <w:rPr>
          <w:rFonts w:eastAsia="Arial MT"/>
          <w:color w:val="202024"/>
        </w:rPr>
        <w:t>process</w:t>
      </w:r>
      <w:r>
        <w:rPr>
          <w:rFonts w:eastAsia="Arial MT"/>
          <w:color w:val="202024"/>
          <w:spacing w:val="-4"/>
        </w:rPr>
        <w:t xml:space="preserve"> </w:t>
      </w:r>
      <w:r>
        <w:rPr>
          <w:rFonts w:eastAsia="Arial MT"/>
          <w:color w:val="202024"/>
        </w:rPr>
        <w:t>and</w:t>
      </w:r>
      <w:r>
        <w:rPr>
          <w:rFonts w:eastAsia="Arial MT"/>
          <w:color w:val="202024"/>
          <w:spacing w:val="-3"/>
        </w:rPr>
        <w:t xml:space="preserve"> </w:t>
      </w:r>
      <w:r>
        <w:rPr>
          <w:rFonts w:eastAsia="Arial MT"/>
          <w:color w:val="202024"/>
        </w:rPr>
        <w:t>timely</w:t>
      </w:r>
      <w:r>
        <w:rPr>
          <w:rFonts w:eastAsia="Arial MT"/>
          <w:color w:val="202024"/>
          <w:spacing w:val="-3"/>
        </w:rPr>
        <w:t xml:space="preserve"> </w:t>
      </w:r>
      <w:r>
        <w:rPr>
          <w:rFonts w:eastAsia="Arial MT"/>
          <w:color w:val="202024"/>
        </w:rPr>
        <w:t>tax</w:t>
      </w:r>
      <w:r>
        <w:rPr>
          <w:rFonts w:eastAsia="Arial MT"/>
          <w:color w:val="202024"/>
          <w:spacing w:val="-3"/>
        </w:rPr>
        <w:t xml:space="preserve"> </w:t>
      </w:r>
      <w:r>
        <w:rPr>
          <w:rFonts w:eastAsia="Arial MT"/>
          <w:color w:val="202024"/>
        </w:rPr>
        <w:t>dispute</w:t>
      </w:r>
      <w:r>
        <w:rPr>
          <w:rFonts w:eastAsia="Arial MT"/>
          <w:color w:val="202024"/>
          <w:spacing w:val="-3"/>
        </w:rPr>
        <w:t xml:space="preserve"> </w:t>
      </w:r>
      <w:r>
        <w:rPr>
          <w:rFonts w:eastAsia="Arial MT"/>
          <w:color w:val="202024"/>
        </w:rPr>
        <w:t>resolution</w:t>
      </w:r>
      <w:r>
        <w:rPr>
          <w:rFonts w:eastAsia="Arial MT"/>
          <w:color w:val="202024"/>
          <w:spacing w:val="-3"/>
        </w:rPr>
        <w:t xml:space="preserve"> </w:t>
      </w:r>
      <w:r>
        <w:rPr>
          <w:rFonts w:eastAsia="Arial MT"/>
          <w:color w:val="202024"/>
        </w:rPr>
        <w:t>for</w:t>
      </w:r>
      <w:r>
        <w:rPr>
          <w:rFonts w:eastAsia="Arial MT"/>
          <w:color w:val="202024"/>
          <w:spacing w:val="-3"/>
        </w:rPr>
        <w:t xml:space="preserve"> </w:t>
      </w:r>
      <w:r>
        <w:rPr>
          <w:rFonts w:eastAsia="Arial MT"/>
          <w:color w:val="202024"/>
        </w:rPr>
        <w:t>determining</w:t>
      </w:r>
      <w:r>
        <w:rPr>
          <w:rFonts w:eastAsia="Arial MT"/>
          <w:color w:val="202024"/>
          <w:spacing w:val="-3"/>
        </w:rPr>
        <w:t xml:space="preserve"> </w:t>
      </w:r>
      <w:r>
        <w:rPr>
          <w:rFonts w:eastAsia="Arial MT"/>
          <w:color w:val="202024"/>
        </w:rPr>
        <w:t>tax</w:t>
      </w:r>
      <w:r>
        <w:rPr>
          <w:rFonts w:eastAsia="Arial MT"/>
          <w:color w:val="202024"/>
          <w:spacing w:val="-3"/>
        </w:rPr>
        <w:t xml:space="preserve"> </w:t>
      </w:r>
      <w:r>
        <w:rPr>
          <w:rFonts w:eastAsia="Arial MT"/>
          <w:color w:val="202024"/>
        </w:rPr>
        <w:t>law</w:t>
      </w:r>
      <w:r>
        <w:rPr>
          <w:rFonts w:eastAsia="Arial MT"/>
          <w:color w:val="202024"/>
          <w:spacing w:val="-3"/>
        </w:rPr>
        <w:t xml:space="preserve"> </w:t>
      </w:r>
      <w:r>
        <w:rPr>
          <w:rFonts w:eastAsia="Arial MT"/>
          <w:color w:val="202024"/>
        </w:rPr>
        <w:t>clarity,</w:t>
      </w:r>
      <w:r>
        <w:rPr>
          <w:rFonts w:eastAsia="Arial MT"/>
          <w:color w:val="202024"/>
          <w:spacing w:val="-3"/>
        </w:rPr>
        <w:t xml:space="preserve"> </w:t>
      </w:r>
      <w:r>
        <w:rPr>
          <w:rFonts w:eastAsia="Arial MT"/>
          <w:color w:val="202024"/>
        </w:rPr>
        <w:t>certainty</w:t>
      </w:r>
      <w:r>
        <w:rPr>
          <w:rFonts w:eastAsia="Arial MT"/>
          <w:color w:val="202024"/>
          <w:spacing w:val="-63"/>
        </w:rPr>
        <w:t xml:space="preserve"> </w:t>
      </w:r>
      <w:r>
        <w:rPr>
          <w:rFonts w:eastAsia="Arial MT"/>
          <w:color w:val="202024"/>
        </w:rPr>
        <w:t>and consistent understanding of the Upstream oil and gas taxation.</w:t>
      </w:r>
    </w:p>
    <w:p w14:paraId="4805E135">
      <w:pPr>
        <w:widowControl w:val="0"/>
        <w:autoSpaceDE w:val="0"/>
        <w:autoSpaceDN w:val="0"/>
        <w:spacing w:before="7" w:line="480" w:lineRule="auto"/>
        <w:jc w:val="both"/>
        <w:rPr>
          <w:rFonts w:eastAsia="Arial MT"/>
          <w:iCs/>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r>
        <w:rPr>
          <w:rFonts w:eastAsia="Arial MT"/>
          <w:i/>
        </w:rPr>
        <w:t xml:space="preserve">     </w:t>
      </w:r>
      <w:r>
        <w:rPr>
          <w:rFonts w:eastAsia="Arial MT"/>
          <w:iCs/>
        </w:rPr>
        <w:t xml:space="preserve"> </w:t>
      </w:r>
      <w:r>
        <w:rPr>
          <w:rFonts w:eastAsia="Arial MT"/>
          <w:iCs/>
        </w:rPr>
        <w:tab/>
      </w:r>
      <w:r>
        <w:rPr>
          <w:rFonts w:eastAsia="Arial MT"/>
          <w:iCs/>
        </w:rPr>
        <w:tab/>
      </w:r>
    </w:p>
    <w:p w14:paraId="249D8B64">
      <w:pPr>
        <w:widowControl w:val="0"/>
        <w:autoSpaceDE w:val="0"/>
        <w:autoSpaceDN w:val="0"/>
        <w:spacing w:before="95" w:line="480" w:lineRule="auto"/>
        <w:ind w:left="720" w:firstLine="720"/>
        <w:jc w:val="both"/>
        <w:rPr>
          <w:rFonts w:eastAsia="Arial MT"/>
        </w:rPr>
      </w:pPr>
      <w:r>
        <w:rPr>
          <w:rFonts w:eastAsia="Arial MT"/>
          <w:color w:val="202024"/>
        </w:rPr>
        <w:t>1       2</w:t>
      </w:r>
      <w:r>
        <w:rPr>
          <w:rFonts w:eastAsia="Arial MT"/>
          <w:color w:val="202024"/>
        </w:rPr>
        <w:tab/>
      </w:r>
      <w:r>
        <w:rPr>
          <w:rFonts w:eastAsia="Arial MT"/>
          <w:color w:val="202024"/>
        </w:rPr>
        <w:t xml:space="preserve">     3</w:t>
      </w:r>
      <w:r>
        <w:rPr>
          <w:rFonts w:eastAsia="Arial MT"/>
          <w:color w:val="202024"/>
        </w:rPr>
        <w:tab/>
      </w:r>
      <w:r>
        <w:rPr>
          <w:rFonts w:eastAsia="Arial MT"/>
          <w:color w:val="202024"/>
        </w:rPr>
        <w:t xml:space="preserve"> 4       </w:t>
      </w:r>
      <w:r>
        <w:rPr>
          <w:rFonts w:eastAsia="Arial MT"/>
        </w:rPr>
        <w:t>5</w:t>
      </w:r>
    </w:p>
    <w:p w14:paraId="4AF94CB3">
      <w:pPr>
        <w:widowControl w:val="0"/>
        <w:autoSpaceDE w:val="0"/>
        <w:autoSpaceDN w:val="0"/>
        <w:spacing w:before="95" w:line="480" w:lineRule="auto"/>
        <w:jc w:val="both"/>
        <w:rPr>
          <w:rFonts w:ascii="Roboto" w:hAnsi="Arial MT" w:eastAsia="Arial MT" w:cs="Arial MT"/>
          <w:sz w:val="20"/>
        </w:rPr>
      </w:pPr>
      <w:r>
        <w:rPr>
          <w:rFonts w:eastAsia="Arial MT"/>
        </w:rPr>
        <w:tab/>
      </w:r>
      <w:r>
        <w:rPr>
          <w:rFonts w:eastAsia="Arial MT"/>
        </w:rPr>
        <w:tab/>
      </w:r>
      <w:r>
        <w:rPr>
          <w:rFonts w:eastAsia="Arial MT"/>
        </w:rPr>
        <w:drawing>
          <wp:inline distT="0" distB="0" distL="0" distR="0">
            <wp:extent cx="209550" cy="171450"/>
            <wp:effectExtent l="0" t="0" r="0" b="0"/>
            <wp:docPr id="8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6.png"/>
                    <pic:cNvPicPr>
                      <a:picLocks noChangeAspect="1"/>
                    </pic:cNvPicPr>
                  </pic:nvPicPr>
                  <pic:blipFill>
                    <a:blip r:embed="rId98"/>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88"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6.png"/>
                    <pic:cNvPicPr>
                      <a:picLocks noChangeAspect="1"/>
                    </pic:cNvPicPr>
                  </pic:nvPicPr>
                  <pic:blipFill>
                    <a:blip r:embed="rId98"/>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8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7.png"/>
                    <pic:cNvPicPr>
                      <a:picLocks noChangeAspect="1"/>
                    </pic:cNvPicPr>
                  </pic:nvPicPr>
                  <pic:blipFill>
                    <a:blip r:embed="rId99"/>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9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a:picLocks noChangeAspect="1"/>
                    </pic:cNvPicPr>
                  </pic:nvPicPr>
                  <pic:blipFill>
                    <a:blip r:embed="rId100"/>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9.png"/>
                    <pic:cNvPicPr>
                      <a:picLocks noChangeAspect="1"/>
                    </pic:cNvPicPr>
                  </pic:nvPicPr>
                  <pic:blipFill>
                    <a:blip r:embed="rId99"/>
                    <a:stretch>
                      <a:fillRect/>
                    </a:stretch>
                  </pic:blipFill>
                  <pic:spPr>
                    <a:xfrm>
                      <a:off x="0" y="0"/>
                      <a:ext cx="209550" cy="171450"/>
                    </a:xfrm>
                    <a:prstGeom prst="rect">
                      <a:avLst/>
                    </a:prstGeom>
                    <a:noFill/>
                    <a:ln>
                      <a:noFill/>
                    </a:ln>
                  </pic:spPr>
                </pic:pic>
              </a:graphicData>
            </a:graphic>
          </wp:inline>
        </w:drawing>
      </w:r>
    </w:p>
    <w:p w14:paraId="590052E8">
      <w:pPr>
        <w:widowControl w:val="0"/>
        <w:autoSpaceDE w:val="0"/>
        <w:autoSpaceDN w:val="0"/>
        <w:spacing w:before="11"/>
        <w:rPr>
          <w:rFonts w:ascii="Roboto" w:hAnsi="Arial MT" w:eastAsia="Arial MT" w:cs="Arial MT"/>
          <w:sz w:val="16"/>
        </w:rPr>
      </w:pPr>
    </w:p>
    <w:p w14:paraId="7C796CFD">
      <w:pPr>
        <w:widowControl w:val="0"/>
        <w:numPr>
          <w:ilvl w:val="0"/>
          <w:numId w:val="42"/>
        </w:numPr>
        <w:tabs>
          <w:tab w:val="left" w:pos="737"/>
          <w:tab w:val="left" w:pos="738"/>
        </w:tabs>
        <w:autoSpaceDE w:val="0"/>
        <w:autoSpaceDN w:val="0"/>
        <w:spacing w:before="95" w:line="480" w:lineRule="auto"/>
        <w:ind w:right="258"/>
        <w:jc w:val="both"/>
        <w:rPr>
          <w:rFonts w:eastAsia="Arial MT"/>
        </w:rPr>
      </w:pPr>
      <w:r>
        <w:rPr>
          <w:rFonts w:eastAsia="Arial MT"/>
          <w:color w:val="202024"/>
        </w:rPr>
        <w:t>17. In your experience,</w:t>
      </w:r>
      <w:r>
        <w:rPr>
          <w:rFonts w:eastAsia="Arial MT"/>
          <w:color w:val="202024"/>
          <w:spacing w:val="1"/>
        </w:rPr>
        <w:t xml:space="preserve"> </w:t>
      </w:r>
      <w:r>
        <w:rPr>
          <w:rFonts w:eastAsia="Arial MT"/>
          <w:color w:val="202024"/>
        </w:rPr>
        <w:t>how clear and consistent are the recent judicial</w:t>
      </w:r>
      <w:r>
        <w:rPr>
          <w:rFonts w:eastAsia="Arial MT"/>
          <w:color w:val="202024"/>
          <w:spacing w:val="1"/>
        </w:rPr>
        <w:t xml:space="preserve"> </w:t>
      </w:r>
      <w:r>
        <w:rPr>
          <w:rFonts w:eastAsia="Arial MT"/>
          <w:color w:val="202024"/>
        </w:rPr>
        <w:t>decisions</w:t>
      </w:r>
      <w:r>
        <w:rPr>
          <w:rFonts w:eastAsia="Arial MT"/>
          <w:color w:val="202024"/>
          <w:spacing w:val="-2"/>
        </w:rPr>
        <w:t xml:space="preserve"> </w:t>
      </w:r>
      <w:r>
        <w:rPr>
          <w:rFonts w:eastAsia="Arial MT"/>
          <w:color w:val="202024"/>
        </w:rPr>
        <w:t>affecting</w:t>
      </w:r>
      <w:r>
        <w:rPr>
          <w:rFonts w:eastAsia="Arial MT"/>
          <w:color w:val="202024"/>
          <w:spacing w:val="-2"/>
        </w:rPr>
        <w:t xml:space="preserve"> </w:t>
      </w:r>
      <w:r>
        <w:rPr>
          <w:rFonts w:eastAsia="Arial MT"/>
          <w:color w:val="202024"/>
        </w:rPr>
        <w:t>upstream</w:t>
      </w:r>
      <w:r>
        <w:rPr>
          <w:rFonts w:eastAsia="Arial MT"/>
          <w:color w:val="202024"/>
          <w:spacing w:val="-2"/>
        </w:rPr>
        <w:t xml:space="preserve"> </w:t>
      </w:r>
      <w:r>
        <w:rPr>
          <w:rFonts w:eastAsia="Arial MT"/>
          <w:color w:val="202024"/>
        </w:rPr>
        <w:t>petroleum</w:t>
      </w:r>
      <w:r>
        <w:rPr>
          <w:rFonts w:eastAsia="Arial MT"/>
          <w:color w:val="202024"/>
          <w:spacing w:val="-2"/>
        </w:rPr>
        <w:t xml:space="preserve"> </w:t>
      </w:r>
      <w:r>
        <w:rPr>
          <w:rFonts w:eastAsia="Arial MT"/>
          <w:color w:val="202024"/>
        </w:rPr>
        <w:t>taxation</w:t>
      </w:r>
      <w:r>
        <w:rPr>
          <w:rFonts w:eastAsia="Arial MT"/>
          <w:color w:val="202024"/>
          <w:spacing w:val="-2"/>
        </w:rPr>
        <w:t xml:space="preserve"> </w:t>
      </w:r>
      <w:r>
        <w:rPr>
          <w:rFonts w:eastAsia="Arial MT"/>
          <w:color w:val="202024"/>
        </w:rPr>
        <w:t>and</w:t>
      </w:r>
      <w:r>
        <w:rPr>
          <w:rFonts w:eastAsia="Arial MT"/>
          <w:color w:val="202024"/>
          <w:spacing w:val="-2"/>
        </w:rPr>
        <w:t xml:space="preserve"> </w:t>
      </w:r>
      <w:r>
        <w:rPr>
          <w:rFonts w:eastAsia="Arial MT"/>
          <w:color w:val="202024"/>
        </w:rPr>
        <w:t>how</w:t>
      </w:r>
      <w:r>
        <w:rPr>
          <w:rFonts w:eastAsia="Arial MT"/>
          <w:color w:val="202024"/>
          <w:spacing w:val="-2"/>
        </w:rPr>
        <w:t xml:space="preserve"> </w:t>
      </w:r>
      <w:r>
        <w:rPr>
          <w:rFonts w:eastAsia="Arial MT"/>
          <w:color w:val="202024"/>
        </w:rPr>
        <w:t>important</w:t>
      </w:r>
      <w:r>
        <w:rPr>
          <w:rFonts w:eastAsia="Arial MT"/>
          <w:color w:val="202024"/>
          <w:spacing w:val="-2"/>
        </w:rPr>
        <w:t xml:space="preserve"> </w:t>
      </w:r>
      <w:r>
        <w:rPr>
          <w:rFonts w:eastAsia="Arial MT"/>
          <w:color w:val="202024"/>
        </w:rPr>
        <w:t>are</w:t>
      </w:r>
      <w:r>
        <w:rPr>
          <w:rFonts w:eastAsia="Arial MT"/>
          <w:color w:val="202024"/>
          <w:spacing w:val="-2"/>
        </w:rPr>
        <w:t xml:space="preserve"> </w:t>
      </w:r>
      <w:r>
        <w:rPr>
          <w:rFonts w:eastAsia="Arial MT"/>
          <w:color w:val="202024"/>
        </w:rPr>
        <w:t>these</w:t>
      </w:r>
      <w:r>
        <w:rPr>
          <w:rFonts w:eastAsia="Arial MT"/>
          <w:color w:val="202024"/>
          <w:spacing w:val="-2"/>
        </w:rPr>
        <w:t xml:space="preserve"> </w:t>
      </w:r>
      <w:r>
        <w:rPr>
          <w:rFonts w:eastAsia="Arial MT"/>
          <w:color w:val="202024"/>
        </w:rPr>
        <w:t>in</w:t>
      </w:r>
      <w:r>
        <w:rPr>
          <w:rFonts w:eastAsia="Arial MT"/>
          <w:color w:val="202024"/>
          <w:spacing w:val="-64"/>
        </w:rPr>
        <w:t xml:space="preserve"> </w:t>
      </w:r>
      <w:r>
        <w:rPr>
          <w:rFonts w:eastAsia="Arial MT"/>
          <w:color w:val="202024"/>
        </w:rPr>
        <w:t>achieving</w:t>
      </w:r>
      <w:r>
        <w:rPr>
          <w:rFonts w:eastAsia="Arial MT"/>
          <w:color w:val="202024"/>
          <w:spacing w:val="-1"/>
        </w:rPr>
        <w:t xml:space="preserve"> </w:t>
      </w:r>
      <w:r>
        <w:rPr>
          <w:rFonts w:eastAsia="Arial MT"/>
          <w:color w:val="202024"/>
        </w:rPr>
        <w:t>upstream oil</w:t>
      </w:r>
      <w:r>
        <w:rPr>
          <w:rFonts w:eastAsia="Arial MT"/>
          <w:color w:val="202024"/>
          <w:spacing w:val="-1"/>
        </w:rPr>
        <w:t xml:space="preserve"> </w:t>
      </w:r>
      <w:r>
        <w:rPr>
          <w:rFonts w:eastAsia="Arial MT"/>
          <w:color w:val="202024"/>
        </w:rPr>
        <w:t>and gas tax</w:t>
      </w:r>
      <w:r>
        <w:rPr>
          <w:rFonts w:eastAsia="Arial MT"/>
          <w:color w:val="202024"/>
          <w:spacing w:val="-1"/>
        </w:rPr>
        <w:t xml:space="preserve"> </w:t>
      </w:r>
      <w:r>
        <w:rPr>
          <w:rFonts w:eastAsia="Arial MT"/>
          <w:color w:val="202024"/>
        </w:rPr>
        <w:t>legislation certainty.</w:t>
      </w:r>
    </w:p>
    <w:p w14:paraId="59571687">
      <w:pPr>
        <w:widowControl w:val="0"/>
        <w:autoSpaceDE w:val="0"/>
        <w:autoSpaceDN w:val="0"/>
        <w:spacing w:before="95" w:line="480" w:lineRule="auto"/>
        <w:jc w:val="both"/>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7D08132E">
      <w:pPr>
        <w:widowControl w:val="0"/>
        <w:tabs>
          <w:tab w:val="left" w:pos="1937"/>
          <w:tab w:val="left" w:pos="2417"/>
          <w:tab w:val="left" w:pos="2897"/>
          <w:tab w:val="left" w:pos="3377"/>
        </w:tabs>
        <w:autoSpaceDE w:val="0"/>
        <w:autoSpaceDN w:val="0"/>
        <w:spacing w:before="95"/>
        <w:rPr>
          <w:rFonts w:ascii="Roboto" w:hAnsi="Arial MT" w:eastAsia="Arial MT" w:cs="Arial MT"/>
          <w:sz w:val="13"/>
        </w:rPr>
      </w:pPr>
      <w:r>
        <w:rPr>
          <w:rFonts w:ascii="Roboto" w:hAnsi="Arial MT" w:eastAsia="Arial MT" w:cs="Arial MT"/>
          <w:color w:val="202024"/>
          <w:sz w:val="21"/>
          <w:szCs w:val="22"/>
        </w:rPr>
        <w:tab/>
      </w:r>
      <w:r>
        <w:rPr>
          <w:rFonts w:eastAsia="Arial MT"/>
          <w:color w:val="202024"/>
        </w:rPr>
        <w:t>1</w:t>
      </w:r>
      <w:r>
        <w:rPr>
          <w:rFonts w:eastAsia="Arial MT"/>
          <w:color w:val="202024"/>
        </w:rPr>
        <w:tab/>
      </w:r>
      <w:r>
        <w:rPr>
          <w:rFonts w:eastAsia="Arial MT"/>
          <w:color w:val="202024"/>
        </w:rPr>
        <w:t>2</w:t>
      </w:r>
      <w:r>
        <w:rPr>
          <w:rFonts w:eastAsia="Arial MT"/>
          <w:color w:val="202024"/>
        </w:rPr>
        <w:tab/>
      </w:r>
      <w:r>
        <w:rPr>
          <w:rFonts w:eastAsia="Arial MT"/>
          <w:color w:val="202024"/>
        </w:rPr>
        <w:t>3</w:t>
      </w:r>
      <w:r>
        <w:rPr>
          <w:rFonts w:eastAsia="Arial MT"/>
          <w:color w:val="202024"/>
        </w:rPr>
        <w:tab/>
      </w:r>
      <w:r>
        <w:rPr>
          <w:rFonts w:eastAsia="Arial MT"/>
          <w:color w:val="202024"/>
        </w:rPr>
        <w:t>4</w:t>
      </w:r>
      <w:r>
        <w:rPr>
          <w:rFonts w:eastAsia="Arial MT"/>
          <w:color w:val="202024"/>
        </w:rPr>
        <w:tab/>
      </w:r>
      <w:r>
        <w:rPr>
          <w:rFonts w:eastAsia="Arial MT"/>
          <w:color w:val="202024"/>
        </w:rPr>
        <w:t xml:space="preserve">    5</w:t>
      </w:r>
    </w:p>
    <w:p w14:paraId="39D4B942">
      <w:pPr>
        <w:widowControl w:val="0"/>
        <w:autoSpaceDE w:val="0"/>
        <w:autoSpaceDN w:val="0"/>
        <w:spacing w:before="3"/>
        <w:rPr>
          <w:rFonts w:ascii="Roboto" w:hAnsi="Arial MT" w:eastAsia="Arial MT" w:cs="Arial MT"/>
          <w:sz w:val="6"/>
        </w:rPr>
      </w:pPr>
    </w:p>
    <w:p w14:paraId="30D3E208">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9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png"/>
                    <pic:cNvPicPr>
                      <a:picLocks noChangeAspect="1"/>
                    </pic:cNvPicPr>
                  </pic:nvPicPr>
                  <pic:blipFill>
                    <a:blip r:embed="rId101"/>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9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1.png"/>
                    <pic:cNvPicPr>
                      <a:picLocks noChangeAspect="1"/>
                    </pic:cNvPicPr>
                  </pic:nvPicPr>
                  <pic:blipFill>
                    <a:blip r:embed="rId102"/>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9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2.png"/>
                    <pic:cNvPicPr>
                      <a:picLocks noChangeAspect="1"/>
                    </pic:cNvPicPr>
                  </pic:nvPicPr>
                  <pic:blipFill>
                    <a:blip r:embed="rId103"/>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9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2.png"/>
                    <pic:cNvPicPr>
                      <a:picLocks noChangeAspect="1"/>
                    </pic:cNvPicPr>
                  </pic:nvPicPr>
                  <pic:blipFill>
                    <a:blip r:embed="rId103"/>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96"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3.png"/>
                    <pic:cNvPicPr>
                      <a:picLocks noChangeAspect="1"/>
                    </pic:cNvPicPr>
                  </pic:nvPicPr>
                  <pic:blipFill>
                    <a:blip r:embed="rId102"/>
                    <a:stretch>
                      <a:fillRect/>
                    </a:stretch>
                  </pic:blipFill>
                  <pic:spPr>
                    <a:xfrm>
                      <a:off x="0" y="0"/>
                      <a:ext cx="209550" cy="171450"/>
                    </a:xfrm>
                    <a:prstGeom prst="rect">
                      <a:avLst/>
                    </a:prstGeom>
                    <a:noFill/>
                    <a:ln>
                      <a:noFill/>
                    </a:ln>
                  </pic:spPr>
                </pic:pic>
              </a:graphicData>
            </a:graphic>
          </wp:inline>
        </w:drawing>
      </w:r>
    </w:p>
    <w:p w14:paraId="4B932A91">
      <w:pPr>
        <w:widowControl w:val="0"/>
        <w:autoSpaceDE w:val="0"/>
        <w:autoSpaceDN w:val="0"/>
        <w:spacing w:before="6"/>
        <w:rPr>
          <w:rFonts w:ascii="Roboto" w:hAnsi="Arial MT" w:eastAsia="Arial MT" w:cs="Arial MT"/>
          <w:sz w:val="5"/>
        </w:rPr>
      </w:pPr>
    </w:p>
    <w:p w14:paraId="67D4D876">
      <w:pPr>
        <w:widowControl w:val="0"/>
        <w:autoSpaceDE w:val="0"/>
        <w:autoSpaceDN w:val="0"/>
        <w:rPr>
          <w:rFonts w:ascii="Roboto" w:hAnsi="Arial MT" w:eastAsia="Arial MT" w:cs="Arial MT"/>
          <w:sz w:val="20"/>
        </w:rPr>
      </w:pPr>
    </w:p>
    <w:p w14:paraId="6B811443">
      <w:pPr>
        <w:widowControl w:val="0"/>
        <w:autoSpaceDE w:val="0"/>
        <w:autoSpaceDN w:val="0"/>
        <w:rPr>
          <w:rFonts w:ascii="Roboto" w:hAnsi="Arial MT" w:eastAsia="Arial MT" w:cs="Arial MT"/>
          <w:sz w:val="20"/>
        </w:rPr>
      </w:pPr>
    </w:p>
    <w:p w14:paraId="51F32FAC">
      <w:pPr>
        <w:widowControl w:val="0"/>
        <w:autoSpaceDE w:val="0"/>
        <w:autoSpaceDN w:val="0"/>
        <w:rPr>
          <w:rFonts w:ascii="Roboto" w:hAnsi="Arial MT" w:eastAsia="Arial MT" w:cs="Arial MT"/>
          <w:sz w:val="20"/>
        </w:rPr>
      </w:pPr>
    </w:p>
    <w:p w14:paraId="7978B186">
      <w:pPr>
        <w:widowControl w:val="0"/>
        <w:autoSpaceDE w:val="0"/>
        <w:autoSpaceDN w:val="0"/>
        <w:spacing w:before="11"/>
        <w:rPr>
          <w:rFonts w:ascii="Roboto" w:hAnsi="Arial MT" w:eastAsia="Arial MT" w:cs="Arial MT"/>
          <w:sz w:val="16"/>
        </w:rPr>
      </w:pPr>
    </w:p>
    <w:p w14:paraId="263F4BEE">
      <w:pPr>
        <w:widowControl w:val="0"/>
        <w:numPr>
          <w:ilvl w:val="0"/>
          <w:numId w:val="42"/>
        </w:numPr>
        <w:tabs>
          <w:tab w:val="left" w:pos="737"/>
          <w:tab w:val="left" w:pos="738"/>
        </w:tabs>
        <w:autoSpaceDE w:val="0"/>
        <w:autoSpaceDN w:val="0"/>
        <w:spacing w:before="95"/>
        <w:ind w:hanging="634"/>
        <w:rPr>
          <w:rFonts w:eastAsia="Arial MT"/>
          <w:szCs w:val="22"/>
        </w:rPr>
      </w:pPr>
      <w:r>
        <w:rPr>
          <w:rFonts w:eastAsia="Arial MT"/>
          <w:color w:val="202024"/>
          <w:szCs w:val="22"/>
        </w:rPr>
        <w:t>Please add any other comments below_4:</w:t>
      </w:r>
    </w:p>
    <w:p w14:paraId="6550B2D0">
      <w:pPr>
        <w:widowControl w:val="0"/>
        <w:autoSpaceDE w:val="0"/>
        <w:autoSpaceDN w:val="0"/>
        <w:rPr>
          <w:rFonts w:eastAsia="Arial MT"/>
          <w:sz w:val="20"/>
        </w:rPr>
      </w:pPr>
    </w:p>
    <w:p w14:paraId="63E8CF18">
      <w:pPr>
        <w:widowControl w:val="0"/>
        <w:autoSpaceDE w:val="0"/>
        <w:autoSpaceDN w:val="0"/>
        <w:rPr>
          <w:rFonts w:eastAsia="Arial MT"/>
          <w:sz w:val="20"/>
        </w:rPr>
      </w:pPr>
    </w:p>
    <w:p w14:paraId="755DBD62">
      <w:pPr>
        <w:widowControl w:val="0"/>
        <w:autoSpaceDE w:val="0"/>
        <w:autoSpaceDN w:val="0"/>
        <w:spacing w:before="10"/>
        <w:rPr>
          <w:rFonts w:eastAsia="Arial MT"/>
          <w:sz w:val="17"/>
        </w:rPr>
      </w:pPr>
      <w:r>
        <mc:AlternateContent>
          <mc:Choice Requires="wps">
            <w:drawing>
              <wp:anchor distT="0" distB="0" distL="0" distR="0" simplePos="0" relativeHeight="251665408" behindDoc="1" locked="0" layoutInCell="1" allowOverlap="1">
                <wp:simplePos x="0" y="0"/>
                <wp:positionH relativeFrom="page">
                  <wp:posOffset>1266825</wp:posOffset>
                </wp:positionH>
                <wp:positionV relativeFrom="paragraph">
                  <wp:posOffset>154940</wp:posOffset>
                </wp:positionV>
                <wp:extent cx="2733675" cy="9525"/>
                <wp:effectExtent l="0" t="0" r="0" b="0"/>
                <wp:wrapTopAndBottom/>
                <wp:docPr id="184166198" name="Rectangle 104"/>
                <wp:cNvGraphicFramePr/>
                <a:graphic xmlns:a="http://schemas.openxmlformats.org/drawingml/2006/main">
                  <a:graphicData uri="http://schemas.microsoft.com/office/word/2010/wordprocessingShape">
                    <wps:wsp>
                      <wps:cNvSpPr>
                        <a:spLocks noChangeArrowheads="1"/>
                      </wps:cNvSpPr>
                      <wps:spPr bwMode="auto">
                        <a:xfrm>
                          <a:off x="0" y="0"/>
                          <a:ext cx="2733675" cy="952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104" o:spid="_x0000_s1026" o:spt="1" style="position:absolute;left:0pt;margin-left:99.75pt;margin-top:12.2pt;height:0.75pt;width:215.25pt;mso-position-horizontal-relative:page;mso-wrap-distance-bottom:0pt;mso-wrap-distance-top:0pt;z-index:-251651072;mso-width-relative:page;mso-height-relative:page;" fillcolor="#BDC1C6" filled="t" stroked="f" coordsize="21600,21600" o:gfxdata="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jXJXdUAAAAJ&#10;AQAADwAAAAAAAAABACAAAAAiAAAAZHJzL2Rvd25yZXYueG1sUEsBAhQAFAAAAAgAh07iQB9A2B0f&#10;AgAAPwQAAA4AAAAAAAAAAQAgAAAAJAEAAGRycy9lMm9Eb2MueG1sUEsFBgAAAAAGAAYAWQEAALUF&#10;AAAAAA==&#10;">
                <v:fill on="t" focussize="0,0"/>
                <v:stroke on="f"/>
                <v:imagedata o:title=""/>
                <o:lock v:ext="edit" aspectratio="f"/>
                <w10:wrap type="topAndBottom"/>
              </v:rect>
            </w:pict>
          </mc:Fallback>
        </mc:AlternateContent>
      </w:r>
    </w:p>
    <w:p w14:paraId="2837477F">
      <w:pPr>
        <w:widowControl w:val="0"/>
        <w:autoSpaceDE w:val="0"/>
        <w:autoSpaceDN w:val="0"/>
        <w:rPr>
          <w:rFonts w:ascii="Arial MT" w:hAnsi="Arial MT" w:eastAsia="Arial MT" w:cs="Arial MT"/>
          <w:sz w:val="17"/>
          <w:szCs w:val="22"/>
        </w:rPr>
        <w:sectPr>
          <w:pgSz w:w="11900" w:h="16840"/>
          <w:pgMar w:top="460" w:right="1200" w:bottom="440" w:left="1260" w:header="269" w:footer="253" w:gutter="0"/>
          <w:cols w:space="720" w:num="1"/>
        </w:sectPr>
      </w:pPr>
    </w:p>
    <w:p w14:paraId="6BBEA661">
      <w:pPr>
        <w:widowControl w:val="0"/>
        <w:autoSpaceDE w:val="0"/>
        <w:autoSpaceDN w:val="0"/>
        <w:spacing w:before="8"/>
        <w:rPr>
          <w:rFonts w:ascii="Arial MT" w:hAnsi="Arial MT" w:eastAsia="Arial MT" w:cs="Arial MT"/>
          <w:sz w:val="17"/>
        </w:rPr>
      </w:pPr>
    </w:p>
    <w:p w14:paraId="0C01CFE0">
      <w:pPr>
        <w:widowControl w:val="0"/>
        <w:autoSpaceDE w:val="0"/>
        <w:autoSpaceDN w:val="0"/>
        <w:spacing w:before="92" w:line="480" w:lineRule="auto"/>
        <w:jc w:val="both"/>
        <w:rPr>
          <w:rFonts w:eastAsia="Arial MT"/>
        </w:rPr>
      </w:pPr>
      <w:r>
        <w:rPr>
          <w:rFonts w:eastAsia="Arial MT"/>
        </w:rPr>
        <w:t>Fiscal</w:t>
      </w:r>
      <w:r>
        <w:rPr>
          <w:rFonts w:eastAsia="Arial MT"/>
          <w:spacing w:val="-7"/>
        </w:rPr>
        <w:t xml:space="preserve"> </w:t>
      </w:r>
      <w:r>
        <w:rPr>
          <w:rFonts w:eastAsia="Arial MT"/>
        </w:rPr>
        <w:t>and</w:t>
      </w:r>
      <w:r>
        <w:rPr>
          <w:rFonts w:eastAsia="Arial MT"/>
          <w:spacing w:val="-11"/>
        </w:rPr>
        <w:t xml:space="preserve"> </w:t>
      </w:r>
      <w:r>
        <w:rPr>
          <w:rFonts w:eastAsia="Arial MT"/>
        </w:rPr>
        <w:t>Tax</w:t>
      </w:r>
      <w:r>
        <w:rPr>
          <w:rFonts w:eastAsia="Arial MT"/>
          <w:spacing w:val="-7"/>
        </w:rPr>
        <w:t xml:space="preserve"> </w:t>
      </w:r>
      <w:r>
        <w:rPr>
          <w:rFonts w:eastAsia="Arial MT"/>
        </w:rPr>
        <w:t>Policy</w:t>
      </w:r>
      <w:r>
        <w:rPr>
          <w:rFonts w:eastAsia="Arial MT"/>
          <w:spacing w:val="-7"/>
        </w:rPr>
        <w:t xml:space="preserve"> </w:t>
      </w:r>
      <w:r>
        <w:rPr>
          <w:rFonts w:eastAsia="Arial MT"/>
        </w:rPr>
        <w:t>and</w:t>
      </w:r>
      <w:r>
        <w:rPr>
          <w:rFonts w:eastAsia="Arial MT"/>
          <w:spacing w:val="-11"/>
        </w:rPr>
        <w:t xml:space="preserve"> </w:t>
      </w:r>
      <w:r>
        <w:rPr>
          <w:rFonts w:eastAsia="Arial MT"/>
        </w:rPr>
        <w:t>Tax</w:t>
      </w:r>
      <w:r>
        <w:rPr>
          <w:rFonts w:eastAsia="Arial MT"/>
          <w:spacing w:val="-7"/>
        </w:rPr>
        <w:t xml:space="preserve"> </w:t>
      </w:r>
      <w:r>
        <w:rPr>
          <w:rFonts w:eastAsia="Arial MT"/>
        </w:rPr>
        <w:t>Law</w:t>
      </w:r>
      <w:r>
        <w:rPr>
          <w:rFonts w:eastAsia="Arial MT"/>
          <w:spacing w:val="-6"/>
        </w:rPr>
        <w:t xml:space="preserve"> </w:t>
      </w:r>
      <w:r>
        <w:rPr>
          <w:rFonts w:eastAsia="Arial MT"/>
        </w:rPr>
        <w:t>reform.</w:t>
      </w:r>
    </w:p>
    <w:p w14:paraId="3C9088EF">
      <w:pPr>
        <w:widowControl w:val="0"/>
        <w:autoSpaceDE w:val="0"/>
        <w:autoSpaceDN w:val="0"/>
        <w:spacing w:before="1" w:line="480" w:lineRule="auto"/>
        <w:jc w:val="both"/>
        <w:rPr>
          <w:rFonts w:eastAsia="Arial MT"/>
        </w:rPr>
      </w:pPr>
    </w:p>
    <w:p w14:paraId="0FE21A62">
      <w:pPr>
        <w:widowControl w:val="0"/>
        <w:autoSpaceDE w:val="0"/>
        <w:autoSpaceDN w:val="0"/>
        <w:spacing w:line="480" w:lineRule="auto"/>
        <w:ind w:right="318"/>
        <w:jc w:val="both"/>
        <w:rPr>
          <w:rFonts w:eastAsia="Arial MT"/>
        </w:rPr>
      </w:pPr>
      <w:r>
        <w:rPr>
          <w:rFonts w:eastAsia="Arial MT"/>
          <w:color w:val="202024"/>
        </w:rPr>
        <w:t>In this section, we are seeking to understand how important or significant it is to have</w:t>
      </w:r>
      <w:r>
        <w:rPr>
          <w:rFonts w:eastAsia="Arial MT"/>
          <w:color w:val="202024"/>
          <w:spacing w:val="1"/>
        </w:rPr>
        <w:t xml:space="preserve"> </w:t>
      </w:r>
      <w:r>
        <w:rPr>
          <w:rFonts w:eastAsia="Arial MT"/>
          <w:color w:val="202024"/>
        </w:rPr>
        <w:t>regular,</w:t>
      </w:r>
      <w:r>
        <w:rPr>
          <w:rFonts w:eastAsia="Arial MT"/>
          <w:color w:val="202024"/>
          <w:spacing w:val="-11"/>
        </w:rPr>
        <w:t xml:space="preserve"> </w:t>
      </w:r>
      <w:r>
        <w:rPr>
          <w:rFonts w:eastAsia="Arial MT"/>
          <w:color w:val="202024"/>
        </w:rPr>
        <w:t>timely</w:t>
      </w:r>
      <w:r>
        <w:rPr>
          <w:rFonts w:eastAsia="Arial MT"/>
          <w:color w:val="202024"/>
          <w:spacing w:val="-11"/>
        </w:rPr>
        <w:t xml:space="preserve"> </w:t>
      </w:r>
      <w:r>
        <w:rPr>
          <w:rFonts w:eastAsia="Arial MT"/>
          <w:color w:val="202024"/>
        </w:rPr>
        <w:t>and</w:t>
      </w:r>
      <w:r>
        <w:rPr>
          <w:rFonts w:eastAsia="Arial MT"/>
          <w:color w:val="202024"/>
          <w:spacing w:val="-11"/>
        </w:rPr>
        <w:t xml:space="preserve"> </w:t>
      </w:r>
      <w:r>
        <w:rPr>
          <w:rFonts w:eastAsia="Arial MT"/>
          <w:color w:val="202024"/>
        </w:rPr>
        <w:t>sustained</w:t>
      </w:r>
      <w:r>
        <w:rPr>
          <w:rFonts w:eastAsia="Arial MT"/>
          <w:color w:val="202024"/>
          <w:spacing w:val="-11"/>
        </w:rPr>
        <w:t xml:space="preserve"> </w:t>
      </w:r>
      <w:r>
        <w:rPr>
          <w:rFonts w:eastAsia="Arial MT"/>
          <w:color w:val="202024"/>
        </w:rPr>
        <w:t>petroleum</w:t>
      </w:r>
      <w:r>
        <w:rPr>
          <w:rFonts w:eastAsia="Arial MT"/>
          <w:color w:val="202024"/>
          <w:spacing w:val="-11"/>
        </w:rPr>
        <w:t xml:space="preserve"> </w:t>
      </w:r>
      <w:r>
        <w:rPr>
          <w:rFonts w:eastAsia="Arial MT"/>
          <w:color w:val="202024"/>
        </w:rPr>
        <w:t>fiscal</w:t>
      </w:r>
      <w:r>
        <w:rPr>
          <w:rFonts w:eastAsia="Arial MT"/>
          <w:color w:val="202024"/>
          <w:spacing w:val="-11"/>
        </w:rPr>
        <w:t xml:space="preserve"> </w:t>
      </w:r>
      <w:r>
        <w:rPr>
          <w:rFonts w:eastAsia="Arial MT"/>
          <w:color w:val="202024"/>
        </w:rPr>
        <w:t>and</w:t>
      </w:r>
      <w:r>
        <w:rPr>
          <w:rFonts w:eastAsia="Arial MT"/>
          <w:color w:val="202024"/>
          <w:spacing w:val="-11"/>
        </w:rPr>
        <w:t xml:space="preserve"> </w:t>
      </w:r>
      <w:r>
        <w:rPr>
          <w:rFonts w:eastAsia="Arial MT"/>
          <w:color w:val="202024"/>
        </w:rPr>
        <w:t>tax</w:t>
      </w:r>
      <w:r>
        <w:rPr>
          <w:rFonts w:eastAsia="Arial MT"/>
          <w:color w:val="202024"/>
          <w:spacing w:val="-11"/>
        </w:rPr>
        <w:t xml:space="preserve"> </w:t>
      </w:r>
      <w:r>
        <w:rPr>
          <w:rFonts w:eastAsia="Arial MT"/>
          <w:color w:val="202024"/>
        </w:rPr>
        <w:t>policy</w:t>
      </w:r>
      <w:r>
        <w:rPr>
          <w:rFonts w:eastAsia="Arial MT"/>
          <w:color w:val="202024"/>
          <w:spacing w:val="-11"/>
        </w:rPr>
        <w:t xml:space="preserve"> </w:t>
      </w:r>
      <w:r>
        <w:rPr>
          <w:rFonts w:eastAsia="Arial MT"/>
          <w:color w:val="202024"/>
        </w:rPr>
        <w:t>review</w:t>
      </w:r>
      <w:r>
        <w:rPr>
          <w:rFonts w:eastAsia="Arial MT"/>
          <w:color w:val="202024"/>
          <w:spacing w:val="-11"/>
        </w:rPr>
        <w:t xml:space="preserve"> </w:t>
      </w:r>
      <w:r>
        <w:rPr>
          <w:rFonts w:eastAsia="Arial MT"/>
          <w:color w:val="202024"/>
        </w:rPr>
        <w:t>and</w:t>
      </w:r>
      <w:r>
        <w:rPr>
          <w:rFonts w:eastAsia="Arial MT"/>
          <w:color w:val="202024"/>
          <w:spacing w:val="-11"/>
        </w:rPr>
        <w:t xml:space="preserve"> </w:t>
      </w:r>
      <w:r>
        <w:rPr>
          <w:rFonts w:eastAsia="Arial MT"/>
          <w:color w:val="202024"/>
        </w:rPr>
        <w:t>tax</w:t>
      </w:r>
      <w:r>
        <w:rPr>
          <w:rFonts w:eastAsia="Arial MT"/>
          <w:color w:val="202024"/>
          <w:spacing w:val="-11"/>
        </w:rPr>
        <w:t xml:space="preserve"> </w:t>
      </w:r>
      <w:r>
        <w:rPr>
          <w:rFonts w:eastAsia="Arial MT"/>
          <w:color w:val="202024"/>
        </w:rPr>
        <w:t>law</w:t>
      </w:r>
      <w:r>
        <w:rPr>
          <w:rFonts w:eastAsia="Arial MT"/>
          <w:color w:val="202024"/>
          <w:spacing w:val="-11"/>
        </w:rPr>
        <w:t xml:space="preserve"> </w:t>
      </w:r>
      <w:r>
        <w:rPr>
          <w:rFonts w:eastAsia="Arial MT"/>
          <w:color w:val="202024"/>
        </w:rPr>
        <w:t>reform</w:t>
      </w:r>
      <w:r>
        <w:rPr>
          <w:rFonts w:eastAsia="Arial MT"/>
          <w:color w:val="202024"/>
          <w:spacing w:val="-11"/>
        </w:rPr>
        <w:t xml:space="preserve"> </w:t>
      </w:r>
      <w:r>
        <w:rPr>
          <w:rFonts w:eastAsia="Arial MT"/>
          <w:color w:val="202024"/>
        </w:rPr>
        <w:t>and</w:t>
      </w:r>
      <w:r>
        <w:rPr>
          <w:rFonts w:eastAsia="Arial MT"/>
          <w:color w:val="202024"/>
          <w:spacing w:val="-52"/>
        </w:rPr>
        <w:t xml:space="preserve"> </w:t>
      </w:r>
      <w:r>
        <w:rPr>
          <w:rFonts w:eastAsia="Arial MT"/>
          <w:color w:val="202024"/>
        </w:rPr>
        <w:t>law change or amendment to achieve clarity, certainty, and consistency of understanding</w:t>
      </w:r>
      <w:r>
        <w:rPr>
          <w:rFonts w:eastAsia="Arial MT"/>
          <w:color w:val="202024"/>
          <w:spacing w:val="1"/>
        </w:rPr>
        <w:t xml:space="preserve"> </w:t>
      </w:r>
      <w:r>
        <w:rPr>
          <w:rFonts w:eastAsia="Arial MT"/>
          <w:color w:val="202024"/>
        </w:rPr>
        <w:t>of</w:t>
      </w:r>
      <w:r>
        <w:rPr>
          <w:rFonts w:eastAsia="Arial MT"/>
          <w:color w:val="202024"/>
          <w:spacing w:val="-2"/>
        </w:rPr>
        <w:t xml:space="preserve"> </w:t>
      </w:r>
      <w:r>
        <w:rPr>
          <w:rFonts w:eastAsia="Arial MT"/>
          <w:color w:val="202024"/>
        </w:rPr>
        <w:t>Upstream</w:t>
      </w:r>
      <w:r>
        <w:rPr>
          <w:rFonts w:eastAsia="Arial MT"/>
          <w:color w:val="202024"/>
          <w:spacing w:val="-1"/>
        </w:rPr>
        <w:t xml:space="preserve"> </w:t>
      </w:r>
      <w:r>
        <w:rPr>
          <w:rFonts w:eastAsia="Arial MT"/>
          <w:color w:val="202024"/>
        </w:rPr>
        <w:t>oil</w:t>
      </w:r>
      <w:r>
        <w:rPr>
          <w:rFonts w:eastAsia="Arial MT"/>
          <w:color w:val="202024"/>
          <w:spacing w:val="-2"/>
        </w:rPr>
        <w:t xml:space="preserve"> </w:t>
      </w:r>
      <w:r>
        <w:rPr>
          <w:rFonts w:eastAsia="Arial MT"/>
          <w:color w:val="202024"/>
        </w:rPr>
        <w:t>and</w:t>
      </w:r>
      <w:r>
        <w:rPr>
          <w:rFonts w:eastAsia="Arial MT"/>
          <w:color w:val="202024"/>
          <w:spacing w:val="-1"/>
        </w:rPr>
        <w:t xml:space="preserve"> </w:t>
      </w:r>
      <w:r>
        <w:rPr>
          <w:rFonts w:eastAsia="Arial MT"/>
          <w:color w:val="202024"/>
        </w:rPr>
        <w:t>gas</w:t>
      </w:r>
      <w:r>
        <w:rPr>
          <w:rFonts w:eastAsia="Arial MT"/>
          <w:color w:val="202024"/>
          <w:spacing w:val="-2"/>
        </w:rPr>
        <w:t xml:space="preserve"> </w:t>
      </w:r>
      <w:r>
        <w:rPr>
          <w:rFonts w:eastAsia="Arial MT"/>
          <w:color w:val="202024"/>
        </w:rPr>
        <w:t>tax</w:t>
      </w:r>
      <w:r>
        <w:rPr>
          <w:rFonts w:eastAsia="Arial MT"/>
          <w:color w:val="202024"/>
          <w:spacing w:val="-1"/>
        </w:rPr>
        <w:t xml:space="preserve"> </w:t>
      </w:r>
      <w:r>
        <w:rPr>
          <w:rFonts w:eastAsia="Arial MT"/>
          <w:color w:val="202024"/>
        </w:rPr>
        <w:t>system.</w:t>
      </w:r>
    </w:p>
    <w:p w14:paraId="701AE81B">
      <w:pPr>
        <w:widowControl w:val="0"/>
        <w:autoSpaceDE w:val="0"/>
        <w:autoSpaceDN w:val="0"/>
        <w:spacing w:before="8" w:line="480" w:lineRule="auto"/>
        <w:jc w:val="both"/>
        <w:rPr>
          <w:rFonts w:eastAsia="Arial MT"/>
        </w:rPr>
      </w:pPr>
    </w:p>
    <w:p w14:paraId="53475116">
      <w:pPr>
        <w:widowControl w:val="0"/>
        <w:autoSpaceDE w:val="0"/>
        <w:autoSpaceDN w:val="0"/>
        <w:spacing w:line="480" w:lineRule="auto"/>
        <w:jc w:val="both"/>
        <w:rPr>
          <w:rFonts w:eastAsia="Arial MT"/>
        </w:rPr>
      </w:pPr>
      <w:r>
        <w:rPr>
          <w:rFonts w:eastAsia="Arial MT"/>
          <w:color w:val="202024"/>
        </w:rPr>
        <w:t>Again,</w:t>
      </w:r>
      <w:r>
        <w:rPr>
          <w:rFonts w:eastAsia="Arial MT"/>
          <w:color w:val="202024"/>
          <w:spacing w:val="-4"/>
        </w:rPr>
        <w:t xml:space="preserve"> </w:t>
      </w:r>
      <w:r>
        <w:rPr>
          <w:rFonts w:eastAsia="Arial MT"/>
          <w:color w:val="202024"/>
        </w:rPr>
        <w:t>on</w:t>
      </w:r>
      <w:r>
        <w:rPr>
          <w:rFonts w:eastAsia="Arial MT"/>
          <w:color w:val="202024"/>
          <w:spacing w:val="-4"/>
        </w:rPr>
        <w:t xml:space="preserve"> </w:t>
      </w:r>
      <w:r>
        <w:rPr>
          <w:rFonts w:eastAsia="Arial MT"/>
          <w:color w:val="202024"/>
        </w:rPr>
        <w:t>a</w:t>
      </w:r>
      <w:r>
        <w:rPr>
          <w:rFonts w:eastAsia="Arial MT"/>
          <w:color w:val="202024"/>
          <w:spacing w:val="-4"/>
        </w:rPr>
        <w:t xml:space="preserve"> </w:t>
      </w:r>
      <w:r>
        <w:rPr>
          <w:rFonts w:eastAsia="Arial MT"/>
          <w:color w:val="202024"/>
        </w:rPr>
        <w:t>scale</w:t>
      </w:r>
      <w:r>
        <w:rPr>
          <w:rFonts w:eastAsia="Arial MT"/>
          <w:color w:val="202024"/>
          <w:spacing w:val="-3"/>
        </w:rPr>
        <w:t xml:space="preserve"> </w:t>
      </w:r>
      <w:r>
        <w:rPr>
          <w:rFonts w:eastAsia="Arial MT"/>
          <w:color w:val="202024"/>
        </w:rPr>
        <w:t>of</w:t>
      </w:r>
      <w:r>
        <w:rPr>
          <w:rFonts w:eastAsia="Arial MT"/>
          <w:color w:val="202024"/>
          <w:spacing w:val="-4"/>
        </w:rPr>
        <w:t xml:space="preserve"> </w:t>
      </w:r>
      <w:r>
        <w:rPr>
          <w:rFonts w:eastAsia="Arial MT"/>
          <w:color w:val="202024"/>
        </w:rPr>
        <w:t>5</w:t>
      </w:r>
      <w:r>
        <w:rPr>
          <w:rFonts w:eastAsia="Arial MT"/>
          <w:color w:val="202024"/>
          <w:spacing w:val="-4"/>
        </w:rPr>
        <w:t xml:space="preserve"> </w:t>
      </w:r>
      <w:r>
        <w:rPr>
          <w:rFonts w:eastAsia="Arial MT"/>
          <w:color w:val="202024"/>
        </w:rPr>
        <w:t>to</w:t>
      </w:r>
      <w:r>
        <w:rPr>
          <w:rFonts w:eastAsia="Arial MT"/>
          <w:color w:val="202024"/>
          <w:spacing w:val="-3"/>
        </w:rPr>
        <w:t xml:space="preserve"> </w:t>
      </w:r>
      <w:r>
        <w:rPr>
          <w:rFonts w:eastAsia="Arial MT"/>
          <w:color w:val="202024"/>
        </w:rPr>
        <w:t>1,</w:t>
      </w:r>
      <w:r>
        <w:rPr>
          <w:rFonts w:eastAsia="Arial MT"/>
          <w:color w:val="202024"/>
          <w:spacing w:val="-4"/>
        </w:rPr>
        <w:t xml:space="preserve"> </w:t>
      </w:r>
      <w:r>
        <w:rPr>
          <w:rFonts w:eastAsia="Arial MT"/>
          <w:color w:val="202024"/>
        </w:rPr>
        <w:t>please</w:t>
      </w:r>
      <w:r>
        <w:rPr>
          <w:rFonts w:eastAsia="Arial MT"/>
          <w:color w:val="202024"/>
          <w:spacing w:val="-4"/>
        </w:rPr>
        <w:t xml:space="preserve"> </w:t>
      </w:r>
      <w:r>
        <w:rPr>
          <w:rFonts w:eastAsia="Arial MT"/>
          <w:color w:val="202024"/>
        </w:rPr>
        <w:t>indicate</w:t>
      </w:r>
      <w:r>
        <w:rPr>
          <w:rFonts w:eastAsia="Arial MT"/>
          <w:color w:val="202024"/>
          <w:spacing w:val="-3"/>
        </w:rPr>
        <w:t xml:space="preserve"> </w:t>
      </w:r>
      <w:r>
        <w:rPr>
          <w:rFonts w:eastAsia="Arial MT"/>
          <w:color w:val="202024"/>
        </w:rPr>
        <w:t>the</w:t>
      </w:r>
      <w:r>
        <w:rPr>
          <w:rFonts w:eastAsia="Arial MT"/>
          <w:color w:val="202024"/>
          <w:spacing w:val="-4"/>
        </w:rPr>
        <w:t xml:space="preserve"> </w:t>
      </w:r>
      <w:r>
        <w:rPr>
          <w:rFonts w:eastAsia="Arial MT"/>
          <w:color w:val="202024"/>
        </w:rPr>
        <w:t>degree</w:t>
      </w:r>
      <w:r>
        <w:rPr>
          <w:rFonts w:eastAsia="Arial MT"/>
          <w:color w:val="202024"/>
          <w:spacing w:val="-4"/>
        </w:rPr>
        <w:t xml:space="preserve"> </w:t>
      </w:r>
      <w:r>
        <w:rPr>
          <w:rFonts w:eastAsia="Arial MT"/>
          <w:color w:val="202024"/>
        </w:rPr>
        <w:t>of</w:t>
      </w:r>
      <w:r>
        <w:rPr>
          <w:rFonts w:eastAsia="Arial MT"/>
          <w:color w:val="202024"/>
          <w:spacing w:val="-3"/>
        </w:rPr>
        <w:t xml:space="preserve"> </w:t>
      </w:r>
      <w:r>
        <w:rPr>
          <w:rFonts w:eastAsia="Arial MT"/>
          <w:color w:val="202024"/>
        </w:rPr>
        <w:t>importance</w:t>
      </w:r>
      <w:r>
        <w:rPr>
          <w:rFonts w:eastAsia="Arial MT"/>
          <w:color w:val="202024"/>
          <w:spacing w:val="-4"/>
        </w:rPr>
        <w:t xml:space="preserve"> </w:t>
      </w:r>
      <w:r>
        <w:rPr>
          <w:rFonts w:eastAsia="Arial MT"/>
          <w:color w:val="202024"/>
        </w:rPr>
        <w:t>of</w:t>
      </w:r>
      <w:r>
        <w:rPr>
          <w:rFonts w:eastAsia="Arial MT"/>
          <w:color w:val="202024"/>
          <w:spacing w:val="-4"/>
        </w:rPr>
        <w:t xml:space="preserve"> </w:t>
      </w:r>
      <w:r>
        <w:rPr>
          <w:rFonts w:eastAsia="Arial MT"/>
          <w:color w:val="202024"/>
        </w:rPr>
        <w:t>these</w:t>
      </w:r>
      <w:r>
        <w:rPr>
          <w:rFonts w:eastAsia="Arial MT"/>
          <w:color w:val="202024"/>
          <w:spacing w:val="-3"/>
        </w:rPr>
        <w:t xml:space="preserve"> </w:t>
      </w:r>
      <w:r>
        <w:rPr>
          <w:rFonts w:eastAsia="Arial MT"/>
          <w:color w:val="202024"/>
        </w:rPr>
        <w:t>factors.</w:t>
      </w:r>
    </w:p>
    <w:p w14:paraId="71FEADCD">
      <w:pPr>
        <w:widowControl w:val="0"/>
        <w:autoSpaceDE w:val="0"/>
        <w:autoSpaceDN w:val="0"/>
        <w:spacing w:before="6"/>
        <w:rPr>
          <w:rFonts w:ascii="Roboto" w:hAnsi="Arial MT" w:eastAsia="Arial MT" w:cs="Arial MT"/>
          <w:sz w:val="11"/>
        </w:rPr>
      </w:pPr>
    </w:p>
    <w:p w14:paraId="525E987E">
      <w:pPr>
        <w:pStyle w:val="52"/>
        <w:widowControl w:val="0"/>
        <w:numPr>
          <w:ilvl w:val="0"/>
          <w:numId w:val="42"/>
        </w:numPr>
        <w:tabs>
          <w:tab w:val="left" w:pos="737"/>
          <w:tab w:val="left" w:pos="738"/>
        </w:tabs>
        <w:autoSpaceDE w:val="0"/>
        <w:autoSpaceDN w:val="0"/>
        <w:spacing w:before="95" w:line="480" w:lineRule="auto"/>
        <w:ind w:right="135"/>
        <w:jc w:val="both"/>
        <w:rPr>
          <w:rFonts w:ascii="Times New Roman" w:hAnsi="Times New Roman" w:eastAsia="Arial MT" w:cs="Times New Roman"/>
          <w:sz w:val="24"/>
          <w:szCs w:val="24"/>
        </w:rPr>
      </w:pPr>
      <w:r>
        <w:rPr>
          <w:rFonts w:ascii="Times New Roman" w:hAnsi="Times New Roman" w:eastAsia="Arial MT" w:cs="Times New Roman"/>
          <w:color w:val="202024"/>
          <w:sz w:val="24"/>
          <w:szCs w:val="24"/>
        </w:rPr>
        <w:t>18. In your experience, how significant or important is regular structured fiscal</w:t>
      </w:r>
      <w:r>
        <w:rPr>
          <w:rFonts w:ascii="Times New Roman" w:hAnsi="Times New Roman" w:eastAsia="Arial MT" w:cs="Times New Roman"/>
          <w:color w:val="202024"/>
          <w:spacing w:val="1"/>
          <w:sz w:val="24"/>
          <w:szCs w:val="24"/>
        </w:rPr>
        <w:t xml:space="preserve"> </w:t>
      </w:r>
      <w:r>
        <w:rPr>
          <w:rFonts w:ascii="Times New Roman" w:hAnsi="Times New Roman" w:eastAsia="Arial MT" w:cs="Times New Roman"/>
          <w:color w:val="202024"/>
          <w:sz w:val="24"/>
          <w:szCs w:val="24"/>
        </w:rPr>
        <w:t>and</w:t>
      </w:r>
      <w:r>
        <w:rPr>
          <w:rFonts w:ascii="Times New Roman" w:hAnsi="Times New Roman" w:eastAsia="Arial MT" w:cs="Times New Roman"/>
          <w:color w:val="202024"/>
          <w:spacing w:val="-3"/>
          <w:sz w:val="24"/>
          <w:szCs w:val="24"/>
        </w:rPr>
        <w:t xml:space="preserve"> </w:t>
      </w:r>
      <w:r>
        <w:rPr>
          <w:rFonts w:ascii="Times New Roman" w:hAnsi="Times New Roman" w:eastAsia="Arial MT" w:cs="Times New Roman"/>
          <w:color w:val="202024"/>
          <w:sz w:val="24"/>
          <w:szCs w:val="24"/>
        </w:rPr>
        <w:t>tax</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policy</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review,</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tax</w:t>
      </w:r>
      <w:r>
        <w:rPr>
          <w:rFonts w:ascii="Times New Roman" w:hAnsi="Times New Roman" w:eastAsia="Arial MT" w:cs="Times New Roman"/>
          <w:color w:val="202024"/>
          <w:spacing w:val="-3"/>
          <w:sz w:val="24"/>
          <w:szCs w:val="24"/>
        </w:rPr>
        <w:t xml:space="preserve"> </w:t>
      </w:r>
      <w:r>
        <w:rPr>
          <w:rFonts w:ascii="Times New Roman" w:hAnsi="Times New Roman" w:eastAsia="Arial MT" w:cs="Times New Roman"/>
          <w:color w:val="202024"/>
          <w:sz w:val="24"/>
          <w:szCs w:val="24"/>
        </w:rPr>
        <w:t>law</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reform</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and</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tax</w:t>
      </w:r>
      <w:r>
        <w:rPr>
          <w:rFonts w:ascii="Times New Roman" w:hAnsi="Times New Roman" w:eastAsia="Arial MT" w:cs="Times New Roman"/>
          <w:color w:val="202024"/>
          <w:spacing w:val="-3"/>
          <w:sz w:val="24"/>
          <w:szCs w:val="24"/>
        </w:rPr>
        <w:t xml:space="preserve"> </w:t>
      </w:r>
      <w:r>
        <w:rPr>
          <w:rFonts w:ascii="Times New Roman" w:hAnsi="Times New Roman" w:eastAsia="Arial MT" w:cs="Times New Roman"/>
          <w:color w:val="202024"/>
          <w:sz w:val="24"/>
          <w:szCs w:val="24"/>
        </w:rPr>
        <w:t>law</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amendment,</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in</w:t>
      </w:r>
      <w:r>
        <w:rPr>
          <w:rFonts w:ascii="Times New Roman" w:hAnsi="Times New Roman" w:eastAsia="Arial MT" w:cs="Times New Roman"/>
          <w:color w:val="202024"/>
          <w:spacing w:val="-2"/>
          <w:sz w:val="24"/>
          <w:szCs w:val="24"/>
        </w:rPr>
        <w:t xml:space="preserve"> </w:t>
      </w:r>
      <w:r>
        <w:rPr>
          <w:rFonts w:ascii="Times New Roman" w:hAnsi="Times New Roman" w:eastAsia="Arial MT" w:cs="Times New Roman"/>
          <w:color w:val="202024"/>
          <w:sz w:val="24"/>
          <w:szCs w:val="24"/>
        </w:rPr>
        <w:t>achieving</w:t>
      </w:r>
      <w:r>
        <w:rPr>
          <w:rFonts w:ascii="Times New Roman" w:hAnsi="Times New Roman" w:eastAsia="Arial MT" w:cs="Times New Roman"/>
          <w:color w:val="202024"/>
          <w:spacing w:val="-3"/>
          <w:sz w:val="24"/>
          <w:szCs w:val="24"/>
        </w:rPr>
        <w:t xml:space="preserve"> </w:t>
      </w:r>
      <w:r>
        <w:rPr>
          <w:rFonts w:ascii="Times New Roman" w:hAnsi="Times New Roman" w:eastAsia="Arial MT" w:cs="Times New Roman"/>
          <w:color w:val="202024"/>
          <w:sz w:val="24"/>
          <w:szCs w:val="24"/>
        </w:rPr>
        <w:t>clarity</w:t>
      </w:r>
      <w:r>
        <w:rPr>
          <w:rFonts w:ascii="Times New Roman" w:hAnsi="Times New Roman" w:eastAsia="Arial MT" w:cs="Times New Roman"/>
          <w:color w:val="202024"/>
          <w:spacing w:val="-63"/>
          <w:sz w:val="24"/>
          <w:szCs w:val="24"/>
        </w:rPr>
        <w:t xml:space="preserve"> </w:t>
      </w:r>
      <w:r>
        <w:rPr>
          <w:rFonts w:ascii="Times New Roman" w:hAnsi="Times New Roman" w:eastAsia="Arial MT" w:cs="Times New Roman"/>
          <w:color w:val="202024"/>
          <w:sz w:val="24"/>
          <w:szCs w:val="24"/>
        </w:rPr>
        <w:t>and certainty in Upstream petroleum taxation.</w:t>
      </w:r>
    </w:p>
    <w:p w14:paraId="120CFFE7">
      <w:pPr>
        <w:ind w:left="104"/>
        <w:rPr>
          <w:i/>
        </w:rPr>
      </w:pPr>
      <w:r>
        <w:rPr>
          <w:i/>
          <w:color w:val="6D6F72"/>
        </w:rPr>
        <w:t>Mark</w:t>
      </w:r>
      <w:r>
        <w:rPr>
          <w:i/>
          <w:color w:val="6D6F72"/>
          <w:spacing w:val="-2"/>
        </w:rPr>
        <w:t xml:space="preserve"> </w:t>
      </w:r>
      <w:r>
        <w:rPr>
          <w:i/>
          <w:color w:val="6D6F72"/>
        </w:rPr>
        <w:t>only</w:t>
      </w:r>
      <w:r>
        <w:rPr>
          <w:i/>
          <w:color w:val="6D6F72"/>
          <w:spacing w:val="-1"/>
        </w:rPr>
        <w:t xml:space="preserve"> </w:t>
      </w:r>
      <w:r>
        <w:rPr>
          <w:i/>
          <w:color w:val="6D6F72"/>
        </w:rPr>
        <w:t>one</w:t>
      </w:r>
      <w:r>
        <w:rPr>
          <w:i/>
          <w:color w:val="6D6F72"/>
          <w:spacing w:val="-1"/>
        </w:rPr>
        <w:t xml:space="preserve"> </w:t>
      </w:r>
      <w:r>
        <w:rPr>
          <w:i/>
          <w:color w:val="6D6F72"/>
        </w:rPr>
        <w:t>oval.</w:t>
      </w:r>
    </w:p>
    <w:p w14:paraId="17C20A80">
      <w:pPr>
        <w:widowControl w:val="0"/>
        <w:tabs>
          <w:tab w:val="left" w:pos="1937"/>
          <w:tab w:val="left" w:pos="2417"/>
          <w:tab w:val="left" w:pos="2897"/>
          <w:tab w:val="left" w:pos="3377"/>
        </w:tabs>
        <w:autoSpaceDE w:val="0"/>
        <w:autoSpaceDN w:val="0"/>
        <w:spacing w:before="96"/>
        <w:rPr>
          <w:rFonts w:eastAsia="Arial MT"/>
        </w:rPr>
      </w:pPr>
      <w:r>
        <w:rPr>
          <w:rFonts w:eastAsia="Arial MT"/>
          <w:color w:val="202024"/>
        </w:rPr>
        <w:tab/>
      </w:r>
      <w:r>
        <w:rPr>
          <w:rFonts w:eastAsia="Arial MT"/>
          <w:color w:val="202024"/>
        </w:rPr>
        <w:t>1</w:t>
      </w:r>
      <w:r>
        <w:rPr>
          <w:rFonts w:eastAsia="Arial MT"/>
          <w:color w:val="202024"/>
        </w:rPr>
        <w:tab/>
      </w:r>
      <w:r>
        <w:rPr>
          <w:rFonts w:eastAsia="Arial MT"/>
          <w:color w:val="202024"/>
        </w:rPr>
        <w:t>2</w:t>
      </w:r>
      <w:r>
        <w:rPr>
          <w:rFonts w:eastAsia="Arial MT"/>
          <w:color w:val="202024"/>
        </w:rPr>
        <w:tab/>
      </w:r>
      <w:r>
        <w:rPr>
          <w:rFonts w:eastAsia="Arial MT"/>
          <w:color w:val="202024"/>
        </w:rPr>
        <w:t>3</w:t>
      </w:r>
      <w:r>
        <w:rPr>
          <w:rFonts w:eastAsia="Arial MT"/>
          <w:color w:val="202024"/>
        </w:rPr>
        <w:tab/>
      </w:r>
      <w:r>
        <w:rPr>
          <w:rFonts w:eastAsia="Arial MT"/>
          <w:color w:val="202024"/>
        </w:rPr>
        <w:t>4</w:t>
      </w:r>
      <w:r>
        <w:rPr>
          <w:rFonts w:eastAsia="Arial MT"/>
          <w:color w:val="202024"/>
        </w:rPr>
        <w:tab/>
      </w:r>
      <w:r>
        <w:rPr>
          <w:rFonts w:eastAsia="Arial MT"/>
          <w:color w:val="202024"/>
        </w:rPr>
        <w:t xml:space="preserve">    5</w:t>
      </w:r>
    </w:p>
    <w:p w14:paraId="0A199237">
      <w:pPr>
        <w:widowControl w:val="0"/>
        <w:autoSpaceDE w:val="0"/>
        <w:autoSpaceDN w:val="0"/>
        <w:spacing w:before="7"/>
        <w:rPr>
          <w:rFonts w:ascii="Roboto" w:hAnsi="Arial MT" w:eastAsia="Arial MT" w:cs="Arial MT"/>
          <w:sz w:val="13"/>
        </w:rPr>
      </w:pPr>
    </w:p>
    <w:p w14:paraId="120B06EC">
      <w:pPr>
        <w:widowControl w:val="0"/>
        <w:autoSpaceDE w:val="0"/>
        <w:autoSpaceDN w:val="0"/>
        <w:spacing w:before="3"/>
        <w:rPr>
          <w:rFonts w:ascii="Roboto" w:hAnsi="Arial MT" w:eastAsia="Arial MT" w:cs="Arial MT"/>
          <w:sz w:val="6"/>
        </w:rPr>
      </w:pPr>
    </w:p>
    <w:p w14:paraId="4C155563">
      <w:pPr>
        <w:widowControl w:val="0"/>
        <w:autoSpaceDE w:val="0"/>
        <w:autoSpaceDN w:val="0"/>
        <w:rPr>
          <w:rFonts w:ascii="Roboto" w:hAnsi="Arial MT" w:eastAsia="Arial MT" w:cs="Arial MT"/>
          <w:sz w:val="20"/>
          <w:szCs w:val="22"/>
        </w:rPr>
      </w:pPr>
      <w:r>
        <w:rPr>
          <w:rFonts w:hAnsi="Arial MT" w:eastAsia="Arial MT" w:cs="Arial MT"/>
          <w:spacing w:val="100"/>
          <w:sz w:val="20"/>
          <w:szCs w:val="22"/>
        </w:rPr>
        <w:t xml:space="preserve">            </w:t>
      </w:r>
      <w:r>
        <w:rPr>
          <w:rFonts w:ascii="Roboto" w:hAnsi="Arial MT" w:eastAsia="Arial MT" w:cs="Arial MT"/>
          <w:sz w:val="20"/>
          <w:szCs w:val="22"/>
        </w:rPr>
        <w:drawing>
          <wp:inline distT="0" distB="0" distL="0" distR="0">
            <wp:extent cx="209550" cy="171450"/>
            <wp:effectExtent l="0" t="0" r="0" b="0"/>
            <wp:docPr id="9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4.png"/>
                    <pic:cNvPicPr>
                      <a:picLocks noChangeAspect="1"/>
                    </pic:cNvPicPr>
                  </pic:nvPicPr>
                  <pic:blipFill>
                    <a:blip r:embed="rId10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9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4.png"/>
                    <pic:cNvPicPr>
                      <a:picLocks noChangeAspect="1"/>
                    </pic:cNvPicPr>
                  </pic:nvPicPr>
                  <pic:blipFill>
                    <a:blip r:embed="rId10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9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4.png"/>
                    <pic:cNvPicPr>
                      <a:picLocks noChangeAspect="1"/>
                    </pic:cNvPicPr>
                  </pic:nvPicPr>
                  <pic:blipFill>
                    <a:blip r:embed="rId10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100"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4.png"/>
                    <pic:cNvPicPr>
                      <a:picLocks noChangeAspect="1"/>
                    </pic:cNvPicPr>
                  </pic:nvPicPr>
                  <pic:blipFill>
                    <a:blip r:embed="rId104"/>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4.png"/>
                    <pic:cNvPicPr>
                      <a:picLocks noChangeAspect="1"/>
                    </pic:cNvPicPr>
                  </pic:nvPicPr>
                  <pic:blipFill>
                    <a:blip r:embed="rId104"/>
                    <a:stretch>
                      <a:fillRect/>
                    </a:stretch>
                  </pic:blipFill>
                  <pic:spPr>
                    <a:xfrm>
                      <a:off x="0" y="0"/>
                      <a:ext cx="209550" cy="171450"/>
                    </a:xfrm>
                    <a:prstGeom prst="rect">
                      <a:avLst/>
                    </a:prstGeom>
                    <a:noFill/>
                    <a:ln>
                      <a:noFill/>
                    </a:ln>
                  </pic:spPr>
                </pic:pic>
              </a:graphicData>
            </a:graphic>
          </wp:inline>
        </w:drawing>
      </w:r>
    </w:p>
    <w:p w14:paraId="6979A602">
      <w:pPr>
        <w:widowControl w:val="0"/>
        <w:autoSpaceDE w:val="0"/>
        <w:autoSpaceDN w:val="0"/>
        <w:rPr>
          <w:rFonts w:ascii="Roboto" w:hAnsi="Arial MT" w:eastAsia="Arial MT" w:cs="Arial MT"/>
          <w:sz w:val="20"/>
        </w:rPr>
      </w:pPr>
    </w:p>
    <w:p w14:paraId="7AE27BE8">
      <w:pPr>
        <w:widowControl w:val="0"/>
        <w:autoSpaceDE w:val="0"/>
        <w:autoSpaceDN w:val="0"/>
        <w:spacing w:before="11"/>
        <w:rPr>
          <w:rFonts w:ascii="Roboto" w:hAnsi="Arial MT" w:eastAsia="Arial MT" w:cs="Arial MT"/>
          <w:sz w:val="16"/>
        </w:rPr>
      </w:pPr>
    </w:p>
    <w:p w14:paraId="5DB863AC">
      <w:pPr>
        <w:pStyle w:val="52"/>
        <w:widowControl w:val="0"/>
        <w:numPr>
          <w:ilvl w:val="0"/>
          <w:numId w:val="42"/>
        </w:numPr>
        <w:tabs>
          <w:tab w:val="left" w:pos="738"/>
        </w:tabs>
        <w:autoSpaceDE w:val="0"/>
        <w:autoSpaceDN w:val="0"/>
        <w:spacing w:before="95" w:line="480" w:lineRule="auto"/>
        <w:ind w:right="347"/>
        <w:jc w:val="both"/>
        <w:rPr>
          <w:rFonts w:ascii="Times New Roman" w:hAnsi="Times New Roman" w:eastAsia="Arial MT" w:cs="Times New Roman"/>
          <w:sz w:val="24"/>
          <w:szCs w:val="24"/>
        </w:rPr>
      </w:pPr>
      <w:r>
        <w:rPr>
          <w:rFonts w:ascii="Times New Roman" w:hAnsi="Times New Roman" w:eastAsia="Arial MT" w:cs="Times New Roman"/>
          <w:color w:val="202024"/>
          <w:sz w:val="24"/>
          <w:szCs w:val="24"/>
        </w:rPr>
        <w:t>19. In your opinion, to what extent has the delay in fiscal and tax policy and tax</w:t>
      </w:r>
      <w:r>
        <w:rPr>
          <w:rFonts w:ascii="Times New Roman" w:hAnsi="Times New Roman" w:eastAsia="Arial MT" w:cs="Times New Roman"/>
          <w:color w:val="202024"/>
          <w:spacing w:val="-64"/>
          <w:sz w:val="24"/>
          <w:szCs w:val="24"/>
        </w:rPr>
        <w:t xml:space="preserve"> </w:t>
      </w:r>
      <w:r>
        <w:rPr>
          <w:rFonts w:ascii="Times New Roman" w:hAnsi="Times New Roman" w:eastAsia="Arial MT" w:cs="Times New Roman"/>
          <w:color w:val="202024"/>
          <w:sz w:val="24"/>
          <w:szCs w:val="24"/>
        </w:rPr>
        <w:t>law reform contributed to creating uncertainty in investment decision making in</w:t>
      </w:r>
      <w:r>
        <w:rPr>
          <w:rFonts w:ascii="Times New Roman" w:hAnsi="Times New Roman" w:eastAsia="Arial MT" w:cs="Times New Roman"/>
          <w:color w:val="202024"/>
          <w:spacing w:val="-64"/>
          <w:sz w:val="24"/>
          <w:szCs w:val="24"/>
        </w:rPr>
        <w:t xml:space="preserve"> </w:t>
      </w:r>
      <w:r>
        <w:rPr>
          <w:rFonts w:ascii="Times New Roman" w:hAnsi="Times New Roman" w:eastAsia="Arial MT" w:cs="Times New Roman"/>
          <w:color w:val="202024"/>
          <w:sz w:val="24"/>
          <w:szCs w:val="24"/>
        </w:rPr>
        <w:t>the Nigerian oil and gas tax sector?</w:t>
      </w:r>
    </w:p>
    <w:p w14:paraId="05D4A903">
      <w:pPr>
        <w:widowControl w:val="0"/>
        <w:tabs>
          <w:tab w:val="left" w:pos="738"/>
        </w:tabs>
        <w:autoSpaceDE w:val="0"/>
        <w:autoSpaceDN w:val="0"/>
        <w:spacing w:before="95" w:line="480" w:lineRule="auto"/>
        <w:ind w:right="347"/>
        <w:jc w:val="both"/>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4A647E4E">
      <w:pPr>
        <w:widowControl w:val="0"/>
        <w:tabs>
          <w:tab w:val="left" w:pos="738"/>
        </w:tabs>
        <w:autoSpaceDE w:val="0"/>
        <w:autoSpaceDN w:val="0"/>
        <w:spacing w:before="95" w:line="480" w:lineRule="auto"/>
        <w:ind w:right="347"/>
        <w:jc w:val="both"/>
        <w:rPr>
          <w:rFonts w:ascii="Roboto" w:hAnsi="Arial MT" w:eastAsia="Arial MT" w:cs="Arial MT"/>
          <w:sz w:val="21"/>
          <w:szCs w:val="22"/>
        </w:rPr>
      </w:pPr>
      <w:r>
        <w:rPr>
          <w:rFonts w:ascii="Roboto" w:hAnsi="Arial MT" w:eastAsia="Arial MT" w:cs="Arial MT"/>
          <w:i/>
          <w:sz w:val="28"/>
        </w:rPr>
        <w:tab/>
      </w:r>
      <w:r>
        <w:rPr>
          <w:rFonts w:ascii="Roboto" w:hAnsi="Arial MT" w:eastAsia="Arial MT" w:cs="Arial MT"/>
          <w:i/>
          <w:sz w:val="28"/>
        </w:rPr>
        <w:tab/>
      </w:r>
      <w:r>
        <w:rPr>
          <w:rFonts w:ascii="Roboto" w:hAnsi="Arial MT" w:eastAsia="Arial MT" w:cs="Arial MT"/>
          <w:color w:val="202024"/>
          <w:sz w:val="21"/>
          <w:szCs w:val="22"/>
        </w:rPr>
        <w:t>1       2</w:t>
      </w:r>
      <w:r>
        <w:rPr>
          <w:rFonts w:ascii="Roboto" w:hAnsi="Arial MT" w:eastAsia="Arial MT" w:cs="Arial MT"/>
          <w:color w:val="202024"/>
          <w:sz w:val="21"/>
          <w:szCs w:val="22"/>
        </w:rPr>
        <w:tab/>
      </w:r>
      <w:r>
        <w:rPr>
          <w:rFonts w:ascii="Roboto" w:hAnsi="Arial MT" w:eastAsia="Arial MT" w:cs="Arial MT"/>
          <w:color w:val="202024"/>
          <w:sz w:val="21"/>
          <w:szCs w:val="22"/>
        </w:rPr>
        <w:t xml:space="preserve">     3</w:t>
      </w:r>
      <w:r>
        <w:rPr>
          <w:rFonts w:ascii="Roboto" w:hAnsi="Arial MT" w:eastAsia="Arial MT" w:cs="Arial MT"/>
          <w:color w:val="202024"/>
          <w:sz w:val="21"/>
          <w:szCs w:val="22"/>
        </w:rPr>
        <w:tab/>
      </w:r>
      <w:r>
        <w:rPr>
          <w:rFonts w:ascii="Roboto" w:hAnsi="Arial MT" w:eastAsia="Arial MT" w:cs="Arial MT"/>
          <w:color w:val="202024"/>
          <w:sz w:val="21"/>
          <w:szCs w:val="22"/>
        </w:rPr>
        <w:t>4      5</w:t>
      </w:r>
      <w:r>
        <w:rPr>
          <w:rFonts w:ascii="Roboto" w:hAnsi="Arial MT" w:eastAsia="Arial MT" w:cs="Arial MT"/>
          <w:sz w:val="13"/>
        </w:rPr>
        <w:t xml:space="preserve">     </w:t>
      </w:r>
    </w:p>
    <w:p w14:paraId="0C4E423E">
      <w:pPr>
        <w:widowControl w:val="0"/>
        <w:tabs>
          <w:tab w:val="left" w:pos="738"/>
        </w:tabs>
        <w:autoSpaceDE w:val="0"/>
        <w:autoSpaceDN w:val="0"/>
        <w:spacing w:before="95" w:line="480" w:lineRule="auto"/>
        <w:ind w:right="347"/>
        <w:jc w:val="both"/>
        <w:rPr>
          <w:rFonts w:ascii="Roboto" w:hAnsi="Arial MT" w:eastAsia="Arial MT" w:cs="Arial MT"/>
          <w:sz w:val="16"/>
        </w:rPr>
      </w:pPr>
      <w:r>
        <w:rPr>
          <w:rFonts w:ascii="Roboto" w:hAnsi="Arial MT" w:eastAsia="Arial MT" w:cs="Arial MT"/>
          <w:sz w:val="13"/>
        </w:rPr>
        <w:t xml:space="preserve">                                           </w:t>
      </w:r>
      <w:r>
        <w:rPr>
          <w:rFonts w:ascii="Roboto" w:hAnsi="Arial MT" w:eastAsia="Arial MT" w:cs="Arial MT"/>
          <w:sz w:val="20"/>
          <w:szCs w:val="22"/>
        </w:rPr>
        <w:drawing>
          <wp:inline distT="0" distB="0" distL="0" distR="0">
            <wp:extent cx="209550" cy="171450"/>
            <wp:effectExtent l="0" t="0" r="0" b="0"/>
            <wp:docPr id="10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5.png"/>
                    <pic:cNvPicPr>
                      <a:picLocks noChangeAspect="1"/>
                    </pic:cNvPicPr>
                  </pic:nvPicPr>
                  <pic:blipFill>
                    <a:blip r:embed="rId105"/>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10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5.png"/>
                    <pic:cNvPicPr>
                      <a:picLocks noChangeAspect="1"/>
                    </pic:cNvPicPr>
                  </pic:nvPicPr>
                  <pic:blipFill>
                    <a:blip r:embed="rId105"/>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104"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5.png"/>
                    <pic:cNvPicPr>
                      <a:picLocks noChangeAspect="1"/>
                    </pic:cNvPicPr>
                  </pic:nvPicPr>
                  <pic:blipFill>
                    <a:blip r:embed="rId105"/>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10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6.png"/>
                    <pic:cNvPicPr>
                      <a:picLocks noChangeAspect="1"/>
                    </pic:cNvPicPr>
                  </pic:nvPicPr>
                  <pic:blipFill>
                    <a:blip r:embed="rId106"/>
                    <a:stretch>
                      <a:fillRect/>
                    </a:stretch>
                  </pic:blipFill>
                  <pic:spPr>
                    <a:xfrm>
                      <a:off x="0" y="0"/>
                      <a:ext cx="209550" cy="171450"/>
                    </a:xfrm>
                    <a:prstGeom prst="rect">
                      <a:avLst/>
                    </a:prstGeom>
                    <a:noFill/>
                    <a:ln>
                      <a:noFill/>
                    </a:ln>
                  </pic:spPr>
                </pic:pic>
              </a:graphicData>
            </a:graphic>
          </wp:inline>
        </w:drawing>
      </w:r>
      <w:r>
        <w:rPr>
          <w:rFonts w:hAnsi="Arial MT" w:eastAsia="Arial MT" w:cs="Arial MT"/>
          <w:spacing w:val="100"/>
          <w:sz w:val="20"/>
          <w:szCs w:val="22"/>
        </w:rPr>
        <w:t xml:space="preserve"> </w:t>
      </w:r>
      <w:r>
        <w:rPr>
          <w:rFonts w:ascii="Roboto" w:hAnsi="Arial MT" w:eastAsia="Arial MT" w:cs="Arial MT"/>
          <w:spacing w:val="100"/>
          <w:sz w:val="20"/>
          <w:szCs w:val="22"/>
        </w:rPr>
        <w:drawing>
          <wp:inline distT="0" distB="0" distL="0" distR="0">
            <wp:extent cx="209550" cy="171450"/>
            <wp:effectExtent l="0" t="0" r="0" b="0"/>
            <wp:docPr id="106"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7.png"/>
                    <pic:cNvPicPr>
                      <a:picLocks noChangeAspect="1"/>
                    </pic:cNvPicPr>
                  </pic:nvPicPr>
                  <pic:blipFill>
                    <a:blip r:embed="rId105"/>
                    <a:stretch>
                      <a:fillRect/>
                    </a:stretch>
                  </pic:blipFill>
                  <pic:spPr>
                    <a:xfrm>
                      <a:off x="0" y="0"/>
                      <a:ext cx="209550" cy="171450"/>
                    </a:xfrm>
                    <a:prstGeom prst="rect">
                      <a:avLst/>
                    </a:prstGeom>
                    <a:noFill/>
                    <a:ln>
                      <a:noFill/>
                    </a:ln>
                  </pic:spPr>
                </pic:pic>
              </a:graphicData>
            </a:graphic>
          </wp:inline>
        </w:drawing>
      </w:r>
    </w:p>
    <w:p w14:paraId="314FF813">
      <w:pPr>
        <w:widowControl w:val="0"/>
        <w:numPr>
          <w:ilvl w:val="0"/>
          <w:numId w:val="42"/>
        </w:numPr>
        <w:tabs>
          <w:tab w:val="left" w:pos="737"/>
          <w:tab w:val="left" w:pos="738"/>
        </w:tabs>
        <w:autoSpaceDE w:val="0"/>
        <w:autoSpaceDN w:val="0"/>
        <w:spacing w:before="95" w:line="480" w:lineRule="auto"/>
        <w:ind w:right="241"/>
        <w:jc w:val="both"/>
        <w:rPr>
          <w:rFonts w:eastAsia="Arial MT"/>
        </w:rPr>
      </w:pPr>
      <w:r>
        <w:rPr>
          <w:rFonts w:eastAsia="Arial MT"/>
          <w:color w:val="202024"/>
        </w:rPr>
        <w:t>20. In your opinion, how important are the combination of fiscal regimes and the</w:t>
      </w:r>
      <w:r>
        <w:rPr>
          <w:rFonts w:eastAsia="Arial MT"/>
          <w:color w:val="202024"/>
          <w:spacing w:val="-64"/>
        </w:rPr>
        <w:t xml:space="preserve"> </w:t>
      </w:r>
      <w:r>
        <w:rPr>
          <w:rFonts w:eastAsia="Arial MT"/>
          <w:color w:val="202024"/>
        </w:rPr>
        <w:t>different tax systems and rates under the PIA, for offshore and onshore</w:t>
      </w:r>
      <w:r>
        <w:rPr>
          <w:rFonts w:eastAsia="Arial MT"/>
          <w:color w:val="202024"/>
          <w:spacing w:val="1"/>
        </w:rPr>
        <w:t xml:space="preserve"> </w:t>
      </w:r>
      <w:r>
        <w:rPr>
          <w:rFonts w:eastAsia="Arial MT"/>
          <w:color w:val="202024"/>
        </w:rPr>
        <w:t>petroleum</w:t>
      </w:r>
      <w:r>
        <w:rPr>
          <w:rFonts w:eastAsia="Arial MT"/>
          <w:color w:val="202024"/>
          <w:spacing w:val="-2"/>
        </w:rPr>
        <w:t xml:space="preserve"> </w:t>
      </w:r>
      <w:r>
        <w:rPr>
          <w:rFonts w:eastAsia="Arial MT"/>
          <w:color w:val="202024"/>
        </w:rPr>
        <w:t>operations</w:t>
      </w:r>
      <w:r>
        <w:rPr>
          <w:rFonts w:eastAsia="Arial MT"/>
          <w:color w:val="202024"/>
          <w:spacing w:val="-2"/>
        </w:rPr>
        <w:t xml:space="preserve"> </w:t>
      </w:r>
      <w:r>
        <w:rPr>
          <w:rFonts w:eastAsia="Arial MT"/>
          <w:color w:val="202024"/>
        </w:rPr>
        <w:t>in</w:t>
      </w:r>
      <w:r>
        <w:rPr>
          <w:rFonts w:eastAsia="Arial MT"/>
          <w:color w:val="202024"/>
          <w:spacing w:val="-2"/>
        </w:rPr>
        <w:t xml:space="preserve"> </w:t>
      </w:r>
      <w:r>
        <w:rPr>
          <w:rFonts w:eastAsia="Arial MT"/>
          <w:color w:val="202024"/>
        </w:rPr>
        <w:t>achieving</w:t>
      </w:r>
      <w:r>
        <w:rPr>
          <w:rFonts w:eastAsia="Arial MT"/>
          <w:color w:val="202024"/>
          <w:spacing w:val="-2"/>
        </w:rPr>
        <w:t xml:space="preserve"> </w:t>
      </w:r>
      <w:r>
        <w:rPr>
          <w:rFonts w:eastAsia="Arial MT"/>
          <w:color w:val="202024"/>
        </w:rPr>
        <w:t>clarity,</w:t>
      </w:r>
      <w:r>
        <w:rPr>
          <w:rFonts w:eastAsia="Arial MT"/>
          <w:color w:val="202024"/>
          <w:spacing w:val="-1"/>
        </w:rPr>
        <w:t xml:space="preserve"> </w:t>
      </w:r>
      <w:r>
        <w:rPr>
          <w:rFonts w:eastAsia="Arial MT"/>
          <w:color w:val="202024"/>
        </w:rPr>
        <w:t>certainty</w:t>
      </w:r>
      <w:r>
        <w:rPr>
          <w:rFonts w:eastAsia="Arial MT"/>
          <w:color w:val="202024"/>
          <w:spacing w:val="-2"/>
        </w:rPr>
        <w:t xml:space="preserve"> </w:t>
      </w:r>
      <w:r>
        <w:rPr>
          <w:rFonts w:eastAsia="Arial MT"/>
          <w:color w:val="202024"/>
        </w:rPr>
        <w:t>and</w:t>
      </w:r>
      <w:r>
        <w:rPr>
          <w:rFonts w:eastAsia="Arial MT"/>
          <w:color w:val="202024"/>
          <w:spacing w:val="-2"/>
        </w:rPr>
        <w:t xml:space="preserve"> </w:t>
      </w:r>
      <w:r>
        <w:rPr>
          <w:rFonts w:eastAsia="Arial MT"/>
          <w:color w:val="202024"/>
        </w:rPr>
        <w:t>effective</w:t>
      </w:r>
      <w:r>
        <w:rPr>
          <w:rFonts w:eastAsia="Arial MT"/>
          <w:color w:val="202024"/>
          <w:spacing w:val="-2"/>
        </w:rPr>
        <w:t xml:space="preserve"> </w:t>
      </w:r>
      <w:r>
        <w:rPr>
          <w:rFonts w:eastAsia="Arial MT"/>
          <w:color w:val="202024"/>
        </w:rPr>
        <w:t>compliance?</w:t>
      </w:r>
    </w:p>
    <w:p w14:paraId="63ECC98A">
      <w:pPr>
        <w:widowControl w:val="0"/>
        <w:autoSpaceDE w:val="0"/>
        <w:autoSpaceDN w:val="0"/>
        <w:spacing w:before="95" w:line="480" w:lineRule="auto"/>
        <w:jc w:val="both"/>
        <w:rPr>
          <w:rFonts w:eastAsia="Arial MT"/>
          <w:i/>
        </w:rPr>
      </w:pPr>
      <w:r>
        <w:rPr>
          <w:rFonts w:eastAsia="Arial MT"/>
          <w:i/>
          <w:color w:val="6D6F72"/>
        </w:rPr>
        <w:t>Mark</w:t>
      </w:r>
      <w:r>
        <w:rPr>
          <w:rFonts w:eastAsia="Arial MT"/>
          <w:i/>
          <w:color w:val="6D6F72"/>
          <w:spacing w:val="-2"/>
        </w:rPr>
        <w:t xml:space="preserve"> </w:t>
      </w:r>
      <w:r>
        <w:rPr>
          <w:rFonts w:eastAsia="Arial MT"/>
          <w:i/>
          <w:color w:val="6D6F72"/>
        </w:rPr>
        <w:t>only</w:t>
      </w:r>
      <w:r>
        <w:rPr>
          <w:rFonts w:eastAsia="Arial MT"/>
          <w:i/>
          <w:color w:val="6D6F72"/>
          <w:spacing w:val="-1"/>
        </w:rPr>
        <w:t xml:space="preserve"> </w:t>
      </w:r>
      <w:r>
        <w:rPr>
          <w:rFonts w:eastAsia="Arial MT"/>
          <w:i/>
          <w:color w:val="6D6F72"/>
        </w:rPr>
        <w:t>one</w:t>
      </w:r>
      <w:r>
        <w:rPr>
          <w:rFonts w:eastAsia="Arial MT"/>
          <w:i/>
          <w:color w:val="6D6F72"/>
          <w:spacing w:val="-1"/>
        </w:rPr>
        <w:t xml:space="preserve"> </w:t>
      </w:r>
      <w:r>
        <w:rPr>
          <w:rFonts w:eastAsia="Arial MT"/>
          <w:i/>
          <w:color w:val="6D6F72"/>
        </w:rPr>
        <w:t>oval.</w:t>
      </w:r>
    </w:p>
    <w:p w14:paraId="0DFCAEC5">
      <w:pPr>
        <w:widowControl w:val="0"/>
        <w:tabs>
          <w:tab w:val="left" w:pos="1937"/>
          <w:tab w:val="left" w:pos="2417"/>
          <w:tab w:val="left" w:pos="2897"/>
          <w:tab w:val="left" w:pos="3377"/>
        </w:tabs>
        <w:autoSpaceDE w:val="0"/>
        <w:autoSpaceDN w:val="0"/>
        <w:spacing w:before="95" w:line="480" w:lineRule="auto"/>
        <w:jc w:val="both"/>
        <w:rPr>
          <w:rFonts w:eastAsia="Arial MT"/>
        </w:rPr>
      </w:pPr>
      <w:r>
        <w:rPr>
          <w:rFonts w:eastAsia="Arial MT"/>
          <w:color w:val="202024"/>
        </w:rPr>
        <w:tab/>
      </w:r>
      <w:r>
        <w:rPr>
          <w:rFonts w:eastAsia="Arial MT"/>
          <w:color w:val="202024"/>
        </w:rPr>
        <w:t>1</w:t>
      </w:r>
      <w:r>
        <w:rPr>
          <w:rFonts w:eastAsia="Arial MT"/>
          <w:color w:val="202024"/>
        </w:rPr>
        <w:tab/>
      </w:r>
      <w:r>
        <w:rPr>
          <w:rFonts w:eastAsia="Arial MT"/>
          <w:color w:val="202024"/>
        </w:rPr>
        <w:t>2</w:t>
      </w:r>
      <w:r>
        <w:rPr>
          <w:rFonts w:eastAsia="Arial MT"/>
          <w:color w:val="202024"/>
        </w:rPr>
        <w:tab/>
      </w:r>
      <w:r>
        <w:rPr>
          <w:rFonts w:eastAsia="Arial MT"/>
          <w:color w:val="202024"/>
        </w:rPr>
        <w:t>3</w:t>
      </w:r>
      <w:r>
        <w:rPr>
          <w:rFonts w:eastAsia="Arial MT"/>
          <w:color w:val="202024"/>
        </w:rPr>
        <w:tab/>
      </w:r>
      <w:r>
        <w:rPr>
          <w:rFonts w:eastAsia="Arial MT"/>
          <w:color w:val="202024"/>
        </w:rPr>
        <w:t xml:space="preserve"> 4</w:t>
      </w:r>
      <w:r>
        <w:rPr>
          <w:rFonts w:eastAsia="Arial MT"/>
          <w:color w:val="202024"/>
        </w:rPr>
        <w:tab/>
      </w:r>
      <w:r>
        <w:rPr>
          <w:rFonts w:eastAsia="Arial MT"/>
          <w:color w:val="202024"/>
        </w:rPr>
        <w:t xml:space="preserve">      5</w:t>
      </w:r>
    </w:p>
    <w:p w14:paraId="31C963CE">
      <w:pPr>
        <w:widowControl w:val="0"/>
        <w:autoSpaceDE w:val="0"/>
        <w:autoSpaceDN w:val="0"/>
        <w:spacing w:line="480" w:lineRule="auto"/>
        <w:jc w:val="both"/>
        <w:rPr>
          <w:rFonts w:eastAsia="Arial MT"/>
        </w:rPr>
      </w:pPr>
      <w:r>
        <w:rPr>
          <w:rFonts w:eastAsia="Arial MT"/>
        </w:rPr>
        <w:t xml:space="preserve">                   </w:t>
      </w:r>
      <w:r>
        <w:rPr>
          <w:rFonts w:eastAsia="Arial MT"/>
        </w:rPr>
        <w:tab/>
      </w:r>
      <w:r>
        <w:rPr>
          <w:rFonts w:eastAsia="Arial MT"/>
        </w:rPr>
        <w:t xml:space="preserve">        </w:t>
      </w:r>
      <w:r>
        <w:rPr>
          <w:rFonts w:eastAsia="Arial MT"/>
        </w:rPr>
        <w:drawing>
          <wp:inline distT="0" distB="0" distL="0" distR="0">
            <wp:extent cx="209550" cy="171450"/>
            <wp:effectExtent l="0" t="0" r="0" b="0"/>
            <wp:docPr id="10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78.png"/>
                    <pic:cNvPicPr>
                      <a:picLocks noChangeAspect="1"/>
                    </pic:cNvPicPr>
                  </pic:nvPicPr>
                  <pic:blipFill>
                    <a:blip r:embed="rId107"/>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08"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8.png"/>
                    <pic:cNvPicPr>
                      <a:picLocks noChangeAspect="1"/>
                    </pic:cNvPicPr>
                  </pic:nvPicPr>
                  <pic:blipFill>
                    <a:blip r:embed="rId107"/>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0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8.png"/>
                    <pic:cNvPicPr>
                      <a:picLocks noChangeAspect="1"/>
                    </pic:cNvPicPr>
                  </pic:nvPicPr>
                  <pic:blipFill>
                    <a:blip r:embed="rId107"/>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10"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9.png"/>
                    <pic:cNvPicPr>
                      <a:picLocks noChangeAspect="1"/>
                    </pic:cNvPicPr>
                  </pic:nvPicPr>
                  <pic:blipFill>
                    <a:blip r:embed="rId108"/>
                    <a:stretch>
                      <a:fillRect/>
                    </a:stretch>
                  </pic:blipFill>
                  <pic:spPr>
                    <a:xfrm>
                      <a:off x="0" y="0"/>
                      <a:ext cx="209550" cy="171450"/>
                    </a:xfrm>
                    <a:prstGeom prst="rect">
                      <a:avLst/>
                    </a:prstGeom>
                    <a:noFill/>
                    <a:ln>
                      <a:noFill/>
                    </a:ln>
                  </pic:spPr>
                </pic:pic>
              </a:graphicData>
            </a:graphic>
          </wp:inline>
        </w:drawing>
      </w:r>
      <w:r>
        <w:rPr>
          <w:rFonts w:eastAsia="Arial MT"/>
          <w:spacing w:val="100"/>
        </w:rPr>
        <w:t xml:space="preserve"> </w:t>
      </w:r>
      <w:r>
        <w:rPr>
          <w:rFonts w:eastAsia="Arial MT"/>
          <w:spacing w:val="100"/>
        </w:rPr>
        <w:drawing>
          <wp:inline distT="0" distB="0" distL="0" distR="0">
            <wp:extent cx="209550" cy="171450"/>
            <wp:effectExtent l="0" t="0" r="0" b="0"/>
            <wp:docPr id="11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0.png"/>
                    <pic:cNvPicPr>
                      <a:picLocks noChangeAspect="1"/>
                    </pic:cNvPicPr>
                  </pic:nvPicPr>
                  <pic:blipFill>
                    <a:blip r:embed="rId109"/>
                    <a:stretch>
                      <a:fillRect/>
                    </a:stretch>
                  </pic:blipFill>
                  <pic:spPr>
                    <a:xfrm>
                      <a:off x="0" y="0"/>
                      <a:ext cx="209550" cy="171450"/>
                    </a:xfrm>
                    <a:prstGeom prst="rect">
                      <a:avLst/>
                    </a:prstGeom>
                    <a:noFill/>
                    <a:ln>
                      <a:noFill/>
                    </a:ln>
                  </pic:spPr>
                </pic:pic>
              </a:graphicData>
            </a:graphic>
          </wp:inline>
        </w:drawing>
      </w:r>
    </w:p>
    <w:p w14:paraId="16069E12">
      <w:pPr>
        <w:widowControl w:val="0"/>
        <w:autoSpaceDE w:val="0"/>
        <w:autoSpaceDN w:val="0"/>
        <w:rPr>
          <w:rFonts w:ascii="Roboto" w:hAnsi="Arial MT" w:eastAsia="Arial MT" w:cs="Arial MT"/>
          <w:sz w:val="5"/>
          <w:szCs w:val="22"/>
        </w:rPr>
        <w:sectPr>
          <w:pgSz w:w="11900" w:h="16840"/>
          <w:pgMar w:top="460" w:right="1200" w:bottom="440" w:left="1260" w:header="269" w:footer="253" w:gutter="0"/>
          <w:cols w:space="720" w:num="1"/>
        </w:sectPr>
      </w:pPr>
    </w:p>
    <w:p w14:paraId="16EACFEA">
      <w:pPr>
        <w:widowControl w:val="0"/>
        <w:autoSpaceDE w:val="0"/>
        <w:autoSpaceDN w:val="0"/>
        <w:spacing w:before="6"/>
        <w:rPr>
          <w:rFonts w:ascii="Roboto" w:hAnsi="Arial MT" w:eastAsia="Arial MT" w:cs="Arial MT"/>
          <w:sz w:val="11"/>
        </w:rPr>
      </w:pPr>
    </w:p>
    <w:p w14:paraId="49370066">
      <w:pPr>
        <w:widowControl w:val="0"/>
        <w:autoSpaceDE w:val="0"/>
        <w:autoSpaceDN w:val="0"/>
        <w:spacing w:before="6"/>
        <w:rPr>
          <w:rFonts w:eastAsia="Arial MT"/>
          <w:szCs w:val="22"/>
        </w:rPr>
      </w:pPr>
      <w:r>
        <w:rPr>
          <w:rFonts w:eastAsia="Arial MT"/>
          <w:color w:val="202024"/>
          <w:szCs w:val="22"/>
        </w:rPr>
        <w:t>Please add any other important comments below_5:</w:t>
      </w:r>
    </w:p>
    <w:p w14:paraId="5E173254">
      <w:pPr>
        <w:widowControl w:val="0"/>
        <w:autoSpaceDE w:val="0"/>
        <w:autoSpaceDN w:val="0"/>
        <w:rPr>
          <w:rFonts w:ascii="Arial MT" w:hAnsi="Arial MT" w:eastAsia="Arial MT" w:cs="Arial MT"/>
          <w:sz w:val="20"/>
        </w:rPr>
      </w:pPr>
    </w:p>
    <w:p w14:paraId="3AF2A239">
      <w:pPr>
        <w:widowControl w:val="0"/>
        <w:autoSpaceDE w:val="0"/>
        <w:autoSpaceDN w:val="0"/>
        <w:rPr>
          <w:rFonts w:ascii="Arial MT" w:hAnsi="Arial MT" w:eastAsia="Arial MT" w:cs="Arial MT"/>
          <w:sz w:val="20"/>
        </w:rPr>
      </w:pPr>
    </w:p>
    <w:p w14:paraId="09463928">
      <w:pPr>
        <w:widowControl w:val="0"/>
        <w:autoSpaceDE w:val="0"/>
        <w:autoSpaceDN w:val="0"/>
        <w:spacing w:before="10"/>
        <w:rPr>
          <w:rFonts w:ascii="Arial MT" w:hAnsi="Arial MT" w:eastAsia="Arial MT" w:cs="Arial MT"/>
          <w:sz w:val="17"/>
        </w:rPr>
      </w:pPr>
      <w:r>
        <mc:AlternateContent>
          <mc:Choice Requires="wps">
            <w:drawing>
              <wp:anchor distT="0" distB="0" distL="0" distR="0" simplePos="0" relativeHeight="251666432" behindDoc="1" locked="0" layoutInCell="1" allowOverlap="1">
                <wp:simplePos x="0" y="0"/>
                <wp:positionH relativeFrom="page">
                  <wp:posOffset>1266825</wp:posOffset>
                </wp:positionH>
                <wp:positionV relativeFrom="paragraph">
                  <wp:posOffset>155575</wp:posOffset>
                </wp:positionV>
                <wp:extent cx="2733675" cy="9525"/>
                <wp:effectExtent l="0" t="0" r="0" b="0"/>
                <wp:wrapTopAndBottom/>
                <wp:docPr id="943310030" name="Rectangle 103"/>
                <wp:cNvGraphicFramePr/>
                <a:graphic xmlns:a="http://schemas.openxmlformats.org/drawingml/2006/main">
                  <a:graphicData uri="http://schemas.microsoft.com/office/word/2010/wordprocessingShape">
                    <wps:wsp>
                      <wps:cNvSpPr>
                        <a:spLocks noChangeArrowheads="1"/>
                      </wps:cNvSpPr>
                      <wps:spPr bwMode="auto">
                        <a:xfrm>
                          <a:off x="0" y="0"/>
                          <a:ext cx="2733675" cy="952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103" o:spid="_x0000_s1026" o:spt="1" style="position:absolute;left:0pt;margin-left:99.75pt;margin-top:12.25pt;height:0.75pt;width:215.25pt;mso-position-horizontal-relative:page;mso-wrap-distance-bottom:0pt;mso-wrap-distance-top:0pt;z-index:-251650048;mso-width-relative:page;mso-height-relative:page;" fillcolor="#BDC1C6" filled="t" stroked="f" coordsize="21600,21600" o:gfxdata="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DFTudUAAAAJ&#10;AQAADwAAAAAAAAABACAAAAAiAAAAZHJzL2Rvd25yZXYueG1sUEsBAhQAFAAAAAgAh07iQJ9xkCMf&#10;AgAAPwQAAA4AAAAAAAAAAQAgAAAAJAEAAGRycy9lMm9Eb2MueG1sUEsFBgAAAAAGAAYAWQEAALUF&#10;AAAAAA==&#10;">
                <v:fill on="t" focussize="0,0"/>
                <v:stroke on="f"/>
                <v:imagedata o:title=""/>
                <o:lock v:ext="edit" aspectratio="f"/>
                <w10:wrap type="topAndBottom"/>
              </v:rect>
            </w:pict>
          </mc:Fallback>
        </mc:AlternateContent>
      </w:r>
    </w:p>
    <w:p w14:paraId="660B5BD7">
      <w:pPr>
        <w:widowControl w:val="0"/>
        <w:autoSpaceDE w:val="0"/>
        <w:autoSpaceDN w:val="0"/>
        <w:rPr>
          <w:rFonts w:ascii="Arial MT" w:hAnsi="Arial MT" w:eastAsia="Arial MT" w:cs="Arial MT"/>
          <w:sz w:val="28"/>
        </w:rPr>
      </w:pPr>
    </w:p>
    <w:p w14:paraId="5CCF3CAB">
      <w:pPr>
        <w:widowControl w:val="0"/>
        <w:autoSpaceDE w:val="0"/>
        <w:autoSpaceDN w:val="0"/>
        <w:spacing w:before="2"/>
        <w:rPr>
          <w:rFonts w:ascii="Arial MT" w:hAnsi="Arial MT" w:eastAsia="Arial MT" w:cs="Arial MT"/>
          <w:sz w:val="29"/>
        </w:rPr>
      </w:pPr>
    </w:p>
    <w:p w14:paraId="155745BD">
      <w:pPr>
        <w:widowControl w:val="0"/>
        <w:numPr>
          <w:ilvl w:val="0"/>
          <w:numId w:val="42"/>
        </w:numPr>
        <w:tabs>
          <w:tab w:val="left" w:pos="737"/>
          <w:tab w:val="left" w:pos="738"/>
        </w:tabs>
        <w:autoSpaceDE w:val="0"/>
        <w:autoSpaceDN w:val="0"/>
        <w:ind w:hanging="634"/>
        <w:rPr>
          <w:rFonts w:eastAsia="Arial MT"/>
        </w:rPr>
      </w:pPr>
      <w:r>
        <w:rPr>
          <w:rFonts w:eastAsia="Arial MT"/>
          <w:color w:val="202024"/>
        </w:rPr>
        <w:t>Please tick the box that most closely describes your work.</w:t>
      </w:r>
    </w:p>
    <w:p w14:paraId="501B206D">
      <w:pPr>
        <w:widowControl w:val="0"/>
        <w:autoSpaceDE w:val="0"/>
        <w:autoSpaceDN w:val="0"/>
        <w:spacing w:before="5"/>
        <w:rPr>
          <w:rFonts w:eastAsia="Arial MT"/>
        </w:rPr>
      </w:pPr>
    </w:p>
    <w:p w14:paraId="3BB7DB5A">
      <w:pPr>
        <w:widowControl w:val="0"/>
        <w:autoSpaceDE w:val="0"/>
        <w:autoSpaceDN w:val="0"/>
        <w:spacing w:before="95"/>
        <w:rPr>
          <w:rFonts w:eastAsia="Arial MT"/>
          <w:i/>
        </w:rPr>
      </w:pPr>
      <w:r>
        <w:rPr>
          <w:rFonts w:eastAsia="Arial MT"/>
          <w:i/>
          <w:color w:val="6D6F72"/>
        </w:rPr>
        <w:t>Check</w:t>
      </w:r>
      <w:r>
        <w:rPr>
          <w:rFonts w:eastAsia="Arial MT"/>
          <w:i/>
          <w:color w:val="6D6F72"/>
          <w:spacing w:val="-2"/>
        </w:rPr>
        <w:t xml:space="preserve"> </w:t>
      </w:r>
      <w:r>
        <w:rPr>
          <w:rFonts w:eastAsia="Arial MT"/>
          <w:i/>
          <w:color w:val="6D6F72"/>
        </w:rPr>
        <w:t>all</w:t>
      </w:r>
      <w:r>
        <w:rPr>
          <w:rFonts w:eastAsia="Arial MT"/>
          <w:i/>
          <w:color w:val="6D6F72"/>
          <w:spacing w:val="-3"/>
        </w:rPr>
        <w:t xml:space="preserve"> </w:t>
      </w:r>
      <w:r>
        <w:rPr>
          <w:rFonts w:eastAsia="Arial MT"/>
          <w:i/>
          <w:color w:val="6D6F72"/>
        </w:rPr>
        <w:t>that</w:t>
      </w:r>
      <w:r>
        <w:rPr>
          <w:rFonts w:eastAsia="Arial MT"/>
          <w:i/>
          <w:color w:val="6D6F72"/>
          <w:spacing w:val="-2"/>
        </w:rPr>
        <w:t xml:space="preserve"> </w:t>
      </w:r>
      <w:r>
        <w:rPr>
          <w:rFonts w:eastAsia="Arial MT"/>
          <w:i/>
          <w:color w:val="6D6F72"/>
        </w:rPr>
        <w:t>apply.</w:t>
      </w:r>
    </w:p>
    <w:p w14:paraId="1766D8CD">
      <w:pPr>
        <w:widowControl w:val="0"/>
        <w:autoSpaceDE w:val="0"/>
        <w:autoSpaceDN w:val="0"/>
        <w:spacing w:before="5"/>
        <w:rPr>
          <w:rFonts w:eastAsia="Arial MT"/>
          <w:i/>
        </w:rPr>
      </w:pPr>
    </w:p>
    <w:p w14:paraId="5F97E06D">
      <w:pPr>
        <w:widowControl w:val="0"/>
        <w:autoSpaceDE w:val="0"/>
        <w:autoSpaceDN w:val="0"/>
        <w:spacing w:before="1" w:line="480" w:lineRule="auto"/>
        <w:jc w:val="both"/>
        <w:rPr>
          <w:rFonts w:eastAsia="Arial MT"/>
        </w:rPr>
      </w:pPr>
      <w:r>
        <mc:AlternateContent>
          <mc:Choice Requires="wps">
            <w:drawing>
              <wp:anchor distT="0" distB="0" distL="114300" distR="114300" simplePos="0" relativeHeight="251667456" behindDoc="0" locked="0" layoutInCell="1" allowOverlap="1">
                <wp:simplePos x="0" y="0"/>
                <wp:positionH relativeFrom="page">
                  <wp:posOffset>4742180</wp:posOffset>
                </wp:positionH>
                <wp:positionV relativeFrom="paragraph">
                  <wp:posOffset>11430</wp:posOffset>
                </wp:positionV>
                <wp:extent cx="161925" cy="161925"/>
                <wp:effectExtent l="0" t="0" r="9525" b="9525"/>
                <wp:wrapNone/>
                <wp:docPr id="32617932" name="Rectangle 102"/>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102" o:spid="_x0000_s1026" o:spt="1" style="position:absolute;left:0pt;margin-left:373.4pt;margin-top:0.9pt;height:12.75pt;width:12.75pt;mso-position-horizontal-relative:page;z-index:251667456;mso-width-relative:page;mso-height-relative:page;" filled="f" stroked="t" coordsize="21600,21600" o:gfxdata="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N5O+dcAAAAIAQAADwAAAAAAAAABACAAAAAiAAAAZHJzL2Rv&#10;d25yZXYueG1sUEsBAhQAFAAAAAgAh07iQNYHGfQ7AgAAeAQAAA4AAAAAAAAAAQAgAAAAJgEAAGRy&#10;cy9lMm9Eb2MueG1sUEsFBgAAAAAGAAYAWQEAANMFAAAAAA==&#10;">
                <v:fill on="f" focussize="0,0"/>
                <v:stroke color="#99A0A6" miterlimit="8" joinstyle="miter"/>
                <v:imagedata o:title=""/>
                <o:lock v:ext="edit" aspectratio="f"/>
              </v:rect>
            </w:pict>
          </mc:Fallback>
        </mc:AlternateContent>
      </w:r>
      <w:r>
        <w:rPr>
          <w:rFonts w:eastAsia="Arial MT"/>
          <w:color w:val="202024"/>
        </w:rPr>
        <w:t>Financial</w:t>
      </w:r>
      <w:r>
        <w:rPr>
          <w:rFonts w:eastAsia="Arial MT"/>
          <w:color w:val="202024"/>
          <w:spacing w:val="-13"/>
        </w:rPr>
        <w:t xml:space="preserve"> </w:t>
      </w:r>
      <w:r>
        <w:rPr>
          <w:rFonts w:eastAsia="Arial MT"/>
          <w:color w:val="202024"/>
        </w:rPr>
        <w:t>Officer</w:t>
      </w:r>
    </w:p>
    <w:p w14:paraId="60899907">
      <w:pPr>
        <w:widowControl w:val="0"/>
        <w:autoSpaceDE w:val="0"/>
        <w:autoSpaceDN w:val="0"/>
        <w:spacing w:before="96" w:line="480" w:lineRule="auto"/>
        <w:ind w:right="4165"/>
        <w:jc w:val="both"/>
        <w:rPr>
          <w:rFonts w:eastAsia="Arial MT"/>
          <w:color w:val="202024"/>
        </w:rPr>
      </w:pPr>
      <w:r>
        <mc:AlternateContent>
          <mc:Choice Requires="wps">
            <w:drawing>
              <wp:anchor distT="0" distB="0" distL="114300" distR="114300" simplePos="0" relativeHeight="251668480" behindDoc="0" locked="0" layoutInCell="1" allowOverlap="1">
                <wp:simplePos x="0" y="0"/>
                <wp:positionH relativeFrom="page">
                  <wp:posOffset>4742180</wp:posOffset>
                </wp:positionH>
                <wp:positionV relativeFrom="paragraph">
                  <wp:posOffset>368935</wp:posOffset>
                </wp:positionV>
                <wp:extent cx="161925" cy="161925"/>
                <wp:effectExtent l="0" t="0" r="9525" b="9525"/>
                <wp:wrapNone/>
                <wp:docPr id="2112882483" name="Rectangle 101"/>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101" o:spid="_x0000_s1026" o:spt="1" style="position:absolute;left:0pt;margin-left:373.4pt;margin-top:29.05pt;height:12.75pt;width:12.75pt;mso-position-horizontal-relative:page;z-index:251668480;mso-width-relative:page;mso-height-relative:page;" filled="f" stroked="t" coordsize="21600,21600" o:gfxdata="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btpYDZAAAACQEAAA8AAAAAAAAAAQAgAAAAIgAAAGRy&#10;cy9kb3ducmV2LnhtbFBLAQIUABQAAAAIAIdO4kASreGJPQIAAHoEAAAOAAAAAAAAAAEAIAAAACgB&#10;AABkcnMvZTJvRG9jLnhtbFBLBQYAAAAABgAGAFkBAADXBQAAAAA=&#10;">
                <v:fill on="f" focussize="0,0"/>
                <v:stroke color="#99A0A6" miterlimit="8" joinstyle="miter"/>
                <v:imagedata o:title=""/>
                <o:lock v:ext="edit" aspectratio="f"/>
              </v:rect>
            </w:pict>
          </mc:Fallback>
        </mc:AlternateContent>
      </w:r>
      <w:r>
        <mc:AlternateContent>
          <mc:Choice Requires="wps">
            <w:drawing>
              <wp:anchor distT="0" distB="0" distL="114300" distR="114300" simplePos="0" relativeHeight="251669504" behindDoc="0" locked="0" layoutInCell="1" allowOverlap="1">
                <wp:simplePos x="0" y="0"/>
                <wp:positionH relativeFrom="page">
                  <wp:posOffset>4734560</wp:posOffset>
                </wp:positionH>
                <wp:positionV relativeFrom="paragraph">
                  <wp:posOffset>79375</wp:posOffset>
                </wp:positionV>
                <wp:extent cx="161925" cy="161925"/>
                <wp:effectExtent l="0" t="0" r="9525" b="9525"/>
                <wp:wrapNone/>
                <wp:docPr id="899394430" name="Rectangle 100"/>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100" o:spid="_x0000_s1026" o:spt="1" style="position:absolute;left:0pt;margin-left:372.8pt;margin-top:6.25pt;height:12.75pt;width:12.75pt;mso-position-horizontal-relative:page;z-index:251669504;mso-width-relative:page;mso-height-relative:page;" filled="f" stroked="t" coordsize="21600,21600" o:gfxdata="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zf2C2AAAAAkBAAAPAAAAAAAAAAEAIAAAACIAAABkcnMvZG93&#10;bnJldi54bWxQSwECFAAUAAAACACHTuJA3+d6SjkCAAB5BAAADgAAAAAAAAABACAAAAAnAQAAZHJz&#10;L2Uyb0RvYy54bWxQSwUGAAAAAAYABgBZAQAA0gUAAAAA&#10;">
                <v:fill on="f" focussize="0,0"/>
                <v:stroke color="#99A0A6" miterlimit="8" joinstyle="miter"/>
                <v:imagedata o:title=""/>
                <o:lock v:ext="edit" aspectratio="f"/>
              </v:rect>
            </w:pict>
          </mc:Fallback>
        </mc:AlternateContent>
      </w:r>
      <w:r>
        <w:rPr>
          <w:rFonts w:eastAsia="Arial MT"/>
          <w:color w:val="202024"/>
        </w:rPr>
        <w:t xml:space="preserve">Tax Administrator  </w:t>
      </w:r>
    </w:p>
    <w:p w14:paraId="19C07CCF">
      <w:pPr>
        <w:widowControl w:val="0"/>
        <w:autoSpaceDE w:val="0"/>
        <w:autoSpaceDN w:val="0"/>
        <w:spacing w:before="96" w:line="480" w:lineRule="auto"/>
        <w:ind w:right="4165"/>
        <w:jc w:val="both"/>
        <w:rPr>
          <w:rFonts w:eastAsia="Arial MT"/>
          <w:color w:val="202024"/>
          <w:spacing w:val="1"/>
        </w:rPr>
      </w:pPr>
      <w:r>
        <w:rPr>
          <w:rFonts w:eastAsia="Arial MT"/>
          <w:color w:val="202024"/>
        </w:rPr>
        <w:t>Government Official</w:t>
      </w:r>
      <w:r>
        <w:rPr>
          <w:rFonts w:eastAsia="Arial MT"/>
          <w:color w:val="202024"/>
          <w:spacing w:val="1"/>
        </w:rPr>
        <w:t xml:space="preserve"> </w:t>
      </w:r>
    </w:p>
    <w:p w14:paraId="0880CDD2">
      <w:pPr>
        <w:widowControl w:val="0"/>
        <w:autoSpaceDE w:val="0"/>
        <w:autoSpaceDN w:val="0"/>
        <w:spacing w:before="96" w:line="480" w:lineRule="auto"/>
        <w:ind w:right="4165"/>
        <w:jc w:val="both"/>
        <w:rPr>
          <w:rFonts w:eastAsia="Arial MT"/>
        </w:rPr>
      </w:pPr>
      <w:r>
        <mc:AlternateContent>
          <mc:Choice Requires="wps">
            <w:drawing>
              <wp:anchor distT="0" distB="0" distL="114300" distR="114300" simplePos="0" relativeHeight="251670528" behindDoc="0" locked="0" layoutInCell="1" allowOverlap="1">
                <wp:simplePos x="0" y="0"/>
                <wp:positionH relativeFrom="page">
                  <wp:posOffset>4732655</wp:posOffset>
                </wp:positionH>
                <wp:positionV relativeFrom="paragraph">
                  <wp:posOffset>75565</wp:posOffset>
                </wp:positionV>
                <wp:extent cx="161925" cy="161925"/>
                <wp:effectExtent l="0" t="0" r="9525" b="9525"/>
                <wp:wrapNone/>
                <wp:docPr id="1610951002" name="Rectangle 99"/>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99" o:spid="_x0000_s1026" o:spt="1" style="position:absolute;left:0pt;margin-left:372.65pt;margin-top:5.95pt;height:12.75pt;width:12.75pt;mso-position-horizontal-relative:page;z-index:251670528;mso-width-relative:page;mso-height-relative:page;" filled="f" stroked="t" coordsize="21600,21600" o:gfxdata="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o+oKtgAAAAJAQAADwAAAAAAAAABACAAAAAiAAAAZHJzL2Rv&#10;d25yZXYueG1sUEsBAhQAFAAAAAgAh07iQMYbWVA6AgAAeQQAAA4AAAAAAAAAAQAgAAAAJwEAAGRy&#10;cy9lMm9Eb2MueG1sUEsFBgAAAAAGAAYAWQEAANMFAAAAAA==&#10;">
                <v:fill on="f" focussize="0,0"/>
                <v:stroke color="#99A0A6" miterlimit="8" joinstyle="miter"/>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page">
                  <wp:posOffset>4723130</wp:posOffset>
                </wp:positionH>
                <wp:positionV relativeFrom="paragraph">
                  <wp:posOffset>398780</wp:posOffset>
                </wp:positionV>
                <wp:extent cx="161925" cy="161925"/>
                <wp:effectExtent l="0" t="0" r="9525" b="9525"/>
                <wp:wrapNone/>
                <wp:docPr id="595876433" name="Rectangle 98"/>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98" o:spid="_x0000_s1026" o:spt="1" style="position:absolute;left:0pt;margin-left:371.9pt;margin-top:31.4pt;height:12.75pt;width:12.75pt;mso-position-horizontal-relative:page;z-index:251671552;mso-width-relative:page;mso-height-relative:page;" filled="f" stroked="t" coordsize="21600,21600" o:gfxdata="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a55DtkAAAAJAQAADwAAAAAAAAABACAAAAAiAAAAZHJz&#10;L2Rvd25yZXYueG1sUEsBAhQAFAAAAAgAh07iQLA0X0A8AgAAeAQAAA4AAAAAAAAAAQAgAAAAKAEA&#10;AGRycy9lMm9Eb2MueG1sUEsFBgAAAAAGAAYAWQEAANYFAAAAAA==&#10;">
                <v:fill on="f" focussize="0,0"/>
                <v:stroke color="#99A0A6" miterlimit="8" joinstyle="miter"/>
                <v:imagedata o:title=""/>
                <o:lock v:ext="edit" aspectratio="f"/>
              </v:rect>
            </w:pict>
          </mc:Fallback>
        </mc:AlternateContent>
      </w:r>
      <w:r>
        <w:rPr>
          <w:rFonts w:eastAsia="Arial MT"/>
          <w:color w:val="202024"/>
        </w:rPr>
        <w:t>Tax</w:t>
      </w:r>
      <w:r>
        <w:rPr>
          <w:rFonts w:eastAsia="Arial MT"/>
          <w:color w:val="202024"/>
          <w:spacing w:val="-11"/>
        </w:rPr>
        <w:t xml:space="preserve"> </w:t>
      </w:r>
      <w:r>
        <w:rPr>
          <w:rFonts w:eastAsia="Arial MT"/>
          <w:color w:val="202024"/>
        </w:rPr>
        <w:t>Department</w:t>
      </w:r>
      <w:r>
        <w:rPr>
          <w:rFonts w:eastAsia="Arial MT"/>
          <w:color w:val="202024"/>
          <w:spacing w:val="-10"/>
        </w:rPr>
        <w:t xml:space="preserve"> </w:t>
      </w:r>
      <w:r>
        <w:rPr>
          <w:rFonts w:eastAsia="Arial MT"/>
          <w:color w:val="202024"/>
        </w:rPr>
        <w:t>of</w:t>
      </w:r>
      <w:r>
        <w:rPr>
          <w:rFonts w:eastAsia="Arial MT"/>
          <w:color w:val="202024"/>
          <w:spacing w:val="-11"/>
        </w:rPr>
        <w:t xml:space="preserve"> </w:t>
      </w:r>
      <w:r>
        <w:rPr>
          <w:rFonts w:eastAsia="Arial MT"/>
          <w:color w:val="202024"/>
        </w:rPr>
        <w:t>a</w:t>
      </w:r>
      <w:r>
        <w:rPr>
          <w:rFonts w:eastAsia="Arial MT"/>
          <w:color w:val="202024"/>
          <w:spacing w:val="-10"/>
        </w:rPr>
        <w:t xml:space="preserve"> </w:t>
      </w:r>
      <w:r>
        <w:rPr>
          <w:rFonts w:eastAsia="Arial MT"/>
          <w:color w:val="202024"/>
        </w:rPr>
        <w:t>business</w:t>
      </w:r>
      <w:r>
        <w:rPr>
          <w:rFonts w:eastAsia="Arial MT"/>
          <w:color w:val="202024"/>
          <w:spacing w:val="-11"/>
        </w:rPr>
        <w:t xml:space="preserve"> </w:t>
      </w:r>
      <w:r>
        <w:rPr>
          <w:rFonts w:eastAsia="Arial MT"/>
          <w:color w:val="202024"/>
        </w:rPr>
        <w:t>or</w:t>
      </w:r>
      <w:r>
        <w:rPr>
          <w:rFonts w:eastAsia="Arial MT"/>
          <w:color w:val="202024"/>
          <w:spacing w:val="-10"/>
        </w:rPr>
        <w:t xml:space="preserve"> </w:t>
      </w:r>
      <w:r>
        <w:rPr>
          <w:rFonts w:eastAsia="Arial MT"/>
          <w:color w:val="202024"/>
        </w:rPr>
        <w:t>Company</w:t>
      </w:r>
      <w:r>
        <w:rPr>
          <w:rFonts w:eastAsia="Arial MT"/>
          <w:color w:val="202024"/>
          <w:spacing w:val="-52"/>
        </w:rPr>
        <w:t xml:space="preserve">   </w:t>
      </w:r>
      <w:r>
        <w:rPr>
          <w:rFonts w:eastAsia="Arial MT"/>
          <w:color w:val="202024"/>
        </w:rPr>
        <w:t>Professional</w:t>
      </w:r>
      <w:r>
        <w:rPr>
          <w:rFonts w:eastAsia="Arial MT"/>
          <w:color w:val="202024"/>
          <w:spacing w:val="-2"/>
        </w:rPr>
        <w:t xml:space="preserve"> </w:t>
      </w:r>
      <w:r>
        <w:rPr>
          <w:rFonts w:eastAsia="Arial MT"/>
          <w:color w:val="202024"/>
        </w:rPr>
        <w:t>Adviser</w:t>
      </w:r>
    </w:p>
    <w:p w14:paraId="5064A2BE">
      <w:pPr>
        <w:widowControl w:val="0"/>
        <w:autoSpaceDE w:val="0"/>
        <w:autoSpaceDN w:val="0"/>
        <w:spacing w:before="2" w:line="480" w:lineRule="auto"/>
        <w:ind w:right="6416"/>
        <w:jc w:val="both"/>
        <w:rPr>
          <w:rFonts w:eastAsia="Arial MT"/>
        </w:rPr>
      </w:pPr>
      <w:r>
        <mc:AlternateContent>
          <mc:Choice Requires="wps">
            <w:drawing>
              <wp:anchor distT="0" distB="0" distL="114300" distR="114300" simplePos="0" relativeHeight="251672576" behindDoc="0" locked="0" layoutInCell="1" allowOverlap="1">
                <wp:simplePos x="0" y="0"/>
                <wp:positionH relativeFrom="page">
                  <wp:posOffset>4713605</wp:posOffset>
                </wp:positionH>
                <wp:positionV relativeFrom="paragraph">
                  <wp:posOffset>5080</wp:posOffset>
                </wp:positionV>
                <wp:extent cx="161925" cy="161925"/>
                <wp:effectExtent l="0" t="0" r="9525" b="9525"/>
                <wp:wrapNone/>
                <wp:docPr id="2093992707" name="Rectangle 97"/>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97" o:spid="_x0000_s1026" o:spt="1" style="position:absolute;left:0pt;margin-left:371.15pt;margin-top:0.4pt;height:12.75pt;width:12.75pt;mso-position-horizontal-relative:page;z-index:251672576;mso-width-relative:page;mso-height-relative:page;" filled="f" stroked="t" coordsize="21600,21600" o:gfxdata="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AHkJzXAAAABwEAAA8AAAAAAAAAAQAgAAAAIgAAAGRycy9k&#10;b3ducmV2LnhtbFBLAQIUABQAAAAIAIdO4kDmdW/xPAIAAHkEAAAOAAAAAAAAAAEAIAAAACYBAABk&#10;cnMvZTJvRG9jLnhtbFBLBQYAAAAABgAGAFkBAADUBQAAAAA=&#10;">
                <v:fill on="f" focussize="0,0"/>
                <v:stroke color="#99A0A6" miterlimit="8" joinstyle="miter"/>
                <v:imagedata o:title=""/>
                <o:lock v:ext="edit" aspectratio="f"/>
              </v:rect>
            </w:pict>
          </mc:Fallback>
        </mc:AlternateContent>
      </w:r>
      <w:r>
        <w:rPr>
          <w:rFonts w:eastAsia="Arial MT"/>
          <w:color w:val="202024"/>
        </w:rPr>
        <w:t>Legal officer</w:t>
      </w:r>
      <w:r>
        <w:rPr>
          <w:rFonts w:eastAsia="Arial MT"/>
          <w:color w:val="202024"/>
          <w:spacing w:val="1"/>
        </w:rPr>
        <w:t xml:space="preserve"> </w:t>
      </w:r>
      <w:r>
        <w:rPr>
          <w:rFonts w:eastAsia="Arial MT"/>
          <w:color w:val="202024"/>
          <w:w w:val="95"/>
        </w:rPr>
        <w:t>Judicial</w:t>
      </w:r>
      <w:r>
        <w:rPr>
          <w:rFonts w:eastAsia="Arial MT"/>
          <w:color w:val="202024"/>
          <w:spacing w:val="24"/>
          <w:w w:val="95"/>
        </w:rPr>
        <w:t xml:space="preserve"> </w:t>
      </w:r>
      <w:r>
        <w:rPr>
          <w:rFonts w:eastAsia="Arial MT"/>
          <w:color w:val="202024"/>
          <w:w w:val="95"/>
        </w:rPr>
        <w:t>Officer</w:t>
      </w:r>
    </w:p>
    <w:p w14:paraId="3FC4285E">
      <w:pPr>
        <w:widowControl w:val="0"/>
        <w:autoSpaceDE w:val="0"/>
        <w:autoSpaceDN w:val="0"/>
        <w:spacing w:before="2" w:line="480" w:lineRule="auto"/>
        <w:jc w:val="both"/>
        <w:rPr>
          <w:rFonts w:ascii="Roboto" w:hAnsi="Arial MT" w:eastAsia="Arial MT" w:cs="Arial MT"/>
          <w:sz w:val="20"/>
        </w:rPr>
      </w:pPr>
      <w:r>
        <mc:AlternateContent>
          <mc:Choice Requires="wps">
            <w:drawing>
              <wp:anchor distT="0" distB="0" distL="114300" distR="114300" simplePos="0" relativeHeight="251673600" behindDoc="0" locked="0" layoutInCell="1" allowOverlap="1">
                <wp:simplePos x="0" y="0"/>
                <wp:positionH relativeFrom="page">
                  <wp:posOffset>4709795</wp:posOffset>
                </wp:positionH>
                <wp:positionV relativeFrom="paragraph">
                  <wp:posOffset>12700</wp:posOffset>
                </wp:positionV>
                <wp:extent cx="161925" cy="161925"/>
                <wp:effectExtent l="0" t="0" r="9525" b="9525"/>
                <wp:wrapNone/>
                <wp:docPr id="1740193948" name="Rectangle 96"/>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96" o:spid="_x0000_s1026" o:spt="1" style="position:absolute;left:0pt;margin-left:370.85pt;margin-top:1pt;height:12.75pt;width:12.75pt;mso-position-horizontal-relative:page;z-index:251673600;mso-width-relative:page;mso-height-relative:page;" filled="f" stroked="t" coordsize="21600,21600" o:gfxdata="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EJkydYAAAAIAQAADwAAAAAAAAABACAAAAAiAAAAZHJzL2Rv&#10;d25yZXYueG1sUEsBAhQAFAAAAAgAh07iQNszJ088AgAAeQQAAA4AAAAAAAAAAQAgAAAAJQEAAGRy&#10;cy9lMm9Eb2MueG1sUEsFBgAAAAAGAAYAWQEAANMFAAAAAA==&#10;">
                <v:fill on="f" focussize="0,0"/>
                <v:stroke color="#99A0A6" miterlimit="8" joinstyle="miter"/>
                <v:imagedata o:title=""/>
                <o:lock v:ext="edit" aspectratio="f"/>
              </v:rect>
            </w:pict>
          </mc:Fallback>
        </mc:AlternateContent>
      </w:r>
      <w:r>
        <w:rPr>
          <w:rFonts w:eastAsia="Arial MT"/>
          <w:color w:val="202024"/>
        </w:rPr>
        <w:t>Other</w:t>
      </w:r>
      <w:r>
        <w:rPr>
          <w:rFonts w:eastAsia="Arial MT"/>
          <w:color w:val="202024"/>
          <w:spacing w:val="-4"/>
        </w:rPr>
        <w:t xml:space="preserve"> </w:t>
      </w:r>
      <w:r>
        <w:rPr>
          <w:rFonts w:eastAsia="Arial MT"/>
          <w:color w:val="202024"/>
        </w:rPr>
        <w:t>(Please</w:t>
      </w:r>
      <w:r>
        <w:rPr>
          <w:rFonts w:eastAsia="Arial MT"/>
          <w:color w:val="202024"/>
          <w:spacing w:val="-4"/>
        </w:rPr>
        <w:t xml:space="preserve"> </w:t>
      </w:r>
      <w:r>
        <w:rPr>
          <w:rFonts w:eastAsia="Arial MT"/>
          <w:color w:val="202024"/>
        </w:rPr>
        <w:t>specify)</w:t>
      </w:r>
    </w:p>
    <w:p w14:paraId="634D73B7">
      <w:pPr>
        <w:widowControl w:val="0"/>
        <w:numPr>
          <w:ilvl w:val="0"/>
          <w:numId w:val="42"/>
        </w:numPr>
        <w:tabs>
          <w:tab w:val="left" w:pos="737"/>
          <w:tab w:val="left" w:pos="738"/>
        </w:tabs>
        <w:autoSpaceDE w:val="0"/>
        <w:autoSpaceDN w:val="0"/>
        <w:spacing w:before="227"/>
        <w:ind w:hanging="634"/>
        <w:rPr>
          <w:rFonts w:eastAsia="Arial MT"/>
          <w:szCs w:val="22"/>
        </w:rPr>
      </w:pPr>
      <w:r>
        <w:rPr>
          <w:rFonts w:eastAsia="Arial MT"/>
          <w:color w:val="202024"/>
          <w:szCs w:val="22"/>
        </w:rPr>
        <w:t>Please specify_1</w:t>
      </w:r>
    </w:p>
    <w:p w14:paraId="2D5D1DF4">
      <w:pPr>
        <w:widowControl w:val="0"/>
        <w:autoSpaceDE w:val="0"/>
        <w:autoSpaceDN w:val="0"/>
        <w:rPr>
          <w:rFonts w:eastAsia="Arial MT"/>
          <w:sz w:val="20"/>
        </w:rPr>
      </w:pPr>
    </w:p>
    <w:p w14:paraId="6852F7C0">
      <w:pPr>
        <w:widowControl w:val="0"/>
        <w:autoSpaceDE w:val="0"/>
        <w:autoSpaceDN w:val="0"/>
        <w:rPr>
          <w:rFonts w:eastAsia="Arial MT"/>
          <w:sz w:val="20"/>
        </w:rPr>
      </w:pPr>
    </w:p>
    <w:p w14:paraId="51F75FFC">
      <w:pPr>
        <w:widowControl w:val="0"/>
        <w:autoSpaceDE w:val="0"/>
        <w:autoSpaceDN w:val="0"/>
        <w:spacing w:before="10"/>
        <w:rPr>
          <w:rFonts w:eastAsia="Arial MT"/>
          <w:sz w:val="17"/>
        </w:rPr>
      </w:pPr>
      <w:r>
        <mc:AlternateContent>
          <mc:Choice Requires="wps">
            <w:drawing>
              <wp:anchor distT="0" distB="0" distL="0" distR="0" simplePos="0" relativeHeight="251674624" behindDoc="1" locked="0" layoutInCell="1" allowOverlap="1">
                <wp:simplePos x="0" y="0"/>
                <wp:positionH relativeFrom="page">
                  <wp:posOffset>1266825</wp:posOffset>
                </wp:positionH>
                <wp:positionV relativeFrom="paragraph">
                  <wp:posOffset>155575</wp:posOffset>
                </wp:positionV>
                <wp:extent cx="2733675" cy="9525"/>
                <wp:effectExtent l="0" t="0" r="0" b="0"/>
                <wp:wrapTopAndBottom/>
                <wp:docPr id="1966340125" name="Rectangle 95"/>
                <wp:cNvGraphicFramePr/>
                <a:graphic xmlns:a="http://schemas.openxmlformats.org/drawingml/2006/main">
                  <a:graphicData uri="http://schemas.microsoft.com/office/word/2010/wordprocessingShape">
                    <wps:wsp>
                      <wps:cNvSpPr>
                        <a:spLocks noChangeArrowheads="1"/>
                      </wps:cNvSpPr>
                      <wps:spPr bwMode="auto">
                        <a:xfrm>
                          <a:off x="0" y="0"/>
                          <a:ext cx="2733675" cy="952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95" o:spid="_x0000_s1026" o:spt="1" style="position:absolute;left:0pt;margin-left:99.75pt;margin-top:12.25pt;height:0.75pt;width:215.25pt;mso-position-horizontal-relative:page;mso-wrap-distance-bottom:0pt;mso-wrap-distance-top:0pt;z-index:-251641856;mso-width-relative:page;mso-height-relative:page;" fillcolor="#BDC1C6" filled="t" stroked="f" coordsize="21600,21600" o:gfxdata="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wxU7nVAAAACQEA&#10;AA8AAAAAAAAAAQAgAAAAIgAAAGRycy9kb3ducmV2LnhtbFBLAQIUABQAAAAIAIdO4kC3Wc/UHQIA&#10;AD8EAAAOAAAAAAAAAAEAIAAAACQBAABkcnMvZTJvRG9jLnhtbFBLBQYAAAAABgAGAFkBAACzBQAA&#10;AAA=&#10;">
                <v:fill on="t" focussize="0,0"/>
                <v:stroke on="f"/>
                <v:imagedata o:title=""/>
                <o:lock v:ext="edit" aspectratio="f"/>
                <w10:wrap type="topAndBottom"/>
              </v:rect>
            </w:pict>
          </mc:Fallback>
        </mc:AlternateContent>
      </w:r>
    </w:p>
    <w:p w14:paraId="1A2A1B38">
      <w:pPr>
        <w:widowControl w:val="0"/>
        <w:autoSpaceDE w:val="0"/>
        <w:autoSpaceDN w:val="0"/>
        <w:rPr>
          <w:rFonts w:eastAsia="Arial MT"/>
          <w:sz w:val="28"/>
        </w:rPr>
      </w:pPr>
    </w:p>
    <w:p w14:paraId="5C62F08F">
      <w:pPr>
        <w:widowControl w:val="0"/>
        <w:autoSpaceDE w:val="0"/>
        <w:autoSpaceDN w:val="0"/>
        <w:spacing w:before="2"/>
        <w:rPr>
          <w:rFonts w:eastAsia="Arial MT"/>
          <w:sz w:val="29"/>
        </w:rPr>
      </w:pPr>
    </w:p>
    <w:p w14:paraId="5AB38726">
      <w:pPr>
        <w:widowControl w:val="0"/>
        <w:numPr>
          <w:ilvl w:val="0"/>
          <w:numId w:val="42"/>
        </w:numPr>
        <w:tabs>
          <w:tab w:val="left" w:pos="737"/>
          <w:tab w:val="left" w:pos="738"/>
        </w:tabs>
        <w:autoSpaceDE w:val="0"/>
        <w:autoSpaceDN w:val="0"/>
        <w:ind w:hanging="634"/>
        <w:rPr>
          <w:rFonts w:eastAsia="Arial MT"/>
          <w:szCs w:val="22"/>
        </w:rPr>
      </w:pPr>
      <w:r>
        <w:rPr>
          <w:rFonts w:eastAsia="Arial MT"/>
          <w:color w:val="202024"/>
          <w:szCs w:val="22"/>
        </w:rPr>
        <w:t>Please specify_2</w:t>
      </w:r>
    </w:p>
    <w:p w14:paraId="3454978B">
      <w:pPr>
        <w:widowControl w:val="0"/>
        <w:autoSpaceDE w:val="0"/>
        <w:autoSpaceDN w:val="0"/>
        <w:rPr>
          <w:rFonts w:ascii="Arial MT" w:hAnsi="Arial MT" w:eastAsia="Arial MT" w:cs="Arial MT"/>
          <w:sz w:val="20"/>
        </w:rPr>
      </w:pPr>
    </w:p>
    <w:p w14:paraId="2C468810">
      <w:pPr>
        <w:widowControl w:val="0"/>
        <w:autoSpaceDE w:val="0"/>
        <w:autoSpaceDN w:val="0"/>
        <w:rPr>
          <w:rFonts w:ascii="Arial MT" w:hAnsi="Arial MT" w:eastAsia="Arial MT" w:cs="Arial MT"/>
          <w:sz w:val="20"/>
        </w:rPr>
      </w:pPr>
    </w:p>
    <w:p w14:paraId="28DE9C1D">
      <w:pPr>
        <w:widowControl w:val="0"/>
        <w:autoSpaceDE w:val="0"/>
        <w:autoSpaceDN w:val="0"/>
        <w:spacing w:before="11"/>
        <w:rPr>
          <w:rFonts w:ascii="Arial MT" w:hAnsi="Arial MT" w:eastAsia="Arial MT" w:cs="Arial MT"/>
          <w:sz w:val="17"/>
        </w:rPr>
      </w:pPr>
      <w:r>
        <mc:AlternateContent>
          <mc:Choice Requires="wps">
            <w:drawing>
              <wp:anchor distT="0" distB="0" distL="0" distR="0" simplePos="0" relativeHeight="251675648" behindDoc="1" locked="0" layoutInCell="1" allowOverlap="1">
                <wp:simplePos x="0" y="0"/>
                <wp:positionH relativeFrom="page">
                  <wp:posOffset>1266825</wp:posOffset>
                </wp:positionH>
                <wp:positionV relativeFrom="paragraph">
                  <wp:posOffset>156210</wp:posOffset>
                </wp:positionV>
                <wp:extent cx="2733675" cy="9525"/>
                <wp:effectExtent l="0" t="0" r="0" b="0"/>
                <wp:wrapTopAndBottom/>
                <wp:docPr id="304775058" name="Rectangle 94"/>
                <wp:cNvGraphicFramePr/>
                <a:graphic xmlns:a="http://schemas.openxmlformats.org/drawingml/2006/main">
                  <a:graphicData uri="http://schemas.microsoft.com/office/word/2010/wordprocessingShape">
                    <wps:wsp>
                      <wps:cNvSpPr>
                        <a:spLocks noChangeArrowheads="1"/>
                      </wps:cNvSpPr>
                      <wps:spPr bwMode="auto">
                        <a:xfrm>
                          <a:off x="0" y="0"/>
                          <a:ext cx="2733675" cy="952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94" o:spid="_x0000_s1026" o:spt="1" style="position:absolute;left:0pt;margin-left:99.75pt;margin-top:12.3pt;height:0.75pt;width:215.25pt;mso-position-horizontal-relative:page;mso-wrap-distance-bottom:0pt;mso-wrap-distance-top:0pt;z-index:-251640832;mso-width-relative:page;mso-height-relative:page;" fillcolor="#BDC1C6" filled="t" stroked="f" coordsize="21600,21600" o:gfxdata="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ylEK1QAAAAkB&#10;AAAPAAAAAAAAAAEAIAAAACIAAABkcnMvZG93bnJldi54bWxQSwECFAAUAAAACACHTuJANXWoOR4C&#10;AAA+BAAADgAAAAAAAAABACAAAAAkAQAAZHJzL2Uyb0RvYy54bWxQSwUGAAAAAAYABgBZAQAAtAUA&#10;AAAA&#10;">
                <v:fill on="t" focussize="0,0"/>
                <v:stroke on="f"/>
                <v:imagedata o:title=""/>
                <o:lock v:ext="edit" aspectratio="f"/>
                <w10:wrap type="topAndBottom"/>
              </v:rect>
            </w:pict>
          </mc:Fallback>
        </mc:AlternateContent>
      </w:r>
    </w:p>
    <w:p w14:paraId="7F17D741">
      <w:pPr>
        <w:widowControl w:val="0"/>
        <w:autoSpaceDE w:val="0"/>
        <w:autoSpaceDN w:val="0"/>
        <w:rPr>
          <w:rFonts w:ascii="Arial MT" w:hAnsi="Arial MT" w:eastAsia="Arial MT" w:cs="Arial MT"/>
          <w:sz w:val="20"/>
        </w:rPr>
      </w:pPr>
    </w:p>
    <w:p w14:paraId="50A9C6D5">
      <w:pPr>
        <w:widowControl w:val="0"/>
        <w:autoSpaceDE w:val="0"/>
        <w:autoSpaceDN w:val="0"/>
        <w:spacing w:before="5"/>
        <w:rPr>
          <w:rFonts w:ascii="Arial MT" w:hAnsi="Arial MT" w:eastAsia="Arial MT" w:cs="Arial MT"/>
          <w:sz w:val="29"/>
        </w:rPr>
      </w:pPr>
    </w:p>
    <w:p w14:paraId="1C3DBAB7">
      <w:pPr>
        <w:widowControl w:val="0"/>
        <w:autoSpaceDE w:val="0"/>
        <w:autoSpaceDN w:val="0"/>
        <w:spacing w:before="92"/>
        <w:jc w:val="both"/>
        <w:rPr>
          <w:rFonts w:eastAsia="Arial MT"/>
        </w:rPr>
      </w:pPr>
      <w:r>
        <w:rPr>
          <w:rFonts w:eastAsia="Arial MT"/>
          <w:color w:val="202024"/>
        </w:rPr>
        <w:t>ZOOM Call</w:t>
      </w:r>
    </w:p>
    <w:p w14:paraId="0730B016">
      <w:pPr>
        <w:widowControl w:val="0"/>
        <w:autoSpaceDE w:val="0"/>
        <w:autoSpaceDN w:val="0"/>
        <w:jc w:val="both"/>
        <w:rPr>
          <w:rFonts w:eastAsia="Arial MT"/>
          <w:sz w:val="20"/>
        </w:rPr>
      </w:pPr>
    </w:p>
    <w:p w14:paraId="71DFF8E8">
      <w:pPr>
        <w:widowControl w:val="0"/>
        <w:autoSpaceDE w:val="0"/>
        <w:autoSpaceDN w:val="0"/>
        <w:spacing w:before="2"/>
        <w:jc w:val="both"/>
        <w:rPr>
          <w:rFonts w:eastAsia="Arial MT"/>
          <w:sz w:val="16"/>
        </w:rPr>
      </w:pPr>
    </w:p>
    <w:p w14:paraId="385CCFF9">
      <w:pPr>
        <w:widowControl w:val="0"/>
        <w:numPr>
          <w:ilvl w:val="0"/>
          <w:numId w:val="42"/>
        </w:numPr>
        <w:tabs>
          <w:tab w:val="left" w:pos="737"/>
          <w:tab w:val="left" w:pos="738"/>
        </w:tabs>
        <w:autoSpaceDE w:val="0"/>
        <w:autoSpaceDN w:val="0"/>
        <w:spacing w:before="95" w:line="480" w:lineRule="auto"/>
        <w:ind w:right="174"/>
        <w:jc w:val="both"/>
        <w:rPr>
          <w:rFonts w:eastAsia="Arial MT"/>
        </w:rPr>
      </w:pPr>
      <w:r>
        <w:rPr>
          <w:rFonts w:eastAsia="Arial MT"/>
          <w:color w:val="202024"/>
        </w:rPr>
        <w:t>If you are willing to participate in a brief one to one call or zoom meeting with the</w:t>
      </w:r>
      <w:r>
        <w:rPr>
          <w:rFonts w:eastAsia="Arial MT"/>
          <w:color w:val="202024"/>
          <w:spacing w:val="-64"/>
        </w:rPr>
        <w:t xml:space="preserve"> </w:t>
      </w:r>
      <w:r>
        <w:rPr>
          <w:rFonts w:eastAsia="Arial MT"/>
          <w:color w:val="202024"/>
        </w:rPr>
        <w:t>researcher,</w:t>
      </w:r>
      <w:r>
        <w:rPr>
          <w:rFonts w:eastAsia="Arial MT"/>
          <w:color w:val="202024"/>
          <w:spacing w:val="-2"/>
        </w:rPr>
        <w:t xml:space="preserve"> </w:t>
      </w:r>
      <w:r>
        <w:rPr>
          <w:rFonts w:eastAsia="Arial MT"/>
          <w:color w:val="202024"/>
        </w:rPr>
        <w:t>kindly</w:t>
      </w:r>
      <w:r>
        <w:rPr>
          <w:rFonts w:eastAsia="Arial MT"/>
          <w:color w:val="202024"/>
          <w:spacing w:val="-2"/>
        </w:rPr>
        <w:t xml:space="preserve"> </w:t>
      </w:r>
      <w:r>
        <w:rPr>
          <w:rFonts w:eastAsia="Arial MT"/>
          <w:color w:val="202024"/>
        </w:rPr>
        <w:t>indicate</w:t>
      </w:r>
      <w:r>
        <w:rPr>
          <w:rFonts w:eastAsia="Arial MT"/>
          <w:color w:val="202024"/>
          <w:spacing w:val="-2"/>
        </w:rPr>
        <w:t xml:space="preserve"> </w:t>
      </w:r>
      <w:r>
        <w:rPr>
          <w:rFonts w:eastAsia="Arial MT"/>
          <w:color w:val="202024"/>
        </w:rPr>
        <w:t>in</w:t>
      </w:r>
      <w:r>
        <w:rPr>
          <w:rFonts w:eastAsia="Arial MT"/>
          <w:color w:val="202024"/>
          <w:spacing w:val="-1"/>
        </w:rPr>
        <w:t xml:space="preserve"> </w:t>
      </w:r>
      <w:r>
        <w:rPr>
          <w:rFonts w:eastAsia="Arial MT"/>
          <w:color w:val="202024"/>
        </w:rPr>
        <w:t>the</w:t>
      </w:r>
      <w:r>
        <w:rPr>
          <w:rFonts w:eastAsia="Arial MT"/>
          <w:color w:val="202024"/>
          <w:spacing w:val="-2"/>
        </w:rPr>
        <w:t xml:space="preserve"> </w:t>
      </w:r>
      <w:r>
        <w:rPr>
          <w:rFonts w:eastAsia="Arial MT"/>
          <w:color w:val="202024"/>
        </w:rPr>
        <w:t>box</w:t>
      </w:r>
      <w:r>
        <w:rPr>
          <w:rFonts w:eastAsia="Arial MT"/>
          <w:color w:val="202024"/>
          <w:spacing w:val="-2"/>
        </w:rPr>
        <w:t xml:space="preserve"> </w:t>
      </w:r>
      <w:r>
        <w:rPr>
          <w:rFonts w:eastAsia="Arial MT"/>
          <w:color w:val="202024"/>
        </w:rPr>
        <w:t>below,</w:t>
      </w:r>
      <w:r>
        <w:rPr>
          <w:rFonts w:eastAsia="Arial MT"/>
          <w:color w:val="202024"/>
          <w:spacing w:val="-1"/>
        </w:rPr>
        <w:t xml:space="preserve"> </w:t>
      </w:r>
      <w:r>
        <w:rPr>
          <w:rFonts w:eastAsia="Arial MT"/>
          <w:color w:val="202024"/>
        </w:rPr>
        <w:t>and</w:t>
      </w:r>
      <w:r>
        <w:rPr>
          <w:rFonts w:eastAsia="Arial MT"/>
          <w:color w:val="202024"/>
          <w:spacing w:val="-2"/>
        </w:rPr>
        <w:t xml:space="preserve"> </w:t>
      </w:r>
      <w:r>
        <w:rPr>
          <w:rFonts w:eastAsia="Arial MT"/>
          <w:color w:val="202024"/>
        </w:rPr>
        <w:t>provide</w:t>
      </w:r>
      <w:r>
        <w:rPr>
          <w:rFonts w:eastAsia="Arial MT"/>
          <w:color w:val="202024"/>
          <w:spacing w:val="-2"/>
        </w:rPr>
        <w:t xml:space="preserve"> </w:t>
      </w:r>
      <w:r>
        <w:rPr>
          <w:rFonts w:eastAsia="Arial MT"/>
          <w:color w:val="202024"/>
        </w:rPr>
        <w:t>your</w:t>
      </w:r>
      <w:r>
        <w:rPr>
          <w:rFonts w:eastAsia="Arial MT"/>
          <w:color w:val="202024"/>
          <w:spacing w:val="-1"/>
        </w:rPr>
        <w:t xml:space="preserve"> </w:t>
      </w:r>
      <w:r>
        <w:rPr>
          <w:rFonts w:eastAsia="Arial MT"/>
          <w:color w:val="202024"/>
        </w:rPr>
        <w:t>contact</w:t>
      </w:r>
      <w:r>
        <w:rPr>
          <w:rFonts w:eastAsia="Arial MT"/>
          <w:color w:val="202024"/>
          <w:spacing w:val="-2"/>
        </w:rPr>
        <w:t xml:space="preserve"> </w:t>
      </w:r>
      <w:r>
        <w:rPr>
          <w:rFonts w:eastAsia="Arial MT"/>
          <w:color w:val="202024"/>
        </w:rPr>
        <w:t>details:</w:t>
      </w:r>
    </w:p>
    <w:p w14:paraId="5BA34851">
      <w:pPr>
        <w:widowControl w:val="0"/>
        <w:autoSpaceDE w:val="0"/>
        <w:autoSpaceDN w:val="0"/>
        <w:spacing w:before="95" w:line="480" w:lineRule="auto"/>
        <w:jc w:val="both"/>
        <w:rPr>
          <w:rFonts w:eastAsia="Arial MT"/>
          <w:i/>
        </w:rPr>
      </w:pPr>
      <w:r>
        <w:rPr>
          <w:rFonts w:eastAsia="Arial MT"/>
          <w:i/>
          <w:color w:val="6D6F72"/>
        </w:rPr>
        <w:t>Check</w:t>
      </w:r>
      <w:r>
        <w:rPr>
          <w:rFonts w:eastAsia="Arial MT"/>
          <w:i/>
          <w:color w:val="6D6F72"/>
          <w:spacing w:val="-2"/>
        </w:rPr>
        <w:t xml:space="preserve"> </w:t>
      </w:r>
      <w:r>
        <w:rPr>
          <w:rFonts w:eastAsia="Arial MT"/>
          <w:i/>
          <w:color w:val="6D6F72"/>
        </w:rPr>
        <w:t>all</w:t>
      </w:r>
      <w:r>
        <w:rPr>
          <w:rFonts w:eastAsia="Arial MT"/>
          <w:i/>
          <w:color w:val="6D6F72"/>
          <w:spacing w:val="-3"/>
        </w:rPr>
        <w:t xml:space="preserve"> </w:t>
      </w:r>
      <w:r>
        <w:rPr>
          <w:rFonts w:eastAsia="Arial MT"/>
          <w:i/>
          <w:color w:val="6D6F72"/>
        </w:rPr>
        <w:t>that</w:t>
      </w:r>
      <w:r>
        <w:rPr>
          <w:rFonts w:eastAsia="Arial MT"/>
          <w:i/>
          <w:color w:val="6D6F72"/>
          <w:spacing w:val="-2"/>
        </w:rPr>
        <w:t xml:space="preserve"> </w:t>
      </w:r>
      <w:r>
        <w:rPr>
          <w:rFonts w:eastAsia="Arial MT"/>
          <w:i/>
          <w:color w:val="6D6F72"/>
        </w:rPr>
        <w:t>apply.</w:t>
      </w:r>
    </w:p>
    <w:p w14:paraId="221A227F">
      <w:pPr>
        <w:widowControl w:val="0"/>
        <w:autoSpaceDE w:val="0"/>
        <w:autoSpaceDN w:val="0"/>
        <w:spacing w:before="1" w:line="480" w:lineRule="auto"/>
        <w:ind w:right="7912"/>
        <w:jc w:val="both"/>
        <w:rPr>
          <w:rFonts w:eastAsia="Arial MT"/>
        </w:rPr>
      </w:pPr>
      <w:r>
        <mc:AlternateContent>
          <mc:Choice Requires="wps">
            <w:drawing>
              <wp:anchor distT="0" distB="0" distL="114300" distR="114300" simplePos="0" relativeHeight="251676672" behindDoc="0" locked="0" layoutInCell="1" allowOverlap="1">
                <wp:simplePos x="0" y="0"/>
                <wp:positionH relativeFrom="page">
                  <wp:posOffset>1318895</wp:posOffset>
                </wp:positionH>
                <wp:positionV relativeFrom="paragraph">
                  <wp:posOffset>-4445</wp:posOffset>
                </wp:positionV>
                <wp:extent cx="161925" cy="161925"/>
                <wp:effectExtent l="0" t="0" r="9525" b="9525"/>
                <wp:wrapNone/>
                <wp:docPr id="2041307807" name="Rectangle 93"/>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93" o:spid="_x0000_s1026" o:spt="1" style="position:absolute;left:0pt;margin-left:103.85pt;margin-top:-0.35pt;height:12.75pt;width:12.75pt;mso-position-horizontal-relative:page;z-index:251676672;mso-width-relative:page;mso-height-relative:page;" filled="f" stroked="t" coordsize="21600,21600" o:gfxdata="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zQY82AAAAAgBAAAPAAAAAAAAAAEAIAAAACIAAABkcnMv&#10;ZG93bnJldi54bWxQSwECFAAUAAAACACHTuJAWpjdnTwCAAB5BAAADgAAAAAAAAABACAAAAAnAQAA&#10;ZHJzL2Uyb0RvYy54bWxQSwUGAAAAAAYABgBZAQAA1QUAAAAA&#10;">
                <v:fill on="f" focussize="0,0"/>
                <v:stroke color="#99A0A6" miterlimit="8" joinstyle="miter"/>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page">
                  <wp:posOffset>1318895</wp:posOffset>
                </wp:positionH>
                <wp:positionV relativeFrom="paragraph">
                  <wp:posOffset>224155</wp:posOffset>
                </wp:positionV>
                <wp:extent cx="161925" cy="161925"/>
                <wp:effectExtent l="0" t="0" r="9525" b="9525"/>
                <wp:wrapNone/>
                <wp:docPr id="948182882" name="Rectangle 92"/>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5">
                          <a:solidFill>
                            <a:srgbClr val="99A0A6"/>
                          </a:solidFill>
                          <a:prstDash val="solid"/>
                          <a:miter lim="800000"/>
                        </a:ln>
                        <a:effectLst/>
                      </wps:spPr>
                      <wps:bodyPr rot="0" vert="horz" wrap="square" lIns="91440" tIns="45720" rIns="91440" bIns="45720" anchor="t" anchorCtr="0" upright="1">
                        <a:noAutofit/>
                      </wps:bodyPr>
                    </wps:wsp>
                  </a:graphicData>
                </a:graphic>
              </wp:anchor>
            </w:drawing>
          </mc:Choice>
          <mc:Fallback>
            <w:pict>
              <v:rect id="Rectangle 92" o:spid="_x0000_s1026" o:spt="1" style="position:absolute;left:0pt;margin-left:103.85pt;margin-top:17.65pt;height:12.75pt;width:12.75pt;mso-position-horizontal-relative:page;z-index:251677696;mso-width-relative:page;mso-height-relative:page;" filled="f" stroked="t" coordsize="21600,21600" o:gfxdata="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h6KCdgAAAAJAQAADwAAAAAAAAABACAAAAAiAAAAZHJzL2Rv&#10;d25yZXYueG1sUEsBAhQAFAAAAAgAh07iQKWcWB46AgAAeAQAAA4AAAAAAAAAAQAgAAAAJwEAAGRy&#10;cy9lMm9Eb2MueG1sUEsFBgAAAAAGAAYAWQEAANMFAAAAAA==&#10;">
                <v:fill on="f" focussize="0,0"/>
                <v:stroke color="#99A0A6" miterlimit="8" joinstyle="miter"/>
                <v:imagedata o:title=""/>
                <o:lock v:ext="edit" aspectratio="f"/>
              </v:rect>
            </w:pict>
          </mc:Fallback>
        </mc:AlternateContent>
      </w:r>
      <w:r>
        <w:rPr>
          <w:rFonts w:eastAsia="Arial MT"/>
          <w:color w:val="202024"/>
          <w:w w:val="95"/>
        </w:rPr>
        <w:t>Yes</w:t>
      </w:r>
      <w:r>
        <w:rPr>
          <w:rFonts w:eastAsia="Arial MT"/>
          <w:color w:val="202024"/>
          <w:spacing w:val="-49"/>
          <w:w w:val="95"/>
        </w:rPr>
        <w:t xml:space="preserve"> </w:t>
      </w:r>
      <w:r>
        <w:rPr>
          <w:rFonts w:eastAsia="Arial MT"/>
          <w:color w:val="202024"/>
        </w:rPr>
        <w:t>No</w:t>
      </w:r>
    </w:p>
    <w:p w14:paraId="5FAA1829">
      <w:pPr>
        <w:widowControl w:val="0"/>
        <w:autoSpaceDE w:val="0"/>
        <w:autoSpaceDN w:val="0"/>
        <w:spacing w:line="480" w:lineRule="auto"/>
        <w:jc w:val="both"/>
        <w:rPr>
          <w:rFonts w:eastAsia="Arial MT"/>
        </w:rPr>
      </w:pPr>
    </w:p>
    <w:p w14:paraId="1B6DB550">
      <w:pPr>
        <w:widowControl w:val="0"/>
        <w:autoSpaceDE w:val="0"/>
        <w:autoSpaceDN w:val="0"/>
        <w:spacing w:line="480" w:lineRule="auto"/>
        <w:jc w:val="both"/>
        <w:rPr>
          <w:rFonts w:eastAsia="Arial MT"/>
        </w:rPr>
      </w:pPr>
    </w:p>
    <w:p w14:paraId="5AD17E6D">
      <w:pPr>
        <w:widowControl w:val="0"/>
        <w:autoSpaceDE w:val="0"/>
        <w:autoSpaceDN w:val="0"/>
        <w:spacing w:line="480" w:lineRule="auto"/>
        <w:jc w:val="both"/>
        <w:rPr>
          <w:rFonts w:eastAsia="Arial MT"/>
        </w:rPr>
      </w:pPr>
    </w:p>
    <w:p w14:paraId="31EBF690">
      <w:pPr>
        <w:rPr>
          <w:rFonts w:ascii="Roboto" w:hAnsi="Arial MT" w:eastAsia="Arial MT" w:cs="Arial MT"/>
          <w:sz w:val="5"/>
          <w:szCs w:val="22"/>
        </w:rPr>
      </w:pPr>
    </w:p>
    <w:p w14:paraId="445EB96B">
      <w:pPr>
        <w:rPr>
          <w:rFonts w:ascii="Roboto" w:hAnsi="Arial MT" w:eastAsia="Arial MT" w:cs="Arial MT"/>
          <w:sz w:val="5"/>
          <w:szCs w:val="22"/>
        </w:rPr>
      </w:pPr>
    </w:p>
    <w:p w14:paraId="00FC262D">
      <w:pPr>
        <w:rPr>
          <w:rFonts w:ascii="Roboto" w:hAnsi="Arial MT" w:eastAsia="Arial MT" w:cs="Arial MT"/>
          <w:sz w:val="5"/>
          <w:szCs w:val="22"/>
        </w:rPr>
      </w:pPr>
    </w:p>
    <w:p w14:paraId="645139D4">
      <w:pPr>
        <w:rPr>
          <w:rFonts w:ascii="Roboto" w:hAnsi="Arial MT" w:eastAsia="Arial MT" w:cs="Arial MT"/>
          <w:sz w:val="5"/>
          <w:szCs w:val="22"/>
        </w:rPr>
      </w:pPr>
    </w:p>
    <w:p w14:paraId="1B245DAD">
      <w:pPr>
        <w:rPr>
          <w:rFonts w:ascii="Roboto" w:hAnsi="Arial MT" w:eastAsia="Arial MT" w:cs="Arial MT"/>
          <w:sz w:val="5"/>
          <w:szCs w:val="22"/>
        </w:rPr>
      </w:pPr>
    </w:p>
    <w:p w14:paraId="5D2A64C0">
      <w:pPr>
        <w:rPr>
          <w:rFonts w:ascii="Roboto" w:hAnsi="Arial MT" w:eastAsia="Arial MT" w:cs="Arial MT"/>
          <w:sz w:val="5"/>
          <w:szCs w:val="22"/>
        </w:rPr>
      </w:pPr>
    </w:p>
    <w:p w14:paraId="3E680EB7">
      <w:pPr>
        <w:rPr>
          <w:rFonts w:ascii="Roboto" w:hAnsi="Arial MT" w:eastAsia="Arial MT" w:cs="Arial MT"/>
          <w:sz w:val="5"/>
          <w:szCs w:val="22"/>
        </w:rPr>
      </w:pPr>
    </w:p>
    <w:p w14:paraId="39094AB6">
      <w:pPr>
        <w:rPr>
          <w:rFonts w:ascii="Roboto" w:hAnsi="Arial MT" w:eastAsia="Arial MT" w:cs="Arial MT"/>
          <w:sz w:val="5"/>
          <w:szCs w:val="22"/>
        </w:rPr>
      </w:pPr>
    </w:p>
    <w:p w14:paraId="348405DA">
      <w:pPr>
        <w:rPr>
          <w:rFonts w:ascii="Roboto" w:hAnsi="Arial MT" w:eastAsia="Arial MT" w:cs="Arial MT"/>
          <w:sz w:val="5"/>
          <w:szCs w:val="22"/>
        </w:rPr>
      </w:pPr>
    </w:p>
    <w:p w14:paraId="47E15EF3">
      <w:pPr>
        <w:rPr>
          <w:rFonts w:ascii="Roboto" w:hAnsi="Arial MT" w:eastAsia="Arial MT" w:cs="Arial MT"/>
          <w:sz w:val="5"/>
          <w:szCs w:val="22"/>
        </w:rPr>
      </w:pPr>
    </w:p>
    <w:p w14:paraId="2C04798E">
      <w:pPr>
        <w:rPr>
          <w:rFonts w:ascii="Roboto" w:hAnsi="Arial MT" w:eastAsia="Arial MT" w:cs="Arial MT"/>
          <w:sz w:val="5"/>
          <w:szCs w:val="22"/>
        </w:rPr>
      </w:pPr>
    </w:p>
    <w:p w14:paraId="42B7F7EE">
      <w:pPr>
        <w:rPr>
          <w:rFonts w:ascii="Roboto" w:hAnsi="Arial MT" w:eastAsia="Arial MT" w:cs="Arial MT"/>
          <w:sz w:val="5"/>
          <w:szCs w:val="22"/>
        </w:rPr>
      </w:pPr>
    </w:p>
    <w:p w14:paraId="26AF39E8">
      <w:pPr>
        <w:rPr>
          <w:rFonts w:ascii="Roboto" w:hAnsi="Arial MT" w:eastAsia="Arial MT" w:cs="Arial MT"/>
          <w:sz w:val="5"/>
          <w:szCs w:val="22"/>
        </w:rPr>
      </w:pPr>
    </w:p>
    <w:p w14:paraId="2B4D47F5">
      <w:pPr>
        <w:rPr>
          <w:rFonts w:ascii="Roboto" w:hAnsi="Arial MT" w:eastAsia="Arial MT" w:cs="Arial MT"/>
          <w:sz w:val="5"/>
          <w:szCs w:val="22"/>
        </w:rPr>
      </w:pPr>
    </w:p>
    <w:p w14:paraId="4ECE5134">
      <w:pPr>
        <w:rPr>
          <w:rFonts w:ascii="Roboto" w:hAnsi="Arial MT" w:eastAsia="Arial MT" w:cs="Arial MT"/>
          <w:sz w:val="5"/>
          <w:szCs w:val="22"/>
        </w:rPr>
      </w:pPr>
    </w:p>
    <w:p w14:paraId="5C0E1181">
      <w:pPr>
        <w:rPr>
          <w:rFonts w:ascii="Roboto" w:hAnsi="Arial MT" w:eastAsia="Arial MT" w:cs="Arial MT"/>
          <w:sz w:val="5"/>
          <w:szCs w:val="22"/>
        </w:rPr>
      </w:pPr>
    </w:p>
    <w:p w14:paraId="22C264FF">
      <w:pPr>
        <w:rPr>
          <w:rFonts w:ascii="Roboto" w:hAnsi="Arial MT" w:eastAsia="Arial MT" w:cs="Arial MT"/>
          <w:sz w:val="5"/>
          <w:szCs w:val="22"/>
        </w:rPr>
      </w:pPr>
    </w:p>
    <w:p w14:paraId="16A94A07">
      <w:pPr>
        <w:rPr>
          <w:rFonts w:ascii="Roboto" w:hAnsi="Arial MT" w:eastAsia="Arial MT" w:cs="Arial MT"/>
          <w:sz w:val="5"/>
          <w:szCs w:val="22"/>
        </w:rPr>
      </w:pPr>
    </w:p>
    <w:p w14:paraId="7789BBA4">
      <w:pPr>
        <w:rPr>
          <w:rFonts w:ascii="Roboto" w:hAnsi="Arial MT" w:eastAsia="Arial MT" w:cs="Arial MT"/>
          <w:sz w:val="5"/>
          <w:szCs w:val="22"/>
        </w:rPr>
      </w:pPr>
    </w:p>
    <w:p w14:paraId="79F07F41">
      <w:pPr>
        <w:rPr>
          <w:rFonts w:ascii="Roboto" w:hAnsi="Arial MT" w:eastAsia="Arial MT" w:cs="Arial MT"/>
          <w:sz w:val="5"/>
          <w:szCs w:val="22"/>
        </w:rPr>
      </w:pPr>
    </w:p>
    <w:p w14:paraId="1A4EEA69">
      <w:pPr>
        <w:rPr>
          <w:rFonts w:ascii="Roboto" w:hAnsi="Arial MT" w:eastAsia="Arial MT" w:cs="Arial MT"/>
          <w:sz w:val="5"/>
          <w:szCs w:val="22"/>
        </w:rPr>
      </w:pPr>
    </w:p>
    <w:p w14:paraId="6083731E">
      <w:pPr>
        <w:rPr>
          <w:rFonts w:ascii="Roboto" w:hAnsi="Arial MT" w:eastAsia="Arial MT" w:cs="Arial MT"/>
          <w:sz w:val="5"/>
          <w:szCs w:val="22"/>
        </w:rPr>
      </w:pPr>
    </w:p>
    <w:p w14:paraId="2DE42FD9">
      <w:pPr>
        <w:rPr>
          <w:rFonts w:ascii="Roboto" w:hAnsi="Arial MT" w:eastAsia="Arial MT" w:cs="Arial MT"/>
          <w:sz w:val="5"/>
          <w:szCs w:val="22"/>
        </w:rPr>
      </w:pPr>
    </w:p>
    <w:p w14:paraId="260C6B87">
      <w:pPr>
        <w:rPr>
          <w:rFonts w:ascii="Roboto" w:hAnsi="Arial MT" w:eastAsia="Arial MT" w:cs="Arial MT"/>
          <w:sz w:val="5"/>
          <w:szCs w:val="22"/>
        </w:rPr>
      </w:pPr>
    </w:p>
    <w:p w14:paraId="4585EFC3">
      <w:pPr>
        <w:rPr>
          <w:rFonts w:ascii="Roboto" w:hAnsi="Arial MT" w:eastAsia="Arial MT" w:cs="Arial MT"/>
          <w:sz w:val="5"/>
          <w:szCs w:val="22"/>
        </w:rPr>
      </w:pPr>
    </w:p>
    <w:p w14:paraId="3E4BDDE3">
      <w:pPr>
        <w:rPr>
          <w:rFonts w:ascii="Roboto" w:hAnsi="Arial MT" w:eastAsia="Arial MT" w:cs="Arial MT"/>
          <w:sz w:val="5"/>
          <w:szCs w:val="22"/>
        </w:rPr>
      </w:pPr>
    </w:p>
    <w:p w14:paraId="7F8C2354">
      <w:pPr>
        <w:rPr>
          <w:rFonts w:ascii="Roboto" w:hAnsi="Arial MT" w:eastAsia="Arial MT" w:cs="Arial MT"/>
          <w:sz w:val="5"/>
          <w:szCs w:val="22"/>
        </w:rPr>
      </w:pPr>
    </w:p>
    <w:p w14:paraId="3E3453DD">
      <w:pPr>
        <w:rPr>
          <w:rFonts w:ascii="Roboto" w:hAnsi="Arial MT" w:eastAsia="Arial MT" w:cs="Arial MT"/>
          <w:sz w:val="5"/>
          <w:szCs w:val="22"/>
        </w:rPr>
      </w:pPr>
    </w:p>
    <w:p w14:paraId="788212FC">
      <w:pPr>
        <w:rPr>
          <w:rFonts w:ascii="Roboto" w:hAnsi="Arial MT" w:eastAsia="Arial MT" w:cs="Arial MT"/>
          <w:sz w:val="5"/>
          <w:szCs w:val="22"/>
        </w:rPr>
      </w:pPr>
    </w:p>
    <w:p w14:paraId="311F3540">
      <w:pPr>
        <w:rPr>
          <w:rFonts w:ascii="Roboto" w:hAnsi="Arial MT" w:eastAsia="Arial MT" w:cs="Arial MT"/>
          <w:sz w:val="5"/>
          <w:szCs w:val="22"/>
        </w:rPr>
      </w:pPr>
    </w:p>
    <w:p w14:paraId="154A9AB7">
      <w:pPr>
        <w:rPr>
          <w:rFonts w:ascii="Roboto" w:hAnsi="Arial MT" w:eastAsia="Arial MT" w:cs="Arial MT"/>
          <w:sz w:val="5"/>
          <w:szCs w:val="22"/>
        </w:rPr>
      </w:pPr>
    </w:p>
    <w:p w14:paraId="6A1E1660">
      <w:pPr>
        <w:rPr>
          <w:rFonts w:ascii="Roboto" w:hAnsi="Arial MT" w:eastAsia="Arial MT" w:cs="Arial MT"/>
          <w:sz w:val="5"/>
          <w:szCs w:val="22"/>
        </w:rPr>
      </w:pPr>
    </w:p>
    <w:p w14:paraId="1F4D4E0C">
      <w:pPr>
        <w:rPr>
          <w:rFonts w:ascii="Roboto" w:hAnsi="Arial MT" w:eastAsia="Arial MT" w:cs="Arial MT"/>
          <w:sz w:val="5"/>
          <w:szCs w:val="22"/>
        </w:rPr>
      </w:pPr>
    </w:p>
    <w:p w14:paraId="73B7EEC9">
      <w:pPr>
        <w:rPr>
          <w:rFonts w:ascii="Roboto" w:hAnsi="Arial MT" w:eastAsia="Arial MT" w:cs="Arial MT"/>
          <w:sz w:val="5"/>
          <w:szCs w:val="22"/>
        </w:rPr>
      </w:pPr>
    </w:p>
    <w:p w14:paraId="72507959">
      <w:pPr>
        <w:rPr>
          <w:rFonts w:ascii="Roboto" w:hAnsi="Arial MT" w:eastAsia="Arial MT" w:cs="Arial MT"/>
          <w:sz w:val="5"/>
          <w:szCs w:val="22"/>
        </w:rPr>
      </w:pPr>
    </w:p>
    <w:p w14:paraId="144C2D91">
      <w:pPr>
        <w:rPr>
          <w:rFonts w:ascii="Roboto" w:hAnsi="Arial MT" w:eastAsia="Arial MT" w:cs="Arial MT"/>
          <w:sz w:val="5"/>
          <w:szCs w:val="22"/>
        </w:rPr>
      </w:pPr>
    </w:p>
    <w:p w14:paraId="497CCC3F">
      <w:pPr>
        <w:rPr>
          <w:rFonts w:ascii="Roboto" w:hAnsi="Arial MT" w:eastAsia="Arial MT" w:cs="Arial MT"/>
          <w:sz w:val="5"/>
          <w:szCs w:val="22"/>
        </w:rPr>
      </w:pPr>
    </w:p>
    <w:p w14:paraId="53B46C0B">
      <w:pPr>
        <w:rPr>
          <w:rFonts w:ascii="Roboto" w:hAnsi="Arial MT" w:eastAsia="Arial MT" w:cs="Arial MT"/>
          <w:sz w:val="5"/>
          <w:szCs w:val="22"/>
        </w:rPr>
      </w:pPr>
    </w:p>
    <w:p w14:paraId="4BA1D60F">
      <w:pPr>
        <w:rPr>
          <w:rFonts w:ascii="Roboto" w:hAnsi="Arial MT" w:eastAsia="Arial MT" w:cs="Arial MT"/>
          <w:sz w:val="5"/>
          <w:szCs w:val="22"/>
        </w:rPr>
      </w:pPr>
    </w:p>
    <w:p w14:paraId="1A9DE527">
      <w:pPr>
        <w:rPr>
          <w:rFonts w:ascii="Roboto" w:hAnsi="Arial MT" w:eastAsia="Arial MT" w:cs="Arial MT"/>
          <w:sz w:val="5"/>
          <w:szCs w:val="22"/>
        </w:rPr>
      </w:pPr>
    </w:p>
    <w:p w14:paraId="366CCBA1">
      <w:pPr>
        <w:rPr>
          <w:rFonts w:ascii="Roboto" w:hAnsi="Arial MT" w:eastAsia="Arial MT" w:cs="Arial MT"/>
          <w:sz w:val="5"/>
          <w:szCs w:val="22"/>
        </w:rPr>
      </w:pPr>
    </w:p>
    <w:p w14:paraId="06CCBDC0">
      <w:pPr>
        <w:rPr>
          <w:rFonts w:ascii="Roboto" w:hAnsi="Arial MT" w:eastAsia="Arial MT" w:cs="Arial MT"/>
          <w:sz w:val="5"/>
          <w:szCs w:val="22"/>
        </w:rPr>
      </w:pPr>
    </w:p>
    <w:p w14:paraId="7798358E">
      <w:pPr>
        <w:rPr>
          <w:rFonts w:ascii="Roboto" w:hAnsi="Arial MT" w:eastAsia="Arial MT" w:cs="Arial MT"/>
          <w:sz w:val="5"/>
          <w:szCs w:val="22"/>
        </w:rPr>
      </w:pPr>
    </w:p>
    <w:p w14:paraId="254B7B61">
      <w:pPr>
        <w:rPr>
          <w:rFonts w:ascii="Roboto" w:hAnsi="Arial MT" w:eastAsia="Arial MT" w:cs="Arial MT"/>
          <w:sz w:val="5"/>
          <w:szCs w:val="22"/>
        </w:rPr>
      </w:pPr>
    </w:p>
    <w:p w14:paraId="5BC8F634">
      <w:pPr>
        <w:rPr>
          <w:rFonts w:ascii="Roboto" w:hAnsi="Arial MT" w:eastAsia="Arial MT" w:cs="Arial MT"/>
          <w:sz w:val="5"/>
          <w:szCs w:val="22"/>
        </w:rPr>
      </w:pPr>
    </w:p>
    <w:p w14:paraId="479A0B0C">
      <w:pPr>
        <w:rPr>
          <w:rFonts w:ascii="Roboto" w:hAnsi="Arial MT" w:eastAsia="Arial MT" w:cs="Arial MT"/>
          <w:sz w:val="5"/>
          <w:szCs w:val="22"/>
        </w:rPr>
      </w:pPr>
    </w:p>
    <w:p w14:paraId="7BA6A33F">
      <w:pPr>
        <w:rPr>
          <w:rFonts w:ascii="Roboto" w:hAnsi="Arial MT" w:eastAsia="Arial MT" w:cs="Arial MT"/>
          <w:sz w:val="5"/>
          <w:szCs w:val="22"/>
        </w:rPr>
      </w:pPr>
    </w:p>
    <w:p w14:paraId="42D1AA90">
      <w:pPr>
        <w:rPr>
          <w:rFonts w:ascii="Roboto" w:hAnsi="Arial MT" w:eastAsia="Arial MT" w:cs="Arial MT"/>
          <w:sz w:val="5"/>
          <w:szCs w:val="22"/>
        </w:rPr>
      </w:pPr>
    </w:p>
    <w:p w14:paraId="008927C4">
      <w:pPr>
        <w:rPr>
          <w:rFonts w:ascii="Roboto" w:hAnsi="Arial MT" w:eastAsia="Arial MT" w:cs="Arial MT"/>
          <w:sz w:val="5"/>
          <w:szCs w:val="22"/>
        </w:rPr>
      </w:pPr>
    </w:p>
    <w:p w14:paraId="28C72853">
      <w:pPr>
        <w:rPr>
          <w:rFonts w:ascii="Roboto" w:hAnsi="Arial MT" w:eastAsia="Arial MT" w:cs="Arial MT"/>
          <w:sz w:val="5"/>
          <w:szCs w:val="22"/>
        </w:rPr>
      </w:pPr>
    </w:p>
    <w:p w14:paraId="7B62D2BD">
      <w:pPr>
        <w:rPr>
          <w:rFonts w:ascii="Roboto" w:hAnsi="Arial MT" w:eastAsia="Arial MT" w:cs="Arial MT"/>
          <w:sz w:val="5"/>
          <w:szCs w:val="22"/>
        </w:rPr>
      </w:pPr>
    </w:p>
    <w:p w14:paraId="193B9928">
      <w:pPr>
        <w:rPr>
          <w:rFonts w:ascii="Roboto" w:hAnsi="Arial MT" w:eastAsia="Arial MT" w:cs="Arial MT"/>
          <w:sz w:val="5"/>
          <w:szCs w:val="22"/>
        </w:rPr>
      </w:pPr>
    </w:p>
    <w:p w14:paraId="1E6F5266">
      <w:pPr>
        <w:rPr>
          <w:rFonts w:ascii="Roboto" w:hAnsi="Arial MT" w:eastAsia="Arial MT" w:cs="Arial MT"/>
          <w:sz w:val="5"/>
          <w:szCs w:val="22"/>
        </w:rPr>
      </w:pPr>
    </w:p>
    <w:p w14:paraId="2FB8D5BE">
      <w:pPr>
        <w:rPr>
          <w:rFonts w:ascii="Roboto" w:hAnsi="Arial MT" w:eastAsia="Arial MT" w:cs="Arial MT"/>
          <w:sz w:val="5"/>
          <w:szCs w:val="22"/>
        </w:rPr>
      </w:pPr>
    </w:p>
    <w:p w14:paraId="60ECA6D3">
      <w:pPr>
        <w:rPr>
          <w:rFonts w:ascii="Roboto" w:hAnsi="Arial MT" w:eastAsia="Arial MT" w:cs="Arial MT"/>
          <w:sz w:val="5"/>
          <w:szCs w:val="22"/>
        </w:rPr>
      </w:pPr>
    </w:p>
    <w:p w14:paraId="71C8CD75">
      <w:pPr>
        <w:rPr>
          <w:rFonts w:ascii="Roboto" w:hAnsi="Arial MT" w:eastAsia="Arial MT" w:cs="Arial MT"/>
          <w:sz w:val="5"/>
          <w:szCs w:val="22"/>
        </w:rPr>
      </w:pPr>
    </w:p>
    <w:p w14:paraId="3F7EF56B">
      <w:pPr>
        <w:rPr>
          <w:rFonts w:ascii="Roboto" w:hAnsi="Arial MT" w:eastAsia="Arial MT" w:cs="Arial MT"/>
          <w:sz w:val="5"/>
          <w:szCs w:val="22"/>
        </w:rPr>
      </w:pPr>
    </w:p>
    <w:p w14:paraId="0499E3B7">
      <w:pPr>
        <w:rPr>
          <w:rFonts w:ascii="Roboto" w:hAnsi="Arial MT" w:eastAsia="Arial MT" w:cs="Arial MT"/>
          <w:sz w:val="5"/>
          <w:szCs w:val="22"/>
        </w:rPr>
      </w:pPr>
    </w:p>
    <w:p w14:paraId="1EC18ECB">
      <w:pPr>
        <w:rPr>
          <w:rFonts w:ascii="Roboto" w:hAnsi="Arial MT" w:eastAsia="Arial MT" w:cs="Arial MT"/>
          <w:sz w:val="5"/>
          <w:szCs w:val="22"/>
        </w:rPr>
      </w:pPr>
    </w:p>
    <w:p w14:paraId="028FB4C7">
      <w:pPr>
        <w:rPr>
          <w:rFonts w:ascii="Roboto" w:hAnsi="Arial MT" w:eastAsia="Arial MT" w:cs="Arial MT"/>
          <w:sz w:val="5"/>
          <w:szCs w:val="22"/>
        </w:rPr>
      </w:pPr>
    </w:p>
    <w:p w14:paraId="5E16DE27">
      <w:pPr>
        <w:rPr>
          <w:rFonts w:ascii="Roboto" w:hAnsi="Arial MT" w:eastAsia="Arial MT" w:cs="Arial MT"/>
          <w:sz w:val="5"/>
          <w:szCs w:val="22"/>
        </w:rPr>
      </w:pPr>
    </w:p>
    <w:p w14:paraId="2E55704A">
      <w:pPr>
        <w:rPr>
          <w:rFonts w:ascii="Roboto" w:hAnsi="Arial MT" w:eastAsia="Arial MT" w:cs="Arial MT"/>
          <w:sz w:val="5"/>
          <w:szCs w:val="22"/>
        </w:rPr>
      </w:pPr>
    </w:p>
    <w:p w14:paraId="1EC18381">
      <w:pPr>
        <w:rPr>
          <w:rFonts w:ascii="Roboto" w:hAnsi="Arial MT" w:eastAsia="Arial MT" w:cs="Arial MT"/>
          <w:sz w:val="5"/>
          <w:szCs w:val="22"/>
        </w:rPr>
      </w:pPr>
    </w:p>
    <w:p w14:paraId="00DE9D52">
      <w:pPr>
        <w:rPr>
          <w:rFonts w:ascii="Roboto" w:hAnsi="Arial MT" w:eastAsia="Arial MT" w:cs="Arial MT"/>
          <w:sz w:val="5"/>
          <w:szCs w:val="22"/>
        </w:rPr>
      </w:pPr>
    </w:p>
    <w:p w14:paraId="774601C4">
      <w:pPr>
        <w:rPr>
          <w:rFonts w:ascii="Roboto" w:hAnsi="Arial MT" w:eastAsia="Arial MT" w:cs="Arial MT"/>
          <w:sz w:val="5"/>
          <w:szCs w:val="22"/>
        </w:rPr>
      </w:pPr>
    </w:p>
    <w:p w14:paraId="53BEB823">
      <w:pPr>
        <w:rPr>
          <w:rFonts w:ascii="Roboto" w:hAnsi="Arial MT" w:eastAsia="Arial MT" w:cs="Arial MT"/>
          <w:sz w:val="5"/>
          <w:szCs w:val="22"/>
        </w:rPr>
      </w:pPr>
    </w:p>
    <w:p w14:paraId="56AAE65D">
      <w:pPr>
        <w:rPr>
          <w:rFonts w:ascii="Roboto" w:hAnsi="Arial MT" w:eastAsia="Arial MT" w:cs="Arial MT"/>
          <w:sz w:val="5"/>
          <w:szCs w:val="22"/>
        </w:rPr>
      </w:pPr>
    </w:p>
    <w:p w14:paraId="75545AD8">
      <w:pPr>
        <w:rPr>
          <w:rFonts w:ascii="Roboto" w:hAnsi="Arial MT" w:eastAsia="Arial MT" w:cs="Arial MT"/>
          <w:sz w:val="5"/>
          <w:szCs w:val="22"/>
        </w:rPr>
      </w:pPr>
    </w:p>
    <w:p w14:paraId="402E013C">
      <w:pPr>
        <w:rPr>
          <w:rFonts w:ascii="Roboto" w:hAnsi="Arial MT" w:eastAsia="Arial MT" w:cs="Arial MT"/>
          <w:sz w:val="5"/>
          <w:szCs w:val="22"/>
        </w:rPr>
      </w:pPr>
    </w:p>
    <w:p w14:paraId="3FF242DF">
      <w:pPr>
        <w:rPr>
          <w:rFonts w:ascii="Roboto" w:hAnsi="Arial MT" w:eastAsia="Arial MT" w:cs="Arial MT"/>
          <w:sz w:val="5"/>
          <w:szCs w:val="22"/>
        </w:rPr>
      </w:pPr>
    </w:p>
    <w:p w14:paraId="4BFC4A50">
      <w:pPr>
        <w:rPr>
          <w:rFonts w:ascii="Roboto" w:hAnsi="Arial MT" w:eastAsia="Arial MT" w:cs="Arial MT"/>
          <w:sz w:val="5"/>
          <w:szCs w:val="22"/>
        </w:rPr>
      </w:pPr>
    </w:p>
    <w:p w14:paraId="28BBCF15">
      <w:pPr>
        <w:rPr>
          <w:rFonts w:ascii="Roboto" w:hAnsi="Arial MT" w:eastAsia="Arial MT" w:cs="Arial MT"/>
          <w:sz w:val="5"/>
          <w:szCs w:val="22"/>
        </w:rPr>
      </w:pPr>
    </w:p>
    <w:p w14:paraId="4804214F">
      <w:pPr>
        <w:rPr>
          <w:rFonts w:ascii="Roboto" w:hAnsi="Arial MT" w:eastAsia="Arial MT" w:cs="Arial MT"/>
          <w:sz w:val="5"/>
          <w:szCs w:val="22"/>
        </w:rPr>
      </w:pPr>
    </w:p>
    <w:p w14:paraId="617EB4E1">
      <w:pPr>
        <w:rPr>
          <w:rFonts w:ascii="Roboto" w:hAnsi="Arial MT" w:eastAsia="Arial MT" w:cs="Arial MT"/>
          <w:sz w:val="5"/>
          <w:szCs w:val="22"/>
        </w:rPr>
      </w:pPr>
    </w:p>
    <w:p w14:paraId="54EE0C21">
      <w:pPr>
        <w:rPr>
          <w:rFonts w:ascii="Roboto" w:hAnsi="Arial MT" w:eastAsia="Arial MT" w:cs="Arial MT"/>
          <w:sz w:val="5"/>
          <w:szCs w:val="22"/>
        </w:rPr>
      </w:pPr>
    </w:p>
    <w:p w14:paraId="4B543983">
      <w:pPr>
        <w:rPr>
          <w:rFonts w:ascii="Roboto" w:hAnsi="Arial MT" w:eastAsia="Arial MT" w:cs="Arial MT"/>
          <w:sz w:val="5"/>
          <w:szCs w:val="22"/>
        </w:rPr>
      </w:pPr>
    </w:p>
    <w:p w14:paraId="792F232A">
      <w:pPr>
        <w:rPr>
          <w:rFonts w:ascii="Roboto" w:hAnsi="Arial MT" w:eastAsia="Arial MT" w:cs="Arial MT"/>
          <w:sz w:val="5"/>
          <w:szCs w:val="22"/>
        </w:rPr>
      </w:pPr>
    </w:p>
    <w:p w14:paraId="2064F487">
      <w:pPr>
        <w:rPr>
          <w:rFonts w:ascii="Roboto" w:hAnsi="Arial MT" w:eastAsia="Arial MT" w:cs="Arial MT"/>
          <w:sz w:val="5"/>
          <w:szCs w:val="22"/>
        </w:rPr>
      </w:pPr>
    </w:p>
    <w:p w14:paraId="5C0592AB">
      <w:pPr>
        <w:rPr>
          <w:rFonts w:ascii="Roboto" w:hAnsi="Arial MT" w:eastAsia="Arial MT" w:cs="Arial MT"/>
          <w:sz w:val="5"/>
          <w:szCs w:val="22"/>
        </w:rPr>
      </w:pPr>
    </w:p>
    <w:p w14:paraId="5CD889BA">
      <w:pPr>
        <w:rPr>
          <w:rFonts w:ascii="Roboto" w:hAnsi="Arial MT" w:eastAsia="Arial MT" w:cs="Arial MT"/>
          <w:sz w:val="5"/>
          <w:szCs w:val="22"/>
        </w:rPr>
      </w:pPr>
    </w:p>
    <w:p w14:paraId="7A289C14">
      <w:pPr>
        <w:rPr>
          <w:rFonts w:ascii="Roboto" w:hAnsi="Arial MT" w:eastAsia="Arial MT" w:cs="Arial MT"/>
          <w:sz w:val="5"/>
          <w:szCs w:val="22"/>
        </w:rPr>
      </w:pPr>
    </w:p>
    <w:p w14:paraId="02F8A09B">
      <w:pPr>
        <w:rPr>
          <w:rFonts w:ascii="Roboto" w:hAnsi="Arial MT" w:eastAsia="Arial MT" w:cs="Arial MT"/>
          <w:sz w:val="5"/>
          <w:szCs w:val="22"/>
        </w:rPr>
      </w:pPr>
    </w:p>
    <w:p w14:paraId="17361F2C">
      <w:pPr>
        <w:rPr>
          <w:rFonts w:ascii="Roboto" w:hAnsi="Arial MT" w:eastAsia="Arial MT" w:cs="Arial MT"/>
          <w:sz w:val="5"/>
          <w:szCs w:val="22"/>
        </w:rPr>
      </w:pPr>
    </w:p>
    <w:p w14:paraId="12568BB1">
      <w:pPr>
        <w:rPr>
          <w:rFonts w:ascii="Roboto" w:hAnsi="Arial MT" w:eastAsia="Arial MT" w:cs="Arial MT"/>
          <w:sz w:val="5"/>
          <w:szCs w:val="22"/>
        </w:rPr>
      </w:pPr>
    </w:p>
    <w:p w14:paraId="1D39D254">
      <w:pPr>
        <w:rPr>
          <w:rFonts w:ascii="Roboto" w:hAnsi="Arial MT" w:eastAsia="Arial MT" w:cs="Arial MT"/>
          <w:sz w:val="5"/>
          <w:szCs w:val="22"/>
        </w:rPr>
      </w:pPr>
    </w:p>
    <w:p w14:paraId="4E46AFDD">
      <w:pPr>
        <w:rPr>
          <w:rFonts w:ascii="Roboto" w:hAnsi="Arial MT" w:eastAsia="Arial MT" w:cs="Arial MT"/>
          <w:sz w:val="5"/>
          <w:szCs w:val="22"/>
        </w:rPr>
      </w:pPr>
    </w:p>
    <w:p w14:paraId="08D598D7">
      <w:pPr>
        <w:rPr>
          <w:rFonts w:ascii="Roboto" w:hAnsi="Arial MT" w:eastAsia="Arial MT" w:cs="Arial MT"/>
          <w:sz w:val="5"/>
          <w:szCs w:val="22"/>
        </w:rPr>
      </w:pPr>
    </w:p>
    <w:p w14:paraId="055524A2">
      <w:pPr>
        <w:rPr>
          <w:rFonts w:ascii="Roboto" w:hAnsi="Arial MT" w:eastAsia="Arial MT" w:cs="Arial MT"/>
          <w:sz w:val="5"/>
          <w:szCs w:val="22"/>
        </w:rPr>
      </w:pPr>
    </w:p>
    <w:p w14:paraId="2E6B1AFE">
      <w:pPr>
        <w:rPr>
          <w:rFonts w:ascii="Roboto" w:hAnsi="Arial MT" w:eastAsia="Arial MT" w:cs="Arial MT"/>
          <w:sz w:val="5"/>
          <w:szCs w:val="22"/>
        </w:rPr>
      </w:pPr>
    </w:p>
    <w:p w14:paraId="5DF74854">
      <w:pPr>
        <w:rPr>
          <w:rFonts w:ascii="Roboto" w:hAnsi="Arial MT" w:eastAsia="Arial MT" w:cs="Arial MT"/>
          <w:sz w:val="5"/>
          <w:szCs w:val="22"/>
        </w:rPr>
      </w:pPr>
    </w:p>
    <w:p w14:paraId="729EB859">
      <w:pPr>
        <w:rPr>
          <w:rFonts w:ascii="Roboto" w:hAnsi="Arial MT" w:eastAsia="Arial MT" w:cs="Arial MT"/>
          <w:sz w:val="5"/>
          <w:szCs w:val="22"/>
        </w:rPr>
      </w:pPr>
    </w:p>
    <w:p w14:paraId="4E131582">
      <w:pPr>
        <w:rPr>
          <w:rFonts w:ascii="Roboto" w:hAnsi="Arial MT" w:eastAsia="Arial MT" w:cs="Arial MT"/>
          <w:sz w:val="5"/>
          <w:szCs w:val="22"/>
        </w:rPr>
      </w:pPr>
    </w:p>
    <w:p w14:paraId="4D2CFAB6">
      <w:pPr>
        <w:rPr>
          <w:rFonts w:ascii="Roboto" w:hAnsi="Arial MT" w:eastAsia="Arial MT" w:cs="Arial MT"/>
          <w:sz w:val="5"/>
          <w:szCs w:val="22"/>
        </w:rPr>
      </w:pPr>
    </w:p>
    <w:p w14:paraId="519AF3D4">
      <w:pPr>
        <w:rPr>
          <w:rFonts w:ascii="Roboto" w:hAnsi="Arial MT" w:eastAsia="Arial MT" w:cs="Arial MT"/>
          <w:sz w:val="5"/>
          <w:szCs w:val="22"/>
        </w:rPr>
      </w:pPr>
    </w:p>
    <w:p w14:paraId="4088F271">
      <w:pPr>
        <w:rPr>
          <w:rFonts w:ascii="Roboto" w:hAnsi="Arial MT" w:eastAsia="Arial MT" w:cs="Arial MT"/>
          <w:sz w:val="5"/>
          <w:szCs w:val="22"/>
        </w:rPr>
      </w:pPr>
    </w:p>
    <w:p w14:paraId="60C9BE81">
      <w:pPr>
        <w:rPr>
          <w:rFonts w:ascii="Roboto" w:hAnsi="Arial MT" w:eastAsia="Arial MT" w:cs="Arial MT"/>
          <w:sz w:val="5"/>
          <w:szCs w:val="22"/>
        </w:rPr>
      </w:pPr>
    </w:p>
    <w:p w14:paraId="369E3275">
      <w:pPr>
        <w:rPr>
          <w:rFonts w:ascii="Roboto" w:hAnsi="Arial MT" w:eastAsia="Arial MT" w:cs="Arial MT"/>
          <w:sz w:val="5"/>
          <w:szCs w:val="22"/>
        </w:rPr>
      </w:pPr>
    </w:p>
    <w:p w14:paraId="6E0272F1">
      <w:pPr>
        <w:rPr>
          <w:rFonts w:ascii="Roboto" w:hAnsi="Arial MT" w:eastAsia="Arial MT" w:cs="Arial MT"/>
          <w:sz w:val="5"/>
          <w:szCs w:val="22"/>
        </w:rPr>
      </w:pPr>
    </w:p>
    <w:p w14:paraId="6F00697B">
      <w:pPr>
        <w:rPr>
          <w:rFonts w:ascii="Roboto" w:hAnsi="Arial MT" w:eastAsia="Arial MT" w:cs="Arial MT"/>
          <w:sz w:val="5"/>
          <w:szCs w:val="22"/>
        </w:rPr>
      </w:pPr>
    </w:p>
    <w:p w14:paraId="7DDB7D1B">
      <w:pPr>
        <w:rPr>
          <w:rFonts w:ascii="Roboto" w:hAnsi="Arial MT" w:eastAsia="Arial MT" w:cs="Arial MT"/>
          <w:sz w:val="5"/>
          <w:szCs w:val="22"/>
        </w:rPr>
      </w:pPr>
    </w:p>
    <w:p w14:paraId="685B6486">
      <w:pPr>
        <w:rPr>
          <w:rFonts w:ascii="Roboto" w:hAnsi="Arial MT" w:eastAsia="Arial MT" w:cs="Arial MT"/>
          <w:sz w:val="5"/>
          <w:szCs w:val="22"/>
        </w:rPr>
      </w:pPr>
    </w:p>
    <w:p w14:paraId="152C624B">
      <w:pPr>
        <w:rPr>
          <w:rFonts w:ascii="Roboto" w:hAnsi="Arial MT" w:eastAsia="Arial MT" w:cs="Arial MT"/>
          <w:sz w:val="5"/>
          <w:szCs w:val="22"/>
        </w:rPr>
      </w:pPr>
    </w:p>
    <w:p w14:paraId="62C38327">
      <w:pPr>
        <w:rPr>
          <w:rFonts w:ascii="Roboto" w:hAnsi="Arial MT" w:eastAsia="Arial MT" w:cs="Arial MT"/>
          <w:sz w:val="5"/>
          <w:szCs w:val="22"/>
        </w:rPr>
      </w:pPr>
    </w:p>
    <w:p w14:paraId="018B59F2">
      <w:pPr>
        <w:rPr>
          <w:rFonts w:ascii="Roboto" w:hAnsi="Arial MT" w:eastAsia="Arial MT" w:cs="Arial MT"/>
          <w:sz w:val="5"/>
          <w:szCs w:val="22"/>
        </w:rPr>
      </w:pPr>
    </w:p>
    <w:p w14:paraId="5A06462B">
      <w:pPr>
        <w:rPr>
          <w:rFonts w:ascii="Roboto" w:hAnsi="Arial MT" w:eastAsia="Arial MT" w:cs="Arial MT"/>
          <w:sz w:val="5"/>
          <w:szCs w:val="22"/>
        </w:rPr>
      </w:pPr>
    </w:p>
    <w:p w14:paraId="3DBED4BC">
      <w:pPr>
        <w:rPr>
          <w:rFonts w:ascii="Roboto" w:hAnsi="Arial MT" w:eastAsia="Arial MT" w:cs="Arial MT"/>
          <w:sz w:val="5"/>
          <w:szCs w:val="22"/>
        </w:rPr>
      </w:pPr>
    </w:p>
    <w:p w14:paraId="5CF411ED">
      <w:pPr>
        <w:rPr>
          <w:rFonts w:ascii="Roboto" w:hAnsi="Arial MT" w:eastAsia="Arial MT" w:cs="Arial MT"/>
          <w:sz w:val="5"/>
          <w:szCs w:val="22"/>
        </w:rPr>
      </w:pPr>
    </w:p>
    <w:p w14:paraId="1A60A4F0">
      <w:pPr>
        <w:rPr>
          <w:rFonts w:ascii="Roboto" w:hAnsi="Arial MT" w:eastAsia="Arial MT" w:cs="Arial MT"/>
          <w:sz w:val="5"/>
          <w:szCs w:val="22"/>
        </w:rPr>
      </w:pPr>
    </w:p>
    <w:p w14:paraId="08A45DFD">
      <w:pPr>
        <w:rPr>
          <w:rFonts w:ascii="Roboto" w:hAnsi="Arial MT" w:eastAsia="Arial MT" w:cs="Arial MT"/>
          <w:sz w:val="5"/>
          <w:szCs w:val="22"/>
        </w:rPr>
      </w:pPr>
    </w:p>
    <w:p w14:paraId="24B65B60">
      <w:pPr>
        <w:rPr>
          <w:rFonts w:ascii="Roboto" w:hAnsi="Arial MT" w:eastAsia="Arial MT" w:cs="Arial MT"/>
          <w:sz w:val="5"/>
          <w:szCs w:val="22"/>
        </w:rPr>
      </w:pPr>
    </w:p>
    <w:p w14:paraId="02DC28A7">
      <w:pPr>
        <w:rPr>
          <w:rFonts w:ascii="Roboto" w:hAnsi="Arial MT" w:eastAsia="Arial MT" w:cs="Arial MT"/>
          <w:sz w:val="5"/>
          <w:szCs w:val="22"/>
        </w:rPr>
      </w:pPr>
    </w:p>
    <w:p w14:paraId="531039AD">
      <w:pPr>
        <w:rPr>
          <w:rFonts w:ascii="Roboto" w:hAnsi="Arial MT" w:eastAsia="Arial MT" w:cs="Arial MT"/>
          <w:sz w:val="5"/>
          <w:szCs w:val="22"/>
        </w:rPr>
      </w:pPr>
    </w:p>
    <w:p w14:paraId="308185BB">
      <w:pPr>
        <w:rPr>
          <w:rFonts w:ascii="Roboto" w:hAnsi="Arial MT" w:eastAsia="Arial MT" w:cs="Arial MT"/>
          <w:sz w:val="5"/>
          <w:szCs w:val="22"/>
        </w:rPr>
      </w:pPr>
    </w:p>
    <w:p w14:paraId="73F42648">
      <w:pPr>
        <w:rPr>
          <w:rFonts w:ascii="Roboto" w:hAnsi="Arial MT" w:eastAsia="Arial MT" w:cs="Arial MT"/>
          <w:sz w:val="5"/>
          <w:szCs w:val="22"/>
        </w:rPr>
      </w:pPr>
    </w:p>
    <w:p w14:paraId="786D7FB4">
      <w:pPr>
        <w:rPr>
          <w:rFonts w:ascii="Roboto" w:hAnsi="Arial MT" w:eastAsia="Arial MT" w:cs="Arial MT"/>
          <w:sz w:val="5"/>
          <w:szCs w:val="22"/>
        </w:rPr>
      </w:pPr>
    </w:p>
    <w:p w14:paraId="1BC91DCB">
      <w:pPr>
        <w:rPr>
          <w:rFonts w:ascii="Roboto" w:hAnsi="Arial MT" w:eastAsia="Arial MT" w:cs="Arial MT"/>
          <w:sz w:val="5"/>
          <w:szCs w:val="22"/>
        </w:rPr>
      </w:pPr>
    </w:p>
    <w:p w14:paraId="0D88C2E6">
      <w:pPr>
        <w:rPr>
          <w:rFonts w:ascii="Roboto" w:hAnsi="Arial MT" w:eastAsia="Arial MT" w:cs="Arial MT"/>
          <w:sz w:val="5"/>
          <w:szCs w:val="22"/>
        </w:rPr>
      </w:pPr>
    </w:p>
    <w:p w14:paraId="52A9B657">
      <w:pPr>
        <w:rPr>
          <w:rFonts w:ascii="Roboto" w:hAnsi="Arial MT" w:eastAsia="Arial MT" w:cs="Arial MT"/>
          <w:sz w:val="5"/>
          <w:szCs w:val="22"/>
        </w:rPr>
      </w:pPr>
    </w:p>
    <w:p w14:paraId="53C4F7B4">
      <w:pPr>
        <w:rPr>
          <w:rFonts w:ascii="Roboto" w:hAnsi="Arial MT" w:eastAsia="Arial MT" w:cs="Arial MT"/>
          <w:sz w:val="5"/>
          <w:szCs w:val="22"/>
        </w:rPr>
      </w:pPr>
    </w:p>
    <w:p w14:paraId="465F94E6">
      <w:pPr>
        <w:rPr>
          <w:rFonts w:ascii="Roboto" w:hAnsi="Arial MT" w:eastAsia="Arial MT" w:cs="Arial MT"/>
          <w:sz w:val="5"/>
          <w:szCs w:val="22"/>
        </w:rPr>
      </w:pPr>
    </w:p>
    <w:p w14:paraId="5BE01398">
      <w:pPr>
        <w:rPr>
          <w:rFonts w:ascii="Roboto" w:hAnsi="Arial MT" w:eastAsia="Arial MT" w:cs="Arial MT"/>
          <w:sz w:val="5"/>
          <w:szCs w:val="22"/>
        </w:rPr>
      </w:pPr>
    </w:p>
    <w:p w14:paraId="3E5C9878">
      <w:pPr>
        <w:rPr>
          <w:rFonts w:ascii="Roboto" w:hAnsi="Arial MT" w:eastAsia="Arial MT" w:cs="Arial MT"/>
          <w:sz w:val="5"/>
          <w:szCs w:val="22"/>
        </w:rPr>
      </w:pPr>
    </w:p>
    <w:p w14:paraId="0151FCCE">
      <w:pPr>
        <w:rPr>
          <w:rFonts w:ascii="Roboto" w:hAnsi="Arial MT" w:eastAsia="Arial MT" w:cs="Arial MT"/>
          <w:sz w:val="5"/>
          <w:szCs w:val="22"/>
        </w:rPr>
      </w:pPr>
    </w:p>
    <w:p w14:paraId="415C09B5">
      <w:pPr>
        <w:rPr>
          <w:rFonts w:ascii="Roboto" w:hAnsi="Arial MT" w:eastAsia="Arial MT" w:cs="Arial MT"/>
          <w:sz w:val="5"/>
          <w:szCs w:val="22"/>
        </w:rPr>
      </w:pPr>
    </w:p>
    <w:p w14:paraId="02ED384E">
      <w:pPr>
        <w:rPr>
          <w:rFonts w:ascii="Roboto" w:hAnsi="Arial MT" w:eastAsia="Arial MT" w:cs="Arial MT"/>
          <w:sz w:val="5"/>
          <w:szCs w:val="22"/>
        </w:rPr>
      </w:pPr>
    </w:p>
    <w:p w14:paraId="6195B537">
      <w:pPr>
        <w:rPr>
          <w:rFonts w:ascii="Roboto" w:hAnsi="Arial MT" w:eastAsia="Arial MT" w:cs="Arial MT"/>
          <w:sz w:val="5"/>
          <w:szCs w:val="22"/>
        </w:rPr>
      </w:pPr>
    </w:p>
    <w:p w14:paraId="4755F79E">
      <w:pPr>
        <w:rPr>
          <w:rFonts w:ascii="Roboto" w:hAnsi="Arial MT" w:eastAsia="Arial MT" w:cs="Arial MT"/>
          <w:sz w:val="5"/>
          <w:szCs w:val="22"/>
        </w:rPr>
      </w:pPr>
    </w:p>
    <w:p w14:paraId="480943D0">
      <w:pPr>
        <w:rPr>
          <w:rFonts w:ascii="Roboto" w:hAnsi="Arial MT" w:eastAsia="Arial MT" w:cs="Arial MT"/>
          <w:sz w:val="5"/>
          <w:szCs w:val="22"/>
        </w:rPr>
      </w:pPr>
    </w:p>
    <w:p w14:paraId="267B4D1E">
      <w:pPr>
        <w:rPr>
          <w:rFonts w:ascii="Roboto" w:hAnsi="Arial MT" w:eastAsia="Arial MT" w:cs="Arial MT"/>
          <w:sz w:val="5"/>
          <w:szCs w:val="22"/>
        </w:rPr>
      </w:pPr>
    </w:p>
    <w:p w14:paraId="634A4778">
      <w:pPr>
        <w:rPr>
          <w:rFonts w:ascii="Roboto" w:hAnsi="Arial MT" w:eastAsia="Arial MT" w:cs="Arial MT"/>
          <w:sz w:val="5"/>
          <w:szCs w:val="22"/>
        </w:rPr>
      </w:pPr>
    </w:p>
    <w:p w14:paraId="33A4C30D">
      <w:pPr>
        <w:rPr>
          <w:rFonts w:ascii="Roboto" w:hAnsi="Arial MT" w:eastAsia="Arial MT" w:cs="Arial MT"/>
          <w:sz w:val="5"/>
          <w:szCs w:val="22"/>
        </w:rPr>
      </w:pPr>
    </w:p>
    <w:p w14:paraId="52DB983F">
      <w:pPr>
        <w:rPr>
          <w:rFonts w:ascii="Roboto" w:hAnsi="Arial MT" w:eastAsia="Arial MT" w:cs="Arial MT"/>
          <w:sz w:val="5"/>
          <w:szCs w:val="22"/>
        </w:rPr>
      </w:pPr>
    </w:p>
    <w:p w14:paraId="4D6C9083">
      <w:pPr>
        <w:tabs>
          <w:tab w:val="left" w:pos="821"/>
        </w:tabs>
        <w:rPr>
          <w:rFonts w:ascii="Roboto" w:hAnsi="Arial MT" w:eastAsia="Arial MT" w:cs="Arial MT"/>
          <w:sz w:val="5"/>
          <w:szCs w:val="22"/>
        </w:rPr>
        <w:sectPr>
          <w:headerReference r:id="rId8" w:type="default"/>
          <w:footerReference r:id="rId9" w:type="default"/>
          <w:pgSz w:w="11900" w:h="16840"/>
          <w:pgMar w:top="980" w:right="1200" w:bottom="440" w:left="1260" w:header="290" w:footer="253" w:gutter="0"/>
          <w:cols w:space="720" w:num="1"/>
        </w:sectPr>
      </w:pPr>
    </w:p>
    <w:p w14:paraId="58F0D372">
      <w:pPr>
        <w:widowControl w:val="0"/>
        <w:autoSpaceDE w:val="0"/>
        <w:autoSpaceDN w:val="0"/>
        <w:spacing w:before="6"/>
        <w:rPr>
          <w:rFonts w:ascii="Roboto" w:hAnsi="Arial MT" w:eastAsia="Arial MT" w:cs="Arial MT"/>
          <w:sz w:val="11"/>
        </w:rPr>
      </w:pPr>
    </w:p>
    <w:p w14:paraId="29EC9ECC">
      <w:pPr>
        <w:widowControl w:val="0"/>
        <w:autoSpaceDE w:val="0"/>
        <w:autoSpaceDN w:val="0"/>
        <w:spacing w:before="6"/>
        <w:rPr>
          <w:rFonts w:ascii="Roboto" w:hAnsi="Arial MT" w:eastAsia="Arial MT" w:cs="Arial MT"/>
          <w:sz w:val="11"/>
        </w:rPr>
      </w:pPr>
    </w:p>
    <w:p w14:paraId="7594BE8A">
      <w:pPr>
        <w:widowControl w:val="0"/>
        <w:autoSpaceDE w:val="0"/>
        <w:autoSpaceDN w:val="0"/>
        <w:spacing w:before="6"/>
        <w:rPr>
          <w:rFonts w:ascii="Roboto" w:hAnsi="Arial MT" w:eastAsia="Arial MT" w:cs="Arial MT"/>
          <w:sz w:val="11"/>
        </w:rPr>
      </w:pPr>
    </w:p>
    <w:p w14:paraId="665EAA71">
      <w:pPr>
        <w:widowControl w:val="0"/>
        <w:autoSpaceDE w:val="0"/>
        <w:autoSpaceDN w:val="0"/>
        <w:spacing w:before="6"/>
        <w:rPr>
          <w:rFonts w:ascii="Roboto" w:hAnsi="Arial MT" w:eastAsia="Arial MT" w:cs="Arial MT"/>
          <w:sz w:val="11"/>
        </w:rPr>
      </w:pPr>
    </w:p>
    <w:p w14:paraId="58BDAA0F">
      <w:pPr>
        <w:pStyle w:val="33"/>
        <w:rPr>
          <w:rFonts w:ascii="Times New Roman" w:hAnsi="Times New Roman" w:eastAsia="Arial MT"/>
          <w:color w:val="202024"/>
          <w:sz w:val="24"/>
          <w:szCs w:val="24"/>
        </w:rPr>
      </w:pPr>
      <w:r>
        <w:rPr>
          <w:rFonts w:ascii="Times New Roman" w:hAnsi="Times New Roman" w:eastAsia="Arial MT"/>
          <w:b/>
          <w:bCs/>
          <w:color w:val="202024"/>
          <w:sz w:val="24"/>
          <w:szCs w:val="24"/>
        </w:rPr>
        <w:t>APPENDIX</w:t>
      </w:r>
      <w:r>
        <w:rPr>
          <w:rFonts w:ascii="Times New Roman" w:hAnsi="Times New Roman" w:eastAsia="Arial MT"/>
          <w:color w:val="202024"/>
          <w:sz w:val="24"/>
          <w:szCs w:val="24"/>
        </w:rPr>
        <w:t xml:space="preserve">  I I</w:t>
      </w:r>
    </w:p>
    <w:p w14:paraId="7F31E8B2">
      <w:pPr>
        <w:widowControl w:val="0"/>
        <w:autoSpaceDE w:val="0"/>
        <w:autoSpaceDN w:val="0"/>
        <w:spacing w:before="6"/>
        <w:rPr>
          <w:rFonts w:ascii="Roboto" w:hAnsi="Arial MT" w:eastAsia="Arial MT" w:cs="Arial MT"/>
          <w:sz w:val="11"/>
        </w:rPr>
      </w:pPr>
    </w:p>
    <w:p w14:paraId="38B90068">
      <w:pPr>
        <w:widowControl w:val="0"/>
        <w:autoSpaceDE w:val="0"/>
        <w:autoSpaceDN w:val="0"/>
        <w:spacing w:before="6"/>
        <w:rPr>
          <w:rFonts w:ascii="Roboto" w:hAnsi="Arial MT" w:eastAsia="Arial MT" w:cs="Arial MT"/>
          <w:sz w:val="11"/>
        </w:rPr>
      </w:pPr>
    </w:p>
    <w:p w14:paraId="2C51667B">
      <w:pPr>
        <w:widowControl w:val="0"/>
        <w:autoSpaceDE w:val="0"/>
        <w:autoSpaceDN w:val="0"/>
        <w:spacing w:before="6"/>
        <w:rPr>
          <w:rFonts w:ascii="Roboto" w:hAnsi="Arial MT" w:eastAsia="Arial MT" w:cs="Arial MT"/>
          <w:sz w:val="11"/>
        </w:rPr>
      </w:pPr>
    </w:p>
    <w:p w14:paraId="49D54836">
      <w:pPr>
        <w:widowControl w:val="0"/>
        <w:autoSpaceDE w:val="0"/>
        <w:autoSpaceDN w:val="0"/>
        <w:spacing w:before="6"/>
        <w:rPr>
          <w:rFonts w:ascii="Roboto" w:hAnsi="Arial MT" w:eastAsia="Arial MT" w:cs="Arial MT"/>
          <w:sz w:val="11"/>
        </w:rPr>
      </w:pPr>
    </w:p>
    <w:p w14:paraId="16401D0E">
      <w:pPr>
        <w:widowControl w:val="0"/>
        <w:autoSpaceDE w:val="0"/>
        <w:autoSpaceDN w:val="0"/>
        <w:spacing w:before="6"/>
        <w:rPr>
          <w:rFonts w:ascii="Roboto" w:hAnsi="Arial MT" w:eastAsia="Arial MT" w:cs="Arial MT"/>
          <w:sz w:val="11"/>
        </w:rPr>
      </w:pPr>
    </w:p>
    <w:p w14:paraId="34A768F8">
      <w:pPr>
        <w:widowControl w:val="0"/>
        <w:autoSpaceDE w:val="0"/>
        <w:autoSpaceDN w:val="0"/>
        <w:spacing w:before="6"/>
        <w:rPr>
          <w:rFonts w:ascii="Roboto" w:hAnsi="Arial MT" w:eastAsia="Arial MT" w:cs="Arial MT"/>
          <w:sz w:val="11"/>
        </w:rPr>
      </w:pPr>
      <w:r>
        <mc:AlternateContent>
          <mc:Choice Requires="wpg">
            <w:drawing>
              <wp:anchor distT="0" distB="0" distL="114300" distR="114300" simplePos="0" relativeHeight="251678720" behindDoc="0" locked="0" layoutInCell="1" allowOverlap="1">
                <wp:simplePos x="0" y="0"/>
                <wp:positionH relativeFrom="page">
                  <wp:posOffset>731520</wp:posOffset>
                </wp:positionH>
                <wp:positionV relativeFrom="paragraph">
                  <wp:posOffset>30480</wp:posOffset>
                </wp:positionV>
                <wp:extent cx="6096000" cy="5501640"/>
                <wp:effectExtent l="7620" t="1905" r="1905" b="1905"/>
                <wp:wrapNone/>
                <wp:docPr id="1143768868" name="Group 385"/>
                <wp:cNvGraphicFramePr/>
                <a:graphic xmlns:a="http://schemas.openxmlformats.org/drawingml/2006/main">
                  <a:graphicData uri="http://schemas.microsoft.com/office/word/2010/wordprocessingGroup">
                    <wpg:wgp>
                      <wpg:cNvGrpSpPr/>
                      <wpg:grpSpPr>
                        <a:xfrm>
                          <a:off x="0" y="0"/>
                          <a:ext cx="6096000" cy="5501640"/>
                          <a:chOff x="1155" y="-8932"/>
                          <a:chExt cx="9600" cy="8664"/>
                        </a:xfrm>
                        <a:effectLst/>
                      </wpg:grpSpPr>
                      <wps:wsp>
                        <wps:cNvPr id="2043169471" name="AutoShape 398"/>
                        <wps:cNvSpPr/>
                        <wps:spPr bwMode="auto">
                          <a:xfrm>
                            <a:off x="1162" y="-8925"/>
                            <a:ext cx="9585" cy="8625"/>
                          </a:xfrm>
                          <a:custGeom>
                            <a:avLst/>
                            <a:gdLst>
                              <a:gd name="T0" fmla="*/ 6 w 9585"/>
                              <a:gd name="T1" fmla="*/ -7078 h 8625"/>
                              <a:gd name="T2" fmla="*/ 33 w 9585"/>
                              <a:gd name="T3" fmla="*/ -7122 h 8625"/>
                              <a:gd name="T4" fmla="*/ 77 w 9585"/>
                              <a:gd name="T5" fmla="*/ -7149 h 8625"/>
                              <a:gd name="T6" fmla="*/ 9480 w 9585"/>
                              <a:gd name="T7" fmla="*/ -7154 h 8625"/>
                              <a:gd name="T8" fmla="*/ 9529 w 9585"/>
                              <a:gd name="T9" fmla="*/ -7140 h 8625"/>
                              <a:gd name="T10" fmla="*/ 9567 w 9585"/>
                              <a:gd name="T11" fmla="*/ -7104 h 8625"/>
                              <a:gd name="T12" fmla="*/ 9585 w 9585"/>
                              <a:gd name="T13" fmla="*/ -7057 h 8625"/>
                              <a:gd name="T14" fmla="*/ 9582 w 9585"/>
                              <a:gd name="T15" fmla="*/ -3383 h 8625"/>
                              <a:gd name="T16" fmla="*/ 9558 w 9585"/>
                              <a:gd name="T17" fmla="*/ -3338 h 8625"/>
                              <a:gd name="T18" fmla="*/ 9516 w 9585"/>
                              <a:gd name="T19" fmla="*/ -3308 h 8625"/>
                              <a:gd name="T20" fmla="*/ 113 w 9585"/>
                              <a:gd name="T21" fmla="*/ -3299 h 8625"/>
                              <a:gd name="T22" fmla="*/ 63 w 9585"/>
                              <a:gd name="T23" fmla="*/ -3311 h 8625"/>
                              <a:gd name="T24" fmla="*/ 24 w 9585"/>
                              <a:gd name="T25" fmla="*/ -3343 h 8625"/>
                              <a:gd name="T26" fmla="*/ 3 w 9585"/>
                              <a:gd name="T27" fmla="*/ -3390 h 8625"/>
                              <a:gd name="T28" fmla="*/ 1 w 9585"/>
                              <a:gd name="T29" fmla="*/ -3187 h 8625"/>
                              <a:gd name="T30" fmla="*/ 19 w 9585"/>
                              <a:gd name="T31" fmla="*/ -3234 h 8625"/>
                              <a:gd name="T32" fmla="*/ 57 w 9585"/>
                              <a:gd name="T33" fmla="*/ -3270 h 8625"/>
                              <a:gd name="T34" fmla="*/ 106 w 9585"/>
                              <a:gd name="T35" fmla="*/ -3284 h 8625"/>
                              <a:gd name="T36" fmla="*/ 9509 w 9585"/>
                              <a:gd name="T37" fmla="*/ -3279 h 8625"/>
                              <a:gd name="T38" fmla="*/ 9553 w 9585"/>
                              <a:gd name="T39" fmla="*/ -3252 h 8625"/>
                              <a:gd name="T40" fmla="*/ 9580 w 9585"/>
                              <a:gd name="T41" fmla="*/ -3208 h 8625"/>
                              <a:gd name="T42" fmla="*/ 9585 w 9585"/>
                              <a:gd name="T43" fmla="*/ -2235 h 8625"/>
                              <a:gd name="T44" fmla="*/ 9571 w 9585"/>
                              <a:gd name="T45" fmla="*/ -2186 h 8625"/>
                              <a:gd name="T46" fmla="*/ 9535 w 9585"/>
                              <a:gd name="T47" fmla="*/ -2148 h 8625"/>
                              <a:gd name="T48" fmla="*/ 9488 w 9585"/>
                              <a:gd name="T49" fmla="*/ -2130 h 8625"/>
                              <a:gd name="T50" fmla="*/ 84 w 9585"/>
                              <a:gd name="T51" fmla="*/ -2133 h 8625"/>
                              <a:gd name="T52" fmla="*/ 39 w 9585"/>
                              <a:gd name="T53" fmla="*/ -2157 h 8625"/>
                              <a:gd name="T54" fmla="*/ 9 w 9585"/>
                              <a:gd name="T55" fmla="*/ -2199 h 8625"/>
                              <a:gd name="T56" fmla="*/ 0 w 9585"/>
                              <a:gd name="T57" fmla="*/ -412 h 8625"/>
                              <a:gd name="T58" fmla="*/ 9 w 9585"/>
                              <a:gd name="T59" fmla="*/ -2045 h 8625"/>
                              <a:gd name="T60" fmla="*/ 39 w 9585"/>
                              <a:gd name="T61" fmla="*/ -2087 h 8625"/>
                              <a:gd name="T62" fmla="*/ 84 w 9585"/>
                              <a:gd name="T63" fmla="*/ -2111 h 8625"/>
                              <a:gd name="T64" fmla="*/ 9488 w 9585"/>
                              <a:gd name="T65" fmla="*/ -2114 h 8625"/>
                              <a:gd name="T66" fmla="*/ 9535 w 9585"/>
                              <a:gd name="T67" fmla="*/ -2095 h 8625"/>
                              <a:gd name="T68" fmla="*/ 9571 w 9585"/>
                              <a:gd name="T69" fmla="*/ -2058 h 8625"/>
                              <a:gd name="T70" fmla="*/ 9585 w 9585"/>
                              <a:gd name="T71" fmla="*/ -2009 h 8625"/>
                              <a:gd name="T72" fmla="*/ 9580 w 9585"/>
                              <a:gd name="T73" fmla="*/ -376 h 8625"/>
                              <a:gd name="T74" fmla="*/ 9553 w 9585"/>
                              <a:gd name="T75" fmla="*/ -332 h 8625"/>
                              <a:gd name="T76" fmla="*/ 9509 w 9585"/>
                              <a:gd name="T77" fmla="*/ -305 h 8625"/>
                              <a:gd name="T78" fmla="*/ 106 w 9585"/>
                              <a:gd name="T79" fmla="*/ -299 h 8625"/>
                              <a:gd name="T80" fmla="*/ 57 w 9585"/>
                              <a:gd name="T81" fmla="*/ -314 h 8625"/>
                              <a:gd name="T82" fmla="*/ 19 w 9585"/>
                              <a:gd name="T83" fmla="*/ -349 h 8625"/>
                              <a:gd name="T84" fmla="*/ 1 w 9585"/>
                              <a:gd name="T85" fmla="*/ -397 h 8625"/>
                              <a:gd name="T86" fmla="*/ 3 w 9585"/>
                              <a:gd name="T87" fmla="*/ -8834 h 8625"/>
                              <a:gd name="T88" fmla="*/ 24 w 9585"/>
                              <a:gd name="T89" fmla="*/ -8881 h 8625"/>
                              <a:gd name="T90" fmla="*/ 63 w 9585"/>
                              <a:gd name="T91" fmla="*/ -8913 h 8625"/>
                              <a:gd name="T92" fmla="*/ 113 w 9585"/>
                              <a:gd name="T93" fmla="*/ -8924 h 8625"/>
                              <a:gd name="T94" fmla="*/ 9516 w 9585"/>
                              <a:gd name="T95" fmla="*/ -8916 h 8625"/>
                              <a:gd name="T96" fmla="*/ 9558 w 9585"/>
                              <a:gd name="T97" fmla="*/ -8886 h 8625"/>
                              <a:gd name="T98" fmla="*/ 9582 w 9585"/>
                              <a:gd name="T99" fmla="*/ -8841 h 8625"/>
                              <a:gd name="T100" fmla="*/ 9585 w 9585"/>
                              <a:gd name="T101" fmla="*/ -7267 h 8625"/>
                              <a:gd name="T102" fmla="*/ 9567 w 9585"/>
                              <a:gd name="T103" fmla="*/ -7219 h 8625"/>
                              <a:gd name="T104" fmla="*/ 9529 w 9585"/>
                              <a:gd name="T105" fmla="*/ -7184 h 8625"/>
                              <a:gd name="T106" fmla="*/ 9480 w 9585"/>
                              <a:gd name="T107" fmla="*/ -7169 h 8625"/>
                              <a:gd name="T108" fmla="*/ 77 w 9585"/>
                              <a:gd name="T109" fmla="*/ -7175 h 8625"/>
                              <a:gd name="T110" fmla="*/ 33 w 9585"/>
                              <a:gd name="T111" fmla="*/ -7202 h 8625"/>
                              <a:gd name="T112" fmla="*/ 6 w 9585"/>
                              <a:gd name="T113" fmla="*/ -7246 h 862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585" h="8625">
                                <a:moveTo>
                                  <a:pt x="0" y="5512"/>
                                </a:moveTo>
                                <a:lnTo>
                                  <a:pt x="0" y="1882"/>
                                </a:lnTo>
                                <a:lnTo>
                                  <a:pt x="0" y="1875"/>
                                </a:lnTo>
                                <a:lnTo>
                                  <a:pt x="1" y="1867"/>
                                </a:lnTo>
                                <a:lnTo>
                                  <a:pt x="3" y="1860"/>
                                </a:lnTo>
                                <a:lnTo>
                                  <a:pt x="4" y="1853"/>
                                </a:lnTo>
                                <a:lnTo>
                                  <a:pt x="6" y="1846"/>
                                </a:lnTo>
                                <a:lnTo>
                                  <a:pt x="9" y="1839"/>
                                </a:lnTo>
                                <a:lnTo>
                                  <a:pt x="12" y="1832"/>
                                </a:lnTo>
                                <a:lnTo>
                                  <a:pt x="15" y="1826"/>
                                </a:lnTo>
                                <a:lnTo>
                                  <a:pt x="19" y="1820"/>
                                </a:lnTo>
                                <a:lnTo>
                                  <a:pt x="24" y="1813"/>
                                </a:lnTo>
                                <a:lnTo>
                                  <a:pt x="28" y="1808"/>
                                </a:lnTo>
                                <a:lnTo>
                                  <a:pt x="33" y="1802"/>
                                </a:lnTo>
                                <a:lnTo>
                                  <a:pt x="39" y="1797"/>
                                </a:lnTo>
                                <a:lnTo>
                                  <a:pt x="44" y="1793"/>
                                </a:lnTo>
                                <a:lnTo>
                                  <a:pt x="50" y="1789"/>
                                </a:lnTo>
                                <a:lnTo>
                                  <a:pt x="57" y="1784"/>
                                </a:lnTo>
                                <a:lnTo>
                                  <a:pt x="63" y="1781"/>
                                </a:lnTo>
                                <a:lnTo>
                                  <a:pt x="70" y="1778"/>
                                </a:lnTo>
                                <a:lnTo>
                                  <a:pt x="77" y="1775"/>
                                </a:lnTo>
                                <a:lnTo>
                                  <a:pt x="84" y="1773"/>
                                </a:lnTo>
                                <a:lnTo>
                                  <a:pt x="91" y="1772"/>
                                </a:lnTo>
                                <a:lnTo>
                                  <a:pt x="98" y="1770"/>
                                </a:lnTo>
                                <a:lnTo>
                                  <a:pt x="106" y="1770"/>
                                </a:lnTo>
                                <a:lnTo>
                                  <a:pt x="113" y="1770"/>
                                </a:lnTo>
                                <a:lnTo>
                                  <a:pt x="9473" y="1770"/>
                                </a:lnTo>
                                <a:lnTo>
                                  <a:pt x="9480" y="1770"/>
                                </a:lnTo>
                                <a:lnTo>
                                  <a:pt x="9488" y="1770"/>
                                </a:lnTo>
                                <a:lnTo>
                                  <a:pt x="9495" y="1772"/>
                                </a:lnTo>
                                <a:lnTo>
                                  <a:pt x="9502" y="1773"/>
                                </a:lnTo>
                                <a:lnTo>
                                  <a:pt x="9509" y="1775"/>
                                </a:lnTo>
                                <a:lnTo>
                                  <a:pt x="9516" y="1778"/>
                                </a:lnTo>
                                <a:lnTo>
                                  <a:pt x="9523" y="1781"/>
                                </a:lnTo>
                                <a:lnTo>
                                  <a:pt x="9529" y="1784"/>
                                </a:lnTo>
                                <a:lnTo>
                                  <a:pt x="9535" y="1789"/>
                                </a:lnTo>
                                <a:lnTo>
                                  <a:pt x="9542" y="1793"/>
                                </a:lnTo>
                                <a:lnTo>
                                  <a:pt x="9547" y="1797"/>
                                </a:lnTo>
                                <a:lnTo>
                                  <a:pt x="9553" y="1802"/>
                                </a:lnTo>
                                <a:lnTo>
                                  <a:pt x="9558" y="1808"/>
                                </a:lnTo>
                                <a:lnTo>
                                  <a:pt x="9562" y="1813"/>
                                </a:lnTo>
                                <a:lnTo>
                                  <a:pt x="9567" y="1820"/>
                                </a:lnTo>
                                <a:lnTo>
                                  <a:pt x="9571" y="1826"/>
                                </a:lnTo>
                                <a:lnTo>
                                  <a:pt x="9574" y="1832"/>
                                </a:lnTo>
                                <a:lnTo>
                                  <a:pt x="9577" y="1839"/>
                                </a:lnTo>
                                <a:lnTo>
                                  <a:pt x="9580" y="1846"/>
                                </a:lnTo>
                                <a:lnTo>
                                  <a:pt x="9582" y="1853"/>
                                </a:lnTo>
                                <a:lnTo>
                                  <a:pt x="9583" y="1860"/>
                                </a:lnTo>
                                <a:lnTo>
                                  <a:pt x="9585" y="1867"/>
                                </a:lnTo>
                                <a:lnTo>
                                  <a:pt x="9585" y="1875"/>
                                </a:lnTo>
                                <a:lnTo>
                                  <a:pt x="9585" y="1882"/>
                                </a:lnTo>
                                <a:lnTo>
                                  <a:pt x="9585" y="5512"/>
                                </a:lnTo>
                                <a:lnTo>
                                  <a:pt x="9585" y="5519"/>
                                </a:lnTo>
                                <a:lnTo>
                                  <a:pt x="9585" y="5527"/>
                                </a:lnTo>
                                <a:lnTo>
                                  <a:pt x="9583" y="5534"/>
                                </a:lnTo>
                                <a:lnTo>
                                  <a:pt x="9582" y="5541"/>
                                </a:lnTo>
                                <a:lnTo>
                                  <a:pt x="9580" y="5548"/>
                                </a:lnTo>
                                <a:lnTo>
                                  <a:pt x="9577" y="5555"/>
                                </a:lnTo>
                                <a:lnTo>
                                  <a:pt x="9574" y="5562"/>
                                </a:lnTo>
                                <a:lnTo>
                                  <a:pt x="9571" y="5568"/>
                                </a:lnTo>
                                <a:lnTo>
                                  <a:pt x="9567" y="5575"/>
                                </a:lnTo>
                                <a:lnTo>
                                  <a:pt x="9562" y="5581"/>
                                </a:lnTo>
                                <a:lnTo>
                                  <a:pt x="9558" y="5586"/>
                                </a:lnTo>
                                <a:lnTo>
                                  <a:pt x="9553" y="5592"/>
                                </a:lnTo>
                                <a:lnTo>
                                  <a:pt x="9547" y="5597"/>
                                </a:lnTo>
                                <a:lnTo>
                                  <a:pt x="9542" y="5601"/>
                                </a:lnTo>
                                <a:lnTo>
                                  <a:pt x="9535" y="5606"/>
                                </a:lnTo>
                                <a:lnTo>
                                  <a:pt x="9529" y="5610"/>
                                </a:lnTo>
                                <a:lnTo>
                                  <a:pt x="9523" y="5613"/>
                                </a:lnTo>
                                <a:lnTo>
                                  <a:pt x="9516" y="5616"/>
                                </a:lnTo>
                                <a:lnTo>
                                  <a:pt x="9509" y="5619"/>
                                </a:lnTo>
                                <a:lnTo>
                                  <a:pt x="9502" y="5621"/>
                                </a:lnTo>
                                <a:lnTo>
                                  <a:pt x="9495" y="5622"/>
                                </a:lnTo>
                                <a:lnTo>
                                  <a:pt x="9488" y="5624"/>
                                </a:lnTo>
                                <a:lnTo>
                                  <a:pt x="9480" y="5625"/>
                                </a:lnTo>
                                <a:lnTo>
                                  <a:pt x="9473" y="5625"/>
                                </a:lnTo>
                                <a:lnTo>
                                  <a:pt x="113" y="5625"/>
                                </a:lnTo>
                                <a:lnTo>
                                  <a:pt x="106" y="5625"/>
                                </a:lnTo>
                                <a:lnTo>
                                  <a:pt x="98" y="5624"/>
                                </a:lnTo>
                                <a:lnTo>
                                  <a:pt x="91" y="5622"/>
                                </a:lnTo>
                                <a:lnTo>
                                  <a:pt x="84" y="5621"/>
                                </a:lnTo>
                                <a:lnTo>
                                  <a:pt x="77" y="5619"/>
                                </a:lnTo>
                                <a:lnTo>
                                  <a:pt x="70" y="5616"/>
                                </a:lnTo>
                                <a:lnTo>
                                  <a:pt x="63" y="5613"/>
                                </a:lnTo>
                                <a:lnTo>
                                  <a:pt x="57" y="5610"/>
                                </a:lnTo>
                                <a:lnTo>
                                  <a:pt x="50" y="5606"/>
                                </a:lnTo>
                                <a:lnTo>
                                  <a:pt x="44" y="5601"/>
                                </a:lnTo>
                                <a:lnTo>
                                  <a:pt x="39" y="5597"/>
                                </a:lnTo>
                                <a:lnTo>
                                  <a:pt x="33" y="5592"/>
                                </a:lnTo>
                                <a:lnTo>
                                  <a:pt x="28" y="5586"/>
                                </a:lnTo>
                                <a:lnTo>
                                  <a:pt x="24" y="5581"/>
                                </a:lnTo>
                                <a:lnTo>
                                  <a:pt x="19" y="5575"/>
                                </a:lnTo>
                                <a:lnTo>
                                  <a:pt x="15" y="5568"/>
                                </a:lnTo>
                                <a:lnTo>
                                  <a:pt x="12" y="5562"/>
                                </a:lnTo>
                                <a:lnTo>
                                  <a:pt x="9" y="5555"/>
                                </a:lnTo>
                                <a:lnTo>
                                  <a:pt x="6" y="5548"/>
                                </a:lnTo>
                                <a:lnTo>
                                  <a:pt x="4" y="5541"/>
                                </a:lnTo>
                                <a:lnTo>
                                  <a:pt x="3" y="5534"/>
                                </a:lnTo>
                                <a:lnTo>
                                  <a:pt x="1" y="5527"/>
                                </a:lnTo>
                                <a:lnTo>
                                  <a:pt x="0" y="5519"/>
                                </a:lnTo>
                                <a:lnTo>
                                  <a:pt x="0" y="5512"/>
                                </a:lnTo>
                                <a:close/>
                                <a:moveTo>
                                  <a:pt x="0" y="6682"/>
                                </a:moveTo>
                                <a:lnTo>
                                  <a:pt x="0" y="5752"/>
                                </a:lnTo>
                                <a:lnTo>
                                  <a:pt x="0" y="5745"/>
                                </a:lnTo>
                                <a:lnTo>
                                  <a:pt x="1" y="5737"/>
                                </a:lnTo>
                                <a:lnTo>
                                  <a:pt x="3" y="5730"/>
                                </a:lnTo>
                                <a:lnTo>
                                  <a:pt x="4" y="5723"/>
                                </a:lnTo>
                                <a:lnTo>
                                  <a:pt x="6" y="5716"/>
                                </a:lnTo>
                                <a:lnTo>
                                  <a:pt x="9" y="5709"/>
                                </a:lnTo>
                                <a:lnTo>
                                  <a:pt x="12" y="5702"/>
                                </a:lnTo>
                                <a:lnTo>
                                  <a:pt x="15" y="5696"/>
                                </a:lnTo>
                                <a:lnTo>
                                  <a:pt x="19" y="5690"/>
                                </a:lnTo>
                                <a:lnTo>
                                  <a:pt x="24" y="5683"/>
                                </a:lnTo>
                                <a:lnTo>
                                  <a:pt x="28" y="5678"/>
                                </a:lnTo>
                                <a:lnTo>
                                  <a:pt x="33" y="5672"/>
                                </a:lnTo>
                                <a:lnTo>
                                  <a:pt x="39" y="5667"/>
                                </a:lnTo>
                                <a:lnTo>
                                  <a:pt x="44" y="5663"/>
                                </a:lnTo>
                                <a:lnTo>
                                  <a:pt x="50" y="5659"/>
                                </a:lnTo>
                                <a:lnTo>
                                  <a:pt x="57" y="5654"/>
                                </a:lnTo>
                                <a:lnTo>
                                  <a:pt x="63" y="5651"/>
                                </a:lnTo>
                                <a:lnTo>
                                  <a:pt x="70" y="5648"/>
                                </a:lnTo>
                                <a:lnTo>
                                  <a:pt x="77" y="5645"/>
                                </a:lnTo>
                                <a:lnTo>
                                  <a:pt x="84" y="5643"/>
                                </a:lnTo>
                                <a:lnTo>
                                  <a:pt x="91" y="5642"/>
                                </a:lnTo>
                                <a:lnTo>
                                  <a:pt x="98" y="5640"/>
                                </a:lnTo>
                                <a:lnTo>
                                  <a:pt x="106" y="5640"/>
                                </a:lnTo>
                                <a:lnTo>
                                  <a:pt x="113" y="5640"/>
                                </a:lnTo>
                                <a:lnTo>
                                  <a:pt x="9473" y="5640"/>
                                </a:lnTo>
                                <a:lnTo>
                                  <a:pt x="9480" y="5640"/>
                                </a:lnTo>
                                <a:lnTo>
                                  <a:pt x="9488" y="5640"/>
                                </a:lnTo>
                                <a:lnTo>
                                  <a:pt x="9495" y="5642"/>
                                </a:lnTo>
                                <a:lnTo>
                                  <a:pt x="9502" y="5643"/>
                                </a:lnTo>
                                <a:lnTo>
                                  <a:pt x="9509" y="5645"/>
                                </a:lnTo>
                                <a:lnTo>
                                  <a:pt x="9516" y="5648"/>
                                </a:lnTo>
                                <a:lnTo>
                                  <a:pt x="9523" y="5651"/>
                                </a:lnTo>
                                <a:lnTo>
                                  <a:pt x="9529" y="5654"/>
                                </a:lnTo>
                                <a:lnTo>
                                  <a:pt x="9535" y="5659"/>
                                </a:lnTo>
                                <a:lnTo>
                                  <a:pt x="9542" y="5663"/>
                                </a:lnTo>
                                <a:lnTo>
                                  <a:pt x="9547" y="5667"/>
                                </a:lnTo>
                                <a:lnTo>
                                  <a:pt x="9553" y="5672"/>
                                </a:lnTo>
                                <a:lnTo>
                                  <a:pt x="9558" y="5678"/>
                                </a:lnTo>
                                <a:lnTo>
                                  <a:pt x="9562" y="5683"/>
                                </a:lnTo>
                                <a:lnTo>
                                  <a:pt x="9567" y="5690"/>
                                </a:lnTo>
                                <a:lnTo>
                                  <a:pt x="9571" y="5696"/>
                                </a:lnTo>
                                <a:lnTo>
                                  <a:pt x="9574" y="5702"/>
                                </a:lnTo>
                                <a:lnTo>
                                  <a:pt x="9577" y="5709"/>
                                </a:lnTo>
                                <a:lnTo>
                                  <a:pt x="9580" y="5716"/>
                                </a:lnTo>
                                <a:lnTo>
                                  <a:pt x="9582" y="5723"/>
                                </a:lnTo>
                                <a:lnTo>
                                  <a:pt x="9583" y="5730"/>
                                </a:lnTo>
                                <a:lnTo>
                                  <a:pt x="9585" y="5737"/>
                                </a:lnTo>
                                <a:lnTo>
                                  <a:pt x="9585" y="5745"/>
                                </a:lnTo>
                                <a:lnTo>
                                  <a:pt x="9585" y="5752"/>
                                </a:lnTo>
                                <a:lnTo>
                                  <a:pt x="9585" y="6682"/>
                                </a:lnTo>
                                <a:lnTo>
                                  <a:pt x="9585" y="6689"/>
                                </a:lnTo>
                                <a:lnTo>
                                  <a:pt x="9585" y="6697"/>
                                </a:lnTo>
                                <a:lnTo>
                                  <a:pt x="9583" y="6704"/>
                                </a:lnTo>
                                <a:lnTo>
                                  <a:pt x="9582" y="6711"/>
                                </a:lnTo>
                                <a:lnTo>
                                  <a:pt x="9580" y="6718"/>
                                </a:lnTo>
                                <a:lnTo>
                                  <a:pt x="9577" y="6725"/>
                                </a:lnTo>
                                <a:lnTo>
                                  <a:pt x="9574" y="6732"/>
                                </a:lnTo>
                                <a:lnTo>
                                  <a:pt x="9571" y="6738"/>
                                </a:lnTo>
                                <a:lnTo>
                                  <a:pt x="9567" y="6745"/>
                                </a:lnTo>
                                <a:lnTo>
                                  <a:pt x="9562" y="6751"/>
                                </a:lnTo>
                                <a:lnTo>
                                  <a:pt x="9558" y="6756"/>
                                </a:lnTo>
                                <a:lnTo>
                                  <a:pt x="9553" y="6762"/>
                                </a:lnTo>
                                <a:lnTo>
                                  <a:pt x="9547" y="6767"/>
                                </a:lnTo>
                                <a:lnTo>
                                  <a:pt x="9542" y="6771"/>
                                </a:lnTo>
                                <a:lnTo>
                                  <a:pt x="9535" y="6776"/>
                                </a:lnTo>
                                <a:lnTo>
                                  <a:pt x="9529" y="6780"/>
                                </a:lnTo>
                                <a:lnTo>
                                  <a:pt x="9523" y="6783"/>
                                </a:lnTo>
                                <a:lnTo>
                                  <a:pt x="9516" y="6786"/>
                                </a:lnTo>
                                <a:lnTo>
                                  <a:pt x="9509" y="6789"/>
                                </a:lnTo>
                                <a:lnTo>
                                  <a:pt x="9502" y="6791"/>
                                </a:lnTo>
                                <a:lnTo>
                                  <a:pt x="9495" y="6792"/>
                                </a:lnTo>
                                <a:lnTo>
                                  <a:pt x="9488" y="6794"/>
                                </a:lnTo>
                                <a:lnTo>
                                  <a:pt x="9480" y="6795"/>
                                </a:lnTo>
                                <a:lnTo>
                                  <a:pt x="9473" y="6795"/>
                                </a:lnTo>
                                <a:lnTo>
                                  <a:pt x="113" y="6795"/>
                                </a:lnTo>
                                <a:lnTo>
                                  <a:pt x="106" y="6795"/>
                                </a:lnTo>
                                <a:lnTo>
                                  <a:pt x="98" y="6794"/>
                                </a:lnTo>
                                <a:lnTo>
                                  <a:pt x="91" y="6792"/>
                                </a:lnTo>
                                <a:lnTo>
                                  <a:pt x="84" y="6791"/>
                                </a:lnTo>
                                <a:lnTo>
                                  <a:pt x="77" y="6789"/>
                                </a:lnTo>
                                <a:lnTo>
                                  <a:pt x="70" y="6786"/>
                                </a:lnTo>
                                <a:lnTo>
                                  <a:pt x="63" y="6783"/>
                                </a:lnTo>
                                <a:lnTo>
                                  <a:pt x="57" y="6780"/>
                                </a:lnTo>
                                <a:lnTo>
                                  <a:pt x="50" y="6776"/>
                                </a:lnTo>
                                <a:lnTo>
                                  <a:pt x="44" y="6771"/>
                                </a:lnTo>
                                <a:lnTo>
                                  <a:pt x="39" y="6767"/>
                                </a:lnTo>
                                <a:lnTo>
                                  <a:pt x="33" y="6762"/>
                                </a:lnTo>
                                <a:lnTo>
                                  <a:pt x="28" y="6756"/>
                                </a:lnTo>
                                <a:lnTo>
                                  <a:pt x="24" y="6751"/>
                                </a:lnTo>
                                <a:lnTo>
                                  <a:pt x="19" y="6745"/>
                                </a:lnTo>
                                <a:lnTo>
                                  <a:pt x="15" y="6738"/>
                                </a:lnTo>
                                <a:lnTo>
                                  <a:pt x="12" y="6732"/>
                                </a:lnTo>
                                <a:lnTo>
                                  <a:pt x="9" y="6725"/>
                                </a:lnTo>
                                <a:lnTo>
                                  <a:pt x="6" y="6718"/>
                                </a:lnTo>
                                <a:lnTo>
                                  <a:pt x="4" y="6711"/>
                                </a:lnTo>
                                <a:lnTo>
                                  <a:pt x="3" y="6704"/>
                                </a:lnTo>
                                <a:lnTo>
                                  <a:pt x="1" y="6697"/>
                                </a:lnTo>
                                <a:lnTo>
                                  <a:pt x="0" y="6689"/>
                                </a:lnTo>
                                <a:lnTo>
                                  <a:pt x="0" y="6682"/>
                                </a:lnTo>
                                <a:close/>
                                <a:moveTo>
                                  <a:pt x="0" y="8512"/>
                                </a:moveTo>
                                <a:lnTo>
                                  <a:pt x="0" y="6922"/>
                                </a:lnTo>
                                <a:lnTo>
                                  <a:pt x="0" y="6915"/>
                                </a:lnTo>
                                <a:lnTo>
                                  <a:pt x="1" y="6907"/>
                                </a:lnTo>
                                <a:lnTo>
                                  <a:pt x="3" y="6900"/>
                                </a:lnTo>
                                <a:lnTo>
                                  <a:pt x="4" y="6893"/>
                                </a:lnTo>
                                <a:lnTo>
                                  <a:pt x="6" y="6886"/>
                                </a:lnTo>
                                <a:lnTo>
                                  <a:pt x="9" y="6879"/>
                                </a:lnTo>
                                <a:lnTo>
                                  <a:pt x="12" y="6872"/>
                                </a:lnTo>
                                <a:lnTo>
                                  <a:pt x="15" y="6866"/>
                                </a:lnTo>
                                <a:lnTo>
                                  <a:pt x="19" y="6860"/>
                                </a:lnTo>
                                <a:lnTo>
                                  <a:pt x="24" y="6853"/>
                                </a:lnTo>
                                <a:lnTo>
                                  <a:pt x="28" y="6848"/>
                                </a:lnTo>
                                <a:lnTo>
                                  <a:pt x="33" y="6842"/>
                                </a:lnTo>
                                <a:lnTo>
                                  <a:pt x="39" y="6837"/>
                                </a:lnTo>
                                <a:lnTo>
                                  <a:pt x="44" y="6833"/>
                                </a:lnTo>
                                <a:lnTo>
                                  <a:pt x="50" y="6829"/>
                                </a:lnTo>
                                <a:lnTo>
                                  <a:pt x="57" y="6824"/>
                                </a:lnTo>
                                <a:lnTo>
                                  <a:pt x="63" y="6821"/>
                                </a:lnTo>
                                <a:lnTo>
                                  <a:pt x="70" y="6818"/>
                                </a:lnTo>
                                <a:lnTo>
                                  <a:pt x="77" y="6815"/>
                                </a:lnTo>
                                <a:lnTo>
                                  <a:pt x="84" y="6813"/>
                                </a:lnTo>
                                <a:lnTo>
                                  <a:pt x="91" y="6812"/>
                                </a:lnTo>
                                <a:lnTo>
                                  <a:pt x="98" y="6810"/>
                                </a:lnTo>
                                <a:lnTo>
                                  <a:pt x="106" y="6810"/>
                                </a:lnTo>
                                <a:lnTo>
                                  <a:pt x="113" y="6810"/>
                                </a:lnTo>
                                <a:lnTo>
                                  <a:pt x="9473" y="6810"/>
                                </a:lnTo>
                                <a:lnTo>
                                  <a:pt x="9480" y="6810"/>
                                </a:lnTo>
                                <a:lnTo>
                                  <a:pt x="9488" y="6810"/>
                                </a:lnTo>
                                <a:lnTo>
                                  <a:pt x="9495" y="6812"/>
                                </a:lnTo>
                                <a:lnTo>
                                  <a:pt x="9502" y="6813"/>
                                </a:lnTo>
                                <a:lnTo>
                                  <a:pt x="9509" y="6815"/>
                                </a:lnTo>
                                <a:lnTo>
                                  <a:pt x="9516" y="6818"/>
                                </a:lnTo>
                                <a:lnTo>
                                  <a:pt x="9523" y="6821"/>
                                </a:lnTo>
                                <a:lnTo>
                                  <a:pt x="9529" y="6824"/>
                                </a:lnTo>
                                <a:lnTo>
                                  <a:pt x="9535" y="6829"/>
                                </a:lnTo>
                                <a:lnTo>
                                  <a:pt x="9542" y="6833"/>
                                </a:lnTo>
                                <a:lnTo>
                                  <a:pt x="9547" y="6837"/>
                                </a:lnTo>
                                <a:lnTo>
                                  <a:pt x="9553" y="6842"/>
                                </a:lnTo>
                                <a:lnTo>
                                  <a:pt x="9558" y="6848"/>
                                </a:lnTo>
                                <a:lnTo>
                                  <a:pt x="9562" y="6853"/>
                                </a:lnTo>
                                <a:lnTo>
                                  <a:pt x="9567" y="6860"/>
                                </a:lnTo>
                                <a:lnTo>
                                  <a:pt x="9571" y="6866"/>
                                </a:lnTo>
                                <a:lnTo>
                                  <a:pt x="9574" y="6872"/>
                                </a:lnTo>
                                <a:lnTo>
                                  <a:pt x="9577" y="6879"/>
                                </a:lnTo>
                                <a:lnTo>
                                  <a:pt x="9580" y="6886"/>
                                </a:lnTo>
                                <a:lnTo>
                                  <a:pt x="9582" y="6893"/>
                                </a:lnTo>
                                <a:lnTo>
                                  <a:pt x="9583" y="6900"/>
                                </a:lnTo>
                                <a:lnTo>
                                  <a:pt x="9585" y="6907"/>
                                </a:lnTo>
                                <a:lnTo>
                                  <a:pt x="9585" y="6915"/>
                                </a:lnTo>
                                <a:lnTo>
                                  <a:pt x="9585" y="6922"/>
                                </a:lnTo>
                                <a:lnTo>
                                  <a:pt x="9585" y="8512"/>
                                </a:lnTo>
                                <a:lnTo>
                                  <a:pt x="9585" y="8519"/>
                                </a:lnTo>
                                <a:lnTo>
                                  <a:pt x="9585" y="8527"/>
                                </a:lnTo>
                                <a:lnTo>
                                  <a:pt x="9583" y="8534"/>
                                </a:lnTo>
                                <a:lnTo>
                                  <a:pt x="9582" y="8541"/>
                                </a:lnTo>
                                <a:lnTo>
                                  <a:pt x="9580" y="8548"/>
                                </a:lnTo>
                                <a:lnTo>
                                  <a:pt x="9577" y="8555"/>
                                </a:lnTo>
                                <a:lnTo>
                                  <a:pt x="9574" y="8562"/>
                                </a:lnTo>
                                <a:lnTo>
                                  <a:pt x="9571" y="8568"/>
                                </a:lnTo>
                                <a:lnTo>
                                  <a:pt x="9567" y="8575"/>
                                </a:lnTo>
                                <a:lnTo>
                                  <a:pt x="9562" y="8581"/>
                                </a:lnTo>
                                <a:lnTo>
                                  <a:pt x="9558" y="8586"/>
                                </a:lnTo>
                                <a:lnTo>
                                  <a:pt x="9553" y="8592"/>
                                </a:lnTo>
                                <a:lnTo>
                                  <a:pt x="9547" y="8597"/>
                                </a:lnTo>
                                <a:lnTo>
                                  <a:pt x="9542" y="8601"/>
                                </a:lnTo>
                                <a:lnTo>
                                  <a:pt x="9535" y="8606"/>
                                </a:lnTo>
                                <a:lnTo>
                                  <a:pt x="9529" y="8610"/>
                                </a:lnTo>
                                <a:lnTo>
                                  <a:pt x="9523" y="8613"/>
                                </a:lnTo>
                                <a:lnTo>
                                  <a:pt x="9516" y="8616"/>
                                </a:lnTo>
                                <a:lnTo>
                                  <a:pt x="9509" y="8619"/>
                                </a:lnTo>
                                <a:lnTo>
                                  <a:pt x="9502" y="8621"/>
                                </a:lnTo>
                                <a:lnTo>
                                  <a:pt x="9495" y="8622"/>
                                </a:lnTo>
                                <a:lnTo>
                                  <a:pt x="9488" y="8624"/>
                                </a:lnTo>
                                <a:lnTo>
                                  <a:pt x="9480" y="8625"/>
                                </a:lnTo>
                                <a:lnTo>
                                  <a:pt x="9473" y="8625"/>
                                </a:lnTo>
                                <a:lnTo>
                                  <a:pt x="113" y="8625"/>
                                </a:lnTo>
                                <a:lnTo>
                                  <a:pt x="106" y="8625"/>
                                </a:lnTo>
                                <a:lnTo>
                                  <a:pt x="98" y="8624"/>
                                </a:lnTo>
                                <a:lnTo>
                                  <a:pt x="91" y="8622"/>
                                </a:lnTo>
                                <a:lnTo>
                                  <a:pt x="84" y="8621"/>
                                </a:lnTo>
                                <a:lnTo>
                                  <a:pt x="77" y="8619"/>
                                </a:lnTo>
                                <a:lnTo>
                                  <a:pt x="70" y="8616"/>
                                </a:lnTo>
                                <a:lnTo>
                                  <a:pt x="63" y="8613"/>
                                </a:lnTo>
                                <a:lnTo>
                                  <a:pt x="57" y="8610"/>
                                </a:lnTo>
                                <a:lnTo>
                                  <a:pt x="50" y="8606"/>
                                </a:lnTo>
                                <a:lnTo>
                                  <a:pt x="44" y="8601"/>
                                </a:lnTo>
                                <a:lnTo>
                                  <a:pt x="39" y="8597"/>
                                </a:lnTo>
                                <a:lnTo>
                                  <a:pt x="33" y="8592"/>
                                </a:lnTo>
                                <a:lnTo>
                                  <a:pt x="28" y="8586"/>
                                </a:lnTo>
                                <a:lnTo>
                                  <a:pt x="24" y="8581"/>
                                </a:lnTo>
                                <a:lnTo>
                                  <a:pt x="19" y="8575"/>
                                </a:lnTo>
                                <a:lnTo>
                                  <a:pt x="15" y="8568"/>
                                </a:lnTo>
                                <a:lnTo>
                                  <a:pt x="12" y="8562"/>
                                </a:lnTo>
                                <a:lnTo>
                                  <a:pt x="9" y="8555"/>
                                </a:lnTo>
                                <a:lnTo>
                                  <a:pt x="6" y="8548"/>
                                </a:lnTo>
                                <a:lnTo>
                                  <a:pt x="4" y="8541"/>
                                </a:lnTo>
                                <a:lnTo>
                                  <a:pt x="3" y="8534"/>
                                </a:lnTo>
                                <a:lnTo>
                                  <a:pt x="1" y="8527"/>
                                </a:lnTo>
                                <a:lnTo>
                                  <a:pt x="0" y="8519"/>
                                </a:lnTo>
                                <a:lnTo>
                                  <a:pt x="0" y="8512"/>
                                </a:lnTo>
                                <a:close/>
                                <a:moveTo>
                                  <a:pt x="0" y="1642"/>
                                </a:moveTo>
                                <a:lnTo>
                                  <a:pt x="0" y="112"/>
                                </a:lnTo>
                                <a:lnTo>
                                  <a:pt x="0" y="105"/>
                                </a:lnTo>
                                <a:lnTo>
                                  <a:pt x="1" y="97"/>
                                </a:lnTo>
                                <a:lnTo>
                                  <a:pt x="3" y="90"/>
                                </a:lnTo>
                                <a:lnTo>
                                  <a:pt x="4" y="83"/>
                                </a:lnTo>
                                <a:lnTo>
                                  <a:pt x="6" y="76"/>
                                </a:lnTo>
                                <a:lnTo>
                                  <a:pt x="9" y="69"/>
                                </a:lnTo>
                                <a:lnTo>
                                  <a:pt x="12" y="62"/>
                                </a:lnTo>
                                <a:lnTo>
                                  <a:pt x="15" y="56"/>
                                </a:lnTo>
                                <a:lnTo>
                                  <a:pt x="19" y="50"/>
                                </a:lnTo>
                                <a:lnTo>
                                  <a:pt x="24" y="43"/>
                                </a:lnTo>
                                <a:lnTo>
                                  <a:pt x="28" y="38"/>
                                </a:lnTo>
                                <a:lnTo>
                                  <a:pt x="33" y="32"/>
                                </a:lnTo>
                                <a:lnTo>
                                  <a:pt x="39" y="27"/>
                                </a:lnTo>
                                <a:lnTo>
                                  <a:pt x="44" y="23"/>
                                </a:lnTo>
                                <a:lnTo>
                                  <a:pt x="50" y="19"/>
                                </a:lnTo>
                                <a:lnTo>
                                  <a:pt x="57" y="14"/>
                                </a:lnTo>
                                <a:lnTo>
                                  <a:pt x="63" y="11"/>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9"/>
                                </a:lnTo>
                                <a:lnTo>
                                  <a:pt x="9542" y="23"/>
                                </a:lnTo>
                                <a:lnTo>
                                  <a:pt x="9547" y="27"/>
                                </a:lnTo>
                                <a:lnTo>
                                  <a:pt x="9553" y="32"/>
                                </a:lnTo>
                                <a:lnTo>
                                  <a:pt x="9558" y="38"/>
                                </a:lnTo>
                                <a:lnTo>
                                  <a:pt x="9562" y="43"/>
                                </a:lnTo>
                                <a:lnTo>
                                  <a:pt x="9567" y="50"/>
                                </a:lnTo>
                                <a:lnTo>
                                  <a:pt x="9571" y="56"/>
                                </a:lnTo>
                                <a:lnTo>
                                  <a:pt x="9574" y="62"/>
                                </a:lnTo>
                                <a:lnTo>
                                  <a:pt x="9577" y="69"/>
                                </a:lnTo>
                                <a:lnTo>
                                  <a:pt x="9580" y="76"/>
                                </a:lnTo>
                                <a:lnTo>
                                  <a:pt x="9582" y="83"/>
                                </a:lnTo>
                                <a:lnTo>
                                  <a:pt x="9583" y="90"/>
                                </a:lnTo>
                                <a:lnTo>
                                  <a:pt x="9585" y="97"/>
                                </a:lnTo>
                                <a:lnTo>
                                  <a:pt x="9585" y="105"/>
                                </a:lnTo>
                                <a:lnTo>
                                  <a:pt x="9585" y="112"/>
                                </a:lnTo>
                                <a:lnTo>
                                  <a:pt x="9585" y="1642"/>
                                </a:lnTo>
                                <a:lnTo>
                                  <a:pt x="9585" y="1649"/>
                                </a:lnTo>
                                <a:lnTo>
                                  <a:pt x="9585" y="1657"/>
                                </a:lnTo>
                                <a:lnTo>
                                  <a:pt x="9583" y="1664"/>
                                </a:lnTo>
                                <a:lnTo>
                                  <a:pt x="9582" y="1671"/>
                                </a:lnTo>
                                <a:lnTo>
                                  <a:pt x="9580" y="1678"/>
                                </a:lnTo>
                                <a:lnTo>
                                  <a:pt x="9577" y="1685"/>
                                </a:lnTo>
                                <a:lnTo>
                                  <a:pt x="9574" y="1692"/>
                                </a:lnTo>
                                <a:lnTo>
                                  <a:pt x="9571" y="1698"/>
                                </a:lnTo>
                                <a:lnTo>
                                  <a:pt x="9567" y="1705"/>
                                </a:lnTo>
                                <a:lnTo>
                                  <a:pt x="9562" y="1711"/>
                                </a:lnTo>
                                <a:lnTo>
                                  <a:pt x="9558" y="1716"/>
                                </a:lnTo>
                                <a:lnTo>
                                  <a:pt x="9553" y="1722"/>
                                </a:lnTo>
                                <a:lnTo>
                                  <a:pt x="9547" y="1727"/>
                                </a:lnTo>
                                <a:lnTo>
                                  <a:pt x="9542" y="1731"/>
                                </a:lnTo>
                                <a:lnTo>
                                  <a:pt x="9535" y="1736"/>
                                </a:lnTo>
                                <a:lnTo>
                                  <a:pt x="9529" y="1740"/>
                                </a:lnTo>
                                <a:lnTo>
                                  <a:pt x="9523" y="1743"/>
                                </a:lnTo>
                                <a:lnTo>
                                  <a:pt x="9516" y="1746"/>
                                </a:lnTo>
                                <a:lnTo>
                                  <a:pt x="9509" y="1749"/>
                                </a:lnTo>
                                <a:lnTo>
                                  <a:pt x="9502" y="1751"/>
                                </a:lnTo>
                                <a:lnTo>
                                  <a:pt x="9495" y="1752"/>
                                </a:lnTo>
                                <a:lnTo>
                                  <a:pt x="9488" y="1754"/>
                                </a:lnTo>
                                <a:lnTo>
                                  <a:pt x="9480" y="1755"/>
                                </a:lnTo>
                                <a:lnTo>
                                  <a:pt x="9473" y="1755"/>
                                </a:lnTo>
                                <a:lnTo>
                                  <a:pt x="113" y="1755"/>
                                </a:lnTo>
                                <a:lnTo>
                                  <a:pt x="106" y="1755"/>
                                </a:lnTo>
                                <a:lnTo>
                                  <a:pt x="98" y="1754"/>
                                </a:lnTo>
                                <a:lnTo>
                                  <a:pt x="91" y="1752"/>
                                </a:lnTo>
                                <a:lnTo>
                                  <a:pt x="84" y="1751"/>
                                </a:lnTo>
                                <a:lnTo>
                                  <a:pt x="77" y="1749"/>
                                </a:lnTo>
                                <a:lnTo>
                                  <a:pt x="70" y="1746"/>
                                </a:lnTo>
                                <a:lnTo>
                                  <a:pt x="63" y="1743"/>
                                </a:lnTo>
                                <a:lnTo>
                                  <a:pt x="57" y="1740"/>
                                </a:lnTo>
                                <a:lnTo>
                                  <a:pt x="50" y="1736"/>
                                </a:lnTo>
                                <a:lnTo>
                                  <a:pt x="44" y="1731"/>
                                </a:lnTo>
                                <a:lnTo>
                                  <a:pt x="39" y="1727"/>
                                </a:lnTo>
                                <a:lnTo>
                                  <a:pt x="33" y="1722"/>
                                </a:lnTo>
                                <a:lnTo>
                                  <a:pt x="28" y="1716"/>
                                </a:lnTo>
                                <a:lnTo>
                                  <a:pt x="24" y="1711"/>
                                </a:lnTo>
                                <a:lnTo>
                                  <a:pt x="19" y="1705"/>
                                </a:lnTo>
                                <a:lnTo>
                                  <a:pt x="15" y="1698"/>
                                </a:lnTo>
                                <a:lnTo>
                                  <a:pt x="12" y="1692"/>
                                </a:lnTo>
                                <a:lnTo>
                                  <a:pt x="9" y="1685"/>
                                </a:lnTo>
                                <a:lnTo>
                                  <a:pt x="6" y="1678"/>
                                </a:lnTo>
                                <a:lnTo>
                                  <a:pt x="4" y="1671"/>
                                </a:lnTo>
                                <a:lnTo>
                                  <a:pt x="3" y="1664"/>
                                </a:lnTo>
                                <a:lnTo>
                                  <a:pt x="1" y="1657"/>
                                </a:lnTo>
                                <a:lnTo>
                                  <a:pt x="0" y="1649"/>
                                </a:lnTo>
                                <a:lnTo>
                                  <a:pt x="0" y="1642"/>
                                </a:lnTo>
                                <a:close/>
                              </a:path>
                            </a:pathLst>
                          </a:custGeom>
                          <a:noFill/>
                          <a:ln w="9525">
                            <a:solidFill>
                              <a:srgbClr val="D9DBDF"/>
                            </a:solidFill>
                            <a:round/>
                          </a:ln>
                          <a:effectLst/>
                        </wps:spPr>
                        <wps:bodyPr rot="0" vert="horz" wrap="square" lIns="91440" tIns="45720" rIns="91440" bIns="45720" anchor="t" anchorCtr="0" upright="1">
                          <a:noAutofit/>
                        </wps:bodyPr>
                      </wps:wsp>
                      <wps:wsp>
                        <wps:cNvPr id="499978870" name="Freeform 397"/>
                        <wps:cNvSpPr/>
                        <wps:spPr bwMode="auto">
                          <a:xfrm>
                            <a:off x="1155" y="-8932"/>
                            <a:ext cx="9600" cy="150"/>
                          </a:xfrm>
                          <a:custGeom>
                            <a:avLst/>
                            <a:gdLst>
                              <a:gd name="T0" fmla="*/ 9600 w 9600"/>
                              <a:gd name="T1" fmla="*/ -8782 h 150"/>
                              <a:gd name="T2" fmla="*/ 0 w 9600"/>
                              <a:gd name="T3" fmla="*/ -8782 h 150"/>
                              <a:gd name="T4" fmla="*/ 0 w 9600"/>
                              <a:gd name="T5" fmla="*/ -8820 h 150"/>
                              <a:gd name="T6" fmla="*/ 25 w 9600"/>
                              <a:gd name="T7" fmla="*/ -8885 h 150"/>
                              <a:gd name="T8" fmla="*/ 81 w 9600"/>
                              <a:gd name="T9" fmla="*/ -8926 h 150"/>
                              <a:gd name="T10" fmla="*/ 112 w 9600"/>
                              <a:gd name="T11" fmla="*/ -8932 h 150"/>
                              <a:gd name="T12" fmla="*/ 9488 w 9600"/>
                              <a:gd name="T13" fmla="*/ -8932 h 150"/>
                              <a:gd name="T14" fmla="*/ 9553 w 9600"/>
                              <a:gd name="T15" fmla="*/ -8907 h 150"/>
                              <a:gd name="T16" fmla="*/ 9594 w 9600"/>
                              <a:gd name="T17" fmla="*/ -8851 h 150"/>
                              <a:gd name="T18" fmla="*/ 9600 w 9600"/>
                              <a:gd name="T19" fmla="*/ -8820 h 150"/>
                              <a:gd name="T20" fmla="*/ 9600 w 9600"/>
                              <a:gd name="T21" fmla="*/ -8782 h 1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00" h="150">
                                <a:moveTo>
                                  <a:pt x="9600" y="150"/>
                                </a:moveTo>
                                <a:lnTo>
                                  <a:pt x="0" y="150"/>
                                </a:lnTo>
                                <a:lnTo>
                                  <a:pt x="0" y="112"/>
                                </a:lnTo>
                                <a:lnTo>
                                  <a:pt x="25" y="47"/>
                                </a:lnTo>
                                <a:lnTo>
                                  <a:pt x="81" y="6"/>
                                </a:lnTo>
                                <a:lnTo>
                                  <a:pt x="112" y="0"/>
                                </a:lnTo>
                                <a:lnTo>
                                  <a:pt x="9488" y="0"/>
                                </a:lnTo>
                                <a:lnTo>
                                  <a:pt x="9553" y="25"/>
                                </a:lnTo>
                                <a:lnTo>
                                  <a:pt x="9594" y="81"/>
                                </a:lnTo>
                                <a:lnTo>
                                  <a:pt x="9600" y="112"/>
                                </a:lnTo>
                                <a:lnTo>
                                  <a:pt x="9600" y="150"/>
                                </a:lnTo>
                                <a:close/>
                              </a:path>
                            </a:pathLst>
                          </a:custGeom>
                          <a:solidFill>
                            <a:srgbClr val="FFFFFF"/>
                          </a:solidFill>
                          <a:ln>
                            <a:noFill/>
                          </a:ln>
                          <a:effectLst/>
                        </wps:spPr>
                        <wps:bodyPr rot="0" vert="horz" wrap="square" lIns="91440" tIns="45720" rIns="91440" bIns="45720" anchor="t" anchorCtr="0" upright="1">
                          <a:noAutofit/>
                        </wps:bodyPr>
                      </wps:wsp>
                      <pic:pic xmlns:pic="http://schemas.openxmlformats.org/drawingml/2006/picture">
                        <pic:nvPicPr>
                          <pic:cNvPr id="1814679892" name="Picture 3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7027"/>
                            <a:ext cx="255" cy="300"/>
                          </a:xfrm>
                          <a:prstGeom prst="rect">
                            <a:avLst/>
                          </a:prstGeom>
                          <a:noFill/>
                          <a:ln>
                            <a:noFill/>
                          </a:ln>
                          <a:effectLst/>
                        </pic:spPr>
                      </pic:pic>
                      <pic:pic xmlns:pic="http://schemas.openxmlformats.org/drawingml/2006/picture">
                        <pic:nvPicPr>
                          <pic:cNvPr id="1378523200" name="Picture 3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6930" y="-6157"/>
                            <a:ext cx="180" cy="180"/>
                          </a:xfrm>
                          <a:prstGeom prst="rect">
                            <a:avLst/>
                          </a:prstGeom>
                          <a:noFill/>
                          <a:ln>
                            <a:noFill/>
                          </a:ln>
                          <a:effectLst/>
                        </pic:spPr>
                      </pic:pic>
                      <wps:wsp>
                        <wps:cNvPr id="1504515878" name="Freeform 394"/>
                        <wps:cNvSpPr/>
                        <wps:spPr bwMode="auto">
                          <a:xfrm>
                            <a:off x="2790" y="-6157"/>
                            <a:ext cx="2700" cy="2700"/>
                          </a:xfrm>
                          <a:custGeom>
                            <a:avLst/>
                            <a:gdLst>
                              <a:gd name="T0" fmla="*/ 1218 w 2700"/>
                              <a:gd name="T1" fmla="*/ -3463 h 2700"/>
                              <a:gd name="T2" fmla="*/ 1022 w 2700"/>
                              <a:gd name="T3" fmla="*/ -3497 h 2700"/>
                              <a:gd name="T4" fmla="*/ 833 w 2700"/>
                              <a:gd name="T5" fmla="*/ -3560 h 2700"/>
                              <a:gd name="T6" fmla="*/ 656 w 2700"/>
                              <a:gd name="T7" fmla="*/ -3649 h 2700"/>
                              <a:gd name="T8" fmla="*/ 494 w 2700"/>
                              <a:gd name="T9" fmla="*/ -3763 h 2700"/>
                              <a:gd name="T10" fmla="*/ 350 w 2700"/>
                              <a:gd name="T11" fmla="*/ -3900 h 2700"/>
                              <a:gd name="T12" fmla="*/ 228 w 2700"/>
                              <a:gd name="T13" fmla="*/ -4057 h 2700"/>
                              <a:gd name="T14" fmla="*/ 130 w 2700"/>
                              <a:gd name="T15" fmla="*/ -4230 h 2700"/>
                              <a:gd name="T16" fmla="*/ 58 w 2700"/>
                              <a:gd name="T17" fmla="*/ -4415 h 2700"/>
                              <a:gd name="T18" fmla="*/ 15 w 2700"/>
                              <a:gd name="T19" fmla="*/ -4609 h 2700"/>
                              <a:gd name="T20" fmla="*/ 0 w 2700"/>
                              <a:gd name="T21" fmla="*/ -4807 h 2700"/>
                              <a:gd name="T22" fmla="*/ 10 w 2700"/>
                              <a:gd name="T23" fmla="*/ -4972 h 2700"/>
                              <a:gd name="T24" fmla="*/ 49 w 2700"/>
                              <a:gd name="T25" fmla="*/ -5167 h 2700"/>
                              <a:gd name="T26" fmla="*/ 116 w 2700"/>
                              <a:gd name="T27" fmla="*/ -5354 h 2700"/>
                              <a:gd name="T28" fmla="*/ 209 w 2700"/>
                              <a:gd name="T29" fmla="*/ -5529 h 2700"/>
                              <a:gd name="T30" fmla="*/ 328 w 2700"/>
                              <a:gd name="T31" fmla="*/ -5689 h 2700"/>
                              <a:gd name="T32" fmla="*/ 468 w 2700"/>
                              <a:gd name="T33" fmla="*/ -5829 h 2700"/>
                              <a:gd name="T34" fmla="*/ 628 w 2700"/>
                              <a:gd name="T35" fmla="*/ -5948 h 2700"/>
                              <a:gd name="T36" fmla="*/ 803 w 2700"/>
                              <a:gd name="T37" fmla="*/ -6041 h 2700"/>
                              <a:gd name="T38" fmla="*/ 990 w 2700"/>
                              <a:gd name="T39" fmla="*/ -6108 h 2700"/>
                              <a:gd name="T40" fmla="*/ 1185 w 2700"/>
                              <a:gd name="T41" fmla="*/ -6147 h 2700"/>
                              <a:gd name="T42" fmla="*/ 1350 w 2700"/>
                              <a:gd name="T43" fmla="*/ -6157 h 2700"/>
                              <a:gd name="T44" fmla="*/ 1515 w 2700"/>
                              <a:gd name="T45" fmla="*/ -6147 h 2700"/>
                              <a:gd name="T46" fmla="*/ 1710 w 2700"/>
                              <a:gd name="T47" fmla="*/ -6108 h 2700"/>
                              <a:gd name="T48" fmla="*/ 1897 w 2700"/>
                              <a:gd name="T49" fmla="*/ -6041 h 2700"/>
                              <a:gd name="T50" fmla="*/ 2072 w 2700"/>
                              <a:gd name="T51" fmla="*/ -5948 h 2700"/>
                              <a:gd name="T52" fmla="*/ 2232 w 2700"/>
                              <a:gd name="T53" fmla="*/ -5829 h 2700"/>
                              <a:gd name="T54" fmla="*/ 2372 w 2700"/>
                              <a:gd name="T55" fmla="*/ -5689 h 2700"/>
                              <a:gd name="T56" fmla="*/ 2491 w 2700"/>
                              <a:gd name="T57" fmla="*/ -5529 h 2700"/>
                              <a:gd name="T58" fmla="*/ 2584 w 2700"/>
                              <a:gd name="T59" fmla="*/ -5354 h 2700"/>
                              <a:gd name="T60" fmla="*/ 2651 w 2700"/>
                              <a:gd name="T61" fmla="*/ -5167 h 2700"/>
                              <a:gd name="T62" fmla="*/ 2690 w 2700"/>
                              <a:gd name="T63" fmla="*/ -4972 h 2700"/>
                              <a:gd name="T64" fmla="*/ 2700 w 2700"/>
                              <a:gd name="T65" fmla="*/ -4807 h 2700"/>
                              <a:gd name="T66" fmla="*/ 2690 w 2700"/>
                              <a:gd name="T67" fmla="*/ -4642 h 2700"/>
                              <a:gd name="T68" fmla="*/ 2651 w 2700"/>
                              <a:gd name="T69" fmla="*/ -4447 h 2700"/>
                              <a:gd name="T70" fmla="*/ 2584 w 2700"/>
                              <a:gd name="T71" fmla="*/ -4260 h 2700"/>
                              <a:gd name="T72" fmla="*/ 2491 w 2700"/>
                              <a:gd name="T73" fmla="*/ -4085 h 2700"/>
                              <a:gd name="T74" fmla="*/ 2372 w 2700"/>
                              <a:gd name="T75" fmla="*/ -3925 h 2700"/>
                              <a:gd name="T76" fmla="*/ 2232 w 2700"/>
                              <a:gd name="T77" fmla="*/ -3785 h 2700"/>
                              <a:gd name="T78" fmla="*/ 2072 w 2700"/>
                              <a:gd name="T79" fmla="*/ -3666 h 2700"/>
                              <a:gd name="T80" fmla="*/ 1897 w 2700"/>
                              <a:gd name="T81" fmla="*/ -3573 h 2700"/>
                              <a:gd name="T82" fmla="*/ 1710 w 2700"/>
                              <a:gd name="T83" fmla="*/ -3506 h 2700"/>
                              <a:gd name="T84" fmla="*/ 1515 w 2700"/>
                              <a:gd name="T85" fmla="*/ -3467 h 2700"/>
                              <a:gd name="T86" fmla="*/ 1350 w 2700"/>
                              <a:gd name="T87" fmla="*/ -3457 h 27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700" h="2700">
                                <a:moveTo>
                                  <a:pt x="1350" y="2700"/>
                                </a:moveTo>
                                <a:lnTo>
                                  <a:pt x="1284" y="2698"/>
                                </a:lnTo>
                                <a:lnTo>
                                  <a:pt x="1218" y="2694"/>
                                </a:lnTo>
                                <a:lnTo>
                                  <a:pt x="1152" y="2685"/>
                                </a:lnTo>
                                <a:lnTo>
                                  <a:pt x="1087" y="2674"/>
                                </a:lnTo>
                                <a:lnTo>
                                  <a:pt x="1022" y="2660"/>
                                </a:lnTo>
                                <a:lnTo>
                                  <a:pt x="958" y="2642"/>
                                </a:lnTo>
                                <a:lnTo>
                                  <a:pt x="895" y="2621"/>
                                </a:lnTo>
                                <a:lnTo>
                                  <a:pt x="833" y="2597"/>
                                </a:lnTo>
                                <a:lnTo>
                                  <a:pt x="773" y="2570"/>
                                </a:lnTo>
                                <a:lnTo>
                                  <a:pt x="714" y="2541"/>
                                </a:lnTo>
                                <a:lnTo>
                                  <a:pt x="656" y="2508"/>
                                </a:lnTo>
                                <a:lnTo>
                                  <a:pt x="600" y="2473"/>
                                </a:lnTo>
                                <a:lnTo>
                                  <a:pt x="546" y="2434"/>
                                </a:lnTo>
                                <a:lnTo>
                                  <a:pt x="494" y="2394"/>
                                </a:lnTo>
                                <a:lnTo>
                                  <a:pt x="443" y="2350"/>
                                </a:lnTo>
                                <a:lnTo>
                                  <a:pt x="395" y="2305"/>
                                </a:lnTo>
                                <a:lnTo>
                                  <a:pt x="350" y="2257"/>
                                </a:lnTo>
                                <a:lnTo>
                                  <a:pt x="306" y="2206"/>
                                </a:lnTo>
                                <a:lnTo>
                                  <a:pt x="266" y="2154"/>
                                </a:lnTo>
                                <a:lnTo>
                                  <a:pt x="228" y="2100"/>
                                </a:lnTo>
                                <a:lnTo>
                                  <a:pt x="192" y="2044"/>
                                </a:lnTo>
                                <a:lnTo>
                                  <a:pt x="159" y="1986"/>
                                </a:lnTo>
                                <a:lnTo>
                                  <a:pt x="130" y="1927"/>
                                </a:lnTo>
                                <a:lnTo>
                                  <a:pt x="103" y="1867"/>
                                </a:lnTo>
                                <a:lnTo>
                                  <a:pt x="79" y="1805"/>
                                </a:lnTo>
                                <a:lnTo>
                                  <a:pt x="58" y="1742"/>
                                </a:lnTo>
                                <a:lnTo>
                                  <a:pt x="40" y="1678"/>
                                </a:lnTo>
                                <a:lnTo>
                                  <a:pt x="26" y="1613"/>
                                </a:lnTo>
                                <a:lnTo>
                                  <a:pt x="15" y="1548"/>
                                </a:lnTo>
                                <a:lnTo>
                                  <a:pt x="7" y="1482"/>
                                </a:lnTo>
                                <a:lnTo>
                                  <a:pt x="2" y="1416"/>
                                </a:lnTo>
                                <a:lnTo>
                                  <a:pt x="0" y="1350"/>
                                </a:lnTo>
                                <a:lnTo>
                                  <a:pt x="0" y="1317"/>
                                </a:lnTo>
                                <a:lnTo>
                                  <a:pt x="4" y="1251"/>
                                </a:lnTo>
                                <a:lnTo>
                                  <a:pt x="10" y="1185"/>
                                </a:lnTo>
                                <a:lnTo>
                                  <a:pt x="20" y="1119"/>
                                </a:lnTo>
                                <a:lnTo>
                                  <a:pt x="33" y="1054"/>
                                </a:lnTo>
                                <a:lnTo>
                                  <a:pt x="49" y="990"/>
                                </a:lnTo>
                                <a:lnTo>
                                  <a:pt x="68" y="927"/>
                                </a:lnTo>
                                <a:lnTo>
                                  <a:pt x="90" y="864"/>
                                </a:lnTo>
                                <a:lnTo>
                                  <a:pt x="116" y="803"/>
                                </a:lnTo>
                                <a:lnTo>
                                  <a:pt x="144" y="743"/>
                                </a:lnTo>
                                <a:lnTo>
                                  <a:pt x="175" y="685"/>
                                </a:lnTo>
                                <a:lnTo>
                                  <a:pt x="209" y="628"/>
                                </a:lnTo>
                                <a:lnTo>
                                  <a:pt x="246" y="573"/>
                                </a:lnTo>
                                <a:lnTo>
                                  <a:pt x="286" y="519"/>
                                </a:lnTo>
                                <a:lnTo>
                                  <a:pt x="328" y="468"/>
                                </a:lnTo>
                                <a:lnTo>
                                  <a:pt x="372" y="419"/>
                                </a:lnTo>
                                <a:lnTo>
                                  <a:pt x="419" y="372"/>
                                </a:lnTo>
                                <a:lnTo>
                                  <a:pt x="468" y="328"/>
                                </a:lnTo>
                                <a:lnTo>
                                  <a:pt x="519" y="286"/>
                                </a:lnTo>
                                <a:lnTo>
                                  <a:pt x="573" y="246"/>
                                </a:lnTo>
                                <a:lnTo>
                                  <a:pt x="628" y="209"/>
                                </a:lnTo>
                                <a:lnTo>
                                  <a:pt x="685" y="175"/>
                                </a:lnTo>
                                <a:lnTo>
                                  <a:pt x="743" y="144"/>
                                </a:lnTo>
                                <a:lnTo>
                                  <a:pt x="803" y="116"/>
                                </a:lnTo>
                                <a:lnTo>
                                  <a:pt x="864" y="91"/>
                                </a:lnTo>
                                <a:lnTo>
                                  <a:pt x="927" y="68"/>
                                </a:lnTo>
                                <a:lnTo>
                                  <a:pt x="990" y="49"/>
                                </a:lnTo>
                                <a:lnTo>
                                  <a:pt x="1054" y="33"/>
                                </a:lnTo>
                                <a:lnTo>
                                  <a:pt x="1119" y="20"/>
                                </a:lnTo>
                                <a:lnTo>
                                  <a:pt x="1185" y="10"/>
                                </a:lnTo>
                                <a:lnTo>
                                  <a:pt x="1251" y="4"/>
                                </a:lnTo>
                                <a:lnTo>
                                  <a:pt x="1317" y="0"/>
                                </a:lnTo>
                                <a:lnTo>
                                  <a:pt x="1350" y="0"/>
                                </a:lnTo>
                                <a:lnTo>
                                  <a:pt x="1383" y="0"/>
                                </a:lnTo>
                                <a:lnTo>
                                  <a:pt x="1449" y="4"/>
                                </a:lnTo>
                                <a:lnTo>
                                  <a:pt x="1515" y="10"/>
                                </a:lnTo>
                                <a:lnTo>
                                  <a:pt x="1581" y="20"/>
                                </a:lnTo>
                                <a:lnTo>
                                  <a:pt x="1646" y="33"/>
                                </a:lnTo>
                                <a:lnTo>
                                  <a:pt x="1710" y="49"/>
                                </a:lnTo>
                                <a:lnTo>
                                  <a:pt x="1773" y="68"/>
                                </a:lnTo>
                                <a:lnTo>
                                  <a:pt x="1836" y="91"/>
                                </a:lnTo>
                                <a:lnTo>
                                  <a:pt x="1897" y="116"/>
                                </a:lnTo>
                                <a:lnTo>
                                  <a:pt x="1957" y="144"/>
                                </a:lnTo>
                                <a:lnTo>
                                  <a:pt x="2015" y="175"/>
                                </a:lnTo>
                                <a:lnTo>
                                  <a:pt x="2072" y="209"/>
                                </a:lnTo>
                                <a:lnTo>
                                  <a:pt x="2127" y="246"/>
                                </a:lnTo>
                                <a:lnTo>
                                  <a:pt x="2181" y="286"/>
                                </a:lnTo>
                                <a:lnTo>
                                  <a:pt x="2232" y="328"/>
                                </a:lnTo>
                                <a:lnTo>
                                  <a:pt x="2281" y="372"/>
                                </a:lnTo>
                                <a:lnTo>
                                  <a:pt x="2328" y="419"/>
                                </a:lnTo>
                                <a:lnTo>
                                  <a:pt x="2372" y="468"/>
                                </a:lnTo>
                                <a:lnTo>
                                  <a:pt x="2414" y="519"/>
                                </a:lnTo>
                                <a:lnTo>
                                  <a:pt x="2454" y="573"/>
                                </a:lnTo>
                                <a:lnTo>
                                  <a:pt x="2491" y="628"/>
                                </a:lnTo>
                                <a:lnTo>
                                  <a:pt x="2525" y="685"/>
                                </a:lnTo>
                                <a:lnTo>
                                  <a:pt x="2556" y="743"/>
                                </a:lnTo>
                                <a:lnTo>
                                  <a:pt x="2584" y="803"/>
                                </a:lnTo>
                                <a:lnTo>
                                  <a:pt x="2610" y="864"/>
                                </a:lnTo>
                                <a:lnTo>
                                  <a:pt x="2632" y="927"/>
                                </a:lnTo>
                                <a:lnTo>
                                  <a:pt x="2651" y="990"/>
                                </a:lnTo>
                                <a:lnTo>
                                  <a:pt x="2667" y="1054"/>
                                </a:lnTo>
                                <a:lnTo>
                                  <a:pt x="2680" y="1119"/>
                                </a:lnTo>
                                <a:lnTo>
                                  <a:pt x="2690" y="1185"/>
                                </a:lnTo>
                                <a:lnTo>
                                  <a:pt x="2696" y="1251"/>
                                </a:lnTo>
                                <a:lnTo>
                                  <a:pt x="2700" y="1317"/>
                                </a:lnTo>
                                <a:lnTo>
                                  <a:pt x="2700" y="1350"/>
                                </a:lnTo>
                                <a:lnTo>
                                  <a:pt x="2700" y="1383"/>
                                </a:lnTo>
                                <a:lnTo>
                                  <a:pt x="2696" y="1449"/>
                                </a:lnTo>
                                <a:lnTo>
                                  <a:pt x="2690" y="1515"/>
                                </a:lnTo>
                                <a:lnTo>
                                  <a:pt x="2680" y="1581"/>
                                </a:lnTo>
                                <a:lnTo>
                                  <a:pt x="2667" y="1646"/>
                                </a:lnTo>
                                <a:lnTo>
                                  <a:pt x="2651" y="1710"/>
                                </a:lnTo>
                                <a:lnTo>
                                  <a:pt x="2632" y="1774"/>
                                </a:lnTo>
                                <a:lnTo>
                                  <a:pt x="2610" y="1836"/>
                                </a:lnTo>
                                <a:lnTo>
                                  <a:pt x="2584" y="1897"/>
                                </a:lnTo>
                                <a:lnTo>
                                  <a:pt x="2556" y="1957"/>
                                </a:lnTo>
                                <a:lnTo>
                                  <a:pt x="2525" y="2015"/>
                                </a:lnTo>
                                <a:lnTo>
                                  <a:pt x="2491" y="2072"/>
                                </a:lnTo>
                                <a:lnTo>
                                  <a:pt x="2454" y="2127"/>
                                </a:lnTo>
                                <a:lnTo>
                                  <a:pt x="2414" y="2181"/>
                                </a:lnTo>
                                <a:lnTo>
                                  <a:pt x="2372" y="2232"/>
                                </a:lnTo>
                                <a:lnTo>
                                  <a:pt x="2328" y="2281"/>
                                </a:lnTo>
                                <a:lnTo>
                                  <a:pt x="2281" y="2328"/>
                                </a:lnTo>
                                <a:lnTo>
                                  <a:pt x="2232" y="2372"/>
                                </a:lnTo>
                                <a:lnTo>
                                  <a:pt x="2181" y="2414"/>
                                </a:lnTo>
                                <a:lnTo>
                                  <a:pt x="2127" y="2454"/>
                                </a:lnTo>
                                <a:lnTo>
                                  <a:pt x="2072" y="2491"/>
                                </a:lnTo>
                                <a:lnTo>
                                  <a:pt x="2015" y="2525"/>
                                </a:lnTo>
                                <a:lnTo>
                                  <a:pt x="1957" y="2556"/>
                                </a:lnTo>
                                <a:lnTo>
                                  <a:pt x="1897" y="2584"/>
                                </a:lnTo>
                                <a:lnTo>
                                  <a:pt x="1836" y="2610"/>
                                </a:lnTo>
                                <a:lnTo>
                                  <a:pt x="1773" y="2632"/>
                                </a:lnTo>
                                <a:lnTo>
                                  <a:pt x="1710" y="2651"/>
                                </a:lnTo>
                                <a:lnTo>
                                  <a:pt x="1646" y="2667"/>
                                </a:lnTo>
                                <a:lnTo>
                                  <a:pt x="1581" y="2680"/>
                                </a:lnTo>
                                <a:lnTo>
                                  <a:pt x="1515" y="2690"/>
                                </a:lnTo>
                                <a:lnTo>
                                  <a:pt x="1449" y="2696"/>
                                </a:lnTo>
                                <a:lnTo>
                                  <a:pt x="1383" y="2700"/>
                                </a:lnTo>
                                <a:lnTo>
                                  <a:pt x="1350" y="2700"/>
                                </a:lnTo>
                                <a:close/>
                              </a:path>
                            </a:pathLst>
                          </a:custGeom>
                          <a:solidFill>
                            <a:srgbClr val="3366CC"/>
                          </a:solidFill>
                          <a:ln>
                            <a:noFill/>
                          </a:ln>
                          <a:effectLst/>
                        </wps:spPr>
                        <wps:bodyPr rot="0" vert="horz" wrap="square" lIns="91440" tIns="45720" rIns="91440" bIns="45720" anchor="t" anchorCtr="0" upright="1">
                          <a:noAutofit/>
                        </wps:bodyPr>
                      </wps:wsp>
                      <wps:wsp>
                        <wps:cNvPr id="1281335422" name="Text Box 393"/>
                        <wps:cNvSpPr txBox="1">
                          <a:spLocks noChangeArrowheads="1"/>
                        </wps:cNvSpPr>
                        <wps:spPr bwMode="auto">
                          <a:xfrm>
                            <a:off x="1162" y="-8898"/>
                            <a:ext cx="5539" cy="1154"/>
                          </a:xfrm>
                          <a:prstGeom prst="rect">
                            <a:avLst/>
                          </a:prstGeom>
                          <a:noFill/>
                          <a:ln>
                            <a:noFill/>
                          </a:ln>
                          <a:effectLst/>
                        </wps:spPr>
                        <wps:txbx>
                          <w:txbxContent>
                            <w:p w14:paraId="0CE291A2">
                              <w:pPr>
                                <w:spacing w:line="565" w:lineRule="exact"/>
                                <w:rPr>
                                  <w:b/>
                                  <w:bCs/>
                                  <w:sz w:val="32"/>
                                  <w:szCs w:val="32"/>
                                </w:rPr>
                              </w:pPr>
                              <w:r>
                                <w:rPr>
                                  <w:b/>
                                  <w:bCs/>
                                  <w:color w:val="202024"/>
                                  <w:w w:val="95"/>
                                  <w:sz w:val="32"/>
                                  <w:szCs w:val="32"/>
                                </w:rPr>
                                <w:t>SURVEY</w:t>
                              </w:r>
                              <w:r>
                                <w:rPr>
                                  <w:b/>
                                  <w:bCs/>
                                  <w:color w:val="202024"/>
                                  <w:spacing w:val="200"/>
                                  <w:sz w:val="32"/>
                                  <w:szCs w:val="32"/>
                                </w:rPr>
                                <w:t xml:space="preserve"> </w:t>
                              </w:r>
                              <w:r>
                                <w:rPr>
                                  <w:b/>
                                  <w:bCs/>
                                  <w:color w:val="202024"/>
                                  <w:w w:val="95"/>
                                  <w:sz w:val="32"/>
                                  <w:szCs w:val="32"/>
                                </w:rPr>
                                <w:t>QUESTIONNAIRE RESPONSES</w:t>
                              </w:r>
                            </w:p>
                            <w:p w14:paraId="6AF9AA9F">
                              <w:pPr>
                                <w:spacing w:before="25" w:line="251" w:lineRule="exact"/>
                                <w:rPr>
                                  <w:sz w:val="21"/>
                                </w:rPr>
                              </w:pPr>
                              <w:r>
                                <w:rPr>
                                  <w:color w:val="202024"/>
                                  <w:sz w:val="21"/>
                                </w:rPr>
                                <w:t>79</w:t>
                              </w:r>
                              <w:r>
                                <w:rPr>
                                  <w:color w:val="202024"/>
                                  <w:spacing w:val="11"/>
                                  <w:sz w:val="21"/>
                                </w:rPr>
                                <w:t xml:space="preserve"> </w:t>
                              </w:r>
                              <w:r>
                                <w:rPr>
                                  <w:color w:val="202024"/>
                                  <w:sz w:val="21"/>
                                </w:rPr>
                                <w:t>responses</w:t>
                              </w:r>
                            </w:p>
                          </w:txbxContent>
                        </wps:txbx>
                        <wps:bodyPr rot="0" vert="horz" wrap="square" lIns="0" tIns="0" rIns="0" bIns="0" anchor="t" anchorCtr="0" upright="1">
                          <a:noAutofit/>
                        </wps:bodyPr>
                      </wps:wsp>
                      <wps:wsp>
                        <wps:cNvPr id="628320877" name="Text Box 392"/>
                        <wps:cNvSpPr txBox="1">
                          <a:spLocks noChangeArrowheads="1"/>
                        </wps:cNvSpPr>
                        <wps:spPr bwMode="auto">
                          <a:xfrm>
                            <a:off x="1162" y="-7586"/>
                            <a:ext cx="1699" cy="200"/>
                          </a:xfrm>
                          <a:prstGeom prst="rect">
                            <a:avLst/>
                          </a:prstGeom>
                          <a:noFill/>
                          <a:ln>
                            <a:noFill/>
                          </a:ln>
                          <a:effectLst/>
                        </wps:spPr>
                        <wps:txbx>
                          <w:txbxContent>
                            <w:p w14:paraId="1428252B">
                              <w:pPr>
                                <w:spacing w:line="199" w:lineRule="exact"/>
                                <w:rPr>
                                  <w:rFonts w:ascii="Lucida Sans Unicode"/>
                                  <w:sz w:val="20"/>
                                </w:rPr>
                              </w:pPr>
                              <w:r>
                                <w:fldChar w:fldCharType="begin"/>
                              </w:r>
                              <w:r>
                                <w:instrText xml:space="preserve"> HYPERLINK "https://docs.google.com/forms/d/1HczRnnyvp2oCRtce6UewNpVjKPFp2_ExkOTXx-YMeto/edit" \l "start%3Dpublishanalytics" \h </w:instrText>
                              </w:r>
                              <w:r>
                                <w:fldChar w:fldCharType="separate"/>
                              </w:r>
                              <w:r>
                                <w:rPr>
                                  <w:rFonts w:ascii="Lucida Sans Unicode"/>
                                  <w:color w:val="1A73E7"/>
                                  <w:sz w:val="20"/>
                                </w:rPr>
                                <w:t>Publish</w:t>
                              </w:r>
                              <w:r>
                                <w:rPr>
                                  <w:rFonts w:ascii="Lucida Sans Unicode"/>
                                  <w:color w:val="1A73E7"/>
                                  <w:spacing w:val="35"/>
                                  <w:sz w:val="20"/>
                                </w:rPr>
                                <w:t xml:space="preserve"> </w:t>
                              </w:r>
                              <w:r>
                                <w:rPr>
                                  <w:rFonts w:ascii="Lucida Sans Unicode"/>
                                  <w:color w:val="1A73E7"/>
                                  <w:sz w:val="20"/>
                                </w:rPr>
                                <w:t>analytics</w:t>
                              </w:r>
                              <w:r>
                                <w:rPr>
                                  <w:rFonts w:ascii="Lucida Sans Unicode"/>
                                  <w:color w:val="1A73E7"/>
                                  <w:sz w:val="20"/>
                                </w:rPr>
                                <w:fldChar w:fldCharType="end"/>
                              </w:r>
                            </w:p>
                          </w:txbxContent>
                        </wps:txbx>
                        <wps:bodyPr rot="0" vert="horz" wrap="square" lIns="0" tIns="0" rIns="0" bIns="0" anchor="t" anchorCtr="0" upright="1">
                          <a:noAutofit/>
                        </wps:bodyPr>
                      </wps:wsp>
                      <wps:wsp>
                        <wps:cNvPr id="1947549603" name="Text Box 391"/>
                        <wps:cNvSpPr txBox="1">
                          <a:spLocks noChangeArrowheads="1"/>
                        </wps:cNvSpPr>
                        <wps:spPr bwMode="auto">
                          <a:xfrm>
                            <a:off x="1162" y="-6894"/>
                            <a:ext cx="945" cy="211"/>
                          </a:xfrm>
                          <a:prstGeom prst="rect">
                            <a:avLst/>
                          </a:prstGeom>
                          <a:noFill/>
                          <a:ln>
                            <a:noFill/>
                          </a:ln>
                          <a:effectLst/>
                        </wps:spPr>
                        <wps:txbx>
                          <w:txbxContent>
                            <w:p w14:paraId="5D2A8E4B">
                              <w:pPr>
                                <w:spacing w:line="211" w:lineRule="exact"/>
                                <w:rPr>
                                  <w:sz w:val="18"/>
                                </w:rPr>
                              </w:pPr>
                              <w:r>
                                <w:rPr>
                                  <w:color w:val="202024"/>
                                  <w:sz w:val="18"/>
                                </w:rPr>
                                <w:t>1</w:t>
                              </w:r>
                              <w:r>
                                <w:rPr>
                                  <w:color w:val="202024"/>
                                  <w:spacing w:val="21"/>
                                  <w:sz w:val="18"/>
                                </w:rPr>
                                <w:t xml:space="preserve"> </w:t>
                              </w:r>
                              <w:r>
                                <w:rPr>
                                  <w:color w:val="202024"/>
                                  <w:sz w:val="18"/>
                                </w:rPr>
                                <w:t>response</w:t>
                              </w:r>
                            </w:p>
                          </w:txbxContent>
                        </wps:txbx>
                        <wps:bodyPr rot="0" vert="horz" wrap="square" lIns="0" tIns="0" rIns="0" bIns="0" anchor="t" anchorCtr="0" upright="1">
                          <a:noAutofit/>
                        </wps:bodyPr>
                      </wps:wsp>
                      <wps:wsp>
                        <wps:cNvPr id="1257477740" name="Text Box 390"/>
                        <wps:cNvSpPr txBox="1">
                          <a:spLocks noChangeArrowheads="1"/>
                        </wps:cNvSpPr>
                        <wps:spPr bwMode="auto">
                          <a:xfrm>
                            <a:off x="9958" y="-6956"/>
                            <a:ext cx="550" cy="200"/>
                          </a:xfrm>
                          <a:prstGeom prst="rect">
                            <a:avLst/>
                          </a:prstGeom>
                          <a:noFill/>
                          <a:ln>
                            <a:noFill/>
                          </a:ln>
                          <a:effectLst/>
                        </wps:spPr>
                        <wps:txbx>
                          <w:txbxContent>
                            <w:p w14:paraId="099F54FD">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1115059358" name="Text Box 389"/>
                        <wps:cNvSpPr txBox="1">
                          <a:spLocks noChangeArrowheads="1"/>
                        </wps:cNvSpPr>
                        <wps:spPr bwMode="auto">
                          <a:xfrm>
                            <a:off x="7185" y="-6168"/>
                            <a:ext cx="701" cy="202"/>
                          </a:xfrm>
                          <a:prstGeom prst="rect">
                            <a:avLst/>
                          </a:prstGeom>
                          <a:noFill/>
                          <a:ln>
                            <a:noFill/>
                          </a:ln>
                          <a:effectLst/>
                        </wps:spPr>
                        <wps:txbx>
                          <w:txbxContent>
                            <w:p w14:paraId="5890DFAA">
                              <w:pPr>
                                <w:spacing w:line="201" w:lineRule="exact"/>
                                <w:rPr>
                                  <w:rFonts w:ascii="Arial MT"/>
                                  <w:sz w:val="18"/>
                                </w:rPr>
                              </w:pPr>
                              <w:r>
                                <w:rPr>
                                  <w:rFonts w:ascii="Arial MT"/>
                                  <w:color w:val="212121"/>
                                  <w:sz w:val="18"/>
                                </w:rPr>
                                <w:t>Option 1</w:t>
                              </w:r>
                            </w:p>
                          </w:txbxContent>
                        </wps:txbx>
                        <wps:bodyPr rot="0" vert="horz" wrap="square" lIns="0" tIns="0" rIns="0" bIns="0" anchor="t" anchorCtr="0" upright="1">
                          <a:noAutofit/>
                        </wps:bodyPr>
                      </wps:wsp>
                      <wps:wsp>
                        <wps:cNvPr id="1170924748" name="Text Box 388"/>
                        <wps:cNvSpPr txBox="1">
                          <a:spLocks noChangeArrowheads="1"/>
                        </wps:cNvSpPr>
                        <wps:spPr bwMode="auto">
                          <a:xfrm>
                            <a:off x="3907" y="-4908"/>
                            <a:ext cx="481" cy="202"/>
                          </a:xfrm>
                          <a:prstGeom prst="rect">
                            <a:avLst/>
                          </a:prstGeom>
                          <a:noFill/>
                          <a:ln>
                            <a:noFill/>
                          </a:ln>
                          <a:effectLst/>
                        </wps:spPr>
                        <wps:txbx>
                          <w:txbxContent>
                            <w:p w14:paraId="0A4AC029">
                              <w:pPr>
                                <w:spacing w:line="201" w:lineRule="exact"/>
                                <w:rPr>
                                  <w:rFonts w:ascii="Arial MT"/>
                                  <w:sz w:val="18"/>
                                </w:rPr>
                              </w:pPr>
                              <w:r>
                                <w:rPr>
                                  <w:rFonts w:ascii="Arial MT"/>
                                  <w:color w:val="FFFFFF"/>
                                  <w:sz w:val="18"/>
                                </w:rPr>
                                <w:t>100%</w:t>
                              </w:r>
                            </w:p>
                          </w:txbxContent>
                        </wps:txbx>
                        <wps:bodyPr rot="0" vert="horz" wrap="square" lIns="0" tIns="0" rIns="0" bIns="0" anchor="t" anchorCtr="0" upright="1">
                          <a:noAutofit/>
                        </wps:bodyPr>
                      </wps:wsp>
                      <wps:wsp>
                        <wps:cNvPr id="1060956541" name="Text Box 387"/>
                        <wps:cNvSpPr txBox="1">
                          <a:spLocks noChangeArrowheads="1"/>
                        </wps:cNvSpPr>
                        <wps:spPr bwMode="auto">
                          <a:xfrm>
                            <a:off x="1162" y="-3024"/>
                            <a:ext cx="3372" cy="849"/>
                          </a:xfrm>
                          <a:prstGeom prst="rect">
                            <a:avLst/>
                          </a:prstGeom>
                          <a:noFill/>
                          <a:ln>
                            <a:noFill/>
                          </a:ln>
                          <a:effectLst/>
                        </wps:spPr>
                        <wps:txbx>
                          <w:txbxContent>
                            <w:p w14:paraId="4068F236">
                              <w:pPr>
                                <w:spacing w:line="212" w:lineRule="exact"/>
                                <w:rPr>
                                  <w:sz w:val="18"/>
                                </w:rPr>
                              </w:pPr>
                              <w:r>
                                <w:rPr>
                                  <w:color w:val="202024"/>
                                  <w:sz w:val="18"/>
                                </w:rPr>
                                <w:t>0</w:t>
                              </w:r>
                              <w:r>
                                <w:rPr>
                                  <w:color w:val="202024"/>
                                  <w:spacing w:val="18"/>
                                  <w:sz w:val="18"/>
                                </w:rPr>
                                <w:t xml:space="preserve"> </w:t>
                              </w:r>
                              <w:r>
                                <w:rPr>
                                  <w:color w:val="202024"/>
                                  <w:sz w:val="18"/>
                                </w:rPr>
                                <w:t>responses</w:t>
                              </w:r>
                            </w:p>
                            <w:p w14:paraId="1520DAB6">
                              <w:pPr>
                                <w:rPr>
                                  <w:sz w:val="20"/>
                                </w:rPr>
                              </w:pPr>
                            </w:p>
                            <w:p w14:paraId="28732A79">
                              <w:pPr>
                                <w:spacing w:before="145" w:line="251" w:lineRule="exact"/>
                                <w:rPr>
                                  <w:sz w:val="21"/>
                                </w:rPr>
                              </w:pPr>
                              <w:r>
                                <w:rPr>
                                  <w:color w:val="202024"/>
                                  <w:sz w:val="21"/>
                                </w:rPr>
                                <w:t>No</w:t>
                              </w:r>
                              <w:r>
                                <w:rPr>
                                  <w:color w:val="202024"/>
                                  <w:spacing w:val="11"/>
                                  <w:sz w:val="21"/>
                                </w:rPr>
                                <w:t xml:space="preserve"> </w:t>
                              </w:r>
                              <w:r>
                                <w:rPr>
                                  <w:color w:val="202024"/>
                                  <w:sz w:val="21"/>
                                </w:rPr>
                                <w:t>responses</w:t>
                              </w:r>
                              <w:r>
                                <w:rPr>
                                  <w:color w:val="202024"/>
                                  <w:spacing w:val="11"/>
                                  <w:sz w:val="21"/>
                                </w:rPr>
                                <w:t xml:space="preserve"> </w:t>
                              </w:r>
                              <w:r>
                                <w:rPr>
                                  <w:color w:val="202024"/>
                                  <w:sz w:val="21"/>
                                </w:rPr>
                                <w:t>yet</w:t>
                              </w:r>
                              <w:r>
                                <w:rPr>
                                  <w:color w:val="202024"/>
                                  <w:spacing w:val="12"/>
                                  <w:sz w:val="21"/>
                                </w:rPr>
                                <w:t xml:space="preserve"> </w:t>
                              </w:r>
                              <w:r>
                                <w:rPr>
                                  <w:color w:val="202024"/>
                                  <w:sz w:val="21"/>
                                </w:rPr>
                                <w:t>for</w:t>
                              </w:r>
                              <w:r>
                                <w:rPr>
                                  <w:color w:val="202024"/>
                                  <w:spacing w:val="11"/>
                                  <w:sz w:val="21"/>
                                </w:rPr>
                                <w:t xml:space="preserve"> </w:t>
                              </w:r>
                              <w:r>
                                <w:rPr>
                                  <w:color w:val="202024"/>
                                  <w:sz w:val="21"/>
                                </w:rPr>
                                <w:t>this</w:t>
                              </w:r>
                              <w:r>
                                <w:rPr>
                                  <w:color w:val="202024"/>
                                  <w:spacing w:val="11"/>
                                  <w:sz w:val="21"/>
                                </w:rPr>
                                <w:t xml:space="preserve"> </w:t>
                              </w:r>
                              <w:r>
                                <w:rPr>
                                  <w:color w:val="202024"/>
                                  <w:sz w:val="21"/>
                                </w:rPr>
                                <w:t>question.</w:t>
                              </w:r>
                            </w:p>
                          </w:txbxContent>
                        </wps:txbx>
                        <wps:bodyPr rot="0" vert="horz" wrap="square" lIns="0" tIns="0" rIns="0" bIns="0" anchor="t" anchorCtr="0" upright="1">
                          <a:noAutofit/>
                        </wps:bodyPr>
                      </wps:wsp>
                      <wps:wsp>
                        <wps:cNvPr id="890389775" name="Text Box 386"/>
                        <wps:cNvSpPr txBox="1">
                          <a:spLocks noChangeArrowheads="1"/>
                        </wps:cNvSpPr>
                        <wps:spPr bwMode="auto">
                          <a:xfrm>
                            <a:off x="1522" y="-1668"/>
                            <a:ext cx="8447" cy="1400"/>
                          </a:xfrm>
                          <a:prstGeom prst="rect">
                            <a:avLst/>
                          </a:prstGeom>
                          <a:noFill/>
                          <a:ln>
                            <a:noFill/>
                          </a:ln>
                          <a:effectLst/>
                        </wps:spPr>
                        <wps:txbx>
                          <w:txbxContent>
                            <w:p w14:paraId="27B8CADC">
                              <w:pPr>
                                <w:spacing w:line="264" w:lineRule="exact"/>
                                <w:jc w:val="both"/>
                              </w:pPr>
                              <w:r>
                                <w:rPr>
                                  <w:w w:val="120"/>
                                </w:rPr>
                                <w:t>RESEARCH</w:t>
                              </w:r>
                              <w:r>
                                <w:rPr>
                                  <w:spacing w:val="-23"/>
                                  <w:w w:val="120"/>
                                </w:rPr>
                                <w:t xml:space="preserve"> </w:t>
                              </w:r>
                              <w:r>
                                <w:rPr>
                                  <w:w w:val="120"/>
                                </w:rPr>
                                <w:t>TOPIC–TAX</w:t>
                              </w:r>
                              <w:r>
                                <w:rPr>
                                  <w:spacing w:val="-13"/>
                                  <w:w w:val="120"/>
                                </w:rPr>
                                <w:t xml:space="preserve"> </w:t>
                              </w:r>
                              <w:r>
                                <w:rPr>
                                  <w:w w:val="120"/>
                                </w:rPr>
                                <w:t>POLICY</w:t>
                              </w:r>
                              <w:r>
                                <w:rPr>
                                  <w:spacing w:val="-21"/>
                                  <w:w w:val="120"/>
                                </w:rPr>
                                <w:t xml:space="preserve"> </w:t>
                              </w:r>
                              <w:r>
                                <w:rPr>
                                  <w:w w:val="120"/>
                                </w:rPr>
                                <w:t>AND</w:t>
                              </w:r>
                              <w:r>
                                <w:rPr>
                                  <w:spacing w:val="-23"/>
                                  <w:w w:val="120"/>
                                </w:rPr>
                                <w:t xml:space="preserve"> </w:t>
                              </w:r>
                              <w:r>
                                <w:rPr>
                                  <w:w w:val="120"/>
                                </w:rPr>
                                <w:t>TAX</w:t>
                              </w:r>
                              <w:r>
                                <w:rPr>
                                  <w:spacing w:val="-13"/>
                                  <w:w w:val="120"/>
                                </w:rPr>
                                <w:t xml:space="preserve"> </w:t>
                              </w:r>
                              <w:r>
                                <w:rPr>
                                  <w:w w:val="120"/>
                                </w:rPr>
                                <w:t>LEGISLATION</w:t>
                              </w:r>
                              <w:r>
                                <w:rPr>
                                  <w:spacing w:val="-13"/>
                                  <w:w w:val="120"/>
                                </w:rPr>
                                <w:t xml:space="preserve"> </w:t>
                              </w:r>
                              <w:r>
                                <w:rPr>
                                  <w:w w:val="120"/>
                                </w:rPr>
                                <w:t>IN</w:t>
                              </w:r>
                              <w:r>
                                <w:rPr>
                                  <w:spacing w:val="-22"/>
                                  <w:w w:val="120"/>
                                </w:rPr>
                                <w:t xml:space="preserve"> </w:t>
                              </w:r>
                              <w:r>
                                <w:rPr>
                                  <w:w w:val="120"/>
                                </w:rPr>
                                <w:t>THE</w:t>
                              </w:r>
                              <w:r>
                                <w:rPr>
                                  <w:spacing w:val="-13"/>
                                  <w:w w:val="120"/>
                                </w:rPr>
                                <w:t xml:space="preserve"> </w:t>
                              </w:r>
                              <w:r>
                                <w:rPr>
                                  <w:w w:val="120"/>
                                </w:rPr>
                                <w:t>NIGERIAN</w:t>
                              </w:r>
                            </w:p>
                            <w:p w14:paraId="774B2286">
                              <w:pPr>
                                <w:spacing w:line="360" w:lineRule="atLeast"/>
                                <w:jc w:val="both"/>
                              </w:pPr>
                              <w:r>
                                <w:rPr>
                                  <w:w w:val="115"/>
                                </w:rPr>
                                <w:t>UPSTREAM</w:t>
                              </w:r>
                              <w:r>
                                <w:rPr>
                                  <w:spacing w:val="12"/>
                                  <w:w w:val="115"/>
                                </w:rPr>
                                <w:t xml:space="preserve"> </w:t>
                              </w:r>
                              <w:r>
                                <w:rPr>
                                  <w:w w:val="115"/>
                                </w:rPr>
                                <w:t>OIL</w:t>
                              </w:r>
                              <w:r>
                                <w:rPr>
                                  <w:spacing w:val="9"/>
                                  <w:w w:val="115"/>
                                </w:rPr>
                                <w:t xml:space="preserve"> </w:t>
                              </w:r>
                              <w:r>
                                <w:rPr>
                                  <w:w w:val="115"/>
                                </w:rPr>
                                <w:t>AND</w:t>
                              </w:r>
                              <w:r>
                                <w:rPr>
                                  <w:spacing w:val="12"/>
                                  <w:w w:val="115"/>
                                </w:rPr>
                                <w:t xml:space="preserve"> </w:t>
                              </w:r>
                              <w:r>
                                <w:rPr>
                                  <w:w w:val="115"/>
                                </w:rPr>
                                <w:t>GAS</w:t>
                              </w:r>
                              <w:r>
                                <w:rPr>
                                  <w:spacing w:val="21"/>
                                  <w:w w:val="115"/>
                                </w:rPr>
                                <w:t xml:space="preserve"> </w:t>
                              </w:r>
                              <w:r>
                                <w:rPr>
                                  <w:w w:val="115"/>
                                </w:rPr>
                                <w:t>INDUSTRY:</w:t>
                              </w:r>
                              <w:r>
                                <w:rPr>
                                  <w:spacing w:val="9"/>
                                  <w:w w:val="115"/>
                                </w:rPr>
                                <w:t xml:space="preserve"> </w:t>
                              </w:r>
                              <w:r>
                                <w:rPr>
                                  <w:w w:val="115"/>
                                </w:rPr>
                                <w:t>ACHIEVING</w:t>
                              </w:r>
                              <w:r>
                                <w:rPr>
                                  <w:spacing w:val="12"/>
                                  <w:w w:val="115"/>
                                </w:rPr>
                                <w:t xml:space="preserve"> </w:t>
                              </w:r>
                              <w:r>
                                <w:rPr>
                                  <w:w w:val="115"/>
                                </w:rPr>
                                <w:t>CERTAINTY,</w:t>
                              </w:r>
                              <w:r>
                                <w:rPr>
                                  <w:spacing w:val="12"/>
                                  <w:w w:val="115"/>
                                </w:rPr>
                                <w:t xml:space="preserve"> </w:t>
                              </w:r>
                              <w:r>
                                <w:rPr>
                                  <w:w w:val="115"/>
                                </w:rPr>
                                <w:t>CLARITY,</w:t>
                              </w:r>
                              <w:r>
                                <w:rPr>
                                  <w:spacing w:val="10"/>
                                  <w:w w:val="115"/>
                                </w:rPr>
                                <w:t xml:space="preserve"> </w:t>
                              </w:r>
                              <w:r>
                                <w:rPr>
                                  <w:w w:val="115"/>
                                </w:rPr>
                                <w:t xml:space="preserve">AND </w:t>
                              </w:r>
                              <w:r>
                                <w:rPr>
                                  <w:spacing w:val="-70"/>
                                  <w:w w:val="115"/>
                                </w:rPr>
                                <w:t xml:space="preserve">    </w:t>
                              </w:r>
                              <w:r>
                                <w:rPr>
                                  <w:w w:val="120"/>
                                </w:rPr>
                                <w:t>CONSISTENCY.</w:t>
                              </w:r>
                            </w:p>
                          </w:txbxContent>
                        </wps:txbx>
                        <wps:bodyPr rot="0" vert="horz" wrap="square" lIns="0" tIns="0" rIns="0" bIns="0" anchor="t" anchorCtr="0" upright="1">
                          <a:noAutofit/>
                        </wps:bodyPr>
                      </wps:wsp>
                    </wpg:wgp>
                  </a:graphicData>
                </a:graphic>
              </wp:anchor>
            </w:drawing>
          </mc:Choice>
          <mc:Fallback>
            <w:pict>
              <v:group id="Group 385" o:spid="_x0000_s1026" o:spt="203" style="position:absolute;left:0pt;margin-left:57.6pt;margin-top:2.4pt;height:433.2pt;width:480pt;mso-position-horizontal-relative:page;z-index:251678720;mso-width-relative:page;mso-height-relative:page;" coordorigin="1155,-8932" coordsize="9600,8664" o:gfxdata="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">
                <o:lock v:ext="edit" aspectratio="f"/>
                <v:shape id="AutoShape 398" o:spid="_x0000_s1026" o:spt="100" style="position:absolute;left:1162;top:-8925;height:8625;width:9585;" filled="f" stroked="t" coordsize="9585,8625" o:gfxdata="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TMiT7FAAAA4wAAAA8AAAAAAAAAAQAgAAAAIgAAAGRycy9kb3ducmV2LnhtbFBLAQIUABQAAAAI&#10;AIdO4kAzLwWeOwAAADkAAAAQAAAAAAAAAAEAIAAAABQBAABkcnMvc2hhcGV4bWwueG1sUEsFBgAA&#10;AAAGAAYAWwEAAL4DAAAAAA==&#10;" path="m0,5512l0,1882,0,1875,1,1867,3,1860,4,1853,6,1846,9,1839,12,1832,15,1826,19,1820,24,1813,28,1808,33,1802,39,1797,44,1793,50,1789,57,1784,63,1781,70,1778,77,1775,84,1773,91,1772,98,1770,106,1770,113,1770,9473,1770,9480,1770,9488,1770,9495,1772,9502,1773,9509,1775,9516,1778,9523,1781,9529,1784,9535,1789,9542,1793,9547,1797,9553,1802,9558,1808,9562,1813,9567,1820,9571,1826,9574,1832,9577,1839,9580,1846,9582,1853,9583,1860,9585,1867,9585,1875,9585,1882,9585,5512,9585,5519,9585,5527,9583,5534,9582,5541,9580,5548,9577,5555,9574,5562,9571,5568,9567,5575,9562,5581,9558,5586,9553,5592,9547,5597,9542,5601,9535,5606,9529,5610,9523,5613,9516,5616,9509,5619,9502,5621,9495,5622,9488,5624,9480,5625,9473,5625,113,5625,106,5625,98,5624,91,5622,84,5621,77,5619,70,5616,63,5613,57,5610,50,5606,44,5601,39,5597,33,5592,28,5586,24,5581,19,5575,15,5568,12,5562,9,5555,6,5548,4,5541,3,5534,1,5527,0,5519,0,5512xm0,6682l0,5752,0,5745,1,5737,3,5730,4,5723,6,5716,9,5709,12,5702,15,5696,19,5690,24,5683,28,5678,33,5672,39,5667,44,5663,50,5659,57,5654,63,5651,70,5648,77,5645,84,5643,91,5642,98,5640,106,5640,113,5640,9473,5640,9480,5640,9488,5640,9495,5642,9502,5643,9509,5645,9516,5648,9523,5651,9529,5654,9535,5659,9542,5663,9547,5667,9553,5672,9558,5678,9562,5683,9567,5690,9571,5696,9574,5702,9577,5709,9580,5716,9582,5723,9583,5730,9585,5737,9585,5745,9585,5752,9585,6682,9585,6689,9585,6697,9583,6704,9582,6711,9580,6718,9577,6725,9574,6732,9571,6738,9567,6745,9562,6751,9558,6756,9553,6762,9547,6767,9542,6771,9535,6776,9529,6780,9523,6783,9516,6786,9509,6789,9502,6791,9495,6792,9488,6794,9480,6795,9473,6795,113,6795,106,6795,98,6794,91,6792,84,6791,77,6789,70,6786,63,6783,57,6780,50,6776,44,6771,39,6767,33,6762,28,6756,24,6751,19,6745,15,6738,12,6732,9,6725,6,6718,4,6711,3,6704,1,6697,0,6689,0,6682xm0,8512l0,6922,0,6915,1,6907,3,6900,4,6893,6,6886,9,6879,12,6872,15,6866,19,6860,24,6853,28,6848,33,6842,39,6837,44,6833,50,6829,57,6824,63,6821,70,6818,77,6815,84,6813,91,6812,98,6810,106,6810,113,6810,9473,6810,9480,6810,9488,6810,9495,6812,9502,6813,9509,6815,9516,6818,9523,6821,9529,6824,9535,6829,9542,6833,9547,6837,9553,6842,9558,6848,9562,6853,9567,6860,9571,6866,9574,6872,9577,6879,9580,6886,9582,6893,9583,6900,9585,6907,9585,6915,9585,6922,9585,8512,9585,8519,9585,8527,9583,8534,9582,8541,9580,8548,9577,8555,9574,8562,9571,8568,9567,8575,9562,8581,9558,8586,9553,8592,9547,8597,9542,8601,9535,8606,9529,8610,9523,8613,9516,8616,9509,8619,9502,8621,9495,8622,9488,8624,9480,8625,9473,8625,113,8625,106,8625,98,8624,91,8622,84,8621,77,8619,70,8616,63,8613,57,8610,50,8606,44,8601,39,8597,33,8592,28,8586,24,8581,19,8575,15,8568,12,8562,9,8555,6,8548,4,8541,3,8534,1,8527,0,8519,0,8512xm0,1642l0,112,0,105,1,97,3,90,4,83,6,76,9,69,12,62,15,56,19,50,24,43,28,38,33,32,39,27,44,23,50,19,57,14,63,11,70,8,77,5,84,3,91,2,98,0,106,0,113,0,9473,0,9480,0,9488,0,9495,2,9502,3,9509,5,9516,8,9523,11,9529,14,9535,19,9542,23,9547,27,9553,32,9558,38,9562,43,9567,50,9571,56,9574,62,9577,69,9580,76,9582,83,9583,90,9585,97,9585,105,9585,112,9585,1642,9585,1649,9585,1657,9583,1664,9582,1671,9580,1678,9577,1685,9574,1692,9571,1698,9567,1705,9562,1711,9558,1716,9553,1722,9547,1727,9542,1731,9535,1736,9529,1740,9523,1743,9516,1746,9509,1749,9502,1751,9495,1752,9488,1754,9480,1755,9473,1755,113,1755,106,1755,98,1754,91,1752,84,1751,77,1749,70,1746,63,1743,57,1740,50,1736,44,1731,39,1727,33,1722,28,1716,24,1711,19,1705,15,1698,12,1692,9,1685,6,1678,4,1671,3,1664,1,1657,0,1649,0,1642xe">
                  <v:path o:connectlocs="6,-7078;33,-7122;77,-7149;9480,-7154;9529,-7140;9567,-7104;9585,-7057;9582,-3383;9558,-3338;9516,-3308;113,-3299;63,-3311;24,-3343;3,-3390;1,-3187;19,-3234;57,-3270;106,-3284;9509,-3279;9553,-3252;9580,-3208;9585,-2235;9571,-2186;9535,-2148;9488,-2130;84,-2133;39,-2157;9,-2199;0,-412;9,-2045;39,-2087;84,-2111;9488,-2114;9535,-2095;9571,-2058;9585,-2009;9580,-376;9553,-332;9509,-305;106,-299;57,-314;19,-349;1,-397;3,-8834;24,-8881;63,-8913;113,-8924;9516,-8916;9558,-8886;9582,-8841;9585,-7267;9567,-7219;9529,-7184;9480,-7169;77,-7175;33,-7202;6,-7246" o:connectangles="0,0,0,0,0,0,0,0,0,0,0,0,0,0,0,0,0,0,0,0,0,0,0,0,0,0,0,0,0,0,0,0,0,0,0,0,0,0,0,0,0,0,0,0,0,0,0,0,0,0,0,0,0,0,0,0,0"/>
                  <v:fill on="f" focussize="0,0"/>
                  <v:stroke color="#D9DBDF" joinstyle="round"/>
                  <v:imagedata o:title=""/>
                  <o:lock v:ext="edit" aspectratio="f"/>
                </v:shape>
                <v:shape id="Freeform 397" o:spid="_x0000_s1026" o:spt="100" style="position:absolute;left:1155;top:-8932;height:150;width:9600;" fillcolor="#FFFFFF" filled="t" stroked="f" coordsize="9600,150" o:gfxdata="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9M&#10;sZrCAAAA4gAAAA8AAAAAAAAAAQAgAAAAIgAAAGRycy9kb3ducmV2LnhtbFBLAQIUABQAAAAIAIdO&#10;4kAzLwWeOwAAADkAAAAQAAAAAAAAAAEAIAAAABEBAABkcnMvc2hhcGV4bWwueG1sUEsFBgAAAAAG&#10;AAYAWwEAALsDAAAAAA==&#10;" path="m9600,150l0,150,0,112,25,47,81,6,112,0,9488,0,9553,25,9594,81,9600,112,9600,150xe">
                  <v:path o:connectlocs="9600,-8782;0,-8782;0,-8820;25,-8885;81,-8926;112,-8932;9488,-8932;9553,-8907;9594,-8851;9600,-8820;9600,-8782" o:connectangles="0,0,0,0,0,0,0,0,0,0,0"/>
                  <v:fill on="t" focussize="0,0"/>
                  <v:stroke on="f"/>
                  <v:imagedata o:title=""/>
                  <o:lock v:ext="edit" aspectratio="f"/>
                </v:shape>
                <v:shape id="Picture 396" o:spid="_x0000_s1026" o:spt="75" type="#_x0000_t75" style="position:absolute;left:9525;top:-7027;height:300;width:255;" filled="f" o:preferrelative="t" stroked="f" coordsize="21600,21600" o:gfxdata="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PmfDcQAAADjAAAADwAAAAAAAAABACAAAAAiAAAAZHJzL2Rvd25yZXYueG1sUEsBAhQAFAAAAAgA&#10;h07iQDMvBZ47AAAAOQAAABAAAAAAAAAAAQAgAAAAEwEAAGRycy9zaGFwZXhtbC54bWxQSwUGAAAA&#10;AAYABgBbAQAAvQMAAAAA&#10;">
                  <v:fill on="f" focussize="0,0"/>
                  <v:stroke on="f"/>
                  <v:imagedata r:id="rId110" o:title=""/>
                  <o:lock v:ext="edit" aspectratio="t"/>
                </v:shape>
                <v:shape id="Picture 395" o:spid="_x0000_s1026" o:spt="75" type="#_x0000_t75" style="position:absolute;left:6930;top:-6157;height:180;width:180;" filled="f" o:preferrelative="t" stroked="f" coordsize="21600,21600" o:gfxdata="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kHZZ8QAAADjAAAADwAAAAAAAAABACAAAAAiAAAAZHJzL2Rvd25yZXYueG1sUEsBAhQAFAAAAAgA&#10;h07iQDMvBZ47AAAAOQAAABAAAAAAAAAAAQAgAAAAEwEAAGRycy9zaGFwZXhtbC54bWxQSwUGAAAA&#10;AAYABgBbAQAAvQMAAAAA&#10;">
                  <v:fill on="f" focussize="0,0"/>
                  <v:stroke on="f"/>
                  <v:imagedata r:id="rId111" o:title=""/>
                  <o:lock v:ext="edit" aspectratio="t"/>
                </v:shape>
                <v:shape id="Freeform 394" o:spid="_x0000_s1026" o:spt="100" style="position:absolute;left:2790;top:-6157;height:2700;width:2700;" fillcolor="#3366CC" filled="t" stroked="f" coordsize="2700,2700" o:gfxdata="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w+n7&#10;wAAAAOMAAAAPAAAAAAAAAAEAIAAAACIAAABkcnMvZG93bnJldi54bWxQSwECFAAUAAAACACHTuJA&#10;My8FnjsAAAA5AAAAEAAAAAAAAAABACAAAAAPAQAAZHJzL3NoYXBleG1sLnhtbFBLBQYAAAAABgAG&#10;AFsBAAC5AwAAAAA=&#10;" path="m1350,2700l1284,2698,1218,2694,1152,2685,1087,2674,1022,2660,958,2642,895,2621,833,2597,773,2570,714,2541,656,2508,600,2473,546,2434,494,2394,443,2350,395,2305,350,2257,306,2206,266,2154,228,2100,192,2044,159,1986,130,1927,103,1867,79,1805,58,1742,40,1678,26,1613,15,1548,7,1482,2,1416,0,1350,0,1317,4,1251,10,1185,20,1119,33,1054,49,990,68,927,90,864,116,803,144,743,175,685,209,628,246,573,286,519,328,468,372,419,419,372,468,328,519,286,573,246,628,209,685,175,743,144,803,116,864,91,927,68,990,49,1054,33,1119,20,1185,10,1251,4,1317,0,1350,0,1383,0,1449,4,1515,10,1581,20,1646,33,1710,49,1773,68,1836,91,1897,116,1957,144,2015,175,2072,209,2127,246,2181,286,2232,328,2281,372,2328,419,2372,468,2414,519,2454,573,2491,628,2525,685,2556,743,2584,803,2610,864,2632,927,2651,990,2667,1054,2680,1119,2690,1185,2696,1251,2700,1317,2700,1350,2700,1383,2696,1449,2690,1515,2680,1581,2667,1646,2651,1710,2632,1774,2610,1836,2584,1897,2556,1957,2525,2015,2491,2072,2454,2127,2414,2181,2372,2232,2328,2281,2281,2328,2232,2372,2181,2414,2127,2454,2072,2491,2015,2525,1957,2556,1897,2584,1836,2610,1773,2632,1710,2651,1646,2667,1581,2680,1515,2690,1449,2696,1383,2700,1350,2700xe">
                  <v:path o:connectlocs="1218,-3463;1022,-3497;833,-3560;656,-3649;494,-3763;350,-3900;228,-4057;130,-4230;58,-4415;15,-4609;0,-4807;10,-4972;49,-5167;116,-5354;209,-5529;328,-5689;468,-5829;628,-5948;803,-6041;990,-6108;1185,-6147;1350,-6157;1515,-6147;1710,-6108;1897,-6041;2072,-5948;2232,-5829;2372,-5689;2491,-5529;2584,-5354;2651,-5167;2690,-4972;2700,-4807;2690,-4642;2651,-4447;2584,-4260;2491,-4085;2372,-3925;2232,-3785;2072,-3666;1897,-3573;1710,-3506;1515,-3467;1350,-3457" o:connectangles="0,0,0,0,0,0,0,0,0,0,0,0,0,0,0,0,0,0,0,0,0,0,0,0,0,0,0,0,0,0,0,0,0,0,0,0,0,0,0,0,0,0,0,0"/>
                  <v:fill on="t" focussize="0,0"/>
                  <v:stroke on="f"/>
                  <v:imagedata o:title=""/>
                  <o:lock v:ext="edit" aspectratio="f"/>
                </v:shape>
                <v:shape id="Text Box 393" o:spid="_x0000_s1026" o:spt="202" type="#_x0000_t202" style="position:absolute;left:1162;top:-8898;height:1154;width:5539;" filled="f" stroked="f" coordsize="21600,21600" o:gfxdata="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yr&#10;7RH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CE291A2">
                        <w:pPr>
                          <w:spacing w:line="565" w:lineRule="exact"/>
                          <w:rPr>
                            <w:b/>
                            <w:bCs/>
                            <w:sz w:val="32"/>
                            <w:szCs w:val="32"/>
                          </w:rPr>
                        </w:pPr>
                        <w:r>
                          <w:rPr>
                            <w:b/>
                            <w:bCs/>
                            <w:color w:val="202024"/>
                            <w:w w:val="95"/>
                            <w:sz w:val="32"/>
                            <w:szCs w:val="32"/>
                          </w:rPr>
                          <w:t>SURVEY</w:t>
                        </w:r>
                        <w:r>
                          <w:rPr>
                            <w:b/>
                            <w:bCs/>
                            <w:color w:val="202024"/>
                            <w:spacing w:val="200"/>
                            <w:sz w:val="32"/>
                            <w:szCs w:val="32"/>
                          </w:rPr>
                          <w:t xml:space="preserve"> </w:t>
                        </w:r>
                        <w:r>
                          <w:rPr>
                            <w:b/>
                            <w:bCs/>
                            <w:color w:val="202024"/>
                            <w:w w:val="95"/>
                            <w:sz w:val="32"/>
                            <w:szCs w:val="32"/>
                          </w:rPr>
                          <w:t>QUESTIONNAIRE RESPONSES</w:t>
                        </w:r>
                      </w:p>
                      <w:p w14:paraId="6AF9AA9F">
                        <w:pPr>
                          <w:spacing w:before="25" w:line="251" w:lineRule="exact"/>
                          <w:rPr>
                            <w:sz w:val="21"/>
                          </w:rPr>
                        </w:pPr>
                        <w:r>
                          <w:rPr>
                            <w:color w:val="202024"/>
                            <w:sz w:val="21"/>
                          </w:rPr>
                          <w:t>79</w:t>
                        </w:r>
                        <w:r>
                          <w:rPr>
                            <w:color w:val="202024"/>
                            <w:spacing w:val="11"/>
                            <w:sz w:val="21"/>
                          </w:rPr>
                          <w:t xml:space="preserve"> </w:t>
                        </w:r>
                        <w:r>
                          <w:rPr>
                            <w:color w:val="202024"/>
                            <w:sz w:val="21"/>
                          </w:rPr>
                          <w:t>responses</w:t>
                        </w:r>
                      </w:p>
                    </w:txbxContent>
                  </v:textbox>
                </v:shape>
                <v:shape id="Text Box 392" o:spid="_x0000_s1026" o:spt="202" type="#_x0000_t202" style="position:absolute;left:1162;top:-7586;height:200;width:1699;" filled="f" stroked="f" coordsize="21600,21600" o:gfxdata="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Z1en8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428252B">
                        <w:pPr>
                          <w:spacing w:line="199" w:lineRule="exact"/>
                          <w:rPr>
                            <w:rFonts w:ascii="Lucida Sans Unicode"/>
                            <w:sz w:val="20"/>
                          </w:rPr>
                        </w:pPr>
                        <w:r>
                          <w:fldChar w:fldCharType="begin"/>
                        </w:r>
                        <w:r>
                          <w:instrText xml:space="preserve"> HYPERLINK "https://docs.google.com/forms/d/1HczRnnyvp2oCRtce6UewNpVjKPFp2_ExkOTXx-YMeto/edit" \l "start%3Dpublishanalytics" \h </w:instrText>
                        </w:r>
                        <w:r>
                          <w:fldChar w:fldCharType="separate"/>
                        </w:r>
                        <w:r>
                          <w:rPr>
                            <w:rFonts w:ascii="Lucida Sans Unicode"/>
                            <w:color w:val="1A73E7"/>
                            <w:sz w:val="20"/>
                          </w:rPr>
                          <w:t>Publish</w:t>
                        </w:r>
                        <w:r>
                          <w:rPr>
                            <w:rFonts w:ascii="Lucida Sans Unicode"/>
                            <w:color w:val="1A73E7"/>
                            <w:spacing w:val="35"/>
                            <w:sz w:val="20"/>
                          </w:rPr>
                          <w:t xml:space="preserve"> </w:t>
                        </w:r>
                        <w:r>
                          <w:rPr>
                            <w:rFonts w:ascii="Lucida Sans Unicode"/>
                            <w:color w:val="1A73E7"/>
                            <w:sz w:val="20"/>
                          </w:rPr>
                          <w:t>analytics</w:t>
                        </w:r>
                        <w:r>
                          <w:rPr>
                            <w:rFonts w:ascii="Lucida Sans Unicode"/>
                            <w:color w:val="1A73E7"/>
                            <w:sz w:val="20"/>
                          </w:rPr>
                          <w:fldChar w:fldCharType="end"/>
                        </w:r>
                      </w:p>
                    </w:txbxContent>
                  </v:textbox>
                </v:shape>
                <v:shape id="Text Box 391" o:spid="_x0000_s1026" o:spt="202" type="#_x0000_t202" style="position:absolute;left:1162;top:-6894;height:211;width:945;" filled="f" stroked="f" coordsize="21600,21600" o:gfxdata="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H&#10;hcj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D2A8E4B">
                        <w:pPr>
                          <w:spacing w:line="211" w:lineRule="exact"/>
                          <w:rPr>
                            <w:sz w:val="18"/>
                          </w:rPr>
                        </w:pPr>
                        <w:r>
                          <w:rPr>
                            <w:color w:val="202024"/>
                            <w:sz w:val="18"/>
                          </w:rPr>
                          <w:t>1</w:t>
                        </w:r>
                        <w:r>
                          <w:rPr>
                            <w:color w:val="202024"/>
                            <w:spacing w:val="21"/>
                            <w:sz w:val="18"/>
                          </w:rPr>
                          <w:t xml:space="preserve"> </w:t>
                        </w:r>
                        <w:r>
                          <w:rPr>
                            <w:color w:val="202024"/>
                            <w:sz w:val="18"/>
                          </w:rPr>
                          <w:t>response</w:t>
                        </w:r>
                      </w:p>
                    </w:txbxContent>
                  </v:textbox>
                </v:shape>
                <v:shape id="Text Box 390" o:spid="_x0000_s1026" o:spt="202" type="#_x0000_t202" style="position:absolute;left:9958;top:-6956;height:200;width:550;" filled="f" stroked="f" coordsize="21600,21600" o:gfxdata="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JiIET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099F54FD">
                        <w:pPr>
                          <w:spacing w:line="199" w:lineRule="exact"/>
                          <w:rPr>
                            <w:rFonts w:ascii="Lucida Sans Unicode"/>
                            <w:sz w:val="20"/>
                          </w:rPr>
                        </w:pPr>
                        <w:r>
                          <w:rPr>
                            <w:rFonts w:ascii="Lucida Sans Unicode"/>
                            <w:color w:val="1A73E7"/>
                            <w:w w:val="105"/>
                            <w:sz w:val="20"/>
                          </w:rPr>
                          <w:t>Copy</w:t>
                        </w:r>
                      </w:p>
                    </w:txbxContent>
                  </v:textbox>
                </v:shape>
                <v:shape id="Text Box 389" o:spid="_x0000_s1026" o:spt="202" type="#_x0000_t202" style="position:absolute;left:7185;top:-6168;height:202;width:701;" filled="f" stroked="f" coordsize="21600,21600" o:gfxdata="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Bz2Nz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5890DFAA">
                        <w:pPr>
                          <w:spacing w:line="201" w:lineRule="exact"/>
                          <w:rPr>
                            <w:rFonts w:ascii="Arial MT"/>
                            <w:sz w:val="18"/>
                          </w:rPr>
                        </w:pPr>
                        <w:r>
                          <w:rPr>
                            <w:rFonts w:ascii="Arial MT"/>
                            <w:color w:val="212121"/>
                            <w:sz w:val="18"/>
                          </w:rPr>
                          <w:t>Option 1</w:t>
                        </w:r>
                      </w:p>
                    </w:txbxContent>
                  </v:textbox>
                </v:shape>
                <v:shape id="Text Box 388" o:spid="_x0000_s1026" o:spt="202" type="#_x0000_t202" style="position:absolute;left:3907;top:-4908;height:202;width:481;" filled="f" stroked="f" coordsize="21600,21600" o:gfxdata="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5BhQH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0A4AC029">
                        <w:pPr>
                          <w:spacing w:line="201" w:lineRule="exact"/>
                          <w:rPr>
                            <w:rFonts w:ascii="Arial MT"/>
                            <w:sz w:val="18"/>
                          </w:rPr>
                        </w:pPr>
                        <w:r>
                          <w:rPr>
                            <w:rFonts w:ascii="Arial MT"/>
                            <w:color w:val="FFFFFF"/>
                            <w:sz w:val="18"/>
                          </w:rPr>
                          <w:t>100%</w:t>
                        </w:r>
                      </w:p>
                    </w:txbxContent>
                  </v:textbox>
                </v:shape>
                <v:shape id="Text Box 387" o:spid="_x0000_s1026" o:spt="202" type="#_x0000_t202" style="position:absolute;left:1162;top:-3024;height:849;width:3372;" filled="f" stroked="f" coordsize="21600,21600" o:gfxdata="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hN&#10;uJr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068F236">
                        <w:pPr>
                          <w:spacing w:line="212" w:lineRule="exact"/>
                          <w:rPr>
                            <w:sz w:val="18"/>
                          </w:rPr>
                        </w:pPr>
                        <w:r>
                          <w:rPr>
                            <w:color w:val="202024"/>
                            <w:sz w:val="18"/>
                          </w:rPr>
                          <w:t>0</w:t>
                        </w:r>
                        <w:r>
                          <w:rPr>
                            <w:color w:val="202024"/>
                            <w:spacing w:val="18"/>
                            <w:sz w:val="18"/>
                          </w:rPr>
                          <w:t xml:space="preserve"> </w:t>
                        </w:r>
                        <w:r>
                          <w:rPr>
                            <w:color w:val="202024"/>
                            <w:sz w:val="18"/>
                          </w:rPr>
                          <w:t>responses</w:t>
                        </w:r>
                      </w:p>
                      <w:p w14:paraId="1520DAB6">
                        <w:pPr>
                          <w:rPr>
                            <w:sz w:val="20"/>
                          </w:rPr>
                        </w:pPr>
                      </w:p>
                      <w:p w14:paraId="28732A79">
                        <w:pPr>
                          <w:spacing w:before="145" w:line="251" w:lineRule="exact"/>
                          <w:rPr>
                            <w:sz w:val="21"/>
                          </w:rPr>
                        </w:pPr>
                        <w:r>
                          <w:rPr>
                            <w:color w:val="202024"/>
                            <w:sz w:val="21"/>
                          </w:rPr>
                          <w:t>No</w:t>
                        </w:r>
                        <w:r>
                          <w:rPr>
                            <w:color w:val="202024"/>
                            <w:spacing w:val="11"/>
                            <w:sz w:val="21"/>
                          </w:rPr>
                          <w:t xml:space="preserve"> </w:t>
                        </w:r>
                        <w:r>
                          <w:rPr>
                            <w:color w:val="202024"/>
                            <w:sz w:val="21"/>
                          </w:rPr>
                          <w:t>responses</w:t>
                        </w:r>
                        <w:r>
                          <w:rPr>
                            <w:color w:val="202024"/>
                            <w:spacing w:val="11"/>
                            <w:sz w:val="21"/>
                          </w:rPr>
                          <w:t xml:space="preserve"> </w:t>
                        </w:r>
                        <w:r>
                          <w:rPr>
                            <w:color w:val="202024"/>
                            <w:sz w:val="21"/>
                          </w:rPr>
                          <w:t>yet</w:t>
                        </w:r>
                        <w:r>
                          <w:rPr>
                            <w:color w:val="202024"/>
                            <w:spacing w:val="12"/>
                            <w:sz w:val="21"/>
                          </w:rPr>
                          <w:t xml:space="preserve"> </w:t>
                        </w:r>
                        <w:r>
                          <w:rPr>
                            <w:color w:val="202024"/>
                            <w:sz w:val="21"/>
                          </w:rPr>
                          <w:t>for</w:t>
                        </w:r>
                        <w:r>
                          <w:rPr>
                            <w:color w:val="202024"/>
                            <w:spacing w:val="11"/>
                            <w:sz w:val="21"/>
                          </w:rPr>
                          <w:t xml:space="preserve"> </w:t>
                        </w:r>
                        <w:r>
                          <w:rPr>
                            <w:color w:val="202024"/>
                            <w:sz w:val="21"/>
                          </w:rPr>
                          <w:t>this</w:t>
                        </w:r>
                        <w:r>
                          <w:rPr>
                            <w:color w:val="202024"/>
                            <w:spacing w:val="11"/>
                            <w:sz w:val="21"/>
                          </w:rPr>
                          <w:t xml:space="preserve"> </w:t>
                        </w:r>
                        <w:r>
                          <w:rPr>
                            <w:color w:val="202024"/>
                            <w:sz w:val="21"/>
                          </w:rPr>
                          <w:t>question.</w:t>
                        </w:r>
                      </w:p>
                    </w:txbxContent>
                  </v:textbox>
                </v:shape>
                <v:shape id="Text Box 386" o:spid="_x0000_s1026" o:spt="202" type="#_x0000_t202" style="position:absolute;left:1522;top:-1668;height:1400;width:8447;" filled="f" stroked="f" coordsize="21600,21600" o:gfxdata="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hkbgP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27B8CADC">
                        <w:pPr>
                          <w:spacing w:line="264" w:lineRule="exact"/>
                          <w:jc w:val="both"/>
                        </w:pPr>
                        <w:r>
                          <w:rPr>
                            <w:w w:val="120"/>
                          </w:rPr>
                          <w:t>RESEARCH</w:t>
                        </w:r>
                        <w:r>
                          <w:rPr>
                            <w:spacing w:val="-23"/>
                            <w:w w:val="120"/>
                          </w:rPr>
                          <w:t xml:space="preserve"> </w:t>
                        </w:r>
                        <w:r>
                          <w:rPr>
                            <w:w w:val="120"/>
                          </w:rPr>
                          <w:t>TOPIC–TAX</w:t>
                        </w:r>
                        <w:r>
                          <w:rPr>
                            <w:spacing w:val="-13"/>
                            <w:w w:val="120"/>
                          </w:rPr>
                          <w:t xml:space="preserve"> </w:t>
                        </w:r>
                        <w:r>
                          <w:rPr>
                            <w:w w:val="120"/>
                          </w:rPr>
                          <w:t>POLICY</w:t>
                        </w:r>
                        <w:r>
                          <w:rPr>
                            <w:spacing w:val="-21"/>
                            <w:w w:val="120"/>
                          </w:rPr>
                          <w:t xml:space="preserve"> </w:t>
                        </w:r>
                        <w:r>
                          <w:rPr>
                            <w:w w:val="120"/>
                          </w:rPr>
                          <w:t>AND</w:t>
                        </w:r>
                        <w:r>
                          <w:rPr>
                            <w:spacing w:val="-23"/>
                            <w:w w:val="120"/>
                          </w:rPr>
                          <w:t xml:space="preserve"> </w:t>
                        </w:r>
                        <w:r>
                          <w:rPr>
                            <w:w w:val="120"/>
                          </w:rPr>
                          <w:t>TAX</w:t>
                        </w:r>
                        <w:r>
                          <w:rPr>
                            <w:spacing w:val="-13"/>
                            <w:w w:val="120"/>
                          </w:rPr>
                          <w:t xml:space="preserve"> </w:t>
                        </w:r>
                        <w:r>
                          <w:rPr>
                            <w:w w:val="120"/>
                          </w:rPr>
                          <w:t>LEGISLATION</w:t>
                        </w:r>
                        <w:r>
                          <w:rPr>
                            <w:spacing w:val="-13"/>
                            <w:w w:val="120"/>
                          </w:rPr>
                          <w:t xml:space="preserve"> </w:t>
                        </w:r>
                        <w:r>
                          <w:rPr>
                            <w:w w:val="120"/>
                          </w:rPr>
                          <w:t>IN</w:t>
                        </w:r>
                        <w:r>
                          <w:rPr>
                            <w:spacing w:val="-22"/>
                            <w:w w:val="120"/>
                          </w:rPr>
                          <w:t xml:space="preserve"> </w:t>
                        </w:r>
                        <w:r>
                          <w:rPr>
                            <w:w w:val="120"/>
                          </w:rPr>
                          <w:t>THE</w:t>
                        </w:r>
                        <w:r>
                          <w:rPr>
                            <w:spacing w:val="-13"/>
                            <w:w w:val="120"/>
                          </w:rPr>
                          <w:t xml:space="preserve"> </w:t>
                        </w:r>
                        <w:r>
                          <w:rPr>
                            <w:w w:val="120"/>
                          </w:rPr>
                          <w:t>NIGERIAN</w:t>
                        </w:r>
                      </w:p>
                      <w:p w14:paraId="774B2286">
                        <w:pPr>
                          <w:spacing w:line="360" w:lineRule="atLeast"/>
                          <w:jc w:val="both"/>
                        </w:pPr>
                        <w:r>
                          <w:rPr>
                            <w:w w:val="115"/>
                          </w:rPr>
                          <w:t>UPSTREAM</w:t>
                        </w:r>
                        <w:r>
                          <w:rPr>
                            <w:spacing w:val="12"/>
                            <w:w w:val="115"/>
                          </w:rPr>
                          <w:t xml:space="preserve"> </w:t>
                        </w:r>
                        <w:r>
                          <w:rPr>
                            <w:w w:val="115"/>
                          </w:rPr>
                          <w:t>OIL</w:t>
                        </w:r>
                        <w:r>
                          <w:rPr>
                            <w:spacing w:val="9"/>
                            <w:w w:val="115"/>
                          </w:rPr>
                          <w:t xml:space="preserve"> </w:t>
                        </w:r>
                        <w:r>
                          <w:rPr>
                            <w:w w:val="115"/>
                          </w:rPr>
                          <w:t>AND</w:t>
                        </w:r>
                        <w:r>
                          <w:rPr>
                            <w:spacing w:val="12"/>
                            <w:w w:val="115"/>
                          </w:rPr>
                          <w:t xml:space="preserve"> </w:t>
                        </w:r>
                        <w:r>
                          <w:rPr>
                            <w:w w:val="115"/>
                          </w:rPr>
                          <w:t>GAS</w:t>
                        </w:r>
                        <w:r>
                          <w:rPr>
                            <w:spacing w:val="21"/>
                            <w:w w:val="115"/>
                          </w:rPr>
                          <w:t xml:space="preserve"> </w:t>
                        </w:r>
                        <w:r>
                          <w:rPr>
                            <w:w w:val="115"/>
                          </w:rPr>
                          <w:t>INDUSTRY:</w:t>
                        </w:r>
                        <w:r>
                          <w:rPr>
                            <w:spacing w:val="9"/>
                            <w:w w:val="115"/>
                          </w:rPr>
                          <w:t xml:space="preserve"> </w:t>
                        </w:r>
                        <w:r>
                          <w:rPr>
                            <w:w w:val="115"/>
                          </w:rPr>
                          <w:t>ACHIEVING</w:t>
                        </w:r>
                        <w:r>
                          <w:rPr>
                            <w:spacing w:val="12"/>
                            <w:w w:val="115"/>
                          </w:rPr>
                          <w:t xml:space="preserve"> </w:t>
                        </w:r>
                        <w:r>
                          <w:rPr>
                            <w:w w:val="115"/>
                          </w:rPr>
                          <w:t>CERTAINTY,</w:t>
                        </w:r>
                        <w:r>
                          <w:rPr>
                            <w:spacing w:val="12"/>
                            <w:w w:val="115"/>
                          </w:rPr>
                          <w:t xml:space="preserve"> </w:t>
                        </w:r>
                        <w:r>
                          <w:rPr>
                            <w:w w:val="115"/>
                          </w:rPr>
                          <w:t>CLARITY,</w:t>
                        </w:r>
                        <w:r>
                          <w:rPr>
                            <w:spacing w:val="10"/>
                            <w:w w:val="115"/>
                          </w:rPr>
                          <w:t xml:space="preserve"> </w:t>
                        </w:r>
                        <w:r>
                          <w:rPr>
                            <w:w w:val="115"/>
                          </w:rPr>
                          <w:t xml:space="preserve">AND </w:t>
                        </w:r>
                        <w:r>
                          <w:rPr>
                            <w:spacing w:val="-70"/>
                            <w:w w:val="115"/>
                          </w:rPr>
                          <w:t xml:space="preserve">    </w:t>
                        </w:r>
                        <w:r>
                          <w:rPr>
                            <w:w w:val="120"/>
                          </w:rPr>
                          <w:t>CONSISTENCY.</w:t>
                        </w:r>
                      </w:p>
                    </w:txbxContent>
                  </v:textbox>
                </v:shape>
              </v:group>
            </w:pict>
          </mc:Fallback>
        </mc:AlternateContent>
      </w:r>
      <w:r>
        <mc:AlternateContent>
          <mc:Choice Requires="wps">
            <w:drawing>
              <wp:anchor distT="0" distB="0" distL="0" distR="0" simplePos="0" relativeHeight="251679744" behindDoc="1" locked="0" layoutInCell="1" allowOverlap="1">
                <wp:simplePos x="0" y="0"/>
                <wp:positionH relativeFrom="page">
                  <wp:posOffset>1181100</wp:posOffset>
                </wp:positionH>
                <wp:positionV relativeFrom="paragraph">
                  <wp:posOffset>67310</wp:posOffset>
                </wp:positionV>
                <wp:extent cx="2133600" cy="9525"/>
                <wp:effectExtent l="0" t="0" r="0" b="0"/>
                <wp:wrapTopAndBottom/>
                <wp:docPr id="1173315398" name="Rectangle 91"/>
                <wp:cNvGraphicFramePr/>
                <a:graphic xmlns:a="http://schemas.openxmlformats.org/drawingml/2006/main">
                  <a:graphicData uri="http://schemas.microsoft.com/office/word/2010/wordprocessingShape">
                    <wps:wsp>
                      <wps:cNvSpPr>
                        <a:spLocks noChangeArrowheads="1"/>
                      </wps:cNvSpPr>
                      <wps:spPr bwMode="auto">
                        <a:xfrm>
                          <a:off x="0" y="0"/>
                          <a:ext cx="2133600" cy="9525"/>
                        </a:xfrm>
                        <a:prstGeom prst="rect">
                          <a:avLst/>
                        </a:prstGeom>
                        <a:solidFill>
                          <a:srgbClr val="BDC1C6"/>
                        </a:solidFill>
                        <a:ln>
                          <a:noFill/>
                        </a:ln>
                        <a:effectLst/>
                      </wps:spPr>
                      <wps:bodyPr rot="0" vert="horz" wrap="square" lIns="91440" tIns="45720" rIns="91440" bIns="45720" anchor="t" anchorCtr="0" upright="1">
                        <a:noAutofit/>
                      </wps:bodyPr>
                    </wps:wsp>
                  </a:graphicData>
                </a:graphic>
              </wp:anchor>
            </w:drawing>
          </mc:Choice>
          <mc:Fallback>
            <w:pict>
              <v:rect id="Rectangle 91" o:spid="_x0000_s1026" o:spt="1" style="position:absolute;left:0pt;margin-left:93pt;margin-top:5.3pt;height:0.75pt;width:168pt;mso-position-horizontal-relative:page;mso-wrap-distance-bottom:0pt;mso-wrap-distance-top:0pt;z-index:-251636736;mso-width-relative:page;mso-height-relative:page;" fillcolor="#BDC1C6" filled="t" stroked="f" coordsize="21600,21600" o:gfxdata="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jVzBdMAAAAJAQAA&#10;DwAAAAAAAAABACAAAAAiAAAAZHJzL2Rvd25yZXYueG1sUEsBAhQAFAAAAAgAh07iQBNKdSEeAgAA&#10;PwQAAA4AAAAAAAAAAQAgAAAAIgEAAGRycy9lMm9Eb2MueG1sUEsFBgAAAAAGAAYAWQEAALIFAAAA&#10;AA==&#10;">
                <v:fill on="t" focussize="0,0"/>
                <v:stroke on="f"/>
                <v:imagedata o:title=""/>
                <o:lock v:ext="edit" aspectratio="f"/>
                <w10:wrap type="topAndBottom"/>
              </v:rect>
            </w:pict>
          </mc:Fallback>
        </mc:AlternateContent>
      </w:r>
    </w:p>
    <w:p w14:paraId="1572C57E">
      <w:pPr>
        <w:widowControl w:val="0"/>
        <w:autoSpaceDE w:val="0"/>
        <w:autoSpaceDN w:val="0"/>
        <w:rPr>
          <w:rFonts w:hAnsi="Roboto" w:eastAsia="Roboto" w:cs="Roboto"/>
          <w:sz w:val="20"/>
          <w:szCs w:val="21"/>
        </w:rPr>
      </w:pPr>
    </w:p>
    <w:p w14:paraId="6F0F2C9E">
      <w:pPr>
        <w:widowControl w:val="0"/>
        <w:autoSpaceDE w:val="0"/>
        <w:autoSpaceDN w:val="0"/>
        <w:rPr>
          <w:rFonts w:hAnsi="Roboto" w:eastAsia="Roboto" w:cs="Roboto"/>
          <w:sz w:val="20"/>
          <w:szCs w:val="21"/>
        </w:rPr>
      </w:pPr>
    </w:p>
    <w:p w14:paraId="342F8BEE">
      <w:pPr>
        <w:widowControl w:val="0"/>
        <w:autoSpaceDE w:val="0"/>
        <w:autoSpaceDN w:val="0"/>
        <w:rPr>
          <w:rFonts w:hAnsi="Roboto" w:eastAsia="Roboto" w:cs="Roboto"/>
          <w:sz w:val="20"/>
          <w:szCs w:val="21"/>
        </w:rPr>
      </w:pPr>
    </w:p>
    <w:p w14:paraId="1F17FDE8">
      <w:pPr>
        <w:widowControl w:val="0"/>
        <w:autoSpaceDE w:val="0"/>
        <w:autoSpaceDN w:val="0"/>
        <w:rPr>
          <w:rFonts w:hAnsi="Roboto" w:eastAsia="Roboto" w:cs="Roboto"/>
          <w:sz w:val="20"/>
          <w:szCs w:val="21"/>
        </w:rPr>
      </w:pPr>
    </w:p>
    <w:p w14:paraId="76747BF4">
      <w:pPr>
        <w:widowControl w:val="0"/>
        <w:autoSpaceDE w:val="0"/>
        <w:autoSpaceDN w:val="0"/>
        <w:rPr>
          <w:rFonts w:hAnsi="Roboto" w:eastAsia="Roboto" w:cs="Roboto"/>
          <w:sz w:val="20"/>
          <w:szCs w:val="21"/>
        </w:rPr>
      </w:pPr>
    </w:p>
    <w:p w14:paraId="6DC43533">
      <w:pPr>
        <w:widowControl w:val="0"/>
        <w:autoSpaceDE w:val="0"/>
        <w:autoSpaceDN w:val="0"/>
        <w:rPr>
          <w:rFonts w:hAnsi="Roboto" w:eastAsia="Roboto" w:cs="Roboto"/>
          <w:sz w:val="20"/>
          <w:szCs w:val="21"/>
        </w:rPr>
      </w:pPr>
    </w:p>
    <w:p w14:paraId="1B39E595">
      <w:pPr>
        <w:widowControl w:val="0"/>
        <w:autoSpaceDE w:val="0"/>
        <w:autoSpaceDN w:val="0"/>
        <w:rPr>
          <w:rFonts w:hAnsi="Roboto" w:eastAsia="Roboto" w:cs="Roboto"/>
          <w:sz w:val="20"/>
          <w:szCs w:val="21"/>
        </w:rPr>
      </w:pPr>
    </w:p>
    <w:p w14:paraId="172948F1">
      <w:pPr>
        <w:widowControl w:val="0"/>
        <w:tabs>
          <w:tab w:val="left" w:pos="2280"/>
        </w:tabs>
        <w:autoSpaceDE w:val="0"/>
        <w:autoSpaceDN w:val="0"/>
        <w:rPr>
          <w:rFonts w:hAnsi="Roboto" w:eastAsia="Roboto" w:cs="Roboto"/>
          <w:sz w:val="20"/>
          <w:szCs w:val="21"/>
        </w:rPr>
      </w:pPr>
      <w:r>
        <w:rPr>
          <w:rFonts w:hAnsi="Roboto" w:eastAsia="Roboto" w:cs="Roboto"/>
          <w:sz w:val="20"/>
          <w:szCs w:val="21"/>
        </w:rPr>
        <w:tab/>
      </w:r>
    </w:p>
    <w:p w14:paraId="25E007CA">
      <w:pPr>
        <w:widowControl w:val="0"/>
        <w:autoSpaceDE w:val="0"/>
        <w:autoSpaceDN w:val="0"/>
        <w:rPr>
          <w:rFonts w:hAnsi="Roboto" w:eastAsia="Roboto" w:cs="Roboto"/>
          <w:sz w:val="20"/>
          <w:szCs w:val="21"/>
        </w:rPr>
      </w:pPr>
    </w:p>
    <w:p w14:paraId="1E9799BD">
      <w:pPr>
        <w:widowControl w:val="0"/>
        <w:autoSpaceDE w:val="0"/>
        <w:autoSpaceDN w:val="0"/>
        <w:rPr>
          <w:rFonts w:hAnsi="Roboto" w:eastAsia="Roboto" w:cs="Roboto"/>
          <w:sz w:val="20"/>
          <w:szCs w:val="21"/>
        </w:rPr>
      </w:pPr>
    </w:p>
    <w:p w14:paraId="38F1BAD5">
      <w:pPr>
        <w:widowControl w:val="0"/>
        <w:autoSpaceDE w:val="0"/>
        <w:autoSpaceDN w:val="0"/>
        <w:rPr>
          <w:rFonts w:hAnsi="Roboto" w:eastAsia="Roboto" w:cs="Roboto"/>
          <w:sz w:val="20"/>
          <w:szCs w:val="21"/>
        </w:rPr>
      </w:pPr>
    </w:p>
    <w:p w14:paraId="2C9948AF">
      <w:pPr>
        <w:widowControl w:val="0"/>
        <w:autoSpaceDE w:val="0"/>
        <w:autoSpaceDN w:val="0"/>
        <w:rPr>
          <w:rFonts w:hAnsi="Roboto" w:eastAsia="Roboto" w:cs="Roboto"/>
          <w:sz w:val="20"/>
          <w:szCs w:val="21"/>
        </w:rPr>
      </w:pPr>
    </w:p>
    <w:p w14:paraId="0F862A1C">
      <w:pPr>
        <w:widowControl w:val="0"/>
        <w:autoSpaceDE w:val="0"/>
        <w:autoSpaceDN w:val="0"/>
        <w:rPr>
          <w:rFonts w:hAnsi="Roboto" w:eastAsia="Roboto" w:cs="Roboto"/>
          <w:sz w:val="20"/>
          <w:szCs w:val="21"/>
        </w:rPr>
      </w:pPr>
    </w:p>
    <w:p w14:paraId="290A210E">
      <w:pPr>
        <w:widowControl w:val="0"/>
        <w:autoSpaceDE w:val="0"/>
        <w:autoSpaceDN w:val="0"/>
        <w:rPr>
          <w:rFonts w:hAnsi="Roboto" w:eastAsia="Roboto" w:cs="Roboto"/>
          <w:sz w:val="20"/>
          <w:szCs w:val="21"/>
        </w:rPr>
      </w:pPr>
    </w:p>
    <w:p w14:paraId="04A2E85C">
      <w:pPr>
        <w:widowControl w:val="0"/>
        <w:autoSpaceDE w:val="0"/>
        <w:autoSpaceDN w:val="0"/>
        <w:rPr>
          <w:rFonts w:hAnsi="Roboto" w:eastAsia="Roboto" w:cs="Roboto"/>
          <w:sz w:val="20"/>
          <w:szCs w:val="21"/>
        </w:rPr>
      </w:pPr>
    </w:p>
    <w:p w14:paraId="78B8D5D4">
      <w:pPr>
        <w:widowControl w:val="0"/>
        <w:autoSpaceDE w:val="0"/>
        <w:autoSpaceDN w:val="0"/>
        <w:rPr>
          <w:rFonts w:hAnsi="Roboto" w:eastAsia="Roboto" w:cs="Roboto"/>
          <w:sz w:val="20"/>
          <w:szCs w:val="21"/>
        </w:rPr>
      </w:pPr>
    </w:p>
    <w:p w14:paraId="65F01FFF">
      <w:pPr>
        <w:widowControl w:val="0"/>
        <w:autoSpaceDE w:val="0"/>
        <w:autoSpaceDN w:val="0"/>
        <w:rPr>
          <w:rFonts w:hAnsi="Roboto" w:eastAsia="Roboto" w:cs="Roboto"/>
          <w:sz w:val="20"/>
          <w:szCs w:val="21"/>
        </w:rPr>
      </w:pPr>
    </w:p>
    <w:p w14:paraId="48086EC0">
      <w:pPr>
        <w:widowControl w:val="0"/>
        <w:autoSpaceDE w:val="0"/>
        <w:autoSpaceDN w:val="0"/>
        <w:rPr>
          <w:rFonts w:hAnsi="Roboto" w:eastAsia="Roboto" w:cs="Roboto"/>
          <w:sz w:val="20"/>
          <w:szCs w:val="21"/>
        </w:rPr>
      </w:pPr>
    </w:p>
    <w:p w14:paraId="068D91EC">
      <w:pPr>
        <w:widowControl w:val="0"/>
        <w:autoSpaceDE w:val="0"/>
        <w:autoSpaceDN w:val="0"/>
        <w:rPr>
          <w:rFonts w:hAnsi="Roboto" w:eastAsia="Roboto" w:cs="Roboto"/>
          <w:sz w:val="20"/>
          <w:szCs w:val="21"/>
        </w:rPr>
      </w:pPr>
    </w:p>
    <w:p w14:paraId="0023B9DE">
      <w:pPr>
        <w:widowControl w:val="0"/>
        <w:autoSpaceDE w:val="0"/>
        <w:autoSpaceDN w:val="0"/>
        <w:rPr>
          <w:rFonts w:hAnsi="Roboto" w:eastAsia="Roboto" w:cs="Roboto"/>
          <w:sz w:val="20"/>
          <w:szCs w:val="21"/>
        </w:rPr>
      </w:pPr>
    </w:p>
    <w:p w14:paraId="759E36C9">
      <w:pPr>
        <w:widowControl w:val="0"/>
        <w:autoSpaceDE w:val="0"/>
        <w:autoSpaceDN w:val="0"/>
        <w:rPr>
          <w:rFonts w:hAnsi="Roboto" w:eastAsia="Roboto" w:cs="Roboto"/>
          <w:sz w:val="20"/>
          <w:szCs w:val="21"/>
        </w:rPr>
      </w:pPr>
    </w:p>
    <w:p w14:paraId="51A8C59D">
      <w:pPr>
        <w:widowControl w:val="0"/>
        <w:autoSpaceDE w:val="0"/>
        <w:autoSpaceDN w:val="0"/>
        <w:rPr>
          <w:rFonts w:hAnsi="Roboto" w:eastAsia="Roboto" w:cs="Roboto"/>
          <w:sz w:val="20"/>
          <w:szCs w:val="21"/>
        </w:rPr>
      </w:pPr>
    </w:p>
    <w:p w14:paraId="52B2055B">
      <w:pPr>
        <w:widowControl w:val="0"/>
        <w:autoSpaceDE w:val="0"/>
        <w:autoSpaceDN w:val="0"/>
        <w:rPr>
          <w:rFonts w:hAnsi="Roboto" w:eastAsia="Roboto" w:cs="Roboto"/>
          <w:sz w:val="20"/>
          <w:szCs w:val="21"/>
        </w:rPr>
      </w:pPr>
    </w:p>
    <w:p w14:paraId="12844E6D">
      <w:pPr>
        <w:widowControl w:val="0"/>
        <w:autoSpaceDE w:val="0"/>
        <w:autoSpaceDN w:val="0"/>
        <w:rPr>
          <w:rFonts w:hAnsi="Roboto" w:eastAsia="Roboto" w:cs="Roboto"/>
          <w:sz w:val="20"/>
          <w:szCs w:val="21"/>
        </w:rPr>
      </w:pPr>
    </w:p>
    <w:p w14:paraId="78C16151">
      <w:pPr>
        <w:widowControl w:val="0"/>
        <w:autoSpaceDE w:val="0"/>
        <w:autoSpaceDN w:val="0"/>
        <w:rPr>
          <w:rFonts w:hAnsi="Roboto" w:eastAsia="Roboto" w:cs="Roboto"/>
          <w:sz w:val="20"/>
          <w:szCs w:val="21"/>
        </w:rPr>
      </w:pPr>
    </w:p>
    <w:p w14:paraId="2DBF69B2">
      <w:pPr>
        <w:widowControl w:val="0"/>
        <w:autoSpaceDE w:val="0"/>
        <w:autoSpaceDN w:val="0"/>
        <w:rPr>
          <w:rFonts w:hAnsi="Roboto" w:eastAsia="Roboto" w:cs="Roboto"/>
          <w:sz w:val="20"/>
          <w:szCs w:val="21"/>
        </w:rPr>
      </w:pPr>
    </w:p>
    <w:p w14:paraId="2346A284">
      <w:pPr>
        <w:widowControl w:val="0"/>
        <w:autoSpaceDE w:val="0"/>
        <w:autoSpaceDN w:val="0"/>
        <w:rPr>
          <w:rFonts w:hAnsi="Roboto" w:eastAsia="Roboto" w:cs="Roboto"/>
          <w:sz w:val="20"/>
          <w:szCs w:val="21"/>
        </w:rPr>
      </w:pPr>
    </w:p>
    <w:p w14:paraId="67D5550D">
      <w:pPr>
        <w:widowControl w:val="0"/>
        <w:autoSpaceDE w:val="0"/>
        <w:autoSpaceDN w:val="0"/>
        <w:rPr>
          <w:rFonts w:hAnsi="Roboto" w:eastAsia="Roboto" w:cs="Roboto"/>
          <w:sz w:val="20"/>
          <w:szCs w:val="21"/>
        </w:rPr>
      </w:pPr>
    </w:p>
    <w:p w14:paraId="7E2CCF47">
      <w:pPr>
        <w:widowControl w:val="0"/>
        <w:autoSpaceDE w:val="0"/>
        <w:autoSpaceDN w:val="0"/>
        <w:rPr>
          <w:rFonts w:hAnsi="Roboto" w:eastAsia="Roboto" w:cs="Roboto"/>
          <w:sz w:val="20"/>
          <w:szCs w:val="21"/>
        </w:rPr>
      </w:pPr>
    </w:p>
    <w:p w14:paraId="1818C4CA">
      <w:pPr>
        <w:widowControl w:val="0"/>
        <w:autoSpaceDE w:val="0"/>
        <w:autoSpaceDN w:val="0"/>
        <w:rPr>
          <w:rFonts w:hAnsi="Roboto" w:eastAsia="Roboto" w:cs="Roboto"/>
          <w:sz w:val="20"/>
          <w:szCs w:val="21"/>
        </w:rPr>
      </w:pPr>
    </w:p>
    <w:p w14:paraId="094245BD">
      <w:pPr>
        <w:widowControl w:val="0"/>
        <w:autoSpaceDE w:val="0"/>
        <w:autoSpaceDN w:val="0"/>
        <w:rPr>
          <w:rFonts w:hAnsi="Roboto" w:eastAsia="Roboto" w:cs="Roboto"/>
          <w:sz w:val="20"/>
          <w:szCs w:val="21"/>
        </w:rPr>
      </w:pPr>
    </w:p>
    <w:p w14:paraId="4E7A1AA8">
      <w:pPr>
        <w:widowControl w:val="0"/>
        <w:autoSpaceDE w:val="0"/>
        <w:autoSpaceDN w:val="0"/>
        <w:rPr>
          <w:rFonts w:hAnsi="Roboto" w:eastAsia="Roboto" w:cs="Roboto"/>
          <w:sz w:val="20"/>
          <w:szCs w:val="21"/>
        </w:rPr>
      </w:pPr>
    </w:p>
    <w:p w14:paraId="3D5D854F">
      <w:pPr>
        <w:widowControl w:val="0"/>
        <w:autoSpaceDE w:val="0"/>
        <w:autoSpaceDN w:val="0"/>
        <w:rPr>
          <w:rFonts w:hAnsi="Roboto" w:eastAsia="Roboto" w:cs="Roboto"/>
          <w:sz w:val="20"/>
          <w:szCs w:val="21"/>
        </w:rPr>
      </w:pPr>
    </w:p>
    <w:p w14:paraId="47CFFF37">
      <w:pPr>
        <w:widowControl w:val="0"/>
        <w:autoSpaceDE w:val="0"/>
        <w:autoSpaceDN w:val="0"/>
        <w:rPr>
          <w:rFonts w:hAnsi="Roboto" w:eastAsia="Roboto" w:cs="Roboto"/>
          <w:sz w:val="20"/>
          <w:szCs w:val="21"/>
        </w:rPr>
      </w:pPr>
    </w:p>
    <w:p w14:paraId="117EC0D1">
      <w:pPr>
        <w:widowControl w:val="0"/>
        <w:autoSpaceDE w:val="0"/>
        <w:autoSpaceDN w:val="0"/>
        <w:rPr>
          <w:rFonts w:hAnsi="Roboto" w:eastAsia="Roboto" w:cs="Roboto"/>
          <w:sz w:val="20"/>
          <w:szCs w:val="21"/>
        </w:rPr>
      </w:pPr>
    </w:p>
    <w:p w14:paraId="46B7D19D">
      <w:pPr>
        <w:widowControl w:val="0"/>
        <w:autoSpaceDE w:val="0"/>
        <w:autoSpaceDN w:val="0"/>
        <w:rPr>
          <w:rFonts w:hAnsi="Roboto" w:eastAsia="Roboto" w:cs="Roboto"/>
          <w:sz w:val="20"/>
          <w:szCs w:val="21"/>
        </w:rPr>
      </w:pPr>
    </w:p>
    <w:p w14:paraId="14F15D03">
      <w:pPr>
        <w:widowControl w:val="0"/>
        <w:autoSpaceDE w:val="0"/>
        <w:autoSpaceDN w:val="0"/>
        <w:rPr>
          <w:rFonts w:hAnsi="Roboto" w:eastAsia="Roboto" w:cs="Roboto"/>
          <w:sz w:val="20"/>
          <w:szCs w:val="21"/>
        </w:rPr>
      </w:pPr>
    </w:p>
    <w:p w14:paraId="0A8A01ED">
      <w:pPr>
        <w:widowControl w:val="0"/>
        <w:autoSpaceDE w:val="0"/>
        <w:autoSpaceDN w:val="0"/>
        <w:spacing w:before="10"/>
        <w:rPr>
          <w:rFonts w:hAnsi="Roboto" w:eastAsia="Roboto" w:cs="Roboto"/>
          <w:sz w:val="18"/>
          <w:szCs w:val="21"/>
        </w:rPr>
      </w:pPr>
    </w:p>
    <w:p w14:paraId="6B789FA9">
      <w:pPr>
        <w:widowControl w:val="0"/>
        <w:autoSpaceDE w:val="0"/>
        <w:autoSpaceDN w:val="0"/>
        <w:spacing w:before="95"/>
        <w:rPr>
          <w:rFonts w:ascii="Roboto" w:hAnsi="Roboto" w:eastAsia="Roboto" w:cs="Roboto"/>
          <w:szCs w:val="22"/>
        </w:rPr>
      </w:pPr>
      <w:r>
        <w:rPr>
          <w:rFonts w:ascii="Roboto" w:hAnsi="Roboto" w:eastAsia="Roboto" w:cs="Roboto"/>
          <w:color w:val="ABABAB"/>
          <w:szCs w:val="22"/>
        </w:rPr>
        <w:t>SURVEY</w:t>
      </w:r>
      <w:r>
        <w:rPr>
          <w:rFonts w:ascii="Roboto" w:hAnsi="Roboto" w:eastAsia="Roboto" w:cs="Roboto"/>
          <w:color w:val="ABABAB"/>
          <w:spacing w:val="-12"/>
          <w:szCs w:val="22"/>
        </w:rPr>
        <w:t xml:space="preserve"> </w:t>
      </w:r>
      <w:r>
        <w:rPr>
          <w:rFonts w:ascii="Roboto" w:hAnsi="Roboto" w:eastAsia="Roboto" w:cs="Roboto"/>
          <w:color w:val="ABABAB"/>
          <w:szCs w:val="22"/>
        </w:rPr>
        <w:t>QUESTIONNAIRE</w:t>
      </w:r>
    </w:p>
    <w:p w14:paraId="0D9209F0">
      <w:pPr>
        <w:widowControl w:val="0"/>
        <w:autoSpaceDE w:val="0"/>
        <w:autoSpaceDN w:val="0"/>
        <w:rPr>
          <w:rFonts w:ascii="Roboto" w:hAnsi="Roboto" w:eastAsia="Roboto" w:cs="Roboto"/>
          <w:sz w:val="36"/>
          <w:szCs w:val="21"/>
        </w:rPr>
      </w:pPr>
    </w:p>
    <w:p w14:paraId="3693F343">
      <w:pPr>
        <w:widowControl w:val="0"/>
        <w:autoSpaceDE w:val="0"/>
        <w:autoSpaceDN w:val="0"/>
        <w:rPr>
          <w:rFonts w:ascii="Roboto" w:hAnsi="Roboto" w:eastAsia="Roboto" w:cs="Roboto"/>
          <w:szCs w:val="22"/>
        </w:rPr>
      </w:pPr>
      <w:r>
        <w:rPr>
          <w:rFonts w:ascii="Roboto" w:hAnsi="Roboto" w:eastAsia="Roboto" w:cs="Roboto"/>
          <w:color w:val="ABABAB"/>
          <w:spacing w:val="-1"/>
          <w:szCs w:val="22"/>
        </w:rPr>
        <w:t>Upstream</w:t>
      </w:r>
      <w:r>
        <w:rPr>
          <w:rFonts w:ascii="Roboto" w:hAnsi="Roboto" w:eastAsia="Roboto" w:cs="Roboto"/>
          <w:color w:val="ABABAB"/>
          <w:spacing w:val="-11"/>
          <w:szCs w:val="22"/>
        </w:rPr>
        <w:t xml:space="preserve"> </w:t>
      </w:r>
      <w:r>
        <w:rPr>
          <w:rFonts w:ascii="Roboto" w:hAnsi="Roboto" w:eastAsia="Roboto" w:cs="Roboto"/>
          <w:color w:val="ABABAB"/>
          <w:spacing w:val="-1"/>
          <w:szCs w:val="22"/>
        </w:rPr>
        <w:t>Petroleum</w:t>
      </w:r>
      <w:r>
        <w:rPr>
          <w:rFonts w:ascii="Roboto" w:hAnsi="Roboto" w:eastAsia="Roboto" w:cs="Roboto"/>
          <w:color w:val="ABABAB"/>
          <w:spacing w:val="-13"/>
          <w:szCs w:val="22"/>
        </w:rPr>
        <w:t xml:space="preserve"> </w:t>
      </w:r>
      <w:r>
        <w:rPr>
          <w:rFonts w:ascii="Roboto" w:hAnsi="Roboto" w:eastAsia="Roboto" w:cs="Roboto"/>
          <w:color w:val="ABABAB"/>
          <w:spacing w:val="-1"/>
          <w:szCs w:val="22"/>
        </w:rPr>
        <w:t>Taxing</w:t>
      </w:r>
      <w:r>
        <w:rPr>
          <w:rFonts w:ascii="Roboto" w:hAnsi="Roboto" w:eastAsia="Roboto" w:cs="Roboto"/>
          <w:color w:val="ABABAB"/>
          <w:spacing w:val="-10"/>
          <w:szCs w:val="22"/>
        </w:rPr>
        <w:t xml:space="preserve"> </w:t>
      </w:r>
      <w:r>
        <w:rPr>
          <w:rFonts w:ascii="Roboto" w:hAnsi="Roboto" w:eastAsia="Roboto" w:cs="Roboto"/>
          <w:color w:val="ABABAB"/>
          <w:szCs w:val="22"/>
        </w:rPr>
        <w:t>Regime</w:t>
      </w:r>
    </w:p>
    <w:p w14:paraId="64E81838">
      <w:pPr>
        <w:widowControl w:val="0"/>
        <w:autoSpaceDE w:val="0"/>
        <w:autoSpaceDN w:val="0"/>
        <w:rPr>
          <w:rFonts w:ascii="Roboto" w:hAnsi="Roboto" w:eastAsia="Roboto" w:cs="Roboto"/>
          <w:szCs w:val="22"/>
        </w:rPr>
        <w:sectPr>
          <w:headerReference r:id="rId10" w:type="default"/>
          <w:footerReference r:id="rId11" w:type="default"/>
          <w:pgSz w:w="11900" w:h="16840"/>
          <w:pgMar w:top="480" w:right="1280" w:bottom="1680" w:left="1040" w:header="269" w:footer="1490" w:gutter="0"/>
          <w:pgNumType w:start="1"/>
          <w:cols w:space="720" w:num="1"/>
        </w:sectPr>
      </w:pPr>
    </w:p>
    <w:p w14:paraId="36F6161A">
      <w:pPr>
        <w:widowControl w:val="0"/>
        <w:autoSpaceDE w:val="0"/>
        <w:autoSpaceDN w:val="0"/>
        <w:spacing w:before="7"/>
        <w:rPr>
          <w:rFonts w:ascii="Roboto" w:hAnsi="Roboto" w:eastAsia="Roboto" w:cs="Roboto"/>
          <w:sz w:val="10"/>
          <w:szCs w:val="21"/>
        </w:rPr>
      </w:pPr>
    </w:p>
    <w:p w14:paraId="19BAC3A8">
      <w:pPr>
        <w:widowControl w:val="0"/>
        <w:autoSpaceDE w:val="0"/>
        <w:autoSpaceDN w:val="0"/>
        <w:rPr>
          <w:rFonts w:ascii="Roboto" w:hAnsi="Roboto" w:eastAsia="Roboto" w:cs="Roboto"/>
          <w:sz w:val="10"/>
          <w:szCs w:val="22"/>
        </w:rPr>
        <w:sectPr>
          <w:pgSz w:w="11900" w:h="16840"/>
          <w:pgMar w:top="480" w:right="1280" w:bottom="1680" w:left="1040" w:header="269" w:footer="1490" w:gutter="0"/>
          <w:cols w:space="720" w:num="1"/>
        </w:sectPr>
      </w:pPr>
    </w:p>
    <w:p w14:paraId="2CF0C033">
      <w:pPr>
        <w:widowControl w:val="0"/>
        <w:numPr>
          <w:ilvl w:val="0"/>
          <w:numId w:val="43"/>
        </w:numPr>
        <w:tabs>
          <w:tab w:val="left" w:pos="389"/>
        </w:tabs>
        <w:autoSpaceDE w:val="0"/>
        <w:autoSpaceDN w:val="0"/>
        <w:spacing w:before="94" w:line="300" w:lineRule="auto"/>
        <w:ind w:right="38" w:firstLine="0"/>
        <w:jc w:val="both"/>
        <w:outlineLvl w:val="0"/>
        <w:rPr>
          <w:rFonts w:eastAsia="Roboto"/>
        </w:rPr>
      </w:pPr>
      <w:r>
        <mc:AlternateContent>
          <mc:Choice Requires="wpg">
            <w:drawing>
              <wp:anchor distT="0" distB="0" distL="114300" distR="114300" simplePos="0" relativeHeight="251680768" behindDoc="1" locked="0" layoutInCell="1" allowOverlap="1">
                <wp:simplePos x="0" y="0"/>
                <wp:positionH relativeFrom="page">
                  <wp:posOffset>733425</wp:posOffset>
                </wp:positionH>
                <wp:positionV relativeFrom="paragraph">
                  <wp:posOffset>-33655</wp:posOffset>
                </wp:positionV>
                <wp:extent cx="6096000" cy="7267575"/>
                <wp:effectExtent l="9525" t="8890" r="0" b="635"/>
                <wp:wrapNone/>
                <wp:docPr id="1178084031" name="Group 372"/>
                <wp:cNvGraphicFramePr/>
                <a:graphic xmlns:a="http://schemas.openxmlformats.org/drawingml/2006/main">
                  <a:graphicData uri="http://schemas.microsoft.com/office/word/2010/wordprocessingGroup">
                    <wpg:wgp>
                      <wpg:cNvGrpSpPr/>
                      <wpg:grpSpPr>
                        <a:xfrm>
                          <a:off x="0" y="0"/>
                          <a:ext cx="6096000" cy="7267575"/>
                          <a:chOff x="1155" y="-53"/>
                          <a:chExt cx="9600" cy="11445"/>
                        </a:xfrm>
                        <a:effectLst/>
                      </wpg:grpSpPr>
                      <wps:wsp>
                        <wps:cNvPr id="236066690" name="Freeform 384"/>
                        <wps:cNvSpPr/>
                        <wps:spPr bwMode="auto">
                          <a:xfrm>
                            <a:off x="1154" y="-53"/>
                            <a:ext cx="9600" cy="6255"/>
                          </a:xfrm>
                          <a:custGeom>
                            <a:avLst/>
                            <a:gdLst>
                              <a:gd name="T0" fmla="*/ 9600 w 9600"/>
                              <a:gd name="T1" fmla="*/ -53 h 6255"/>
                              <a:gd name="T2" fmla="*/ 9585 w 9600"/>
                              <a:gd name="T3" fmla="*/ -53 h 6255"/>
                              <a:gd name="T4" fmla="*/ 9585 w 9600"/>
                              <a:gd name="T5" fmla="*/ 6082 h 6255"/>
                              <a:gd name="T6" fmla="*/ 9585 w 9600"/>
                              <a:gd name="T7" fmla="*/ 6092 h 6255"/>
                              <a:gd name="T8" fmla="*/ 9561 w 9600"/>
                              <a:gd name="T9" fmla="*/ 6149 h 6255"/>
                              <a:gd name="T10" fmla="*/ 9553 w 9600"/>
                              <a:gd name="T11" fmla="*/ 6157 h 6255"/>
                              <a:gd name="T12" fmla="*/ 9490 w 9600"/>
                              <a:gd name="T13" fmla="*/ 6187 h 6255"/>
                              <a:gd name="T14" fmla="*/ 9480 w 9600"/>
                              <a:gd name="T15" fmla="*/ 6187 h 6255"/>
                              <a:gd name="T16" fmla="*/ 120 w 9600"/>
                              <a:gd name="T17" fmla="*/ 6187 h 6255"/>
                              <a:gd name="T18" fmla="*/ 62 w 9600"/>
                              <a:gd name="T19" fmla="*/ 6169 h 6255"/>
                              <a:gd name="T20" fmla="*/ 47 w 9600"/>
                              <a:gd name="T21" fmla="*/ 6157 h 6255"/>
                              <a:gd name="T22" fmla="*/ 39 w 9600"/>
                              <a:gd name="T23" fmla="*/ 6149 h 6255"/>
                              <a:gd name="T24" fmla="*/ 15 w 9600"/>
                              <a:gd name="T25" fmla="*/ 6092 h 6255"/>
                              <a:gd name="T26" fmla="*/ 15 w 9600"/>
                              <a:gd name="T27" fmla="*/ 6082 h 6255"/>
                              <a:gd name="T28" fmla="*/ 15 w 9600"/>
                              <a:gd name="T29" fmla="*/ -53 h 6255"/>
                              <a:gd name="T30" fmla="*/ 0 w 9600"/>
                              <a:gd name="T31" fmla="*/ -53 h 6255"/>
                              <a:gd name="T32" fmla="*/ 0 w 9600"/>
                              <a:gd name="T33" fmla="*/ 6082 h 6255"/>
                              <a:gd name="T34" fmla="*/ 1 w 9600"/>
                              <a:gd name="T35" fmla="*/ 6094 h 6255"/>
                              <a:gd name="T36" fmla="*/ 27 w 9600"/>
                              <a:gd name="T37" fmla="*/ 6158 h 6255"/>
                              <a:gd name="T38" fmla="*/ 35 w 9600"/>
                              <a:gd name="T39" fmla="*/ 6167 h 6255"/>
                              <a:gd name="T40" fmla="*/ 36 w 9600"/>
                              <a:gd name="T41" fmla="*/ 6168 h 6255"/>
                              <a:gd name="T42" fmla="*/ 44 w 9600"/>
                              <a:gd name="T43" fmla="*/ 6175 h 6255"/>
                              <a:gd name="T44" fmla="*/ 108 w 9600"/>
                              <a:gd name="T45" fmla="*/ 6201 h 6255"/>
                              <a:gd name="T46" fmla="*/ 120 w 9600"/>
                              <a:gd name="T47" fmla="*/ 6202 h 6255"/>
                              <a:gd name="T48" fmla="*/ 9480 w 9600"/>
                              <a:gd name="T49" fmla="*/ 6202 h 6255"/>
                              <a:gd name="T50" fmla="*/ 9538 w 9600"/>
                              <a:gd name="T51" fmla="*/ 6187 h 6255"/>
                              <a:gd name="T52" fmla="*/ 9547 w 9600"/>
                              <a:gd name="T53" fmla="*/ 6182 h 6255"/>
                              <a:gd name="T54" fmla="*/ 9556 w 9600"/>
                              <a:gd name="T55" fmla="*/ 6175 h 6255"/>
                              <a:gd name="T56" fmla="*/ 9564 w 9600"/>
                              <a:gd name="T57" fmla="*/ 6168 h 6255"/>
                              <a:gd name="T58" fmla="*/ 9598 w 9600"/>
                              <a:gd name="T59" fmla="*/ 6105 h 6255"/>
                              <a:gd name="T60" fmla="*/ 9600 w 9600"/>
                              <a:gd name="T61" fmla="*/ 6082 h 6255"/>
                              <a:gd name="T62" fmla="*/ 9600 w 9600"/>
                              <a:gd name="T63" fmla="*/ -53 h 62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00" h="6255">
                                <a:moveTo>
                                  <a:pt x="9600" y="0"/>
                                </a:moveTo>
                                <a:lnTo>
                                  <a:pt x="9585" y="0"/>
                                </a:lnTo>
                                <a:lnTo>
                                  <a:pt x="9585" y="6135"/>
                                </a:lnTo>
                                <a:lnTo>
                                  <a:pt x="9585" y="6145"/>
                                </a:lnTo>
                                <a:lnTo>
                                  <a:pt x="9561" y="6202"/>
                                </a:lnTo>
                                <a:lnTo>
                                  <a:pt x="9553" y="6210"/>
                                </a:lnTo>
                                <a:lnTo>
                                  <a:pt x="9490" y="6240"/>
                                </a:lnTo>
                                <a:lnTo>
                                  <a:pt x="9480" y="6240"/>
                                </a:lnTo>
                                <a:lnTo>
                                  <a:pt x="120" y="6240"/>
                                </a:lnTo>
                                <a:lnTo>
                                  <a:pt x="62" y="6222"/>
                                </a:lnTo>
                                <a:lnTo>
                                  <a:pt x="47" y="6210"/>
                                </a:lnTo>
                                <a:lnTo>
                                  <a:pt x="39" y="6202"/>
                                </a:lnTo>
                                <a:lnTo>
                                  <a:pt x="15" y="6145"/>
                                </a:lnTo>
                                <a:lnTo>
                                  <a:pt x="15" y="6135"/>
                                </a:lnTo>
                                <a:lnTo>
                                  <a:pt x="15" y="0"/>
                                </a:lnTo>
                                <a:lnTo>
                                  <a:pt x="0" y="0"/>
                                </a:lnTo>
                                <a:lnTo>
                                  <a:pt x="0" y="6135"/>
                                </a:lnTo>
                                <a:lnTo>
                                  <a:pt x="1" y="6147"/>
                                </a:lnTo>
                                <a:lnTo>
                                  <a:pt x="27" y="6211"/>
                                </a:lnTo>
                                <a:lnTo>
                                  <a:pt x="35" y="6220"/>
                                </a:lnTo>
                                <a:lnTo>
                                  <a:pt x="36" y="6221"/>
                                </a:lnTo>
                                <a:lnTo>
                                  <a:pt x="44" y="6228"/>
                                </a:lnTo>
                                <a:lnTo>
                                  <a:pt x="108" y="6254"/>
                                </a:lnTo>
                                <a:lnTo>
                                  <a:pt x="120" y="6255"/>
                                </a:lnTo>
                                <a:lnTo>
                                  <a:pt x="9480" y="6255"/>
                                </a:lnTo>
                                <a:lnTo>
                                  <a:pt x="9538" y="6240"/>
                                </a:lnTo>
                                <a:lnTo>
                                  <a:pt x="9547" y="6235"/>
                                </a:lnTo>
                                <a:lnTo>
                                  <a:pt x="9556" y="6228"/>
                                </a:lnTo>
                                <a:lnTo>
                                  <a:pt x="9564" y="6221"/>
                                </a:lnTo>
                                <a:lnTo>
                                  <a:pt x="9598" y="6158"/>
                                </a:lnTo>
                                <a:lnTo>
                                  <a:pt x="9600" y="6135"/>
                                </a:lnTo>
                                <a:lnTo>
                                  <a:pt x="9600" y="0"/>
                                </a:lnTo>
                                <a:close/>
                              </a:path>
                            </a:pathLst>
                          </a:custGeom>
                          <a:solidFill>
                            <a:srgbClr val="D9DBDF"/>
                          </a:solidFill>
                          <a:ln>
                            <a:noFill/>
                          </a:ln>
                          <a:effectLst/>
                        </wps:spPr>
                        <wps:bodyPr rot="0" vert="horz" wrap="square" lIns="91440" tIns="45720" rIns="91440" bIns="45720" anchor="t" anchorCtr="0" upright="1">
                          <a:noAutofit/>
                        </wps:bodyPr>
                      </wps:wsp>
                      <wps:wsp>
                        <wps:cNvPr id="1237260124" name="Freeform 383"/>
                        <wps:cNvSpPr/>
                        <wps:spPr bwMode="auto">
                          <a:xfrm>
                            <a:off x="1162" y="6209"/>
                            <a:ext cx="9585" cy="5175"/>
                          </a:xfrm>
                          <a:custGeom>
                            <a:avLst/>
                            <a:gdLst>
                              <a:gd name="T0" fmla="*/ 0 w 9585"/>
                              <a:gd name="T1" fmla="*/ 6322 h 5175"/>
                              <a:gd name="T2" fmla="*/ 1 w 9585"/>
                              <a:gd name="T3" fmla="*/ 6307 h 5175"/>
                              <a:gd name="T4" fmla="*/ 33 w 9585"/>
                              <a:gd name="T5" fmla="*/ 6242 h 5175"/>
                              <a:gd name="T6" fmla="*/ 70 w 9585"/>
                              <a:gd name="T7" fmla="*/ 6218 h 5175"/>
                              <a:gd name="T8" fmla="*/ 84 w 9585"/>
                              <a:gd name="T9" fmla="*/ 6213 h 5175"/>
                              <a:gd name="T10" fmla="*/ 98 w 9585"/>
                              <a:gd name="T11" fmla="*/ 6210 h 5175"/>
                              <a:gd name="T12" fmla="*/ 113 w 9585"/>
                              <a:gd name="T13" fmla="*/ 6210 h 5175"/>
                              <a:gd name="T14" fmla="*/ 9480 w 9585"/>
                              <a:gd name="T15" fmla="*/ 6210 h 5175"/>
                              <a:gd name="T16" fmla="*/ 9495 w 9585"/>
                              <a:gd name="T17" fmla="*/ 6212 h 5175"/>
                              <a:gd name="T18" fmla="*/ 9509 w 9585"/>
                              <a:gd name="T19" fmla="*/ 6215 h 5175"/>
                              <a:gd name="T20" fmla="*/ 9523 w 9585"/>
                              <a:gd name="T21" fmla="*/ 6221 h 5175"/>
                              <a:gd name="T22" fmla="*/ 9535 w 9585"/>
                              <a:gd name="T23" fmla="*/ 6229 h 5175"/>
                              <a:gd name="T24" fmla="*/ 9547 w 9585"/>
                              <a:gd name="T25" fmla="*/ 6237 h 5175"/>
                              <a:gd name="T26" fmla="*/ 9558 w 9585"/>
                              <a:gd name="T27" fmla="*/ 6248 h 5175"/>
                              <a:gd name="T28" fmla="*/ 9585 w 9585"/>
                              <a:gd name="T29" fmla="*/ 6307 h 5175"/>
                              <a:gd name="T30" fmla="*/ 9585 w 9585"/>
                              <a:gd name="T31" fmla="*/ 6322 h 5175"/>
                              <a:gd name="T32" fmla="*/ 9585 w 9585"/>
                              <a:gd name="T33" fmla="*/ 11279 h 5175"/>
                              <a:gd name="T34" fmla="*/ 9583 w 9585"/>
                              <a:gd name="T35" fmla="*/ 11294 h 5175"/>
                              <a:gd name="T36" fmla="*/ 9553 w 9585"/>
                              <a:gd name="T37" fmla="*/ 11352 h 5175"/>
                              <a:gd name="T38" fmla="*/ 9542 w 9585"/>
                              <a:gd name="T39" fmla="*/ 11361 h 5175"/>
                              <a:gd name="T40" fmla="*/ 9529 w 9585"/>
                              <a:gd name="T41" fmla="*/ 11370 h 5175"/>
                              <a:gd name="T42" fmla="*/ 9516 w 9585"/>
                              <a:gd name="T43" fmla="*/ 11376 h 5175"/>
                              <a:gd name="T44" fmla="*/ 9502 w 9585"/>
                              <a:gd name="T45" fmla="*/ 11381 h 5175"/>
                              <a:gd name="T46" fmla="*/ 9488 w 9585"/>
                              <a:gd name="T47" fmla="*/ 11384 h 5175"/>
                              <a:gd name="T48" fmla="*/ 9473 w 9585"/>
                              <a:gd name="T49" fmla="*/ 11385 h 5175"/>
                              <a:gd name="T50" fmla="*/ 70 w 9585"/>
                              <a:gd name="T51" fmla="*/ 11376 h 5175"/>
                              <a:gd name="T52" fmla="*/ 57 w 9585"/>
                              <a:gd name="T53" fmla="*/ 11370 h 5175"/>
                              <a:gd name="T54" fmla="*/ 44 w 9585"/>
                              <a:gd name="T55" fmla="*/ 11361 h 5175"/>
                              <a:gd name="T56" fmla="*/ 33 w 9585"/>
                              <a:gd name="T57" fmla="*/ 11352 h 5175"/>
                              <a:gd name="T58" fmla="*/ 9 w 9585"/>
                              <a:gd name="T59" fmla="*/ 11315 h 5175"/>
                              <a:gd name="T60" fmla="*/ 4 w 9585"/>
                              <a:gd name="T61" fmla="*/ 11301 h 5175"/>
                              <a:gd name="T62" fmla="*/ 1 w 9585"/>
                              <a:gd name="T63" fmla="*/ 11287 h 5175"/>
                              <a:gd name="T64" fmla="*/ 0 w 9585"/>
                              <a:gd name="T65" fmla="*/ 11272 h 517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585" h="5175">
                                <a:moveTo>
                                  <a:pt x="0" y="5062"/>
                                </a:moveTo>
                                <a:lnTo>
                                  <a:pt x="0" y="112"/>
                                </a:lnTo>
                                <a:lnTo>
                                  <a:pt x="0" y="105"/>
                                </a:lnTo>
                                <a:lnTo>
                                  <a:pt x="1" y="97"/>
                                </a:lnTo>
                                <a:lnTo>
                                  <a:pt x="28" y="38"/>
                                </a:lnTo>
                                <a:lnTo>
                                  <a:pt x="33" y="32"/>
                                </a:lnTo>
                                <a:lnTo>
                                  <a:pt x="39" y="27"/>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9"/>
                                </a:lnTo>
                                <a:lnTo>
                                  <a:pt x="9542" y="23"/>
                                </a:lnTo>
                                <a:lnTo>
                                  <a:pt x="9547" y="27"/>
                                </a:lnTo>
                                <a:lnTo>
                                  <a:pt x="9553" y="32"/>
                                </a:lnTo>
                                <a:lnTo>
                                  <a:pt x="9558" y="38"/>
                                </a:lnTo>
                                <a:lnTo>
                                  <a:pt x="9583" y="90"/>
                                </a:lnTo>
                                <a:lnTo>
                                  <a:pt x="9585" y="97"/>
                                </a:lnTo>
                                <a:lnTo>
                                  <a:pt x="9585" y="105"/>
                                </a:lnTo>
                                <a:lnTo>
                                  <a:pt x="9585" y="112"/>
                                </a:lnTo>
                                <a:lnTo>
                                  <a:pt x="9585" y="5062"/>
                                </a:lnTo>
                                <a:lnTo>
                                  <a:pt x="9585" y="5069"/>
                                </a:lnTo>
                                <a:lnTo>
                                  <a:pt x="9585" y="5077"/>
                                </a:lnTo>
                                <a:lnTo>
                                  <a:pt x="9583" y="5084"/>
                                </a:lnTo>
                                <a:lnTo>
                                  <a:pt x="9582" y="5091"/>
                                </a:lnTo>
                                <a:lnTo>
                                  <a:pt x="9553" y="5142"/>
                                </a:lnTo>
                                <a:lnTo>
                                  <a:pt x="9547" y="5147"/>
                                </a:lnTo>
                                <a:lnTo>
                                  <a:pt x="9542" y="5151"/>
                                </a:lnTo>
                                <a:lnTo>
                                  <a:pt x="9535" y="5156"/>
                                </a:lnTo>
                                <a:lnTo>
                                  <a:pt x="9529" y="5160"/>
                                </a:lnTo>
                                <a:lnTo>
                                  <a:pt x="9523" y="5163"/>
                                </a:lnTo>
                                <a:lnTo>
                                  <a:pt x="9516" y="5166"/>
                                </a:lnTo>
                                <a:lnTo>
                                  <a:pt x="9509" y="5169"/>
                                </a:lnTo>
                                <a:lnTo>
                                  <a:pt x="9502" y="5171"/>
                                </a:lnTo>
                                <a:lnTo>
                                  <a:pt x="9495" y="5172"/>
                                </a:lnTo>
                                <a:lnTo>
                                  <a:pt x="9488" y="5174"/>
                                </a:lnTo>
                                <a:lnTo>
                                  <a:pt x="9480" y="5175"/>
                                </a:lnTo>
                                <a:lnTo>
                                  <a:pt x="9473" y="5175"/>
                                </a:lnTo>
                                <a:lnTo>
                                  <a:pt x="113" y="5175"/>
                                </a:lnTo>
                                <a:lnTo>
                                  <a:pt x="70" y="5166"/>
                                </a:lnTo>
                                <a:lnTo>
                                  <a:pt x="63" y="5163"/>
                                </a:lnTo>
                                <a:lnTo>
                                  <a:pt x="57" y="5160"/>
                                </a:lnTo>
                                <a:lnTo>
                                  <a:pt x="50" y="5156"/>
                                </a:lnTo>
                                <a:lnTo>
                                  <a:pt x="44" y="5151"/>
                                </a:lnTo>
                                <a:lnTo>
                                  <a:pt x="39" y="5147"/>
                                </a:lnTo>
                                <a:lnTo>
                                  <a:pt x="33" y="5142"/>
                                </a:lnTo>
                                <a:lnTo>
                                  <a:pt x="28" y="5136"/>
                                </a:lnTo>
                                <a:lnTo>
                                  <a:pt x="9" y="5105"/>
                                </a:lnTo>
                                <a:lnTo>
                                  <a:pt x="6" y="5098"/>
                                </a:lnTo>
                                <a:lnTo>
                                  <a:pt x="4" y="5091"/>
                                </a:lnTo>
                                <a:lnTo>
                                  <a:pt x="3" y="5084"/>
                                </a:lnTo>
                                <a:lnTo>
                                  <a:pt x="1" y="5077"/>
                                </a:lnTo>
                                <a:lnTo>
                                  <a:pt x="0" y="5069"/>
                                </a:lnTo>
                                <a:lnTo>
                                  <a:pt x="0" y="5062"/>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1358810223" name="Picture 3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7"/>
                            <a:ext cx="255" cy="300"/>
                          </a:xfrm>
                          <a:prstGeom prst="rect">
                            <a:avLst/>
                          </a:prstGeom>
                          <a:noFill/>
                          <a:ln>
                            <a:noFill/>
                          </a:ln>
                          <a:effectLst/>
                        </pic:spPr>
                      </pic:pic>
                      <wps:wsp>
                        <wps:cNvPr id="921014016" name="Rectangle 381"/>
                        <wps:cNvSpPr>
                          <a:spLocks noChangeArrowheads="1"/>
                        </wps:cNvSpPr>
                        <wps:spPr bwMode="auto">
                          <a:xfrm>
                            <a:off x="1170" y="2587"/>
                            <a:ext cx="9030" cy="3600"/>
                          </a:xfrm>
                          <a:prstGeom prst="rect">
                            <a:avLst/>
                          </a:prstGeom>
                          <a:solidFill>
                            <a:srgbClr val="FFFFFF"/>
                          </a:solidFill>
                          <a:ln>
                            <a:noFill/>
                          </a:ln>
                          <a:effectLst/>
                        </wps:spPr>
                        <wps:bodyPr rot="0" vert="horz" wrap="square" lIns="91440" tIns="45720" rIns="91440" bIns="45720" anchor="t" anchorCtr="0" upright="1">
                          <a:noAutofit/>
                        </wps:bodyPr>
                      </wps:wsp>
                      <pic:pic xmlns:pic="http://schemas.openxmlformats.org/drawingml/2006/picture">
                        <pic:nvPicPr>
                          <pic:cNvPr id="770959387" name="Picture 3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337"/>
                            <a:ext cx="255" cy="300"/>
                          </a:xfrm>
                          <a:prstGeom prst="rect">
                            <a:avLst/>
                          </a:prstGeom>
                          <a:noFill/>
                          <a:ln>
                            <a:noFill/>
                          </a:ln>
                          <a:effectLst/>
                        </pic:spPr>
                      </pic:pic>
                      <wps:wsp>
                        <wps:cNvPr id="1110854398" name="Rectangle 379"/>
                        <wps:cNvSpPr>
                          <a:spLocks noChangeArrowheads="1"/>
                        </wps:cNvSpPr>
                        <wps:spPr bwMode="auto">
                          <a:xfrm>
                            <a:off x="2070" y="792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2070007558" name="AutoShape 378"/>
                        <wps:cNvSpPr/>
                        <wps:spPr bwMode="auto">
                          <a:xfrm>
                            <a:off x="2069" y="7927"/>
                            <a:ext cx="8130" cy="2700"/>
                          </a:xfrm>
                          <a:custGeom>
                            <a:avLst/>
                            <a:gdLst>
                              <a:gd name="T0" fmla="*/ 6810 w 8130"/>
                              <a:gd name="T1" fmla="*/ 9937 h 2700"/>
                              <a:gd name="T2" fmla="*/ 0 w 8130"/>
                              <a:gd name="T3" fmla="*/ 9937 h 2700"/>
                              <a:gd name="T4" fmla="*/ 0 w 8130"/>
                              <a:gd name="T5" fmla="*/ 9952 h 2700"/>
                              <a:gd name="T6" fmla="*/ 6810 w 8130"/>
                              <a:gd name="T7" fmla="*/ 9952 h 2700"/>
                              <a:gd name="T8" fmla="*/ 6810 w 8130"/>
                              <a:gd name="T9" fmla="*/ 9937 h 2700"/>
                              <a:gd name="T10" fmla="*/ 6810 w 8130"/>
                              <a:gd name="T11" fmla="*/ 9277 h 2700"/>
                              <a:gd name="T12" fmla="*/ 0 w 8130"/>
                              <a:gd name="T13" fmla="*/ 9277 h 2700"/>
                              <a:gd name="T14" fmla="*/ 0 w 8130"/>
                              <a:gd name="T15" fmla="*/ 9292 h 2700"/>
                              <a:gd name="T16" fmla="*/ 6810 w 8130"/>
                              <a:gd name="T17" fmla="*/ 9292 h 2700"/>
                              <a:gd name="T18" fmla="*/ 6810 w 8130"/>
                              <a:gd name="T19" fmla="*/ 9277 h 2700"/>
                              <a:gd name="T20" fmla="*/ 6810 w 8130"/>
                              <a:gd name="T21" fmla="*/ 8602 h 2700"/>
                              <a:gd name="T22" fmla="*/ 0 w 8130"/>
                              <a:gd name="T23" fmla="*/ 8602 h 2700"/>
                              <a:gd name="T24" fmla="*/ 0 w 8130"/>
                              <a:gd name="T25" fmla="*/ 8617 h 2700"/>
                              <a:gd name="T26" fmla="*/ 6810 w 8130"/>
                              <a:gd name="T27" fmla="*/ 8617 h 2700"/>
                              <a:gd name="T28" fmla="*/ 6810 w 8130"/>
                              <a:gd name="T29" fmla="*/ 8602 h 2700"/>
                              <a:gd name="T30" fmla="*/ 8130 w 8130"/>
                              <a:gd name="T31" fmla="*/ 10612 h 2700"/>
                              <a:gd name="T32" fmla="*/ 0 w 8130"/>
                              <a:gd name="T33" fmla="*/ 10612 h 2700"/>
                              <a:gd name="T34" fmla="*/ 0 w 8130"/>
                              <a:gd name="T35" fmla="*/ 10627 h 2700"/>
                              <a:gd name="T36" fmla="*/ 8130 w 8130"/>
                              <a:gd name="T37" fmla="*/ 10627 h 2700"/>
                              <a:gd name="T38" fmla="*/ 8130 w 8130"/>
                              <a:gd name="T39" fmla="*/ 10612 h 2700"/>
                              <a:gd name="T40" fmla="*/ 8130 w 8130"/>
                              <a:gd name="T41" fmla="*/ 9937 h 2700"/>
                              <a:gd name="T42" fmla="*/ 7815 w 8130"/>
                              <a:gd name="T43" fmla="*/ 9937 h 2700"/>
                              <a:gd name="T44" fmla="*/ 7815 w 8130"/>
                              <a:gd name="T45" fmla="*/ 9952 h 2700"/>
                              <a:gd name="T46" fmla="*/ 8130 w 8130"/>
                              <a:gd name="T47" fmla="*/ 9952 h 2700"/>
                              <a:gd name="T48" fmla="*/ 8130 w 8130"/>
                              <a:gd name="T49" fmla="*/ 9937 h 2700"/>
                              <a:gd name="T50" fmla="*/ 8130 w 8130"/>
                              <a:gd name="T51" fmla="*/ 9277 h 2700"/>
                              <a:gd name="T52" fmla="*/ 7815 w 8130"/>
                              <a:gd name="T53" fmla="*/ 9277 h 2700"/>
                              <a:gd name="T54" fmla="*/ 7815 w 8130"/>
                              <a:gd name="T55" fmla="*/ 9292 h 2700"/>
                              <a:gd name="T56" fmla="*/ 8130 w 8130"/>
                              <a:gd name="T57" fmla="*/ 9292 h 2700"/>
                              <a:gd name="T58" fmla="*/ 8130 w 8130"/>
                              <a:gd name="T59" fmla="*/ 9277 h 2700"/>
                              <a:gd name="T60" fmla="*/ 8130 w 8130"/>
                              <a:gd name="T61" fmla="*/ 8602 h 2700"/>
                              <a:gd name="T62" fmla="*/ 7815 w 8130"/>
                              <a:gd name="T63" fmla="*/ 8602 h 2700"/>
                              <a:gd name="T64" fmla="*/ 7815 w 8130"/>
                              <a:gd name="T65" fmla="*/ 8617 h 2700"/>
                              <a:gd name="T66" fmla="*/ 8130 w 8130"/>
                              <a:gd name="T67" fmla="*/ 8617 h 2700"/>
                              <a:gd name="T68" fmla="*/ 8130 w 8130"/>
                              <a:gd name="T69" fmla="*/ 8602 h 2700"/>
                              <a:gd name="T70" fmla="*/ 8130 w 8130"/>
                              <a:gd name="T71" fmla="*/ 7927 h 2700"/>
                              <a:gd name="T72" fmla="*/ 0 w 8130"/>
                              <a:gd name="T73" fmla="*/ 7927 h 2700"/>
                              <a:gd name="T74" fmla="*/ 0 w 8130"/>
                              <a:gd name="T75" fmla="*/ 7942 h 2700"/>
                              <a:gd name="T76" fmla="*/ 8130 w 8130"/>
                              <a:gd name="T77" fmla="*/ 7942 h 2700"/>
                              <a:gd name="T78" fmla="*/ 8130 w 8130"/>
                              <a:gd name="T79" fmla="*/ 7927 h 27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30" h="2700">
                                <a:moveTo>
                                  <a:pt x="6810" y="2010"/>
                                </a:moveTo>
                                <a:lnTo>
                                  <a:pt x="0" y="2010"/>
                                </a:lnTo>
                                <a:lnTo>
                                  <a:pt x="0" y="2025"/>
                                </a:lnTo>
                                <a:lnTo>
                                  <a:pt x="6810" y="2025"/>
                                </a:lnTo>
                                <a:lnTo>
                                  <a:pt x="6810" y="2010"/>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790857034" name="AutoShape 377"/>
                        <wps:cNvSpPr/>
                        <wps:spPr bwMode="auto">
                          <a:xfrm>
                            <a:off x="2069" y="8257"/>
                            <a:ext cx="8130" cy="2040"/>
                          </a:xfrm>
                          <a:custGeom>
                            <a:avLst/>
                            <a:gdLst>
                              <a:gd name="T0" fmla="*/ 5190 w 8130"/>
                              <a:gd name="T1" fmla="*/ 10282 h 2040"/>
                              <a:gd name="T2" fmla="*/ 0 w 8130"/>
                              <a:gd name="T3" fmla="*/ 10282 h 2040"/>
                              <a:gd name="T4" fmla="*/ 0 w 8130"/>
                              <a:gd name="T5" fmla="*/ 10297 h 2040"/>
                              <a:gd name="T6" fmla="*/ 5190 w 8130"/>
                              <a:gd name="T7" fmla="*/ 10297 h 2040"/>
                              <a:gd name="T8" fmla="*/ 5190 w 8130"/>
                              <a:gd name="T9" fmla="*/ 10282 h 2040"/>
                              <a:gd name="T10" fmla="*/ 6810 w 8130"/>
                              <a:gd name="T11" fmla="*/ 10282 h 2040"/>
                              <a:gd name="T12" fmla="*/ 6195 w 8130"/>
                              <a:gd name="T13" fmla="*/ 10282 h 2040"/>
                              <a:gd name="T14" fmla="*/ 6195 w 8130"/>
                              <a:gd name="T15" fmla="*/ 10297 h 2040"/>
                              <a:gd name="T16" fmla="*/ 6810 w 8130"/>
                              <a:gd name="T17" fmla="*/ 10297 h 2040"/>
                              <a:gd name="T18" fmla="*/ 6810 w 8130"/>
                              <a:gd name="T19" fmla="*/ 10282 h 2040"/>
                              <a:gd name="T20" fmla="*/ 6810 w 8130"/>
                              <a:gd name="T21" fmla="*/ 9607 h 2040"/>
                              <a:gd name="T22" fmla="*/ 0 w 8130"/>
                              <a:gd name="T23" fmla="*/ 9607 h 2040"/>
                              <a:gd name="T24" fmla="*/ 0 w 8130"/>
                              <a:gd name="T25" fmla="*/ 9622 h 2040"/>
                              <a:gd name="T26" fmla="*/ 6810 w 8130"/>
                              <a:gd name="T27" fmla="*/ 9622 h 2040"/>
                              <a:gd name="T28" fmla="*/ 6810 w 8130"/>
                              <a:gd name="T29" fmla="*/ 9607 h 2040"/>
                              <a:gd name="T30" fmla="*/ 6810 w 8130"/>
                              <a:gd name="T31" fmla="*/ 8932 h 2040"/>
                              <a:gd name="T32" fmla="*/ 0 w 8130"/>
                              <a:gd name="T33" fmla="*/ 8932 h 2040"/>
                              <a:gd name="T34" fmla="*/ 0 w 8130"/>
                              <a:gd name="T35" fmla="*/ 8947 h 2040"/>
                              <a:gd name="T36" fmla="*/ 6810 w 8130"/>
                              <a:gd name="T37" fmla="*/ 8947 h 2040"/>
                              <a:gd name="T38" fmla="*/ 6810 w 8130"/>
                              <a:gd name="T39" fmla="*/ 8932 h 2040"/>
                              <a:gd name="T40" fmla="*/ 8130 w 8130"/>
                              <a:gd name="T41" fmla="*/ 10282 h 2040"/>
                              <a:gd name="T42" fmla="*/ 7815 w 8130"/>
                              <a:gd name="T43" fmla="*/ 10282 h 2040"/>
                              <a:gd name="T44" fmla="*/ 7815 w 8130"/>
                              <a:gd name="T45" fmla="*/ 10297 h 2040"/>
                              <a:gd name="T46" fmla="*/ 8130 w 8130"/>
                              <a:gd name="T47" fmla="*/ 10297 h 2040"/>
                              <a:gd name="T48" fmla="*/ 8130 w 8130"/>
                              <a:gd name="T49" fmla="*/ 10282 h 2040"/>
                              <a:gd name="T50" fmla="*/ 8130 w 8130"/>
                              <a:gd name="T51" fmla="*/ 9607 h 2040"/>
                              <a:gd name="T52" fmla="*/ 7815 w 8130"/>
                              <a:gd name="T53" fmla="*/ 9607 h 2040"/>
                              <a:gd name="T54" fmla="*/ 7815 w 8130"/>
                              <a:gd name="T55" fmla="*/ 9622 h 2040"/>
                              <a:gd name="T56" fmla="*/ 8130 w 8130"/>
                              <a:gd name="T57" fmla="*/ 9622 h 2040"/>
                              <a:gd name="T58" fmla="*/ 8130 w 8130"/>
                              <a:gd name="T59" fmla="*/ 9607 h 2040"/>
                              <a:gd name="T60" fmla="*/ 8130 w 8130"/>
                              <a:gd name="T61" fmla="*/ 8932 h 2040"/>
                              <a:gd name="T62" fmla="*/ 7815 w 8130"/>
                              <a:gd name="T63" fmla="*/ 8932 h 2040"/>
                              <a:gd name="T64" fmla="*/ 7815 w 8130"/>
                              <a:gd name="T65" fmla="*/ 8947 h 2040"/>
                              <a:gd name="T66" fmla="*/ 8130 w 8130"/>
                              <a:gd name="T67" fmla="*/ 8947 h 2040"/>
                              <a:gd name="T68" fmla="*/ 8130 w 8130"/>
                              <a:gd name="T69" fmla="*/ 8932 h 2040"/>
                              <a:gd name="T70" fmla="*/ 8130 w 8130"/>
                              <a:gd name="T71" fmla="*/ 8257 h 2040"/>
                              <a:gd name="T72" fmla="*/ 0 w 8130"/>
                              <a:gd name="T73" fmla="*/ 8257 h 2040"/>
                              <a:gd name="T74" fmla="*/ 0 w 8130"/>
                              <a:gd name="T75" fmla="*/ 8272 h 2040"/>
                              <a:gd name="T76" fmla="*/ 8130 w 8130"/>
                              <a:gd name="T77" fmla="*/ 8272 h 2040"/>
                              <a:gd name="T78" fmla="*/ 8130 w 8130"/>
                              <a:gd name="T79" fmla="*/ 8257 h 20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30" h="2040">
                                <a:moveTo>
                                  <a:pt x="5190" y="2025"/>
                                </a:moveTo>
                                <a:lnTo>
                                  <a:pt x="0" y="2025"/>
                                </a:lnTo>
                                <a:lnTo>
                                  <a:pt x="0" y="2040"/>
                                </a:lnTo>
                                <a:lnTo>
                                  <a:pt x="5190" y="2040"/>
                                </a:lnTo>
                                <a:lnTo>
                                  <a:pt x="5190" y="2025"/>
                                </a:lnTo>
                                <a:close/>
                                <a:moveTo>
                                  <a:pt x="6810" y="2025"/>
                                </a:moveTo>
                                <a:lnTo>
                                  <a:pt x="6195" y="2025"/>
                                </a:lnTo>
                                <a:lnTo>
                                  <a:pt x="6195" y="2040"/>
                                </a:lnTo>
                                <a:lnTo>
                                  <a:pt x="6810" y="2040"/>
                                </a:lnTo>
                                <a:lnTo>
                                  <a:pt x="6810" y="2025"/>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664222985" name="AutoShape 376"/>
                        <wps:cNvSpPr/>
                        <wps:spPr bwMode="auto">
                          <a:xfrm>
                            <a:off x="2384" y="10565"/>
                            <a:ext cx="4245" cy="54"/>
                          </a:xfrm>
                          <a:custGeom>
                            <a:avLst/>
                            <a:gdLst>
                              <a:gd name="T0" fmla="*/ 1005 w 4245"/>
                              <a:gd name="T1" fmla="*/ 10612 h 54"/>
                              <a:gd name="T2" fmla="*/ 0 w 4245"/>
                              <a:gd name="T3" fmla="*/ 10612 h 54"/>
                              <a:gd name="T4" fmla="*/ 0 w 4245"/>
                              <a:gd name="T5" fmla="*/ 10620 h 54"/>
                              <a:gd name="T6" fmla="*/ 1005 w 4245"/>
                              <a:gd name="T7" fmla="*/ 10620 h 54"/>
                              <a:gd name="T8" fmla="*/ 1005 w 4245"/>
                              <a:gd name="T9" fmla="*/ 10612 h 54"/>
                              <a:gd name="T10" fmla="*/ 2625 w 4245"/>
                              <a:gd name="T11" fmla="*/ 10612 h 54"/>
                              <a:gd name="T12" fmla="*/ 1620 w 4245"/>
                              <a:gd name="T13" fmla="*/ 10612 h 54"/>
                              <a:gd name="T14" fmla="*/ 1620 w 4245"/>
                              <a:gd name="T15" fmla="*/ 10620 h 54"/>
                              <a:gd name="T16" fmla="*/ 2625 w 4245"/>
                              <a:gd name="T17" fmla="*/ 10620 h 54"/>
                              <a:gd name="T18" fmla="*/ 2625 w 4245"/>
                              <a:gd name="T19" fmla="*/ 10612 h 54"/>
                              <a:gd name="T20" fmla="*/ 4245 w 4245"/>
                              <a:gd name="T21" fmla="*/ 10566 h 54"/>
                              <a:gd name="T22" fmla="*/ 3255 w 4245"/>
                              <a:gd name="T23" fmla="*/ 10566 h 54"/>
                              <a:gd name="T24" fmla="*/ 3255 w 4245"/>
                              <a:gd name="T25" fmla="*/ 10620 h 54"/>
                              <a:gd name="T26" fmla="*/ 4245 w 4245"/>
                              <a:gd name="T27" fmla="*/ 10620 h 54"/>
                              <a:gd name="T28" fmla="*/ 4245 w 4245"/>
                              <a:gd name="T29" fmla="*/ 10566 h 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45" h="54">
                                <a:moveTo>
                                  <a:pt x="1005" y="46"/>
                                </a:moveTo>
                                <a:lnTo>
                                  <a:pt x="0" y="46"/>
                                </a:lnTo>
                                <a:lnTo>
                                  <a:pt x="0" y="54"/>
                                </a:lnTo>
                                <a:lnTo>
                                  <a:pt x="1005" y="54"/>
                                </a:lnTo>
                                <a:lnTo>
                                  <a:pt x="1005" y="46"/>
                                </a:lnTo>
                                <a:close/>
                                <a:moveTo>
                                  <a:pt x="2625" y="46"/>
                                </a:moveTo>
                                <a:lnTo>
                                  <a:pt x="1620" y="46"/>
                                </a:lnTo>
                                <a:lnTo>
                                  <a:pt x="1620" y="54"/>
                                </a:lnTo>
                                <a:lnTo>
                                  <a:pt x="2625" y="54"/>
                                </a:lnTo>
                                <a:lnTo>
                                  <a:pt x="2625" y="46"/>
                                </a:lnTo>
                                <a:close/>
                                <a:moveTo>
                                  <a:pt x="4245" y="0"/>
                                </a:moveTo>
                                <a:lnTo>
                                  <a:pt x="3255" y="0"/>
                                </a:lnTo>
                                <a:lnTo>
                                  <a:pt x="3255" y="54"/>
                                </a:lnTo>
                                <a:lnTo>
                                  <a:pt x="4245" y="54"/>
                                </a:lnTo>
                                <a:lnTo>
                                  <a:pt x="4245" y="0"/>
                                </a:lnTo>
                                <a:close/>
                              </a:path>
                            </a:pathLst>
                          </a:custGeom>
                          <a:solidFill>
                            <a:srgbClr val="663AB6"/>
                          </a:solidFill>
                          <a:ln>
                            <a:noFill/>
                          </a:ln>
                          <a:effectLst/>
                        </wps:spPr>
                        <wps:bodyPr rot="0" vert="horz" wrap="square" lIns="91440" tIns="45720" rIns="91440" bIns="45720" anchor="t" anchorCtr="0" upright="1">
                          <a:noAutofit/>
                        </wps:bodyPr>
                      </wps:wsp>
                      <wps:wsp>
                        <wps:cNvPr id="2101801704" name="Rectangle 375"/>
                        <wps:cNvSpPr>
                          <a:spLocks noChangeArrowheads="1"/>
                        </wps:cNvSpPr>
                        <wps:spPr bwMode="auto">
                          <a:xfrm>
                            <a:off x="2070" y="1061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2069559742" name="AutoShape 374"/>
                        <wps:cNvSpPr/>
                        <wps:spPr bwMode="auto">
                          <a:xfrm>
                            <a:off x="2879" y="10385"/>
                            <a:ext cx="3270" cy="227"/>
                          </a:xfrm>
                          <a:custGeom>
                            <a:avLst/>
                            <a:gdLst>
                              <a:gd name="T0" fmla="*/ 15 w 3270"/>
                              <a:gd name="T1" fmla="*/ 10432 h 227"/>
                              <a:gd name="T2" fmla="*/ 0 w 3270"/>
                              <a:gd name="T3" fmla="*/ 10432 h 227"/>
                              <a:gd name="T4" fmla="*/ 0 w 3270"/>
                              <a:gd name="T5" fmla="*/ 10612 h 227"/>
                              <a:gd name="T6" fmla="*/ 15 w 3270"/>
                              <a:gd name="T7" fmla="*/ 10612 h 227"/>
                              <a:gd name="T8" fmla="*/ 15 w 3270"/>
                              <a:gd name="T9" fmla="*/ 10432 h 227"/>
                              <a:gd name="T10" fmla="*/ 1635 w 3270"/>
                              <a:gd name="T11" fmla="*/ 10432 h 227"/>
                              <a:gd name="T12" fmla="*/ 1620 w 3270"/>
                              <a:gd name="T13" fmla="*/ 10432 h 227"/>
                              <a:gd name="T14" fmla="*/ 1620 w 3270"/>
                              <a:gd name="T15" fmla="*/ 10612 h 227"/>
                              <a:gd name="T16" fmla="*/ 1635 w 3270"/>
                              <a:gd name="T17" fmla="*/ 10612 h 227"/>
                              <a:gd name="T18" fmla="*/ 1635 w 3270"/>
                              <a:gd name="T19" fmla="*/ 10432 h 227"/>
                              <a:gd name="T20" fmla="*/ 3270 w 3270"/>
                              <a:gd name="T21" fmla="*/ 10386 h 227"/>
                              <a:gd name="T22" fmla="*/ 3255 w 3270"/>
                              <a:gd name="T23" fmla="*/ 10386 h 227"/>
                              <a:gd name="T24" fmla="*/ 3255 w 3270"/>
                              <a:gd name="T25" fmla="*/ 10566 h 227"/>
                              <a:gd name="T26" fmla="*/ 3270 w 3270"/>
                              <a:gd name="T27" fmla="*/ 10566 h 227"/>
                              <a:gd name="T28" fmla="*/ 3270 w 3270"/>
                              <a:gd name="T29" fmla="*/ 10386 h 2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70" h="227">
                                <a:moveTo>
                                  <a:pt x="15" y="46"/>
                                </a:moveTo>
                                <a:lnTo>
                                  <a:pt x="0" y="46"/>
                                </a:lnTo>
                                <a:lnTo>
                                  <a:pt x="0" y="226"/>
                                </a:lnTo>
                                <a:lnTo>
                                  <a:pt x="15" y="226"/>
                                </a:lnTo>
                                <a:lnTo>
                                  <a:pt x="15" y="46"/>
                                </a:lnTo>
                                <a:close/>
                                <a:moveTo>
                                  <a:pt x="1635" y="46"/>
                                </a:moveTo>
                                <a:lnTo>
                                  <a:pt x="1620" y="46"/>
                                </a:lnTo>
                                <a:lnTo>
                                  <a:pt x="1620" y="226"/>
                                </a:lnTo>
                                <a:lnTo>
                                  <a:pt x="1635" y="226"/>
                                </a:lnTo>
                                <a:lnTo>
                                  <a:pt x="1635" y="46"/>
                                </a:lnTo>
                                <a:close/>
                                <a:moveTo>
                                  <a:pt x="3270" y="0"/>
                                </a:moveTo>
                                <a:lnTo>
                                  <a:pt x="3255" y="0"/>
                                </a:lnTo>
                                <a:lnTo>
                                  <a:pt x="3255" y="180"/>
                                </a:lnTo>
                                <a:lnTo>
                                  <a:pt x="3270" y="180"/>
                                </a:lnTo>
                                <a:lnTo>
                                  <a:pt x="3270" y="0"/>
                                </a:lnTo>
                                <a:close/>
                              </a:path>
                            </a:pathLst>
                          </a:custGeom>
                          <a:solidFill>
                            <a:srgbClr val="999999"/>
                          </a:solidFill>
                          <a:ln>
                            <a:noFill/>
                          </a:ln>
                          <a:effectLst/>
                        </wps:spPr>
                        <wps:bodyPr rot="0" vert="horz" wrap="square" lIns="91440" tIns="45720" rIns="91440" bIns="45720" anchor="t" anchorCtr="0" upright="1">
                          <a:noAutofit/>
                        </wps:bodyPr>
                      </wps:wsp>
                      <wps:wsp>
                        <wps:cNvPr id="1761479545" name="AutoShape 373"/>
                        <wps:cNvSpPr/>
                        <wps:spPr bwMode="auto">
                          <a:xfrm>
                            <a:off x="2622" y="10227"/>
                            <a:ext cx="3847" cy="216"/>
                          </a:xfrm>
                          <a:custGeom>
                            <a:avLst/>
                            <a:gdLst>
                              <a:gd name="T0" fmla="*/ 70 w 3847"/>
                              <a:gd name="T1" fmla="*/ 10286 h 216"/>
                              <a:gd name="T2" fmla="*/ 52 w 3847"/>
                              <a:gd name="T3" fmla="*/ 10407 h 216"/>
                              <a:gd name="T4" fmla="*/ 35 w 3847"/>
                              <a:gd name="T5" fmla="*/ 10394 h 216"/>
                              <a:gd name="T6" fmla="*/ 42 w 3847"/>
                              <a:gd name="T7" fmla="*/ 10289 h 216"/>
                              <a:gd name="T8" fmla="*/ 155 w 3847"/>
                              <a:gd name="T9" fmla="*/ 10370 h 216"/>
                              <a:gd name="T10" fmla="*/ 176 w 3847"/>
                              <a:gd name="T11" fmla="*/ 10316 h 216"/>
                              <a:gd name="T12" fmla="*/ 223 w 3847"/>
                              <a:gd name="T13" fmla="*/ 10288 h 216"/>
                              <a:gd name="T14" fmla="*/ 294 w 3847"/>
                              <a:gd name="T15" fmla="*/ 10329 h 216"/>
                              <a:gd name="T16" fmla="*/ 214 w 3847"/>
                              <a:gd name="T17" fmla="*/ 10373 h 216"/>
                              <a:gd name="T18" fmla="*/ 276 w 3847"/>
                              <a:gd name="T19" fmla="*/ 10368 h 216"/>
                              <a:gd name="T20" fmla="*/ 227 w 3847"/>
                              <a:gd name="T21" fmla="*/ 10327 h 216"/>
                              <a:gd name="T22" fmla="*/ 369 w 3847"/>
                              <a:gd name="T23" fmla="*/ 10319 h 216"/>
                              <a:gd name="T24" fmla="*/ 331 w 3847"/>
                              <a:gd name="T25" fmla="*/ 10290 h 216"/>
                              <a:gd name="T26" fmla="*/ 355 w 3847"/>
                              <a:gd name="T27" fmla="*/ 10307 h 216"/>
                              <a:gd name="T28" fmla="*/ 404 w 3847"/>
                              <a:gd name="T29" fmla="*/ 10351 h 216"/>
                              <a:gd name="T30" fmla="*/ 424 w 3847"/>
                              <a:gd name="T31" fmla="*/ 10410 h 216"/>
                              <a:gd name="T32" fmla="*/ 412 w 3847"/>
                              <a:gd name="T33" fmla="*/ 10390 h 216"/>
                              <a:gd name="T34" fmla="*/ 428 w 3847"/>
                              <a:gd name="T35" fmla="*/ 10352 h 216"/>
                              <a:gd name="T36" fmla="*/ 481 w 3847"/>
                              <a:gd name="T37" fmla="*/ 10286 h 216"/>
                              <a:gd name="T38" fmla="*/ 503 w 3847"/>
                              <a:gd name="T39" fmla="*/ 10415 h 216"/>
                              <a:gd name="T40" fmla="*/ 1675 w 3847"/>
                              <a:gd name="T41" fmla="*/ 10277 h 216"/>
                              <a:gd name="T42" fmla="*/ 1692 w 3847"/>
                              <a:gd name="T43" fmla="*/ 10394 h 216"/>
                              <a:gd name="T44" fmla="*/ 1641 w 3847"/>
                              <a:gd name="T45" fmla="*/ 10377 h 216"/>
                              <a:gd name="T46" fmla="*/ 1681 w 3847"/>
                              <a:gd name="T47" fmla="*/ 10299 h 216"/>
                              <a:gd name="T48" fmla="*/ 1783 w 3847"/>
                              <a:gd name="T49" fmla="*/ 10404 h 216"/>
                              <a:gd name="T50" fmla="*/ 1805 w 3847"/>
                              <a:gd name="T51" fmla="*/ 10295 h 216"/>
                              <a:gd name="T52" fmla="*/ 1832 w 3847"/>
                              <a:gd name="T53" fmla="*/ 10314 h 216"/>
                              <a:gd name="T54" fmla="*/ 1910 w 3847"/>
                              <a:gd name="T55" fmla="*/ 10303 h 216"/>
                              <a:gd name="T56" fmla="*/ 1850 w 3847"/>
                              <a:gd name="T57" fmla="*/ 10403 h 216"/>
                              <a:gd name="T58" fmla="*/ 1886 w 3847"/>
                              <a:gd name="T59" fmla="*/ 10391 h 216"/>
                              <a:gd name="T60" fmla="*/ 1855 w 3847"/>
                              <a:gd name="T61" fmla="*/ 10298 h 216"/>
                              <a:gd name="T62" fmla="*/ 1986 w 3847"/>
                              <a:gd name="T63" fmla="*/ 10288 h 216"/>
                              <a:gd name="T64" fmla="*/ 1961 w 3847"/>
                              <a:gd name="T65" fmla="*/ 10285 h 216"/>
                              <a:gd name="T66" fmla="*/ 1971 w 3847"/>
                              <a:gd name="T67" fmla="*/ 10326 h 216"/>
                              <a:gd name="T68" fmla="*/ 2017 w 3847"/>
                              <a:gd name="T69" fmla="*/ 10375 h 216"/>
                              <a:gd name="T70" fmla="*/ 2064 w 3847"/>
                              <a:gd name="T71" fmla="*/ 10401 h 216"/>
                              <a:gd name="T72" fmla="*/ 2031 w 3847"/>
                              <a:gd name="T73" fmla="*/ 10367 h 216"/>
                              <a:gd name="T74" fmla="*/ 2057 w 3847"/>
                              <a:gd name="T75" fmla="*/ 10361 h 216"/>
                              <a:gd name="T76" fmla="*/ 2112 w 3847"/>
                              <a:gd name="T77" fmla="*/ 10308 h 216"/>
                              <a:gd name="T78" fmla="*/ 2134 w 3847"/>
                              <a:gd name="T79" fmla="*/ 10382 h 216"/>
                              <a:gd name="T80" fmla="*/ 3190 w 3847"/>
                              <a:gd name="T81" fmla="*/ 10331 h 216"/>
                              <a:gd name="T82" fmla="*/ 3223 w 3847"/>
                              <a:gd name="T83" fmla="*/ 10242 h 216"/>
                              <a:gd name="T84" fmla="*/ 3245 w 3847"/>
                              <a:gd name="T85" fmla="*/ 10233 h 216"/>
                              <a:gd name="T86" fmla="*/ 3209 w 3847"/>
                              <a:gd name="T87" fmla="*/ 10332 h 216"/>
                              <a:gd name="T88" fmla="*/ 3334 w 3847"/>
                              <a:gd name="T89" fmla="*/ 10302 h 216"/>
                              <a:gd name="T90" fmla="*/ 3351 w 3847"/>
                              <a:gd name="T91" fmla="*/ 10290 h 216"/>
                              <a:gd name="T92" fmla="*/ 3396 w 3847"/>
                              <a:gd name="T93" fmla="*/ 10336 h 216"/>
                              <a:gd name="T94" fmla="*/ 3440 w 3847"/>
                              <a:gd name="T95" fmla="*/ 10242 h 216"/>
                              <a:gd name="T96" fmla="*/ 3445 w 3847"/>
                              <a:gd name="T97" fmla="*/ 10229 h 216"/>
                              <a:gd name="T98" fmla="*/ 3426 w 3847"/>
                              <a:gd name="T99" fmla="*/ 10327 h 216"/>
                              <a:gd name="T100" fmla="*/ 3625 w 3847"/>
                              <a:gd name="T101" fmla="*/ 10244 h 216"/>
                              <a:gd name="T102" fmla="*/ 3565 w 3847"/>
                              <a:gd name="T103" fmla="*/ 10322 h 216"/>
                              <a:gd name="T104" fmla="*/ 3662 w 3847"/>
                              <a:gd name="T105" fmla="*/ 10228 h 216"/>
                              <a:gd name="T106" fmla="*/ 3656 w 3847"/>
                              <a:gd name="T107" fmla="*/ 10293 h 216"/>
                              <a:gd name="T108" fmla="*/ 3664 w 3847"/>
                              <a:gd name="T109" fmla="*/ 10283 h 216"/>
                              <a:gd name="T110" fmla="*/ 3671 w 3847"/>
                              <a:gd name="T111" fmla="*/ 10363 h 216"/>
                              <a:gd name="T112" fmla="*/ 3779 w 3847"/>
                              <a:gd name="T113" fmla="*/ 10310 h 216"/>
                              <a:gd name="T114" fmla="*/ 3754 w 3847"/>
                              <a:gd name="T115" fmla="*/ 10306 h 216"/>
                              <a:gd name="T116" fmla="*/ 3764 w 3847"/>
                              <a:gd name="T117" fmla="*/ 10347 h 216"/>
                              <a:gd name="T118" fmla="*/ 3830 w 3847"/>
                              <a:gd name="T119" fmla="*/ 10312 h 216"/>
                              <a:gd name="T120" fmla="*/ 3843 w 3847"/>
                              <a:gd name="T121" fmla="*/ 10282 h 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47" h="216">
                                <a:moveTo>
                                  <a:pt x="0" y="113"/>
                                </a:moveTo>
                                <a:lnTo>
                                  <a:pt x="0" y="98"/>
                                </a:lnTo>
                                <a:lnTo>
                                  <a:pt x="2" y="86"/>
                                </a:lnTo>
                                <a:lnTo>
                                  <a:pt x="5" y="77"/>
                                </a:lnTo>
                                <a:lnTo>
                                  <a:pt x="8" y="67"/>
                                </a:lnTo>
                                <a:lnTo>
                                  <a:pt x="13" y="60"/>
                                </a:lnTo>
                                <a:lnTo>
                                  <a:pt x="19" y="55"/>
                                </a:lnTo>
                                <a:lnTo>
                                  <a:pt x="25" y="50"/>
                                </a:lnTo>
                                <a:lnTo>
                                  <a:pt x="33" y="47"/>
                                </a:lnTo>
                                <a:lnTo>
                                  <a:pt x="42" y="47"/>
                                </a:lnTo>
                                <a:lnTo>
                                  <a:pt x="49" y="47"/>
                                </a:lnTo>
                                <a:lnTo>
                                  <a:pt x="55" y="49"/>
                                </a:lnTo>
                                <a:lnTo>
                                  <a:pt x="61" y="52"/>
                                </a:lnTo>
                                <a:lnTo>
                                  <a:pt x="66" y="54"/>
                                </a:lnTo>
                                <a:lnTo>
                                  <a:pt x="70" y="58"/>
                                </a:lnTo>
                                <a:lnTo>
                                  <a:pt x="74" y="64"/>
                                </a:lnTo>
                                <a:lnTo>
                                  <a:pt x="77" y="69"/>
                                </a:lnTo>
                                <a:lnTo>
                                  <a:pt x="80" y="75"/>
                                </a:lnTo>
                                <a:lnTo>
                                  <a:pt x="82" y="83"/>
                                </a:lnTo>
                                <a:lnTo>
                                  <a:pt x="83" y="90"/>
                                </a:lnTo>
                                <a:lnTo>
                                  <a:pt x="84" y="101"/>
                                </a:lnTo>
                                <a:lnTo>
                                  <a:pt x="84" y="113"/>
                                </a:lnTo>
                                <a:lnTo>
                                  <a:pt x="84" y="128"/>
                                </a:lnTo>
                                <a:lnTo>
                                  <a:pt x="83" y="141"/>
                                </a:lnTo>
                                <a:lnTo>
                                  <a:pt x="80" y="150"/>
                                </a:lnTo>
                                <a:lnTo>
                                  <a:pt x="77" y="159"/>
                                </a:lnTo>
                                <a:lnTo>
                                  <a:pt x="72" y="166"/>
                                </a:lnTo>
                                <a:lnTo>
                                  <a:pt x="66" y="171"/>
                                </a:lnTo>
                                <a:lnTo>
                                  <a:pt x="60" y="177"/>
                                </a:lnTo>
                                <a:lnTo>
                                  <a:pt x="52" y="179"/>
                                </a:lnTo>
                                <a:lnTo>
                                  <a:pt x="42" y="179"/>
                                </a:lnTo>
                                <a:lnTo>
                                  <a:pt x="30" y="179"/>
                                </a:lnTo>
                                <a:lnTo>
                                  <a:pt x="20" y="175"/>
                                </a:lnTo>
                                <a:lnTo>
                                  <a:pt x="13" y="166"/>
                                </a:lnTo>
                                <a:lnTo>
                                  <a:pt x="8" y="156"/>
                                </a:lnTo>
                                <a:lnTo>
                                  <a:pt x="4" y="145"/>
                                </a:lnTo>
                                <a:lnTo>
                                  <a:pt x="1" y="130"/>
                                </a:lnTo>
                                <a:lnTo>
                                  <a:pt x="0" y="113"/>
                                </a:lnTo>
                                <a:close/>
                                <a:moveTo>
                                  <a:pt x="17" y="113"/>
                                </a:moveTo>
                                <a:lnTo>
                                  <a:pt x="17" y="128"/>
                                </a:lnTo>
                                <a:lnTo>
                                  <a:pt x="19" y="140"/>
                                </a:lnTo>
                                <a:lnTo>
                                  <a:pt x="21" y="149"/>
                                </a:lnTo>
                                <a:lnTo>
                                  <a:pt x="24" y="156"/>
                                </a:lnTo>
                                <a:lnTo>
                                  <a:pt x="29" y="163"/>
                                </a:lnTo>
                                <a:lnTo>
                                  <a:pt x="35" y="166"/>
                                </a:lnTo>
                                <a:lnTo>
                                  <a:pt x="42" y="166"/>
                                </a:lnTo>
                                <a:lnTo>
                                  <a:pt x="50" y="166"/>
                                </a:lnTo>
                                <a:lnTo>
                                  <a:pt x="56" y="163"/>
                                </a:lnTo>
                                <a:lnTo>
                                  <a:pt x="61" y="156"/>
                                </a:lnTo>
                                <a:lnTo>
                                  <a:pt x="64" y="149"/>
                                </a:lnTo>
                                <a:lnTo>
                                  <a:pt x="66" y="140"/>
                                </a:lnTo>
                                <a:lnTo>
                                  <a:pt x="68" y="128"/>
                                </a:lnTo>
                                <a:lnTo>
                                  <a:pt x="68" y="113"/>
                                </a:lnTo>
                                <a:lnTo>
                                  <a:pt x="68" y="99"/>
                                </a:lnTo>
                                <a:lnTo>
                                  <a:pt x="66" y="87"/>
                                </a:lnTo>
                                <a:lnTo>
                                  <a:pt x="64" y="78"/>
                                </a:lnTo>
                                <a:lnTo>
                                  <a:pt x="61" y="71"/>
                                </a:lnTo>
                                <a:lnTo>
                                  <a:pt x="56" y="64"/>
                                </a:lnTo>
                                <a:lnTo>
                                  <a:pt x="50" y="61"/>
                                </a:lnTo>
                                <a:lnTo>
                                  <a:pt x="42" y="61"/>
                                </a:lnTo>
                                <a:lnTo>
                                  <a:pt x="35" y="61"/>
                                </a:lnTo>
                                <a:lnTo>
                                  <a:pt x="29" y="64"/>
                                </a:lnTo>
                                <a:lnTo>
                                  <a:pt x="25" y="70"/>
                                </a:lnTo>
                                <a:lnTo>
                                  <a:pt x="21" y="77"/>
                                </a:lnTo>
                                <a:lnTo>
                                  <a:pt x="19" y="87"/>
                                </a:lnTo>
                                <a:lnTo>
                                  <a:pt x="17" y="99"/>
                                </a:lnTo>
                                <a:lnTo>
                                  <a:pt x="17" y="113"/>
                                </a:lnTo>
                                <a:close/>
                                <a:moveTo>
                                  <a:pt x="185" y="215"/>
                                </a:moveTo>
                                <a:lnTo>
                                  <a:pt x="179" y="206"/>
                                </a:lnTo>
                                <a:lnTo>
                                  <a:pt x="173" y="197"/>
                                </a:lnTo>
                                <a:lnTo>
                                  <a:pt x="168" y="187"/>
                                </a:lnTo>
                                <a:lnTo>
                                  <a:pt x="163" y="176"/>
                                </a:lnTo>
                                <a:lnTo>
                                  <a:pt x="159" y="165"/>
                                </a:lnTo>
                                <a:lnTo>
                                  <a:pt x="156" y="154"/>
                                </a:lnTo>
                                <a:lnTo>
                                  <a:pt x="155" y="142"/>
                                </a:lnTo>
                                <a:lnTo>
                                  <a:pt x="154" y="130"/>
                                </a:lnTo>
                                <a:lnTo>
                                  <a:pt x="154" y="120"/>
                                </a:lnTo>
                                <a:lnTo>
                                  <a:pt x="156" y="110"/>
                                </a:lnTo>
                                <a:lnTo>
                                  <a:pt x="158" y="100"/>
                                </a:lnTo>
                                <a:lnTo>
                                  <a:pt x="161" y="90"/>
                                </a:lnTo>
                                <a:lnTo>
                                  <a:pt x="165" y="79"/>
                                </a:lnTo>
                                <a:lnTo>
                                  <a:pt x="171" y="68"/>
                                </a:lnTo>
                                <a:lnTo>
                                  <a:pt x="177" y="57"/>
                                </a:lnTo>
                                <a:lnTo>
                                  <a:pt x="185" y="46"/>
                                </a:lnTo>
                                <a:lnTo>
                                  <a:pt x="196" y="46"/>
                                </a:lnTo>
                                <a:lnTo>
                                  <a:pt x="189" y="58"/>
                                </a:lnTo>
                                <a:lnTo>
                                  <a:pt x="185" y="67"/>
                                </a:lnTo>
                                <a:lnTo>
                                  <a:pt x="182" y="72"/>
                                </a:lnTo>
                                <a:lnTo>
                                  <a:pt x="179" y="80"/>
                                </a:lnTo>
                                <a:lnTo>
                                  <a:pt x="176" y="88"/>
                                </a:lnTo>
                                <a:lnTo>
                                  <a:pt x="174" y="97"/>
                                </a:lnTo>
                                <a:lnTo>
                                  <a:pt x="171" y="108"/>
                                </a:lnTo>
                                <a:lnTo>
                                  <a:pt x="170" y="119"/>
                                </a:lnTo>
                                <a:lnTo>
                                  <a:pt x="170" y="130"/>
                                </a:lnTo>
                                <a:lnTo>
                                  <a:pt x="172" y="151"/>
                                </a:lnTo>
                                <a:lnTo>
                                  <a:pt x="177" y="173"/>
                                </a:lnTo>
                                <a:lnTo>
                                  <a:pt x="185" y="194"/>
                                </a:lnTo>
                                <a:lnTo>
                                  <a:pt x="196" y="215"/>
                                </a:lnTo>
                                <a:lnTo>
                                  <a:pt x="185" y="215"/>
                                </a:lnTo>
                                <a:close/>
                                <a:moveTo>
                                  <a:pt x="210" y="113"/>
                                </a:moveTo>
                                <a:lnTo>
                                  <a:pt x="210" y="98"/>
                                </a:lnTo>
                                <a:lnTo>
                                  <a:pt x="212" y="86"/>
                                </a:lnTo>
                                <a:lnTo>
                                  <a:pt x="215" y="77"/>
                                </a:lnTo>
                                <a:lnTo>
                                  <a:pt x="218" y="67"/>
                                </a:lnTo>
                                <a:lnTo>
                                  <a:pt x="223" y="60"/>
                                </a:lnTo>
                                <a:lnTo>
                                  <a:pt x="229" y="55"/>
                                </a:lnTo>
                                <a:lnTo>
                                  <a:pt x="235" y="50"/>
                                </a:lnTo>
                                <a:lnTo>
                                  <a:pt x="243" y="47"/>
                                </a:lnTo>
                                <a:lnTo>
                                  <a:pt x="252" y="47"/>
                                </a:lnTo>
                                <a:lnTo>
                                  <a:pt x="259" y="47"/>
                                </a:lnTo>
                                <a:lnTo>
                                  <a:pt x="265" y="49"/>
                                </a:lnTo>
                                <a:lnTo>
                                  <a:pt x="271" y="52"/>
                                </a:lnTo>
                                <a:lnTo>
                                  <a:pt x="276" y="54"/>
                                </a:lnTo>
                                <a:lnTo>
                                  <a:pt x="280" y="58"/>
                                </a:lnTo>
                                <a:lnTo>
                                  <a:pt x="284" y="64"/>
                                </a:lnTo>
                                <a:lnTo>
                                  <a:pt x="287" y="69"/>
                                </a:lnTo>
                                <a:lnTo>
                                  <a:pt x="290" y="75"/>
                                </a:lnTo>
                                <a:lnTo>
                                  <a:pt x="292" y="83"/>
                                </a:lnTo>
                                <a:lnTo>
                                  <a:pt x="294" y="90"/>
                                </a:lnTo>
                                <a:lnTo>
                                  <a:pt x="294" y="101"/>
                                </a:lnTo>
                                <a:lnTo>
                                  <a:pt x="294" y="113"/>
                                </a:lnTo>
                                <a:lnTo>
                                  <a:pt x="294" y="128"/>
                                </a:lnTo>
                                <a:lnTo>
                                  <a:pt x="293" y="141"/>
                                </a:lnTo>
                                <a:lnTo>
                                  <a:pt x="290" y="150"/>
                                </a:lnTo>
                                <a:lnTo>
                                  <a:pt x="287" y="159"/>
                                </a:lnTo>
                                <a:lnTo>
                                  <a:pt x="282" y="166"/>
                                </a:lnTo>
                                <a:lnTo>
                                  <a:pt x="276" y="171"/>
                                </a:lnTo>
                                <a:lnTo>
                                  <a:pt x="270" y="177"/>
                                </a:lnTo>
                                <a:lnTo>
                                  <a:pt x="262" y="179"/>
                                </a:lnTo>
                                <a:lnTo>
                                  <a:pt x="252" y="179"/>
                                </a:lnTo>
                                <a:lnTo>
                                  <a:pt x="240" y="179"/>
                                </a:lnTo>
                                <a:lnTo>
                                  <a:pt x="230" y="175"/>
                                </a:lnTo>
                                <a:lnTo>
                                  <a:pt x="223" y="166"/>
                                </a:lnTo>
                                <a:lnTo>
                                  <a:pt x="218" y="156"/>
                                </a:lnTo>
                                <a:lnTo>
                                  <a:pt x="214" y="145"/>
                                </a:lnTo>
                                <a:lnTo>
                                  <a:pt x="211" y="130"/>
                                </a:lnTo>
                                <a:lnTo>
                                  <a:pt x="210" y="113"/>
                                </a:lnTo>
                                <a:close/>
                                <a:moveTo>
                                  <a:pt x="227" y="113"/>
                                </a:moveTo>
                                <a:lnTo>
                                  <a:pt x="227" y="128"/>
                                </a:lnTo>
                                <a:lnTo>
                                  <a:pt x="229" y="140"/>
                                </a:lnTo>
                                <a:lnTo>
                                  <a:pt x="231" y="149"/>
                                </a:lnTo>
                                <a:lnTo>
                                  <a:pt x="234" y="156"/>
                                </a:lnTo>
                                <a:lnTo>
                                  <a:pt x="239" y="163"/>
                                </a:lnTo>
                                <a:lnTo>
                                  <a:pt x="245" y="166"/>
                                </a:lnTo>
                                <a:lnTo>
                                  <a:pt x="252" y="166"/>
                                </a:lnTo>
                                <a:lnTo>
                                  <a:pt x="260" y="166"/>
                                </a:lnTo>
                                <a:lnTo>
                                  <a:pt x="266" y="163"/>
                                </a:lnTo>
                                <a:lnTo>
                                  <a:pt x="271" y="156"/>
                                </a:lnTo>
                                <a:lnTo>
                                  <a:pt x="274" y="149"/>
                                </a:lnTo>
                                <a:lnTo>
                                  <a:pt x="276" y="140"/>
                                </a:lnTo>
                                <a:lnTo>
                                  <a:pt x="278" y="128"/>
                                </a:lnTo>
                                <a:lnTo>
                                  <a:pt x="278" y="113"/>
                                </a:lnTo>
                                <a:lnTo>
                                  <a:pt x="278" y="99"/>
                                </a:lnTo>
                                <a:lnTo>
                                  <a:pt x="276" y="87"/>
                                </a:lnTo>
                                <a:lnTo>
                                  <a:pt x="274" y="78"/>
                                </a:lnTo>
                                <a:lnTo>
                                  <a:pt x="271" y="71"/>
                                </a:lnTo>
                                <a:lnTo>
                                  <a:pt x="266" y="64"/>
                                </a:lnTo>
                                <a:lnTo>
                                  <a:pt x="260" y="61"/>
                                </a:lnTo>
                                <a:lnTo>
                                  <a:pt x="252" y="61"/>
                                </a:lnTo>
                                <a:lnTo>
                                  <a:pt x="245" y="61"/>
                                </a:lnTo>
                                <a:lnTo>
                                  <a:pt x="239" y="64"/>
                                </a:lnTo>
                                <a:lnTo>
                                  <a:pt x="235" y="70"/>
                                </a:lnTo>
                                <a:lnTo>
                                  <a:pt x="231" y="77"/>
                                </a:lnTo>
                                <a:lnTo>
                                  <a:pt x="229" y="87"/>
                                </a:lnTo>
                                <a:lnTo>
                                  <a:pt x="227" y="99"/>
                                </a:lnTo>
                                <a:lnTo>
                                  <a:pt x="227" y="113"/>
                                </a:lnTo>
                                <a:close/>
                                <a:moveTo>
                                  <a:pt x="314" y="79"/>
                                </a:moveTo>
                                <a:lnTo>
                                  <a:pt x="314" y="70"/>
                                </a:lnTo>
                                <a:lnTo>
                                  <a:pt x="316" y="62"/>
                                </a:lnTo>
                                <a:lnTo>
                                  <a:pt x="320" y="55"/>
                                </a:lnTo>
                                <a:lnTo>
                                  <a:pt x="325" y="49"/>
                                </a:lnTo>
                                <a:lnTo>
                                  <a:pt x="332" y="46"/>
                                </a:lnTo>
                                <a:lnTo>
                                  <a:pt x="341" y="46"/>
                                </a:lnTo>
                                <a:lnTo>
                                  <a:pt x="349" y="46"/>
                                </a:lnTo>
                                <a:lnTo>
                                  <a:pt x="355" y="49"/>
                                </a:lnTo>
                                <a:lnTo>
                                  <a:pt x="361" y="54"/>
                                </a:lnTo>
                                <a:lnTo>
                                  <a:pt x="366" y="60"/>
                                </a:lnTo>
                                <a:lnTo>
                                  <a:pt x="369" y="69"/>
                                </a:lnTo>
                                <a:lnTo>
                                  <a:pt x="369" y="80"/>
                                </a:lnTo>
                                <a:lnTo>
                                  <a:pt x="369" y="91"/>
                                </a:lnTo>
                                <a:lnTo>
                                  <a:pt x="366" y="99"/>
                                </a:lnTo>
                                <a:lnTo>
                                  <a:pt x="361" y="105"/>
                                </a:lnTo>
                                <a:lnTo>
                                  <a:pt x="355" y="111"/>
                                </a:lnTo>
                                <a:lnTo>
                                  <a:pt x="349" y="114"/>
                                </a:lnTo>
                                <a:lnTo>
                                  <a:pt x="341" y="114"/>
                                </a:lnTo>
                                <a:lnTo>
                                  <a:pt x="333" y="114"/>
                                </a:lnTo>
                                <a:lnTo>
                                  <a:pt x="327" y="111"/>
                                </a:lnTo>
                                <a:lnTo>
                                  <a:pt x="321" y="105"/>
                                </a:lnTo>
                                <a:lnTo>
                                  <a:pt x="316" y="99"/>
                                </a:lnTo>
                                <a:lnTo>
                                  <a:pt x="314" y="91"/>
                                </a:lnTo>
                                <a:lnTo>
                                  <a:pt x="314" y="79"/>
                                </a:lnTo>
                                <a:close/>
                                <a:moveTo>
                                  <a:pt x="341" y="57"/>
                                </a:moveTo>
                                <a:lnTo>
                                  <a:pt x="337" y="57"/>
                                </a:lnTo>
                                <a:lnTo>
                                  <a:pt x="334" y="58"/>
                                </a:lnTo>
                                <a:lnTo>
                                  <a:pt x="331" y="62"/>
                                </a:lnTo>
                                <a:lnTo>
                                  <a:pt x="329" y="65"/>
                                </a:lnTo>
                                <a:lnTo>
                                  <a:pt x="327" y="71"/>
                                </a:lnTo>
                                <a:lnTo>
                                  <a:pt x="327" y="81"/>
                                </a:lnTo>
                                <a:lnTo>
                                  <a:pt x="327" y="89"/>
                                </a:lnTo>
                                <a:lnTo>
                                  <a:pt x="329" y="95"/>
                                </a:lnTo>
                                <a:lnTo>
                                  <a:pt x="331" y="98"/>
                                </a:lnTo>
                                <a:lnTo>
                                  <a:pt x="334" y="101"/>
                                </a:lnTo>
                                <a:lnTo>
                                  <a:pt x="337" y="103"/>
                                </a:lnTo>
                                <a:lnTo>
                                  <a:pt x="341" y="103"/>
                                </a:lnTo>
                                <a:lnTo>
                                  <a:pt x="345" y="103"/>
                                </a:lnTo>
                                <a:lnTo>
                                  <a:pt x="348" y="101"/>
                                </a:lnTo>
                                <a:lnTo>
                                  <a:pt x="351" y="98"/>
                                </a:lnTo>
                                <a:lnTo>
                                  <a:pt x="354" y="95"/>
                                </a:lnTo>
                                <a:lnTo>
                                  <a:pt x="355" y="88"/>
                                </a:lnTo>
                                <a:lnTo>
                                  <a:pt x="355" y="79"/>
                                </a:lnTo>
                                <a:lnTo>
                                  <a:pt x="355" y="71"/>
                                </a:lnTo>
                                <a:lnTo>
                                  <a:pt x="354" y="65"/>
                                </a:lnTo>
                                <a:lnTo>
                                  <a:pt x="351" y="62"/>
                                </a:lnTo>
                                <a:lnTo>
                                  <a:pt x="348" y="58"/>
                                </a:lnTo>
                                <a:lnTo>
                                  <a:pt x="345" y="57"/>
                                </a:lnTo>
                                <a:lnTo>
                                  <a:pt x="341" y="57"/>
                                </a:lnTo>
                                <a:close/>
                                <a:moveTo>
                                  <a:pt x="341" y="182"/>
                                </a:moveTo>
                                <a:lnTo>
                                  <a:pt x="412" y="46"/>
                                </a:lnTo>
                                <a:lnTo>
                                  <a:pt x="424" y="46"/>
                                </a:lnTo>
                                <a:lnTo>
                                  <a:pt x="354" y="182"/>
                                </a:lnTo>
                                <a:lnTo>
                                  <a:pt x="341" y="182"/>
                                </a:lnTo>
                                <a:close/>
                                <a:moveTo>
                                  <a:pt x="397" y="147"/>
                                </a:moveTo>
                                <a:lnTo>
                                  <a:pt x="397" y="137"/>
                                </a:lnTo>
                                <a:lnTo>
                                  <a:pt x="399" y="130"/>
                                </a:lnTo>
                                <a:lnTo>
                                  <a:pt x="404" y="123"/>
                                </a:lnTo>
                                <a:lnTo>
                                  <a:pt x="408" y="117"/>
                                </a:lnTo>
                                <a:lnTo>
                                  <a:pt x="415" y="113"/>
                                </a:lnTo>
                                <a:lnTo>
                                  <a:pt x="424" y="113"/>
                                </a:lnTo>
                                <a:lnTo>
                                  <a:pt x="432" y="113"/>
                                </a:lnTo>
                                <a:lnTo>
                                  <a:pt x="439" y="116"/>
                                </a:lnTo>
                                <a:lnTo>
                                  <a:pt x="444" y="122"/>
                                </a:lnTo>
                                <a:lnTo>
                                  <a:pt x="449" y="128"/>
                                </a:lnTo>
                                <a:lnTo>
                                  <a:pt x="452" y="136"/>
                                </a:lnTo>
                                <a:lnTo>
                                  <a:pt x="452" y="148"/>
                                </a:lnTo>
                                <a:lnTo>
                                  <a:pt x="452" y="158"/>
                                </a:lnTo>
                                <a:lnTo>
                                  <a:pt x="449" y="167"/>
                                </a:lnTo>
                                <a:lnTo>
                                  <a:pt x="444" y="173"/>
                                </a:lnTo>
                                <a:lnTo>
                                  <a:pt x="439" y="179"/>
                                </a:lnTo>
                                <a:lnTo>
                                  <a:pt x="432" y="182"/>
                                </a:lnTo>
                                <a:lnTo>
                                  <a:pt x="424" y="182"/>
                                </a:lnTo>
                                <a:lnTo>
                                  <a:pt x="416" y="182"/>
                                </a:lnTo>
                                <a:lnTo>
                                  <a:pt x="410" y="179"/>
                                </a:lnTo>
                                <a:lnTo>
                                  <a:pt x="405" y="173"/>
                                </a:lnTo>
                                <a:lnTo>
                                  <a:pt x="399" y="167"/>
                                </a:lnTo>
                                <a:lnTo>
                                  <a:pt x="397" y="158"/>
                                </a:lnTo>
                                <a:lnTo>
                                  <a:pt x="397" y="147"/>
                                </a:lnTo>
                                <a:close/>
                                <a:moveTo>
                                  <a:pt x="424" y="124"/>
                                </a:moveTo>
                                <a:lnTo>
                                  <a:pt x="420" y="124"/>
                                </a:lnTo>
                                <a:lnTo>
                                  <a:pt x="417" y="126"/>
                                </a:lnTo>
                                <a:lnTo>
                                  <a:pt x="415" y="129"/>
                                </a:lnTo>
                                <a:lnTo>
                                  <a:pt x="412" y="133"/>
                                </a:lnTo>
                                <a:lnTo>
                                  <a:pt x="411" y="139"/>
                                </a:lnTo>
                                <a:lnTo>
                                  <a:pt x="411" y="148"/>
                                </a:lnTo>
                                <a:lnTo>
                                  <a:pt x="411" y="156"/>
                                </a:lnTo>
                                <a:lnTo>
                                  <a:pt x="412" y="162"/>
                                </a:lnTo>
                                <a:lnTo>
                                  <a:pt x="415" y="166"/>
                                </a:lnTo>
                                <a:lnTo>
                                  <a:pt x="417" y="169"/>
                                </a:lnTo>
                                <a:lnTo>
                                  <a:pt x="421" y="171"/>
                                </a:lnTo>
                                <a:lnTo>
                                  <a:pt x="424" y="171"/>
                                </a:lnTo>
                                <a:lnTo>
                                  <a:pt x="428" y="171"/>
                                </a:lnTo>
                                <a:lnTo>
                                  <a:pt x="432" y="169"/>
                                </a:lnTo>
                                <a:lnTo>
                                  <a:pt x="434" y="166"/>
                                </a:lnTo>
                                <a:lnTo>
                                  <a:pt x="437" y="162"/>
                                </a:lnTo>
                                <a:lnTo>
                                  <a:pt x="438" y="156"/>
                                </a:lnTo>
                                <a:lnTo>
                                  <a:pt x="438" y="147"/>
                                </a:lnTo>
                                <a:lnTo>
                                  <a:pt x="438" y="139"/>
                                </a:lnTo>
                                <a:lnTo>
                                  <a:pt x="437" y="133"/>
                                </a:lnTo>
                                <a:lnTo>
                                  <a:pt x="434" y="129"/>
                                </a:lnTo>
                                <a:lnTo>
                                  <a:pt x="432" y="126"/>
                                </a:lnTo>
                                <a:lnTo>
                                  <a:pt x="428" y="124"/>
                                </a:lnTo>
                                <a:lnTo>
                                  <a:pt x="424" y="124"/>
                                </a:lnTo>
                                <a:close/>
                                <a:moveTo>
                                  <a:pt x="485" y="215"/>
                                </a:moveTo>
                                <a:lnTo>
                                  <a:pt x="474" y="215"/>
                                </a:lnTo>
                                <a:lnTo>
                                  <a:pt x="486" y="194"/>
                                </a:lnTo>
                                <a:lnTo>
                                  <a:pt x="494" y="173"/>
                                </a:lnTo>
                                <a:lnTo>
                                  <a:pt x="499" y="151"/>
                                </a:lnTo>
                                <a:lnTo>
                                  <a:pt x="500" y="130"/>
                                </a:lnTo>
                                <a:lnTo>
                                  <a:pt x="500" y="119"/>
                                </a:lnTo>
                                <a:lnTo>
                                  <a:pt x="499" y="108"/>
                                </a:lnTo>
                                <a:lnTo>
                                  <a:pt x="497" y="97"/>
                                </a:lnTo>
                                <a:lnTo>
                                  <a:pt x="495" y="89"/>
                                </a:lnTo>
                                <a:lnTo>
                                  <a:pt x="492" y="80"/>
                                </a:lnTo>
                                <a:lnTo>
                                  <a:pt x="488" y="72"/>
                                </a:lnTo>
                                <a:lnTo>
                                  <a:pt x="486" y="67"/>
                                </a:lnTo>
                                <a:lnTo>
                                  <a:pt x="481" y="58"/>
                                </a:lnTo>
                                <a:lnTo>
                                  <a:pt x="474" y="46"/>
                                </a:lnTo>
                                <a:lnTo>
                                  <a:pt x="485" y="46"/>
                                </a:lnTo>
                                <a:lnTo>
                                  <a:pt x="493" y="57"/>
                                </a:lnTo>
                                <a:lnTo>
                                  <a:pt x="500" y="68"/>
                                </a:lnTo>
                                <a:lnTo>
                                  <a:pt x="505" y="79"/>
                                </a:lnTo>
                                <a:lnTo>
                                  <a:pt x="510" y="90"/>
                                </a:lnTo>
                                <a:lnTo>
                                  <a:pt x="513" y="100"/>
                                </a:lnTo>
                                <a:lnTo>
                                  <a:pt x="515" y="110"/>
                                </a:lnTo>
                                <a:lnTo>
                                  <a:pt x="516" y="120"/>
                                </a:lnTo>
                                <a:lnTo>
                                  <a:pt x="517" y="130"/>
                                </a:lnTo>
                                <a:lnTo>
                                  <a:pt x="516" y="142"/>
                                </a:lnTo>
                                <a:lnTo>
                                  <a:pt x="514" y="154"/>
                                </a:lnTo>
                                <a:lnTo>
                                  <a:pt x="511" y="165"/>
                                </a:lnTo>
                                <a:lnTo>
                                  <a:pt x="507" y="176"/>
                                </a:lnTo>
                                <a:lnTo>
                                  <a:pt x="503" y="187"/>
                                </a:lnTo>
                                <a:lnTo>
                                  <a:pt x="497" y="197"/>
                                </a:lnTo>
                                <a:lnTo>
                                  <a:pt x="492" y="206"/>
                                </a:lnTo>
                                <a:lnTo>
                                  <a:pt x="485" y="215"/>
                                </a:lnTo>
                                <a:close/>
                                <a:moveTo>
                                  <a:pt x="1620" y="113"/>
                                </a:moveTo>
                                <a:lnTo>
                                  <a:pt x="1620" y="98"/>
                                </a:lnTo>
                                <a:lnTo>
                                  <a:pt x="1622" y="86"/>
                                </a:lnTo>
                                <a:lnTo>
                                  <a:pt x="1625" y="77"/>
                                </a:lnTo>
                                <a:lnTo>
                                  <a:pt x="1628" y="67"/>
                                </a:lnTo>
                                <a:lnTo>
                                  <a:pt x="1633" y="60"/>
                                </a:lnTo>
                                <a:lnTo>
                                  <a:pt x="1639" y="55"/>
                                </a:lnTo>
                                <a:lnTo>
                                  <a:pt x="1645" y="50"/>
                                </a:lnTo>
                                <a:lnTo>
                                  <a:pt x="1653" y="47"/>
                                </a:lnTo>
                                <a:lnTo>
                                  <a:pt x="1662" y="47"/>
                                </a:lnTo>
                                <a:lnTo>
                                  <a:pt x="1669" y="47"/>
                                </a:lnTo>
                                <a:lnTo>
                                  <a:pt x="1675" y="49"/>
                                </a:lnTo>
                                <a:lnTo>
                                  <a:pt x="1681" y="52"/>
                                </a:lnTo>
                                <a:lnTo>
                                  <a:pt x="1686" y="54"/>
                                </a:lnTo>
                                <a:lnTo>
                                  <a:pt x="1690" y="58"/>
                                </a:lnTo>
                                <a:lnTo>
                                  <a:pt x="1694" y="64"/>
                                </a:lnTo>
                                <a:lnTo>
                                  <a:pt x="1697" y="69"/>
                                </a:lnTo>
                                <a:lnTo>
                                  <a:pt x="1700" y="75"/>
                                </a:lnTo>
                                <a:lnTo>
                                  <a:pt x="1702" y="83"/>
                                </a:lnTo>
                                <a:lnTo>
                                  <a:pt x="1703" y="90"/>
                                </a:lnTo>
                                <a:lnTo>
                                  <a:pt x="1704" y="101"/>
                                </a:lnTo>
                                <a:lnTo>
                                  <a:pt x="1704" y="113"/>
                                </a:lnTo>
                                <a:lnTo>
                                  <a:pt x="1704" y="128"/>
                                </a:lnTo>
                                <a:lnTo>
                                  <a:pt x="1703" y="141"/>
                                </a:lnTo>
                                <a:lnTo>
                                  <a:pt x="1700" y="150"/>
                                </a:lnTo>
                                <a:lnTo>
                                  <a:pt x="1697" y="159"/>
                                </a:lnTo>
                                <a:lnTo>
                                  <a:pt x="1692" y="166"/>
                                </a:lnTo>
                                <a:lnTo>
                                  <a:pt x="1686" y="171"/>
                                </a:lnTo>
                                <a:lnTo>
                                  <a:pt x="1680" y="177"/>
                                </a:lnTo>
                                <a:lnTo>
                                  <a:pt x="1672" y="179"/>
                                </a:lnTo>
                                <a:lnTo>
                                  <a:pt x="1662" y="179"/>
                                </a:lnTo>
                                <a:lnTo>
                                  <a:pt x="1650" y="179"/>
                                </a:lnTo>
                                <a:lnTo>
                                  <a:pt x="1640" y="175"/>
                                </a:lnTo>
                                <a:lnTo>
                                  <a:pt x="1633" y="166"/>
                                </a:lnTo>
                                <a:lnTo>
                                  <a:pt x="1628" y="156"/>
                                </a:lnTo>
                                <a:lnTo>
                                  <a:pt x="1624" y="145"/>
                                </a:lnTo>
                                <a:lnTo>
                                  <a:pt x="1621" y="130"/>
                                </a:lnTo>
                                <a:lnTo>
                                  <a:pt x="1620" y="113"/>
                                </a:lnTo>
                                <a:close/>
                                <a:moveTo>
                                  <a:pt x="1637" y="113"/>
                                </a:moveTo>
                                <a:lnTo>
                                  <a:pt x="1637" y="128"/>
                                </a:lnTo>
                                <a:lnTo>
                                  <a:pt x="1639" y="140"/>
                                </a:lnTo>
                                <a:lnTo>
                                  <a:pt x="1641" y="149"/>
                                </a:lnTo>
                                <a:lnTo>
                                  <a:pt x="1644" y="156"/>
                                </a:lnTo>
                                <a:lnTo>
                                  <a:pt x="1649" y="163"/>
                                </a:lnTo>
                                <a:lnTo>
                                  <a:pt x="1655" y="166"/>
                                </a:lnTo>
                                <a:lnTo>
                                  <a:pt x="1662" y="166"/>
                                </a:lnTo>
                                <a:lnTo>
                                  <a:pt x="1670" y="166"/>
                                </a:lnTo>
                                <a:lnTo>
                                  <a:pt x="1676" y="163"/>
                                </a:lnTo>
                                <a:lnTo>
                                  <a:pt x="1681" y="156"/>
                                </a:lnTo>
                                <a:lnTo>
                                  <a:pt x="1684" y="149"/>
                                </a:lnTo>
                                <a:lnTo>
                                  <a:pt x="1686" y="140"/>
                                </a:lnTo>
                                <a:lnTo>
                                  <a:pt x="1688" y="128"/>
                                </a:lnTo>
                                <a:lnTo>
                                  <a:pt x="1688" y="113"/>
                                </a:lnTo>
                                <a:lnTo>
                                  <a:pt x="1688" y="99"/>
                                </a:lnTo>
                                <a:lnTo>
                                  <a:pt x="1686" y="87"/>
                                </a:lnTo>
                                <a:lnTo>
                                  <a:pt x="1684" y="78"/>
                                </a:lnTo>
                                <a:lnTo>
                                  <a:pt x="1681" y="71"/>
                                </a:lnTo>
                                <a:lnTo>
                                  <a:pt x="1676" y="64"/>
                                </a:lnTo>
                                <a:lnTo>
                                  <a:pt x="1670" y="61"/>
                                </a:lnTo>
                                <a:lnTo>
                                  <a:pt x="1662" y="61"/>
                                </a:lnTo>
                                <a:lnTo>
                                  <a:pt x="1655" y="61"/>
                                </a:lnTo>
                                <a:lnTo>
                                  <a:pt x="1649" y="64"/>
                                </a:lnTo>
                                <a:lnTo>
                                  <a:pt x="1645" y="70"/>
                                </a:lnTo>
                                <a:lnTo>
                                  <a:pt x="1641" y="77"/>
                                </a:lnTo>
                                <a:lnTo>
                                  <a:pt x="1639" y="87"/>
                                </a:lnTo>
                                <a:lnTo>
                                  <a:pt x="1637" y="99"/>
                                </a:lnTo>
                                <a:lnTo>
                                  <a:pt x="1637" y="113"/>
                                </a:lnTo>
                                <a:close/>
                                <a:moveTo>
                                  <a:pt x="1805" y="215"/>
                                </a:moveTo>
                                <a:lnTo>
                                  <a:pt x="1799" y="206"/>
                                </a:lnTo>
                                <a:lnTo>
                                  <a:pt x="1793" y="197"/>
                                </a:lnTo>
                                <a:lnTo>
                                  <a:pt x="1788" y="187"/>
                                </a:lnTo>
                                <a:lnTo>
                                  <a:pt x="1783" y="176"/>
                                </a:lnTo>
                                <a:lnTo>
                                  <a:pt x="1779" y="165"/>
                                </a:lnTo>
                                <a:lnTo>
                                  <a:pt x="1776" y="154"/>
                                </a:lnTo>
                                <a:lnTo>
                                  <a:pt x="1775" y="142"/>
                                </a:lnTo>
                                <a:lnTo>
                                  <a:pt x="1774" y="130"/>
                                </a:lnTo>
                                <a:lnTo>
                                  <a:pt x="1774" y="120"/>
                                </a:lnTo>
                                <a:lnTo>
                                  <a:pt x="1776" y="110"/>
                                </a:lnTo>
                                <a:lnTo>
                                  <a:pt x="1778" y="100"/>
                                </a:lnTo>
                                <a:lnTo>
                                  <a:pt x="1781" y="90"/>
                                </a:lnTo>
                                <a:lnTo>
                                  <a:pt x="1785" y="79"/>
                                </a:lnTo>
                                <a:lnTo>
                                  <a:pt x="1791" y="68"/>
                                </a:lnTo>
                                <a:lnTo>
                                  <a:pt x="1797" y="57"/>
                                </a:lnTo>
                                <a:lnTo>
                                  <a:pt x="1805" y="46"/>
                                </a:lnTo>
                                <a:lnTo>
                                  <a:pt x="1816" y="46"/>
                                </a:lnTo>
                                <a:lnTo>
                                  <a:pt x="1809" y="58"/>
                                </a:lnTo>
                                <a:lnTo>
                                  <a:pt x="1805" y="67"/>
                                </a:lnTo>
                                <a:lnTo>
                                  <a:pt x="1802" y="72"/>
                                </a:lnTo>
                                <a:lnTo>
                                  <a:pt x="1799" y="80"/>
                                </a:lnTo>
                                <a:lnTo>
                                  <a:pt x="1796" y="88"/>
                                </a:lnTo>
                                <a:lnTo>
                                  <a:pt x="1794" y="97"/>
                                </a:lnTo>
                                <a:lnTo>
                                  <a:pt x="1791" y="108"/>
                                </a:lnTo>
                                <a:lnTo>
                                  <a:pt x="1790" y="119"/>
                                </a:lnTo>
                                <a:lnTo>
                                  <a:pt x="1790" y="130"/>
                                </a:lnTo>
                                <a:lnTo>
                                  <a:pt x="1792" y="151"/>
                                </a:lnTo>
                                <a:lnTo>
                                  <a:pt x="1797" y="173"/>
                                </a:lnTo>
                                <a:lnTo>
                                  <a:pt x="1805" y="194"/>
                                </a:lnTo>
                                <a:lnTo>
                                  <a:pt x="1816" y="215"/>
                                </a:lnTo>
                                <a:lnTo>
                                  <a:pt x="1805" y="215"/>
                                </a:lnTo>
                                <a:close/>
                                <a:moveTo>
                                  <a:pt x="1830" y="113"/>
                                </a:moveTo>
                                <a:lnTo>
                                  <a:pt x="1830" y="98"/>
                                </a:lnTo>
                                <a:lnTo>
                                  <a:pt x="1832" y="86"/>
                                </a:lnTo>
                                <a:lnTo>
                                  <a:pt x="1835" y="77"/>
                                </a:lnTo>
                                <a:lnTo>
                                  <a:pt x="1838" y="67"/>
                                </a:lnTo>
                                <a:lnTo>
                                  <a:pt x="1843" y="60"/>
                                </a:lnTo>
                                <a:lnTo>
                                  <a:pt x="1849" y="55"/>
                                </a:lnTo>
                                <a:lnTo>
                                  <a:pt x="1855" y="50"/>
                                </a:lnTo>
                                <a:lnTo>
                                  <a:pt x="1863" y="47"/>
                                </a:lnTo>
                                <a:lnTo>
                                  <a:pt x="1872" y="47"/>
                                </a:lnTo>
                                <a:lnTo>
                                  <a:pt x="1879" y="47"/>
                                </a:lnTo>
                                <a:lnTo>
                                  <a:pt x="1885" y="49"/>
                                </a:lnTo>
                                <a:lnTo>
                                  <a:pt x="1891" y="52"/>
                                </a:lnTo>
                                <a:lnTo>
                                  <a:pt x="1896" y="54"/>
                                </a:lnTo>
                                <a:lnTo>
                                  <a:pt x="1900" y="58"/>
                                </a:lnTo>
                                <a:lnTo>
                                  <a:pt x="1904" y="64"/>
                                </a:lnTo>
                                <a:lnTo>
                                  <a:pt x="1907" y="69"/>
                                </a:lnTo>
                                <a:lnTo>
                                  <a:pt x="1910" y="75"/>
                                </a:lnTo>
                                <a:lnTo>
                                  <a:pt x="1912" y="83"/>
                                </a:lnTo>
                                <a:lnTo>
                                  <a:pt x="1914" y="90"/>
                                </a:lnTo>
                                <a:lnTo>
                                  <a:pt x="1914" y="101"/>
                                </a:lnTo>
                                <a:lnTo>
                                  <a:pt x="1914" y="113"/>
                                </a:lnTo>
                                <a:lnTo>
                                  <a:pt x="1914" y="128"/>
                                </a:lnTo>
                                <a:lnTo>
                                  <a:pt x="1913" y="141"/>
                                </a:lnTo>
                                <a:lnTo>
                                  <a:pt x="1910" y="150"/>
                                </a:lnTo>
                                <a:lnTo>
                                  <a:pt x="1907" y="159"/>
                                </a:lnTo>
                                <a:lnTo>
                                  <a:pt x="1902" y="166"/>
                                </a:lnTo>
                                <a:lnTo>
                                  <a:pt x="1896" y="171"/>
                                </a:lnTo>
                                <a:lnTo>
                                  <a:pt x="1890" y="177"/>
                                </a:lnTo>
                                <a:lnTo>
                                  <a:pt x="1882" y="179"/>
                                </a:lnTo>
                                <a:lnTo>
                                  <a:pt x="1872" y="179"/>
                                </a:lnTo>
                                <a:lnTo>
                                  <a:pt x="1860" y="179"/>
                                </a:lnTo>
                                <a:lnTo>
                                  <a:pt x="1850" y="175"/>
                                </a:lnTo>
                                <a:lnTo>
                                  <a:pt x="1843" y="166"/>
                                </a:lnTo>
                                <a:lnTo>
                                  <a:pt x="1838" y="156"/>
                                </a:lnTo>
                                <a:lnTo>
                                  <a:pt x="1834" y="145"/>
                                </a:lnTo>
                                <a:lnTo>
                                  <a:pt x="1831" y="130"/>
                                </a:lnTo>
                                <a:lnTo>
                                  <a:pt x="1830" y="113"/>
                                </a:lnTo>
                                <a:close/>
                                <a:moveTo>
                                  <a:pt x="1847" y="113"/>
                                </a:moveTo>
                                <a:lnTo>
                                  <a:pt x="1847" y="128"/>
                                </a:lnTo>
                                <a:lnTo>
                                  <a:pt x="1849" y="140"/>
                                </a:lnTo>
                                <a:lnTo>
                                  <a:pt x="1851" y="149"/>
                                </a:lnTo>
                                <a:lnTo>
                                  <a:pt x="1854" y="156"/>
                                </a:lnTo>
                                <a:lnTo>
                                  <a:pt x="1859" y="163"/>
                                </a:lnTo>
                                <a:lnTo>
                                  <a:pt x="1865" y="166"/>
                                </a:lnTo>
                                <a:lnTo>
                                  <a:pt x="1872" y="166"/>
                                </a:lnTo>
                                <a:lnTo>
                                  <a:pt x="1880" y="166"/>
                                </a:lnTo>
                                <a:lnTo>
                                  <a:pt x="1886" y="163"/>
                                </a:lnTo>
                                <a:lnTo>
                                  <a:pt x="1891" y="156"/>
                                </a:lnTo>
                                <a:lnTo>
                                  <a:pt x="1894" y="149"/>
                                </a:lnTo>
                                <a:lnTo>
                                  <a:pt x="1896" y="140"/>
                                </a:lnTo>
                                <a:lnTo>
                                  <a:pt x="1898" y="128"/>
                                </a:lnTo>
                                <a:lnTo>
                                  <a:pt x="1898" y="113"/>
                                </a:lnTo>
                                <a:lnTo>
                                  <a:pt x="1898" y="99"/>
                                </a:lnTo>
                                <a:lnTo>
                                  <a:pt x="1896" y="87"/>
                                </a:lnTo>
                                <a:lnTo>
                                  <a:pt x="1894" y="78"/>
                                </a:lnTo>
                                <a:lnTo>
                                  <a:pt x="1891" y="71"/>
                                </a:lnTo>
                                <a:lnTo>
                                  <a:pt x="1886" y="64"/>
                                </a:lnTo>
                                <a:lnTo>
                                  <a:pt x="1880" y="61"/>
                                </a:lnTo>
                                <a:lnTo>
                                  <a:pt x="1872" y="61"/>
                                </a:lnTo>
                                <a:lnTo>
                                  <a:pt x="1865" y="61"/>
                                </a:lnTo>
                                <a:lnTo>
                                  <a:pt x="1859" y="64"/>
                                </a:lnTo>
                                <a:lnTo>
                                  <a:pt x="1855" y="70"/>
                                </a:lnTo>
                                <a:lnTo>
                                  <a:pt x="1851" y="77"/>
                                </a:lnTo>
                                <a:lnTo>
                                  <a:pt x="1849" y="87"/>
                                </a:lnTo>
                                <a:lnTo>
                                  <a:pt x="1847" y="99"/>
                                </a:lnTo>
                                <a:lnTo>
                                  <a:pt x="1847" y="113"/>
                                </a:lnTo>
                                <a:close/>
                                <a:moveTo>
                                  <a:pt x="1934" y="79"/>
                                </a:moveTo>
                                <a:lnTo>
                                  <a:pt x="1934" y="70"/>
                                </a:lnTo>
                                <a:lnTo>
                                  <a:pt x="1936" y="62"/>
                                </a:lnTo>
                                <a:lnTo>
                                  <a:pt x="1940" y="55"/>
                                </a:lnTo>
                                <a:lnTo>
                                  <a:pt x="1945" y="49"/>
                                </a:lnTo>
                                <a:lnTo>
                                  <a:pt x="1952" y="46"/>
                                </a:lnTo>
                                <a:lnTo>
                                  <a:pt x="1961" y="46"/>
                                </a:lnTo>
                                <a:lnTo>
                                  <a:pt x="1969" y="46"/>
                                </a:lnTo>
                                <a:lnTo>
                                  <a:pt x="1975" y="49"/>
                                </a:lnTo>
                                <a:lnTo>
                                  <a:pt x="1981" y="54"/>
                                </a:lnTo>
                                <a:lnTo>
                                  <a:pt x="1986" y="60"/>
                                </a:lnTo>
                                <a:lnTo>
                                  <a:pt x="1989" y="69"/>
                                </a:lnTo>
                                <a:lnTo>
                                  <a:pt x="1989" y="80"/>
                                </a:lnTo>
                                <a:lnTo>
                                  <a:pt x="1989" y="91"/>
                                </a:lnTo>
                                <a:lnTo>
                                  <a:pt x="1986" y="99"/>
                                </a:lnTo>
                                <a:lnTo>
                                  <a:pt x="1981" y="105"/>
                                </a:lnTo>
                                <a:lnTo>
                                  <a:pt x="1975" y="111"/>
                                </a:lnTo>
                                <a:lnTo>
                                  <a:pt x="1969" y="114"/>
                                </a:lnTo>
                                <a:lnTo>
                                  <a:pt x="1961" y="114"/>
                                </a:lnTo>
                                <a:lnTo>
                                  <a:pt x="1953" y="114"/>
                                </a:lnTo>
                                <a:lnTo>
                                  <a:pt x="1947" y="111"/>
                                </a:lnTo>
                                <a:lnTo>
                                  <a:pt x="1941" y="105"/>
                                </a:lnTo>
                                <a:lnTo>
                                  <a:pt x="1936" y="99"/>
                                </a:lnTo>
                                <a:lnTo>
                                  <a:pt x="1934" y="91"/>
                                </a:lnTo>
                                <a:lnTo>
                                  <a:pt x="1934" y="79"/>
                                </a:lnTo>
                                <a:close/>
                                <a:moveTo>
                                  <a:pt x="1961" y="57"/>
                                </a:moveTo>
                                <a:lnTo>
                                  <a:pt x="1957" y="57"/>
                                </a:lnTo>
                                <a:lnTo>
                                  <a:pt x="1954" y="58"/>
                                </a:lnTo>
                                <a:lnTo>
                                  <a:pt x="1951" y="62"/>
                                </a:lnTo>
                                <a:lnTo>
                                  <a:pt x="1949" y="65"/>
                                </a:lnTo>
                                <a:lnTo>
                                  <a:pt x="1947" y="71"/>
                                </a:lnTo>
                                <a:lnTo>
                                  <a:pt x="1947" y="81"/>
                                </a:lnTo>
                                <a:lnTo>
                                  <a:pt x="1947" y="89"/>
                                </a:lnTo>
                                <a:lnTo>
                                  <a:pt x="1949" y="95"/>
                                </a:lnTo>
                                <a:lnTo>
                                  <a:pt x="1951" y="98"/>
                                </a:lnTo>
                                <a:lnTo>
                                  <a:pt x="1954" y="101"/>
                                </a:lnTo>
                                <a:lnTo>
                                  <a:pt x="1957" y="103"/>
                                </a:lnTo>
                                <a:lnTo>
                                  <a:pt x="1961" y="103"/>
                                </a:lnTo>
                                <a:lnTo>
                                  <a:pt x="1965" y="103"/>
                                </a:lnTo>
                                <a:lnTo>
                                  <a:pt x="1968" y="101"/>
                                </a:lnTo>
                                <a:lnTo>
                                  <a:pt x="1971" y="98"/>
                                </a:lnTo>
                                <a:lnTo>
                                  <a:pt x="1974" y="95"/>
                                </a:lnTo>
                                <a:lnTo>
                                  <a:pt x="1975" y="88"/>
                                </a:lnTo>
                                <a:lnTo>
                                  <a:pt x="1975" y="79"/>
                                </a:lnTo>
                                <a:lnTo>
                                  <a:pt x="1975" y="71"/>
                                </a:lnTo>
                                <a:lnTo>
                                  <a:pt x="1974" y="65"/>
                                </a:lnTo>
                                <a:lnTo>
                                  <a:pt x="1971" y="62"/>
                                </a:lnTo>
                                <a:lnTo>
                                  <a:pt x="1968" y="58"/>
                                </a:lnTo>
                                <a:lnTo>
                                  <a:pt x="1965" y="57"/>
                                </a:lnTo>
                                <a:lnTo>
                                  <a:pt x="1961" y="57"/>
                                </a:lnTo>
                                <a:close/>
                                <a:moveTo>
                                  <a:pt x="1961" y="182"/>
                                </a:moveTo>
                                <a:lnTo>
                                  <a:pt x="2032" y="46"/>
                                </a:lnTo>
                                <a:lnTo>
                                  <a:pt x="2044" y="46"/>
                                </a:lnTo>
                                <a:lnTo>
                                  <a:pt x="1974" y="182"/>
                                </a:lnTo>
                                <a:lnTo>
                                  <a:pt x="1961" y="182"/>
                                </a:lnTo>
                                <a:close/>
                                <a:moveTo>
                                  <a:pt x="2017" y="147"/>
                                </a:moveTo>
                                <a:lnTo>
                                  <a:pt x="2017" y="137"/>
                                </a:lnTo>
                                <a:lnTo>
                                  <a:pt x="2019" y="130"/>
                                </a:lnTo>
                                <a:lnTo>
                                  <a:pt x="2024" y="123"/>
                                </a:lnTo>
                                <a:lnTo>
                                  <a:pt x="2028" y="117"/>
                                </a:lnTo>
                                <a:lnTo>
                                  <a:pt x="2035" y="113"/>
                                </a:lnTo>
                                <a:lnTo>
                                  <a:pt x="2044" y="113"/>
                                </a:lnTo>
                                <a:lnTo>
                                  <a:pt x="2052" y="113"/>
                                </a:lnTo>
                                <a:lnTo>
                                  <a:pt x="2059" y="116"/>
                                </a:lnTo>
                                <a:lnTo>
                                  <a:pt x="2064" y="122"/>
                                </a:lnTo>
                                <a:lnTo>
                                  <a:pt x="2069" y="128"/>
                                </a:lnTo>
                                <a:lnTo>
                                  <a:pt x="2072" y="136"/>
                                </a:lnTo>
                                <a:lnTo>
                                  <a:pt x="2072" y="148"/>
                                </a:lnTo>
                                <a:lnTo>
                                  <a:pt x="2072" y="158"/>
                                </a:lnTo>
                                <a:lnTo>
                                  <a:pt x="2069" y="167"/>
                                </a:lnTo>
                                <a:lnTo>
                                  <a:pt x="2064" y="173"/>
                                </a:lnTo>
                                <a:lnTo>
                                  <a:pt x="2059" y="179"/>
                                </a:lnTo>
                                <a:lnTo>
                                  <a:pt x="2052" y="182"/>
                                </a:lnTo>
                                <a:lnTo>
                                  <a:pt x="2044" y="182"/>
                                </a:lnTo>
                                <a:lnTo>
                                  <a:pt x="2036" y="182"/>
                                </a:lnTo>
                                <a:lnTo>
                                  <a:pt x="2030" y="179"/>
                                </a:lnTo>
                                <a:lnTo>
                                  <a:pt x="2025" y="173"/>
                                </a:lnTo>
                                <a:lnTo>
                                  <a:pt x="2019" y="167"/>
                                </a:lnTo>
                                <a:lnTo>
                                  <a:pt x="2017" y="158"/>
                                </a:lnTo>
                                <a:lnTo>
                                  <a:pt x="2017" y="147"/>
                                </a:lnTo>
                                <a:close/>
                                <a:moveTo>
                                  <a:pt x="2044" y="124"/>
                                </a:moveTo>
                                <a:lnTo>
                                  <a:pt x="2040" y="124"/>
                                </a:lnTo>
                                <a:lnTo>
                                  <a:pt x="2037" y="126"/>
                                </a:lnTo>
                                <a:lnTo>
                                  <a:pt x="2035" y="129"/>
                                </a:lnTo>
                                <a:lnTo>
                                  <a:pt x="2032" y="133"/>
                                </a:lnTo>
                                <a:lnTo>
                                  <a:pt x="2031" y="139"/>
                                </a:lnTo>
                                <a:lnTo>
                                  <a:pt x="2031" y="148"/>
                                </a:lnTo>
                                <a:lnTo>
                                  <a:pt x="2031" y="156"/>
                                </a:lnTo>
                                <a:lnTo>
                                  <a:pt x="2032" y="162"/>
                                </a:lnTo>
                                <a:lnTo>
                                  <a:pt x="2035" y="166"/>
                                </a:lnTo>
                                <a:lnTo>
                                  <a:pt x="2037" y="169"/>
                                </a:lnTo>
                                <a:lnTo>
                                  <a:pt x="2041" y="171"/>
                                </a:lnTo>
                                <a:lnTo>
                                  <a:pt x="2044" y="171"/>
                                </a:lnTo>
                                <a:lnTo>
                                  <a:pt x="2048" y="171"/>
                                </a:lnTo>
                                <a:lnTo>
                                  <a:pt x="2052" y="169"/>
                                </a:lnTo>
                                <a:lnTo>
                                  <a:pt x="2054" y="166"/>
                                </a:lnTo>
                                <a:lnTo>
                                  <a:pt x="2057" y="162"/>
                                </a:lnTo>
                                <a:lnTo>
                                  <a:pt x="2058" y="156"/>
                                </a:lnTo>
                                <a:lnTo>
                                  <a:pt x="2058" y="147"/>
                                </a:lnTo>
                                <a:lnTo>
                                  <a:pt x="2058" y="139"/>
                                </a:lnTo>
                                <a:lnTo>
                                  <a:pt x="2057" y="133"/>
                                </a:lnTo>
                                <a:lnTo>
                                  <a:pt x="2054" y="129"/>
                                </a:lnTo>
                                <a:lnTo>
                                  <a:pt x="2052" y="126"/>
                                </a:lnTo>
                                <a:lnTo>
                                  <a:pt x="2048" y="124"/>
                                </a:lnTo>
                                <a:lnTo>
                                  <a:pt x="2044" y="124"/>
                                </a:lnTo>
                                <a:close/>
                                <a:moveTo>
                                  <a:pt x="2105" y="215"/>
                                </a:moveTo>
                                <a:lnTo>
                                  <a:pt x="2094" y="215"/>
                                </a:lnTo>
                                <a:lnTo>
                                  <a:pt x="2106" y="194"/>
                                </a:lnTo>
                                <a:lnTo>
                                  <a:pt x="2114" y="173"/>
                                </a:lnTo>
                                <a:lnTo>
                                  <a:pt x="2119" y="151"/>
                                </a:lnTo>
                                <a:lnTo>
                                  <a:pt x="2120" y="130"/>
                                </a:lnTo>
                                <a:lnTo>
                                  <a:pt x="2120" y="119"/>
                                </a:lnTo>
                                <a:lnTo>
                                  <a:pt x="2119" y="108"/>
                                </a:lnTo>
                                <a:lnTo>
                                  <a:pt x="2117" y="97"/>
                                </a:lnTo>
                                <a:lnTo>
                                  <a:pt x="2115" y="89"/>
                                </a:lnTo>
                                <a:lnTo>
                                  <a:pt x="2112" y="80"/>
                                </a:lnTo>
                                <a:lnTo>
                                  <a:pt x="2108" y="72"/>
                                </a:lnTo>
                                <a:lnTo>
                                  <a:pt x="2106" y="67"/>
                                </a:lnTo>
                                <a:lnTo>
                                  <a:pt x="2101" y="58"/>
                                </a:lnTo>
                                <a:lnTo>
                                  <a:pt x="2094" y="46"/>
                                </a:lnTo>
                                <a:lnTo>
                                  <a:pt x="2105" y="46"/>
                                </a:lnTo>
                                <a:lnTo>
                                  <a:pt x="2113" y="57"/>
                                </a:lnTo>
                                <a:lnTo>
                                  <a:pt x="2120" y="68"/>
                                </a:lnTo>
                                <a:lnTo>
                                  <a:pt x="2125" y="79"/>
                                </a:lnTo>
                                <a:lnTo>
                                  <a:pt x="2130" y="90"/>
                                </a:lnTo>
                                <a:lnTo>
                                  <a:pt x="2133" y="100"/>
                                </a:lnTo>
                                <a:lnTo>
                                  <a:pt x="2135" y="110"/>
                                </a:lnTo>
                                <a:lnTo>
                                  <a:pt x="2136" y="120"/>
                                </a:lnTo>
                                <a:lnTo>
                                  <a:pt x="2137" y="130"/>
                                </a:lnTo>
                                <a:lnTo>
                                  <a:pt x="2136" y="142"/>
                                </a:lnTo>
                                <a:lnTo>
                                  <a:pt x="2134" y="154"/>
                                </a:lnTo>
                                <a:lnTo>
                                  <a:pt x="2131" y="165"/>
                                </a:lnTo>
                                <a:lnTo>
                                  <a:pt x="2127" y="176"/>
                                </a:lnTo>
                                <a:lnTo>
                                  <a:pt x="2123" y="187"/>
                                </a:lnTo>
                                <a:lnTo>
                                  <a:pt x="2117" y="197"/>
                                </a:lnTo>
                                <a:lnTo>
                                  <a:pt x="2112" y="206"/>
                                </a:lnTo>
                                <a:lnTo>
                                  <a:pt x="2105" y="215"/>
                                </a:lnTo>
                                <a:close/>
                                <a:moveTo>
                                  <a:pt x="3263" y="115"/>
                                </a:moveTo>
                                <a:lnTo>
                                  <a:pt x="3263" y="131"/>
                                </a:lnTo>
                                <a:lnTo>
                                  <a:pt x="3178" y="131"/>
                                </a:lnTo>
                                <a:lnTo>
                                  <a:pt x="3178" y="127"/>
                                </a:lnTo>
                                <a:lnTo>
                                  <a:pt x="3179" y="123"/>
                                </a:lnTo>
                                <a:lnTo>
                                  <a:pt x="3180" y="120"/>
                                </a:lnTo>
                                <a:lnTo>
                                  <a:pt x="3182" y="114"/>
                                </a:lnTo>
                                <a:lnTo>
                                  <a:pt x="3186" y="108"/>
                                </a:lnTo>
                                <a:lnTo>
                                  <a:pt x="3190" y="103"/>
                                </a:lnTo>
                                <a:lnTo>
                                  <a:pt x="3195" y="97"/>
                                </a:lnTo>
                                <a:lnTo>
                                  <a:pt x="3202" y="90"/>
                                </a:lnTo>
                                <a:lnTo>
                                  <a:pt x="3211" y="83"/>
                                </a:lnTo>
                                <a:lnTo>
                                  <a:pt x="3225" y="72"/>
                                </a:lnTo>
                                <a:lnTo>
                                  <a:pt x="3235" y="62"/>
                                </a:lnTo>
                                <a:lnTo>
                                  <a:pt x="3239" y="56"/>
                                </a:lnTo>
                                <a:lnTo>
                                  <a:pt x="3244" y="49"/>
                                </a:lnTo>
                                <a:lnTo>
                                  <a:pt x="3247" y="43"/>
                                </a:lnTo>
                                <a:lnTo>
                                  <a:pt x="3247" y="37"/>
                                </a:lnTo>
                                <a:lnTo>
                                  <a:pt x="3247" y="30"/>
                                </a:lnTo>
                                <a:lnTo>
                                  <a:pt x="3245" y="25"/>
                                </a:lnTo>
                                <a:lnTo>
                                  <a:pt x="3240" y="21"/>
                                </a:lnTo>
                                <a:lnTo>
                                  <a:pt x="3236" y="17"/>
                                </a:lnTo>
                                <a:lnTo>
                                  <a:pt x="3230" y="14"/>
                                </a:lnTo>
                                <a:lnTo>
                                  <a:pt x="3223" y="14"/>
                                </a:lnTo>
                                <a:lnTo>
                                  <a:pt x="3215" y="14"/>
                                </a:lnTo>
                                <a:lnTo>
                                  <a:pt x="3209" y="17"/>
                                </a:lnTo>
                                <a:lnTo>
                                  <a:pt x="3204" y="21"/>
                                </a:lnTo>
                                <a:lnTo>
                                  <a:pt x="3200" y="26"/>
                                </a:lnTo>
                                <a:lnTo>
                                  <a:pt x="3197" y="32"/>
                                </a:lnTo>
                                <a:lnTo>
                                  <a:pt x="3197" y="40"/>
                                </a:lnTo>
                                <a:lnTo>
                                  <a:pt x="3181" y="39"/>
                                </a:lnTo>
                                <a:lnTo>
                                  <a:pt x="3182" y="26"/>
                                </a:lnTo>
                                <a:lnTo>
                                  <a:pt x="3186" y="17"/>
                                </a:lnTo>
                                <a:lnTo>
                                  <a:pt x="3194" y="11"/>
                                </a:lnTo>
                                <a:lnTo>
                                  <a:pt x="3201" y="4"/>
                                </a:lnTo>
                                <a:lnTo>
                                  <a:pt x="3211" y="1"/>
                                </a:lnTo>
                                <a:lnTo>
                                  <a:pt x="3223" y="1"/>
                                </a:lnTo>
                                <a:lnTo>
                                  <a:pt x="3235" y="1"/>
                                </a:lnTo>
                                <a:lnTo>
                                  <a:pt x="3245" y="5"/>
                                </a:lnTo>
                                <a:lnTo>
                                  <a:pt x="3252" y="12"/>
                                </a:lnTo>
                                <a:lnTo>
                                  <a:pt x="3260" y="18"/>
                                </a:lnTo>
                                <a:lnTo>
                                  <a:pt x="3263" y="27"/>
                                </a:lnTo>
                                <a:lnTo>
                                  <a:pt x="3263" y="37"/>
                                </a:lnTo>
                                <a:lnTo>
                                  <a:pt x="3263" y="42"/>
                                </a:lnTo>
                                <a:lnTo>
                                  <a:pt x="3262" y="47"/>
                                </a:lnTo>
                                <a:lnTo>
                                  <a:pt x="3260" y="52"/>
                                </a:lnTo>
                                <a:lnTo>
                                  <a:pt x="3258" y="57"/>
                                </a:lnTo>
                                <a:lnTo>
                                  <a:pt x="3254" y="63"/>
                                </a:lnTo>
                                <a:lnTo>
                                  <a:pt x="3249" y="68"/>
                                </a:lnTo>
                                <a:lnTo>
                                  <a:pt x="3245" y="74"/>
                                </a:lnTo>
                                <a:lnTo>
                                  <a:pt x="3236" y="81"/>
                                </a:lnTo>
                                <a:lnTo>
                                  <a:pt x="3225" y="91"/>
                                </a:lnTo>
                                <a:lnTo>
                                  <a:pt x="3216" y="99"/>
                                </a:lnTo>
                                <a:lnTo>
                                  <a:pt x="3209" y="104"/>
                                </a:lnTo>
                                <a:lnTo>
                                  <a:pt x="3207" y="107"/>
                                </a:lnTo>
                                <a:lnTo>
                                  <a:pt x="3204" y="110"/>
                                </a:lnTo>
                                <a:lnTo>
                                  <a:pt x="3202" y="113"/>
                                </a:lnTo>
                                <a:lnTo>
                                  <a:pt x="3200" y="115"/>
                                </a:lnTo>
                                <a:lnTo>
                                  <a:pt x="3263" y="115"/>
                                </a:lnTo>
                                <a:close/>
                                <a:moveTo>
                                  <a:pt x="3365" y="169"/>
                                </a:moveTo>
                                <a:lnTo>
                                  <a:pt x="3359" y="160"/>
                                </a:lnTo>
                                <a:lnTo>
                                  <a:pt x="3353" y="151"/>
                                </a:lnTo>
                                <a:lnTo>
                                  <a:pt x="3348" y="141"/>
                                </a:lnTo>
                                <a:lnTo>
                                  <a:pt x="3343" y="130"/>
                                </a:lnTo>
                                <a:lnTo>
                                  <a:pt x="3339" y="119"/>
                                </a:lnTo>
                                <a:lnTo>
                                  <a:pt x="3336" y="107"/>
                                </a:lnTo>
                                <a:lnTo>
                                  <a:pt x="3334" y="96"/>
                                </a:lnTo>
                                <a:lnTo>
                                  <a:pt x="3334" y="84"/>
                                </a:lnTo>
                                <a:lnTo>
                                  <a:pt x="3334" y="74"/>
                                </a:lnTo>
                                <a:lnTo>
                                  <a:pt x="3335" y="64"/>
                                </a:lnTo>
                                <a:lnTo>
                                  <a:pt x="3338" y="54"/>
                                </a:lnTo>
                                <a:lnTo>
                                  <a:pt x="3340" y="44"/>
                                </a:lnTo>
                                <a:lnTo>
                                  <a:pt x="3345" y="33"/>
                                </a:lnTo>
                                <a:lnTo>
                                  <a:pt x="3351" y="22"/>
                                </a:lnTo>
                                <a:lnTo>
                                  <a:pt x="3357" y="11"/>
                                </a:lnTo>
                                <a:lnTo>
                                  <a:pt x="3365" y="0"/>
                                </a:lnTo>
                                <a:lnTo>
                                  <a:pt x="3376" y="0"/>
                                </a:lnTo>
                                <a:lnTo>
                                  <a:pt x="3369" y="12"/>
                                </a:lnTo>
                                <a:lnTo>
                                  <a:pt x="3364" y="21"/>
                                </a:lnTo>
                                <a:lnTo>
                                  <a:pt x="3362" y="26"/>
                                </a:lnTo>
                                <a:lnTo>
                                  <a:pt x="3359" y="34"/>
                                </a:lnTo>
                                <a:lnTo>
                                  <a:pt x="3356" y="42"/>
                                </a:lnTo>
                                <a:lnTo>
                                  <a:pt x="3354" y="51"/>
                                </a:lnTo>
                                <a:lnTo>
                                  <a:pt x="3351" y="62"/>
                                </a:lnTo>
                                <a:lnTo>
                                  <a:pt x="3350" y="73"/>
                                </a:lnTo>
                                <a:lnTo>
                                  <a:pt x="3350" y="84"/>
                                </a:lnTo>
                                <a:lnTo>
                                  <a:pt x="3352" y="105"/>
                                </a:lnTo>
                                <a:lnTo>
                                  <a:pt x="3357" y="126"/>
                                </a:lnTo>
                                <a:lnTo>
                                  <a:pt x="3365" y="147"/>
                                </a:lnTo>
                                <a:lnTo>
                                  <a:pt x="3376" y="169"/>
                                </a:lnTo>
                                <a:lnTo>
                                  <a:pt x="3365" y="169"/>
                                </a:lnTo>
                                <a:close/>
                                <a:moveTo>
                                  <a:pt x="3473" y="115"/>
                                </a:moveTo>
                                <a:lnTo>
                                  <a:pt x="3473" y="131"/>
                                </a:lnTo>
                                <a:lnTo>
                                  <a:pt x="3388" y="131"/>
                                </a:lnTo>
                                <a:lnTo>
                                  <a:pt x="3388" y="127"/>
                                </a:lnTo>
                                <a:lnTo>
                                  <a:pt x="3389" y="123"/>
                                </a:lnTo>
                                <a:lnTo>
                                  <a:pt x="3390" y="120"/>
                                </a:lnTo>
                                <a:lnTo>
                                  <a:pt x="3392" y="114"/>
                                </a:lnTo>
                                <a:lnTo>
                                  <a:pt x="3396" y="108"/>
                                </a:lnTo>
                                <a:lnTo>
                                  <a:pt x="3400" y="103"/>
                                </a:lnTo>
                                <a:lnTo>
                                  <a:pt x="3405" y="97"/>
                                </a:lnTo>
                                <a:lnTo>
                                  <a:pt x="3412" y="90"/>
                                </a:lnTo>
                                <a:lnTo>
                                  <a:pt x="3421" y="83"/>
                                </a:lnTo>
                                <a:lnTo>
                                  <a:pt x="3435" y="72"/>
                                </a:lnTo>
                                <a:lnTo>
                                  <a:pt x="3445" y="62"/>
                                </a:lnTo>
                                <a:lnTo>
                                  <a:pt x="3450" y="56"/>
                                </a:lnTo>
                                <a:lnTo>
                                  <a:pt x="3454" y="49"/>
                                </a:lnTo>
                                <a:lnTo>
                                  <a:pt x="3457" y="43"/>
                                </a:lnTo>
                                <a:lnTo>
                                  <a:pt x="3457" y="37"/>
                                </a:lnTo>
                                <a:lnTo>
                                  <a:pt x="3457" y="30"/>
                                </a:lnTo>
                                <a:lnTo>
                                  <a:pt x="3455" y="25"/>
                                </a:lnTo>
                                <a:lnTo>
                                  <a:pt x="3450" y="21"/>
                                </a:lnTo>
                                <a:lnTo>
                                  <a:pt x="3446" y="17"/>
                                </a:lnTo>
                                <a:lnTo>
                                  <a:pt x="3440" y="14"/>
                                </a:lnTo>
                                <a:lnTo>
                                  <a:pt x="3433" y="14"/>
                                </a:lnTo>
                                <a:lnTo>
                                  <a:pt x="3425" y="14"/>
                                </a:lnTo>
                                <a:lnTo>
                                  <a:pt x="3419" y="17"/>
                                </a:lnTo>
                                <a:lnTo>
                                  <a:pt x="3414" y="21"/>
                                </a:lnTo>
                                <a:lnTo>
                                  <a:pt x="3410" y="26"/>
                                </a:lnTo>
                                <a:lnTo>
                                  <a:pt x="3408" y="32"/>
                                </a:lnTo>
                                <a:lnTo>
                                  <a:pt x="3407" y="40"/>
                                </a:lnTo>
                                <a:lnTo>
                                  <a:pt x="3391" y="39"/>
                                </a:lnTo>
                                <a:lnTo>
                                  <a:pt x="3392" y="26"/>
                                </a:lnTo>
                                <a:lnTo>
                                  <a:pt x="3396" y="17"/>
                                </a:lnTo>
                                <a:lnTo>
                                  <a:pt x="3404" y="11"/>
                                </a:lnTo>
                                <a:lnTo>
                                  <a:pt x="3411" y="4"/>
                                </a:lnTo>
                                <a:lnTo>
                                  <a:pt x="3421" y="1"/>
                                </a:lnTo>
                                <a:lnTo>
                                  <a:pt x="3433" y="1"/>
                                </a:lnTo>
                                <a:lnTo>
                                  <a:pt x="3445" y="1"/>
                                </a:lnTo>
                                <a:lnTo>
                                  <a:pt x="3455" y="5"/>
                                </a:lnTo>
                                <a:lnTo>
                                  <a:pt x="3462" y="12"/>
                                </a:lnTo>
                                <a:lnTo>
                                  <a:pt x="3470" y="18"/>
                                </a:lnTo>
                                <a:lnTo>
                                  <a:pt x="3473" y="27"/>
                                </a:lnTo>
                                <a:lnTo>
                                  <a:pt x="3473" y="37"/>
                                </a:lnTo>
                                <a:lnTo>
                                  <a:pt x="3473" y="42"/>
                                </a:lnTo>
                                <a:lnTo>
                                  <a:pt x="3472" y="47"/>
                                </a:lnTo>
                                <a:lnTo>
                                  <a:pt x="3470" y="52"/>
                                </a:lnTo>
                                <a:lnTo>
                                  <a:pt x="3468" y="57"/>
                                </a:lnTo>
                                <a:lnTo>
                                  <a:pt x="3464" y="63"/>
                                </a:lnTo>
                                <a:lnTo>
                                  <a:pt x="3460" y="68"/>
                                </a:lnTo>
                                <a:lnTo>
                                  <a:pt x="3455" y="74"/>
                                </a:lnTo>
                                <a:lnTo>
                                  <a:pt x="3446" y="81"/>
                                </a:lnTo>
                                <a:lnTo>
                                  <a:pt x="3435" y="91"/>
                                </a:lnTo>
                                <a:lnTo>
                                  <a:pt x="3426" y="99"/>
                                </a:lnTo>
                                <a:lnTo>
                                  <a:pt x="3420" y="104"/>
                                </a:lnTo>
                                <a:lnTo>
                                  <a:pt x="3417" y="107"/>
                                </a:lnTo>
                                <a:lnTo>
                                  <a:pt x="3414" y="110"/>
                                </a:lnTo>
                                <a:lnTo>
                                  <a:pt x="3412" y="113"/>
                                </a:lnTo>
                                <a:lnTo>
                                  <a:pt x="3410" y="115"/>
                                </a:lnTo>
                                <a:lnTo>
                                  <a:pt x="3473" y="115"/>
                                </a:lnTo>
                                <a:close/>
                                <a:moveTo>
                                  <a:pt x="3499" y="131"/>
                                </a:moveTo>
                                <a:lnTo>
                                  <a:pt x="3499" y="113"/>
                                </a:lnTo>
                                <a:lnTo>
                                  <a:pt x="3517" y="113"/>
                                </a:lnTo>
                                <a:lnTo>
                                  <a:pt x="3517" y="131"/>
                                </a:lnTo>
                                <a:lnTo>
                                  <a:pt x="3499" y="131"/>
                                </a:lnTo>
                                <a:close/>
                                <a:moveTo>
                                  <a:pt x="3541" y="19"/>
                                </a:moveTo>
                                <a:lnTo>
                                  <a:pt x="3541" y="4"/>
                                </a:lnTo>
                                <a:lnTo>
                                  <a:pt x="3625" y="4"/>
                                </a:lnTo>
                                <a:lnTo>
                                  <a:pt x="3625" y="16"/>
                                </a:lnTo>
                                <a:lnTo>
                                  <a:pt x="3619" y="23"/>
                                </a:lnTo>
                                <a:lnTo>
                                  <a:pt x="3613" y="31"/>
                                </a:lnTo>
                                <a:lnTo>
                                  <a:pt x="3606" y="40"/>
                                </a:lnTo>
                                <a:lnTo>
                                  <a:pt x="3600" y="51"/>
                                </a:lnTo>
                                <a:lnTo>
                                  <a:pt x="3595" y="62"/>
                                </a:lnTo>
                                <a:lnTo>
                                  <a:pt x="3590" y="73"/>
                                </a:lnTo>
                                <a:lnTo>
                                  <a:pt x="3585" y="84"/>
                                </a:lnTo>
                                <a:lnTo>
                                  <a:pt x="3582" y="95"/>
                                </a:lnTo>
                                <a:lnTo>
                                  <a:pt x="3579" y="106"/>
                                </a:lnTo>
                                <a:lnTo>
                                  <a:pt x="3577" y="118"/>
                                </a:lnTo>
                                <a:lnTo>
                                  <a:pt x="3576" y="131"/>
                                </a:lnTo>
                                <a:lnTo>
                                  <a:pt x="3559" y="131"/>
                                </a:lnTo>
                                <a:lnTo>
                                  <a:pt x="3560" y="121"/>
                                </a:lnTo>
                                <a:lnTo>
                                  <a:pt x="3562" y="108"/>
                                </a:lnTo>
                                <a:lnTo>
                                  <a:pt x="3565" y="94"/>
                                </a:lnTo>
                                <a:lnTo>
                                  <a:pt x="3569" y="83"/>
                                </a:lnTo>
                                <a:lnTo>
                                  <a:pt x="3572" y="73"/>
                                </a:lnTo>
                                <a:lnTo>
                                  <a:pt x="3577" y="63"/>
                                </a:lnTo>
                                <a:lnTo>
                                  <a:pt x="3582" y="52"/>
                                </a:lnTo>
                                <a:lnTo>
                                  <a:pt x="3587" y="43"/>
                                </a:lnTo>
                                <a:lnTo>
                                  <a:pt x="3593" y="34"/>
                                </a:lnTo>
                                <a:lnTo>
                                  <a:pt x="3599" y="26"/>
                                </a:lnTo>
                                <a:lnTo>
                                  <a:pt x="3604" y="19"/>
                                </a:lnTo>
                                <a:lnTo>
                                  <a:pt x="3541" y="19"/>
                                </a:lnTo>
                                <a:close/>
                                <a:moveTo>
                                  <a:pt x="3643" y="33"/>
                                </a:moveTo>
                                <a:lnTo>
                                  <a:pt x="3643" y="24"/>
                                </a:lnTo>
                                <a:lnTo>
                                  <a:pt x="3646" y="16"/>
                                </a:lnTo>
                                <a:lnTo>
                                  <a:pt x="3650" y="9"/>
                                </a:lnTo>
                                <a:lnTo>
                                  <a:pt x="3655" y="3"/>
                                </a:lnTo>
                                <a:lnTo>
                                  <a:pt x="3662" y="0"/>
                                </a:lnTo>
                                <a:lnTo>
                                  <a:pt x="3670" y="0"/>
                                </a:lnTo>
                                <a:lnTo>
                                  <a:pt x="3679" y="0"/>
                                </a:lnTo>
                                <a:lnTo>
                                  <a:pt x="3685" y="3"/>
                                </a:lnTo>
                                <a:lnTo>
                                  <a:pt x="3691" y="8"/>
                                </a:lnTo>
                                <a:lnTo>
                                  <a:pt x="3696" y="14"/>
                                </a:lnTo>
                                <a:lnTo>
                                  <a:pt x="3699" y="23"/>
                                </a:lnTo>
                                <a:lnTo>
                                  <a:pt x="3699" y="34"/>
                                </a:lnTo>
                                <a:lnTo>
                                  <a:pt x="3699" y="45"/>
                                </a:lnTo>
                                <a:lnTo>
                                  <a:pt x="3696" y="53"/>
                                </a:lnTo>
                                <a:lnTo>
                                  <a:pt x="3690" y="59"/>
                                </a:lnTo>
                                <a:lnTo>
                                  <a:pt x="3685" y="65"/>
                                </a:lnTo>
                                <a:lnTo>
                                  <a:pt x="3679" y="68"/>
                                </a:lnTo>
                                <a:lnTo>
                                  <a:pt x="3671" y="68"/>
                                </a:lnTo>
                                <a:lnTo>
                                  <a:pt x="3663" y="68"/>
                                </a:lnTo>
                                <a:lnTo>
                                  <a:pt x="3656" y="65"/>
                                </a:lnTo>
                                <a:lnTo>
                                  <a:pt x="3651" y="59"/>
                                </a:lnTo>
                                <a:lnTo>
                                  <a:pt x="3646" y="53"/>
                                </a:lnTo>
                                <a:lnTo>
                                  <a:pt x="3643" y="44"/>
                                </a:lnTo>
                                <a:lnTo>
                                  <a:pt x="3643" y="33"/>
                                </a:lnTo>
                                <a:close/>
                                <a:moveTo>
                                  <a:pt x="3671" y="11"/>
                                </a:moveTo>
                                <a:lnTo>
                                  <a:pt x="3667" y="11"/>
                                </a:lnTo>
                                <a:lnTo>
                                  <a:pt x="3664" y="12"/>
                                </a:lnTo>
                                <a:lnTo>
                                  <a:pt x="3661" y="16"/>
                                </a:lnTo>
                                <a:lnTo>
                                  <a:pt x="3659" y="19"/>
                                </a:lnTo>
                                <a:lnTo>
                                  <a:pt x="3657" y="25"/>
                                </a:lnTo>
                                <a:lnTo>
                                  <a:pt x="3657" y="34"/>
                                </a:lnTo>
                                <a:lnTo>
                                  <a:pt x="3657" y="43"/>
                                </a:lnTo>
                                <a:lnTo>
                                  <a:pt x="3659" y="48"/>
                                </a:lnTo>
                                <a:lnTo>
                                  <a:pt x="3661" y="52"/>
                                </a:lnTo>
                                <a:lnTo>
                                  <a:pt x="3664" y="55"/>
                                </a:lnTo>
                                <a:lnTo>
                                  <a:pt x="3667" y="57"/>
                                </a:lnTo>
                                <a:lnTo>
                                  <a:pt x="3671" y="57"/>
                                </a:lnTo>
                                <a:lnTo>
                                  <a:pt x="3675" y="57"/>
                                </a:lnTo>
                                <a:lnTo>
                                  <a:pt x="3678" y="55"/>
                                </a:lnTo>
                                <a:lnTo>
                                  <a:pt x="3681" y="52"/>
                                </a:lnTo>
                                <a:lnTo>
                                  <a:pt x="3683" y="48"/>
                                </a:lnTo>
                                <a:lnTo>
                                  <a:pt x="3685" y="42"/>
                                </a:lnTo>
                                <a:lnTo>
                                  <a:pt x="3685" y="33"/>
                                </a:lnTo>
                                <a:lnTo>
                                  <a:pt x="3685" y="25"/>
                                </a:lnTo>
                                <a:lnTo>
                                  <a:pt x="3683" y="19"/>
                                </a:lnTo>
                                <a:lnTo>
                                  <a:pt x="3681" y="16"/>
                                </a:lnTo>
                                <a:lnTo>
                                  <a:pt x="3678" y="12"/>
                                </a:lnTo>
                                <a:lnTo>
                                  <a:pt x="3675" y="11"/>
                                </a:lnTo>
                                <a:lnTo>
                                  <a:pt x="3671" y="11"/>
                                </a:lnTo>
                                <a:close/>
                                <a:moveTo>
                                  <a:pt x="3671" y="135"/>
                                </a:moveTo>
                                <a:lnTo>
                                  <a:pt x="3742" y="0"/>
                                </a:lnTo>
                                <a:lnTo>
                                  <a:pt x="3754" y="0"/>
                                </a:lnTo>
                                <a:lnTo>
                                  <a:pt x="3684" y="135"/>
                                </a:lnTo>
                                <a:lnTo>
                                  <a:pt x="3671" y="135"/>
                                </a:lnTo>
                                <a:close/>
                                <a:moveTo>
                                  <a:pt x="3727" y="100"/>
                                </a:moveTo>
                                <a:lnTo>
                                  <a:pt x="3727" y="91"/>
                                </a:lnTo>
                                <a:lnTo>
                                  <a:pt x="3729" y="83"/>
                                </a:lnTo>
                                <a:lnTo>
                                  <a:pt x="3734" y="77"/>
                                </a:lnTo>
                                <a:lnTo>
                                  <a:pt x="3738" y="71"/>
                                </a:lnTo>
                                <a:lnTo>
                                  <a:pt x="3745" y="67"/>
                                </a:lnTo>
                                <a:lnTo>
                                  <a:pt x="3754" y="67"/>
                                </a:lnTo>
                                <a:lnTo>
                                  <a:pt x="3762" y="67"/>
                                </a:lnTo>
                                <a:lnTo>
                                  <a:pt x="3769" y="70"/>
                                </a:lnTo>
                                <a:lnTo>
                                  <a:pt x="3774" y="76"/>
                                </a:lnTo>
                                <a:lnTo>
                                  <a:pt x="3779" y="82"/>
                                </a:lnTo>
                                <a:lnTo>
                                  <a:pt x="3782" y="90"/>
                                </a:lnTo>
                                <a:lnTo>
                                  <a:pt x="3782" y="101"/>
                                </a:lnTo>
                                <a:lnTo>
                                  <a:pt x="3782" y="112"/>
                                </a:lnTo>
                                <a:lnTo>
                                  <a:pt x="3779" y="121"/>
                                </a:lnTo>
                                <a:lnTo>
                                  <a:pt x="3774" y="127"/>
                                </a:lnTo>
                                <a:lnTo>
                                  <a:pt x="3769" y="132"/>
                                </a:lnTo>
                                <a:lnTo>
                                  <a:pt x="3762" y="135"/>
                                </a:lnTo>
                                <a:lnTo>
                                  <a:pt x="3754" y="135"/>
                                </a:lnTo>
                                <a:lnTo>
                                  <a:pt x="3746" y="135"/>
                                </a:lnTo>
                                <a:lnTo>
                                  <a:pt x="3740" y="133"/>
                                </a:lnTo>
                                <a:lnTo>
                                  <a:pt x="3735" y="127"/>
                                </a:lnTo>
                                <a:lnTo>
                                  <a:pt x="3729" y="121"/>
                                </a:lnTo>
                                <a:lnTo>
                                  <a:pt x="3727" y="112"/>
                                </a:lnTo>
                                <a:lnTo>
                                  <a:pt x="3727" y="100"/>
                                </a:lnTo>
                                <a:close/>
                                <a:moveTo>
                                  <a:pt x="3754" y="78"/>
                                </a:moveTo>
                                <a:lnTo>
                                  <a:pt x="3750" y="78"/>
                                </a:lnTo>
                                <a:lnTo>
                                  <a:pt x="3747" y="80"/>
                                </a:lnTo>
                                <a:lnTo>
                                  <a:pt x="3744" y="83"/>
                                </a:lnTo>
                                <a:lnTo>
                                  <a:pt x="3742" y="87"/>
                                </a:lnTo>
                                <a:lnTo>
                                  <a:pt x="3741" y="93"/>
                                </a:lnTo>
                                <a:lnTo>
                                  <a:pt x="3741" y="102"/>
                                </a:lnTo>
                                <a:lnTo>
                                  <a:pt x="3741" y="110"/>
                                </a:lnTo>
                                <a:lnTo>
                                  <a:pt x="3742" y="116"/>
                                </a:lnTo>
                                <a:lnTo>
                                  <a:pt x="3745" y="119"/>
                                </a:lnTo>
                                <a:lnTo>
                                  <a:pt x="3747" y="123"/>
                                </a:lnTo>
                                <a:lnTo>
                                  <a:pt x="3750" y="125"/>
                                </a:lnTo>
                                <a:lnTo>
                                  <a:pt x="3754" y="125"/>
                                </a:lnTo>
                                <a:lnTo>
                                  <a:pt x="3758" y="125"/>
                                </a:lnTo>
                                <a:lnTo>
                                  <a:pt x="3762" y="123"/>
                                </a:lnTo>
                                <a:lnTo>
                                  <a:pt x="3764" y="119"/>
                                </a:lnTo>
                                <a:lnTo>
                                  <a:pt x="3767" y="116"/>
                                </a:lnTo>
                                <a:lnTo>
                                  <a:pt x="3768" y="110"/>
                                </a:lnTo>
                                <a:lnTo>
                                  <a:pt x="3768" y="101"/>
                                </a:lnTo>
                                <a:lnTo>
                                  <a:pt x="3768" y="92"/>
                                </a:lnTo>
                                <a:lnTo>
                                  <a:pt x="3767" y="87"/>
                                </a:lnTo>
                                <a:lnTo>
                                  <a:pt x="3764" y="83"/>
                                </a:lnTo>
                                <a:lnTo>
                                  <a:pt x="3762" y="80"/>
                                </a:lnTo>
                                <a:lnTo>
                                  <a:pt x="3758" y="78"/>
                                </a:lnTo>
                                <a:lnTo>
                                  <a:pt x="3754" y="78"/>
                                </a:lnTo>
                                <a:close/>
                                <a:moveTo>
                                  <a:pt x="3815" y="169"/>
                                </a:moveTo>
                                <a:lnTo>
                                  <a:pt x="3804" y="169"/>
                                </a:lnTo>
                                <a:lnTo>
                                  <a:pt x="3815" y="147"/>
                                </a:lnTo>
                                <a:lnTo>
                                  <a:pt x="3824" y="126"/>
                                </a:lnTo>
                                <a:lnTo>
                                  <a:pt x="3829" y="105"/>
                                </a:lnTo>
                                <a:lnTo>
                                  <a:pt x="3830" y="84"/>
                                </a:lnTo>
                                <a:lnTo>
                                  <a:pt x="3830" y="73"/>
                                </a:lnTo>
                                <a:lnTo>
                                  <a:pt x="3829" y="62"/>
                                </a:lnTo>
                                <a:lnTo>
                                  <a:pt x="3826" y="51"/>
                                </a:lnTo>
                                <a:lnTo>
                                  <a:pt x="3824" y="43"/>
                                </a:lnTo>
                                <a:lnTo>
                                  <a:pt x="3822" y="34"/>
                                </a:lnTo>
                                <a:lnTo>
                                  <a:pt x="3818" y="26"/>
                                </a:lnTo>
                                <a:lnTo>
                                  <a:pt x="3816" y="21"/>
                                </a:lnTo>
                                <a:lnTo>
                                  <a:pt x="3811" y="12"/>
                                </a:lnTo>
                                <a:lnTo>
                                  <a:pt x="3804" y="0"/>
                                </a:lnTo>
                                <a:lnTo>
                                  <a:pt x="3815" y="0"/>
                                </a:lnTo>
                                <a:lnTo>
                                  <a:pt x="3823" y="11"/>
                                </a:lnTo>
                                <a:lnTo>
                                  <a:pt x="3830" y="22"/>
                                </a:lnTo>
                                <a:lnTo>
                                  <a:pt x="3835" y="33"/>
                                </a:lnTo>
                                <a:lnTo>
                                  <a:pt x="3840" y="44"/>
                                </a:lnTo>
                                <a:lnTo>
                                  <a:pt x="3843" y="54"/>
                                </a:lnTo>
                                <a:lnTo>
                                  <a:pt x="3845" y="64"/>
                                </a:lnTo>
                                <a:lnTo>
                                  <a:pt x="3846" y="74"/>
                                </a:lnTo>
                                <a:lnTo>
                                  <a:pt x="3846" y="84"/>
                                </a:lnTo>
                                <a:lnTo>
                                  <a:pt x="3846" y="96"/>
                                </a:lnTo>
                                <a:lnTo>
                                  <a:pt x="3844" y="107"/>
                                </a:lnTo>
                                <a:lnTo>
                                  <a:pt x="3841" y="119"/>
                                </a:lnTo>
                                <a:lnTo>
                                  <a:pt x="3837" y="130"/>
                                </a:lnTo>
                                <a:lnTo>
                                  <a:pt x="3833" y="141"/>
                                </a:lnTo>
                                <a:lnTo>
                                  <a:pt x="3827" y="151"/>
                                </a:lnTo>
                                <a:lnTo>
                                  <a:pt x="3822" y="160"/>
                                </a:lnTo>
                                <a:lnTo>
                                  <a:pt x="3815" y="169"/>
                                </a:lnTo>
                                <a:close/>
                              </a:path>
                            </a:pathLst>
                          </a:custGeom>
                          <a:noFill/>
                          <a:ln w="28575">
                            <a:solidFill>
                              <a:srgbClr val="FFFFFF"/>
                            </a:solidFill>
                            <a:round/>
                          </a:ln>
                          <a:effectLst/>
                        </wps:spPr>
                        <wps:bodyPr rot="0" vert="horz" wrap="square" lIns="91440" tIns="45720" rIns="91440" bIns="45720" anchor="t" anchorCtr="0" upright="1">
                          <a:noAutofit/>
                        </wps:bodyPr>
                      </wps:wsp>
                    </wpg:wgp>
                  </a:graphicData>
                </a:graphic>
              </wp:anchor>
            </w:drawing>
          </mc:Choice>
          <mc:Fallback>
            <w:pict>
              <v:group id="Group 372" o:spid="_x0000_s1026" o:spt="203" style="position:absolute;left:0pt;margin-left:57.75pt;margin-top:-2.65pt;height:572.25pt;width:480pt;mso-position-horizontal-relative:page;z-index:-251635712;mso-width-relative:page;mso-height-relative:page;" coordorigin="1155,-53" coordsize="9600,11445" o:gfxdata="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">
                <o:lock v:ext="edit" aspectratio="f"/>
                <v:shape id="Freeform 384" o:spid="_x0000_s1026" o:spt="100" style="position:absolute;left:1154;top:-53;height:6255;width:9600;" fillcolor="#D9DBDF" filled="t" stroked="f" coordsize="9600,6255" o:gfxdata="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y/r2&#10;wAAAAOIAAAAPAAAAAAAAAAEAIAAAACIAAABkcnMvZG93bnJldi54bWxQSwECFAAUAAAACACHTuJA&#10;My8FnjsAAAA5AAAAEAAAAAAAAAABACAAAAAPAQAAZHJzL3NoYXBleG1sLnhtbFBLBQYAAAAABgAG&#10;AFsBAAC5AwAAAAA=&#10;" path="m9600,0l9585,0,9585,6135,9585,6145,9561,6202,9553,6210,9490,6240,9480,6240,120,6240,62,6222,47,6210,39,6202,15,6145,15,6135,15,0,0,0,0,6135,1,6147,27,6211,35,6220,36,6221,44,6228,108,6254,120,6255,9480,6255,9538,6240,9547,6235,9556,6228,9564,6221,9598,6158,9600,6135,9600,0xe">
                  <v:path o:connectlocs="9600,-53;9585,-53;9585,6082;9585,6092;9561,6149;9553,6157;9490,6187;9480,6187;120,6187;62,6169;47,6157;39,6149;15,6092;15,6082;15,-53;0,-53;0,6082;1,6094;27,6158;35,6167;36,6168;44,6175;108,6201;120,6202;9480,6202;9538,6187;9547,6182;9556,6175;9564,6168;9598,6105;9600,6082;9600,-53" o:connectangles="0,0,0,0,0,0,0,0,0,0,0,0,0,0,0,0,0,0,0,0,0,0,0,0,0,0,0,0,0,0,0,0"/>
                  <v:fill on="t" focussize="0,0"/>
                  <v:stroke on="f"/>
                  <v:imagedata o:title=""/>
                  <o:lock v:ext="edit" aspectratio="f"/>
                </v:shape>
                <v:shape id="Freeform 383" o:spid="_x0000_s1026" o:spt="100" style="position:absolute;left:1162;top:6209;height:5175;width:9585;" filled="f" stroked="t" coordsize="9585,5175" o:gfxdata="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18p&#10;wAAAAOMAAAAPAAAAAAAAAAEAIAAAACIAAABkcnMvZG93bnJldi54bWxQSwECFAAUAAAACACHTuJA&#10;My8FnjsAAAA5AAAAEAAAAAAAAAABACAAAAAPAQAAZHJzL3NoYXBleG1sLnhtbFBLBQYAAAAABgAG&#10;AFsBAAC5AwAAAAA=&#10;" path="m0,5062l0,112,0,105,1,97,28,38,33,32,39,27,70,8,77,5,84,3,91,2,98,0,106,0,113,0,9473,0,9480,0,9488,0,9495,2,9502,3,9509,5,9516,8,9523,11,9529,14,9535,19,9542,23,9547,27,9553,32,9558,38,9583,90,9585,97,9585,105,9585,112,9585,5062,9585,5069,9585,5077,9583,5084,9582,5091,9553,5142,9547,5147,9542,5151,9535,5156,9529,5160,9523,5163,9516,5166,9509,5169,9502,5171,9495,5172,9488,5174,9480,5175,9473,5175,113,5175,70,5166,63,5163,57,5160,50,5156,44,5151,39,5147,33,5142,28,5136,9,5105,6,5098,4,5091,3,5084,1,5077,0,5069,0,5062xe">
                  <v:path o:connectlocs="0,6322;1,6307;33,6242;70,6218;84,6213;98,6210;113,6210;9480,6210;9495,6212;9509,6215;9523,6221;9535,6229;9547,6237;9558,6248;9585,6307;9585,6322;9585,11279;9583,11294;9553,11352;9542,11361;9529,11370;9516,11376;9502,11381;9488,11384;9473,11385;70,11376;57,11370;44,11361;33,11352;9,11315;4,11301;1,11287;0,11272" o:connectangles="0,0,0,0,0,0,0,0,0,0,0,0,0,0,0,0,0,0,0,0,0,0,0,0,0,0,0,0,0,0,0,0,0"/>
                  <v:fill on="f" focussize="0,0"/>
                  <v:stroke color="#D9DBDF" joinstyle="round"/>
                  <v:imagedata o:title=""/>
                  <o:lock v:ext="edit" aspectratio="f"/>
                </v:shape>
                <v:shape id="Picture 382" o:spid="_x0000_s1026" o:spt="75" type="#_x0000_t75" style="position:absolute;left:9525;top:67;height:300;width:255;" filled="f" o:preferrelative="t" stroked="f" coordsize="21600,21600" o:gfxdata="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rngAMQAAADjAAAADwAAAAAAAAABACAAAAAiAAAAZHJzL2Rvd25yZXYueG1sUEsBAhQAFAAAAAgA&#10;h07iQDMvBZ47AAAAOQAAABAAAAAAAAAAAQAgAAAAEwEAAGRycy9zaGFwZXhtbC54bWxQSwUGAAAA&#10;AAYABgBbAQAAvQMAAAAA&#10;">
                  <v:fill on="f" focussize="0,0"/>
                  <v:stroke on="f"/>
                  <v:imagedata r:id="rId110" o:title=""/>
                  <o:lock v:ext="edit" aspectratio="t"/>
                </v:shape>
                <v:rect id="Rectangle 381" o:spid="_x0000_s1026" o:spt="1" style="position:absolute;left:1170;top:2587;height:3600;width:9030;" fillcolor="#FFFFFF" filled="t" stroked="f" coordsize="21600,21600" o:gfxdata="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7Y&#10;URPCAAAA4gAAAA8AAAAAAAAAAQAgAAAAIgAAAGRycy9kb3ducmV2LnhtbFBLAQIUABQAAAAIAIdO&#10;4kAzLwWeOwAAADkAAAAQAAAAAAAAAAEAIAAAABEBAABkcnMvc2hhcGV4bWwueG1sUEsFBgAAAAAG&#10;AAYAWwEAALsDAAAAAA==&#10;">
                  <v:fill on="t" focussize="0,0"/>
                  <v:stroke on="f"/>
                  <v:imagedata o:title=""/>
                  <o:lock v:ext="edit" aspectratio="f"/>
                </v:rect>
                <v:shape id="Picture 380" o:spid="_x0000_s1026" o:spt="75" type="#_x0000_t75" style="position:absolute;left:9525;top:6337;height:300;width:255;" filled="f" o:preferrelative="t" stroked="f" coordsize="21600,21600" o:gfxdata="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9yJ+XMcAAADiAAAADwAAAAAAAAABACAAAAAiAAAAZHJzL2Rvd25yZXYueG1sUEsBAhQAFAAA&#10;AAgAh07iQDMvBZ47AAAAOQAAABAAAAAAAAAAAQAgAAAAFgEAAGRycy9zaGFwZXhtbC54bWxQSwUG&#10;AAAAAAYABgBbAQAAwAMAAAAA&#10;">
                  <v:fill on="f" focussize="0,0"/>
                  <v:stroke on="f"/>
                  <v:imagedata r:id="rId110" o:title=""/>
                  <o:lock v:ext="edit" aspectratio="t"/>
                </v:shape>
                <v:rect id="Rectangle 379" o:spid="_x0000_s1026" o:spt="1" style="position:absolute;left:2070;top:7927;height:2700;width:8130;" filled="f" stroked="t" coordsize="21600,21600" o:gfxdata="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VBRO7FAAAA4wAAAA8AAAAAAAAAAQAgAAAAIgAAAGRycy9kb3ducmV2LnhtbFBLAQIUABQAAAAI&#10;AIdO4kAzLwWeOwAAADkAAAAQAAAAAAAAAAEAIAAAABQBAABkcnMvc2hhcGV4bWwueG1sUEsFBgAA&#10;AAAGAAYAWwEAAL4DAAAAAA==&#10;">
                  <v:fill on="f" focussize="0,0"/>
                  <v:stroke color="#EDEDED" miterlimit="8" joinstyle="miter"/>
                  <v:imagedata o:title=""/>
                  <o:lock v:ext="edit" aspectratio="f"/>
                </v:rect>
                <v:shape id="AutoShape 378" o:spid="_x0000_s1026" o:spt="100" style="position:absolute;left:2069;top:7927;height:2700;width:8130;" fillcolor="#EDEDED" filled="t" stroked="f" coordsize="8130,2700" o:gfxdata="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JQdZ&#10;wAAAAOMAAAAPAAAAAAAAAAEAIAAAACIAAABkcnMvZG93bnJldi54bWxQSwECFAAUAAAACACHTuJA&#10;My8FnjsAAAA5AAAAEAAAAAAAAAABACAAAAAPAQAAZHJzL3NoYXBleG1sLnhtbFBLBQYAAAAABgAG&#10;AFsBAAC5AwAAAAA=&#10;" path="m6810,2010l0,2010,0,2025,6810,2025,6810,2010xm6810,1350l0,1350,0,1365,6810,1365,6810,1350xm6810,675l0,675,0,690,6810,690,6810,675xm8130,2685l0,2685,0,2700,8130,2700,8130,2685xm8130,2010l7815,2010,7815,2025,8130,2025,8130,2010xm8130,1350l7815,1350,7815,1365,8130,1365,8130,1350xm8130,675l7815,675,7815,690,8130,690,8130,675xm8130,0l0,0,0,15,8130,15,8130,0xe">
                  <v:path o:connectlocs="6810,9937;0,9937;0,9952;6810,9952;6810,9937;6810,9277;0,9277;0,9292;6810,9292;6810,9277;6810,8602;0,8602;0,8617;6810,8617;6810,8602;8130,10612;0,10612;0,10627;8130,10627;8130,10612;8130,9937;7815,9937;7815,9952;8130,9952;8130,9937;8130,9277;7815,9277;7815,9292;8130,9292;8130,9277;8130,8602;7815,8602;7815,8617;8130,8617;8130,8602;8130,7927;0,7927;0,7942;8130,7942;8130,7927" o:connectangles="0,0,0,0,0,0,0,0,0,0,0,0,0,0,0,0,0,0,0,0,0,0,0,0,0,0,0,0,0,0,0,0,0,0,0,0,0,0,0,0"/>
                  <v:fill on="t" focussize="0,0"/>
                  <v:stroke on="f"/>
                  <v:imagedata o:title=""/>
                  <o:lock v:ext="edit" aspectratio="f"/>
                </v:shape>
                <v:shape id="AutoShape 377" o:spid="_x0000_s1026" o:spt="100" style="position:absolute;left:2069;top:8257;height:2040;width:8130;" fillcolor="#F7F7F7" filled="t" stroked="f" coordsize="8130,2040" o:gfxdata="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GQMm&#10;wAAAAOMAAAAPAAAAAAAAAAEAIAAAACIAAABkcnMvZG93bnJldi54bWxQSwECFAAUAAAACACHTuJA&#10;My8FnjsAAAA5AAAAEAAAAAAAAAABACAAAAAPAQAAZHJzL3NoYXBleG1sLnhtbFBLBQYAAAAABgAG&#10;AFsBAAC5AwAAAAA=&#10;" path="m5190,2025l0,2025,0,2040,5190,2040,5190,2025xm6810,2025l6195,2025,6195,2040,6810,2040,6810,2025xm6810,1350l0,1350,0,1365,6810,1365,6810,1350xm6810,675l0,675,0,690,6810,690,6810,675xm8130,2025l7815,2025,7815,2040,8130,2040,8130,2025xm8130,1350l7815,1350,7815,1365,8130,1365,8130,1350xm8130,675l7815,675,7815,690,8130,690,8130,675xm8130,0l0,0,0,15,8130,15,8130,0xe">
                  <v:path o:connectlocs="5190,10282;0,10282;0,10297;5190,10297;5190,10282;6810,10282;6195,10282;6195,10297;6810,10297;6810,10282;6810,9607;0,9607;0,9622;6810,9622;6810,9607;6810,8932;0,8932;0,8947;6810,8947;6810,8932;8130,10282;7815,10282;7815,10297;8130,10297;8130,10282;8130,9607;7815,9607;7815,9622;8130,9622;8130,9607;8130,8932;7815,8932;7815,8947;8130,8947;8130,8932;8130,8257;0,8257;0,8272;8130,8272;8130,8257" o:connectangles="0,0,0,0,0,0,0,0,0,0,0,0,0,0,0,0,0,0,0,0,0,0,0,0,0,0,0,0,0,0,0,0,0,0,0,0,0,0,0,0"/>
                  <v:fill on="t" focussize="0,0"/>
                  <v:stroke on="f"/>
                  <v:imagedata o:title=""/>
                  <o:lock v:ext="edit" aspectratio="f"/>
                </v:shape>
                <v:shape id="AutoShape 376" o:spid="_x0000_s1026" o:spt="100" style="position:absolute;left:2384;top:10565;height:54;width:4245;" fillcolor="#663AB6" filled="t" stroked="f" coordsize="4245,54" o:gfxdata="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TX&#10;tcEAAADjAAAADwAAAAAAAAABACAAAAAiAAAAZHJzL2Rvd25yZXYueG1sUEsBAhQAFAAAAAgAh07i&#10;QDMvBZ47AAAAOQAAABAAAAAAAAAAAQAgAAAAEAEAAGRycy9zaGFwZXhtbC54bWxQSwUGAAAAAAYA&#10;BgBbAQAAugMAAAAA&#10;" path="m1005,46l0,46,0,54,1005,54,1005,46xm2625,46l1620,46,1620,54,2625,54,2625,46xm4245,0l3255,0,3255,54,4245,54,4245,0xe">
                  <v:path o:connectlocs="1005,10612;0,10612;0,10620;1005,10620;1005,10612;2625,10612;1620,10612;1620,10620;2625,10620;2625,10612;4245,10566;3255,10566;3255,10620;4245,10620;4245,10566" o:connectangles="0,0,0,0,0,0,0,0,0,0,0,0,0,0,0"/>
                  <v:fill on="t" focussize="0,0"/>
                  <v:stroke on="f"/>
                  <v:imagedata o:title=""/>
                  <o:lock v:ext="edit" aspectratio="f"/>
                </v:shape>
                <v:rect id="Rectangle 375" o:spid="_x0000_s1026" o:spt="1" style="position:absolute;left:2070;top:10612;height:15;width:8130;" fillcolor="#333333" filled="t" stroked="f" coordsize="21600,21600" o:gfxdata="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XI/IwwAAAOMAAAAPAAAAAAAAAAEAIAAAACIAAABkcnMvZG93bnJldi54bWxQSwECFAAUAAAACACH&#10;TuJAMy8FnjsAAAA5AAAAEAAAAAAAAAABACAAAAASAQAAZHJzL3NoYXBleG1sLnhtbFBLBQYAAAAA&#10;BgAGAFsBAAC8AwAAAAA=&#10;">
                  <v:fill on="t" focussize="0,0"/>
                  <v:stroke on="f"/>
                  <v:imagedata o:title=""/>
                  <o:lock v:ext="edit" aspectratio="f"/>
                </v:rect>
                <v:shape id="AutoShape 374" o:spid="_x0000_s1026" o:spt="100" style="position:absolute;left:2879;top:10385;height:227;width:3270;" fillcolor="#999999" filled="t" stroked="f" coordsize="3270,227" o:gfxdata="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xE8IcQAAADjAAAADwAAAAAAAAABACAAAAAiAAAAZHJzL2Rvd25yZXYueG1sUEsBAhQAFAAAAAgA&#10;h07iQDMvBZ47AAAAOQAAABAAAAAAAAAAAQAgAAAAEwEAAGRycy9zaGFwZXhtbC54bWxQSwUGAAAA&#10;AAYABgBbAQAAvQMAAAAA&#10;" path="m15,46l0,46,0,226,15,226,15,46xm1635,46l1620,46,1620,226,1635,226,1635,46xm3270,0l3255,0,3255,180,3270,180,3270,0xe">
                  <v:path o:connectlocs="15,10432;0,10432;0,10612;15,10612;15,10432;1635,10432;1620,10432;1620,10612;1635,10612;1635,10432;3270,10386;3255,10386;3255,10566;3270,10566;3270,10386" o:connectangles="0,0,0,0,0,0,0,0,0,0,0,0,0,0,0"/>
                  <v:fill on="t" focussize="0,0"/>
                  <v:stroke on="f"/>
                  <v:imagedata o:title=""/>
                  <o:lock v:ext="edit" aspectratio="f"/>
                </v:shape>
                <v:shape id="AutoShape 373" o:spid="_x0000_s1026" o:spt="100" style="position:absolute;left:2622;top:10227;height:216;width:3847;" filled="f" stroked="t" coordsize="3847,216" o:gfxdata="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xcrccQAAADjAAAADwAAAAAAAAABACAAAAAiAAAAZHJzL2Rvd25yZXYueG1sUEsBAhQAFAAAAAgA&#10;h07iQDMvBZ47AAAAOQAAABAAAAAAAAAAAQAgAAAAEwEAAGRycy9zaGFwZXhtbC54bWxQSwUGAAAA&#10;AAYABgBbAQAAvQMAAAAA&#10;" path="m0,113l0,98,2,86,5,77,8,67,13,60,19,55,25,50,33,47,42,47,49,47,55,49,61,52,66,54,70,58,74,64,77,69,80,75,82,83,83,90,84,101,84,113,84,128,83,141,80,150,77,159,72,166,66,171,60,177,52,179,42,179,30,179,20,175,13,166,8,156,4,145,1,130,0,113xm17,113l17,128,19,140,21,149,24,156,29,163,35,166,42,166,50,166,56,163,61,156,64,149,66,140,68,128,68,113,68,99,66,87,64,78,61,71,56,64,50,61,42,61,35,61,29,64,25,70,21,77,19,87,17,99,17,113xm185,215l179,206,173,197,168,187,163,176,159,165,156,154,155,142,154,130,154,120,156,110,158,100,161,90,165,79,171,68,177,57,185,46,196,46,189,58,185,67,182,72,179,80,176,88,174,97,171,108,170,119,170,130,172,151,177,173,185,194,196,215,185,215xm210,113l210,98,212,86,215,77,218,67,223,60,229,55,235,50,243,47,252,47,259,47,265,49,271,52,276,54,280,58,284,64,287,69,290,75,292,83,294,90,294,101,294,113,294,128,293,141,290,150,287,159,282,166,276,171,270,177,262,179,252,179,240,179,230,175,223,166,218,156,214,145,211,130,210,113xm227,113l227,128,229,140,231,149,234,156,239,163,245,166,252,166,260,166,266,163,271,156,274,149,276,140,278,128,278,113,278,99,276,87,274,78,271,71,266,64,260,61,252,61,245,61,239,64,235,70,231,77,229,87,227,99,227,113xm314,79l314,70,316,62,320,55,325,49,332,46,341,46,349,46,355,49,361,54,366,60,369,69,369,80,369,91,366,99,361,105,355,111,349,114,341,114,333,114,327,111,321,105,316,99,314,91,314,79xm341,57l337,57,334,58,331,62,329,65,327,71,327,81,327,89,329,95,331,98,334,101,337,103,341,103,345,103,348,101,351,98,354,95,355,88,355,79,355,71,354,65,351,62,348,58,345,57,341,57xm341,182l412,46,424,46,354,182,341,182xm397,147l397,137,399,130,404,123,408,117,415,113,424,113,432,113,439,116,444,122,449,128,452,136,452,148,452,158,449,167,444,173,439,179,432,182,424,182,416,182,410,179,405,173,399,167,397,158,397,147xm424,124l420,124,417,126,415,129,412,133,411,139,411,148,411,156,412,162,415,166,417,169,421,171,424,171,428,171,432,169,434,166,437,162,438,156,438,147,438,139,437,133,434,129,432,126,428,124,424,124xm485,215l474,215,486,194,494,173,499,151,500,130,500,119,499,108,497,97,495,89,492,80,488,72,486,67,481,58,474,46,485,46,493,57,500,68,505,79,510,90,513,100,515,110,516,120,517,130,516,142,514,154,511,165,507,176,503,187,497,197,492,206,485,215xm1620,113l1620,98,1622,86,1625,77,1628,67,1633,60,1639,55,1645,50,1653,47,1662,47,1669,47,1675,49,1681,52,1686,54,1690,58,1694,64,1697,69,1700,75,1702,83,1703,90,1704,101,1704,113,1704,128,1703,141,1700,150,1697,159,1692,166,1686,171,1680,177,1672,179,1662,179,1650,179,1640,175,1633,166,1628,156,1624,145,1621,130,1620,113xm1637,113l1637,128,1639,140,1641,149,1644,156,1649,163,1655,166,1662,166,1670,166,1676,163,1681,156,1684,149,1686,140,1688,128,1688,113,1688,99,1686,87,1684,78,1681,71,1676,64,1670,61,1662,61,1655,61,1649,64,1645,70,1641,77,1639,87,1637,99,1637,113xm1805,215l1799,206,1793,197,1788,187,1783,176,1779,165,1776,154,1775,142,1774,130,1774,120,1776,110,1778,100,1781,90,1785,79,1791,68,1797,57,1805,46,1816,46,1809,58,1805,67,1802,72,1799,80,1796,88,1794,97,1791,108,1790,119,1790,130,1792,151,1797,173,1805,194,1816,215,1805,215xm1830,113l1830,98,1832,86,1835,77,1838,67,1843,60,1849,55,1855,50,1863,47,1872,47,1879,47,1885,49,1891,52,1896,54,1900,58,1904,64,1907,69,1910,75,1912,83,1914,90,1914,101,1914,113,1914,128,1913,141,1910,150,1907,159,1902,166,1896,171,1890,177,1882,179,1872,179,1860,179,1850,175,1843,166,1838,156,1834,145,1831,130,1830,113xm1847,113l1847,128,1849,140,1851,149,1854,156,1859,163,1865,166,1872,166,1880,166,1886,163,1891,156,1894,149,1896,140,1898,128,1898,113,1898,99,1896,87,1894,78,1891,71,1886,64,1880,61,1872,61,1865,61,1859,64,1855,70,1851,77,1849,87,1847,99,1847,113xm1934,79l1934,70,1936,62,1940,55,1945,49,1952,46,1961,46,1969,46,1975,49,1981,54,1986,60,1989,69,1989,80,1989,91,1986,99,1981,105,1975,111,1969,114,1961,114,1953,114,1947,111,1941,105,1936,99,1934,91,1934,79xm1961,57l1957,57,1954,58,1951,62,1949,65,1947,71,1947,81,1947,89,1949,95,1951,98,1954,101,1957,103,1961,103,1965,103,1968,101,1971,98,1974,95,1975,88,1975,79,1975,71,1974,65,1971,62,1968,58,1965,57,1961,57xm1961,182l2032,46,2044,46,1974,182,1961,182xm2017,147l2017,137,2019,130,2024,123,2028,117,2035,113,2044,113,2052,113,2059,116,2064,122,2069,128,2072,136,2072,148,2072,158,2069,167,2064,173,2059,179,2052,182,2044,182,2036,182,2030,179,2025,173,2019,167,2017,158,2017,147xm2044,124l2040,124,2037,126,2035,129,2032,133,2031,139,2031,148,2031,156,2032,162,2035,166,2037,169,2041,171,2044,171,2048,171,2052,169,2054,166,2057,162,2058,156,2058,147,2058,139,2057,133,2054,129,2052,126,2048,124,2044,124xm2105,215l2094,215,2106,194,2114,173,2119,151,2120,130,2120,119,2119,108,2117,97,2115,89,2112,80,2108,72,2106,67,2101,58,2094,46,2105,46,2113,57,2120,68,2125,79,2130,90,2133,100,2135,110,2136,120,2137,130,2136,142,2134,154,2131,165,2127,176,2123,187,2117,197,2112,206,2105,215xm3263,115l3263,131,3178,131,3178,127,3179,123,3180,120,3182,114,3186,108,3190,103,3195,97,3202,90,3211,83,3225,72,3235,62,3239,56,3244,49,3247,43,3247,37,3247,30,3245,25,3240,21,3236,17,3230,14,3223,14,3215,14,3209,17,3204,21,3200,26,3197,32,3197,40,3181,39,3182,26,3186,17,3194,11,3201,4,3211,1,3223,1,3235,1,3245,5,3252,12,3260,18,3263,27,3263,37,3263,42,3262,47,3260,52,3258,57,3254,63,3249,68,3245,74,3236,81,3225,91,3216,99,3209,104,3207,107,3204,110,3202,113,3200,115,3263,115xm3365,169l3359,160,3353,151,3348,141,3343,130,3339,119,3336,107,3334,96,3334,84,3334,74,3335,64,3338,54,3340,44,3345,33,3351,22,3357,11,3365,0,3376,0,3369,12,3364,21,3362,26,3359,34,3356,42,3354,51,3351,62,3350,73,3350,84,3352,105,3357,126,3365,147,3376,169,3365,169xm3473,115l3473,131,3388,131,3388,127,3389,123,3390,120,3392,114,3396,108,3400,103,3405,97,3412,90,3421,83,3435,72,3445,62,3450,56,3454,49,3457,43,3457,37,3457,30,3455,25,3450,21,3446,17,3440,14,3433,14,3425,14,3419,17,3414,21,3410,26,3408,32,3407,40,3391,39,3392,26,3396,17,3404,11,3411,4,3421,1,3433,1,3445,1,3455,5,3462,12,3470,18,3473,27,3473,37,3473,42,3472,47,3470,52,3468,57,3464,63,3460,68,3455,74,3446,81,3435,91,3426,99,3420,104,3417,107,3414,110,3412,113,3410,115,3473,115xm3499,131l3499,113,3517,113,3517,131,3499,131xm3541,19l3541,4,3625,4,3625,16,3619,23,3613,31,3606,40,3600,51,3595,62,3590,73,3585,84,3582,95,3579,106,3577,118,3576,131,3559,131,3560,121,3562,108,3565,94,3569,83,3572,73,3577,63,3582,52,3587,43,3593,34,3599,26,3604,19,3541,19xm3643,33l3643,24,3646,16,3650,9,3655,3,3662,0,3670,0,3679,0,3685,3,3691,8,3696,14,3699,23,3699,34,3699,45,3696,53,3690,59,3685,65,3679,68,3671,68,3663,68,3656,65,3651,59,3646,53,3643,44,3643,33xm3671,11l3667,11,3664,12,3661,16,3659,19,3657,25,3657,34,3657,43,3659,48,3661,52,3664,55,3667,57,3671,57,3675,57,3678,55,3681,52,3683,48,3685,42,3685,33,3685,25,3683,19,3681,16,3678,12,3675,11,3671,11xm3671,135l3742,0,3754,0,3684,135,3671,135xm3727,100l3727,91,3729,83,3734,77,3738,71,3745,67,3754,67,3762,67,3769,70,3774,76,3779,82,3782,90,3782,101,3782,112,3779,121,3774,127,3769,132,3762,135,3754,135,3746,135,3740,133,3735,127,3729,121,3727,112,3727,100xm3754,78l3750,78,3747,80,3744,83,3742,87,3741,93,3741,102,3741,110,3742,116,3745,119,3747,123,3750,125,3754,125,3758,125,3762,123,3764,119,3767,116,3768,110,3768,101,3768,92,3767,87,3764,83,3762,80,3758,78,3754,78xm3815,169l3804,169,3815,147,3824,126,3829,105,3830,84,3830,73,3829,62,3826,51,3824,43,3822,34,3818,26,3816,21,3811,12,3804,0,3815,0,3823,11,3830,22,3835,33,3840,44,3843,54,3845,64,3846,74,3846,84,3846,96,3844,107,3841,119,3837,130,3833,141,3827,151,3822,160,3815,169xe">
                  <v:path o:connectlocs="70,10286;52,10407;35,10394;42,10289;155,10370;176,10316;223,10288;294,10329;214,10373;276,10368;227,10327;369,10319;331,10290;355,10307;404,10351;424,10410;412,10390;428,10352;481,10286;503,10415;1675,10277;1692,10394;1641,10377;1681,10299;1783,10404;1805,10295;1832,10314;1910,10303;1850,10403;1886,10391;1855,10298;1986,10288;1961,10285;1971,10326;2017,10375;2064,10401;2031,10367;2057,10361;2112,10308;2134,10382;3190,10331;3223,10242;3245,10233;3209,10332;3334,10302;3351,10290;3396,10336;3440,10242;3445,10229;3426,10327;3625,10244;3565,10322;3662,10228;3656,10293;3664,10283;3671,10363;3779,10310;3754,10306;3764,10347;3830,10312;3843,10282" o:connectangles="0,0,0,0,0,0,0,0,0,0,0,0,0,0,0,0,0,0,0,0,0,0,0,0,0,0,0,0,0,0,0,0,0,0,0,0,0,0,0,0,0,0,0,0,0,0,0,0,0,0,0,0,0,0,0,0,0,0,0,0,0"/>
                  <v:fill on="f" focussize="0,0"/>
                  <v:stroke weight="2.25pt" color="#FFFFFF" joinstyle="round"/>
                  <v:imagedata o:title=""/>
                  <o:lock v:ext="edit" aspectratio="f"/>
                </v:shape>
              </v:group>
            </w:pict>
          </mc:Fallback>
        </mc:AlternateContent>
      </w:r>
      <w:r>
        <w:rPr>
          <w:rFonts w:eastAsia="Roboto"/>
          <w:color w:val="202024"/>
        </w:rPr>
        <w:t>In</w:t>
      </w:r>
      <w:r>
        <w:rPr>
          <w:rFonts w:eastAsia="Roboto"/>
          <w:color w:val="202024"/>
          <w:spacing w:val="6"/>
        </w:rPr>
        <w:t xml:space="preserve"> </w:t>
      </w:r>
      <w:r>
        <w:rPr>
          <w:rFonts w:eastAsia="Roboto"/>
          <w:color w:val="202024"/>
        </w:rPr>
        <w:t>your</w:t>
      </w:r>
      <w:r>
        <w:rPr>
          <w:rFonts w:eastAsia="Roboto"/>
          <w:color w:val="202024"/>
          <w:spacing w:val="6"/>
        </w:rPr>
        <w:t xml:space="preserve"> </w:t>
      </w:r>
      <w:r>
        <w:rPr>
          <w:rFonts w:eastAsia="Roboto"/>
          <w:color w:val="202024"/>
        </w:rPr>
        <w:t>experience,</w:t>
      </w:r>
      <w:r>
        <w:rPr>
          <w:rFonts w:eastAsia="Roboto"/>
          <w:color w:val="202024"/>
          <w:spacing w:val="6"/>
        </w:rPr>
        <w:t xml:space="preserve"> </w:t>
      </w:r>
      <w:r>
        <w:rPr>
          <w:rFonts w:eastAsia="Roboto"/>
          <w:color w:val="202024"/>
        </w:rPr>
        <w:t>how</w:t>
      </w:r>
      <w:r>
        <w:rPr>
          <w:rFonts w:eastAsia="Roboto"/>
          <w:color w:val="202024"/>
          <w:spacing w:val="6"/>
        </w:rPr>
        <w:t xml:space="preserve"> </w:t>
      </w:r>
      <w:r>
        <w:rPr>
          <w:rFonts w:eastAsia="Roboto"/>
          <w:color w:val="202024"/>
        </w:rPr>
        <w:t>important</w:t>
      </w:r>
      <w:r>
        <w:rPr>
          <w:rFonts w:eastAsia="Roboto"/>
          <w:color w:val="202024"/>
          <w:spacing w:val="6"/>
        </w:rPr>
        <w:t xml:space="preserve"> </w:t>
      </w:r>
      <w:r>
        <w:rPr>
          <w:rFonts w:eastAsia="Roboto"/>
          <w:color w:val="202024"/>
        </w:rPr>
        <w:t>is</w:t>
      </w:r>
      <w:r>
        <w:rPr>
          <w:rFonts w:eastAsia="Roboto"/>
          <w:color w:val="202024"/>
          <w:spacing w:val="6"/>
        </w:rPr>
        <w:t xml:space="preserve"> </w:t>
      </w:r>
      <w:r>
        <w:rPr>
          <w:rFonts w:eastAsia="Roboto"/>
          <w:color w:val="202024"/>
        </w:rPr>
        <w:t>regular</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transparent</w:t>
      </w:r>
      <w:r>
        <w:rPr>
          <w:rFonts w:eastAsia="Roboto"/>
          <w:color w:val="202024"/>
          <w:spacing w:val="1"/>
        </w:rPr>
        <w:t xml:space="preserve"> </w:t>
      </w:r>
      <w:r>
        <w:rPr>
          <w:rFonts w:eastAsia="Roboto"/>
          <w:color w:val="202024"/>
        </w:rPr>
        <w:t>engagement</w:t>
      </w:r>
      <w:r>
        <w:rPr>
          <w:rFonts w:eastAsia="Roboto"/>
          <w:color w:val="202024"/>
          <w:spacing w:val="8"/>
        </w:rPr>
        <w:t xml:space="preserve"> </w:t>
      </w:r>
      <w:r>
        <w:rPr>
          <w:rFonts w:eastAsia="Roboto"/>
          <w:color w:val="202024"/>
        </w:rPr>
        <w:t>between</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relevant</w:t>
      </w:r>
      <w:r>
        <w:rPr>
          <w:rFonts w:eastAsia="Roboto"/>
          <w:color w:val="202024"/>
          <w:spacing w:val="9"/>
        </w:rPr>
        <w:t xml:space="preserve"> </w:t>
      </w:r>
      <w:r>
        <w:rPr>
          <w:rFonts w:eastAsia="Roboto"/>
          <w:color w:val="202024"/>
        </w:rPr>
        <w:t>agencies</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government</w:t>
      </w:r>
      <w:r>
        <w:rPr>
          <w:rFonts w:eastAsia="Roboto"/>
          <w:color w:val="202024"/>
          <w:spacing w:val="8"/>
        </w:rPr>
        <w:t xml:space="preserve"> </w:t>
      </w:r>
      <w:r>
        <w:rPr>
          <w:rFonts w:eastAsia="Roboto"/>
          <w:color w:val="202024"/>
        </w:rPr>
        <w:t>and</w:t>
      </w:r>
      <w:r>
        <w:rPr>
          <w:rFonts w:eastAsia="Roboto"/>
          <w:color w:val="202024"/>
          <w:spacing w:val="9"/>
        </w:rPr>
        <w:t xml:space="preserve"> </w:t>
      </w:r>
      <w:r>
        <w:rPr>
          <w:rFonts w:eastAsia="Roboto"/>
          <w:color w:val="202024"/>
        </w:rPr>
        <w:t>tax</w:t>
      </w:r>
      <w:r>
        <w:rPr>
          <w:rFonts w:eastAsia="Roboto"/>
          <w:color w:val="202024"/>
          <w:spacing w:val="1"/>
        </w:rPr>
        <w:t xml:space="preserve"> </w:t>
      </w:r>
      <w:r>
        <w:rPr>
          <w:rFonts w:eastAsia="Roboto"/>
          <w:color w:val="202024"/>
        </w:rPr>
        <w:t>payers</w:t>
      </w:r>
      <w:r>
        <w:rPr>
          <w:rFonts w:eastAsia="Roboto"/>
          <w:color w:val="202024"/>
          <w:spacing w:val="8"/>
        </w:rPr>
        <w:t xml:space="preserve"> </w:t>
      </w:r>
      <w:r>
        <w:rPr>
          <w:rFonts w:eastAsia="Roboto"/>
          <w:color w:val="202024"/>
        </w:rPr>
        <w:t>in</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annual</w:t>
      </w:r>
      <w:r>
        <w:rPr>
          <w:rFonts w:eastAsia="Roboto"/>
          <w:color w:val="202024"/>
          <w:spacing w:val="8"/>
        </w:rPr>
        <w:t xml:space="preserve"> </w:t>
      </w:r>
      <w:r>
        <w:rPr>
          <w:rFonts w:eastAsia="Roboto"/>
          <w:color w:val="202024"/>
        </w:rPr>
        <w:t>budgeting</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fiscal</w:t>
      </w:r>
      <w:r>
        <w:rPr>
          <w:rFonts w:eastAsia="Roboto"/>
          <w:color w:val="202024"/>
          <w:spacing w:val="9"/>
        </w:rPr>
        <w:t xml:space="preserve"> </w:t>
      </w:r>
      <w:r>
        <w:rPr>
          <w:rFonts w:eastAsia="Roboto"/>
          <w:color w:val="202024"/>
        </w:rPr>
        <w:t>objectives</w:t>
      </w:r>
      <w:r>
        <w:rPr>
          <w:rFonts w:eastAsia="Roboto"/>
          <w:color w:val="202024"/>
          <w:spacing w:val="8"/>
        </w:rPr>
        <w:t xml:space="preserve"> </w:t>
      </w:r>
      <w:r>
        <w:rPr>
          <w:rFonts w:eastAsia="Roboto"/>
          <w:color w:val="202024"/>
        </w:rPr>
        <w:t>setting</w:t>
      </w:r>
      <w:r>
        <w:rPr>
          <w:rFonts w:eastAsia="Roboto"/>
          <w:color w:val="202024"/>
          <w:spacing w:val="9"/>
        </w:rPr>
        <w:t xml:space="preserve"> </w:t>
      </w:r>
      <w:r>
        <w:rPr>
          <w:rFonts w:eastAsia="Roboto"/>
          <w:color w:val="202024"/>
        </w:rPr>
        <w:t>for</w:t>
      </w:r>
      <w:r>
        <w:rPr>
          <w:rFonts w:eastAsia="Roboto"/>
          <w:color w:val="202024"/>
          <w:spacing w:val="9"/>
        </w:rPr>
        <w:t xml:space="preserve"> </w:t>
      </w:r>
      <w:r>
        <w:rPr>
          <w:rFonts w:eastAsia="Roboto"/>
          <w:color w:val="202024"/>
        </w:rPr>
        <w:t>achieving</w:t>
      </w:r>
      <w:r>
        <w:rPr>
          <w:rFonts w:eastAsia="Roboto"/>
          <w:color w:val="202024"/>
          <w:spacing w:val="-57"/>
        </w:rPr>
        <w:t xml:space="preserve"> </w:t>
      </w:r>
      <w:r>
        <w:rPr>
          <w:rFonts w:eastAsia="Roboto"/>
          <w:color w:val="202024"/>
        </w:rPr>
        <w:t>clarity,</w:t>
      </w:r>
      <w:r>
        <w:rPr>
          <w:rFonts w:eastAsia="Roboto"/>
          <w:color w:val="202024"/>
          <w:spacing w:val="8"/>
        </w:rPr>
        <w:t xml:space="preserve"> </w:t>
      </w:r>
      <w:r>
        <w:rPr>
          <w:rFonts w:eastAsia="Roboto"/>
          <w:color w:val="202024"/>
        </w:rPr>
        <w:t>certainty</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consistency</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understanding</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Nigeria</w:t>
      </w:r>
      <w:r>
        <w:rPr>
          <w:rFonts w:eastAsia="Roboto"/>
          <w:color w:val="202024"/>
          <w:spacing w:val="9"/>
        </w:rPr>
        <w:t xml:space="preserve"> </w:t>
      </w:r>
      <w:r>
        <w:rPr>
          <w:rFonts w:eastAsia="Roboto"/>
          <w:color w:val="202024"/>
        </w:rPr>
        <w:t>upstream</w:t>
      </w:r>
      <w:r>
        <w:rPr>
          <w:rFonts w:eastAsia="Roboto"/>
          <w:color w:val="202024"/>
          <w:spacing w:val="1"/>
        </w:rPr>
        <w:t xml:space="preserve"> </w:t>
      </w:r>
      <w:r>
        <w:rPr>
          <w:rFonts w:eastAsia="Roboto"/>
          <w:color w:val="202024"/>
        </w:rPr>
        <w:t>oil</w:t>
      </w:r>
      <w:r>
        <w:rPr>
          <w:rFonts w:eastAsia="Roboto"/>
          <w:color w:val="202024"/>
          <w:spacing w:val="5"/>
        </w:rPr>
        <w:t xml:space="preserve"> </w:t>
      </w:r>
      <w:r>
        <w:rPr>
          <w:rFonts w:eastAsia="Roboto"/>
          <w:color w:val="202024"/>
        </w:rPr>
        <w:t>and</w:t>
      </w:r>
      <w:r>
        <w:rPr>
          <w:rFonts w:eastAsia="Roboto"/>
          <w:color w:val="202024"/>
          <w:spacing w:val="6"/>
        </w:rPr>
        <w:t xml:space="preserve"> </w:t>
      </w:r>
      <w:r>
        <w:rPr>
          <w:rFonts w:eastAsia="Roboto"/>
          <w:color w:val="202024"/>
        </w:rPr>
        <w:t>gas</w:t>
      </w:r>
      <w:r>
        <w:rPr>
          <w:rFonts w:eastAsia="Roboto"/>
          <w:color w:val="202024"/>
          <w:spacing w:val="5"/>
        </w:rPr>
        <w:t xml:space="preserve"> </w:t>
      </w:r>
      <w:r>
        <w:rPr>
          <w:rFonts w:eastAsia="Roboto"/>
          <w:color w:val="202024"/>
        </w:rPr>
        <w:t>tax</w:t>
      </w:r>
      <w:r>
        <w:rPr>
          <w:rFonts w:eastAsia="Roboto"/>
          <w:color w:val="202024"/>
          <w:spacing w:val="6"/>
        </w:rPr>
        <w:t xml:space="preserve"> </w:t>
      </w:r>
      <w:r>
        <w:rPr>
          <w:rFonts w:eastAsia="Roboto"/>
          <w:color w:val="202024"/>
        </w:rPr>
        <w:t>legislation</w:t>
      </w:r>
      <w:r>
        <w:rPr>
          <w:rFonts w:eastAsia="Roboto"/>
          <w:color w:val="202024"/>
          <w:spacing w:val="6"/>
        </w:rPr>
        <w:t xml:space="preserve"> </w:t>
      </w:r>
      <w:r>
        <w:rPr>
          <w:rFonts w:eastAsia="Roboto"/>
          <w:color w:val="202024"/>
        </w:rPr>
        <w:t>and</w:t>
      </w:r>
      <w:r>
        <w:rPr>
          <w:rFonts w:eastAsia="Roboto"/>
          <w:color w:val="202024"/>
          <w:spacing w:val="5"/>
        </w:rPr>
        <w:t xml:space="preserve"> </w:t>
      </w:r>
      <w:r>
        <w:rPr>
          <w:rFonts w:eastAsia="Roboto"/>
          <w:color w:val="202024"/>
        </w:rPr>
        <w:t>compliance.</w:t>
      </w:r>
    </w:p>
    <w:p w14:paraId="2B0A38E6">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76</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42359743">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1CF8B8AA">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8107" w:space="690"/>
            <w:col w:w="783"/>
          </w:cols>
        </w:sectPr>
      </w:pPr>
    </w:p>
    <w:p w14:paraId="0CD104A3">
      <w:pPr>
        <w:widowControl w:val="0"/>
        <w:autoSpaceDE w:val="0"/>
        <w:autoSpaceDN w:val="0"/>
        <w:spacing w:before="10"/>
        <w:rPr>
          <w:rFonts w:ascii="Lucida Sans Unicode" w:hAnsi="Roboto" w:eastAsia="Roboto" w:cs="Roboto"/>
          <w:sz w:val="21"/>
          <w:szCs w:val="21"/>
        </w:rPr>
      </w:pPr>
    </w:p>
    <w:p w14:paraId="49ABA181">
      <w:pPr>
        <w:widowControl w:val="0"/>
        <w:autoSpaceDE w:val="0"/>
        <w:autoSpaceDN w:val="0"/>
        <w:spacing w:before="94"/>
        <w:rPr>
          <w:rFonts w:ascii="Arial MT" w:hAnsi="Roboto" w:eastAsia="Roboto" w:cs="Roboto"/>
          <w:sz w:val="18"/>
          <w:szCs w:val="22"/>
        </w:rPr>
      </w:pPr>
      <w:r>
        <mc:AlternateContent>
          <mc:Choice Requires="wps">
            <w:drawing>
              <wp:anchor distT="0" distB="0" distL="114300" distR="114300" simplePos="0" relativeHeight="251681792" behindDoc="0" locked="0" layoutInCell="1" allowOverlap="1">
                <wp:simplePos x="0" y="0"/>
                <wp:positionH relativeFrom="page">
                  <wp:posOffset>1309370</wp:posOffset>
                </wp:positionH>
                <wp:positionV relativeFrom="paragraph">
                  <wp:posOffset>117475</wp:posOffset>
                </wp:positionV>
                <wp:extent cx="5177155" cy="1724025"/>
                <wp:effectExtent l="0" t="0" r="0" b="0"/>
                <wp:wrapNone/>
                <wp:docPr id="863860236" name="Text Box 90"/>
                <wp:cNvGraphicFramePr/>
                <a:graphic xmlns:a="http://schemas.openxmlformats.org/drawingml/2006/main">
                  <a:graphicData uri="http://schemas.microsoft.com/office/word/2010/wordprocessingShape">
                    <wps:wsp>
                      <wps:cNvSpPr txBox="1">
                        <a:spLocks noChangeArrowheads="1"/>
                      </wps:cNvSpPr>
                      <wps:spPr bwMode="auto">
                        <a:xfrm>
                          <a:off x="0" y="0"/>
                          <a:ext cx="5177155" cy="1724025"/>
                        </a:xfrm>
                        <a:prstGeom prst="rect">
                          <a:avLst/>
                        </a:prstGeom>
                        <a:noFill/>
                        <a:ln>
                          <a:noFill/>
                        </a:ln>
                        <a:effectLst/>
                      </wps:spPr>
                      <wps:txbx>
                        <w:txbxContent>
                          <w:tbl>
                            <w:tblPr>
                              <w:tblStyle w:val="13"/>
                              <w:tblW w:w="0" w:type="auto"/>
                              <w:tblInd w:w="7" w:type="dxa"/>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Layout w:type="fixed"/>
                              <w:tblCellMar>
                                <w:top w:w="0" w:type="dxa"/>
                                <w:left w:w="0" w:type="dxa"/>
                                <w:bottom w:w="0" w:type="dxa"/>
                                <w:right w:w="0" w:type="dxa"/>
                              </w:tblCellMar>
                            </w:tblPr>
                            <w:tblGrid>
                              <w:gridCol w:w="817"/>
                              <w:gridCol w:w="4372"/>
                              <w:gridCol w:w="1005"/>
                              <w:gridCol w:w="615"/>
                              <w:gridCol w:w="1005"/>
                              <w:gridCol w:w="315"/>
                            </w:tblGrid>
                            <w:tr w14:paraId="2DA7F80D">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23" w:hRule="atLeast"/>
                              </w:trPr>
                              <w:tc>
                                <w:tcPr>
                                  <w:tcW w:w="6809" w:type="dxa"/>
                                  <w:gridSpan w:val="4"/>
                                  <w:tcBorders>
                                    <w:left w:val="single" w:color="EDEDED" w:sz="6" w:space="0"/>
                                    <w:bottom w:val="single" w:color="F7F7F7" w:sz="6" w:space="0"/>
                                    <w:right w:val="nil"/>
                                  </w:tcBorders>
                                </w:tcPr>
                                <w:p w14:paraId="5F510520">
                                  <w:pPr>
                                    <w:pStyle w:val="119"/>
                                    <w:rPr>
                                      <w:sz w:val="20"/>
                                    </w:rPr>
                                  </w:pPr>
                                </w:p>
                              </w:tc>
                              <w:tc>
                                <w:tcPr>
                                  <w:tcW w:w="1005" w:type="dxa"/>
                                  <w:vMerge w:val="restart"/>
                                  <w:tcBorders>
                                    <w:left w:val="nil"/>
                                    <w:right w:val="nil"/>
                                  </w:tcBorders>
                                  <w:shd w:val="clear" w:color="auto" w:fill="663AB6"/>
                                </w:tcPr>
                                <w:p w14:paraId="423E87C6">
                                  <w:pPr>
                                    <w:pStyle w:val="119"/>
                                    <w:spacing w:before="55"/>
                                    <w:rPr>
                                      <w:sz w:val="18"/>
                                    </w:rPr>
                                  </w:pPr>
                                  <w:r>
                                    <w:rPr>
                                      <w:color w:val="FFFFFF"/>
                                      <w:sz w:val="18"/>
                                    </w:rPr>
                                    <w:t>59 (77.6%)</w:t>
                                  </w:r>
                                </w:p>
                              </w:tc>
                              <w:tc>
                                <w:tcPr>
                                  <w:tcW w:w="315" w:type="dxa"/>
                                  <w:tcBorders>
                                    <w:left w:val="nil"/>
                                    <w:bottom w:val="single" w:color="F7F7F7" w:sz="6" w:space="0"/>
                                    <w:right w:val="single" w:color="EDEDED" w:sz="6" w:space="0"/>
                                  </w:tcBorders>
                                </w:tcPr>
                                <w:p w14:paraId="73EB8706">
                                  <w:pPr>
                                    <w:pStyle w:val="119"/>
                                    <w:rPr>
                                      <w:sz w:val="20"/>
                                    </w:rPr>
                                  </w:pPr>
                                </w:p>
                              </w:tc>
                            </w:tr>
                            <w:tr w14:paraId="53B9AD8C">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9" w:type="dxa"/>
                                  <w:gridSpan w:val="4"/>
                                  <w:tcBorders>
                                    <w:top w:val="single" w:color="F7F7F7" w:sz="6" w:space="0"/>
                                    <w:left w:val="single" w:color="EDEDED" w:sz="6" w:space="0"/>
                                    <w:bottom w:val="single" w:color="EDEDED" w:sz="6" w:space="0"/>
                                    <w:right w:val="nil"/>
                                  </w:tcBorders>
                                </w:tcPr>
                                <w:p w14:paraId="1FE3E2C4">
                                  <w:pPr>
                                    <w:pStyle w:val="119"/>
                                    <w:rPr>
                                      <w:sz w:val="20"/>
                                    </w:rPr>
                                  </w:pPr>
                                </w:p>
                              </w:tc>
                              <w:tc>
                                <w:tcPr>
                                  <w:tcW w:w="1005" w:type="dxa"/>
                                  <w:vMerge w:val="continue"/>
                                  <w:tcBorders>
                                    <w:top w:val="nil"/>
                                    <w:left w:val="nil"/>
                                    <w:right w:val="nil"/>
                                  </w:tcBorders>
                                  <w:shd w:val="clear" w:color="auto" w:fill="663AB6"/>
                                </w:tcPr>
                                <w:p w14:paraId="047F3D18">
                                  <w:pPr>
                                    <w:rPr>
                                      <w:sz w:val="2"/>
                                      <w:szCs w:val="2"/>
                                    </w:rPr>
                                  </w:pPr>
                                </w:p>
                              </w:tc>
                              <w:tc>
                                <w:tcPr>
                                  <w:tcW w:w="315" w:type="dxa"/>
                                  <w:tcBorders>
                                    <w:top w:val="single" w:color="F7F7F7" w:sz="6" w:space="0"/>
                                    <w:left w:val="nil"/>
                                    <w:bottom w:val="single" w:color="EDEDED" w:sz="6" w:space="0"/>
                                    <w:right w:val="single" w:color="EDEDED" w:sz="6" w:space="0"/>
                                  </w:tcBorders>
                                </w:tcPr>
                                <w:p w14:paraId="20576490">
                                  <w:pPr>
                                    <w:pStyle w:val="119"/>
                                    <w:rPr>
                                      <w:sz w:val="20"/>
                                    </w:rPr>
                                  </w:pPr>
                                </w:p>
                              </w:tc>
                            </w:tr>
                            <w:tr w14:paraId="19B22711">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9" w:type="dxa"/>
                                  <w:gridSpan w:val="4"/>
                                  <w:tcBorders>
                                    <w:top w:val="single" w:color="EDEDED" w:sz="6" w:space="0"/>
                                    <w:left w:val="single" w:color="EDEDED" w:sz="6" w:space="0"/>
                                    <w:bottom w:val="single" w:color="F7F7F7" w:sz="6" w:space="0"/>
                                    <w:right w:val="nil"/>
                                  </w:tcBorders>
                                </w:tcPr>
                                <w:p w14:paraId="1543A768">
                                  <w:pPr>
                                    <w:pStyle w:val="119"/>
                                    <w:rPr>
                                      <w:sz w:val="20"/>
                                    </w:rPr>
                                  </w:pPr>
                                </w:p>
                              </w:tc>
                              <w:tc>
                                <w:tcPr>
                                  <w:tcW w:w="1005" w:type="dxa"/>
                                  <w:vMerge w:val="continue"/>
                                  <w:tcBorders>
                                    <w:top w:val="nil"/>
                                    <w:left w:val="nil"/>
                                    <w:right w:val="nil"/>
                                  </w:tcBorders>
                                  <w:shd w:val="clear" w:color="auto" w:fill="663AB6"/>
                                </w:tcPr>
                                <w:p w14:paraId="5F7A0890">
                                  <w:pPr>
                                    <w:rPr>
                                      <w:sz w:val="2"/>
                                      <w:szCs w:val="2"/>
                                    </w:rPr>
                                  </w:pPr>
                                </w:p>
                              </w:tc>
                              <w:tc>
                                <w:tcPr>
                                  <w:tcW w:w="315" w:type="dxa"/>
                                  <w:tcBorders>
                                    <w:top w:val="single" w:color="EDEDED" w:sz="6" w:space="0"/>
                                    <w:left w:val="nil"/>
                                    <w:bottom w:val="single" w:color="F7F7F7" w:sz="6" w:space="0"/>
                                    <w:right w:val="single" w:color="EDEDED" w:sz="6" w:space="0"/>
                                  </w:tcBorders>
                                </w:tcPr>
                                <w:p w14:paraId="67A75699">
                                  <w:pPr>
                                    <w:pStyle w:val="119"/>
                                    <w:rPr>
                                      <w:sz w:val="20"/>
                                    </w:rPr>
                                  </w:pPr>
                                </w:p>
                              </w:tc>
                            </w:tr>
                            <w:tr w14:paraId="5E72EC8D">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04" w:hRule="atLeast"/>
                              </w:trPr>
                              <w:tc>
                                <w:tcPr>
                                  <w:tcW w:w="6809" w:type="dxa"/>
                                  <w:gridSpan w:val="4"/>
                                  <w:tcBorders>
                                    <w:top w:val="single" w:color="F7F7F7" w:sz="6" w:space="0"/>
                                    <w:left w:val="single" w:color="EDEDED" w:sz="6" w:space="0"/>
                                    <w:bottom w:val="single" w:color="EDEDED" w:sz="6" w:space="0"/>
                                    <w:right w:val="nil"/>
                                  </w:tcBorders>
                                </w:tcPr>
                                <w:p w14:paraId="629177D6">
                                  <w:pPr>
                                    <w:pStyle w:val="119"/>
                                    <w:rPr>
                                      <w:sz w:val="20"/>
                                    </w:rPr>
                                  </w:pPr>
                                </w:p>
                              </w:tc>
                              <w:tc>
                                <w:tcPr>
                                  <w:tcW w:w="1005" w:type="dxa"/>
                                  <w:vMerge w:val="continue"/>
                                  <w:tcBorders>
                                    <w:top w:val="nil"/>
                                    <w:left w:val="nil"/>
                                    <w:right w:val="nil"/>
                                  </w:tcBorders>
                                  <w:shd w:val="clear" w:color="auto" w:fill="663AB6"/>
                                </w:tcPr>
                                <w:p w14:paraId="01AF4395">
                                  <w:pPr>
                                    <w:rPr>
                                      <w:sz w:val="2"/>
                                      <w:szCs w:val="2"/>
                                    </w:rPr>
                                  </w:pPr>
                                </w:p>
                              </w:tc>
                              <w:tc>
                                <w:tcPr>
                                  <w:tcW w:w="315" w:type="dxa"/>
                                  <w:tcBorders>
                                    <w:top w:val="single" w:color="F7F7F7" w:sz="6" w:space="0"/>
                                    <w:left w:val="nil"/>
                                    <w:bottom w:val="single" w:color="EDEDED" w:sz="6" w:space="0"/>
                                    <w:right w:val="single" w:color="EDEDED" w:sz="6" w:space="0"/>
                                  </w:tcBorders>
                                </w:tcPr>
                                <w:p w14:paraId="3BC061C1">
                                  <w:pPr>
                                    <w:pStyle w:val="119"/>
                                    <w:rPr>
                                      <w:sz w:val="20"/>
                                    </w:rPr>
                                  </w:pPr>
                                </w:p>
                              </w:tc>
                            </w:tr>
                            <w:tr w14:paraId="719566B0">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9" w:type="dxa"/>
                                  <w:gridSpan w:val="4"/>
                                  <w:tcBorders>
                                    <w:top w:val="single" w:color="EDEDED" w:sz="6" w:space="0"/>
                                    <w:left w:val="single" w:color="EDEDED" w:sz="6" w:space="0"/>
                                    <w:bottom w:val="single" w:color="F7F7F7" w:sz="6" w:space="0"/>
                                    <w:right w:val="nil"/>
                                  </w:tcBorders>
                                </w:tcPr>
                                <w:p w14:paraId="79E9B9FB">
                                  <w:pPr>
                                    <w:pStyle w:val="119"/>
                                    <w:rPr>
                                      <w:sz w:val="20"/>
                                    </w:rPr>
                                  </w:pPr>
                                </w:p>
                              </w:tc>
                              <w:tc>
                                <w:tcPr>
                                  <w:tcW w:w="1005" w:type="dxa"/>
                                  <w:vMerge w:val="continue"/>
                                  <w:tcBorders>
                                    <w:top w:val="nil"/>
                                    <w:left w:val="nil"/>
                                    <w:right w:val="nil"/>
                                  </w:tcBorders>
                                  <w:shd w:val="clear" w:color="auto" w:fill="663AB6"/>
                                </w:tcPr>
                                <w:p w14:paraId="1690CD72">
                                  <w:pPr>
                                    <w:rPr>
                                      <w:sz w:val="2"/>
                                      <w:szCs w:val="2"/>
                                    </w:rPr>
                                  </w:pPr>
                                </w:p>
                              </w:tc>
                              <w:tc>
                                <w:tcPr>
                                  <w:tcW w:w="315" w:type="dxa"/>
                                  <w:tcBorders>
                                    <w:top w:val="single" w:color="EDEDED" w:sz="6" w:space="0"/>
                                    <w:left w:val="nil"/>
                                    <w:bottom w:val="single" w:color="F7F7F7" w:sz="6" w:space="0"/>
                                    <w:right w:val="single" w:color="EDEDED" w:sz="6" w:space="0"/>
                                  </w:tcBorders>
                                </w:tcPr>
                                <w:p w14:paraId="4C263A3F">
                                  <w:pPr>
                                    <w:pStyle w:val="119"/>
                                    <w:rPr>
                                      <w:sz w:val="20"/>
                                    </w:rPr>
                                  </w:pPr>
                                </w:p>
                              </w:tc>
                            </w:tr>
                            <w:tr w14:paraId="7BCAE251">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232" w:hRule="atLeast"/>
                              </w:trPr>
                              <w:tc>
                                <w:tcPr>
                                  <w:tcW w:w="5189" w:type="dxa"/>
                                  <w:gridSpan w:val="2"/>
                                  <w:tcBorders>
                                    <w:top w:val="single" w:color="F7F7F7" w:sz="6" w:space="0"/>
                                    <w:left w:val="single" w:color="EDEDED" w:sz="6" w:space="0"/>
                                    <w:bottom w:val="nil"/>
                                    <w:right w:val="nil"/>
                                  </w:tcBorders>
                                </w:tcPr>
                                <w:p w14:paraId="0B916C0C">
                                  <w:pPr>
                                    <w:pStyle w:val="119"/>
                                    <w:tabs>
                                      <w:tab w:val="left" w:pos="2089"/>
                                    </w:tabs>
                                    <w:spacing w:before="14" w:line="134" w:lineRule="auto"/>
                                    <w:rPr>
                                      <w:sz w:val="18"/>
                                    </w:rPr>
                                  </w:pPr>
                                  <w:r>
                                    <w:rPr>
                                      <w:color w:val="232327"/>
                                      <w:position w:val="-7"/>
                                      <w:sz w:val="18"/>
                                    </w:rPr>
                                    <w:t xml:space="preserve">0 </w:t>
                                  </w:r>
                                  <w:r>
                                    <w:rPr>
                                      <w:color w:val="202024"/>
                                      <w:position w:val="-7"/>
                                      <w:sz w:val="18"/>
                                    </w:rPr>
                                    <w:t>(0%)</w:t>
                                  </w:r>
                                  <w:r>
                                    <w:rPr>
                                      <w:color w:val="202024"/>
                                      <w:position w:val="-7"/>
                                      <w:sz w:val="18"/>
                                    </w:rPr>
                                    <w:tab/>
                                  </w:r>
                                  <w:r>
                                    <w:rPr>
                                      <w:color w:val="232327"/>
                                      <w:sz w:val="18"/>
                                    </w:rPr>
                                    <w:t xml:space="preserve">2 </w:t>
                                  </w:r>
                                  <w:r>
                                    <w:rPr>
                                      <w:color w:val="202024"/>
                                      <w:sz w:val="18"/>
                                    </w:rPr>
                                    <w:t>(2.6%)</w:t>
                                  </w:r>
                                </w:p>
                              </w:tc>
                              <w:tc>
                                <w:tcPr>
                                  <w:tcW w:w="1005" w:type="dxa"/>
                                  <w:vMerge w:val="restart"/>
                                  <w:tcBorders>
                                    <w:top w:val="single" w:color="F7F7F7" w:sz="6" w:space="0"/>
                                    <w:left w:val="nil"/>
                                    <w:right w:val="nil"/>
                                  </w:tcBorders>
                                  <w:shd w:val="clear" w:color="auto" w:fill="663AB6"/>
                                </w:tcPr>
                                <w:p w14:paraId="64EAB072">
                                  <w:pPr>
                                    <w:pStyle w:val="119"/>
                                    <w:spacing w:before="6"/>
                                    <w:rPr>
                                      <w:sz w:val="18"/>
                                    </w:rPr>
                                  </w:pPr>
                                  <w:r>
                                    <w:rPr>
                                      <w:color w:val="FFFFFF"/>
                                      <w:sz w:val="18"/>
                                    </w:rPr>
                                    <w:t>10 (13.2%)</w:t>
                                  </w:r>
                                </w:p>
                              </w:tc>
                              <w:tc>
                                <w:tcPr>
                                  <w:tcW w:w="615" w:type="dxa"/>
                                  <w:vMerge w:val="restart"/>
                                  <w:tcBorders>
                                    <w:top w:val="single" w:color="F7F7F7" w:sz="6" w:space="0"/>
                                    <w:left w:val="nil"/>
                                    <w:right w:val="nil"/>
                                  </w:tcBorders>
                                </w:tcPr>
                                <w:p w14:paraId="1A7FE613">
                                  <w:pPr>
                                    <w:pStyle w:val="119"/>
                                    <w:rPr>
                                      <w:sz w:val="20"/>
                                    </w:rPr>
                                  </w:pPr>
                                </w:p>
                              </w:tc>
                              <w:tc>
                                <w:tcPr>
                                  <w:tcW w:w="1005" w:type="dxa"/>
                                  <w:vMerge w:val="continue"/>
                                  <w:tcBorders>
                                    <w:top w:val="nil"/>
                                    <w:left w:val="nil"/>
                                    <w:right w:val="nil"/>
                                  </w:tcBorders>
                                  <w:shd w:val="clear" w:color="auto" w:fill="663AB6"/>
                                </w:tcPr>
                                <w:p w14:paraId="37AA2684">
                                  <w:pPr>
                                    <w:rPr>
                                      <w:sz w:val="2"/>
                                      <w:szCs w:val="2"/>
                                    </w:rPr>
                                  </w:pPr>
                                </w:p>
                              </w:tc>
                              <w:tc>
                                <w:tcPr>
                                  <w:tcW w:w="315" w:type="dxa"/>
                                  <w:vMerge w:val="restart"/>
                                  <w:tcBorders>
                                    <w:top w:val="single" w:color="F7F7F7" w:sz="6" w:space="0"/>
                                    <w:left w:val="nil"/>
                                    <w:right w:val="single" w:color="EDEDED" w:sz="6" w:space="0"/>
                                  </w:tcBorders>
                                </w:tcPr>
                                <w:p w14:paraId="159477F6">
                                  <w:pPr>
                                    <w:pStyle w:val="119"/>
                                    <w:rPr>
                                      <w:sz w:val="20"/>
                                    </w:rPr>
                                  </w:pPr>
                                </w:p>
                              </w:tc>
                            </w:tr>
                            <w:tr w14:paraId="21A5B8DF">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161" w:hRule="atLeast"/>
                              </w:trPr>
                              <w:tc>
                                <w:tcPr>
                                  <w:tcW w:w="817" w:type="dxa"/>
                                  <w:tcBorders>
                                    <w:top w:val="nil"/>
                                    <w:left w:val="single" w:color="EDEDED" w:sz="6" w:space="0"/>
                                    <w:right w:val="single" w:color="999999" w:sz="6" w:space="0"/>
                                  </w:tcBorders>
                                </w:tcPr>
                                <w:p w14:paraId="31594858">
                                  <w:pPr>
                                    <w:pStyle w:val="119"/>
                                    <w:rPr>
                                      <w:sz w:val="10"/>
                                    </w:rPr>
                                  </w:pPr>
                                </w:p>
                              </w:tc>
                              <w:tc>
                                <w:tcPr>
                                  <w:tcW w:w="4372" w:type="dxa"/>
                                  <w:tcBorders>
                                    <w:top w:val="nil"/>
                                    <w:left w:val="single" w:color="999999" w:sz="6" w:space="0"/>
                                    <w:bottom w:val="single" w:color="663AB6" w:sz="12" w:space="0"/>
                                    <w:right w:val="nil"/>
                                  </w:tcBorders>
                                </w:tcPr>
                                <w:p w14:paraId="493928D1">
                                  <w:pPr>
                                    <w:pStyle w:val="119"/>
                                    <w:tabs>
                                      <w:tab w:val="left" w:pos="7312"/>
                                    </w:tabs>
                                    <w:spacing w:line="141" w:lineRule="exact"/>
                                    <w:ind w:right="-2952"/>
                                    <w:rPr>
                                      <w:sz w:val="18"/>
                                    </w:rPr>
                                  </w:pPr>
                                  <w:r>
                                    <w:rPr>
                                      <w:color w:val="FFFFFF"/>
                                      <w:sz w:val="18"/>
                                      <w:u w:val="single" w:color="333333"/>
                                      <w:shd w:val="clear" w:color="auto" w:fill="663AB6"/>
                                    </w:rPr>
                                    <w:t xml:space="preserve">                                                                              </w:t>
                                  </w:r>
                                  <w:r>
                                    <w:rPr>
                                      <w:color w:val="FFFFFF"/>
                                      <w:spacing w:val="15"/>
                                      <w:sz w:val="18"/>
                                      <w:u w:val="single" w:color="333333"/>
                                      <w:shd w:val="clear" w:color="auto" w:fill="663AB6"/>
                                    </w:rPr>
                                    <w:t xml:space="preserve"> </w:t>
                                  </w:r>
                                  <w:r>
                                    <w:rPr>
                                      <w:color w:val="FFFFFF"/>
                                      <w:sz w:val="18"/>
                                      <w:u w:val="single" w:color="333333"/>
                                      <w:shd w:val="clear" w:color="auto" w:fill="663AB6"/>
                                    </w:rPr>
                                    <w:t xml:space="preserve">  </w:t>
                                  </w:r>
                                  <w:r>
                                    <w:rPr>
                                      <w:color w:val="FFFFFF"/>
                                      <w:spacing w:val="19"/>
                                      <w:sz w:val="18"/>
                                      <w:u w:val="single" w:color="333333"/>
                                      <w:shd w:val="clear" w:color="auto" w:fill="663AB6"/>
                                    </w:rPr>
                                    <w:t xml:space="preserve"> </w:t>
                                  </w:r>
                                  <w:r>
                                    <w:rPr>
                                      <w:color w:val="FFFFFF"/>
                                      <w:sz w:val="18"/>
                                      <w:u w:val="single" w:color="333333"/>
                                      <w:shd w:val="clear" w:color="auto" w:fill="663AB6"/>
                                    </w:rPr>
                                    <w:t>5 (6.6%)</w:t>
                                  </w:r>
                                  <w:r>
                                    <w:rPr>
                                      <w:color w:val="FFFFFF"/>
                                      <w:sz w:val="18"/>
                                      <w:u w:val="single" w:color="333333"/>
                                      <w:shd w:val="clear" w:color="auto" w:fill="663AB6"/>
                                    </w:rPr>
                                    <w:tab/>
                                  </w:r>
                                </w:p>
                              </w:tc>
                              <w:tc>
                                <w:tcPr>
                                  <w:tcW w:w="1005" w:type="dxa"/>
                                  <w:vMerge w:val="continue"/>
                                  <w:tcBorders>
                                    <w:top w:val="nil"/>
                                    <w:left w:val="nil"/>
                                    <w:right w:val="nil"/>
                                  </w:tcBorders>
                                  <w:shd w:val="clear" w:color="auto" w:fill="663AB6"/>
                                </w:tcPr>
                                <w:p w14:paraId="30DFB364">
                                  <w:pPr>
                                    <w:rPr>
                                      <w:sz w:val="2"/>
                                      <w:szCs w:val="2"/>
                                    </w:rPr>
                                  </w:pPr>
                                </w:p>
                              </w:tc>
                              <w:tc>
                                <w:tcPr>
                                  <w:tcW w:w="615" w:type="dxa"/>
                                  <w:vMerge w:val="continue"/>
                                  <w:tcBorders>
                                    <w:top w:val="nil"/>
                                    <w:left w:val="nil"/>
                                    <w:right w:val="nil"/>
                                  </w:tcBorders>
                                </w:tcPr>
                                <w:p w14:paraId="10F1D886">
                                  <w:pPr>
                                    <w:rPr>
                                      <w:sz w:val="2"/>
                                      <w:szCs w:val="2"/>
                                    </w:rPr>
                                  </w:pPr>
                                </w:p>
                              </w:tc>
                              <w:tc>
                                <w:tcPr>
                                  <w:tcW w:w="1005" w:type="dxa"/>
                                  <w:vMerge w:val="continue"/>
                                  <w:tcBorders>
                                    <w:top w:val="nil"/>
                                    <w:left w:val="nil"/>
                                    <w:right w:val="nil"/>
                                  </w:tcBorders>
                                  <w:shd w:val="clear" w:color="auto" w:fill="663AB6"/>
                                </w:tcPr>
                                <w:p w14:paraId="290C5450">
                                  <w:pPr>
                                    <w:rPr>
                                      <w:sz w:val="2"/>
                                      <w:szCs w:val="2"/>
                                    </w:rPr>
                                  </w:pPr>
                                </w:p>
                              </w:tc>
                              <w:tc>
                                <w:tcPr>
                                  <w:tcW w:w="315" w:type="dxa"/>
                                  <w:vMerge w:val="continue"/>
                                  <w:tcBorders>
                                    <w:top w:val="nil"/>
                                    <w:left w:val="nil"/>
                                    <w:right w:val="single" w:color="EDEDED" w:sz="6" w:space="0"/>
                                  </w:tcBorders>
                                </w:tcPr>
                                <w:p w14:paraId="590B4D6A">
                                  <w:pPr>
                                    <w:rPr>
                                      <w:sz w:val="2"/>
                                      <w:szCs w:val="2"/>
                                    </w:rPr>
                                  </w:pPr>
                                </w:p>
                              </w:tc>
                            </w:tr>
                          </w:tbl>
                          <w:p w14:paraId="6DB202EC">
                            <w:pPr>
                              <w:pStyle w:val="15"/>
                            </w:pPr>
                          </w:p>
                        </w:txbxContent>
                      </wps:txbx>
                      <wps:bodyPr rot="0" vert="horz" wrap="square" lIns="0" tIns="0" rIns="0" bIns="0" anchor="t" anchorCtr="0" upright="1">
                        <a:noAutofit/>
                      </wps:bodyPr>
                    </wps:wsp>
                  </a:graphicData>
                </a:graphic>
              </wp:anchor>
            </w:drawing>
          </mc:Choice>
          <mc:Fallback>
            <w:pict>
              <v:shape id="Text Box 90" o:spid="_x0000_s1026" o:spt="202" type="#_x0000_t202" style="position:absolute;left:0pt;margin-left:103.1pt;margin-top:9.25pt;height:135.75pt;width:407.65pt;mso-position-horizontal-relative:page;z-index:251681792;mso-width-relative:page;mso-height-relative:page;" filled="f" stroked="f" coordsize="21600,21600" o:gfxdata="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MY67rYAAAACwEAAA8AAAAAAAAAAQAgAAAA&#10;IgAAAGRycy9kb3ducmV2LnhtbFBLAQIUABQAAAAIAIdO4kBuYOF7CwIAABwEAAAOAAAAAAAAAAEA&#10;IAAAACcBAABkcnMvZTJvRG9jLnhtbFBLBQYAAAAABgAGAFkBAACkBQAAAAA=&#10;">
                <v:fill on="f" focussize="0,0"/>
                <v:stroke on="f"/>
                <v:imagedata o:title=""/>
                <o:lock v:ext="edit" aspectratio="f"/>
                <v:textbox inset="0mm,0mm,0mm,0mm">
                  <w:txbxContent>
                    <w:tbl>
                      <w:tblPr>
                        <w:tblStyle w:val="13"/>
                        <w:tblW w:w="0" w:type="auto"/>
                        <w:tblInd w:w="7" w:type="dxa"/>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Layout w:type="fixed"/>
                        <w:tblCellMar>
                          <w:top w:w="0" w:type="dxa"/>
                          <w:left w:w="0" w:type="dxa"/>
                          <w:bottom w:w="0" w:type="dxa"/>
                          <w:right w:w="0" w:type="dxa"/>
                        </w:tblCellMar>
                      </w:tblPr>
                      <w:tblGrid>
                        <w:gridCol w:w="817"/>
                        <w:gridCol w:w="4372"/>
                        <w:gridCol w:w="1005"/>
                        <w:gridCol w:w="615"/>
                        <w:gridCol w:w="1005"/>
                        <w:gridCol w:w="315"/>
                      </w:tblGrid>
                      <w:tr w14:paraId="2DA7F80D">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23" w:hRule="atLeast"/>
                        </w:trPr>
                        <w:tc>
                          <w:tcPr>
                            <w:tcW w:w="6809" w:type="dxa"/>
                            <w:gridSpan w:val="4"/>
                            <w:tcBorders>
                              <w:left w:val="single" w:color="EDEDED" w:sz="6" w:space="0"/>
                              <w:bottom w:val="single" w:color="F7F7F7" w:sz="6" w:space="0"/>
                              <w:right w:val="nil"/>
                            </w:tcBorders>
                          </w:tcPr>
                          <w:p w14:paraId="5F510520">
                            <w:pPr>
                              <w:pStyle w:val="119"/>
                              <w:rPr>
                                <w:sz w:val="20"/>
                              </w:rPr>
                            </w:pPr>
                          </w:p>
                        </w:tc>
                        <w:tc>
                          <w:tcPr>
                            <w:tcW w:w="1005" w:type="dxa"/>
                            <w:vMerge w:val="restart"/>
                            <w:tcBorders>
                              <w:left w:val="nil"/>
                              <w:right w:val="nil"/>
                            </w:tcBorders>
                            <w:shd w:val="clear" w:color="auto" w:fill="663AB6"/>
                          </w:tcPr>
                          <w:p w14:paraId="423E87C6">
                            <w:pPr>
                              <w:pStyle w:val="119"/>
                              <w:spacing w:before="55"/>
                              <w:rPr>
                                <w:sz w:val="18"/>
                              </w:rPr>
                            </w:pPr>
                            <w:r>
                              <w:rPr>
                                <w:color w:val="FFFFFF"/>
                                <w:sz w:val="18"/>
                              </w:rPr>
                              <w:t>59 (77.6%)</w:t>
                            </w:r>
                          </w:p>
                        </w:tc>
                        <w:tc>
                          <w:tcPr>
                            <w:tcW w:w="315" w:type="dxa"/>
                            <w:tcBorders>
                              <w:left w:val="nil"/>
                              <w:bottom w:val="single" w:color="F7F7F7" w:sz="6" w:space="0"/>
                              <w:right w:val="single" w:color="EDEDED" w:sz="6" w:space="0"/>
                            </w:tcBorders>
                          </w:tcPr>
                          <w:p w14:paraId="73EB8706">
                            <w:pPr>
                              <w:pStyle w:val="119"/>
                              <w:rPr>
                                <w:sz w:val="20"/>
                              </w:rPr>
                            </w:pPr>
                          </w:p>
                        </w:tc>
                      </w:tr>
                      <w:tr w14:paraId="53B9AD8C">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9" w:type="dxa"/>
                            <w:gridSpan w:val="4"/>
                            <w:tcBorders>
                              <w:top w:val="single" w:color="F7F7F7" w:sz="6" w:space="0"/>
                              <w:left w:val="single" w:color="EDEDED" w:sz="6" w:space="0"/>
                              <w:bottom w:val="single" w:color="EDEDED" w:sz="6" w:space="0"/>
                              <w:right w:val="nil"/>
                            </w:tcBorders>
                          </w:tcPr>
                          <w:p w14:paraId="1FE3E2C4">
                            <w:pPr>
                              <w:pStyle w:val="119"/>
                              <w:rPr>
                                <w:sz w:val="20"/>
                              </w:rPr>
                            </w:pPr>
                          </w:p>
                        </w:tc>
                        <w:tc>
                          <w:tcPr>
                            <w:tcW w:w="1005" w:type="dxa"/>
                            <w:vMerge w:val="continue"/>
                            <w:tcBorders>
                              <w:top w:val="nil"/>
                              <w:left w:val="nil"/>
                              <w:right w:val="nil"/>
                            </w:tcBorders>
                            <w:shd w:val="clear" w:color="auto" w:fill="663AB6"/>
                          </w:tcPr>
                          <w:p w14:paraId="047F3D18">
                            <w:pPr>
                              <w:rPr>
                                <w:sz w:val="2"/>
                                <w:szCs w:val="2"/>
                              </w:rPr>
                            </w:pPr>
                          </w:p>
                        </w:tc>
                        <w:tc>
                          <w:tcPr>
                            <w:tcW w:w="315" w:type="dxa"/>
                            <w:tcBorders>
                              <w:top w:val="single" w:color="F7F7F7" w:sz="6" w:space="0"/>
                              <w:left w:val="nil"/>
                              <w:bottom w:val="single" w:color="EDEDED" w:sz="6" w:space="0"/>
                              <w:right w:val="single" w:color="EDEDED" w:sz="6" w:space="0"/>
                            </w:tcBorders>
                          </w:tcPr>
                          <w:p w14:paraId="20576490">
                            <w:pPr>
                              <w:pStyle w:val="119"/>
                              <w:rPr>
                                <w:sz w:val="20"/>
                              </w:rPr>
                            </w:pPr>
                          </w:p>
                        </w:tc>
                      </w:tr>
                      <w:tr w14:paraId="19B22711">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9" w:type="dxa"/>
                            <w:gridSpan w:val="4"/>
                            <w:tcBorders>
                              <w:top w:val="single" w:color="EDEDED" w:sz="6" w:space="0"/>
                              <w:left w:val="single" w:color="EDEDED" w:sz="6" w:space="0"/>
                              <w:bottom w:val="single" w:color="F7F7F7" w:sz="6" w:space="0"/>
                              <w:right w:val="nil"/>
                            </w:tcBorders>
                          </w:tcPr>
                          <w:p w14:paraId="1543A768">
                            <w:pPr>
                              <w:pStyle w:val="119"/>
                              <w:rPr>
                                <w:sz w:val="20"/>
                              </w:rPr>
                            </w:pPr>
                          </w:p>
                        </w:tc>
                        <w:tc>
                          <w:tcPr>
                            <w:tcW w:w="1005" w:type="dxa"/>
                            <w:vMerge w:val="continue"/>
                            <w:tcBorders>
                              <w:top w:val="nil"/>
                              <w:left w:val="nil"/>
                              <w:right w:val="nil"/>
                            </w:tcBorders>
                            <w:shd w:val="clear" w:color="auto" w:fill="663AB6"/>
                          </w:tcPr>
                          <w:p w14:paraId="5F7A0890">
                            <w:pPr>
                              <w:rPr>
                                <w:sz w:val="2"/>
                                <w:szCs w:val="2"/>
                              </w:rPr>
                            </w:pPr>
                          </w:p>
                        </w:tc>
                        <w:tc>
                          <w:tcPr>
                            <w:tcW w:w="315" w:type="dxa"/>
                            <w:tcBorders>
                              <w:top w:val="single" w:color="EDEDED" w:sz="6" w:space="0"/>
                              <w:left w:val="nil"/>
                              <w:bottom w:val="single" w:color="F7F7F7" w:sz="6" w:space="0"/>
                              <w:right w:val="single" w:color="EDEDED" w:sz="6" w:space="0"/>
                            </w:tcBorders>
                          </w:tcPr>
                          <w:p w14:paraId="67A75699">
                            <w:pPr>
                              <w:pStyle w:val="119"/>
                              <w:rPr>
                                <w:sz w:val="20"/>
                              </w:rPr>
                            </w:pPr>
                          </w:p>
                        </w:tc>
                      </w:tr>
                      <w:tr w14:paraId="5E72EC8D">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04" w:hRule="atLeast"/>
                        </w:trPr>
                        <w:tc>
                          <w:tcPr>
                            <w:tcW w:w="6809" w:type="dxa"/>
                            <w:gridSpan w:val="4"/>
                            <w:tcBorders>
                              <w:top w:val="single" w:color="F7F7F7" w:sz="6" w:space="0"/>
                              <w:left w:val="single" w:color="EDEDED" w:sz="6" w:space="0"/>
                              <w:bottom w:val="single" w:color="EDEDED" w:sz="6" w:space="0"/>
                              <w:right w:val="nil"/>
                            </w:tcBorders>
                          </w:tcPr>
                          <w:p w14:paraId="629177D6">
                            <w:pPr>
                              <w:pStyle w:val="119"/>
                              <w:rPr>
                                <w:sz w:val="20"/>
                              </w:rPr>
                            </w:pPr>
                          </w:p>
                        </w:tc>
                        <w:tc>
                          <w:tcPr>
                            <w:tcW w:w="1005" w:type="dxa"/>
                            <w:vMerge w:val="continue"/>
                            <w:tcBorders>
                              <w:top w:val="nil"/>
                              <w:left w:val="nil"/>
                              <w:right w:val="nil"/>
                            </w:tcBorders>
                            <w:shd w:val="clear" w:color="auto" w:fill="663AB6"/>
                          </w:tcPr>
                          <w:p w14:paraId="01AF4395">
                            <w:pPr>
                              <w:rPr>
                                <w:sz w:val="2"/>
                                <w:szCs w:val="2"/>
                              </w:rPr>
                            </w:pPr>
                          </w:p>
                        </w:tc>
                        <w:tc>
                          <w:tcPr>
                            <w:tcW w:w="315" w:type="dxa"/>
                            <w:tcBorders>
                              <w:top w:val="single" w:color="F7F7F7" w:sz="6" w:space="0"/>
                              <w:left w:val="nil"/>
                              <w:bottom w:val="single" w:color="EDEDED" w:sz="6" w:space="0"/>
                              <w:right w:val="single" w:color="EDEDED" w:sz="6" w:space="0"/>
                            </w:tcBorders>
                          </w:tcPr>
                          <w:p w14:paraId="3BC061C1">
                            <w:pPr>
                              <w:pStyle w:val="119"/>
                              <w:rPr>
                                <w:sz w:val="20"/>
                              </w:rPr>
                            </w:pPr>
                          </w:p>
                        </w:tc>
                      </w:tr>
                      <w:tr w14:paraId="719566B0">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9" w:type="dxa"/>
                            <w:gridSpan w:val="4"/>
                            <w:tcBorders>
                              <w:top w:val="single" w:color="EDEDED" w:sz="6" w:space="0"/>
                              <w:left w:val="single" w:color="EDEDED" w:sz="6" w:space="0"/>
                              <w:bottom w:val="single" w:color="F7F7F7" w:sz="6" w:space="0"/>
                              <w:right w:val="nil"/>
                            </w:tcBorders>
                          </w:tcPr>
                          <w:p w14:paraId="79E9B9FB">
                            <w:pPr>
                              <w:pStyle w:val="119"/>
                              <w:rPr>
                                <w:sz w:val="20"/>
                              </w:rPr>
                            </w:pPr>
                          </w:p>
                        </w:tc>
                        <w:tc>
                          <w:tcPr>
                            <w:tcW w:w="1005" w:type="dxa"/>
                            <w:vMerge w:val="continue"/>
                            <w:tcBorders>
                              <w:top w:val="nil"/>
                              <w:left w:val="nil"/>
                              <w:right w:val="nil"/>
                            </w:tcBorders>
                            <w:shd w:val="clear" w:color="auto" w:fill="663AB6"/>
                          </w:tcPr>
                          <w:p w14:paraId="1690CD72">
                            <w:pPr>
                              <w:rPr>
                                <w:sz w:val="2"/>
                                <w:szCs w:val="2"/>
                              </w:rPr>
                            </w:pPr>
                          </w:p>
                        </w:tc>
                        <w:tc>
                          <w:tcPr>
                            <w:tcW w:w="315" w:type="dxa"/>
                            <w:tcBorders>
                              <w:top w:val="single" w:color="EDEDED" w:sz="6" w:space="0"/>
                              <w:left w:val="nil"/>
                              <w:bottom w:val="single" w:color="F7F7F7" w:sz="6" w:space="0"/>
                              <w:right w:val="single" w:color="EDEDED" w:sz="6" w:space="0"/>
                            </w:tcBorders>
                          </w:tcPr>
                          <w:p w14:paraId="4C263A3F">
                            <w:pPr>
                              <w:pStyle w:val="119"/>
                              <w:rPr>
                                <w:sz w:val="20"/>
                              </w:rPr>
                            </w:pPr>
                          </w:p>
                        </w:tc>
                      </w:tr>
                      <w:tr w14:paraId="7BCAE251">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232" w:hRule="atLeast"/>
                        </w:trPr>
                        <w:tc>
                          <w:tcPr>
                            <w:tcW w:w="5189" w:type="dxa"/>
                            <w:gridSpan w:val="2"/>
                            <w:tcBorders>
                              <w:top w:val="single" w:color="F7F7F7" w:sz="6" w:space="0"/>
                              <w:left w:val="single" w:color="EDEDED" w:sz="6" w:space="0"/>
                              <w:bottom w:val="nil"/>
                              <w:right w:val="nil"/>
                            </w:tcBorders>
                          </w:tcPr>
                          <w:p w14:paraId="0B916C0C">
                            <w:pPr>
                              <w:pStyle w:val="119"/>
                              <w:tabs>
                                <w:tab w:val="left" w:pos="2089"/>
                              </w:tabs>
                              <w:spacing w:before="14" w:line="134" w:lineRule="auto"/>
                              <w:rPr>
                                <w:sz w:val="18"/>
                              </w:rPr>
                            </w:pPr>
                            <w:r>
                              <w:rPr>
                                <w:color w:val="232327"/>
                                <w:position w:val="-7"/>
                                <w:sz w:val="18"/>
                              </w:rPr>
                              <w:t xml:space="preserve">0 </w:t>
                            </w:r>
                            <w:r>
                              <w:rPr>
                                <w:color w:val="202024"/>
                                <w:position w:val="-7"/>
                                <w:sz w:val="18"/>
                              </w:rPr>
                              <w:t>(0%)</w:t>
                            </w:r>
                            <w:r>
                              <w:rPr>
                                <w:color w:val="202024"/>
                                <w:position w:val="-7"/>
                                <w:sz w:val="18"/>
                              </w:rPr>
                              <w:tab/>
                            </w:r>
                            <w:r>
                              <w:rPr>
                                <w:color w:val="232327"/>
                                <w:sz w:val="18"/>
                              </w:rPr>
                              <w:t xml:space="preserve">2 </w:t>
                            </w:r>
                            <w:r>
                              <w:rPr>
                                <w:color w:val="202024"/>
                                <w:sz w:val="18"/>
                              </w:rPr>
                              <w:t>(2.6%)</w:t>
                            </w:r>
                          </w:p>
                        </w:tc>
                        <w:tc>
                          <w:tcPr>
                            <w:tcW w:w="1005" w:type="dxa"/>
                            <w:vMerge w:val="restart"/>
                            <w:tcBorders>
                              <w:top w:val="single" w:color="F7F7F7" w:sz="6" w:space="0"/>
                              <w:left w:val="nil"/>
                              <w:right w:val="nil"/>
                            </w:tcBorders>
                            <w:shd w:val="clear" w:color="auto" w:fill="663AB6"/>
                          </w:tcPr>
                          <w:p w14:paraId="64EAB072">
                            <w:pPr>
                              <w:pStyle w:val="119"/>
                              <w:spacing w:before="6"/>
                              <w:rPr>
                                <w:sz w:val="18"/>
                              </w:rPr>
                            </w:pPr>
                            <w:r>
                              <w:rPr>
                                <w:color w:val="FFFFFF"/>
                                <w:sz w:val="18"/>
                              </w:rPr>
                              <w:t>10 (13.2%)</w:t>
                            </w:r>
                          </w:p>
                        </w:tc>
                        <w:tc>
                          <w:tcPr>
                            <w:tcW w:w="615" w:type="dxa"/>
                            <w:vMerge w:val="restart"/>
                            <w:tcBorders>
                              <w:top w:val="single" w:color="F7F7F7" w:sz="6" w:space="0"/>
                              <w:left w:val="nil"/>
                              <w:right w:val="nil"/>
                            </w:tcBorders>
                          </w:tcPr>
                          <w:p w14:paraId="1A7FE613">
                            <w:pPr>
                              <w:pStyle w:val="119"/>
                              <w:rPr>
                                <w:sz w:val="20"/>
                              </w:rPr>
                            </w:pPr>
                          </w:p>
                        </w:tc>
                        <w:tc>
                          <w:tcPr>
                            <w:tcW w:w="1005" w:type="dxa"/>
                            <w:vMerge w:val="continue"/>
                            <w:tcBorders>
                              <w:top w:val="nil"/>
                              <w:left w:val="nil"/>
                              <w:right w:val="nil"/>
                            </w:tcBorders>
                            <w:shd w:val="clear" w:color="auto" w:fill="663AB6"/>
                          </w:tcPr>
                          <w:p w14:paraId="37AA2684">
                            <w:pPr>
                              <w:rPr>
                                <w:sz w:val="2"/>
                                <w:szCs w:val="2"/>
                              </w:rPr>
                            </w:pPr>
                          </w:p>
                        </w:tc>
                        <w:tc>
                          <w:tcPr>
                            <w:tcW w:w="315" w:type="dxa"/>
                            <w:vMerge w:val="restart"/>
                            <w:tcBorders>
                              <w:top w:val="single" w:color="F7F7F7" w:sz="6" w:space="0"/>
                              <w:left w:val="nil"/>
                              <w:right w:val="single" w:color="EDEDED" w:sz="6" w:space="0"/>
                            </w:tcBorders>
                          </w:tcPr>
                          <w:p w14:paraId="159477F6">
                            <w:pPr>
                              <w:pStyle w:val="119"/>
                              <w:rPr>
                                <w:sz w:val="20"/>
                              </w:rPr>
                            </w:pPr>
                          </w:p>
                        </w:tc>
                      </w:tr>
                      <w:tr w14:paraId="21A5B8DF">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161" w:hRule="atLeast"/>
                        </w:trPr>
                        <w:tc>
                          <w:tcPr>
                            <w:tcW w:w="817" w:type="dxa"/>
                            <w:tcBorders>
                              <w:top w:val="nil"/>
                              <w:left w:val="single" w:color="EDEDED" w:sz="6" w:space="0"/>
                              <w:right w:val="single" w:color="999999" w:sz="6" w:space="0"/>
                            </w:tcBorders>
                          </w:tcPr>
                          <w:p w14:paraId="31594858">
                            <w:pPr>
                              <w:pStyle w:val="119"/>
                              <w:rPr>
                                <w:sz w:val="10"/>
                              </w:rPr>
                            </w:pPr>
                          </w:p>
                        </w:tc>
                        <w:tc>
                          <w:tcPr>
                            <w:tcW w:w="4372" w:type="dxa"/>
                            <w:tcBorders>
                              <w:top w:val="nil"/>
                              <w:left w:val="single" w:color="999999" w:sz="6" w:space="0"/>
                              <w:bottom w:val="single" w:color="663AB6" w:sz="12" w:space="0"/>
                              <w:right w:val="nil"/>
                            </w:tcBorders>
                          </w:tcPr>
                          <w:p w14:paraId="493928D1">
                            <w:pPr>
                              <w:pStyle w:val="119"/>
                              <w:tabs>
                                <w:tab w:val="left" w:pos="7312"/>
                              </w:tabs>
                              <w:spacing w:line="141" w:lineRule="exact"/>
                              <w:ind w:right="-2952"/>
                              <w:rPr>
                                <w:sz w:val="18"/>
                              </w:rPr>
                            </w:pPr>
                            <w:r>
                              <w:rPr>
                                <w:color w:val="FFFFFF"/>
                                <w:sz w:val="18"/>
                                <w:u w:val="single" w:color="333333"/>
                                <w:shd w:val="clear" w:color="auto" w:fill="663AB6"/>
                              </w:rPr>
                              <w:t xml:space="preserve">                                                                              </w:t>
                            </w:r>
                            <w:r>
                              <w:rPr>
                                <w:color w:val="FFFFFF"/>
                                <w:spacing w:val="15"/>
                                <w:sz w:val="18"/>
                                <w:u w:val="single" w:color="333333"/>
                                <w:shd w:val="clear" w:color="auto" w:fill="663AB6"/>
                              </w:rPr>
                              <w:t xml:space="preserve"> </w:t>
                            </w:r>
                            <w:r>
                              <w:rPr>
                                <w:color w:val="FFFFFF"/>
                                <w:sz w:val="18"/>
                                <w:u w:val="single" w:color="333333"/>
                                <w:shd w:val="clear" w:color="auto" w:fill="663AB6"/>
                              </w:rPr>
                              <w:t xml:space="preserve">  </w:t>
                            </w:r>
                            <w:r>
                              <w:rPr>
                                <w:color w:val="FFFFFF"/>
                                <w:spacing w:val="19"/>
                                <w:sz w:val="18"/>
                                <w:u w:val="single" w:color="333333"/>
                                <w:shd w:val="clear" w:color="auto" w:fill="663AB6"/>
                              </w:rPr>
                              <w:t xml:space="preserve"> </w:t>
                            </w:r>
                            <w:r>
                              <w:rPr>
                                <w:color w:val="FFFFFF"/>
                                <w:sz w:val="18"/>
                                <w:u w:val="single" w:color="333333"/>
                                <w:shd w:val="clear" w:color="auto" w:fill="663AB6"/>
                              </w:rPr>
                              <w:t>5 (6.6%)</w:t>
                            </w:r>
                            <w:r>
                              <w:rPr>
                                <w:color w:val="FFFFFF"/>
                                <w:sz w:val="18"/>
                                <w:u w:val="single" w:color="333333"/>
                                <w:shd w:val="clear" w:color="auto" w:fill="663AB6"/>
                              </w:rPr>
                              <w:tab/>
                            </w:r>
                          </w:p>
                        </w:tc>
                        <w:tc>
                          <w:tcPr>
                            <w:tcW w:w="1005" w:type="dxa"/>
                            <w:vMerge w:val="continue"/>
                            <w:tcBorders>
                              <w:top w:val="nil"/>
                              <w:left w:val="nil"/>
                              <w:right w:val="nil"/>
                            </w:tcBorders>
                            <w:shd w:val="clear" w:color="auto" w:fill="663AB6"/>
                          </w:tcPr>
                          <w:p w14:paraId="30DFB364">
                            <w:pPr>
                              <w:rPr>
                                <w:sz w:val="2"/>
                                <w:szCs w:val="2"/>
                              </w:rPr>
                            </w:pPr>
                          </w:p>
                        </w:tc>
                        <w:tc>
                          <w:tcPr>
                            <w:tcW w:w="615" w:type="dxa"/>
                            <w:vMerge w:val="continue"/>
                            <w:tcBorders>
                              <w:top w:val="nil"/>
                              <w:left w:val="nil"/>
                              <w:right w:val="nil"/>
                            </w:tcBorders>
                          </w:tcPr>
                          <w:p w14:paraId="10F1D886">
                            <w:pPr>
                              <w:rPr>
                                <w:sz w:val="2"/>
                                <w:szCs w:val="2"/>
                              </w:rPr>
                            </w:pPr>
                          </w:p>
                        </w:tc>
                        <w:tc>
                          <w:tcPr>
                            <w:tcW w:w="1005" w:type="dxa"/>
                            <w:vMerge w:val="continue"/>
                            <w:tcBorders>
                              <w:top w:val="nil"/>
                              <w:left w:val="nil"/>
                              <w:right w:val="nil"/>
                            </w:tcBorders>
                            <w:shd w:val="clear" w:color="auto" w:fill="663AB6"/>
                          </w:tcPr>
                          <w:p w14:paraId="290C5450">
                            <w:pPr>
                              <w:rPr>
                                <w:sz w:val="2"/>
                                <w:szCs w:val="2"/>
                              </w:rPr>
                            </w:pPr>
                          </w:p>
                        </w:tc>
                        <w:tc>
                          <w:tcPr>
                            <w:tcW w:w="315" w:type="dxa"/>
                            <w:vMerge w:val="continue"/>
                            <w:tcBorders>
                              <w:top w:val="nil"/>
                              <w:left w:val="nil"/>
                              <w:right w:val="single" w:color="EDEDED" w:sz="6" w:space="0"/>
                            </w:tcBorders>
                          </w:tcPr>
                          <w:p w14:paraId="590B4D6A">
                            <w:pPr>
                              <w:rPr>
                                <w:sz w:val="2"/>
                                <w:szCs w:val="2"/>
                              </w:rPr>
                            </w:pPr>
                          </w:p>
                        </w:tc>
                      </w:tr>
                    </w:tbl>
                    <w:p w14:paraId="6DB202EC">
                      <w:pPr>
                        <w:pStyle w:val="15"/>
                      </w:pPr>
                    </w:p>
                  </w:txbxContent>
                </v:textbox>
              </v:shape>
            </w:pict>
          </mc:Fallback>
        </mc:AlternateContent>
      </w:r>
      <w:r>
        <w:rPr>
          <w:rFonts w:ascii="Arial MT" w:hAnsi="Roboto" w:eastAsia="Roboto" w:cs="Roboto"/>
          <w:color w:val="444444"/>
          <w:sz w:val="18"/>
          <w:szCs w:val="22"/>
        </w:rPr>
        <w:t>60</w:t>
      </w:r>
    </w:p>
    <w:p w14:paraId="585FA5DB">
      <w:pPr>
        <w:widowControl w:val="0"/>
        <w:autoSpaceDE w:val="0"/>
        <w:autoSpaceDN w:val="0"/>
        <w:rPr>
          <w:rFonts w:ascii="Arial MT" w:hAnsi="Roboto" w:eastAsia="Roboto" w:cs="Roboto"/>
          <w:sz w:val="20"/>
          <w:szCs w:val="21"/>
        </w:rPr>
      </w:pPr>
    </w:p>
    <w:p w14:paraId="686AB426">
      <w:pPr>
        <w:widowControl w:val="0"/>
        <w:autoSpaceDE w:val="0"/>
        <w:autoSpaceDN w:val="0"/>
        <w:rPr>
          <w:rFonts w:ascii="Arial MT" w:hAnsi="Roboto" w:eastAsia="Roboto" w:cs="Roboto"/>
          <w:sz w:val="20"/>
          <w:szCs w:val="21"/>
        </w:rPr>
      </w:pPr>
    </w:p>
    <w:p w14:paraId="608DFDBB">
      <w:pPr>
        <w:widowControl w:val="0"/>
        <w:autoSpaceDE w:val="0"/>
        <w:autoSpaceDN w:val="0"/>
        <w:spacing w:before="9"/>
        <w:rPr>
          <w:rFonts w:ascii="Arial MT" w:hAnsi="Roboto" w:eastAsia="Roboto" w:cs="Roboto"/>
          <w:sz w:val="19"/>
          <w:szCs w:val="21"/>
        </w:rPr>
      </w:pPr>
    </w:p>
    <w:p w14:paraId="424BC64D">
      <w:pPr>
        <w:widowControl w:val="0"/>
        <w:autoSpaceDE w:val="0"/>
        <w:autoSpaceDN w:val="0"/>
        <w:spacing w:before="1"/>
        <w:rPr>
          <w:rFonts w:ascii="Arial MT" w:hAnsi="Roboto" w:eastAsia="Roboto" w:cs="Roboto"/>
          <w:sz w:val="18"/>
          <w:szCs w:val="22"/>
        </w:rPr>
      </w:pPr>
      <w:r>
        <w:rPr>
          <w:rFonts w:ascii="Arial MT" w:hAnsi="Roboto" w:eastAsia="Roboto" w:cs="Roboto"/>
          <w:color w:val="444444"/>
          <w:sz w:val="18"/>
          <w:szCs w:val="22"/>
        </w:rPr>
        <w:t>40</w:t>
      </w:r>
    </w:p>
    <w:p w14:paraId="700349DE">
      <w:pPr>
        <w:widowControl w:val="0"/>
        <w:autoSpaceDE w:val="0"/>
        <w:autoSpaceDN w:val="0"/>
        <w:rPr>
          <w:rFonts w:ascii="Arial MT" w:hAnsi="Roboto" w:eastAsia="Roboto" w:cs="Roboto"/>
          <w:sz w:val="20"/>
          <w:szCs w:val="21"/>
        </w:rPr>
      </w:pPr>
    </w:p>
    <w:p w14:paraId="4935B7F1">
      <w:pPr>
        <w:widowControl w:val="0"/>
        <w:autoSpaceDE w:val="0"/>
        <w:autoSpaceDN w:val="0"/>
        <w:rPr>
          <w:rFonts w:ascii="Arial MT" w:hAnsi="Roboto" w:eastAsia="Roboto" w:cs="Roboto"/>
          <w:sz w:val="20"/>
          <w:szCs w:val="21"/>
        </w:rPr>
      </w:pPr>
    </w:p>
    <w:p w14:paraId="2CDE80C7">
      <w:pPr>
        <w:widowControl w:val="0"/>
        <w:autoSpaceDE w:val="0"/>
        <w:autoSpaceDN w:val="0"/>
        <w:spacing w:before="9"/>
        <w:rPr>
          <w:rFonts w:ascii="Arial MT" w:hAnsi="Roboto" w:eastAsia="Roboto" w:cs="Roboto"/>
          <w:sz w:val="19"/>
          <w:szCs w:val="21"/>
        </w:rPr>
      </w:pPr>
    </w:p>
    <w:p w14:paraId="6EFF1F2B">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4C5B9C65">
      <w:pPr>
        <w:widowControl w:val="0"/>
        <w:autoSpaceDE w:val="0"/>
        <w:autoSpaceDN w:val="0"/>
        <w:spacing w:before="1"/>
        <w:rPr>
          <w:rFonts w:ascii="Arial MT" w:hAnsi="Roboto" w:eastAsia="Roboto" w:cs="Roboto"/>
          <w:sz w:val="27"/>
          <w:szCs w:val="21"/>
        </w:rPr>
      </w:pPr>
      <w:r>
        <mc:AlternateContent>
          <mc:Choice Requires="wps">
            <w:drawing>
              <wp:anchor distT="0" distB="0" distL="0" distR="0" simplePos="0" relativeHeight="251682816" behindDoc="1" locked="0" layoutInCell="1" allowOverlap="1">
                <wp:simplePos x="0" y="0"/>
                <wp:positionH relativeFrom="page">
                  <wp:posOffset>1664970</wp:posOffset>
                </wp:positionH>
                <wp:positionV relativeFrom="paragraph">
                  <wp:posOffset>285115</wp:posOffset>
                </wp:positionV>
                <wp:extent cx="328295" cy="107315"/>
                <wp:effectExtent l="17145" t="15875" r="35560" b="19685"/>
                <wp:wrapTopAndBottom/>
                <wp:docPr id="729994185" name="AutoShape 370"/>
                <wp:cNvGraphicFramePr/>
                <a:graphic xmlns:a="http://schemas.openxmlformats.org/drawingml/2006/main">
                  <a:graphicData uri="http://schemas.microsoft.com/office/word/2010/wordprocessingShape">
                    <wps:wsp>
                      <wps:cNvSpPr/>
                      <wps:spPr bwMode="auto">
                        <a:xfrm>
                          <a:off x="0" y="0"/>
                          <a:ext cx="328295" cy="107315"/>
                        </a:xfrm>
                        <a:custGeom>
                          <a:avLst/>
                          <a:gdLst>
                            <a:gd name="T0" fmla="*/ 5080 w 517"/>
                            <a:gd name="T1" fmla="*/ 298450 h 169"/>
                            <a:gd name="T2" fmla="*/ 26670 w 517"/>
                            <a:gd name="T3" fmla="*/ 285750 h 169"/>
                            <a:gd name="T4" fmla="*/ 44450 w 517"/>
                            <a:gd name="T5" fmla="*/ 292735 h 169"/>
                            <a:gd name="T6" fmla="*/ 52705 w 517"/>
                            <a:gd name="T7" fmla="*/ 313055 h 169"/>
                            <a:gd name="T8" fmla="*/ 50800 w 517"/>
                            <a:gd name="T9" fmla="*/ 351155 h 169"/>
                            <a:gd name="T10" fmla="*/ 33020 w 517"/>
                            <a:gd name="T11" fmla="*/ 369570 h 169"/>
                            <a:gd name="T12" fmla="*/ 5080 w 517"/>
                            <a:gd name="T13" fmla="*/ 354965 h 169"/>
                            <a:gd name="T14" fmla="*/ 10795 w 517"/>
                            <a:gd name="T15" fmla="*/ 337185 h 169"/>
                            <a:gd name="T16" fmla="*/ 22225 w 517"/>
                            <a:gd name="T17" fmla="*/ 361315 h 169"/>
                            <a:gd name="T18" fmla="*/ 40640 w 517"/>
                            <a:gd name="T19" fmla="*/ 350520 h 169"/>
                            <a:gd name="T20" fmla="*/ 41910 w 517"/>
                            <a:gd name="T21" fmla="*/ 311150 h 169"/>
                            <a:gd name="T22" fmla="*/ 26670 w 517"/>
                            <a:gd name="T23" fmla="*/ 294005 h 169"/>
                            <a:gd name="T24" fmla="*/ 12065 w 517"/>
                            <a:gd name="T25" fmla="*/ 310515 h 169"/>
                            <a:gd name="T26" fmla="*/ 109855 w 517"/>
                            <a:gd name="T27" fmla="*/ 381000 h 169"/>
                            <a:gd name="T28" fmla="*/ 98425 w 517"/>
                            <a:gd name="T29" fmla="*/ 346075 h 169"/>
                            <a:gd name="T30" fmla="*/ 102235 w 517"/>
                            <a:gd name="T31" fmla="*/ 313055 h 169"/>
                            <a:gd name="T32" fmla="*/ 124460 w 517"/>
                            <a:gd name="T33" fmla="*/ 285115 h 169"/>
                            <a:gd name="T34" fmla="*/ 111760 w 517"/>
                            <a:gd name="T35" fmla="*/ 311785 h 169"/>
                            <a:gd name="T36" fmla="*/ 109220 w 517"/>
                            <a:gd name="T37" fmla="*/ 351790 h 169"/>
                            <a:gd name="T38" fmla="*/ 133350 w 517"/>
                            <a:gd name="T39" fmla="*/ 327660 h 169"/>
                            <a:gd name="T40" fmla="*/ 141605 w 517"/>
                            <a:gd name="T41" fmla="*/ 294005 h 169"/>
                            <a:gd name="T42" fmla="*/ 164465 w 517"/>
                            <a:gd name="T43" fmla="*/ 285750 h 169"/>
                            <a:gd name="T44" fmla="*/ 180340 w 517"/>
                            <a:gd name="T45" fmla="*/ 296545 h 169"/>
                            <a:gd name="T46" fmla="*/ 186690 w 517"/>
                            <a:gd name="T47" fmla="*/ 319405 h 169"/>
                            <a:gd name="T48" fmla="*/ 182245 w 517"/>
                            <a:gd name="T49" fmla="*/ 356870 h 169"/>
                            <a:gd name="T50" fmla="*/ 160020 w 517"/>
                            <a:gd name="T51" fmla="*/ 369570 h 169"/>
                            <a:gd name="T52" fmla="*/ 135890 w 517"/>
                            <a:gd name="T53" fmla="*/ 347345 h 169"/>
                            <a:gd name="T54" fmla="*/ 145415 w 517"/>
                            <a:gd name="T55" fmla="*/ 344805 h 169"/>
                            <a:gd name="T56" fmla="*/ 160020 w 517"/>
                            <a:gd name="T57" fmla="*/ 361315 h 169"/>
                            <a:gd name="T58" fmla="*/ 175260 w 517"/>
                            <a:gd name="T59" fmla="*/ 344805 h 169"/>
                            <a:gd name="T60" fmla="*/ 173990 w 517"/>
                            <a:gd name="T61" fmla="*/ 305435 h 169"/>
                            <a:gd name="T62" fmla="*/ 155575 w 517"/>
                            <a:gd name="T63" fmla="*/ 294005 h 169"/>
                            <a:gd name="T64" fmla="*/ 144145 w 517"/>
                            <a:gd name="T65" fmla="*/ 318770 h 169"/>
                            <a:gd name="T66" fmla="*/ 203200 w 517"/>
                            <a:gd name="T67" fmla="*/ 290830 h 169"/>
                            <a:gd name="T68" fmla="*/ 225425 w 517"/>
                            <a:gd name="T69" fmla="*/ 287020 h 169"/>
                            <a:gd name="T70" fmla="*/ 234315 w 517"/>
                            <a:gd name="T71" fmla="*/ 313690 h 169"/>
                            <a:gd name="T72" fmla="*/ 216535 w 517"/>
                            <a:gd name="T73" fmla="*/ 328295 h 169"/>
                            <a:gd name="T74" fmla="*/ 199390 w 517"/>
                            <a:gd name="T75" fmla="*/ 313690 h 169"/>
                            <a:gd name="T76" fmla="*/ 210185 w 517"/>
                            <a:gd name="T77" fmla="*/ 295275 h 169"/>
                            <a:gd name="T78" fmla="*/ 208915 w 517"/>
                            <a:gd name="T79" fmla="*/ 316230 h 169"/>
                            <a:gd name="T80" fmla="*/ 219075 w 517"/>
                            <a:gd name="T81" fmla="*/ 321310 h 169"/>
                            <a:gd name="T82" fmla="*/ 225425 w 517"/>
                            <a:gd name="T83" fmla="*/ 306070 h 169"/>
                            <a:gd name="T84" fmla="*/ 219075 w 517"/>
                            <a:gd name="T85" fmla="*/ 292100 h 169"/>
                            <a:gd name="T86" fmla="*/ 224790 w 517"/>
                            <a:gd name="T87" fmla="*/ 371475 h 169"/>
                            <a:gd name="T88" fmla="*/ 256540 w 517"/>
                            <a:gd name="T89" fmla="*/ 334010 h 169"/>
                            <a:gd name="T90" fmla="*/ 278765 w 517"/>
                            <a:gd name="T91" fmla="*/ 329565 h 169"/>
                            <a:gd name="T92" fmla="*/ 287020 w 517"/>
                            <a:gd name="T93" fmla="*/ 356235 h 169"/>
                            <a:gd name="T94" fmla="*/ 269240 w 517"/>
                            <a:gd name="T95" fmla="*/ 371475 h 169"/>
                            <a:gd name="T96" fmla="*/ 252095 w 517"/>
                            <a:gd name="T97" fmla="*/ 356235 h 169"/>
                            <a:gd name="T98" fmla="*/ 263525 w 517"/>
                            <a:gd name="T99" fmla="*/ 337820 h 169"/>
                            <a:gd name="T100" fmla="*/ 261620 w 517"/>
                            <a:gd name="T101" fmla="*/ 358775 h 169"/>
                            <a:gd name="T102" fmla="*/ 271780 w 517"/>
                            <a:gd name="T103" fmla="*/ 364490 h 169"/>
                            <a:gd name="T104" fmla="*/ 278130 w 517"/>
                            <a:gd name="T105" fmla="*/ 349250 h 169"/>
                            <a:gd name="T106" fmla="*/ 271780 w 517"/>
                            <a:gd name="T107" fmla="*/ 334645 h 169"/>
                            <a:gd name="T108" fmla="*/ 313690 w 517"/>
                            <a:gd name="T109" fmla="*/ 365125 h 169"/>
                            <a:gd name="T110" fmla="*/ 315595 w 517"/>
                            <a:gd name="T111" fmla="*/ 317500 h 169"/>
                            <a:gd name="T112" fmla="*/ 305435 w 517"/>
                            <a:gd name="T113" fmla="*/ 292735 h 169"/>
                            <a:gd name="T114" fmla="*/ 320675 w 517"/>
                            <a:gd name="T115" fmla="*/ 306070 h 169"/>
                            <a:gd name="T116" fmla="*/ 328295 w 517"/>
                            <a:gd name="T117" fmla="*/ 338455 h 169"/>
                            <a:gd name="T118" fmla="*/ 319405 w 517"/>
                            <a:gd name="T119" fmla="*/ 374650 h 16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17" h="169">
                              <a:moveTo>
                                <a:pt x="0" y="67"/>
                              </a:moveTo>
                              <a:lnTo>
                                <a:pt x="0" y="52"/>
                              </a:lnTo>
                              <a:lnTo>
                                <a:pt x="2" y="40"/>
                              </a:lnTo>
                              <a:lnTo>
                                <a:pt x="5" y="30"/>
                              </a:lnTo>
                              <a:lnTo>
                                <a:pt x="8" y="21"/>
                              </a:lnTo>
                              <a:lnTo>
                                <a:pt x="13" y="14"/>
                              </a:lnTo>
                              <a:lnTo>
                                <a:pt x="19" y="9"/>
                              </a:lnTo>
                              <a:lnTo>
                                <a:pt x="25" y="4"/>
                              </a:lnTo>
                              <a:lnTo>
                                <a:pt x="33" y="1"/>
                              </a:lnTo>
                              <a:lnTo>
                                <a:pt x="42" y="1"/>
                              </a:lnTo>
                              <a:lnTo>
                                <a:pt x="49" y="1"/>
                              </a:lnTo>
                              <a:lnTo>
                                <a:pt x="55" y="3"/>
                              </a:lnTo>
                              <a:lnTo>
                                <a:pt x="61" y="6"/>
                              </a:lnTo>
                              <a:lnTo>
                                <a:pt x="66" y="8"/>
                              </a:lnTo>
                              <a:lnTo>
                                <a:pt x="70" y="12"/>
                              </a:lnTo>
                              <a:lnTo>
                                <a:pt x="74" y="18"/>
                              </a:lnTo>
                              <a:lnTo>
                                <a:pt x="77" y="23"/>
                              </a:lnTo>
                              <a:lnTo>
                                <a:pt x="80" y="29"/>
                              </a:lnTo>
                              <a:lnTo>
                                <a:pt x="82" y="37"/>
                              </a:lnTo>
                              <a:lnTo>
                                <a:pt x="83" y="44"/>
                              </a:lnTo>
                              <a:lnTo>
                                <a:pt x="84" y="54"/>
                              </a:lnTo>
                              <a:lnTo>
                                <a:pt x="84" y="67"/>
                              </a:lnTo>
                              <a:lnTo>
                                <a:pt x="84" y="82"/>
                              </a:lnTo>
                              <a:lnTo>
                                <a:pt x="83" y="95"/>
                              </a:lnTo>
                              <a:lnTo>
                                <a:pt x="80" y="104"/>
                              </a:lnTo>
                              <a:lnTo>
                                <a:pt x="77" y="113"/>
                              </a:lnTo>
                              <a:lnTo>
                                <a:pt x="72" y="120"/>
                              </a:lnTo>
                              <a:lnTo>
                                <a:pt x="66" y="125"/>
                              </a:lnTo>
                              <a:lnTo>
                                <a:pt x="60" y="130"/>
                              </a:lnTo>
                              <a:lnTo>
                                <a:pt x="52" y="133"/>
                              </a:lnTo>
                              <a:lnTo>
                                <a:pt x="42" y="133"/>
                              </a:lnTo>
                              <a:lnTo>
                                <a:pt x="30" y="133"/>
                              </a:lnTo>
                              <a:lnTo>
                                <a:pt x="20" y="129"/>
                              </a:lnTo>
                              <a:lnTo>
                                <a:pt x="13" y="120"/>
                              </a:lnTo>
                              <a:lnTo>
                                <a:pt x="8" y="110"/>
                              </a:lnTo>
                              <a:lnTo>
                                <a:pt x="4" y="98"/>
                              </a:lnTo>
                              <a:lnTo>
                                <a:pt x="1" y="84"/>
                              </a:lnTo>
                              <a:lnTo>
                                <a:pt x="0" y="67"/>
                              </a:lnTo>
                              <a:close/>
                              <a:moveTo>
                                <a:pt x="17" y="67"/>
                              </a:moveTo>
                              <a:lnTo>
                                <a:pt x="17" y="82"/>
                              </a:lnTo>
                              <a:lnTo>
                                <a:pt x="19" y="94"/>
                              </a:lnTo>
                              <a:lnTo>
                                <a:pt x="21" y="103"/>
                              </a:lnTo>
                              <a:lnTo>
                                <a:pt x="24" y="109"/>
                              </a:lnTo>
                              <a:lnTo>
                                <a:pt x="29" y="116"/>
                              </a:lnTo>
                              <a:lnTo>
                                <a:pt x="35" y="120"/>
                              </a:lnTo>
                              <a:lnTo>
                                <a:pt x="42" y="120"/>
                              </a:lnTo>
                              <a:lnTo>
                                <a:pt x="50" y="120"/>
                              </a:lnTo>
                              <a:lnTo>
                                <a:pt x="56" y="116"/>
                              </a:lnTo>
                              <a:lnTo>
                                <a:pt x="61" y="109"/>
                              </a:lnTo>
                              <a:lnTo>
                                <a:pt x="64" y="103"/>
                              </a:lnTo>
                              <a:lnTo>
                                <a:pt x="66" y="94"/>
                              </a:lnTo>
                              <a:lnTo>
                                <a:pt x="68" y="82"/>
                              </a:lnTo>
                              <a:lnTo>
                                <a:pt x="68" y="67"/>
                              </a:lnTo>
                              <a:lnTo>
                                <a:pt x="68" y="53"/>
                              </a:lnTo>
                              <a:lnTo>
                                <a:pt x="66" y="41"/>
                              </a:lnTo>
                              <a:lnTo>
                                <a:pt x="64" y="32"/>
                              </a:lnTo>
                              <a:lnTo>
                                <a:pt x="61" y="25"/>
                              </a:lnTo>
                              <a:lnTo>
                                <a:pt x="56" y="18"/>
                              </a:lnTo>
                              <a:lnTo>
                                <a:pt x="50" y="14"/>
                              </a:lnTo>
                              <a:lnTo>
                                <a:pt x="42" y="14"/>
                              </a:lnTo>
                              <a:lnTo>
                                <a:pt x="35" y="14"/>
                              </a:lnTo>
                              <a:lnTo>
                                <a:pt x="29" y="18"/>
                              </a:lnTo>
                              <a:lnTo>
                                <a:pt x="25" y="24"/>
                              </a:lnTo>
                              <a:lnTo>
                                <a:pt x="21" y="31"/>
                              </a:lnTo>
                              <a:lnTo>
                                <a:pt x="19" y="40"/>
                              </a:lnTo>
                              <a:lnTo>
                                <a:pt x="17" y="53"/>
                              </a:lnTo>
                              <a:lnTo>
                                <a:pt x="17" y="67"/>
                              </a:lnTo>
                              <a:close/>
                              <a:moveTo>
                                <a:pt x="185" y="169"/>
                              </a:moveTo>
                              <a:lnTo>
                                <a:pt x="179" y="160"/>
                              </a:lnTo>
                              <a:lnTo>
                                <a:pt x="173" y="151"/>
                              </a:lnTo>
                              <a:lnTo>
                                <a:pt x="168" y="141"/>
                              </a:lnTo>
                              <a:lnTo>
                                <a:pt x="163" y="130"/>
                              </a:lnTo>
                              <a:lnTo>
                                <a:pt x="159" y="119"/>
                              </a:lnTo>
                              <a:lnTo>
                                <a:pt x="156" y="107"/>
                              </a:lnTo>
                              <a:lnTo>
                                <a:pt x="155" y="96"/>
                              </a:lnTo>
                              <a:lnTo>
                                <a:pt x="154" y="84"/>
                              </a:lnTo>
                              <a:lnTo>
                                <a:pt x="154" y="74"/>
                              </a:lnTo>
                              <a:lnTo>
                                <a:pt x="156" y="64"/>
                              </a:lnTo>
                              <a:lnTo>
                                <a:pt x="158" y="54"/>
                              </a:lnTo>
                              <a:lnTo>
                                <a:pt x="161" y="44"/>
                              </a:lnTo>
                              <a:lnTo>
                                <a:pt x="165" y="33"/>
                              </a:lnTo>
                              <a:lnTo>
                                <a:pt x="171" y="22"/>
                              </a:lnTo>
                              <a:lnTo>
                                <a:pt x="177" y="11"/>
                              </a:lnTo>
                              <a:lnTo>
                                <a:pt x="185" y="0"/>
                              </a:lnTo>
                              <a:lnTo>
                                <a:pt x="196" y="0"/>
                              </a:lnTo>
                              <a:lnTo>
                                <a:pt x="189" y="12"/>
                              </a:lnTo>
                              <a:lnTo>
                                <a:pt x="185" y="21"/>
                              </a:lnTo>
                              <a:lnTo>
                                <a:pt x="182" y="26"/>
                              </a:lnTo>
                              <a:lnTo>
                                <a:pt x="179" y="34"/>
                              </a:lnTo>
                              <a:lnTo>
                                <a:pt x="176" y="42"/>
                              </a:lnTo>
                              <a:lnTo>
                                <a:pt x="174" y="51"/>
                              </a:lnTo>
                              <a:lnTo>
                                <a:pt x="171" y="62"/>
                              </a:lnTo>
                              <a:lnTo>
                                <a:pt x="170" y="73"/>
                              </a:lnTo>
                              <a:lnTo>
                                <a:pt x="170" y="84"/>
                              </a:lnTo>
                              <a:lnTo>
                                <a:pt x="172" y="105"/>
                              </a:lnTo>
                              <a:lnTo>
                                <a:pt x="177" y="126"/>
                              </a:lnTo>
                              <a:lnTo>
                                <a:pt x="185" y="148"/>
                              </a:lnTo>
                              <a:lnTo>
                                <a:pt x="196" y="169"/>
                              </a:lnTo>
                              <a:lnTo>
                                <a:pt x="185" y="169"/>
                              </a:lnTo>
                              <a:close/>
                              <a:moveTo>
                                <a:pt x="210" y="67"/>
                              </a:moveTo>
                              <a:lnTo>
                                <a:pt x="210" y="52"/>
                              </a:lnTo>
                              <a:lnTo>
                                <a:pt x="212" y="40"/>
                              </a:lnTo>
                              <a:lnTo>
                                <a:pt x="215" y="30"/>
                              </a:lnTo>
                              <a:lnTo>
                                <a:pt x="218" y="21"/>
                              </a:lnTo>
                              <a:lnTo>
                                <a:pt x="223" y="14"/>
                              </a:lnTo>
                              <a:lnTo>
                                <a:pt x="229" y="9"/>
                              </a:lnTo>
                              <a:lnTo>
                                <a:pt x="235" y="4"/>
                              </a:lnTo>
                              <a:lnTo>
                                <a:pt x="243" y="1"/>
                              </a:lnTo>
                              <a:lnTo>
                                <a:pt x="252" y="1"/>
                              </a:lnTo>
                              <a:lnTo>
                                <a:pt x="259" y="1"/>
                              </a:lnTo>
                              <a:lnTo>
                                <a:pt x="265" y="3"/>
                              </a:lnTo>
                              <a:lnTo>
                                <a:pt x="271" y="6"/>
                              </a:lnTo>
                              <a:lnTo>
                                <a:pt x="276" y="8"/>
                              </a:lnTo>
                              <a:lnTo>
                                <a:pt x="280" y="12"/>
                              </a:lnTo>
                              <a:lnTo>
                                <a:pt x="284" y="18"/>
                              </a:lnTo>
                              <a:lnTo>
                                <a:pt x="287" y="23"/>
                              </a:lnTo>
                              <a:lnTo>
                                <a:pt x="290" y="29"/>
                              </a:lnTo>
                              <a:lnTo>
                                <a:pt x="292" y="37"/>
                              </a:lnTo>
                              <a:lnTo>
                                <a:pt x="294" y="44"/>
                              </a:lnTo>
                              <a:lnTo>
                                <a:pt x="294" y="54"/>
                              </a:lnTo>
                              <a:lnTo>
                                <a:pt x="294" y="67"/>
                              </a:lnTo>
                              <a:lnTo>
                                <a:pt x="294" y="82"/>
                              </a:lnTo>
                              <a:lnTo>
                                <a:pt x="293" y="95"/>
                              </a:lnTo>
                              <a:lnTo>
                                <a:pt x="290" y="104"/>
                              </a:lnTo>
                              <a:lnTo>
                                <a:pt x="287" y="113"/>
                              </a:lnTo>
                              <a:lnTo>
                                <a:pt x="282" y="120"/>
                              </a:lnTo>
                              <a:lnTo>
                                <a:pt x="276" y="125"/>
                              </a:lnTo>
                              <a:lnTo>
                                <a:pt x="270" y="130"/>
                              </a:lnTo>
                              <a:lnTo>
                                <a:pt x="262" y="133"/>
                              </a:lnTo>
                              <a:lnTo>
                                <a:pt x="252" y="133"/>
                              </a:lnTo>
                              <a:lnTo>
                                <a:pt x="240" y="133"/>
                              </a:lnTo>
                              <a:lnTo>
                                <a:pt x="230" y="129"/>
                              </a:lnTo>
                              <a:lnTo>
                                <a:pt x="223" y="120"/>
                              </a:lnTo>
                              <a:lnTo>
                                <a:pt x="218" y="110"/>
                              </a:lnTo>
                              <a:lnTo>
                                <a:pt x="214" y="98"/>
                              </a:lnTo>
                              <a:lnTo>
                                <a:pt x="211" y="84"/>
                              </a:lnTo>
                              <a:lnTo>
                                <a:pt x="210" y="67"/>
                              </a:lnTo>
                              <a:close/>
                              <a:moveTo>
                                <a:pt x="227" y="67"/>
                              </a:moveTo>
                              <a:lnTo>
                                <a:pt x="227" y="82"/>
                              </a:lnTo>
                              <a:lnTo>
                                <a:pt x="229" y="94"/>
                              </a:lnTo>
                              <a:lnTo>
                                <a:pt x="231" y="103"/>
                              </a:lnTo>
                              <a:lnTo>
                                <a:pt x="234" y="109"/>
                              </a:lnTo>
                              <a:lnTo>
                                <a:pt x="239" y="116"/>
                              </a:lnTo>
                              <a:lnTo>
                                <a:pt x="245" y="120"/>
                              </a:lnTo>
                              <a:lnTo>
                                <a:pt x="252" y="120"/>
                              </a:lnTo>
                              <a:lnTo>
                                <a:pt x="260" y="120"/>
                              </a:lnTo>
                              <a:lnTo>
                                <a:pt x="266" y="116"/>
                              </a:lnTo>
                              <a:lnTo>
                                <a:pt x="271" y="109"/>
                              </a:lnTo>
                              <a:lnTo>
                                <a:pt x="274" y="103"/>
                              </a:lnTo>
                              <a:lnTo>
                                <a:pt x="276" y="94"/>
                              </a:lnTo>
                              <a:lnTo>
                                <a:pt x="278" y="82"/>
                              </a:lnTo>
                              <a:lnTo>
                                <a:pt x="278" y="67"/>
                              </a:lnTo>
                              <a:lnTo>
                                <a:pt x="278" y="53"/>
                              </a:lnTo>
                              <a:lnTo>
                                <a:pt x="276" y="41"/>
                              </a:lnTo>
                              <a:lnTo>
                                <a:pt x="274" y="32"/>
                              </a:lnTo>
                              <a:lnTo>
                                <a:pt x="271" y="25"/>
                              </a:lnTo>
                              <a:lnTo>
                                <a:pt x="266" y="18"/>
                              </a:lnTo>
                              <a:lnTo>
                                <a:pt x="260" y="14"/>
                              </a:lnTo>
                              <a:lnTo>
                                <a:pt x="252" y="14"/>
                              </a:lnTo>
                              <a:lnTo>
                                <a:pt x="245" y="14"/>
                              </a:lnTo>
                              <a:lnTo>
                                <a:pt x="239" y="18"/>
                              </a:lnTo>
                              <a:lnTo>
                                <a:pt x="235" y="24"/>
                              </a:lnTo>
                              <a:lnTo>
                                <a:pt x="231" y="31"/>
                              </a:lnTo>
                              <a:lnTo>
                                <a:pt x="229" y="40"/>
                              </a:lnTo>
                              <a:lnTo>
                                <a:pt x="227" y="53"/>
                              </a:lnTo>
                              <a:lnTo>
                                <a:pt x="227" y="67"/>
                              </a:lnTo>
                              <a:close/>
                              <a:moveTo>
                                <a:pt x="314" y="33"/>
                              </a:moveTo>
                              <a:lnTo>
                                <a:pt x="314" y="24"/>
                              </a:lnTo>
                              <a:lnTo>
                                <a:pt x="316" y="16"/>
                              </a:lnTo>
                              <a:lnTo>
                                <a:pt x="320" y="9"/>
                              </a:lnTo>
                              <a:lnTo>
                                <a:pt x="325" y="3"/>
                              </a:lnTo>
                              <a:lnTo>
                                <a:pt x="332" y="0"/>
                              </a:lnTo>
                              <a:lnTo>
                                <a:pt x="341" y="0"/>
                              </a:lnTo>
                              <a:lnTo>
                                <a:pt x="349" y="0"/>
                              </a:lnTo>
                              <a:lnTo>
                                <a:pt x="355" y="3"/>
                              </a:lnTo>
                              <a:lnTo>
                                <a:pt x="361" y="8"/>
                              </a:lnTo>
                              <a:lnTo>
                                <a:pt x="366" y="14"/>
                              </a:lnTo>
                              <a:lnTo>
                                <a:pt x="369" y="23"/>
                              </a:lnTo>
                              <a:lnTo>
                                <a:pt x="369" y="34"/>
                              </a:lnTo>
                              <a:lnTo>
                                <a:pt x="369" y="45"/>
                              </a:lnTo>
                              <a:lnTo>
                                <a:pt x="366" y="53"/>
                              </a:lnTo>
                              <a:lnTo>
                                <a:pt x="361" y="59"/>
                              </a:lnTo>
                              <a:lnTo>
                                <a:pt x="355" y="65"/>
                              </a:lnTo>
                              <a:lnTo>
                                <a:pt x="349" y="68"/>
                              </a:lnTo>
                              <a:lnTo>
                                <a:pt x="341" y="68"/>
                              </a:lnTo>
                              <a:lnTo>
                                <a:pt x="333" y="68"/>
                              </a:lnTo>
                              <a:lnTo>
                                <a:pt x="327" y="65"/>
                              </a:lnTo>
                              <a:lnTo>
                                <a:pt x="321" y="59"/>
                              </a:lnTo>
                              <a:lnTo>
                                <a:pt x="316" y="53"/>
                              </a:lnTo>
                              <a:lnTo>
                                <a:pt x="314" y="45"/>
                              </a:lnTo>
                              <a:lnTo>
                                <a:pt x="314" y="33"/>
                              </a:lnTo>
                              <a:close/>
                              <a:moveTo>
                                <a:pt x="341" y="11"/>
                              </a:moveTo>
                              <a:lnTo>
                                <a:pt x="337" y="11"/>
                              </a:lnTo>
                              <a:lnTo>
                                <a:pt x="334" y="12"/>
                              </a:lnTo>
                              <a:lnTo>
                                <a:pt x="331" y="16"/>
                              </a:lnTo>
                              <a:lnTo>
                                <a:pt x="329" y="19"/>
                              </a:lnTo>
                              <a:lnTo>
                                <a:pt x="327" y="25"/>
                              </a:lnTo>
                              <a:lnTo>
                                <a:pt x="327" y="34"/>
                              </a:lnTo>
                              <a:lnTo>
                                <a:pt x="327" y="43"/>
                              </a:lnTo>
                              <a:lnTo>
                                <a:pt x="329" y="49"/>
                              </a:lnTo>
                              <a:lnTo>
                                <a:pt x="331" y="52"/>
                              </a:lnTo>
                              <a:lnTo>
                                <a:pt x="334" y="55"/>
                              </a:lnTo>
                              <a:lnTo>
                                <a:pt x="337" y="57"/>
                              </a:lnTo>
                              <a:lnTo>
                                <a:pt x="341" y="57"/>
                              </a:lnTo>
                              <a:lnTo>
                                <a:pt x="345" y="57"/>
                              </a:lnTo>
                              <a:lnTo>
                                <a:pt x="348" y="55"/>
                              </a:lnTo>
                              <a:lnTo>
                                <a:pt x="351" y="52"/>
                              </a:lnTo>
                              <a:lnTo>
                                <a:pt x="354" y="48"/>
                              </a:lnTo>
                              <a:lnTo>
                                <a:pt x="355" y="42"/>
                              </a:lnTo>
                              <a:lnTo>
                                <a:pt x="355" y="33"/>
                              </a:lnTo>
                              <a:lnTo>
                                <a:pt x="355" y="25"/>
                              </a:lnTo>
                              <a:lnTo>
                                <a:pt x="354" y="19"/>
                              </a:lnTo>
                              <a:lnTo>
                                <a:pt x="351" y="16"/>
                              </a:lnTo>
                              <a:lnTo>
                                <a:pt x="348" y="12"/>
                              </a:lnTo>
                              <a:lnTo>
                                <a:pt x="345" y="11"/>
                              </a:lnTo>
                              <a:lnTo>
                                <a:pt x="341" y="11"/>
                              </a:lnTo>
                              <a:close/>
                              <a:moveTo>
                                <a:pt x="341" y="136"/>
                              </a:moveTo>
                              <a:lnTo>
                                <a:pt x="412" y="0"/>
                              </a:lnTo>
                              <a:lnTo>
                                <a:pt x="424" y="0"/>
                              </a:lnTo>
                              <a:lnTo>
                                <a:pt x="354" y="136"/>
                              </a:lnTo>
                              <a:lnTo>
                                <a:pt x="341" y="136"/>
                              </a:lnTo>
                              <a:close/>
                              <a:moveTo>
                                <a:pt x="397" y="101"/>
                              </a:moveTo>
                              <a:lnTo>
                                <a:pt x="397" y="91"/>
                              </a:lnTo>
                              <a:lnTo>
                                <a:pt x="399" y="83"/>
                              </a:lnTo>
                              <a:lnTo>
                                <a:pt x="404" y="77"/>
                              </a:lnTo>
                              <a:lnTo>
                                <a:pt x="408" y="71"/>
                              </a:lnTo>
                              <a:lnTo>
                                <a:pt x="415" y="67"/>
                              </a:lnTo>
                              <a:lnTo>
                                <a:pt x="424" y="67"/>
                              </a:lnTo>
                              <a:lnTo>
                                <a:pt x="432" y="67"/>
                              </a:lnTo>
                              <a:lnTo>
                                <a:pt x="439" y="70"/>
                              </a:lnTo>
                              <a:lnTo>
                                <a:pt x="444" y="76"/>
                              </a:lnTo>
                              <a:lnTo>
                                <a:pt x="449" y="82"/>
                              </a:lnTo>
                              <a:lnTo>
                                <a:pt x="452" y="90"/>
                              </a:lnTo>
                              <a:lnTo>
                                <a:pt x="452" y="101"/>
                              </a:lnTo>
                              <a:lnTo>
                                <a:pt x="452" y="112"/>
                              </a:lnTo>
                              <a:lnTo>
                                <a:pt x="449" y="121"/>
                              </a:lnTo>
                              <a:lnTo>
                                <a:pt x="444" y="127"/>
                              </a:lnTo>
                              <a:lnTo>
                                <a:pt x="439" y="133"/>
                              </a:lnTo>
                              <a:lnTo>
                                <a:pt x="432" y="136"/>
                              </a:lnTo>
                              <a:lnTo>
                                <a:pt x="424" y="136"/>
                              </a:lnTo>
                              <a:lnTo>
                                <a:pt x="416" y="136"/>
                              </a:lnTo>
                              <a:lnTo>
                                <a:pt x="410" y="133"/>
                              </a:lnTo>
                              <a:lnTo>
                                <a:pt x="405" y="127"/>
                              </a:lnTo>
                              <a:lnTo>
                                <a:pt x="399" y="121"/>
                              </a:lnTo>
                              <a:lnTo>
                                <a:pt x="397" y="112"/>
                              </a:lnTo>
                              <a:lnTo>
                                <a:pt x="397" y="101"/>
                              </a:lnTo>
                              <a:close/>
                              <a:moveTo>
                                <a:pt x="424" y="78"/>
                              </a:moveTo>
                              <a:lnTo>
                                <a:pt x="420" y="78"/>
                              </a:lnTo>
                              <a:lnTo>
                                <a:pt x="417" y="80"/>
                              </a:lnTo>
                              <a:lnTo>
                                <a:pt x="415" y="83"/>
                              </a:lnTo>
                              <a:lnTo>
                                <a:pt x="412" y="87"/>
                              </a:lnTo>
                              <a:lnTo>
                                <a:pt x="411" y="93"/>
                              </a:lnTo>
                              <a:lnTo>
                                <a:pt x="411" y="102"/>
                              </a:lnTo>
                              <a:lnTo>
                                <a:pt x="411" y="110"/>
                              </a:lnTo>
                              <a:lnTo>
                                <a:pt x="412" y="116"/>
                              </a:lnTo>
                              <a:lnTo>
                                <a:pt x="415" y="120"/>
                              </a:lnTo>
                              <a:lnTo>
                                <a:pt x="417" y="123"/>
                              </a:lnTo>
                              <a:lnTo>
                                <a:pt x="421" y="125"/>
                              </a:lnTo>
                              <a:lnTo>
                                <a:pt x="424" y="125"/>
                              </a:lnTo>
                              <a:lnTo>
                                <a:pt x="428" y="125"/>
                              </a:lnTo>
                              <a:lnTo>
                                <a:pt x="432" y="123"/>
                              </a:lnTo>
                              <a:lnTo>
                                <a:pt x="434" y="120"/>
                              </a:lnTo>
                              <a:lnTo>
                                <a:pt x="437" y="116"/>
                              </a:lnTo>
                              <a:lnTo>
                                <a:pt x="438" y="110"/>
                              </a:lnTo>
                              <a:lnTo>
                                <a:pt x="438" y="101"/>
                              </a:lnTo>
                              <a:lnTo>
                                <a:pt x="438" y="93"/>
                              </a:lnTo>
                              <a:lnTo>
                                <a:pt x="437" y="87"/>
                              </a:lnTo>
                              <a:lnTo>
                                <a:pt x="434" y="83"/>
                              </a:lnTo>
                              <a:lnTo>
                                <a:pt x="432" y="80"/>
                              </a:lnTo>
                              <a:lnTo>
                                <a:pt x="428" y="78"/>
                              </a:lnTo>
                              <a:lnTo>
                                <a:pt x="424" y="78"/>
                              </a:lnTo>
                              <a:close/>
                              <a:moveTo>
                                <a:pt x="485" y="169"/>
                              </a:moveTo>
                              <a:lnTo>
                                <a:pt x="474" y="169"/>
                              </a:lnTo>
                              <a:lnTo>
                                <a:pt x="486" y="148"/>
                              </a:lnTo>
                              <a:lnTo>
                                <a:pt x="494" y="126"/>
                              </a:lnTo>
                              <a:lnTo>
                                <a:pt x="499" y="105"/>
                              </a:lnTo>
                              <a:lnTo>
                                <a:pt x="500" y="84"/>
                              </a:lnTo>
                              <a:lnTo>
                                <a:pt x="500" y="73"/>
                              </a:lnTo>
                              <a:lnTo>
                                <a:pt x="499" y="62"/>
                              </a:lnTo>
                              <a:lnTo>
                                <a:pt x="497" y="51"/>
                              </a:lnTo>
                              <a:lnTo>
                                <a:pt x="495" y="43"/>
                              </a:lnTo>
                              <a:lnTo>
                                <a:pt x="492" y="34"/>
                              </a:lnTo>
                              <a:lnTo>
                                <a:pt x="488" y="26"/>
                              </a:lnTo>
                              <a:lnTo>
                                <a:pt x="486" y="21"/>
                              </a:lnTo>
                              <a:lnTo>
                                <a:pt x="481" y="12"/>
                              </a:lnTo>
                              <a:lnTo>
                                <a:pt x="474" y="0"/>
                              </a:lnTo>
                              <a:lnTo>
                                <a:pt x="485" y="0"/>
                              </a:lnTo>
                              <a:lnTo>
                                <a:pt x="493" y="11"/>
                              </a:lnTo>
                              <a:lnTo>
                                <a:pt x="500" y="22"/>
                              </a:lnTo>
                              <a:lnTo>
                                <a:pt x="505" y="33"/>
                              </a:lnTo>
                              <a:lnTo>
                                <a:pt x="510" y="44"/>
                              </a:lnTo>
                              <a:lnTo>
                                <a:pt x="513" y="54"/>
                              </a:lnTo>
                              <a:lnTo>
                                <a:pt x="515" y="64"/>
                              </a:lnTo>
                              <a:lnTo>
                                <a:pt x="516" y="74"/>
                              </a:lnTo>
                              <a:lnTo>
                                <a:pt x="517" y="84"/>
                              </a:lnTo>
                              <a:lnTo>
                                <a:pt x="516" y="96"/>
                              </a:lnTo>
                              <a:lnTo>
                                <a:pt x="514" y="107"/>
                              </a:lnTo>
                              <a:lnTo>
                                <a:pt x="511" y="119"/>
                              </a:lnTo>
                              <a:lnTo>
                                <a:pt x="507" y="130"/>
                              </a:lnTo>
                              <a:lnTo>
                                <a:pt x="503" y="141"/>
                              </a:lnTo>
                              <a:lnTo>
                                <a:pt x="497" y="151"/>
                              </a:lnTo>
                              <a:lnTo>
                                <a:pt x="492" y="160"/>
                              </a:lnTo>
                              <a:lnTo>
                                <a:pt x="485" y="169"/>
                              </a:lnTo>
                              <a:close/>
                            </a:path>
                          </a:pathLst>
                        </a:custGeom>
                        <a:noFill/>
                        <a:ln w="28575">
                          <a:solidFill>
                            <a:srgbClr val="FFFFFF"/>
                          </a:solidFill>
                          <a:round/>
                        </a:ln>
                        <a:effectLst/>
                      </wps:spPr>
                      <wps:bodyPr rot="0" vert="horz" wrap="square" lIns="91440" tIns="45720" rIns="91440" bIns="45720" anchor="t" anchorCtr="0" upright="1">
                        <a:noAutofit/>
                      </wps:bodyPr>
                    </wps:wsp>
                  </a:graphicData>
                </a:graphic>
              </wp:anchor>
            </w:drawing>
          </mc:Choice>
          <mc:Fallback>
            <w:pict>
              <v:shape id="AutoShape 370" o:spid="_x0000_s1026" o:spt="100" style="position:absolute;left:0pt;margin-left:131.1pt;margin-top:22.45pt;height:8.45pt;width:25.85pt;mso-position-horizontal-relative:page;mso-wrap-distance-bottom:0pt;mso-wrap-distance-top:0pt;z-index:-251633664;mso-width-relative:page;mso-height-relative:page;" filled="f" stroked="t" coordsize="517,169" o:gfxdata="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" path="m0,67l0,52,2,40,5,30,8,21,13,14,19,9,25,4,33,1,42,1,49,1,55,3,61,6,66,8,70,12,74,18,77,23,80,29,82,37,83,44,84,54,84,67,84,82,83,95,80,104,77,113,72,120,66,125,60,130,52,133,42,133,30,133,20,129,13,120,8,110,4,98,1,84,0,67xm17,67l17,82,19,94,21,103,24,109,29,116,35,120,42,120,50,120,56,116,61,109,64,103,66,94,68,82,68,67,68,53,66,41,64,32,61,25,56,18,50,14,42,14,35,14,29,18,25,24,21,31,19,40,17,53,17,67xm185,169l179,160,173,151,168,141,163,130,159,119,156,107,155,96,154,84,154,74,156,64,158,54,161,44,165,33,171,22,177,11,185,0,196,0,189,12,185,21,182,26,179,34,176,42,174,51,171,62,170,73,170,84,172,105,177,126,185,148,196,169,185,169xm210,67l210,52,212,40,215,30,218,21,223,14,229,9,235,4,243,1,252,1,259,1,265,3,271,6,276,8,280,12,284,18,287,23,290,29,292,37,294,44,294,54,294,67,294,82,293,95,290,104,287,113,282,120,276,125,270,130,262,133,252,133,240,133,230,129,223,120,218,110,214,98,211,84,210,67xm227,67l227,82,229,94,231,103,234,109,239,116,245,120,252,120,260,120,266,116,271,109,274,103,276,94,278,82,278,67,278,53,276,41,274,32,271,25,266,18,260,14,252,14,245,14,239,18,235,24,231,31,229,40,227,53,227,67xm314,33l314,24,316,16,320,9,325,3,332,0,341,0,349,0,355,3,361,8,366,14,369,23,369,34,369,45,366,53,361,59,355,65,349,68,341,68,333,68,327,65,321,59,316,53,314,45,314,33xm341,11l337,11,334,12,331,16,329,19,327,25,327,34,327,43,329,49,331,52,334,55,337,57,341,57,345,57,348,55,351,52,354,48,355,42,355,33,355,25,354,19,351,16,348,12,345,11,341,11xm341,136l412,0,424,0,354,136,341,136xm397,101l397,91,399,83,404,77,408,71,415,67,424,67,432,67,439,70,444,76,449,82,452,90,452,101,452,112,449,121,444,127,439,133,432,136,424,136,416,136,410,133,405,127,399,121,397,112,397,101xm424,78l420,78,417,80,415,83,412,87,411,93,411,102,411,110,412,116,415,120,417,123,421,125,424,125,428,125,432,123,434,120,437,116,438,110,438,101,438,93,437,87,434,83,432,80,428,78,424,78xm485,169l474,169,486,148,494,126,499,105,500,84,500,73,499,62,497,51,495,43,492,34,488,26,486,21,481,12,474,0,485,0,493,11,500,22,505,33,510,44,513,54,515,64,516,74,517,84,516,96,514,107,511,119,507,130,503,141,497,151,492,160,485,169xe">
                <v:path o:connectlocs="3225800,189515750;16935450,181451250;28225750,185886725;33467675,198789925;32258000,222983425;20967700,234676950;3225800,225402775;6854825,214112475;14112875,229435025;25806400,222580200;26612850,197580250;16935450,186693175;7661275,197177025;69757925,241935000;62499875,219757625;64919225,198789925;79032100,181048025;70967600,197983475;69354700,223386650;84677250,208064100;89919175,186693175;104435275,181451250;114515900,188306075;118548150,202822175;115725575,226612450;101612700,234676950;86290150,220564075;92338525,218951175;101612700,229435025;111290100,218951175;110483650,193951225;98790125,186693175;91532075,202418950;129032000,184677050;143144875,182257700;148790025,199193150;137499725,208467325;126612650,199193150;133467475,187499625;132661025,200806050;139112625,204031850;143144875,194354450;139112625,185483500;142741650,235886625;162902900,212096350;177015775,209273775;182257700,226209225;170967400,235886625;160080325,226209225;167338375,214515700;166128700,227822125;172580300,231451150;176612550,221773750;172580300,212499575;199193150,231854375;200402825,201612500;193951225,185886725;203628625,194354450;208467325,214918925;202822175,237902750" o:connectangles="0,0,0,0,0,0,0,0,0,0,0,0,0,0,0,0,0,0,0,0,0,0,0,0,0,0,0,0,0,0,0,0,0,0,0,0,0,0,0,0,0,0,0,0,0,0,0,0,0,0,0,0,0,0,0,0,0,0,0,0"/>
                <v:fill on="f" focussize="0,0"/>
                <v:stroke weight="2.25pt" color="#FFFFFF" joinstyle="round"/>
                <v:imagedata o:title=""/>
                <o:lock v:ext="edit" aspectratio="f"/>
                <w10:wrap type="topAndBottom"/>
              </v:shape>
            </w:pict>
          </mc:Fallback>
        </mc:AlternateContent>
      </w:r>
      <w:r>
        <mc:AlternateContent>
          <mc:Choice Requires="wps">
            <w:drawing>
              <wp:anchor distT="0" distB="0" distL="0" distR="0" simplePos="0" relativeHeight="251683840" behindDoc="1" locked="0" layoutInCell="1" allowOverlap="1">
                <wp:simplePos x="0" y="0"/>
                <wp:positionH relativeFrom="page">
                  <wp:posOffset>2644775</wp:posOffset>
                </wp:positionH>
                <wp:positionV relativeFrom="paragraph">
                  <wp:posOffset>237490</wp:posOffset>
                </wp:positionV>
                <wp:extent cx="424815" cy="107315"/>
                <wp:effectExtent l="34925" t="15875" r="16510" b="19685"/>
                <wp:wrapTopAndBottom/>
                <wp:docPr id="1370500427" name="AutoShape 369"/>
                <wp:cNvGraphicFramePr/>
                <a:graphic xmlns:a="http://schemas.openxmlformats.org/drawingml/2006/main">
                  <a:graphicData uri="http://schemas.microsoft.com/office/word/2010/wordprocessingShape">
                    <wps:wsp>
                      <wps:cNvSpPr/>
                      <wps:spPr bwMode="auto">
                        <a:xfrm>
                          <a:off x="0" y="0"/>
                          <a:ext cx="424815" cy="107315"/>
                        </a:xfrm>
                        <a:custGeom>
                          <a:avLst/>
                          <a:gdLst>
                            <a:gd name="T0" fmla="*/ 1270 w 669"/>
                            <a:gd name="T1" fmla="*/ 313690 h 169"/>
                            <a:gd name="T2" fmla="*/ 20955 w 669"/>
                            <a:gd name="T3" fmla="*/ 290195 h 169"/>
                            <a:gd name="T4" fmla="*/ 43815 w 669"/>
                            <a:gd name="T5" fmla="*/ 260985 h 169"/>
                            <a:gd name="T6" fmla="*/ 28575 w 669"/>
                            <a:gd name="T7" fmla="*/ 246380 h 169"/>
                            <a:gd name="T8" fmla="*/ 12065 w 669"/>
                            <a:gd name="T9" fmla="*/ 262890 h 169"/>
                            <a:gd name="T10" fmla="*/ 20955 w 669"/>
                            <a:gd name="T11" fmla="*/ 238125 h 169"/>
                            <a:gd name="T12" fmla="*/ 53975 w 669"/>
                            <a:gd name="T13" fmla="*/ 254635 h 169"/>
                            <a:gd name="T14" fmla="*/ 48260 w 669"/>
                            <a:gd name="T15" fmla="*/ 277495 h 169"/>
                            <a:gd name="T16" fmla="*/ 19685 w 669"/>
                            <a:gd name="T17" fmla="*/ 303530 h 169"/>
                            <a:gd name="T18" fmla="*/ 118745 w 669"/>
                            <a:gd name="T19" fmla="*/ 344805 h 169"/>
                            <a:gd name="T20" fmla="*/ 100330 w 669"/>
                            <a:gd name="T21" fmla="*/ 305435 h 169"/>
                            <a:gd name="T22" fmla="*/ 102870 w 669"/>
                            <a:gd name="T23" fmla="*/ 265430 h 169"/>
                            <a:gd name="T24" fmla="*/ 121285 w 669"/>
                            <a:gd name="T25" fmla="*/ 245110 h 169"/>
                            <a:gd name="T26" fmla="*/ 109855 w 669"/>
                            <a:gd name="T27" fmla="*/ 276860 h 169"/>
                            <a:gd name="T28" fmla="*/ 125730 w 669"/>
                            <a:gd name="T29" fmla="*/ 344805 h 169"/>
                            <a:gd name="T30" fmla="*/ 133985 w 669"/>
                            <a:gd name="T31" fmla="*/ 315595 h 169"/>
                            <a:gd name="T32" fmla="*/ 148590 w 669"/>
                            <a:gd name="T33" fmla="*/ 295275 h 169"/>
                            <a:gd name="T34" fmla="*/ 177165 w 669"/>
                            <a:gd name="T35" fmla="*/ 264795 h 169"/>
                            <a:gd name="T36" fmla="*/ 166370 w 669"/>
                            <a:gd name="T37" fmla="*/ 246380 h 169"/>
                            <a:gd name="T38" fmla="*/ 146050 w 669"/>
                            <a:gd name="T39" fmla="*/ 257810 h 169"/>
                            <a:gd name="T40" fmla="*/ 147955 w 669"/>
                            <a:gd name="T41" fmla="*/ 240665 h 169"/>
                            <a:gd name="T42" fmla="*/ 185420 w 669"/>
                            <a:gd name="T43" fmla="*/ 249555 h 169"/>
                            <a:gd name="T44" fmla="*/ 184150 w 669"/>
                            <a:gd name="T45" fmla="*/ 273685 h 169"/>
                            <a:gd name="T46" fmla="*/ 157480 w 669"/>
                            <a:gd name="T47" fmla="*/ 300355 h 169"/>
                            <a:gd name="T48" fmla="*/ 187325 w 669"/>
                            <a:gd name="T49" fmla="*/ 311150 h 169"/>
                            <a:gd name="T50" fmla="*/ 281940 w 669"/>
                            <a:gd name="T51" fmla="*/ 258445 h 169"/>
                            <a:gd name="T52" fmla="*/ 262255 w 669"/>
                            <a:gd name="T53" fmla="*/ 246380 h 169"/>
                            <a:gd name="T54" fmla="*/ 244475 w 669"/>
                            <a:gd name="T55" fmla="*/ 255270 h 169"/>
                            <a:gd name="T56" fmla="*/ 245110 w 669"/>
                            <a:gd name="T57" fmla="*/ 271780 h 169"/>
                            <a:gd name="T58" fmla="*/ 271780 w 669"/>
                            <a:gd name="T59" fmla="*/ 269875 h 169"/>
                            <a:gd name="T60" fmla="*/ 282575 w 669"/>
                            <a:gd name="T61" fmla="*/ 304165 h 169"/>
                            <a:gd name="T62" fmla="*/ 262890 w 669"/>
                            <a:gd name="T63" fmla="*/ 321945 h 169"/>
                            <a:gd name="T64" fmla="*/ 231775 w 669"/>
                            <a:gd name="T65" fmla="*/ 300355 h 169"/>
                            <a:gd name="T66" fmla="*/ 238125 w 669"/>
                            <a:gd name="T67" fmla="*/ 247650 h 169"/>
                            <a:gd name="T68" fmla="*/ 274955 w 669"/>
                            <a:gd name="T69" fmla="*/ 243840 h 169"/>
                            <a:gd name="T70" fmla="*/ 241935 w 669"/>
                            <a:gd name="T71" fmla="*/ 300990 h 169"/>
                            <a:gd name="T72" fmla="*/ 255270 w 669"/>
                            <a:gd name="T73" fmla="*/ 313690 h 169"/>
                            <a:gd name="T74" fmla="*/ 273685 w 669"/>
                            <a:gd name="T75" fmla="*/ 300355 h 169"/>
                            <a:gd name="T76" fmla="*/ 262255 w 669"/>
                            <a:gd name="T77" fmla="*/ 276225 h 169"/>
                            <a:gd name="T78" fmla="*/ 241300 w 669"/>
                            <a:gd name="T79" fmla="*/ 288925 h 169"/>
                            <a:gd name="T80" fmla="*/ 302895 w 669"/>
                            <a:gd name="T81" fmla="*/ 239395 h 169"/>
                            <a:gd name="T82" fmla="*/ 328930 w 669"/>
                            <a:gd name="T83" fmla="*/ 246380 h 169"/>
                            <a:gd name="T84" fmla="*/ 321945 w 669"/>
                            <a:gd name="T85" fmla="*/ 278765 h 169"/>
                            <a:gd name="T86" fmla="*/ 297180 w 669"/>
                            <a:gd name="T87" fmla="*/ 271145 h 169"/>
                            <a:gd name="T88" fmla="*/ 306705 w 669"/>
                            <a:gd name="T89" fmla="*/ 247650 h 169"/>
                            <a:gd name="T90" fmla="*/ 306705 w 669"/>
                            <a:gd name="T91" fmla="*/ 270510 h 169"/>
                            <a:gd name="T92" fmla="*/ 319405 w 669"/>
                            <a:gd name="T93" fmla="*/ 270510 h 169"/>
                            <a:gd name="T94" fmla="*/ 319405 w 669"/>
                            <a:gd name="T95" fmla="*/ 247650 h 169"/>
                            <a:gd name="T96" fmla="*/ 365760 w 669"/>
                            <a:gd name="T97" fmla="*/ 237490 h 169"/>
                            <a:gd name="T98" fmla="*/ 353060 w 669"/>
                            <a:gd name="T99" fmla="*/ 286385 h 169"/>
                            <a:gd name="T100" fmla="*/ 378460 w 669"/>
                            <a:gd name="T101" fmla="*/ 285750 h 169"/>
                            <a:gd name="T102" fmla="*/ 378460 w 669"/>
                            <a:gd name="T103" fmla="*/ 318135 h 169"/>
                            <a:gd name="T104" fmla="*/ 353695 w 669"/>
                            <a:gd name="T105" fmla="*/ 318135 h 169"/>
                            <a:gd name="T106" fmla="*/ 361315 w 669"/>
                            <a:gd name="T107" fmla="*/ 288290 h 169"/>
                            <a:gd name="T108" fmla="*/ 358140 w 669"/>
                            <a:gd name="T109" fmla="*/ 311150 h 169"/>
                            <a:gd name="T110" fmla="*/ 370840 w 669"/>
                            <a:gd name="T111" fmla="*/ 315595 h 169"/>
                            <a:gd name="T112" fmla="*/ 374015 w 669"/>
                            <a:gd name="T113" fmla="*/ 292735 h 169"/>
                            <a:gd name="T114" fmla="*/ 397510 w 669"/>
                            <a:gd name="T115" fmla="*/ 344805 h 169"/>
                            <a:gd name="T116" fmla="*/ 413385 w 669"/>
                            <a:gd name="T117" fmla="*/ 276860 h 169"/>
                            <a:gd name="T118" fmla="*/ 401955 w 669"/>
                            <a:gd name="T119" fmla="*/ 245110 h 169"/>
                            <a:gd name="T120" fmla="*/ 420370 w 669"/>
                            <a:gd name="T121" fmla="*/ 265430 h 169"/>
                            <a:gd name="T122" fmla="*/ 422910 w 669"/>
                            <a:gd name="T123" fmla="*/ 305435 h 169"/>
                            <a:gd name="T124" fmla="*/ 404495 w 669"/>
                            <a:gd name="T125" fmla="*/ 344805 h 1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69" h="169">
                              <a:moveTo>
                                <a:pt x="85" y="116"/>
                              </a:moveTo>
                              <a:lnTo>
                                <a:pt x="85" y="131"/>
                              </a:lnTo>
                              <a:lnTo>
                                <a:pt x="0" y="131"/>
                              </a:lnTo>
                              <a:lnTo>
                                <a:pt x="0" y="127"/>
                              </a:lnTo>
                              <a:lnTo>
                                <a:pt x="1" y="123"/>
                              </a:lnTo>
                              <a:lnTo>
                                <a:pt x="2" y="120"/>
                              </a:lnTo>
                              <a:lnTo>
                                <a:pt x="4" y="114"/>
                              </a:lnTo>
                              <a:lnTo>
                                <a:pt x="8" y="108"/>
                              </a:lnTo>
                              <a:lnTo>
                                <a:pt x="12" y="103"/>
                              </a:lnTo>
                              <a:lnTo>
                                <a:pt x="17" y="97"/>
                              </a:lnTo>
                              <a:lnTo>
                                <a:pt x="24" y="91"/>
                              </a:lnTo>
                              <a:lnTo>
                                <a:pt x="33" y="83"/>
                              </a:lnTo>
                              <a:lnTo>
                                <a:pt x="47" y="72"/>
                              </a:lnTo>
                              <a:lnTo>
                                <a:pt x="57" y="63"/>
                              </a:lnTo>
                              <a:lnTo>
                                <a:pt x="61" y="56"/>
                              </a:lnTo>
                              <a:lnTo>
                                <a:pt x="66" y="49"/>
                              </a:lnTo>
                              <a:lnTo>
                                <a:pt x="69" y="43"/>
                              </a:lnTo>
                              <a:lnTo>
                                <a:pt x="69" y="37"/>
                              </a:lnTo>
                              <a:lnTo>
                                <a:pt x="69" y="31"/>
                              </a:lnTo>
                              <a:lnTo>
                                <a:pt x="67" y="25"/>
                              </a:lnTo>
                              <a:lnTo>
                                <a:pt x="62" y="21"/>
                              </a:lnTo>
                              <a:lnTo>
                                <a:pt x="58" y="17"/>
                              </a:lnTo>
                              <a:lnTo>
                                <a:pt x="52" y="14"/>
                              </a:lnTo>
                              <a:lnTo>
                                <a:pt x="45" y="14"/>
                              </a:lnTo>
                              <a:lnTo>
                                <a:pt x="37" y="14"/>
                              </a:lnTo>
                              <a:lnTo>
                                <a:pt x="31" y="17"/>
                              </a:lnTo>
                              <a:lnTo>
                                <a:pt x="26" y="21"/>
                              </a:lnTo>
                              <a:lnTo>
                                <a:pt x="22" y="26"/>
                              </a:lnTo>
                              <a:lnTo>
                                <a:pt x="19" y="32"/>
                              </a:lnTo>
                              <a:lnTo>
                                <a:pt x="19" y="40"/>
                              </a:lnTo>
                              <a:lnTo>
                                <a:pt x="3" y="39"/>
                              </a:lnTo>
                              <a:lnTo>
                                <a:pt x="4" y="27"/>
                              </a:lnTo>
                              <a:lnTo>
                                <a:pt x="8" y="17"/>
                              </a:lnTo>
                              <a:lnTo>
                                <a:pt x="16" y="11"/>
                              </a:lnTo>
                              <a:lnTo>
                                <a:pt x="23" y="5"/>
                              </a:lnTo>
                              <a:lnTo>
                                <a:pt x="33" y="1"/>
                              </a:lnTo>
                              <a:lnTo>
                                <a:pt x="45" y="1"/>
                              </a:lnTo>
                              <a:lnTo>
                                <a:pt x="57" y="1"/>
                              </a:lnTo>
                              <a:lnTo>
                                <a:pt x="67" y="5"/>
                              </a:lnTo>
                              <a:lnTo>
                                <a:pt x="74" y="12"/>
                              </a:lnTo>
                              <a:lnTo>
                                <a:pt x="82" y="19"/>
                              </a:lnTo>
                              <a:lnTo>
                                <a:pt x="85" y="27"/>
                              </a:lnTo>
                              <a:lnTo>
                                <a:pt x="85" y="37"/>
                              </a:lnTo>
                              <a:lnTo>
                                <a:pt x="85" y="42"/>
                              </a:lnTo>
                              <a:lnTo>
                                <a:pt x="84" y="47"/>
                              </a:lnTo>
                              <a:lnTo>
                                <a:pt x="82" y="52"/>
                              </a:lnTo>
                              <a:lnTo>
                                <a:pt x="80" y="57"/>
                              </a:lnTo>
                              <a:lnTo>
                                <a:pt x="76" y="63"/>
                              </a:lnTo>
                              <a:lnTo>
                                <a:pt x="71" y="68"/>
                              </a:lnTo>
                              <a:lnTo>
                                <a:pt x="67" y="74"/>
                              </a:lnTo>
                              <a:lnTo>
                                <a:pt x="58" y="81"/>
                              </a:lnTo>
                              <a:lnTo>
                                <a:pt x="47" y="91"/>
                              </a:lnTo>
                              <a:lnTo>
                                <a:pt x="38" y="99"/>
                              </a:lnTo>
                              <a:lnTo>
                                <a:pt x="31" y="104"/>
                              </a:lnTo>
                              <a:lnTo>
                                <a:pt x="29" y="107"/>
                              </a:lnTo>
                              <a:lnTo>
                                <a:pt x="26" y="110"/>
                              </a:lnTo>
                              <a:lnTo>
                                <a:pt x="24" y="113"/>
                              </a:lnTo>
                              <a:lnTo>
                                <a:pt x="22" y="116"/>
                              </a:lnTo>
                              <a:lnTo>
                                <a:pt x="85" y="116"/>
                              </a:lnTo>
                              <a:close/>
                              <a:moveTo>
                                <a:pt x="187" y="169"/>
                              </a:moveTo>
                              <a:lnTo>
                                <a:pt x="181" y="160"/>
                              </a:lnTo>
                              <a:lnTo>
                                <a:pt x="175" y="151"/>
                              </a:lnTo>
                              <a:lnTo>
                                <a:pt x="170" y="141"/>
                              </a:lnTo>
                              <a:lnTo>
                                <a:pt x="165" y="130"/>
                              </a:lnTo>
                              <a:lnTo>
                                <a:pt x="161" y="119"/>
                              </a:lnTo>
                              <a:lnTo>
                                <a:pt x="158" y="107"/>
                              </a:lnTo>
                              <a:lnTo>
                                <a:pt x="156" y="96"/>
                              </a:lnTo>
                              <a:lnTo>
                                <a:pt x="156" y="84"/>
                              </a:lnTo>
                              <a:lnTo>
                                <a:pt x="156" y="74"/>
                              </a:lnTo>
                              <a:lnTo>
                                <a:pt x="157" y="64"/>
                              </a:lnTo>
                              <a:lnTo>
                                <a:pt x="160" y="54"/>
                              </a:lnTo>
                              <a:lnTo>
                                <a:pt x="162" y="44"/>
                              </a:lnTo>
                              <a:lnTo>
                                <a:pt x="167" y="33"/>
                              </a:lnTo>
                              <a:lnTo>
                                <a:pt x="173" y="22"/>
                              </a:lnTo>
                              <a:lnTo>
                                <a:pt x="179" y="11"/>
                              </a:lnTo>
                              <a:lnTo>
                                <a:pt x="187" y="0"/>
                              </a:lnTo>
                              <a:lnTo>
                                <a:pt x="198" y="0"/>
                              </a:lnTo>
                              <a:lnTo>
                                <a:pt x="191" y="12"/>
                              </a:lnTo>
                              <a:lnTo>
                                <a:pt x="186" y="21"/>
                              </a:lnTo>
                              <a:lnTo>
                                <a:pt x="184" y="26"/>
                              </a:lnTo>
                              <a:lnTo>
                                <a:pt x="181" y="34"/>
                              </a:lnTo>
                              <a:lnTo>
                                <a:pt x="178" y="42"/>
                              </a:lnTo>
                              <a:lnTo>
                                <a:pt x="176" y="51"/>
                              </a:lnTo>
                              <a:lnTo>
                                <a:pt x="173" y="62"/>
                              </a:lnTo>
                              <a:lnTo>
                                <a:pt x="172" y="73"/>
                              </a:lnTo>
                              <a:lnTo>
                                <a:pt x="172" y="84"/>
                              </a:lnTo>
                              <a:lnTo>
                                <a:pt x="174" y="105"/>
                              </a:lnTo>
                              <a:lnTo>
                                <a:pt x="179" y="126"/>
                              </a:lnTo>
                              <a:lnTo>
                                <a:pt x="187" y="148"/>
                              </a:lnTo>
                              <a:lnTo>
                                <a:pt x="198" y="169"/>
                              </a:lnTo>
                              <a:lnTo>
                                <a:pt x="187" y="169"/>
                              </a:lnTo>
                              <a:close/>
                              <a:moveTo>
                                <a:pt x="295" y="116"/>
                              </a:moveTo>
                              <a:lnTo>
                                <a:pt x="295" y="131"/>
                              </a:lnTo>
                              <a:lnTo>
                                <a:pt x="210" y="131"/>
                              </a:lnTo>
                              <a:lnTo>
                                <a:pt x="210" y="127"/>
                              </a:lnTo>
                              <a:lnTo>
                                <a:pt x="211" y="123"/>
                              </a:lnTo>
                              <a:lnTo>
                                <a:pt x="212" y="120"/>
                              </a:lnTo>
                              <a:lnTo>
                                <a:pt x="214" y="114"/>
                              </a:lnTo>
                              <a:lnTo>
                                <a:pt x="218" y="108"/>
                              </a:lnTo>
                              <a:lnTo>
                                <a:pt x="222" y="103"/>
                              </a:lnTo>
                              <a:lnTo>
                                <a:pt x="227" y="97"/>
                              </a:lnTo>
                              <a:lnTo>
                                <a:pt x="234" y="91"/>
                              </a:lnTo>
                              <a:lnTo>
                                <a:pt x="243" y="83"/>
                              </a:lnTo>
                              <a:lnTo>
                                <a:pt x="257" y="72"/>
                              </a:lnTo>
                              <a:lnTo>
                                <a:pt x="267" y="63"/>
                              </a:lnTo>
                              <a:lnTo>
                                <a:pt x="272" y="56"/>
                              </a:lnTo>
                              <a:lnTo>
                                <a:pt x="276" y="49"/>
                              </a:lnTo>
                              <a:lnTo>
                                <a:pt x="279" y="43"/>
                              </a:lnTo>
                              <a:lnTo>
                                <a:pt x="279" y="37"/>
                              </a:lnTo>
                              <a:lnTo>
                                <a:pt x="279" y="31"/>
                              </a:lnTo>
                              <a:lnTo>
                                <a:pt x="277" y="25"/>
                              </a:lnTo>
                              <a:lnTo>
                                <a:pt x="272" y="21"/>
                              </a:lnTo>
                              <a:lnTo>
                                <a:pt x="268" y="17"/>
                              </a:lnTo>
                              <a:lnTo>
                                <a:pt x="262" y="14"/>
                              </a:lnTo>
                              <a:lnTo>
                                <a:pt x="255" y="14"/>
                              </a:lnTo>
                              <a:lnTo>
                                <a:pt x="247" y="14"/>
                              </a:lnTo>
                              <a:lnTo>
                                <a:pt x="241" y="17"/>
                              </a:lnTo>
                              <a:lnTo>
                                <a:pt x="236" y="21"/>
                              </a:lnTo>
                              <a:lnTo>
                                <a:pt x="232" y="26"/>
                              </a:lnTo>
                              <a:lnTo>
                                <a:pt x="230" y="32"/>
                              </a:lnTo>
                              <a:lnTo>
                                <a:pt x="229" y="40"/>
                              </a:lnTo>
                              <a:lnTo>
                                <a:pt x="213" y="39"/>
                              </a:lnTo>
                              <a:lnTo>
                                <a:pt x="214" y="27"/>
                              </a:lnTo>
                              <a:lnTo>
                                <a:pt x="218" y="17"/>
                              </a:lnTo>
                              <a:lnTo>
                                <a:pt x="226" y="11"/>
                              </a:lnTo>
                              <a:lnTo>
                                <a:pt x="233" y="5"/>
                              </a:lnTo>
                              <a:lnTo>
                                <a:pt x="243" y="1"/>
                              </a:lnTo>
                              <a:lnTo>
                                <a:pt x="255" y="1"/>
                              </a:lnTo>
                              <a:lnTo>
                                <a:pt x="267" y="1"/>
                              </a:lnTo>
                              <a:lnTo>
                                <a:pt x="277" y="5"/>
                              </a:lnTo>
                              <a:lnTo>
                                <a:pt x="284" y="12"/>
                              </a:lnTo>
                              <a:lnTo>
                                <a:pt x="292" y="19"/>
                              </a:lnTo>
                              <a:lnTo>
                                <a:pt x="295" y="27"/>
                              </a:lnTo>
                              <a:lnTo>
                                <a:pt x="295" y="37"/>
                              </a:lnTo>
                              <a:lnTo>
                                <a:pt x="295" y="42"/>
                              </a:lnTo>
                              <a:lnTo>
                                <a:pt x="294" y="47"/>
                              </a:lnTo>
                              <a:lnTo>
                                <a:pt x="292" y="52"/>
                              </a:lnTo>
                              <a:lnTo>
                                <a:pt x="290" y="57"/>
                              </a:lnTo>
                              <a:lnTo>
                                <a:pt x="286" y="63"/>
                              </a:lnTo>
                              <a:lnTo>
                                <a:pt x="282" y="68"/>
                              </a:lnTo>
                              <a:lnTo>
                                <a:pt x="277" y="74"/>
                              </a:lnTo>
                              <a:lnTo>
                                <a:pt x="268" y="81"/>
                              </a:lnTo>
                              <a:lnTo>
                                <a:pt x="257" y="91"/>
                              </a:lnTo>
                              <a:lnTo>
                                <a:pt x="248" y="99"/>
                              </a:lnTo>
                              <a:lnTo>
                                <a:pt x="242" y="104"/>
                              </a:lnTo>
                              <a:lnTo>
                                <a:pt x="239" y="107"/>
                              </a:lnTo>
                              <a:lnTo>
                                <a:pt x="236" y="110"/>
                              </a:lnTo>
                              <a:lnTo>
                                <a:pt x="234" y="113"/>
                              </a:lnTo>
                              <a:lnTo>
                                <a:pt x="232" y="116"/>
                              </a:lnTo>
                              <a:lnTo>
                                <a:pt x="295" y="116"/>
                              </a:lnTo>
                              <a:close/>
                              <a:moveTo>
                                <a:pt x="321" y="131"/>
                              </a:moveTo>
                              <a:lnTo>
                                <a:pt x="321" y="113"/>
                              </a:lnTo>
                              <a:lnTo>
                                <a:pt x="339" y="113"/>
                              </a:lnTo>
                              <a:lnTo>
                                <a:pt x="339" y="131"/>
                              </a:lnTo>
                              <a:lnTo>
                                <a:pt x="321" y="131"/>
                              </a:lnTo>
                              <a:close/>
                              <a:moveTo>
                                <a:pt x="444" y="33"/>
                              </a:moveTo>
                              <a:lnTo>
                                <a:pt x="429" y="35"/>
                              </a:lnTo>
                              <a:lnTo>
                                <a:pt x="427" y="28"/>
                              </a:lnTo>
                              <a:lnTo>
                                <a:pt x="425" y="24"/>
                              </a:lnTo>
                              <a:lnTo>
                                <a:pt x="423" y="21"/>
                              </a:lnTo>
                              <a:lnTo>
                                <a:pt x="418" y="17"/>
                              </a:lnTo>
                              <a:lnTo>
                                <a:pt x="413" y="14"/>
                              </a:lnTo>
                              <a:lnTo>
                                <a:pt x="407" y="14"/>
                              </a:lnTo>
                              <a:lnTo>
                                <a:pt x="402" y="14"/>
                              </a:lnTo>
                              <a:lnTo>
                                <a:pt x="397" y="16"/>
                              </a:lnTo>
                              <a:lnTo>
                                <a:pt x="394" y="19"/>
                              </a:lnTo>
                              <a:lnTo>
                                <a:pt x="389" y="22"/>
                              </a:lnTo>
                              <a:lnTo>
                                <a:pt x="385" y="28"/>
                              </a:lnTo>
                              <a:lnTo>
                                <a:pt x="382" y="35"/>
                              </a:lnTo>
                              <a:lnTo>
                                <a:pt x="379" y="41"/>
                              </a:lnTo>
                              <a:lnTo>
                                <a:pt x="377" y="51"/>
                              </a:lnTo>
                              <a:lnTo>
                                <a:pt x="377" y="64"/>
                              </a:lnTo>
                              <a:lnTo>
                                <a:pt x="381" y="59"/>
                              </a:lnTo>
                              <a:lnTo>
                                <a:pt x="386" y="54"/>
                              </a:lnTo>
                              <a:lnTo>
                                <a:pt x="391" y="51"/>
                              </a:lnTo>
                              <a:lnTo>
                                <a:pt x="397" y="49"/>
                              </a:lnTo>
                              <a:lnTo>
                                <a:pt x="403" y="47"/>
                              </a:lnTo>
                              <a:lnTo>
                                <a:pt x="409" y="47"/>
                              </a:lnTo>
                              <a:lnTo>
                                <a:pt x="419" y="47"/>
                              </a:lnTo>
                              <a:lnTo>
                                <a:pt x="428" y="51"/>
                              </a:lnTo>
                              <a:lnTo>
                                <a:pt x="436" y="59"/>
                              </a:lnTo>
                              <a:lnTo>
                                <a:pt x="443" y="67"/>
                              </a:lnTo>
                              <a:lnTo>
                                <a:pt x="447" y="77"/>
                              </a:lnTo>
                              <a:lnTo>
                                <a:pt x="447" y="89"/>
                              </a:lnTo>
                              <a:lnTo>
                                <a:pt x="447" y="97"/>
                              </a:lnTo>
                              <a:lnTo>
                                <a:pt x="445" y="105"/>
                              </a:lnTo>
                              <a:lnTo>
                                <a:pt x="441" y="111"/>
                              </a:lnTo>
                              <a:lnTo>
                                <a:pt x="438" y="118"/>
                              </a:lnTo>
                              <a:lnTo>
                                <a:pt x="433" y="124"/>
                              </a:lnTo>
                              <a:lnTo>
                                <a:pt x="427" y="127"/>
                              </a:lnTo>
                              <a:lnTo>
                                <a:pt x="421" y="131"/>
                              </a:lnTo>
                              <a:lnTo>
                                <a:pt x="414" y="133"/>
                              </a:lnTo>
                              <a:lnTo>
                                <a:pt x="406" y="133"/>
                              </a:lnTo>
                              <a:lnTo>
                                <a:pt x="393" y="133"/>
                              </a:lnTo>
                              <a:lnTo>
                                <a:pt x="382" y="128"/>
                              </a:lnTo>
                              <a:lnTo>
                                <a:pt x="374" y="118"/>
                              </a:lnTo>
                              <a:lnTo>
                                <a:pt x="369" y="110"/>
                              </a:lnTo>
                              <a:lnTo>
                                <a:pt x="365" y="99"/>
                              </a:lnTo>
                              <a:lnTo>
                                <a:pt x="362" y="86"/>
                              </a:lnTo>
                              <a:lnTo>
                                <a:pt x="362" y="70"/>
                              </a:lnTo>
                              <a:lnTo>
                                <a:pt x="362" y="53"/>
                              </a:lnTo>
                              <a:lnTo>
                                <a:pt x="365" y="38"/>
                              </a:lnTo>
                              <a:lnTo>
                                <a:pt x="369" y="26"/>
                              </a:lnTo>
                              <a:lnTo>
                                <a:pt x="375" y="16"/>
                              </a:lnTo>
                              <a:lnTo>
                                <a:pt x="383" y="6"/>
                              </a:lnTo>
                              <a:lnTo>
                                <a:pt x="394" y="1"/>
                              </a:lnTo>
                              <a:lnTo>
                                <a:pt x="408" y="1"/>
                              </a:lnTo>
                              <a:lnTo>
                                <a:pt x="418" y="1"/>
                              </a:lnTo>
                              <a:lnTo>
                                <a:pt x="426" y="4"/>
                              </a:lnTo>
                              <a:lnTo>
                                <a:pt x="433" y="10"/>
                              </a:lnTo>
                              <a:lnTo>
                                <a:pt x="439" y="16"/>
                              </a:lnTo>
                              <a:lnTo>
                                <a:pt x="443" y="23"/>
                              </a:lnTo>
                              <a:lnTo>
                                <a:pt x="444" y="33"/>
                              </a:lnTo>
                              <a:close/>
                              <a:moveTo>
                                <a:pt x="380" y="89"/>
                              </a:moveTo>
                              <a:lnTo>
                                <a:pt x="380" y="94"/>
                              </a:lnTo>
                              <a:lnTo>
                                <a:pt x="381" y="100"/>
                              </a:lnTo>
                              <a:lnTo>
                                <a:pt x="383" y="105"/>
                              </a:lnTo>
                              <a:lnTo>
                                <a:pt x="386" y="110"/>
                              </a:lnTo>
                              <a:lnTo>
                                <a:pt x="389" y="113"/>
                              </a:lnTo>
                              <a:lnTo>
                                <a:pt x="393" y="116"/>
                              </a:lnTo>
                              <a:lnTo>
                                <a:pt x="397" y="119"/>
                              </a:lnTo>
                              <a:lnTo>
                                <a:pt x="402" y="120"/>
                              </a:lnTo>
                              <a:lnTo>
                                <a:pt x="406" y="120"/>
                              </a:lnTo>
                              <a:lnTo>
                                <a:pt x="413" y="120"/>
                              </a:lnTo>
                              <a:lnTo>
                                <a:pt x="419" y="117"/>
                              </a:lnTo>
                              <a:lnTo>
                                <a:pt x="423" y="112"/>
                              </a:lnTo>
                              <a:lnTo>
                                <a:pt x="428" y="106"/>
                              </a:lnTo>
                              <a:lnTo>
                                <a:pt x="431" y="99"/>
                              </a:lnTo>
                              <a:lnTo>
                                <a:pt x="431" y="90"/>
                              </a:lnTo>
                              <a:lnTo>
                                <a:pt x="431" y="81"/>
                              </a:lnTo>
                              <a:lnTo>
                                <a:pt x="428" y="74"/>
                              </a:lnTo>
                              <a:lnTo>
                                <a:pt x="423" y="69"/>
                              </a:lnTo>
                              <a:lnTo>
                                <a:pt x="419" y="64"/>
                              </a:lnTo>
                              <a:lnTo>
                                <a:pt x="413" y="61"/>
                              </a:lnTo>
                              <a:lnTo>
                                <a:pt x="405" y="61"/>
                              </a:lnTo>
                              <a:lnTo>
                                <a:pt x="398" y="61"/>
                              </a:lnTo>
                              <a:lnTo>
                                <a:pt x="392" y="64"/>
                              </a:lnTo>
                              <a:lnTo>
                                <a:pt x="387" y="69"/>
                              </a:lnTo>
                              <a:lnTo>
                                <a:pt x="382" y="74"/>
                              </a:lnTo>
                              <a:lnTo>
                                <a:pt x="380" y="81"/>
                              </a:lnTo>
                              <a:lnTo>
                                <a:pt x="380" y="89"/>
                              </a:lnTo>
                              <a:close/>
                              <a:moveTo>
                                <a:pt x="465" y="33"/>
                              </a:moveTo>
                              <a:lnTo>
                                <a:pt x="465" y="24"/>
                              </a:lnTo>
                              <a:lnTo>
                                <a:pt x="468" y="16"/>
                              </a:lnTo>
                              <a:lnTo>
                                <a:pt x="472" y="9"/>
                              </a:lnTo>
                              <a:lnTo>
                                <a:pt x="477" y="3"/>
                              </a:lnTo>
                              <a:lnTo>
                                <a:pt x="484" y="0"/>
                              </a:lnTo>
                              <a:lnTo>
                                <a:pt x="492" y="0"/>
                              </a:lnTo>
                              <a:lnTo>
                                <a:pt x="501" y="0"/>
                              </a:lnTo>
                              <a:lnTo>
                                <a:pt x="507" y="3"/>
                              </a:lnTo>
                              <a:lnTo>
                                <a:pt x="513" y="8"/>
                              </a:lnTo>
                              <a:lnTo>
                                <a:pt x="518" y="14"/>
                              </a:lnTo>
                              <a:lnTo>
                                <a:pt x="521" y="23"/>
                              </a:lnTo>
                              <a:lnTo>
                                <a:pt x="521" y="34"/>
                              </a:lnTo>
                              <a:lnTo>
                                <a:pt x="521" y="45"/>
                              </a:lnTo>
                              <a:lnTo>
                                <a:pt x="518" y="53"/>
                              </a:lnTo>
                              <a:lnTo>
                                <a:pt x="512" y="59"/>
                              </a:lnTo>
                              <a:lnTo>
                                <a:pt x="507" y="65"/>
                              </a:lnTo>
                              <a:lnTo>
                                <a:pt x="501" y="68"/>
                              </a:lnTo>
                              <a:lnTo>
                                <a:pt x="493" y="68"/>
                              </a:lnTo>
                              <a:lnTo>
                                <a:pt x="485" y="68"/>
                              </a:lnTo>
                              <a:lnTo>
                                <a:pt x="478" y="65"/>
                              </a:lnTo>
                              <a:lnTo>
                                <a:pt x="473" y="59"/>
                              </a:lnTo>
                              <a:lnTo>
                                <a:pt x="468" y="53"/>
                              </a:lnTo>
                              <a:lnTo>
                                <a:pt x="465" y="45"/>
                              </a:lnTo>
                              <a:lnTo>
                                <a:pt x="465" y="33"/>
                              </a:lnTo>
                              <a:close/>
                              <a:moveTo>
                                <a:pt x="493" y="11"/>
                              </a:moveTo>
                              <a:lnTo>
                                <a:pt x="489" y="11"/>
                              </a:lnTo>
                              <a:lnTo>
                                <a:pt x="486" y="12"/>
                              </a:lnTo>
                              <a:lnTo>
                                <a:pt x="483" y="16"/>
                              </a:lnTo>
                              <a:lnTo>
                                <a:pt x="481" y="19"/>
                              </a:lnTo>
                              <a:lnTo>
                                <a:pt x="479" y="25"/>
                              </a:lnTo>
                              <a:lnTo>
                                <a:pt x="479" y="34"/>
                              </a:lnTo>
                              <a:lnTo>
                                <a:pt x="479" y="43"/>
                              </a:lnTo>
                              <a:lnTo>
                                <a:pt x="481" y="49"/>
                              </a:lnTo>
                              <a:lnTo>
                                <a:pt x="483" y="52"/>
                              </a:lnTo>
                              <a:lnTo>
                                <a:pt x="486" y="55"/>
                              </a:lnTo>
                              <a:lnTo>
                                <a:pt x="489" y="57"/>
                              </a:lnTo>
                              <a:lnTo>
                                <a:pt x="493" y="57"/>
                              </a:lnTo>
                              <a:lnTo>
                                <a:pt x="497" y="57"/>
                              </a:lnTo>
                              <a:lnTo>
                                <a:pt x="500" y="55"/>
                              </a:lnTo>
                              <a:lnTo>
                                <a:pt x="503" y="52"/>
                              </a:lnTo>
                              <a:lnTo>
                                <a:pt x="505" y="48"/>
                              </a:lnTo>
                              <a:lnTo>
                                <a:pt x="507" y="42"/>
                              </a:lnTo>
                              <a:lnTo>
                                <a:pt x="507" y="33"/>
                              </a:lnTo>
                              <a:lnTo>
                                <a:pt x="507" y="25"/>
                              </a:lnTo>
                              <a:lnTo>
                                <a:pt x="505" y="19"/>
                              </a:lnTo>
                              <a:lnTo>
                                <a:pt x="503" y="16"/>
                              </a:lnTo>
                              <a:lnTo>
                                <a:pt x="500" y="12"/>
                              </a:lnTo>
                              <a:lnTo>
                                <a:pt x="497" y="11"/>
                              </a:lnTo>
                              <a:lnTo>
                                <a:pt x="493" y="11"/>
                              </a:lnTo>
                              <a:close/>
                              <a:moveTo>
                                <a:pt x="493" y="136"/>
                              </a:moveTo>
                              <a:lnTo>
                                <a:pt x="564" y="0"/>
                              </a:lnTo>
                              <a:lnTo>
                                <a:pt x="576" y="0"/>
                              </a:lnTo>
                              <a:lnTo>
                                <a:pt x="506" y="136"/>
                              </a:lnTo>
                              <a:lnTo>
                                <a:pt x="493" y="136"/>
                              </a:lnTo>
                              <a:close/>
                              <a:moveTo>
                                <a:pt x="549" y="101"/>
                              </a:moveTo>
                              <a:lnTo>
                                <a:pt x="549" y="91"/>
                              </a:lnTo>
                              <a:lnTo>
                                <a:pt x="551" y="83"/>
                              </a:lnTo>
                              <a:lnTo>
                                <a:pt x="556" y="77"/>
                              </a:lnTo>
                              <a:lnTo>
                                <a:pt x="560" y="71"/>
                              </a:lnTo>
                              <a:lnTo>
                                <a:pt x="567" y="67"/>
                              </a:lnTo>
                              <a:lnTo>
                                <a:pt x="576" y="67"/>
                              </a:lnTo>
                              <a:lnTo>
                                <a:pt x="584" y="67"/>
                              </a:lnTo>
                              <a:lnTo>
                                <a:pt x="591" y="70"/>
                              </a:lnTo>
                              <a:lnTo>
                                <a:pt x="596" y="76"/>
                              </a:lnTo>
                              <a:lnTo>
                                <a:pt x="601" y="82"/>
                              </a:lnTo>
                              <a:lnTo>
                                <a:pt x="604" y="90"/>
                              </a:lnTo>
                              <a:lnTo>
                                <a:pt x="604" y="101"/>
                              </a:lnTo>
                              <a:lnTo>
                                <a:pt x="604" y="112"/>
                              </a:lnTo>
                              <a:lnTo>
                                <a:pt x="601" y="121"/>
                              </a:lnTo>
                              <a:lnTo>
                                <a:pt x="596" y="127"/>
                              </a:lnTo>
                              <a:lnTo>
                                <a:pt x="591" y="133"/>
                              </a:lnTo>
                              <a:lnTo>
                                <a:pt x="584" y="136"/>
                              </a:lnTo>
                              <a:lnTo>
                                <a:pt x="576" y="136"/>
                              </a:lnTo>
                              <a:lnTo>
                                <a:pt x="568" y="136"/>
                              </a:lnTo>
                              <a:lnTo>
                                <a:pt x="562" y="133"/>
                              </a:lnTo>
                              <a:lnTo>
                                <a:pt x="557" y="127"/>
                              </a:lnTo>
                              <a:lnTo>
                                <a:pt x="551" y="121"/>
                              </a:lnTo>
                              <a:lnTo>
                                <a:pt x="549" y="112"/>
                              </a:lnTo>
                              <a:lnTo>
                                <a:pt x="549" y="101"/>
                              </a:lnTo>
                              <a:close/>
                              <a:moveTo>
                                <a:pt x="576" y="78"/>
                              </a:moveTo>
                              <a:lnTo>
                                <a:pt x="572" y="78"/>
                              </a:lnTo>
                              <a:lnTo>
                                <a:pt x="569" y="80"/>
                              </a:lnTo>
                              <a:lnTo>
                                <a:pt x="566" y="83"/>
                              </a:lnTo>
                              <a:lnTo>
                                <a:pt x="564" y="87"/>
                              </a:lnTo>
                              <a:lnTo>
                                <a:pt x="563" y="93"/>
                              </a:lnTo>
                              <a:lnTo>
                                <a:pt x="563" y="102"/>
                              </a:lnTo>
                              <a:lnTo>
                                <a:pt x="563" y="110"/>
                              </a:lnTo>
                              <a:lnTo>
                                <a:pt x="564" y="116"/>
                              </a:lnTo>
                              <a:lnTo>
                                <a:pt x="567" y="120"/>
                              </a:lnTo>
                              <a:lnTo>
                                <a:pt x="569" y="123"/>
                              </a:lnTo>
                              <a:lnTo>
                                <a:pt x="572" y="125"/>
                              </a:lnTo>
                              <a:lnTo>
                                <a:pt x="576" y="125"/>
                              </a:lnTo>
                              <a:lnTo>
                                <a:pt x="580" y="125"/>
                              </a:lnTo>
                              <a:lnTo>
                                <a:pt x="584" y="123"/>
                              </a:lnTo>
                              <a:lnTo>
                                <a:pt x="586" y="120"/>
                              </a:lnTo>
                              <a:lnTo>
                                <a:pt x="589" y="116"/>
                              </a:lnTo>
                              <a:lnTo>
                                <a:pt x="590" y="110"/>
                              </a:lnTo>
                              <a:lnTo>
                                <a:pt x="590" y="101"/>
                              </a:lnTo>
                              <a:lnTo>
                                <a:pt x="590" y="93"/>
                              </a:lnTo>
                              <a:lnTo>
                                <a:pt x="589" y="87"/>
                              </a:lnTo>
                              <a:lnTo>
                                <a:pt x="586" y="83"/>
                              </a:lnTo>
                              <a:lnTo>
                                <a:pt x="584" y="80"/>
                              </a:lnTo>
                              <a:lnTo>
                                <a:pt x="580" y="78"/>
                              </a:lnTo>
                              <a:lnTo>
                                <a:pt x="576" y="78"/>
                              </a:lnTo>
                              <a:close/>
                              <a:moveTo>
                                <a:pt x="637" y="169"/>
                              </a:moveTo>
                              <a:lnTo>
                                <a:pt x="626" y="169"/>
                              </a:lnTo>
                              <a:lnTo>
                                <a:pt x="637" y="148"/>
                              </a:lnTo>
                              <a:lnTo>
                                <a:pt x="646" y="126"/>
                              </a:lnTo>
                              <a:lnTo>
                                <a:pt x="651" y="105"/>
                              </a:lnTo>
                              <a:lnTo>
                                <a:pt x="652" y="84"/>
                              </a:lnTo>
                              <a:lnTo>
                                <a:pt x="652" y="73"/>
                              </a:lnTo>
                              <a:lnTo>
                                <a:pt x="651" y="62"/>
                              </a:lnTo>
                              <a:lnTo>
                                <a:pt x="648" y="51"/>
                              </a:lnTo>
                              <a:lnTo>
                                <a:pt x="646" y="43"/>
                              </a:lnTo>
                              <a:lnTo>
                                <a:pt x="644" y="34"/>
                              </a:lnTo>
                              <a:lnTo>
                                <a:pt x="640" y="26"/>
                              </a:lnTo>
                              <a:lnTo>
                                <a:pt x="638" y="21"/>
                              </a:lnTo>
                              <a:lnTo>
                                <a:pt x="633" y="12"/>
                              </a:lnTo>
                              <a:lnTo>
                                <a:pt x="626" y="0"/>
                              </a:lnTo>
                              <a:lnTo>
                                <a:pt x="637" y="0"/>
                              </a:lnTo>
                              <a:lnTo>
                                <a:pt x="645" y="11"/>
                              </a:lnTo>
                              <a:lnTo>
                                <a:pt x="652" y="22"/>
                              </a:lnTo>
                              <a:lnTo>
                                <a:pt x="657" y="33"/>
                              </a:lnTo>
                              <a:lnTo>
                                <a:pt x="662" y="44"/>
                              </a:lnTo>
                              <a:lnTo>
                                <a:pt x="665" y="54"/>
                              </a:lnTo>
                              <a:lnTo>
                                <a:pt x="667" y="64"/>
                              </a:lnTo>
                              <a:lnTo>
                                <a:pt x="668" y="74"/>
                              </a:lnTo>
                              <a:lnTo>
                                <a:pt x="668" y="84"/>
                              </a:lnTo>
                              <a:lnTo>
                                <a:pt x="668" y="96"/>
                              </a:lnTo>
                              <a:lnTo>
                                <a:pt x="666" y="107"/>
                              </a:lnTo>
                              <a:lnTo>
                                <a:pt x="663" y="119"/>
                              </a:lnTo>
                              <a:lnTo>
                                <a:pt x="659" y="130"/>
                              </a:lnTo>
                              <a:lnTo>
                                <a:pt x="655" y="141"/>
                              </a:lnTo>
                              <a:lnTo>
                                <a:pt x="649" y="151"/>
                              </a:lnTo>
                              <a:lnTo>
                                <a:pt x="644" y="160"/>
                              </a:lnTo>
                              <a:lnTo>
                                <a:pt x="637" y="169"/>
                              </a:lnTo>
                              <a:close/>
                            </a:path>
                          </a:pathLst>
                        </a:custGeom>
                        <a:noFill/>
                        <a:ln w="28575">
                          <a:solidFill>
                            <a:srgbClr val="FFFFFF"/>
                          </a:solidFill>
                          <a:round/>
                        </a:ln>
                        <a:effectLst/>
                      </wps:spPr>
                      <wps:bodyPr rot="0" vert="horz" wrap="square" lIns="91440" tIns="45720" rIns="91440" bIns="45720" anchor="t" anchorCtr="0" upright="1">
                        <a:noAutofit/>
                      </wps:bodyPr>
                    </wps:wsp>
                  </a:graphicData>
                </a:graphic>
              </wp:anchor>
            </w:drawing>
          </mc:Choice>
          <mc:Fallback>
            <w:pict>
              <v:shape id="AutoShape 369" o:spid="_x0000_s1026" o:spt="100" style="position:absolute;left:0pt;margin-left:208.25pt;margin-top:18.7pt;height:8.45pt;width:33.45pt;mso-position-horizontal-relative:page;mso-wrap-distance-bottom:0pt;mso-wrap-distance-top:0pt;z-index:-251632640;mso-width-relative:page;mso-height-relative:page;" filled="f" stroked="t" coordsize="669,169" o:gfxdata="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" path="m85,116l85,131,0,131,0,127,1,123,2,120,4,114,8,108,12,103,17,97,24,91,33,83,47,72,57,63,61,56,66,49,69,43,69,37,69,31,67,25,62,21,58,17,52,14,45,14,37,14,31,17,26,21,22,26,19,32,19,40,3,39,4,27,8,17,16,11,23,5,33,1,45,1,57,1,67,5,74,12,82,19,85,27,85,37,85,42,84,47,82,52,80,57,76,63,71,68,67,74,58,81,47,91,38,99,31,104,29,107,26,110,24,113,22,116,85,116xm187,169l181,160,175,151,170,141,165,130,161,119,158,107,156,96,156,84,156,74,157,64,160,54,162,44,167,33,173,22,179,11,187,0,198,0,191,12,186,21,184,26,181,34,178,42,176,51,173,62,172,73,172,84,174,105,179,126,187,148,198,169,187,169xm295,116l295,131,210,131,210,127,211,123,212,120,214,114,218,108,222,103,227,97,234,91,243,83,257,72,267,63,272,56,276,49,279,43,279,37,279,31,277,25,272,21,268,17,262,14,255,14,247,14,241,17,236,21,232,26,230,32,229,40,213,39,214,27,218,17,226,11,233,5,243,1,255,1,267,1,277,5,284,12,292,19,295,27,295,37,295,42,294,47,292,52,290,57,286,63,282,68,277,74,268,81,257,91,248,99,242,104,239,107,236,110,234,113,232,116,295,116xm321,131l321,113,339,113,339,131,321,131xm444,33l429,35,427,28,425,24,423,21,418,17,413,14,407,14,402,14,397,16,394,19,389,22,385,28,382,35,379,41,377,51,377,64,381,59,386,54,391,51,397,49,403,47,409,47,419,47,428,51,436,59,443,67,447,77,447,89,447,97,445,105,441,111,438,118,433,124,427,127,421,131,414,133,406,133,393,133,382,128,374,118,369,110,365,99,362,86,362,70,362,53,365,38,369,26,375,16,383,6,394,1,408,1,418,1,426,4,433,10,439,16,443,23,444,33xm380,89l380,94,381,100,383,105,386,110,389,113,393,116,397,119,402,120,406,120,413,120,419,117,423,112,428,106,431,99,431,90,431,81,428,74,423,69,419,64,413,61,405,61,398,61,392,64,387,69,382,74,380,81,380,89xm465,33l465,24,468,16,472,9,477,3,484,0,492,0,501,0,507,3,513,8,518,14,521,23,521,34,521,45,518,53,512,59,507,65,501,68,493,68,485,68,478,65,473,59,468,53,465,45,465,33xm493,11l489,11,486,12,483,16,481,19,479,25,479,34,479,43,481,49,483,52,486,55,489,57,493,57,497,57,500,55,503,52,505,48,507,42,507,33,507,25,505,19,503,16,500,12,497,11,493,11xm493,136l564,0,576,0,506,136,493,136xm549,101l549,91,551,83,556,77,560,71,567,67,576,67,584,67,591,70,596,76,601,82,604,90,604,101,604,112,601,121,596,127,591,133,584,136,576,136,568,136,562,133,557,127,551,121,549,112,549,101xm576,78l572,78,569,80,566,83,564,87,563,93,563,102,563,110,564,116,567,120,569,123,572,125,576,125,580,125,584,123,586,120,589,116,590,110,590,101,590,93,589,87,586,83,584,80,580,78,576,78xm637,169l626,169,637,148,646,126,651,105,652,84,652,73,651,62,648,51,646,43,644,34,640,26,638,21,633,12,626,0,637,0,645,11,652,22,657,33,662,44,665,54,667,64,668,74,668,84,668,96,666,107,663,119,659,130,655,141,649,151,644,160,637,169xe">
                <v:path o:connectlocs="806450,199193150;13306425,184273825;27822525,165725475;18145125,156451300;7661275,166935150;13306425,151209375;34274125,161693225;30645100,176209325;12499975,192741550;75403075,218951175;63709550,193951225;65322450,168548050;77015975,155644850;69757925,175806100;79838550,218951175;85080475,200402825;94354650,187499625;112499775,168144825;105644950,156451300;92741750,163709350;93951425,152822275;117741700,158467425;116935250,173789975;99999800,190725425;118951375,197580250;179031900,164112575;166531925,156451300;155241625,162096450;155644850,172580300;172580300,171370625;179435125,193144775;166935150,204435075;147177125,190725425;151209375,157257750;174596425,154838400;153628725,191128650;162096450,199193150;173789975,190725425;166531925,175402875;153225500,183467375;192338325,152015825;208870550,156451300;204435075,177015775;188709300,172177075;194757675,157257750;194757675,171773850;202822175,171773850;202822175,157257750;232257600,150806150;224193100,181854475;240322100,181451250;240322100,202015725;224596325,202015725;229435025,183064150;227418900,197580250;235483400,200402825;237499525,185886725;252418850,218951175;262499475,175806100;255241425,155644850;266934950,168548050;268547850,193951225;256854325,218951175" o:connectangles="0,0,0,0,0,0,0,0,0,0,0,0,0,0,0,0,0,0,0,0,0,0,0,0,0,0,0,0,0,0,0,0,0,0,0,0,0,0,0,0,0,0,0,0,0,0,0,0,0,0,0,0,0,0,0,0,0,0,0,0,0,0,0"/>
                <v:fill on="f" focussize="0,0"/>
                <v:stroke weight="2.25pt" color="#FFFFFF" joinstyle="round"/>
                <v:imagedata o:title=""/>
                <o:lock v:ext="edit" aspectratio="f"/>
                <w10:wrap type="topAndBottom"/>
              </v:shape>
            </w:pict>
          </mc:Fallback>
        </mc:AlternateContent>
      </w:r>
    </w:p>
    <w:p w14:paraId="718BBE8F">
      <w:pPr>
        <w:widowControl w:val="0"/>
        <w:autoSpaceDE w:val="0"/>
        <w:autoSpaceDN w:val="0"/>
        <w:spacing w:before="18" w:line="205" w:lineRule="exact"/>
        <w:rPr>
          <w:rFonts w:ascii="Arial MT" w:hAnsi="Roboto" w:eastAsia="Roboto" w:cs="Roboto"/>
          <w:sz w:val="18"/>
          <w:szCs w:val="22"/>
        </w:rPr>
      </w:pPr>
      <w:r>
        <w:rPr>
          <w:rFonts w:ascii="Arial MT" w:hAnsi="Roboto" w:eastAsia="Roboto" w:cs="Roboto"/>
          <w:color w:val="444444"/>
          <w:sz w:val="18"/>
          <w:szCs w:val="22"/>
        </w:rPr>
        <w:t>0</w:t>
      </w:r>
    </w:p>
    <w:p w14:paraId="191A550F">
      <w:pPr>
        <w:widowControl w:val="0"/>
        <w:tabs>
          <w:tab w:val="left" w:pos="3421"/>
          <w:tab w:val="left" w:pos="5044"/>
          <w:tab w:val="left" w:pos="6667"/>
          <w:tab w:val="left" w:pos="8290"/>
        </w:tabs>
        <w:autoSpaceDE w:val="0"/>
        <w:autoSpaceDN w:val="0"/>
        <w:spacing w:line="205"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223DE383">
      <w:pPr>
        <w:widowControl w:val="0"/>
        <w:autoSpaceDE w:val="0"/>
        <w:autoSpaceDN w:val="0"/>
        <w:rPr>
          <w:rFonts w:ascii="Arial MT" w:hAnsi="Roboto" w:eastAsia="Roboto" w:cs="Roboto"/>
          <w:sz w:val="20"/>
          <w:szCs w:val="21"/>
        </w:rPr>
      </w:pPr>
    </w:p>
    <w:p w14:paraId="3B4DE1DF">
      <w:pPr>
        <w:widowControl w:val="0"/>
        <w:autoSpaceDE w:val="0"/>
        <w:autoSpaceDN w:val="0"/>
        <w:spacing w:before="8"/>
        <w:rPr>
          <w:rFonts w:ascii="Arial MT" w:hAnsi="Roboto" w:eastAsia="Roboto" w:cs="Roboto"/>
          <w:sz w:val="26"/>
          <w:szCs w:val="21"/>
        </w:rPr>
      </w:pPr>
    </w:p>
    <w:p w14:paraId="35DEF437">
      <w:pPr>
        <w:widowControl w:val="0"/>
        <w:autoSpaceDE w:val="0"/>
        <w:autoSpaceDN w:val="0"/>
        <w:rPr>
          <w:rFonts w:ascii="Arial MT" w:hAnsi="Roboto" w:eastAsia="Roboto" w:cs="Roboto"/>
          <w:sz w:val="26"/>
          <w:szCs w:val="22"/>
        </w:rPr>
        <w:sectPr>
          <w:type w:val="continuous"/>
          <w:pgSz w:w="11900" w:h="16840"/>
          <w:pgMar w:top="480" w:right="1280" w:bottom="1680" w:left="1040" w:header="720" w:footer="720" w:gutter="0"/>
          <w:cols w:space="720" w:num="1"/>
        </w:sectPr>
      </w:pPr>
    </w:p>
    <w:p w14:paraId="454BB168">
      <w:pPr>
        <w:widowControl w:val="0"/>
        <w:numPr>
          <w:ilvl w:val="0"/>
          <w:numId w:val="43"/>
        </w:numPr>
        <w:tabs>
          <w:tab w:val="left" w:pos="389"/>
        </w:tabs>
        <w:autoSpaceDE w:val="0"/>
        <w:autoSpaceDN w:val="0"/>
        <w:spacing w:before="95" w:line="300" w:lineRule="auto"/>
        <w:ind w:right="38" w:firstLine="0"/>
        <w:jc w:val="both"/>
        <w:outlineLvl w:val="0"/>
        <w:rPr>
          <w:rFonts w:eastAsia="Roboto"/>
        </w:rPr>
      </w:pPr>
      <w:r>
        <w:rPr>
          <w:rFonts w:eastAsia="Roboto"/>
          <w:color w:val="202024"/>
        </w:rPr>
        <w:t>In</w:t>
      </w:r>
      <w:r>
        <w:rPr>
          <w:rFonts w:eastAsia="Roboto"/>
          <w:color w:val="202024"/>
          <w:spacing w:val="8"/>
        </w:rPr>
        <w:t xml:space="preserve"> </w:t>
      </w:r>
      <w:r>
        <w:rPr>
          <w:rFonts w:eastAsia="Roboto"/>
          <w:color w:val="202024"/>
        </w:rPr>
        <w:t>your</w:t>
      </w:r>
      <w:r>
        <w:rPr>
          <w:rFonts w:eastAsia="Roboto"/>
          <w:color w:val="202024"/>
          <w:spacing w:val="9"/>
        </w:rPr>
        <w:t xml:space="preserve"> </w:t>
      </w:r>
      <w:r>
        <w:rPr>
          <w:rFonts w:eastAsia="Roboto"/>
          <w:color w:val="202024"/>
        </w:rPr>
        <w:t>experience</w:t>
      </w:r>
      <w:r>
        <w:rPr>
          <w:rFonts w:eastAsia="Roboto"/>
          <w:color w:val="202024"/>
          <w:spacing w:val="8"/>
        </w:rPr>
        <w:t xml:space="preserve"> </w:t>
      </w:r>
      <w:r>
        <w:rPr>
          <w:rFonts w:eastAsia="Roboto"/>
          <w:color w:val="202024"/>
        </w:rPr>
        <w:t>how</w:t>
      </w:r>
      <w:r>
        <w:rPr>
          <w:rFonts w:eastAsia="Roboto"/>
          <w:color w:val="202024"/>
          <w:spacing w:val="9"/>
        </w:rPr>
        <w:t xml:space="preserve"> </w:t>
      </w:r>
      <w:r>
        <w:rPr>
          <w:rFonts w:eastAsia="Roboto"/>
          <w:color w:val="202024"/>
        </w:rPr>
        <w:t>essential</w:t>
      </w:r>
      <w:r>
        <w:rPr>
          <w:rFonts w:eastAsia="Roboto"/>
          <w:color w:val="202024"/>
          <w:spacing w:val="8"/>
        </w:rPr>
        <w:t xml:space="preserve"> </w:t>
      </w:r>
      <w:r>
        <w:rPr>
          <w:rFonts w:eastAsia="Roboto"/>
          <w:color w:val="202024"/>
        </w:rPr>
        <w:t>or</w:t>
      </w:r>
      <w:r>
        <w:rPr>
          <w:rFonts w:eastAsia="Roboto"/>
          <w:color w:val="202024"/>
          <w:spacing w:val="9"/>
        </w:rPr>
        <w:t xml:space="preserve"> </w:t>
      </w:r>
      <w:r>
        <w:rPr>
          <w:rFonts w:eastAsia="Roboto"/>
          <w:color w:val="202024"/>
        </w:rPr>
        <w:t>important</w:t>
      </w:r>
      <w:r>
        <w:rPr>
          <w:rFonts w:eastAsia="Roboto"/>
          <w:color w:val="202024"/>
          <w:spacing w:val="8"/>
        </w:rPr>
        <w:t xml:space="preserve"> </w:t>
      </w:r>
      <w:r>
        <w:rPr>
          <w:rFonts w:eastAsia="Roboto"/>
          <w:color w:val="202024"/>
        </w:rPr>
        <w:t>is</w:t>
      </w:r>
      <w:r>
        <w:rPr>
          <w:rFonts w:eastAsia="Roboto"/>
          <w:color w:val="202024"/>
          <w:spacing w:val="9"/>
        </w:rPr>
        <w:t xml:space="preserve"> </w:t>
      </w:r>
      <w:r>
        <w:rPr>
          <w:rFonts w:eastAsia="Roboto"/>
          <w:color w:val="202024"/>
        </w:rPr>
        <w:t>clear</w:t>
      </w:r>
      <w:r>
        <w:rPr>
          <w:rFonts w:eastAsia="Roboto"/>
          <w:color w:val="202024"/>
          <w:spacing w:val="8"/>
        </w:rPr>
        <w:t xml:space="preserve"> </w:t>
      </w:r>
      <w:r>
        <w:rPr>
          <w:rFonts w:eastAsia="Roboto"/>
          <w:color w:val="202024"/>
        </w:rPr>
        <w:t>policy</w:t>
      </w:r>
      <w:r>
        <w:rPr>
          <w:rFonts w:eastAsia="Roboto"/>
          <w:color w:val="202024"/>
          <w:spacing w:val="1"/>
        </w:rPr>
        <w:t xml:space="preserve"> </w:t>
      </w:r>
      <w:r>
        <w:rPr>
          <w:rFonts w:eastAsia="Roboto"/>
          <w:color w:val="202024"/>
        </w:rPr>
        <w:t>articulation</w:t>
      </w:r>
      <w:r>
        <w:rPr>
          <w:rFonts w:eastAsia="Roboto"/>
          <w:color w:val="202024"/>
          <w:spacing w:val="9"/>
        </w:rPr>
        <w:t xml:space="preserve"> </w:t>
      </w:r>
      <w:r>
        <w:rPr>
          <w:rFonts w:eastAsia="Roboto"/>
          <w:color w:val="202024"/>
        </w:rPr>
        <w:t>in</w:t>
      </w:r>
      <w:r>
        <w:rPr>
          <w:rFonts w:eastAsia="Roboto"/>
          <w:color w:val="202024"/>
          <w:spacing w:val="10"/>
        </w:rPr>
        <w:t xml:space="preserve"> </w:t>
      </w:r>
      <w:r>
        <w:rPr>
          <w:rFonts w:eastAsia="Roboto"/>
          <w:color w:val="202024"/>
        </w:rPr>
        <w:t>drafting</w:t>
      </w:r>
      <w:r>
        <w:rPr>
          <w:rFonts w:eastAsia="Roboto"/>
          <w:color w:val="202024"/>
          <w:spacing w:val="10"/>
        </w:rPr>
        <w:t xml:space="preserve"> </w:t>
      </w:r>
      <w:r>
        <w:rPr>
          <w:rFonts w:eastAsia="Roboto"/>
          <w:color w:val="202024"/>
        </w:rPr>
        <w:t>clear</w:t>
      </w:r>
      <w:r>
        <w:rPr>
          <w:rFonts w:eastAsia="Roboto"/>
          <w:color w:val="202024"/>
          <w:spacing w:val="10"/>
        </w:rPr>
        <w:t xml:space="preserve"> </w:t>
      </w:r>
      <w:r>
        <w:rPr>
          <w:rFonts w:eastAsia="Roboto"/>
          <w:color w:val="202024"/>
        </w:rPr>
        <w:t>upstream</w:t>
      </w:r>
      <w:r>
        <w:rPr>
          <w:rFonts w:eastAsia="Roboto"/>
          <w:color w:val="202024"/>
          <w:spacing w:val="10"/>
        </w:rPr>
        <w:t xml:space="preserve"> </w:t>
      </w:r>
      <w:r>
        <w:rPr>
          <w:rFonts w:eastAsia="Roboto"/>
          <w:color w:val="202024"/>
        </w:rPr>
        <w:t>oil</w:t>
      </w:r>
      <w:r>
        <w:rPr>
          <w:rFonts w:eastAsia="Roboto"/>
          <w:color w:val="202024"/>
          <w:spacing w:val="9"/>
        </w:rPr>
        <w:t xml:space="preserve"> </w:t>
      </w:r>
      <w:r>
        <w:rPr>
          <w:rFonts w:eastAsia="Roboto"/>
          <w:color w:val="202024"/>
        </w:rPr>
        <w:t>and</w:t>
      </w:r>
      <w:r>
        <w:rPr>
          <w:rFonts w:eastAsia="Roboto"/>
          <w:color w:val="202024"/>
          <w:spacing w:val="10"/>
        </w:rPr>
        <w:t xml:space="preserve"> </w:t>
      </w:r>
      <w:r>
        <w:rPr>
          <w:rFonts w:eastAsia="Roboto"/>
          <w:color w:val="202024"/>
        </w:rPr>
        <w:t>gas</w:t>
      </w:r>
      <w:r>
        <w:rPr>
          <w:rFonts w:eastAsia="Roboto"/>
          <w:color w:val="202024"/>
          <w:spacing w:val="10"/>
        </w:rPr>
        <w:t xml:space="preserve"> </w:t>
      </w:r>
      <w:r>
        <w:rPr>
          <w:rFonts w:eastAsia="Roboto"/>
          <w:color w:val="202024"/>
        </w:rPr>
        <w:t>tax</w:t>
      </w:r>
      <w:r>
        <w:rPr>
          <w:rFonts w:eastAsia="Roboto"/>
          <w:color w:val="202024"/>
          <w:spacing w:val="10"/>
        </w:rPr>
        <w:t xml:space="preserve"> </w:t>
      </w:r>
      <w:r>
        <w:rPr>
          <w:rFonts w:eastAsia="Roboto"/>
          <w:color w:val="202024"/>
        </w:rPr>
        <w:t>legislation.</w:t>
      </w:r>
    </w:p>
    <w:p w14:paraId="03E1AAF1">
      <w:pPr>
        <w:widowControl w:val="0"/>
        <w:numPr>
          <w:ilvl w:val="0"/>
          <w:numId w:val="44"/>
        </w:numPr>
        <w:tabs>
          <w:tab w:val="left" w:pos="383"/>
        </w:tabs>
        <w:autoSpaceDE w:val="0"/>
        <w:autoSpaceDN w:val="0"/>
        <w:spacing w:before="101"/>
        <w:rPr>
          <w:rFonts w:ascii="Roboto" w:hAnsi="Roboto" w:eastAsia="Roboto" w:cs="Roboto"/>
          <w:sz w:val="18"/>
          <w:szCs w:val="22"/>
        </w:rPr>
      </w:pPr>
      <w:r>
        <w:rPr>
          <w:rFonts w:ascii="Roboto" w:hAnsi="Roboto" w:eastAsia="Roboto" w:cs="Roboto"/>
          <w:color w:val="202024"/>
          <w:sz w:val="18"/>
          <w:szCs w:val="22"/>
        </w:rPr>
        <w:t>responses</w:t>
      </w:r>
    </w:p>
    <w:p w14:paraId="03678FF5">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370A6A85">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7193" w:space="1603"/>
            <w:col w:w="784"/>
          </w:cols>
        </w:sectPr>
      </w:pPr>
    </w:p>
    <w:p w14:paraId="25A532DB">
      <w:pPr>
        <w:widowControl w:val="0"/>
        <w:autoSpaceDE w:val="0"/>
        <w:autoSpaceDN w:val="0"/>
        <w:spacing w:before="10"/>
        <w:rPr>
          <w:rFonts w:ascii="Lucida Sans Unicode" w:hAnsi="Roboto" w:eastAsia="Roboto" w:cs="Roboto"/>
          <w:sz w:val="21"/>
          <w:szCs w:val="21"/>
        </w:rPr>
      </w:pPr>
    </w:p>
    <w:p w14:paraId="4D9CBA6C">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80</w:t>
      </w:r>
    </w:p>
    <w:p w14:paraId="10A8AA49">
      <w:pPr>
        <w:widowControl w:val="0"/>
        <w:autoSpaceDE w:val="0"/>
        <w:autoSpaceDN w:val="0"/>
        <w:rPr>
          <w:rFonts w:ascii="Arial MT" w:hAnsi="Roboto" w:eastAsia="Roboto" w:cs="Roboto"/>
          <w:sz w:val="20"/>
          <w:szCs w:val="21"/>
        </w:rPr>
      </w:pPr>
    </w:p>
    <w:p w14:paraId="31997F52">
      <w:pPr>
        <w:widowControl w:val="0"/>
        <w:autoSpaceDE w:val="0"/>
        <w:autoSpaceDN w:val="0"/>
        <w:spacing w:before="4"/>
        <w:rPr>
          <w:rFonts w:ascii="Arial MT" w:hAnsi="Roboto" w:eastAsia="Roboto" w:cs="Roboto"/>
          <w:sz w:val="20"/>
          <w:szCs w:val="21"/>
        </w:rPr>
      </w:pPr>
    </w:p>
    <w:p w14:paraId="68B64D98">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684864" behindDoc="0" locked="0" layoutInCell="1" allowOverlap="1">
                <wp:simplePos x="0" y="0"/>
                <wp:positionH relativeFrom="page">
                  <wp:posOffset>5638800</wp:posOffset>
                </wp:positionH>
                <wp:positionV relativeFrom="paragraph">
                  <wp:posOffset>70485</wp:posOffset>
                </wp:positionV>
                <wp:extent cx="638175" cy="1271905"/>
                <wp:effectExtent l="0" t="0" r="0" b="0"/>
                <wp:wrapNone/>
                <wp:docPr id="328393424" name="Text Box 89"/>
                <wp:cNvGraphicFramePr/>
                <a:graphic xmlns:a="http://schemas.openxmlformats.org/drawingml/2006/main">
                  <a:graphicData uri="http://schemas.microsoft.com/office/word/2010/wordprocessingShape">
                    <wps:wsp>
                      <wps:cNvSpPr txBox="1">
                        <a:spLocks noChangeArrowheads="1"/>
                      </wps:cNvSpPr>
                      <wps:spPr bwMode="auto">
                        <a:xfrm>
                          <a:off x="0" y="0"/>
                          <a:ext cx="638175" cy="1271905"/>
                        </a:xfrm>
                        <a:prstGeom prst="rect">
                          <a:avLst/>
                        </a:prstGeom>
                        <a:solidFill>
                          <a:srgbClr val="663AB6"/>
                        </a:solidFill>
                        <a:ln>
                          <a:noFill/>
                        </a:ln>
                        <a:effectLst/>
                      </wps:spPr>
                      <wps:txbx>
                        <w:txbxContent>
                          <w:p w14:paraId="337507DF">
                            <w:pPr>
                              <w:spacing w:line="198" w:lineRule="exact"/>
                              <w:rPr>
                                <w:rFonts w:ascii="Arial MT"/>
                                <w:sz w:val="18"/>
                              </w:rPr>
                            </w:pPr>
                            <w:r>
                              <w:rPr>
                                <w:rFonts w:ascii="Arial MT"/>
                                <w:color w:val="FFFFFF"/>
                                <w:sz w:val="18"/>
                              </w:rPr>
                              <w:t>61 (81.3%)</w:t>
                            </w:r>
                          </w:p>
                        </w:txbxContent>
                      </wps:txbx>
                      <wps:bodyPr rot="0" vert="horz" wrap="square" lIns="0" tIns="0" rIns="0" bIns="0" anchor="t" anchorCtr="0" upright="1">
                        <a:noAutofit/>
                      </wps:bodyPr>
                    </wps:wsp>
                  </a:graphicData>
                </a:graphic>
              </wp:anchor>
            </w:drawing>
          </mc:Choice>
          <mc:Fallback>
            <w:pict>
              <v:shape id="Text Box 89" o:spid="_x0000_s1026" o:spt="202" type="#_x0000_t202" style="position:absolute;left:0pt;margin-left:444pt;margin-top:5.55pt;height:100.15pt;width:50.25pt;mso-position-horizontal-relative:page;z-index:251684864;mso-width-relative:page;mso-height-relative:page;" fillcolor="#663AB6" filled="t" stroked="f" coordsize="21600,21600" o:gfxdata="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wPe&#10;4tcAAAAKAQAADwAAAAAAAAABACAAAAAiAAAAZHJzL2Rvd25yZXYueG1sUEsBAhQAFAAAAAgAh07i&#10;QKql/9sjAgAARAQAAA4AAAAAAAAAAQAgAAAAJgEAAGRycy9lMm9Eb2MueG1sUEsFBgAAAAAGAAYA&#10;WQEAALsFAAAAAA==&#10;">
                <v:fill on="t" focussize="0,0"/>
                <v:stroke on="f"/>
                <v:imagedata o:title=""/>
                <o:lock v:ext="edit" aspectratio="f"/>
                <v:textbox inset="0mm,0mm,0mm,0mm">
                  <w:txbxContent>
                    <w:p w14:paraId="337507DF">
                      <w:pPr>
                        <w:spacing w:line="198" w:lineRule="exact"/>
                        <w:rPr>
                          <w:rFonts w:ascii="Arial MT"/>
                          <w:sz w:val="18"/>
                        </w:rPr>
                      </w:pPr>
                      <w:r>
                        <w:rPr>
                          <w:rFonts w:ascii="Arial MT"/>
                          <w:color w:val="FFFFFF"/>
                          <w:sz w:val="18"/>
                        </w:rPr>
                        <w:t>61 (81.3%)</w:t>
                      </w:r>
                    </w:p>
                  </w:txbxContent>
                </v:textbox>
              </v:shape>
            </w:pict>
          </mc:Fallback>
        </mc:AlternateContent>
      </w:r>
      <w:r>
        <w:rPr>
          <w:rFonts w:ascii="Arial MT" w:hAnsi="Roboto" w:eastAsia="Roboto" w:cs="Roboto"/>
          <w:color w:val="444444"/>
          <w:sz w:val="18"/>
          <w:szCs w:val="22"/>
        </w:rPr>
        <w:t>60</w:t>
      </w:r>
    </w:p>
    <w:p w14:paraId="34CBB422">
      <w:pPr>
        <w:widowControl w:val="0"/>
        <w:autoSpaceDE w:val="0"/>
        <w:autoSpaceDN w:val="0"/>
        <w:rPr>
          <w:rFonts w:ascii="Arial MT" w:hAnsi="Roboto" w:eastAsia="Roboto" w:cs="Roboto"/>
          <w:sz w:val="20"/>
          <w:szCs w:val="21"/>
        </w:rPr>
      </w:pPr>
    </w:p>
    <w:p w14:paraId="05CA561F">
      <w:pPr>
        <w:widowControl w:val="0"/>
        <w:autoSpaceDE w:val="0"/>
        <w:autoSpaceDN w:val="0"/>
        <w:spacing w:before="4"/>
        <w:rPr>
          <w:rFonts w:ascii="Arial MT" w:hAnsi="Roboto" w:eastAsia="Roboto" w:cs="Roboto"/>
          <w:sz w:val="20"/>
          <w:szCs w:val="21"/>
        </w:rPr>
      </w:pPr>
    </w:p>
    <w:p w14:paraId="3E56879A">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40</w:t>
      </w:r>
    </w:p>
    <w:p w14:paraId="189CFC75">
      <w:pPr>
        <w:widowControl w:val="0"/>
        <w:autoSpaceDE w:val="0"/>
        <w:autoSpaceDN w:val="0"/>
        <w:rPr>
          <w:rFonts w:ascii="Arial MT" w:hAnsi="Roboto" w:eastAsia="Roboto" w:cs="Roboto"/>
          <w:sz w:val="20"/>
          <w:szCs w:val="21"/>
        </w:rPr>
      </w:pPr>
    </w:p>
    <w:p w14:paraId="598DE25A">
      <w:pPr>
        <w:widowControl w:val="0"/>
        <w:autoSpaceDE w:val="0"/>
        <w:autoSpaceDN w:val="0"/>
        <w:spacing w:before="4"/>
        <w:rPr>
          <w:rFonts w:ascii="Arial MT" w:hAnsi="Roboto" w:eastAsia="Roboto" w:cs="Roboto"/>
          <w:sz w:val="20"/>
          <w:szCs w:val="21"/>
        </w:rPr>
      </w:pPr>
    </w:p>
    <w:p w14:paraId="33318C55">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0EE17977">
      <w:pPr>
        <w:widowControl w:val="0"/>
        <w:tabs>
          <w:tab w:val="left" w:pos="3194"/>
          <w:tab w:val="left" w:pos="4754"/>
        </w:tabs>
        <w:autoSpaceDE w:val="0"/>
        <w:autoSpaceDN w:val="0"/>
        <w:spacing w:before="137"/>
        <w:rPr>
          <w:rFonts w:ascii="Arial MT" w:hAnsi="Roboto" w:eastAsia="Roboto" w:cs="Roboto"/>
          <w:sz w:val="18"/>
          <w:szCs w:val="22"/>
        </w:rPr>
      </w:pPr>
      <w:r>
        <mc:AlternateContent>
          <mc:Choice Requires="wps">
            <w:drawing>
              <wp:anchor distT="0" distB="0" distL="114300" distR="114300" simplePos="0" relativeHeight="251685888" behindDoc="0" locked="0" layoutInCell="1" allowOverlap="1">
                <wp:simplePos x="0" y="0"/>
                <wp:positionH relativeFrom="page">
                  <wp:posOffset>4610100</wp:posOffset>
                </wp:positionH>
                <wp:positionV relativeFrom="paragraph">
                  <wp:posOffset>109855</wp:posOffset>
                </wp:positionV>
                <wp:extent cx="638175" cy="247650"/>
                <wp:effectExtent l="0" t="0" r="0" b="0"/>
                <wp:wrapNone/>
                <wp:docPr id="1455536389" name="Text Box 88"/>
                <wp:cNvGraphicFramePr/>
                <a:graphic xmlns:a="http://schemas.openxmlformats.org/drawingml/2006/main">
                  <a:graphicData uri="http://schemas.microsoft.com/office/word/2010/wordprocessingShape">
                    <wps:wsp>
                      <wps:cNvSpPr txBox="1">
                        <a:spLocks noChangeArrowheads="1"/>
                      </wps:cNvSpPr>
                      <wps:spPr bwMode="auto">
                        <a:xfrm>
                          <a:off x="0" y="0"/>
                          <a:ext cx="638175" cy="247650"/>
                        </a:xfrm>
                        <a:prstGeom prst="rect">
                          <a:avLst/>
                        </a:prstGeom>
                        <a:solidFill>
                          <a:srgbClr val="663AB6"/>
                        </a:solidFill>
                        <a:ln>
                          <a:noFill/>
                        </a:ln>
                        <a:effectLst/>
                      </wps:spPr>
                      <wps:txbx>
                        <w:txbxContent>
                          <w:p w14:paraId="5B367D00">
                            <w:pPr>
                              <w:spacing w:before="14"/>
                              <w:rPr>
                                <w:rFonts w:ascii="Arial MT"/>
                                <w:sz w:val="18"/>
                              </w:rPr>
                            </w:pPr>
                            <w:r>
                              <w:rPr>
                                <w:rFonts w:ascii="Arial MT"/>
                                <w:color w:val="FFFFFF"/>
                                <w:sz w:val="18"/>
                              </w:rPr>
                              <w:t>12 (16%)</w:t>
                            </w:r>
                          </w:p>
                        </w:txbxContent>
                      </wps:txbx>
                      <wps:bodyPr rot="0" vert="horz" wrap="square" lIns="0" tIns="0" rIns="0" bIns="0" anchor="t" anchorCtr="0" upright="1">
                        <a:noAutofit/>
                      </wps:bodyPr>
                    </wps:wsp>
                  </a:graphicData>
                </a:graphic>
              </wp:anchor>
            </w:drawing>
          </mc:Choice>
          <mc:Fallback>
            <w:pict>
              <v:shape id="Text Box 88" o:spid="_x0000_s1026" o:spt="202" type="#_x0000_t202" style="position:absolute;left:0pt;margin-left:363pt;margin-top:8.65pt;height:19.5pt;width:50.25pt;mso-position-horizontal-relative:page;z-index:251685888;mso-width-relative:page;mso-height-relative:page;" fillcolor="#663AB6" filled="t" stroked="f" coordsize="21600,21600" o:gfxdata="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C+IzX&#10;AAAACQEAAA8AAAAAAAAAAQAgAAAAIgAAAGRycy9kb3ducmV2LnhtbFBLAQIUABQAAAAIAIdO4kDU&#10;T8IXIQIAAEQEAAAOAAAAAAAAAAEAIAAAACYBAABkcnMvZTJvRG9jLnhtbFBLBQYAAAAABgAGAFkB&#10;AAC5BQAAAAA=&#10;">
                <v:fill on="t" focussize="0,0"/>
                <v:stroke on="f"/>
                <v:imagedata o:title=""/>
                <o:lock v:ext="edit" aspectratio="f"/>
                <v:textbox inset="0mm,0mm,0mm,0mm">
                  <w:txbxContent>
                    <w:p w14:paraId="5B367D00">
                      <w:pPr>
                        <w:spacing w:before="14"/>
                        <w:rPr>
                          <w:rFonts w:ascii="Arial MT"/>
                          <w:sz w:val="18"/>
                        </w:rPr>
                      </w:pPr>
                      <w:r>
                        <w:rPr>
                          <w:rFonts w:ascii="Arial MT"/>
                          <w:color w:val="FFFFFF"/>
                          <w:sz w:val="18"/>
                        </w:rPr>
                        <w:t>12 (16%)</w:t>
                      </w:r>
                    </w:p>
                  </w:txbxContent>
                </v:textbox>
              </v:shape>
            </w:pict>
          </mc:Fallback>
        </mc:AlternateContent>
      </w:r>
      <w:r>
        <w:rPr>
          <w:rFonts w:ascii="Arial MT" w:hAnsi="Roboto" w:eastAsia="Roboto" w:cs="Roboto"/>
          <w:color w:val="202024"/>
          <w:sz w:val="18"/>
          <w:szCs w:val="22"/>
        </w:rPr>
        <w:t xml:space="preserve">0 </w:t>
      </w:r>
      <w:r>
        <w:rPr>
          <w:rFonts w:ascii="Arial MT" w:hAnsi="Roboto" w:eastAsia="Roboto" w:cs="Roboto"/>
          <w:color w:val="232327"/>
          <w:sz w:val="18"/>
          <w:szCs w:val="22"/>
        </w:rPr>
        <w:t>(0%)</w:t>
      </w:r>
      <w:r>
        <w:rPr>
          <w:rFonts w:ascii="Arial MT" w:hAnsi="Roboto" w:eastAsia="Roboto" w:cs="Roboto"/>
          <w:color w:val="232327"/>
          <w:sz w:val="18"/>
          <w:szCs w:val="22"/>
        </w:rPr>
        <w:tab/>
      </w:r>
      <w:r>
        <w:rPr>
          <w:rFonts w:ascii="Arial MT" w:hAnsi="Roboto" w:eastAsia="Roboto" w:cs="Roboto"/>
          <w:color w:val="202024"/>
          <w:sz w:val="18"/>
          <w:szCs w:val="22"/>
        </w:rPr>
        <w:t>0 (0%)</w:t>
      </w:r>
      <w:r>
        <w:rPr>
          <w:rFonts w:ascii="Arial MT" w:hAnsi="Roboto" w:eastAsia="Roboto" w:cs="Roboto"/>
          <w:color w:val="202024"/>
          <w:sz w:val="18"/>
          <w:szCs w:val="22"/>
        </w:rPr>
        <w:tab/>
      </w:r>
      <w:r>
        <w:rPr>
          <w:rFonts w:ascii="Arial MT" w:hAnsi="Roboto" w:eastAsia="Roboto" w:cs="Roboto"/>
          <w:color w:val="232327"/>
          <w:position w:val="5"/>
          <w:sz w:val="18"/>
          <w:szCs w:val="22"/>
        </w:rPr>
        <w:t xml:space="preserve">2 </w:t>
      </w:r>
      <w:r>
        <w:rPr>
          <w:rFonts w:ascii="Arial MT" w:hAnsi="Roboto" w:eastAsia="Roboto" w:cs="Roboto"/>
          <w:position w:val="5"/>
          <w:sz w:val="18"/>
          <w:szCs w:val="22"/>
        </w:rPr>
        <w:t>(2.7%)</w:t>
      </w:r>
    </w:p>
    <w:p w14:paraId="7AFD82DF">
      <w:pPr>
        <w:widowControl w:val="0"/>
        <w:autoSpaceDE w:val="0"/>
        <w:autoSpaceDN w:val="0"/>
        <w:spacing w:before="70" w:line="205" w:lineRule="exact"/>
        <w:rPr>
          <w:rFonts w:ascii="Arial MT" w:hAnsi="Roboto" w:eastAsia="Roboto" w:cs="Roboto"/>
          <w:sz w:val="18"/>
          <w:szCs w:val="22"/>
        </w:rPr>
      </w:pPr>
      <w:r>
        <w:rPr>
          <w:rFonts w:ascii="Arial MT" w:hAnsi="Roboto" w:eastAsia="Roboto" w:cs="Roboto"/>
          <w:color w:val="444444"/>
          <w:sz w:val="18"/>
          <w:szCs w:val="22"/>
        </w:rPr>
        <w:t>0</w:t>
      </w:r>
    </w:p>
    <w:p w14:paraId="6A92B180">
      <w:pPr>
        <w:widowControl w:val="0"/>
        <w:tabs>
          <w:tab w:val="left" w:pos="3421"/>
          <w:tab w:val="left" w:pos="5044"/>
          <w:tab w:val="left" w:pos="6667"/>
          <w:tab w:val="left" w:pos="8290"/>
        </w:tabs>
        <w:autoSpaceDE w:val="0"/>
        <w:autoSpaceDN w:val="0"/>
        <w:spacing w:line="205"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18B06B85">
      <w:pPr>
        <w:widowControl w:val="0"/>
        <w:autoSpaceDE w:val="0"/>
        <w:autoSpaceDN w:val="0"/>
        <w:spacing w:line="205" w:lineRule="exact"/>
        <w:rPr>
          <w:rFonts w:ascii="Arial MT" w:hAnsi="Roboto" w:eastAsia="Roboto" w:cs="Roboto"/>
          <w:sz w:val="18"/>
          <w:szCs w:val="22"/>
        </w:rPr>
        <w:sectPr>
          <w:type w:val="continuous"/>
          <w:pgSz w:w="11900" w:h="16840"/>
          <w:pgMar w:top="480" w:right="1280" w:bottom="1680" w:left="1040" w:header="720" w:footer="720" w:gutter="0"/>
          <w:cols w:space="720" w:num="1"/>
        </w:sectPr>
      </w:pPr>
    </w:p>
    <w:p w14:paraId="431995FF">
      <w:pPr>
        <w:widowControl w:val="0"/>
        <w:autoSpaceDE w:val="0"/>
        <w:autoSpaceDN w:val="0"/>
        <w:spacing w:before="4"/>
        <w:rPr>
          <w:rFonts w:ascii="Arial MT" w:hAnsi="Roboto" w:eastAsia="Roboto" w:cs="Roboto"/>
          <w:sz w:val="12"/>
          <w:szCs w:val="21"/>
        </w:rPr>
      </w:pPr>
    </w:p>
    <w:p w14:paraId="479C38D2">
      <w:pPr>
        <w:widowControl w:val="0"/>
        <w:autoSpaceDE w:val="0"/>
        <w:autoSpaceDN w:val="0"/>
        <w:rPr>
          <w:rFonts w:ascii="Arial MT" w:hAnsi="Roboto" w:eastAsia="Roboto" w:cs="Roboto"/>
          <w:sz w:val="12"/>
          <w:szCs w:val="22"/>
        </w:rPr>
        <w:sectPr>
          <w:pgSz w:w="11900" w:h="16840"/>
          <w:pgMar w:top="480" w:right="1280" w:bottom="1680" w:left="1040" w:header="269" w:footer="1490" w:gutter="0"/>
          <w:cols w:space="720" w:num="1"/>
        </w:sectPr>
      </w:pPr>
    </w:p>
    <w:p w14:paraId="4F3C9A51">
      <w:pPr>
        <w:widowControl w:val="0"/>
        <w:numPr>
          <w:ilvl w:val="0"/>
          <w:numId w:val="43"/>
        </w:numPr>
        <w:tabs>
          <w:tab w:val="left" w:pos="389"/>
        </w:tabs>
        <w:autoSpaceDE w:val="0"/>
        <w:autoSpaceDN w:val="0"/>
        <w:spacing w:before="94" w:line="300" w:lineRule="auto"/>
        <w:ind w:right="38" w:firstLine="0"/>
        <w:jc w:val="both"/>
        <w:outlineLvl w:val="0"/>
        <w:rPr>
          <w:rFonts w:eastAsia="Roboto"/>
        </w:rPr>
      </w:pPr>
      <w:r>
        <mc:AlternateContent>
          <mc:Choice Requires="wpg">
            <w:drawing>
              <wp:anchor distT="0" distB="0" distL="114300" distR="114300" simplePos="0" relativeHeight="251686912" behindDoc="1" locked="0" layoutInCell="1" allowOverlap="1">
                <wp:simplePos x="0" y="0"/>
                <wp:positionH relativeFrom="page">
                  <wp:posOffset>733425</wp:posOffset>
                </wp:positionH>
                <wp:positionV relativeFrom="paragraph">
                  <wp:posOffset>-43180</wp:posOffset>
                </wp:positionV>
                <wp:extent cx="6096000" cy="7734300"/>
                <wp:effectExtent l="9525" t="8890" r="0" b="635"/>
                <wp:wrapNone/>
                <wp:docPr id="833396603" name="Group 349"/>
                <wp:cNvGraphicFramePr/>
                <a:graphic xmlns:a="http://schemas.openxmlformats.org/drawingml/2006/main">
                  <a:graphicData uri="http://schemas.microsoft.com/office/word/2010/wordprocessingGroup">
                    <wpg:wgp>
                      <wpg:cNvGrpSpPr/>
                      <wpg:grpSpPr>
                        <a:xfrm>
                          <a:off x="0" y="0"/>
                          <a:ext cx="6096000" cy="7734300"/>
                          <a:chOff x="1155" y="-68"/>
                          <a:chExt cx="9600" cy="12180"/>
                        </a:xfrm>
                        <a:effectLst/>
                      </wpg:grpSpPr>
                      <wps:wsp>
                        <wps:cNvPr id="47804828" name="AutoShape 366"/>
                        <wps:cNvSpPr/>
                        <wps:spPr bwMode="auto">
                          <a:xfrm>
                            <a:off x="1162" y="-61"/>
                            <a:ext cx="9585" cy="12165"/>
                          </a:xfrm>
                          <a:custGeom>
                            <a:avLst/>
                            <a:gdLst>
                              <a:gd name="T0" fmla="*/ 1 w 9585"/>
                              <a:gd name="T1" fmla="*/ 37 h 12165"/>
                              <a:gd name="T2" fmla="*/ 9 w 9585"/>
                              <a:gd name="T3" fmla="*/ 9 h 12165"/>
                              <a:gd name="T4" fmla="*/ 24 w 9585"/>
                              <a:gd name="T5" fmla="*/ -17 h 12165"/>
                              <a:gd name="T6" fmla="*/ 44 w 9585"/>
                              <a:gd name="T7" fmla="*/ -37 h 12165"/>
                              <a:gd name="T8" fmla="*/ 70 w 9585"/>
                              <a:gd name="T9" fmla="*/ -52 h 12165"/>
                              <a:gd name="T10" fmla="*/ 98 w 9585"/>
                              <a:gd name="T11" fmla="*/ -60 h 12165"/>
                              <a:gd name="T12" fmla="*/ 9480 w 9585"/>
                              <a:gd name="T13" fmla="*/ -60 h 12165"/>
                              <a:gd name="T14" fmla="*/ 9509 w 9585"/>
                              <a:gd name="T15" fmla="*/ -55 h 12165"/>
                              <a:gd name="T16" fmla="*/ 9535 w 9585"/>
                              <a:gd name="T17" fmla="*/ -41 h 12165"/>
                              <a:gd name="T18" fmla="*/ 9558 w 9585"/>
                              <a:gd name="T19" fmla="*/ -22 h 12165"/>
                              <a:gd name="T20" fmla="*/ 9574 w 9585"/>
                              <a:gd name="T21" fmla="*/ 2 h 12165"/>
                              <a:gd name="T22" fmla="*/ 9583 w 9585"/>
                              <a:gd name="T23" fmla="*/ 30 h 12165"/>
                              <a:gd name="T24" fmla="*/ 9585 w 9585"/>
                              <a:gd name="T25" fmla="*/ 6442 h 12165"/>
                              <a:gd name="T26" fmla="*/ 9582 w 9585"/>
                              <a:gd name="T27" fmla="*/ 6471 h 12165"/>
                              <a:gd name="T28" fmla="*/ 9571 w 9585"/>
                              <a:gd name="T29" fmla="*/ 6498 h 12165"/>
                              <a:gd name="T30" fmla="*/ 9553 w 9585"/>
                              <a:gd name="T31" fmla="*/ 6522 h 12165"/>
                              <a:gd name="T32" fmla="*/ 9529 w 9585"/>
                              <a:gd name="T33" fmla="*/ 6540 h 12165"/>
                              <a:gd name="T34" fmla="*/ 9502 w 9585"/>
                              <a:gd name="T35" fmla="*/ 6551 h 12165"/>
                              <a:gd name="T36" fmla="*/ 9473 w 9585"/>
                              <a:gd name="T37" fmla="*/ 6555 h 12165"/>
                              <a:gd name="T38" fmla="*/ 91 w 9585"/>
                              <a:gd name="T39" fmla="*/ 6552 h 12165"/>
                              <a:gd name="T40" fmla="*/ 63 w 9585"/>
                              <a:gd name="T41" fmla="*/ 6543 h 12165"/>
                              <a:gd name="T42" fmla="*/ 39 w 9585"/>
                              <a:gd name="T43" fmla="*/ 6527 h 12165"/>
                              <a:gd name="T44" fmla="*/ 19 w 9585"/>
                              <a:gd name="T45" fmla="*/ 6505 h 12165"/>
                              <a:gd name="T46" fmla="*/ 6 w 9585"/>
                              <a:gd name="T47" fmla="*/ 6478 h 12165"/>
                              <a:gd name="T48" fmla="*/ 0 w 9585"/>
                              <a:gd name="T49" fmla="*/ 6449 h 12165"/>
                              <a:gd name="T50" fmla="*/ 0 w 9585"/>
                              <a:gd name="T51" fmla="*/ 6675 h 12165"/>
                              <a:gd name="T52" fmla="*/ 6 w 9585"/>
                              <a:gd name="T53" fmla="*/ 6646 h 12165"/>
                              <a:gd name="T54" fmla="*/ 19 w 9585"/>
                              <a:gd name="T55" fmla="*/ 6620 h 12165"/>
                              <a:gd name="T56" fmla="*/ 39 w 9585"/>
                              <a:gd name="T57" fmla="*/ 6597 h 12165"/>
                              <a:gd name="T58" fmla="*/ 63 w 9585"/>
                              <a:gd name="T59" fmla="*/ 6581 h 12165"/>
                              <a:gd name="T60" fmla="*/ 91 w 9585"/>
                              <a:gd name="T61" fmla="*/ 6572 h 12165"/>
                              <a:gd name="T62" fmla="*/ 9473 w 9585"/>
                              <a:gd name="T63" fmla="*/ 6570 h 12165"/>
                              <a:gd name="T64" fmla="*/ 9502 w 9585"/>
                              <a:gd name="T65" fmla="*/ 6573 h 12165"/>
                              <a:gd name="T66" fmla="*/ 9529 w 9585"/>
                              <a:gd name="T67" fmla="*/ 6584 h 12165"/>
                              <a:gd name="T68" fmla="*/ 9553 w 9585"/>
                              <a:gd name="T69" fmla="*/ 6602 h 12165"/>
                              <a:gd name="T70" fmla="*/ 9571 w 9585"/>
                              <a:gd name="T71" fmla="*/ 6626 h 12165"/>
                              <a:gd name="T72" fmla="*/ 9582 w 9585"/>
                              <a:gd name="T73" fmla="*/ 6653 h 12165"/>
                              <a:gd name="T74" fmla="*/ 9585 w 9585"/>
                              <a:gd name="T75" fmla="*/ 6682 h 12165"/>
                              <a:gd name="T76" fmla="*/ 9583 w 9585"/>
                              <a:gd name="T77" fmla="*/ 12014 h 12165"/>
                              <a:gd name="T78" fmla="*/ 9574 w 9585"/>
                              <a:gd name="T79" fmla="*/ 12042 h 12165"/>
                              <a:gd name="T80" fmla="*/ 9558 w 9585"/>
                              <a:gd name="T81" fmla="*/ 12066 h 12165"/>
                              <a:gd name="T82" fmla="*/ 9535 w 9585"/>
                              <a:gd name="T83" fmla="*/ 12086 h 12165"/>
                              <a:gd name="T84" fmla="*/ 9509 w 9585"/>
                              <a:gd name="T85" fmla="*/ 12099 h 12165"/>
                              <a:gd name="T86" fmla="*/ 9480 w 9585"/>
                              <a:gd name="T87" fmla="*/ 12105 h 12165"/>
                              <a:gd name="T88" fmla="*/ 98 w 9585"/>
                              <a:gd name="T89" fmla="*/ 12104 h 12165"/>
                              <a:gd name="T90" fmla="*/ 70 w 9585"/>
                              <a:gd name="T91" fmla="*/ 12096 h 12165"/>
                              <a:gd name="T92" fmla="*/ 44 w 9585"/>
                              <a:gd name="T93" fmla="*/ 12081 h 12165"/>
                              <a:gd name="T94" fmla="*/ 24 w 9585"/>
                              <a:gd name="T95" fmla="*/ 12061 h 12165"/>
                              <a:gd name="T96" fmla="*/ 9 w 9585"/>
                              <a:gd name="T97" fmla="*/ 12035 h 12165"/>
                              <a:gd name="T98" fmla="*/ 1 w 9585"/>
                              <a:gd name="T99" fmla="*/ 12007 h 1216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585" h="12165">
                                <a:moveTo>
                                  <a:pt x="0" y="6502"/>
                                </a:moveTo>
                                <a:lnTo>
                                  <a:pt x="0" y="112"/>
                                </a:lnTo>
                                <a:lnTo>
                                  <a:pt x="0" y="105"/>
                                </a:lnTo>
                                <a:lnTo>
                                  <a:pt x="1" y="97"/>
                                </a:lnTo>
                                <a:lnTo>
                                  <a:pt x="3" y="90"/>
                                </a:lnTo>
                                <a:lnTo>
                                  <a:pt x="4" y="83"/>
                                </a:lnTo>
                                <a:lnTo>
                                  <a:pt x="6" y="76"/>
                                </a:lnTo>
                                <a:lnTo>
                                  <a:pt x="9" y="69"/>
                                </a:lnTo>
                                <a:lnTo>
                                  <a:pt x="12" y="62"/>
                                </a:lnTo>
                                <a:lnTo>
                                  <a:pt x="15" y="56"/>
                                </a:lnTo>
                                <a:lnTo>
                                  <a:pt x="19" y="50"/>
                                </a:lnTo>
                                <a:lnTo>
                                  <a:pt x="24" y="43"/>
                                </a:lnTo>
                                <a:lnTo>
                                  <a:pt x="28" y="38"/>
                                </a:lnTo>
                                <a:lnTo>
                                  <a:pt x="33" y="32"/>
                                </a:lnTo>
                                <a:lnTo>
                                  <a:pt x="39" y="27"/>
                                </a:lnTo>
                                <a:lnTo>
                                  <a:pt x="44" y="23"/>
                                </a:lnTo>
                                <a:lnTo>
                                  <a:pt x="50" y="19"/>
                                </a:lnTo>
                                <a:lnTo>
                                  <a:pt x="57" y="14"/>
                                </a:lnTo>
                                <a:lnTo>
                                  <a:pt x="63" y="11"/>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9"/>
                                </a:lnTo>
                                <a:lnTo>
                                  <a:pt x="9542" y="23"/>
                                </a:lnTo>
                                <a:lnTo>
                                  <a:pt x="9547" y="27"/>
                                </a:lnTo>
                                <a:lnTo>
                                  <a:pt x="9553" y="32"/>
                                </a:lnTo>
                                <a:lnTo>
                                  <a:pt x="9558" y="38"/>
                                </a:lnTo>
                                <a:lnTo>
                                  <a:pt x="9562" y="43"/>
                                </a:lnTo>
                                <a:lnTo>
                                  <a:pt x="9567" y="50"/>
                                </a:lnTo>
                                <a:lnTo>
                                  <a:pt x="9571" y="56"/>
                                </a:lnTo>
                                <a:lnTo>
                                  <a:pt x="9574" y="62"/>
                                </a:lnTo>
                                <a:lnTo>
                                  <a:pt x="9577" y="69"/>
                                </a:lnTo>
                                <a:lnTo>
                                  <a:pt x="9580" y="76"/>
                                </a:lnTo>
                                <a:lnTo>
                                  <a:pt x="9582" y="83"/>
                                </a:lnTo>
                                <a:lnTo>
                                  <a:pt x="9583" y="90"/>
                                </a:lnTo>
                                <a:lnTo>
                                  <a:pt x="9585" y="97"/>
                                </a:lnTo>
                                <a:lnTo>
                                  <a:pt x="9585" y="105"/>
                                </a:lnTo>
                                <a:lnTo>
                                  <a:pt x="9585" y="112"/>
                                </a:lnTo>
                                <a:lnTo>
                                  <a:pt x="9585" y="6502"/>
                                </a:lnTo>
                                <a:lnTo>
                                  <a:pt x="9585" y="6509"/>
                                </a:lnTo>
                                <a:lnTo>
                                  <a:pt x="9585" y="6517"/>
                                </a:lnTo>
                                <a:lnTo>
                                  <a:pt x="9583" y="6524"/>
                                </a:lnTo>
                                <a:lnTo>
                                  <a:pt x="9582" y="6531"/>
                                </a:lnTo>
                                <a:lnTo>
                                  <a:pt x="9580" y="6538"/>
                                </a:lnTo>
                                <a:lnTo>
                                  <a:pt x="9577" y="6545"/>
                                </a:lnTo>
                                <a:lnTo>
                                  <a:pt x="9574" y="6552"/>
                                </a:lnTo>
                                <a:lnTo>
                                  <a:pt x="9571" y="6558"/>
                                </a:lnTo>
                                <a:lnTo>
                                  <a:pt x="9567" y="6565"/>
                                </a:lnTo>
                                <a:lnTo>
                                  <a:pt x="9562" y="6571"/>
                                </a:lnTo>
                                <a:lnTo>
                                  <a:pt x="9558" y="6576"/>
                                </a:lnTo>
                                <a:lnTo>
                                  <a:pt x="9553" y="6582"/>
                                </a:lnTo>
                                <a:lnTo>
                                  <a:pt x="9547" y="6587"/>
                                </a:lnTo>
                                <a:lnTo>
                                  <a:pt x="9542" y="6591"/>
                                </a:lnTo>
                                <a:lnTo>
                                  <a:pt x="9535" y="6596"/>
                                </a:lnTo>
                                <a:lnTo>
                                  <a:pt x="9529" y="6600"/>
                                </a:lnTo>
                                <a:lnTo>
                                  <a:pt x="9523" y="6603"/>
                                </a:lnTo>
                                <a:lnTo>
                                  <a:pt x="9516" y="6606"/>
                                </a:lnTo>
                                <a:lnTo>
                                  <a:pt x="9509" y="6609"/>
                                </a:lnTo>
                                <a:lnTo>
                                  <a:pt x="9502" y="6611"/>
                                </a:lnTo>
                                <a:lnTo>
                                  <a:pt x="9495" y="6612"/>
                                </a:lnTo>
                                <a:lnTo>
                                  <a:pt x="9488" y="6614"/>
                                </a:lnTo>
                                <a:lnTo>
                                  <a:pt x="9480" y="6615"/>
                                </a:lnTo>
                                <a:lnTo>
                                  <a:pt x="9473" y="6615"/>
                                </a:lnTo>
                                <a:lnTo>
                                  <a:pt x="113" y="6615"/>
                                </a:lnTo>
                                <a:lnTo>
                                  <a:pt x="106" y="6615"/>
                                </a:lnTo>
                                <a:lnTo>
                                  <a:pt x="98" y="6614"/>
                                </a:lnTo>
                                <a:lnTo>
                                  <a:pt x="91" y="6612"/>
                                </a:lnTo>
                                <a:lnTo>
                                  <a:pt x="84" y="6611"/>
                                </a:lnTo>
                                <a:lnTo>
                                  <a:pt x="77" y="6609"/>
                                </a:lnTo>
                                <a:lnTo>
                                  <a:pt x="70" y="6606"/>
                                </a:lnTo>
                                <a:lnTo>
                                  <a:pt x="63" y="6603"/>
                                </a:lnTo>
                                <a:lnTo>
                                  <a:pt x="57" y="6600"/>
                                </a:lnTo>
                                <a:lnTo>
                                  <a:pt x="50" y="6596"/>
                                </a:lnTo>
                                <a:lnTo>
                                  <a:pt x="44" y="6591"/>
                                </a:lnTo>
                                <a:lnTo>
                                  <a:pt x="39" y="6587"/>
                                </a:lnTo>
                                <a:lnTo>
                                  <a:pt x="33" y="6582"/>
                                </a:lnTo>
                                <a:lnTo>
                                  <a:pt x="28" y="6576"/>
                                </a:lnTo>
                                <a:lnTo>
                                  <a:pt x="24" y="6571"/>
                                </a:lnTo>
                                <a:lnTo>
                                  <a:pt x="19" y="6565"/>
                                </a:lnTo>
                                <a:lnTo>
                                  <a:pt x="15" y="6558"/>
                                </a:lnTo>
                                <a:lnTo>
                                  <a:pt x="12" y="6552"/>
                                </a:lnTo>
                                <a:lnTo>
                                  <a:pt x="9" y="6545"/>
                                </a:lnTo>
                                <a:lnTo>
                                  <a:pt x="6" y="6538"/>
                                </a:lnTo>
                                <a:lnTo>
                                  <a:pt x="4" y="6531"/>
                                </a:lnTo>
                                <a:lnTo>
                                  <a:pt x="3" y="6524"/>
                                </a:lnTo>
                                <a:lnTo>
                                  <a:pt x="1" y="6517"/>
                                </a:lnTo>
                                <a:lnTo>
                                  <a:pt x="0" y="6509"/>
                                </a:lnTo>
                                <a:lnTo>
                                  <a:pt x="0" y="6502"/>
                                </a:lnTo>
                                <a:close/>
                                <a:moveTo>
                                  <a:pt x="0" y="12052"/>
                                </a:moveTo>
                                <a:lnTo>
                                  <a:pt x="0" y="6742"/>
                                </a:lnTo>
                                <a:lnTo>
                                  <a:pt x="0" y="6735"/>
                                </a:lnTo>
                                <a:lnTo>
                                  <a:pt x="1" y="6727"/>
                                </a:lnTo>
                                <a:lnTo>
                                  <a:pt x="3" y="6720"/>
                                </a:lnTo>
                                <a:lnTo>
                                  <a:pt x="4" y="6713"/>
                                </a:lnTo>
                                <a:lnTo>
                                  <a:pt x="6" y="6706"/>
                                </a:lnTo>
                                <a:lnTo>
                                  <a:pt x="9" y="6699"/>
                                </a:lnTo>
                                <a:lnTo>
                                  <a:pt x="12" y="6692"/>
                                </a:lnTo>
                                <a:lnTo>
                                  <a:pt x="15" y="6686"/>
                                </a:lnTo>
                                <a:lnTo>
                                  <a:pt x="19" y="6680"/>
                                </a:lnTo>
                                <a:lnTo>
                                  <a:pt x="24" y="6673"/>
                                </a:lnTo>
                                <a:lnTo>
                                  <a:pt x="28" y="6668"/>
                                </a:lnTo>
                                <a:lnTo>
                                  <a:pt x="33" y="6662"/>
                                </a:lnTo>
                                <a:lnTo>
                                  <a:pt x="39" y="6657"/>
                                </a:lnTo>
                                <a:lnTo>
                                  <a:pt x="44" y="6653"/>
                                </a:lnTo>
                                <a:lnTo>
                                  <a:pt x="50" y="6649"/>
                                </a:lnTo>
                                <a:lnTo>
                                  <a:pt x="57" y="6644"/>
                                </a:lnTo>
                                <a:lnTo>
                                  <a:pt x="63" y="6641"/>
                                </a:lnTo>
                                <a:lnTo>
                                  <a:pt x="70" y="6638"/>
                                </a:lnTo>
                                <a:lnTo>
                                  <a:pt x="77" y="6635"/>
                                </a:lnTo>
                                <a:lnTo>
                                  <a:pt x="84" y="6633"/>
                                </a:lnTo>
                                <a:lnTo>
                                  <a:pt x="91" y="6632"/>
                                </a:lnTo>
                                <a:lnTo>
                                  <a:pt x="98" y="6630"/>
                                </a:lnTo>
                                <a:lnTo>
                                  <a:pt x="106" y="6630"/>
                                </a:lnTo>
                                <a:lnTo>
                                  <a:pt x="113" y="6630"/>
                                </a:lnTo>
                                <a:lnTo>
                                  <a:pt x="9473" y="6630"/>
                                </a:lnTo>
                                <a:lnTo>
                                  <a:pt x="9480" y="6630"/>
                                </a:lnTo>
                                <a:lnTo>
                                  <a:pt x="9488" y="6630"/>
                                </a:lnTo>
                                <a:lnTo>
                                  <a:pt x="9495" y="6632"/>
                                </a:lnTo>
                                <a:lnTo>
                                  <a:pt x="9502" y="6633"/>
                                </a:lnTo>
                                <a:lnTo>
                                  <a:pt x="9509" y="6635"/>
                                </a:lnTo>
                                <a:lnTo>
                                  <a:pt x="9516" y="6638"/>
                                </a:lnTo>
                                <a:lnTo>
                                  <a:pt x="9523" y="6641"/>
                                </a:lnTo>
                                <a:lnTo>
                                  <a:pt x="9529" y="6644"/>
                                </a:lnTo>
                                <a:lnTo>
                                  <a:pt x="9535" y="6649"/>
                                </a:lnTo>
                                <a:lnTo>
                                  <a:pt x="9542" y="6653"/>
                                </a:lnTo>
                                <a:lnTo>
                                  <a:pt x="9547" y="6657"/>
                                </a:lnTo>
                                <a:lnTo>
                                  <a:pt x="9553" y="6662"/>
                                </a:lnTo>
                                <a:lnTo>
                                  <a:pt x="9558" y="6668"/>
                                </a:lnTo>
                                <a:lnTo>
                                  <a:pt x="9562" y="6673"/>
                                </a:lnTo>
                                <a:lnTo>
                                  <a:pt x="9567" y="6680"/>
                                </a:lnTo>
                                <a:lnTo>
                                  <a:pt x="9571" y="6686"/>
                                </a:lnTo>
                                <a:lnTo>
                                  <a:pt x="9574" y="6692"/>
                                </a:lnTo>
                                <a:lnTo>
                                  <a:pt x="9577" y="6699"/>
                                </a:lnTo>
                                <a:lnTo>
                                  <a:pt x="9580" y="6706"/>
                                </a:lnTo>
                                <a:lnTo>
                                  <a:pt x="9582" y="6713"/>
                                </a:lnTo>
                                <a:lnTo>
                                  <a:pt x="9583" y="6720"/>
                                </a:lnTo>
                                <a:lnTo>
                                  <a:pt x="9585" y="6727"/>
                                </a:lnTo>
                                <a:lnTo>
                                  <a:pt x="9585" y="6735"/>
                                </a:lnTo>
                                <a:lnTo>
                                  <a:pt x="9585" y="6742"/>
                                </a:lnTo>
                                <a:lnTo>
                                  <a:pt x="9585" y="12052"/>
                                </a:lnTo>
                                <a:lnTo>
                                  <a:pt x="9585" y="12059"/>
                                </a:lnTo>
                                <a:lnTo>
                                  <a:pt x="9585" y="12067"/>
                                </a:lnTo>
                                <a:lnTo>
                                  <a:pt x="9583" y="12074"/>
                                </a:lnTo>
                                <a:lnTo>
                                  <a:pt x="9582" y="12081"/>
                                </a:lnTo>
                                <a:lnTo>
                                  <a:pt x="9580" y="12088"/>
                                </a:lnTo>
                                <a:lnTo>
                                  <a:pt x="9577" y="12095"/>
                                </a:lnTo>
                                <a:lnTo>
                                  <a:pt x="9574" y="12102"/>
                                </a:lnTo>
                                <a:lnTo>
                                  <a:pt x="9571" y="12108"/>
                                </a:lnTo>
                                <a:lnTo>
                                  <a:pt x="9567" y="12115"/>
                                </a:lnTo>
                                <a:lnTo>
                                  <a:pt x="9562" y="12121"/>
                                </a:lnTo>
                                <a:lnTo>
                                  <a:pt x="9558" y="12126"/>
                                </a:lnTo>
                                <a:lnTo>
                                  <a:pt x="9553" y="12132"/>
                                </a:lnTo>
                                <a:lnTo>
                                  <a:pt x="9547" y="12137"/>
                                </a:lnTo>
                                <a:lnTo>
                                  <a:pt x="9542" y="12141"/>
                                </a:lnTo>
                                <a:lnTo>
                                  <a:pt x="9535" y="12146"/>
                                </a:lnTo>
                                <a:lnTo>
                                  <a:pt x="9529" y="12150"/>
                                </a:lnTo>
                                <a:lnTo>
                                  <a:pt x="9523" y="12153"/>
                                </a:lnTo>
                                <a:lnTo>
                                  <a:pt x="9516" y="12156"/>
                                </a:lnTo>
                                <a:lnTo>
                                  <a:pt x="9509" y="12159"/>
                                </a:lnTo>
                                <a:lnTo>
                                  <a:pt x="9502" y="12161"/>
                                </a:lnTo>
                                <a:lnTo>
                                  <a:pt x="9495" y="12162"/>
                                </a:lnTo>
                                <a:lnTo>
                                  <a:pt x="9488" y="12164"/>
                                </a:lnTo>
                                <a:lnTo>
                                  <a:pt x="9480" y="12165"/>
                                </a:lnTo>
                                <a:lnTo>
                                  <a:pt x="9473" y="12165"/>
                                </a:lnTo>
                                <a:lnTo>
                                  <a:pt x="113" y="12165"/>
                                </a:lnTo>
                                <a:lnTo>
                                  <a:pt x="106" y="12165"/>
                                </a:lnTo>
                                <a:lnTo>
                                  <a:pt x="98" y="12164"/>
                                </a:lnTo>
                                <a:lnTo>
                                  <a:pt x="91" y="12162"/>
                                </a:lnTo>
                                <a:lnTo>
                                  <a:pt x="84" y="12161"/>
                                </a:lnTo>
                                <a:lnTo>
                                  <a:pt x="77" y="12159"/>
                                </a:lnTo>
                                <a:lnTo>
                                  <a:pt x="70" y="12156"/>
                                </a:lnTo>
                                <a:lnTo>
                                  <a:pt x="63" y="12153"/>
                                </a:lnTo>
                                <a:lnTo>
                                  <a:pt x="57" y="12150"/>
                                </a:lnTo>
                                <a:lnTo>
                                  <a:pt x="50" y="12146"/>
                                </a:lnTo>
                                <a:lnTo>
                                  <a:pt x="44" y="12141"/>
                                </a:lnTo>
                                <a:lnTo>
                                  <a:pt x="39" y="12137"/>
                                </a:lnTo>
                                <a:lnTo>
                                  <a:pt x="33" y="12132"/>
                                </a:lnTo>
                                <a:lnTo>
                                  <a:pt x="28" y="12126"/>
                                </a:lnTo>
                                <a:lnTo>
                                  <a:pt x="24" y="12121"/>
                                </a:lnTo>
                                <a:lnTo>
                                  <a:pt x="19" y="12115"/>
                                </a:lnTo>
                                <a:lnTo>
                                  <a:pt x="15" y="12108"/>
                                </a:lnTo>
                                <a:lnTo>
                                  <a:pt x="12" y="12102"/>
                                </a:lnTo>
                                <a:lnTo>
                                  <a:pt x="9" y="12095"/>
                                </a:lnTo>
                                <a:lnTo>
                                  <a:pt x="6" y="12088"/>
                                </a:lnTo>
                                <a:lnTo>
                                  <a:pt x="4" y="12081"/>
                                </a:lnTo>
                                <a:lnTo>
                                  <a:pt x="3" y="12074"/>
                                </a:lnTo>
                                <a:lnTo>
                                  <a:pt x="1" y="12067"/>
                                </a:lnTo>
                                <a:lnTo>
                                  <a:pt x="0" y="12059"/>
                                </a:lnTo>
                                <a:lnTo>
                                  <a:pt x="0" y="12052"/>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2112478823" name="Picture 3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7"/>
                            <a:ext cx="255" cy="300"/>
                          </a:xfrm>
                          <a:prstGeom prst="rect">
                            <a:avLst/>
                          </a:prstGeom>
                          <a:noFill/>
                          <a:ln>
                            <a:noFill/>
                          </a:ln>
                          <a:effectLst/>
                        </pic:spPr>
                      </pic:pic>
                      <wps:wsp>
                        <wps:cNvPr id="1238003671" name="Rectangle 364"/>
                        <wps:cNvSpPr>
                          <a:spLocks noChangeArrowheads="1"/>
                        </wps:cNvSpPr>
                        <wps:spPr bwMode="auto">
                          <a:xfrm>
                            <a:off x="2070" y="309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340684655" name="AutoShape 363"/>
                        <wps:cNvSpPr/>
                        <wps:spPr bwMode="auto">
                          <a:xfrm>
                            <a:off x="2069" y="3097"/>
                            <a:ext cx="8130" cy="2700"/>
                          </a:xfrm>
                          <a:custGeom>
                            <a:avLst/>
                            <a:gdLst>
                              <a:gd name="T0" fmla="*/ 6810 w 8130"/>
                              <a:gd name="T1" fmla="*/ 4882 h 2700"/>
                              <a:gd name="T2" fmla="*/ 0 w 8130"/>
                              <a:gd name="T3" fmla="*/ 4882 h 2700"/>
                              <a:gd name="T4" fmla="*/ 0 w 8130"/>
                              <a:gd name="T5" fmla="*/ 4897 h 2700"/>
                              <a:gd name="T6" fmla="*/ 6810 w 8130"/>
                              <a:gd name="T7" fmla="*/ 4897 h 2700"/>
                              <a:gd name="T8" fmla="*/ 6810 w 8130"/>
                              <a:gd name="T9" fmla="*/ 4882 h 2700"/>
                              <a:gd name="T10" fmla="*/ 6810 w 8130"/>
                              <a:gd name="T11" fmla="*/ 3997 h 2700"/>
                              <a:gd name="T12" fmla="*/ 0 w 8130"/>
                              <a:gd name="T13" fmla="*/ 3997 h 2700"/>
                              <a:gd name="T14" fmla="*/ 0 w 8130"/>
                              <a:gd name="T15" fmla="*/ 4012 h 2700"/>
                              <a:gd name="T16" fmla="*/ 6810 w 8130"/>
                              <a:gd name="T17" fmla="*/ 4012 h 2700"/>
                              <a:gd name="T18" fmla="*/ 6810 w 8130"/>
                              <a:gd name="T19" fmla="*/ 3997 h 2700"/>
                              <a:gd name="T20" fmla="*/ 8130 w 8130"/>
                              <a:gd name="T21" fmla="*/ 5782 h 2700"/>
                              <a:gd name="T22" fmla="*/ 0 w 8130"/>
                              <a:gd name="T23" fmla="*/ 5782 h 2700"/>
                              <a:gd name="T24" fmla="*/ 0 w 8130"/>
                              <a:gd name="T25" fmla="*/ 5797 h 2700"/>
                              <a:gd name="T26" fmla="*/ 8130 w 8130"/>
                              <a:gd name="T27" fmla="*/ 5797 h 2700"/>
                              <a:gd name="T28" fmla="*/ 8130 w 8130"/>
                              <a:gd name="T29" fmla="*/ 5782 h 2700"/>
                              <a:gd name="T30" fmla="*/ 8130 w 8130"/>
                              <a:gd name="T31" fmla="*/ 4882 h 2700"/>
                              <a:gd name="T32" fmla="*/ 7815 w 8130"/>
                              <a:gd name="T33" fmla="*/ 4882 h 2700"/>
                              <a:gd name="T34" fmla="*/ 7815 w 8130"/>
                              <a:gd name="T35" fmla="*/ 4897 h 2700"/>
                              <a:gd name="T36" fmla="*/ 8130 w 8130"/>
                              <a:gd name="T37" fmla="*/ 4897 h 2700"/>
                              <a:gd name="T38" fmla="*/ 8130 w 8130"/>
                              <a:gd name="T39" fmla="*/ 4882 h 2700"/>
                              <a:gd name="T40" fmla="*/ 8130 w 8130"/>
                              <a:gd name="T41" fmla="*/ 3997 h 2700"/>
                              <a:gd name="T42" fmla="*/ 7815 w 8130"/>
                              <a:gd name="T43" fmla="*/ 3997 h 2700"/>
                              <a:gd name="T44" fmla="*/ 7815 w 8130"/>
                              <a:gd name="T45" fmla="*/ 4012 h 2700"/>
                              <a:gd name="T46" fmla="*/ 8130 w 8130"/>
                              <a:gd name="T47" fmla="*/ 4012 h 2700"/>
                              <a:gd name="T48" fmla="*/ 8130 w 8130"/>
                              <a:gd name="T49" fmla="*/ 3997 h 2700"/>
                              <a:gd name="T50" fmla="*/ 8130 w 8130"/>
                              <a:gd name="T51" fmla="*/ 3097 h 2700"/>
                              <a:gd name="T52" fmla="*/ 0 w 8130"/>
                              <a:gd name="T53" fmla="*/ 3097 h 2700"/>
                              <a:gd name="T54" fmla="*/ 0 w 8130"/>
                              <a:gd name="T55" fmla="*/ 3112 h 2700"/>
                              <a:gd name="T56" fmla="*/ 8130 w 8130"/>
                              <a:gd name="T57" fmla="*/ 3112 h 2700"/>
                              <a:gd name="T58" fmla="*/ 8130 w 8130"/>
                              <a:gd name="T59" fmla="*/ 3097 h 27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30" h="2700">
                                <a:moveTo>
                                  <a:pt x="6810" y="1785"/>
                                </a:moveTo>
                                <a:lnTo>
                                  <a:pt x="0" y="1785"/>
                                </a:lnTo>
                                <a:lnTo>
                                  <a:pt x="0" y="1800"/>
                                </a:lnTo>
                                <a:lnTo>
                                  <a:pt x="6810" y="1800"/>
                                </a:lnTo>
                                <a:lnTo>
                                  <a:pt x="6810" y="1785"/>
                                </a:lnTo>
                                <a:close/>
                                <a:moveTo>
                                  <a:pt x="6810" y="900"/>
                                </a:moveTo>
                                <a:lnTo>
                                  <a:pt x="0" y="900"/>
                                </a:lnTo>
                                <a:lnTo>
                                  <a:pt x="0" y="915"/>
                                </a:lnTo>
                                <a:lnTo>
                                  <a:pt x="6810" y="915"/>
                                </a:lnTo>
                                <a:lnTo>
                                  <a:pt x="6810" y="900"/>
                                </a:lnTo>
                                <a:close/>
                                <a:moveTo>
                                  <a:pt x="8130" y="2685"/>
                                </a:moveTo>
                                <a:lnTo>
                                  <a:pt x="0" y="2685"/>
                                </a:lnTo>
                                <a:lnTo>
                                  <a:pt x="0" y="2700"/>
                                </a:lnTo>
                                <a:lnTo>
                                  <a:pt x="8130" y="2700"/>
                                </a:lnTo>
                                <a:lnTo>
                                  <a:pt x="8130" y="2685"/>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208472301" name="AutoShape 362"/>
                        <wps:cNvSpPr/>
                        <wps:spPr bwMode="auto">
                          <a:xfrm>
                            <a:off x="2069" y="3547"/>
                            <a:ext cx="8130" cy="1800"/>
                          </a:xfrm>
                          <a:custGeom>
                            <a:avLst/>
                            <a:gdLst>
                              <a:gd name="T0" fmla="*/ 5190 w 8130"/>
                              <a:gd name="T1" fmla="*/ 5332 h 1800"/>
                              <a:gd name="T2" fmla="*/ 0 w 8130"/>
                              <a:gd name="T3" fmla="*/ 5332 h 1800"/>
                              <a:gd name="T4" fmla="*/ 0 w 8130"/>
                              <a:gd name="T5" fmla="*/ 5347 h 1800"/>
                              <a:gd name="T6" fmla="*/ 5190 w 8130"/>
                              <a:gd name="T7" fmla="*/ 5347 h 1800"/>
                              <a:gd name="T8" fmla="*/ 5190 w 8130"/>
                              <a:gd name="T9" fmla="*/ 5332 h 1800"/>
                              <a:gd name="T10" fmla="*/ 6810 w 8130"/>
                              <a:gd name="T11" fmla="*/ 5332 h 1800"/>
                              <a:gd name="T12" fmla="*/ 6195 w 8130"/>
                              <a:gd name="T13" fmla="*/ 5332 h 1800"/>
                              <a:gd name="T14" fmla="*/ 6195 w 8130"/>
                              <a:gd name="T15" fmla="*/ 5347 h 1800"/>
                              <a:gd name="T16" fmla="*/ 6810 w 8130"/>
                              <a:gd name="T17" fmla="*/ 5347 h 1800"/>
                              <a:gd name="T18" fmla="*/ 6810 w 8130"/>
                              <a:gd name="T19" fmla="*/ 5332 h 1800"/>
                              <a:gd name="T20" fmla="*/ 6810 w 8130"/>
                              <a:gd name="T21" fmla="*/ 4447 h 1800"/>
                              <a:gd name="T22" fmla="*/ 0 w 8130"/>
                              <a:gd name="T23" fmla="*/ 4447 h 1800"/>
                              <a:gd name="T24" fmla="*/ 0 w 8130"/>
                              <a:gd name="T25" fmla="*/ 4462 h 1800"/>
                              <a:gd name="T26" fmla="*/ 6810 w 8130"/>
                              <a:gd name="T27" fmla="*/ 4462 h 1800"/>
                              <a:gd name="T28" fmla="*/ 6810 w 8130"/>
                              <a:gd name="T29" fmla="*/ 4447 h 1800"/>
                              <a:gd name="T30" fmla="*/ 6810 w 8130"/>
                              <a:gd name="T31" fmla="*/ 3547 h 1800"/>
                              <a:gd name="T32" fmla="*/ 0 w 8130"/>
                              <a:gd name="T33" fmla="*/ 3547 h 1800"/>
                              <a:gd name="T34" fmla="*/ 0 w 8130"/>
                              <a:gd name="T35" fmla="*/ 3562 h 1800"/>
                              <a:gd name="T36" fmla="*/ 6810 w 8130"/>
                              <a:gd name="T37" fmla="*/ 3562 h 1800"/>
                              <a:gd name="T38" fmla="*/ 6810 w 8130"/>
                              <a:gd name="T39" fmla="*/ 3547 h 1800"/>
                              <a:gd name="T40" fmla="*/ 8130 w 8130"/>
                              <a:gd name="T41" fmla="*/ 5332 h 1800"/>
                              <a:gd name="T42" fmla="*/ 7815 w 8130"/>
                              <a:gd name="T43" fmla="*/ 5332 h 1800"/>
                              <a:gd name="T44" fmla="*/ 7815 w 8130"/>
                              <a:gd name="T45" fmla="*/ 5347 h 1800"/>
                              <a:gd name="T46" fmla="*/ 8130 w 8130"/>
                              <a:gd name="T47" fmla="*/ 5347 h 1800"/>
                              <a:gd name="T48" fmla="*/ 8130 w 8130"/>
                              <a:gd name="T49" fmla="*/ 5332 h 1800"/>
                              <a:gd name="T50" fmla="*/ 8130 w 8130"/>
                              <a:gd name="T51" fmla="*/ 4447 h 1800"/>
                              <a:gd name="T52" fmla="*/ 7815 w 8130"/>
                              <a:gd name="T53" fmla="*/ 4447 h 1800"/>
                              <a:gd name="T54" fmla="*/ 7815 w 8130"/>
                              <a:gd name="T55" fmla="*/ 4462 h 1800"/>
                              <a:gd name="T56" fmla="*/ 8130 w 8130"/>
                              <a:gd name="T57" fmla="*/ 4462 h 1800"/>
                              <a:gd name="T58" fmla="*/ 8130 w 8130"/>
                              <a:gd name="T59" fmla="*/ 4447 h 1800"/>
                              <a:gd name="T60" fmla="*/ 8130 w 8130"/>
                              <a:gd name="T61" fmla="*/ 3547 h 1800"/>
                              <a:gd name="T62" fmla="*/ 7815 w 8130"/>
                              <a:gd name="T63" fmla="*/ 3547 h 1800"/>
                              <a:gd name="T64" fmla="*/ 7815 w 8130"/>
                              <a:gd name="T65" fmla="*/ 3562 h 1800"/>
                              <a:gd name="T66" fmla="*/ 8130 w 8130"/>
                              <a:gd name="T67" fmla="*/ 3562 h 1800"/>
                              <a:gd name="T68" fmla="*/ 8130 w 8130"/>
                              <a:gd name="T69" fmla="*/ 3547 h 18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130" h="1800">
                                <a:moveTo>
                                  <a:pt x="5190" y="1785"/>
                                </a:moveTo>
                                <a:lnTo>
                                  <a:pt x="0" y="1785"/>
                                </a:lnTo>
                                <a:lnTo>
                                  <a:pt x="0" y="1800"/>
                                </a:lnTo>
                                <a:lnTo>
                                  <a:pt x="5190" y="1800"/>
                                </a:lnTo>
                                <a:lnTo>
                                  <a:pt x="5190" y="1785"/>
                                </a:lnTo>
                                <a:close/>
                                <a:moveTo>
                                  <a:pt x="6810" y="1785"/>
                                </a:moveTo>
                                <a:lnTo>
                                  <a:pt x="6195" y="1785"/>
                                </a:lnTo>
                                <a:lnTo>
                                  <a:pt x="6195" y="1800"/>
                                </a:lnTo>
                                <a:lnTo>
                                  <a:pt x="6810" y="1800"/>
                                </a:lnTo>
                                <a:lnTo>
                                  <a:pt x="6810" y="1785"/>
                                </a:lnTo>
                                <a:close/>
                                <a:moveTo>
                                  <a:pt x="6810" y="900"/>
                                </a:moveTo>
                                <a:lnTo>
                                  <a:pt x="0" y="900"/>
                                </a:lnTo>
                                <a:lnTo>
                                  <a:pt x="0" y="915"/>
                                </a:lnTo>
                                <a:lnTo>
                                  <a:pt x="6810" y="915"/>
                                </a:lnTo>
                                <a:lnTo>
                                  <a:pt x="6810" y="900"/>
                                </a:lnTo>
                                <a:close/>
                                <a:moveTo>
                                  <a:pt x="6810" y="0"/>
                                </a:moveTo>
                                <a:lnTo>
                                  <a:pt x="0" y="0"/>
                                </a:lnTo>
                                <a:lnTo>
                                  <a:pt x="0" y="15"/>
                                </a:lnTo>
                                <a:lnTo>
                                  <a:pt x="6810" y="15"/>
                                </a:lnTo>
                                <a:lnTo>
                                  <a:pt x="6810" y="0"/>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7815" y="0"/>
                                </a:lnTo>
                                <a:lnTo>
                                  <a:pt x="7815"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216326262" name="AutoShape 361"/>
                        <wps:cNvSpPr/>
                        <wps:spPr bwMode="auto">
                          <a:xfrm>
                            <a:off x="2384" y="5752"/>
                            <a:ext cx="2625" cy="38"/>
                          </a:xfrm>
                          <a:custGeom>
                            <a:avLst/>
                            <a:gdLst>
                              <a:gd name="T0" fmla="*/ 1005 w 2625"/>
                              <a:gd name="T1" fmla="*/ 5782 h 38"/>
                              <a:gd name="T2" fmla="*/ 0 w 2625"/>
                              <a:gd name="T3" fmla="*/ 5782 h 38"/>
                              <a:gd name="T4" fmla="*/ 0 w 2625"/>
                              <a:gd name="T5" fmla="*/ 5790 h 38"/>
                              <a:gd name="T6" fmla="*/ 1005 w 2625"/>
                              <a:gd name="T7" fmla="*/ 5790 h 38"/>
                              <a:gd name="T8" fmla="*/ 1005 w 2625"/>
                              <a:gd name="T9" fmla="*/ 5782 h 38"/>
                              <a:gd name="T10" fmla="*/ 2625 w 2625"/>
                              <a:gd name="T11" fmla="*/ 5752 h 38"/>
                              <a:gd name="T12" fmla="*/ 1620 w 2625"/>
                              <a:gd name="T13" fmla="*/ 5752 h 38"/>
                              <a:gd name="T14" fmla="*/ 1620 w 2625"/>
                              <a:gd name="T15" fmla="*/ 5782 h 38"/>
                              <a:gd name="T16" fmla="*/ 2625 w 2625"/>
                              <a:gd name="T17" fmla="*/ 5782 h 38"/>
                              <a:gd name="T18" fmla="*/ 2625 w 2625"/>
                              <a:gd name="T19" fmla="*/ 5752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25" h="38">
                                <a:moveTo>
                                  <a:pt x="1005" y="30"/>
                                </a:moveTo>
                                <a:lnTo>
                                  <a:pt x="0" y="30"/>
                                </a:lnTo>
                                <a:lnTo>
                                  <a:pt x="0" y="38"/>
                                </a:lnTo>
                                <a:lnTo>
                                  <a:pt x="1005" y="38"/>
                                </a:lnTo>
                                <a:lnTo>
                                  <a:pt x="1005" y="30"/>
                                </a:lnTo>
                                <a:close/>
                                <a:moveTo>
                                  <a:pt x="2625" y="0"/>
                                </a:moveTo>
                                <a:lnTo>
                                  <a:pt x="1620" y="0"/>
                                </a:lnTo>
                                <a:lnTo>
                                  <a:pt x="1620" y="30"/>
                                </a:lnTo>
                                <a:lnTo>
                                  <a:pt x="2625" y="30"/>
                                </a:lnTo>
                                <a:lnTo>
                                  <a:pt x="2625" y="0"/>
                                </a:lnTo>
                                <a:close/>
                              </a:path>
                            </a:pathLst>
                          </a:custGeom>
                          <a:solidFill>
                            <a:srgbClr val="663AB6"/>
                          </a:solidFill>
                          <a:ln>
                            <a:noFill/>
                          </a:ln>
                          <a:effectLst/>
                        </wps:spPr>
                        <wps:bodyPr rot="0" vert="horz" wrap="square" lIns="91440" tIns="45720" rIns="91440" bIns="45720" anchor="t" anchorCtr="0" upright="1">
                          <a:noAutofit/>
                        </wps:bodyPr>
                      </wps:wsp>
                      <wps:wsp>
                        <wps:cNvPr id="1360830976" name="Rectangle 360"/>
                        <wps:cNvSpPr>
                          <a:spLocks noChangeArrowheads="1"/>
                        </wps:cNvSpPr>
                        <wps:spPr bwMode="auto">
                          <a:xfrm>
                            <a:off x="2070" y="578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136484960" name="AutoShape 359"/>
                        <wps:cNvSpPr/>
                        <wps:spPr bwMode="auto">
                          <a:xfrm>
                            <a:off x="2879" y="5572"/>
                            <a:ext cx="1635" cy="210"/>
                          </a:xfrm>
                          <a:custGeom>
                            <a:avLst/>
                            <a:gdLst>
                              <a:gd name="T0" fmla="*/ 15 w 1635"/>
                              <a:gd name="T1" fmla="*/ 5602 h 210"/>
                              <a:gd name="T2" fmla="*/ 0 w 1635"/>
                              <a:gd name="T3" fmla="*/ 5602 h 210"/>
                              <a:gd name="T4" fmla="*/ 0 w 1635"/>
                              <a:gd name="T5" fmla="*/ 5782 h 210"/>
                              <a:gd name="T6" fmla="*/ 15 w 1635"/>
                              <a:gd name="T7" fmla="*/ 5782 h 210"/>
                              <a:gd name="T8" fmla="*/ 15 w 1635"/>
                              <a:gd name="T9" fmla="*/ 5602 h 210"/>
                              <a:gd name="T10" fmla="*/ 1635 w 1635"/>
                              <a:gd name="T11" fmla="*/ 5572 h 210"/>
                              <a:gd name="T12" fmla="*/ 1620 w 1635"/>
                              <a:gd name="T13" fmla="*/ 5572 h 210"/>
                              <a:gd name="T14" fmla="*/ 1620 w 1635"/>
                              <a:gd name="T15" fmla="*/ 5752 h 210"/>
                              <a:gd name="T16" fmla="*/ 1635 w 1635"/>
                              <a:gd name="T17" fmla="*/ 5752 h 210"/>
                              <a:gd name="T18" fmla="*/ 1635 w 1635"/>
                              <a:gd name="T19" fmla="*/ 5572 h 2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5" h="210">
                                <a:moveTo>
                                  <a:pt x="15" y="30"/>
                                </a:moveTo>
                                <a:lnTo>
                                  <a:pt x="0" y="30"/>
                                </a:lnTo>
                                <a:lnTo>
                                  <a:pt x="0" y="210"/>
                                </a:lnTo>
                                <a:lnTo>
                                  <a:pt x="15" y="210"/>
                                </a:lnTo>
                                <a:lnTo>
                                  <a:pt x="15" y="30"/>
                                </a:lnTo>
                                <a:close/>
                                <a:moveTo>
                                  <a:pt x="1635" y="0"/>
                                </a:moveTo>
                                <a:lnTo>
                                  <a:pt x="1620" y="0"/>
                                </a:lnTo>
                                <a:lnTo>
                                  <a:pt x="1620" y="180"/>
                                </a:lnTo>
                                <a:lnTo>
                                  <a:pt x="1635" y="180"/>
                                </a:lnTo>
                                <a:lnTo>
                                  <a:pt x="1635" y="0"/>
                                </a:lnTo>
                                <a:close/>
                              </a:path>
                            </a:pathLst>
                          </a:custGeom>
                          <a:solidFill>
                            <a:srgbClr val="999999"/>
                          </a:solidFill>
                          <a:ln>
                            <a:noFill/>
                          </a:ln>
                          <a:effectLst/>
                        </wps:spPr>
                        <wps:bodyPr rot="0" vert="horz" wrap="square" lIns="91440" tIns="45720" rIns="91440" bIns="45720" anchor="t" anchorCtr="0" upright="1">
                          <a:noAutofit/>
                        </wps:bodyPr>
                      </wps:wsp>
                      <wps:wsp>
                        <wps:cNvPr id="507816951" name="AutoShape 358"/>
                        <wps:cNvSpPr/>
                        <wps:spPr bwMode="auto">
                          <a:xfrm>
                            <a:off x="2622" y="5413"/>
                            <a:ext cx="2212" cy="199"/>
                          </a:xfrm>
                          <a:custGeom>
                            <a:avLst/>
                            <a:gdLst>
                              <a:gd name="T0" fmla="*/ 42 w 2212"/>
                              <a:gd name="T1" fmla="*/ 5445 h 199"/>
                              <a:gd name="T2" fmla="*/ 83 w 2212"/>
                              <a:gd name="T3" fmla="*/ 5488 h 199"/>
                              <a:gd name="T4" fmla="*/ 52 w 2212"/>
                              <a:gd name="T5" fmla="*/ 5577 h 199"/>
                              <a:gd name="T6" fmla="*/ 17 w 2212"/>
                              <a:gd name="T7" fmla="*/ 5526 h 199"/>
                              <a:gd name="T8" fmla="*/ 64 w 2212"/>
                              <a:gd name="T9" fmla="*/ 5547 h 199"/>
                              <a:gd name="T10" fmla="*/ 42 w 2212"/>
                              <a:gd name="T11" fmla="*/ 5459 h 199"/>
                              <a:gd name="T12" fmla="*/ 173 w 2212"/>
                              <a:gd name="T13" fmla="*/ 5595 h 199"/>
                              <a:gd name="T14" fmla="*/ 161 w 2212"/>
                              <a:gd name="T15" fmla="*/ 5488 h 199"/>
                              <a:gd name="T16" fmla="*/ 176 w 2212"/>
                              <a:gd name="T17" fmla="*/ 5486 h 199"/>
                              <a:gd name="T18" fmla="*/ 210 w 2212"/>
                              <a:gd name="T19" fmla="*/ 5511 h 199"/>
                              <a:gd name="T20" fmla="*/ 259 w 2212"/>
                              <a:gd name="T21" fmla="*/ 5445 h 199"/>
                              <a:gd name="T22" fmla="*/ 294 w 2212"/>
                              <a:gd name="T23" fmla="*/ 5499 h 199"/>
                              <a:gd name="T24" fmla="*/ 252 w 2212"/>
                              <a:gd name="T25" fmla="*/ 5577 h 199"/>
                              <a:gd name="T26" fmla="*/ 229 w 2212"/>
                              <a:gd name="T27" fmla="*/ 5538 h 199"/>
                              <a:gd name="T28" fmla="*/ 276 w 2212"/>
                              <a:gd name="T29" fmla="*/ 5538 h 199"/>
                              <a:gd name="T30" fmla="*/ 245 w 2212"/>
                              <a:gd name="T31" fmla="*/ 5459 h 199"/>
                              <a:gd name="T32" fmla="*/ 320 w 2212"/>
                              <a:gd name="T33" fmla="*/ 5453 h 199"/>
                              <a:gd name="T34" fmla="*/ 369 w 2212"/>
                              <a:gd name="T35" fmla="*/ 5489 h 199"/>
                              <a:gd name="T36" fmla="*/ 314 w 2212"/>
                              <a:gd name="T37" fmla="*/ 5489 h 199"/>
                              <a:gd name="T38" fmla="*/ 329 w 2212"/>
                              <a:gd name="T39" fmla="*/ 5493 h 199"/>
                              <a:gd name="T40" fmla="*/ 355 w 2212"/>
                              <a:gd name="T41" fmla="*/ 5477 h 199"/>
                              <a:gd name="T42" fmla="*/ 354 w 2212"/>
                              <a:gd name="T43" fmla="*/ 5580 h 199"/>
                              <a:gd name="T44" fmla="*/ 439 w 2212"/>
                              <a:gd name="T45" fmla="*/ 5514 h 199"/>
                              <a:gd name="T46" fmla="*/ 424 w 2212"/>
                              <a:gd name="T47" fmla="*/ 5580 h 199"/>
                              <a:gd name="T48" fmla="*/ 415 w 2212"/>
                              <a:gd name="T49" fmla="*/ 5527 h 199"/>
                              <a:gd name="T50" fmla="*/ 428 w 2212"/>
                              <a:gd name="T51" fmla="*/ 5569 h 199"/>
                              <a:gd name="T52" fmla="*/ 428 w 2212"/>
                              <a:gd name="T53" fmla="*/ 5522 h 199"/>
                              <a:gd name="T54" fmla="*/ 497 w 2212"/>
                              <a:gd name="T55" fmla="*/ 5495 h 199"/>
                              <a:gd name="T56" fmla="*/ 505 w 2212"/>
                              <a:gd name="T57" fmla="*/ 5477 h 199"/>
                              <a:gd name="T58" fmla="*/ 503 w 2212"/>
                              <a:gd name="T59" fmla="*/ 5585 h 199"/>
                              <a:gd name="T60" fmla="*/ 1568 w 2212"/>
                              <a:gd name="T61" fmla="*/ 5459 h 199"/>
                              <a:gd name="T62" fmla="*/ 1605 w 2212"/>
                              <a:gd name="T63" fmla="*/ 5415 h 199"/>
                              <a:gd name="T64" fmla="*/ 1699 w 2212"/>
                              <a:gd name="T65" fmla="*/ 5498 h 199"/>
                              <a:gd name="T66" fmla="*/ 1734 w 2212"/>
                              <a:gd name="T67" fmla="*/ 5426 h 199"/>
                              <a:gd name="T68" fmla="*/ 1722 w 2212"/>
                              <a:gd name="T69" fmla="*/ 5541 h 199"/>
                              <a:gd name="T70" fmla="*/ 1778 w 2212"/>
                              <a:gd name="T71" fmla="*/ 5459 h 199"/>
                              <a:gd name="T72" fmla="*/ 1815 w 2212"/>
                              <a:gd name="T73" fmla="*/ 5415 h 199"/>
                              <a:gd name="T74" fmla="*/ 1926 w 2212"/>
                              <a:gd name="T75" fmla="*/ 5524 h 199"/>
                              <a:gd name="T76" fmla="*/ 1973 w 2212"/>
                              <a:gd name="T77" fmla="*/ 5507 h 199"/>
                              <a:gd name="T78" fmla="*/ 1938 w 2212"/>
                              <a:gd name="T79" fmla="*/ 5470 h 199"/>
                              <a:gd name="T80" fmla="*/ 1967 w 2212"/>
                              <a:gd name="T81" fmla="*/ 5443 h 199"/>
                              <a:gd name="T82" fmla="*/ 1924 w 2212"/>
                              <a:gd name="T83" fmla="*/ 5444 h 199"/>
                              <a:gd name="T84" fmla="*/ 1959 w 2212"/>
                              <a:gd name="T85" fmla="*/ 5417 h 199"/>
                              <a:gd name="T86" fmla="*/ 1979 w 2212"/>
                              <a:gd name="T87" fmla="*/ 5464 h 199"/>
                              <a:gd name="T88" fmla="*/ 1990 w 2212"/>
                              <a:gd name="T89" fmla="*/ 5518 h 199"/>
                              <a:gd name="T90" fmla="*/ 1906 w 2212"/>
                              <a:gd name="T91" fmla="*/ 5522 h 199"/>
                              <a:gd name="T92" fmla="*/ 2050 w 2212"/>
                              <a:gd name="T93" fmla="*/ 5417 h 199"/>
                              <a:gd name="T94" fmla="*/ 2036 w 2212"/>
                              <a:gd name="T95" fmla="*/ 5482 h 199"/>
                              <a:gd name="T96" fmla="*/ 2026 w 2212"/>
                              <a:gd name="T97" fmla="*/ 5430 h 199"/>
                              <a:gd name="T98" fmla="*/ 2040 w 2212"/>
                              <a:gd name="T99" fmla="*/ 5471 h 199"/>
                              <a:gd name="T100" fmla="*/ 2040 w 2212"/>
                              <a:gd name="T101" fmla="*/ 5425 h 199"/>
                              <a:gd name="T102" fmla="*/ 2099 w 2212"/>
                              <a:gd name="T103" fmla="*/ 5491 h 199"/>
                              <a:gd name="T104" fmla="*/ 2147 w 2212"/>
                              <a:gd name="T105" fmla="*/ 5526 h 199"/>
                              <a:gd name="T106" fmla="*/ 2092 w 2212"/>
                              <a:gd name="T107" fmla="*/ 5526 h 199"/>
                              <a:gd name="T108" fmla="*/ 2107 w 2212"/>
                              <a:gd name="T109" fmla="*/ 5530 h 199"/>
                              <a:gd name="T110" fmla="*/ 2133 w 2212"/>
                              <a:gd name="T111" fmla="*/ 5515 h 199"/>
                              <a:gd name="T112" fmla="*/ 2189 w 2212"/>
                              <a:gd name="T113" fmla="*/ 5541 h 199"/>
                              <a:gd name="T114" fmla="*/ 2176 w 2212"/>
                              <a:gd name="T115" fmla="*/ 5426 h 199"/>
                              <a:gd name="T116" fmla="*/ 2211 w 2212"/>
                              <a:gd name="T117" fmla="*/ 5498 h 19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12" h="199">
                                <a:moveTo>
                                  <a:pt x="0" y="97"/>
                                </a:moveTo>
                                <a:lnTo>
                                  <a:pt x="0" y="82"/>
                                </a:lnTo>
                                <a:lnTo>
                                  <a:pt x="2" y="70"/>
                                </a:lnTo>
                                <a:lnTo>
                                  <a:pt x="5" y="61"/>
                                </a:lnTo>
                                <a:lnTo>
                                  <a:pt x="8" y="51"/>
                                </a:lnTo>
                                <a:lnTo>
                                  <a:pt x="13" y="44"/>
                                </a:lnTo>
                                <a:lnTo>
                                  <a:pt x="19" y="39"/>
                                </a:lnTo>
                                <a:lnTo>
                                  <a:pt x="25" y="34"/>
                                </a:lnTo>
                                <a:lnTo>
                                  <a:pt x="33" y="31"/>
                                </a:lnTo>
                                <a:lnTo>
                                  <a:pt x="42" y="31"/>
                                </a:lnTo>
                                <a:lnTo>
                                  <a:pt x="49" y="31"/>
                                </a:lnTo>
                                <a:lnTo>
                                  <a:pt x="55" y="33"/>
                                </a:lnTo>
                                <a:lnTo>
                                  <a:pt x="61" y="36"/>
                                </a:lnTo>
                                <a:lnTo>
                                  <a:pt x="66" y="38"/>
                                </a:lnTo>
                                <a:lnTo>
                                  <a:pt x="70" y="42"/>
                                </a:lnTo>
                                <a:lnTo>
                                  <a:pt x="74" y="48"/>
                                </a:lnTo>
                                <a:lnTo>
                                  <a:pt x="77" y="53"/>
                                </a:lnTo>
                                <a:lnTo>
                                  <a:pt x="80" y="59"/>
                                </a:lnTo>
                                <a:lnTo>
                                  <a:pt x="82" y="67"/>
                                </a:lnTo>
                                <a:lnTo>
                                  <a:pt x="83" y="74"/>
                                </a:lnTo>
                                <a:lnTo>
                                  <a:pt x="84" y="85"/>
                                </a:lnTo>
                                <a:lnTo>
                                  <a:pt x="84" y="97"/>
                                </a:lnTo>
                                <a:lnTo>
                                  <a:pt x="84" y="112"/>
                                </a:lnTo>
                                <a:lnTo>
                                  <a:pt x="83" y="125"/>
                                </a:lnTo>
                                <a:lnTo>
                                  <a:pt x="80" y="134"/>
                                </a:lnTo>
                                <a:lnTo>
                                  <a:pt x="77" y="143"/>
                                </a:lnTo>
                                <a:lnTo>
                                  <a:pt x="72" y="150"/>
                                </a:lnTo>
                                <a:lnTo>
                                  <a:pt x="66" y="155"/>
                                </a:lnTo>
                                <a:lnTo>
                                  <a:pt x="60" y="161"/>
                                </a:lnTo>
                                <a:lnTo>
                                  <a:pt x="52" y="163"/>
                                </a:lnTo>
                                <a:lnTo>
                                  <a:pt x="42" y="163"/>
                                </a:lnTo>
                                <a:lnTo>
                                  <a:pt x="30" y="163"/>
                                </a:lnTo>
                                <a:lnTo>
                                  <a:pt x="20" y="159"/>
                                </a:lnTo>
                                <a:lnTo>
                                  <a:pt x="13" y="150"/>
                                </a:lnTo>
                                <a:lnTo>
                                  <a:pt x="8" y="140"/>
                                </a:lnTo>
                                <a:lnTo>
                                  <a:pt x="4" y="129"/>
                                </a:lnTo>
                                <a:lnTo>
                                  <a:pt x="1" y="114"/>
                                </a:lnTo>
                                <a:lnTo>
                                  <a:pt x="0" y="97"/>
                                </a:lnTo>
                                <a:close/>
                                <a:moveTo>
                                  <a:pt x="17" y="97"/>
                                </a:moveTo>
                                <a:lnTo>
                                  <a:pt x="17" y="112"/>
                                </a:lnTo>
                                <a:lnTo>
                                  <a:pt x="19" y="124"/>
                                </a:lnTo>
                                <a:lnTo>
                                  <a:pt x="21" y="133"/>
                                </a:lnTo>
                                <a:lnTo>
                                  <a:pt x="24" y="140"/>
                                </a:lnTo>
                                <a:lnTo>
                                  <a:pt x="29" y="147"/>
                                </a:lnTo>
                                <a:lnTo>
                                  <a:pt x="35" y="150"/>
                                </a:lnTo>
                                <a:lnTo>
                                  <a:pt x="42" y="150"/>
                                </a:lnTo>
                                <a:lnTo>
                                  <a:pt x="50" y="150"/>
                                </a:lnTo>
                                <a:lnTo>
                                  <a:pt x="56" y="147"/>
                                </a:lnTo>
                                <a:lnTo>
                                  <a:pt x="61" y="140"/>
                                </a:lnTo>
                                <a:lnTo>
                                  <a:pt x="64" y="133"/>
                                </a:lnTo>
                                <a:lnTo>
                                  <a:pt x="66" y="124"/>
                                </a:lnTo>
                                <a:lnTo>
                                  <a:pt x="68" y="112"/>
                                </a:lnTo>
                                <a:lnTo>
                                  <a:pt x="68" y="97"/>
                                </a:lnTo>
                                <a:lnTo>
                                  <a:pt x="68" y="83"/>
                                </a:lnTo>
                                <a:lnTo>
                                  <a:pt x="66" y="71"/>
                                </a:lnTo>
                                <a:lnTo>
                                  <a:pt x="64" y="62"/>
                                </a:lnTo>
                                <a:lnTo>
                                  <a:pt x="61" y="55"/>
                                </a:lnTo>
                                <a:lnTo>
                                  <a:pt x="56" y="48"/>
                                </a:lnTo>
                                <a:lnTo>
                                  <a:pt x="50" y="45"/>
                                </a:lnTo>
                                <a:lnTo>
                                  <a:pt x="42" y="45"/>
                                </a:lnTo>
                                <a:lnTo>
                                  <a:pt x="35" y="45"/>
                                </a:lnTo>
                                <a:lnTo>
                                  <a:pt x="29" y="48"/>
                                </a:lnTo>
                                <a:lnTo>
                                  <a:pt x="25" y="54"/>
                                </a:lnTo>
                                <a:lnTo>
                                  <a:pt x="21" y="61"/>
                                </a:lnTo>
                                <a:lnTo>
                                  <a:pt x="19" y="71"/>
                                </a:lnTo>
                                <a:lnTo>
                                  <a:pt x="17" y="83"/>
                                </a:lnTo>
                                <a:lnTo>
                                  <a:pt x="17" y="97"/>
                                </a:lnTo>
                                <a:close/>
                                <a:moveTo>
                                  <a:pt x="185" y="199"/>
                                </a:moveTo>
                                <a:lnTo>
                                  <a:pt x="179" y="190"/>
                                </a:lnTo>
                                <a:lnTo>
                                  <a:pt x="173" y="181"/>
                                </a:lnTo>
                                <a:lnTo>
                                  <a:pt x="168" y="171"/>
                                </a:lnTo>
                                <a:lnTo>
                                  <a:pt x="163" y="160"/>
                                </a:lnTo>
                                <a:lnTo>
                                  <a:pt x="159" y="149"/>
                                </a:lnTo>
                                <a:lnTo>
                                  <a:pt x="156" y="138"/>
                                </a:lnTo>
                                <a:lnTo>
                                  <a:pt x="155" y="126"/>
                                </a:lnTo>
                                <a:lnTo>
                                  <a:pt x="154" y="114"/>
                                </a:lnTo>
                                <a:lnTo>
                                  <a:pt x="154" y="104"/>
                                </a:lnTo>
                                <a:lnTo>
                                  <a:pt x="156" y="94"/>
                                </a:lnTo>
                                <a:lnTo>
                                  <a:pt x="158" y="84"/>
                                </a:lnTo>
                                <a:lnTo>
                                  <a:pt x="161" y="74"/>
                                </a:lnTo>
                                <a:lnTo>
                                  <a:pt x="165" y="63"/>
                                </a:lnTo>
                                <a:lnTo>
                                  <a:pt x="171" y="52"/>
                                </a:lnTo>
                                <a:lnTo>
                                  <a:pt x="177" y="41"/>
                                </a:lnTo>
                                <a:lnTo>
                                  <a:pt x="185" y="30"/>
                                </a:lnTo>
                                <a:lnTo>
                                  <a:pt x="196" y="30"/>
                                </a:lnTo>
                                <a:lnTo>
                                  <a:pt x="189" y="42"/>
                                </a:lnTo>
                                <a:lnTo>
                                  <a:pt x="185" y="51"/>
                                </a:lnTo>
                                <a:lnTo>
                                  <a:pt x="182" y="56"/>
                                </a:lnTo>
                                <a:lnTo>
                                  <a:pt x="179" y="64"/>
                                </a:lnTo>
                                <a:lnTo>
                                  <a:pt x="176" y="72"/>
                                </a:lnTo>
                                <a:lnTo>
                                  <a:pt x="174" y="81"/>
                                </a:lnTo>
                                <a:lnTo>
                                  <a:pt x="171" y="92"/>
                                </a:lnTo>
                                <a:lnTo>
                                  <a:pt x="170" y="103"/>
                                </a:lnTo>
                                <a:lnTo>
                                  <a:pt x="170" y="114"/>
                                </a:lnTo>
                                <a:lnTo>
                                  <a:pt x="172" y="135"/>
                                </a:lnTo>
                                <a:lnTo>
                                  <a:pt x="177" y="157"/>
                                </a:lnTo>
                                <a:lnTo>
                                  <a:pt x="185" y="178"/>
                                </a:lnTo>
                                <a:lnTo>
                                  <a:pt x="196" y="199"/>
                                </a:lnTo>
                                <a:lnTo>
                                  <a:pt x="185" y="199"/>
                                </a:lnTo>
                                <a:close/>
                                <a:moveTo>
                                  <a:pt x="210" y="97"/>
                                </a:moveTo>
                                <a:lnTo>
                                  <a:pt x="210" y="82"/>
                                </a:lnTo>
                                <a:lnTo>
                                  <a:pt x="212" y="70"/>
                                </a:lnTo>
                                <a:lnTo>
                                  <a:pt x="215" y="61"/>
                                </a:lnTo>
                                <a:lnTo>
                                  <a:pt x="218" y="51"/>
                                </a:lnTo>
                                <a:lnTo>
                                  <a:pt x="223" y="44"/>
                                </a:lnTo>
                                <a:lnTo>
                                  <a:pt x="229" y="39"/>
                                </a:lnTo>
                                <a:lnTo>
                                  <a:pt x="235" y="34"/>
                                </a:lnTo>
                                <a:lnTo>
                                  <a:pt x="243" y="31"/>
                                </a:lnTo>
                                <a:lnTo>
                                  <a:pt x="252" y="31"/>
                                </a:lnTo>
                                <a:lnTo>
                                  <a:pt x="259" y="31"/>
                                </a:lnTo>
                                <a:lnTo>
                                  <a:pt x="265" y="33"/>
                                </a:lnTo>
                                <a:lnTo>
                                  <a:pt x="271" y="36"/>
                                </a:lnTo>
                                <a:lnTo>
                                  <a:pt x="276" y="38"/>
                                </a:lnTo>
                                <a:lnTo>
                                  <a:pt x="280" y="42"/>
                                </a:lnTo>
                                <a:lnTo>
                                  <a:pt x="284" y="48"/>
                                </a:lnTo>
                                <a:lnTo>
                                  <a:pt x="287" y="53"/>
                                </a:lnTo>
                                <a:lnTo>
                                  <a:pt x="290" y="59"/>
                                </a:lnTo>
                                <a:lnTo>
                                  <a:pt x="292" y="67"/>
                                </a:lnTo>
                                <a:lnTo>
                                  <a:pt x="294" y="74"/>
                                </a:lnTo>
                                <a:lnTo>
                                  <a:pt x="294" y="85"/>
                                </a:lnTo>
                                <a:lnTo>
                                  <a:pt x="294" y="97"/>
                                </a:lnTo>
                                <a:lnTo>
                                  <a:pt x="294" y="112"/>
                                </a:lnTo>
                                <a:lnTo>
                                  <a:pt x="293" y="125"/>
                                </a:lnTo>
                                <a:lnTo>
                                  <a:pt x="290" y="134"/>
                                </a:lnTo>
                                <a:lnTo>
                                  <a:pt x="287" y="143"/>
                                </a:lnTo>
                                <a:lnTo>
                                  <a:pt x="282" y="150"/>
                                </a:lnTo>
                                <a:lnTo>
                                  <a:pt x="276" y="155"/>
                                </a:lnTo>
                                <a:lnTo>
                                  <a:pt x="270" y="161"/>
                                </a:lnTo>
                                <a:lnTo>
                                  <a:pt x="262" y="163"/>
                                </a:lnTo>
                                <a:lnTo>
                                  <a:pt x="252" y="163"/>
                                </a:lnTo>
                                <a:lnTo>
                                  <a:pt x="240" y="163"/>
                                </a:lnTo>
                                <a:lnTo>
                                  <a:pt x="230" y="159"/>
                                </a:lnTo>
                                <a:lnTo>
                                  <a:pt x="223" y="150"/>
                                </a:lnTo>
                                <a:lnTo>
                                  <a:pt x="218" y="140"/>
                                </a:lnTo>
                                <a:lnTo>
                                  <a:pt x="214" y="129"/>
                                </a:lnTo>
                                <a:lnTo>
                                  <a:pt x="211" y="114"/>
                                </a:lnTo>
                                <a:lnTo>
                                  <a:pt x="210" y="97"/>
                                </a:lnTo>
                                <a:close/>
                                <a:moveTo>
                                  <a:pt x="227" y="97"/>
                                </a:moveTo>
                                <a:lnTo>
                                  <a:pt x="227" y="112"/>
                                </a:lnTo>
                                <a:lnTo>
                                  <a:pt x="229" y="124"/>
                                </a:lnTo>
                                <a:lnTo>
                                  <a:pt x="231" y="133"/>
                                </a:lnTo>
                                <a:lnTo>
                                  <a:pt x="234" y="140"/>
                                </a:lnTo>
                                <a:lnTo>
                                  <a:pt x="239" y="147"/>
                                </a:lnTo>
                                <a:lnTo>
                                  <a:pt x="245" y="150"/>
                                </a:lnTo>
                                <a:lnTo>
                                  <a:pt x="252" y="150"/>
                                </a:lnTo>
                                <a:lnTo>
                                  <a:pt x="260" y="150"/>
                                </a:lnTo>
                                <a:lnTo>
                                  <a:pt x="266" y="147"/>
                                </a:lnTo>
                                <a:lnTo>
                                  <a:pt x="271" y="140"/>
                                </a:lnTo>
                                <a:lnTo>
                                  <a:pt x="274" y="133"/>
                                </a:lnTo>
                                <a:lnTo>
                                  <a:pt x="276" y="124"/>
                                </a:lnTo>
                                <a:lnTo>
                                  <a:pt x="278" y="112"/>
                                </a:lnTo>
                                <a:lnTo>
                                  <a:pt x="278" y="97"/>
                                </a:lnTo>
                                <a:lnTo>
                                  <a:pt x="278" y="83"/>
                                </a:lnTo>
                                <a:lnTo>
                                  <a:pt x="276" y="71"/>
                                </a:lnTo>
                                <a:lnTo>
                                  <a:pt x="274" y="62"/>
                                </a:lnTo>
                                <a:lnTo>
                                  <a:pt x="271" y="55"/>
                                </a:lnTo>
                                <a:lnTo>
                                  <a:pt x="266" y="48"/>
                                </a:lnTo>
                                <a:lnTo>
                                  <a:pt x="260" y="45"/>
                                </a:lnTo>
                                <a:lnTo>
                                  <a:pt x="252" y="45"/>
                                </a:lnTo>
                                <a:lnTo>
                                  <a:pt x="245" y="45"/>
                                </a:lnTo>
                                <a:lnTo>
                                  <a:pt x="239" y="48"/>
                                </a:lnTo>
                                <a:lnTo>
                                  <a:pt x="235" y="54"/>
                                </a:lnTo>
                                <a:lnTo>
                                  <a:pt x="231" y="61"/>
                                </a:lnTo>
                                <a:lnTo>
                                  <a:pt x="229" y="71"/>
                                </a:lnTo>
                                <a:lnTo>
                                  <a:pt x="227" y="83"/>
                                </a:lnTo>
                                <a:lnTo>
                                  <a:pt x="227" y="97"/>
                                </a:lnTo>
                                <a:close/>
                                <a:moveTo>
                                  <a:pt x="314" y="63"/>
                                </a:moveTo>
                                <a:lnTo>
                                  <a:pt x="314" y="54"/>
                                </a:lnTo>
                                <a:lnTo>
                                  <a:pt x="316" y="46"/>
                                </a:lnTo>
                                <a:lnTo>
                                  <a:pt x="320" y="39"/>
                                </a:lnTo>
                                <a:lnTo>
                                  <a:pt x="325" y="33"/>
                                </a:lnTo>
                                <a:lnTo>
                                  <a:pt x="332" y="30"/>
                                </a:lnTo>
                                <a:lnTo>
                                  <a:pt x="341" y="30"/>
                                </a:lnTo>
                                <a:lnTo>
                                  <a:pt x="349" y="30"/>
                                </a:lnTo>
                                <a:lnTo>
                                  <a:pt x="355" y="33"/>
                                </a:lnTo>
                                <a:lnTo>
                                  <a:pt x="361" y="38"/>
                                </a:lnTo>
                                <a:lnTo>
                                  <a:pt x="366" y="44"/>
                                </a:lnTo>
                                <a:lnTo>
                                  <a:pt x="369" y="53"/>
                                </a:lnTo>
                                <a:lnTo>
                                  <a:pt x="369" y="64"/>
                                </a:lnTo>
                                <a:lnTo>
                                  <a:pt x="369" y="75"/>
                                </a:lnTo>
                                <a:lnTo>
                                  <a:pt x="366" y="83"/>
                                </a:lnTo>
                                <a:lnTo>
                                  <a:pt x="361" y="89"/>
                                </a:lnTo>
                                <a:lnTo>
                                  <a:pt x="355" y="95"/>
                                </a:lnTo>
                                <a:lnTo>
                                  <a:pt x="349" y="98"/>
                                </a:lnTo>
                                <a:lnTo>
                                  <a:pt x="341" y="98"/>
                                </a:lnTo>
                                <a:lnTo>
                                  <a:pt x="333" y="98"/>
                                </a:lnTo>
                                <a:lnTo>
                                  <a:pt x="327" y="95"/>
                                </a:lnTo>
                                <a:lnTo>
                                  <a:pt x="321" y="89"/>
                                </a:lnTo>
                                <a:lnTo>
                                  <a:pt x="316" y="83"/>
                                </a:lnTo>
                                <a:lnTo>
                                  <a:pt x="314" y="75"/>
                                </a:lnTo>
                                <a:lnTo>
                                  <a:pt x="314" y="63"/>
                                </a:lnTo>
                                <a:close/>
                                <a:moveTo>
                                  <a:pt x="341" y="41"/>
                                </a:moveTo>
                                <a:lnTo>
                                  <a:pt x="337" y="41"/>
                                </a:lnTo>
                                <a:lnTo>
                                  <a:pt x="334" y="42"/>
                                </a:lnTo>
                                <a:lnTo>
                                  <a:pt x="331" y="46"/>
                                </a:lnTo>
                                <a:lnTo>
                                  <a:pt x="329" y="49"/>
                                </a:lnTo>
                                <a:lnTo>
                                  <a:pt x="327" y="55"/>
                                </a:lnTo>
                                <a:lnTo>
                                  <a:pt x="327" y="65"/>
                                </a:lnTo>
                                <a:lnTo>
                                  <a:pt x="327" y="73"/>
                                </a:lnTo>
                                <a:lnTo>
                                  <a:pt x="329" y="79"/>
                                </a:lnTo>
                                <a:lnTo>
                                  <a:pt x="331" y="82"/>
                                </a:lnTo>
                                <a:lnTo>
                                  <a:pt x="334" y="85"/>
                                </a:lnTo>
                                <a:lnTo>
                                  <a:pt x="337" y="87"/>
                                </a:lnTo>
                                <a:lnTo>
                                  <a:pt x="341" y="87"/>
                                </a:lnTo>
                                <a:lnTo>
                                  <a:pt x="345" y="87"/>
                                </a:lnTo>
                                <a:lnTo>
                                  <a:pt x="348" y="85"/>
                                </a:lnTo>
                                <a:lnTo>
                                  <a:pt x="351" y="82"/>
                                </a:lnTo>
                                <a:lnTo>
                                  <a:pt x="354" y="79"/>
                                </a:lnTo>
                                <a:lnTo>
                                  <a:pt x="355" y="72"/>
                                </a:lnTo>
                                <a:lnTo>
                                  <a:pt x="355" y="63"/>
                                </a:lnTo>
                                <a:lnTo>
                                  <a:pt x="355" y="55"/>
                                </a:lnTo>
                                <a:lnTo>
                                  <a:pt x="354" y="49"/>
                                </a:lnTo>
                                <a:lnTo>
                                  <a:pt x="351" y="46"/>
                                </a:lnTo>
                                <a:lnTo>
                                  <a:pt x="348" y="42"/>
                                </a:lnTo>
                                <a:lnTo>
                                  <a:pt x="345" y="41"/>
                                </a:lnTo>
                                <a:lnTo>
                                  <a:pt x="341" y="41"/>
                                </a:lnTo>
                                <a:close/>
                                <a:moveTo>
                                  <a:pt x="341" y="166"/>
                                </a:moveTo>
                                <a:lnTo>
                                  <a:pt x="412" y="30"/>
                                </a:lnTo>
                                <a:lnTo>
                                  <a:pt x="424" y="30"/>
                                </a:lnTo>
                                <a:lnTo>
                                  <a:pt x="354" y="166"/>
                                </a:lnTo>
                                <a:lnTo>
                                  <a:pt x="341" y="166"/>
                                </a:lnTo>
                                <a:close/>
                                <a:moveTo>
                                  <a:pt x="397" y="131"/>
                                </a:moveTo>
                                <a:lnTo>
                                  <a:pt x="397" y="121"/>
                                </a:lnTo>
                                <a:lnTo>
                                  <a:pt x="399" y="114"/>
                                </a:lnTo>
                                <a:lnTo>
                                  <a:pt x="404" y="107"/>
                                </a:lnTo>
                                <a:lnTo>
                                  <a:pt x="408" y="101"/>
                                </a:lnTo>
                                <a:lnTo>
                                  <a:pt x="415" y="97"/>
                                </a:lnTo>
                                <a:lnTo>
                                  <a:pt x="424" y="97"/>
                                </a:lnTo>
                                <a:lnTo>
                                  <a:pt x="432" y="97"/>
                                </a:lnTo>
                                <a:lnTo>
                                  <a:pt x="439" y="100"/>
                                </a:lnTo>
                                <a:lnTo>
                                  <a:pt x="444" y="106"/>
                                </a:lnTo>
                                <a:lnTo>
                                  <a:pt x="449" y="112"/>
                                </a:lnTo>
                                <a:lnTo>
                                  <a:pt x="452" y="120"/>
                                </a:lnTo>
                                <a:lnTo>
                                  <a:pt x="452" y="132"/>
                                </a:lnTo>
                                <a:lnTo>
                                  <a:pt x="452" y="142"/>
                                </a:lnTo>
                                <a:lnTo>
                                  <a:pt x="449" y="151"/>
                                </a:lnTo>
                                <a:lnTo>
                                  <a:pt x="444" y="157"/>
                                </a:lnTo>
                                <a:lnTo>
                                  <a:pt x="439" y="163"/>
                                </a:lnTo>
                                <a:lnTo>
                                  <a:pt x="432" y="166"/>
                                </a:lnTo>
                                <a:lnTo>
                                  <a:pt x="424" y="166"/>
                                </a:lnTo>
                                <a:lnTo>
                                  <a:pt x="416" y="166"/>
                                </a:lnTo>
                                <a:lnTo>
                                  <a:pt x="410" y="163"/>
                                </a:lnTo>
                                <a:lnTo>
                                  <a:pt x="405" y="157"/>
                                </a:lnTo>
                                <a:lnTo>
                                  <a:pt x="399" y="151"/>
                                </a:lnTo>
                                <a:lnTo>
                                  <a:pt x="397" y="142"/>
                                </a:lnTo>
                                <a:lnTo>
                                  <a:pt x="397" y="131"/>
                                </a:lnTo>
                                <a:close/>
                                <a:moveTo>
                                  <a:pt x="424" y="108"/>
                                </a:moveTo>
                                <a:lnTo>
                                  <a:pt x="420" y="108"/>
                                </a:lnTo>
                                <a:lnTo>
                                  <a:pt x="417" y="110"/>
                                </a:lnTo>
                                <a:lnTo>
                                  <a:pt x="415" y="113"/>
                                </a:lnTo>
                                <a:lnTo>
                                  <a:pt x="412" y="117"/>
                                </a:lnTo>
                                <a:lnTo>
                                  <a:pt x="411" y="123"/>
                                </a:lnTo>
                                <a:lnTo>
                                  <a:pt x="411" y="132"/>
                                </a:lnTo>
                                <a:lnTo>
                                  <a:pt x="411" y="140"/>
                                </a:lnTo>
                                <a:lnTo>
                                  <a:pt x="412" y="146"/>
                                </a:lnTo>
                                <a:lnTo>
                                  <a:pt x="415" y="150"/>
                                </a:lnTo>
                                <a:lnTo>
                                  <a:pt x="417" y="153"/>
                                </a:lnTo>
                                <a:lnTo>
                                  <a:pt x="421" y="155"/>
                                </a:lnTo>
                                <a:lnTo>
                                  <a:pt x="424" y="155"/>
                                </a:lnTo>
                                <a:lnTo>
                                  <a:pt x="428" y="155"/>
                                </a:lnTo>
                                <a:lnTo>
                                  <a:pt x="432" y="153"/>
                                </a:lnTo>
                                <a:lnTo>
                                  <a:pt x="434" y="150"/>
                                </a:lnTo>
                                <a:lnTo>
                                  <a:pt x="437" y="146"/>
                                </a:lnTo>
                                <a:lnTo>
                                  <a:pt x="438" y="140"/>
                                </a:lnTo>
                                <a:lnTo>
                                  <a:pt x="438" y="131"/>
                                </a:lnTo>
                                <a:lnTo>
                                  <a:pt x="438" y="123"/>
                                </a:lnTo>
                                <a:lnTo>
                                  <a:pt x="437" y="117"/>
                                </a:lnTo>
                                <a:lnTo>
                                  <a:pt x="434" y="113"/>
                                </a:lnTo>
                                <a:lnTo>
                                  <a:pt x="432" y="110"/>
                                </a:lnTo>
                                <a:lnTo>
                                  <a:pt x="428" y="108"/>
                                </a:lnTo>
                                <a:lnTo>
                                  <a:pt x="424" y="108"/>
                                </a:lnTo>
                                <a:close/>
                                <a:moveTo>
                                  <a:pt x="485" y="199"/>
                                </a:moveTo>
                                <a:lnTo>
                                  <a:pt x="474" y="199"/>
                                </a:lnTo>
                                <a:lnTo>
                                  <a:pt x="486" y="178"/>
                                </a:lnTo>
                                <a:lnTo>
                                  <a:pt x="494" y="157"/>
                                </a:lnTo>
                                <a:lnTo>
                                  <a:pt x="499" y="135"/>
                                </a:lnTo>
                                <a:lnTo>
                                  <a:pt x="500" y="114"/>
                                </a:lnTo>
                                <a:lnTo>
                                  <a:pt x="500" y="103"/>
                                </a:lnTo>
                                <a:lnTo>
                                  <a:pt x="499" y="92"/>
                                </a:lnTo>
                                <a:lnTo>
                                  <a:pt x="497" y="81"/>
                                </a:lnTo>
                                <a:lnTo>
                                  <a:pt x="495" y="73"/>
                                </a:lnTo>
                                <a:lnTo>
                                  <a:pt x="492" y="64"/>
                                </a:lnTo>
                                <a:lnTo>
                                  <a:pt x="488" y="56"/>
                                </a:lnTo>
                                <a:lnTo>
                                  <a:pt x="486" y="51"/>
                                </a:lnTo>
                                <a:lnTo>
                                  <a:pt x="481" y="42"/>
                                </a:lnTo>
                                <a:lnTo>
                                  <a:pt x="474" y="30"/>
                                </a:lnTo>
                                <a:lnTo>
                                  <a:pt x="485" y="30"/>
                                </a:lnTo>
                                <a:lnTo>
                                  <a:pt x="493" y="41"/>
                                </a:lnTo>
                                <a:lnTo>
                                  <a:pt x="500" y="52"/>
                                </a:lnTo>
                                <a:lnTo>
                                  <a:pt x="505" y="63"/>
                                </a:lnTo>
                                <a:lnTo>
                                  <a:pt x="510" y="74"/>
                                </a:lnTo>
                                <a:lnTo>
                                  <a:pt x="513" y="84"/>
                                </a:lnTo>
                                <a:lnTo>
                                  <a:pt x="515" y="94"/>
                                </a:lnTo>
                                <a:lnTo>
                                  <a:pt x="516" y="104"/>
                                </a:lnTo>
                                <a:lnTo>
                                  <a:pt x="517" y="114"/>
                                </a:lnTo>
                                <a:lnTo>
                                  <a:pt x="516" y="126"/>
                                </a:lnTo>
                                <a:lnTo>
                                  <a:pt x="514" y="138"/>
                                </a:lnTo>
                                <a:lnTo>
                                  <a:pt x="511" y="149"/>
                                </a:lnTo>
                                <a:lnTo>
                                  <a:pt x="507" y="160"/>
                                </a:lnTo>
                                <a:lnTo>
                                  <a:pt x="503" y="171"/>
                                </a:lnTo>
                                <a:lnTo>
                                  <a:pt x="497" y="181"/>
                                </a:lnTo>
                                <a:lnTo>
                                  <a:pt x="492" y="190"/>
                                </a:lnTo>
                                <a:lnTo>
                                  <a:pt x="485" y="199"/>
                                </a:lnTo>
                                <a:close/>
                                <a:moveTo>
                                  <a:pt x="1605" y="131"/>
                                </a:moveTo>
                                <a:lnTo>
                                  <a:pt x="1589" y="131"/>
                                </a:lnTo>
                                <a:lnTo>
                                  <a:pt x="1589" y="30"/>
                                </a:lnTo>
                                <a:lnTo>
                                  <a:pt x="1585" y="34"/>
                                </a:lnTo>
                                <a:lnTo>
                                  <a:pt x="1580" y="37"/>
                                </a:lnTo>
                                <a:lnTo>
                                  <a:pt x="1574" y="41"/>
                                </a:lnTo>
                                <a:lnTo>
                                  <a:pt x="1568" y="45"/>
                                </a:lnTo>
                                <a:lnTo>
                                  <a:pt x="1562" y="47"/>
                                </a:lnTo>
                                <a:lnTo>
                                  <a:pt x="1557" y="49"/>
                                </a:lnTo>
                                <a:lnTo>
                                  <a:pt x="1557" y="34"/>
                                </a:lnTo>
                                <a:lnTo>
                                  <a:pt x="1566" y="30"/>
                                </a:lnTo>
                                <a:lnTo>
                                  <a:pt x="1574" y="25"/>
                                </a:lnTo>
                                <a:lnTo>
                                  <a:pt x="1580" y="19"/>
                                </a:lnTo>
                                <a:lnTo>
                                  <a:pt x="1587" y="13"/>
                                </a:lnTo>
                                <a:lnTo>
                                  <a:pt x="1592" y="7"/>
                                </a:lnTo>
                                <a:lnTo>
                                  <a:pt x="1595" y="1"/>
                                </a:lnTo>
                                <a:lnTo>
                                  <a:pt x="1605" y="1"/>
                                </a:lnTo>
                                <a:lnTo>
                                  <a:pt x="1605" y="131"/>
                                </a:lnTo>
                                <a:close/>
                                <a:moveTo>
                                  <a:pt x="1730" y="169"/>
                                </a:moveTo>
                                <a:lnTo>
                                  <a:pt x="1724" y="160"/>
                                </a:lnTo>
                                <a:lnTo>
                                  <a:pt x="1718" y="151"/>
                                </a:lnTo>
                                <a:lnTo>
                                  <a:pt x="1713" y="141"/>
                                </a:lnTo>
                                <a:lnTo>
                                  <a:pt x="1708" y="130"/>
                                </a:lnTo>
                                <a:lnTo>
                                  <a:pt x="1704" y="119"/>
                                </a:lnTo>
                                <a:lnTo>
                                  <a:pt x="1701" y="108"/>
                                </a:lnTo>
                                <a:lnTo>
                                  <a:pt x="1699" y="96"/>
                                </a:lnTo>
                                <a:lnTo>
                                  <a:pt x="1699" y="84"/>
                                </a:lnTo>
                                <a:lnTo>
                                  <a:pt x="1699" y="74"/>
                                </a:lnTo>
                                <a:lnTo>
                                  <a:pt x="1700" y="64"/>
                                </a:lnTo>
                                <a:lnTo>
                                  <a:pt x="1703" y="54"/>
                                </a:lnTo>
                                <a:lnTo>
                                  <a:pt x="1705" y="44"/>
                                </a:lnTo>
                                <a:lnTo>
                                  <a:pt x="1710" y="33"/>
                                </a:lnTo>
                                <a:lnTo>
                                  <a:pt x="1716" y="22"/>
                                </a:lnTo>
                                <a:lnTo>
                                  <a:pt x="1722" y="11"/>
                                </a:lnTo>
                                <a:lnTo>
                                  <a:pt x="1730" y="0"/>
                                </a:lnTo>
                                <a:lnTo>
                                  <a:pt x="1741" y="0"/>
                                </a:lnTo>
                                <a:lnTo>
                                  <a:pt x="1734" y="12"/>
                                </a:lnTo>
                                <a:lnTo>
                                  <a:pt x="1729" y="21"/>
                                </a:lnTo>
                                <a:lnTo>
                                  <a:pt x="1727" y="26"/>
                                </a:lnTo>
                                <a:lnTo>
                                  <a:pt x="1724" y="34"/>
                                </a:lnTo>
                                <a:lnTo>
                                  <a:pt x="1721" y="42"/>
                                </a:lnTo>
                                <a:lnTo>
                                  <a:pt x="1719" y="51"/>
                                </a:lnTo>
                                <a:lnTo>
                                  <a:pt x="1716" y="62"/>
                                </a:lnTo>
                                <a:lnTo>
                                  <a:pt x="1715" y="73"/>
                                </a:lnTo>
                                <a:lnTo>
                                  <a:pt x="1715" y="84"/>
                                </a:lnTo>
                                <a:lnTo>
                                  <a:pt x="1717" y="105"/>
                                </a:lnTo>
                                <a:lnTo>
                                  <a:pt x="1722" y="127"/>
                                </a:lnTo>
                                <a:lnTo>
                                  <a:pt x="1730" y="148"/>
                                </a:lnTo>
                                <a:lnTo>
                                  <a:pt x="1741" y="169"/>
                                </a:lnTo>
                                <a:lnTo>
                                  <a:pt x="1730" y="169"/>
                                </a:lnTo>
                                <a:close/>
                                <a:moveTo>
                                  <a:pt x="1815" y="131"/>
                                </a:moveTo>
                                <a:lnTo>
                                  <a:pt x="1799" y="131"/>
                                </a:lnTo>
                                <a:lnTo>
                                  <a:pt x="1799" y="30"/>
                                </a:lnTo>
                                <a:lnTo>
                                  <a:pt x="1795" y="34"/>
                                </a:lnTo>
                                <a:lnTo>
                                  <a:pt x="1790" y="37"/>
                                </a:lnTo>
                                <a:lnTo>
                                  <a:pt x="1784" y="41"/>
                                </a:lnTo>
                                <a:lnTo>
                                  <a:pt x="1778" y="45"/>
                                </a:lnTo>
                                <a:lnTo>
                                  <a:pt x="1772" y="47"/>
                                </a:lnTo>
                                <a:lnTo>
                                  <a:pt x="1767" y="49"/>
                                </a:lnTo>
                                <a:lnTo>
                                  <a:pt x="1767" y="34"/>
                                </a:lnTo>
                                <a:lnTo>
                                  <a:pt x="1776" y="30"/>
                                </a:lnTo>
                                <a:lnTo>
                                  <a:pt x="1784" y="25"/>
                                </a:lnTo>
                                <a:lnTo>
                                  <a:pt x="1791" y="19"/>
                                </a:lnTo>
                                <a:lnTo>
                                  <a:pt x="1797" y="13"/>
                                </a:lnTo>
                                <a:lnTo>
                                  <a:pt x="1802" y="7"/>
                                </a:lnTo>
                                <a:lnTo>
                                  <a:pt x="1805" y="1"/>
                                </a:lnTo>
                                <a:lnTo>
                                  <a:pt x="1815" y="1"/>
                                </a:lnTo>
                                <a:lnTo>
                                  <a:pt x="1815" y="131"/>
                                </a:lnTo>
                                <a:close/>
                                <a:moveTo>
                                  <a:pt x="1864" y="131"/>
                                </a:moveTo>
                                <a:lnTo>
                                  <a:pt x="1864" y="113"/>
                                </a:lnTo>
                                <a:lnTo>
                                  <a:pt x="1882" y="113"/>
                                </a:lnTo>
                                <a:lnTo>
                                  <a:pt x="1882" y="131"/>
                                </a:lnTo>
                                <a:lnTo>
                                  <a:pt x="1864" y="131"/>
                                </a:lnTo>
                                <a:close/>
                                <a:moveTo>
                                  <a:pt x="1905" y="97"/>
                                </a:moveTo>
                                <a:lnTo>
                                  <a:pt x="1921" y="95"/>
                                </a:lnTo>
                                <a:lnTo>
                                  <a:pt x="1923" y="104"/>
                                </a:lnTo>
                                <a:lnTo>
                                  <a:pt x="1926" y="110"/>
                                </a:lnTo>
                                <a:lnTo>
                                  <a:pt x="1931" y="114"/>
                                </a:lnTo>
                                <a:lnTo>
                                  <a:pt x="1935" y="118"/>
                                </a:lnTo>
                                <a:lnTo>
                                  <a:pt x="1940" y="120"/>
                                </a:lnTo>
                                <a:lnTo>
                                  <a:pt x="1946" y="120"/>
                                </a:lnTo>
                                <a:lnTo>
                                  <a:pt x="1954" y="120"/>
                                </a:lnTo>
                                <a:lnTo>
                                  <a:pt x="1960" y="117"/>
                                </a:lnTo>
                                <a:lnTo>
                                  <a:pt x="1965" y="112"/>
                                </a:lnTo>
                                <a:lnTo>
                                  <a:pt x="1970" y="107"/>
                                </a:lnTo>
                                <a:lnTo>
                                  <a:pt x="1973" y="101"/>
                                </a:lnTo>
                                <a:lnTo>
                                  <a:pt x="1973" y="93"/>
                                </a:lnTo>
                                <a:lnTo>
                                  <a:pt x="1973" y="86"/>
                                </a:lnTo>
                                <a:lnTo>
                                  <a:pt x="1971" y="80"/>
                                </a:lnTo>
                                <a:lnTo>
                                  <a:pt x="1966" y="75"/>
                                </a:lnTo>
                                <a:lnTo>
                                  <a:pt x="1961" y="70"/>
                                </a:lnTo>
                                <a:lnTo>
                                  <a:pt x="1955" y="68"/>
                                </a:lnTo>
                                <a:lnTo>
                                  <a:pt x="1948" y="68"/>
                                </a:lnTo>
                                <a:lnTo>
                                  <a:pt x="1945" y="68"/>
                                </a:lnTo>
                                <a:lnTo>
                                  <a:pt x="1941" y="69"/>
                                </a:lnTo>
                                <a:lnTo>
                                  <a:pt x="1937" y="70"/>
                                </a:lnTo>
                                <a:lnTo>
                                  <a:pt x="1938" y="56"/>
                                </a:lnTo>
                                <a:lnTo>
                                  <a:pt x="1939" y="56"/>
                                </a:lnTo>
                                <a:lnTo>
                                  <a:pt x="1940" y="56"/>
                                </a:lnTo>
                                <a:lnTo>
                                  <a:pt x="1941" y="56"/>
                                </a:lnTo>
                                <a:lnTo>
                                  <a:pt x="1948" y="56"/>
                                </a:lnTo>
                                <a:lnTo>
                                  <a:pt x="1954" y="54"/>
                                </a:lnTo>
                                <a:lnTo>
                                  <a:pt x="1959" y="51"/>
                                </a:lnTo>
                                <a:lnTo>
                                  <a:pt x="1965" y="47"/>
                                </a:lnTo>
                                <a:lnTo>
                                  <a:pt x="1967" y="42"/>
                                </a:lnTo>
                                <a:lnTo>
                                  <a:pt x="1967" y="35"/>
                                </a:lnTo>
                                <a:lnTo>
                                  <a:pt x="1967" y="29"/>
                                </a:lnTo>
                                <a:lnTo>
                                  <a:pt x="1965" y="24"/>
                                </a:lnTo>
                                <a:lnTo>
                                  <a:pt x="1961" y="20"/>
                                </a:lnTo>
                                <a:lnTo>
                                  <a:pt x="1957" y="16"/>
                                </a:lnTo>
                                <a:lnTo>
                                  <a:pt x="1952" y="14"/>
                                </a:lnTo>
                                <a:lnTo>
                                  <a:pt x="1946" y="14"/>
                                </a:lnTo>
                                <a:lnTo>
                                  <a:pt x="1940" y="14"/>
                                </a:lnTo>
                                <a:lnTo>
                                  <a:pt x="1935" y="16"/>
                                </a:lnTo>
                                <a:lnTo>
                                  <a:pt x="1931" y="20"/>
                                </a:lnTo>
                                <a:lnTo>
                                  <a:pt x="1927" y="24"/>
                                </a:lnTo>
                                <a:lnTo>
                                  <a:pt x="1924" y="30"/>
                                </a:lnTo>
                                <a:lnTo>
                                  <a:pt x="1923" y="38"/>
                                </a:lnTo>
                                <a:lnTo>
                                  <a:pt x="1907" y="35"/>
                                </a:lnTo>
                                <a:lnTo>
                                  <a:pt x="1909" y="24"/>
                                </a:lnTo>
                                <a:lnTo>
                                  <a:pt x="1913" y="16"/>
                                </a:lnTo>
                                <a:lnTo>
                                  <a:pt x="1920" y="10"/>
                                </a:lnTo>
                                <a:lnTo>
                                  <a:pt x="1927" y="4"/>
                                </a:lnTo>
                                <a:lnTo>
                                  <a:pt x="1936" y="1"/>
                                </a:lnTo>
                                <a:lnTo>
                                  <a:pt x="1946" y="1"/>
                                </a:lnTo>
                                <a:lnTo>
                                  <a:pt x="1953" y="1"/>
                                </a:lnTo>
                                <a:lnTo>
                                  <a:pt x="1959" y="3"/>
                                </a:lnTo>
                                <a:lnTo>
                                  <a:pt x="1965" y="6"/>
                                </a:lnTo>
                                <a:lnTo>
                                  <a:pt x="1971" y="9"/>
                                </a:lnTo>
                                <a:lnTo>
                                  <a:pt x="1976" y="13"/>
                                </a:lnTo>
                                <a:lnTo>
                                  <a:pt x="1979" y="18"/>
                                </a:lnTo>
                                <a:lnTo>
                                  <a:pt x="1982" y="24"/>
                                </a:lnTo>
                                <a:lnTo>
                                  <a:pt x="1983" y="29"/>
                                </a:lnTo>
                                <a:lnTo>
                                  <a:pt x="1983" y="35"/>
                                </a:lnTo>
                                <a:lnTo>
                                  <a:pt x="1983" y="41"/>
                                </a:lnTo>
                                <a:lnTo>
                                  <a:pt x="1982" y="46"/>
                                </a:lnTo>
                                <a:lnTo>
                                  <a:pt x="1979" y="50"/>
                                </a:lnTo>
                                <a:lnTo>
                                  <a:pt x="1976" y="55"/>
                                </a:lnTo>
                                <a:lnTo>
                                  <a:pt x="1972" y="58"/>
                                </a:lnTo>
                                <a:lnTo>
                                  <a:pt x="1966" y="61"/>
                                </a:lnTo>
                                <a:lnTo>
                                  <a:pt x="1973" y="63"/>
                                </a:lnTo>
                                <a:lnTo>
                                  <a:pt x="1979" y="66"/>
                                </a:lnTo>
                                <a:lnTo>
                                  <a:pt x="1983" y="72"/>
                                </a:lnTo>
                                <a:lnTo>
                                  <a:pt x="1988" y="78"/>
                                </a:lnTo>
                                <a:lnTo>
                                  <a:pt x="1990" y="84"/>
                                </a:lnTo>
                                <a:lnTo>
                                  <a:pt x="1990" y="93"/>
                                </a:lnTo>
                                <a:lnTo>
                                  <a:pt x="1990" y="104"/>
                                </a:lnTo>
                                <a:lnTo>
                                  <a:pt x="1986" y="114"/>
                                </a:lnTo>
                                <a:lnTo>
                                  <a:pt x="1977" y="121"/>
                                </a:lnTo>
                                <a:lnTo>
                                  <a:pt x="1969" y="129"/>
                                </a:lnTo>
                                <a:lnTo>
                                  <a:pt x="1959" y="133"/>
                                </a:lnTo>
                                <a:lnTo>
                                  <a:pt x="1946" y="133"/>
                                </a:lnTo>
                                <a:lnTo>
                                  <a:pt x="1935" y="133"/>
                                </a:lnTo>
                                <a:lnTo>
                                  <a:pt x="1926" y="130"/>
                                </a:lnTo>
                                <a:lnTo>
                                  <a:pt x="1918" y="123"/>
                                </a:lnTo>
                                <a:lnTo>
                                  <a:pt x="1911" y="116"/>
                                </a:lnTo>
                                <a:lnTo>
                                  <a:pt x="1906" y="108"/>
                                </a:lnTo>
                                <a:lnTo>
                                  <a:pt x="1905" y="97"/>
                                </a:lnTo>
                                <a:close/>
                                <a:moveTo>
                                  <a:pt x="2008" y="33"/>
                                </a:moveTo>
                                <a:lnTo>
                                  <a:pt x="2008" y="24"/>
                                </a:lnTo>
                                <a:lnTo>
                                  <a:pt x="2011" y="16"/>
                                </a:lnTo>
                                <a:lnTo>
                                  <a:pt x="2015" y="9"/>
                                </a:lnTo>
                                <a:lnTo>
                                  <a:pt x="2020" y="3"/>
                                </a:lnTo>
                                <a:lnTo>
                                  <a:pt x="2027" y="0"/>
                                </a:lnTo>
                                <a:lnTo>
                                  <a:pt x="2035" y="0"/>
                                </a:lnTo>
                                <a:lnTo>
                                  <a:pt x="2044" y="0"/>
                                </a:lnTo>
                                <a:lnTo>
                                  <a:pt x="2050" y="3"/>
                                </a:lnTo>
                                <a:lnTo>
                                  <a:pt x="2056" y="8"/>
                                </a:lnTo>
                                <a:lnTo>
                                  <a:pt x="2061" y="14"/>
                                </a:lnTo>
                                <a:lnTo>
                                  <a:pt x="2064" y="23"/>
                                </a:lnTo>
                                <a:lnTo>
                                  <a:pt x="2064" y="34"/>
                                </a:lnTo>
                                <a:lnTo>
                                  <a:pt x="2064" y="45"/>
                                </a:lnTo>
                                <a:lnTo>
                                  <a:pt x="2061" y="53"/>
                                </a:lnTo>
                                <a:lnTo>
                                  <a:pt x="2055" y="59"/>
                                </a:lnTo>
                                <a:lnTo>
                                  <a:pt x="2050" y="65"/>
                                </a:lnTo>
                                <a:lnTo>
                                  <a:pt x="2044" y="68"/>
                                </a:lnTo>
                                <a:lnTo>
                                  <a:pt x="2036" y="68"/>
                                </a:lnTo>
                                <a:lnTo>
                                  <a:pt x="2028" y="68"/>
                                </a:lnTo>
                                <a:lnTo>
                                  <a:pt x="2021" y="65"/>
                                </a:lnTo>
                                <a:lnTo>
                                  <a:pt x="2016" y="59"/>
                                </a:lnTo>
                                <a:lnTo>
                                  <a:pt x="2011" y="53"/>
                                </a:lnTo>
                                <a:lnTo>
                                  <a:pt x="2008" y="45"/>
                                </a:lnTo>
                                <a:lnTo>
                                  <a:pt x="2008" y="33"/>
                                </a:lnTo>
                                <a:close/>
                                <a:moveTo>
                                  <a:pt x="2036" y="11"/>
                                </a:moveTo>
                                <a:lnTo>
                                  <a:pt x="2032" y="11"/>
                                </a:lnTo>
                                <a:lnTo>
                                  <a:pt x="2029" y="12"/>
                                </a:lnTo>
                                <a:lnTo>
                                  <a:pt x="2026" y="16"/>
                                </a:lnTo>
                                <a:lnTo>
                                  <a:pt x="2024" y="19"/>
                                </a:lnTo>
                                <a:lnTo>
                                  <a:pt x="2022" y="25"/>
                                </a:lnTo>
                                <a:lnTo>
                                  <a:pt x="2022" y="35"/>
                                </a:lnTo>
                                <a:lnTo>
                                  <a:pt x="2022" y="43"/>
                                </a:lnTo>
                                <a:lnTo>
                                  <a:pt x="2024" y="49"/>
                                </a:lnTo>
                                <a:lnTo>
                                  <a:pt x="2026" y="52"/>
                                </a:lnTo>
                                <a:lnTo>
                                  <a:pt x="2029" y="55"/>
                                </a:lnTo>
                                <a:lnTo>
                                  <a:pt x="2032" y="57"/>
                                </a:lnTo>
                                <a:lnTo>
                                  <a:pt x="2036" y="57"/>
                                </a:lnTo>
                                <a:lnTo>
                                  <a:pt x="2040" y="57"/>
                                </a:lnTo>
                                <a:lnTo>
                                  <a:pt x="2043" y="55"/>
                                </a:lnTo>
                                <a:lnTo>
                                  <a:pt x="2046" y="52"/>
                                </a:lnTo>
                                <a:lnTo>
                                  <a:pt x="2048" y="49"/>
                                </a:lnTo>
                                <a:lnTo>
                                  <a:pt x="2050" y="42"/>
                                </a:lnTo>
                                <a:lnTo>
                                  <a:pt x="2050" y="33"/>
                                </a:lnTo>
                                <a:lnTo>
                                  <a:pt x="2050" y="25"/>
                                </a:lnTo>
                                <a:lnTo>
                                  <a:pt x="2048" y="19"/>
                                </a:lnTo>
                                <a:lnTo>
                                  <a:pt x="2046" y="16"/>
                                </a:lnTo>
                                <a:lnTo>
                                  <a:pt x="2043" y="12"/>
                                </a:lnTo>
                                <a:lnTo>
                                  <a:pt x="2040" y="11"/>
                                </a:lnTo>
                                <a:lnTo>
                                  <a:pt x="2036" y="11"/>
                                </a:lnTo>
                                <a:close/>
                                <a:moveTo>
                                  <a:pt x="2036" y="136"/>
                                </a:moveTo>
                                <a:lnTo>
                                  <a:pt x="2107" y="0"/>
                                </a:lnTo>
                                <a:lnTo>
                                  <a:pt x="2119" y="0"/>
                                </a:lnTo>
                                <a:lnTo>
                                  <a:pt x="2049" y="136"/>
                                </a:lnTo>
                                <a:lnTo>
                                  <a:pt x="2036" y="136"/>
                                </a:lnTo>
                                <a:close/>
                                <a:moveTo>
                                  <a:pt x="2092" y="101"/>
                                </a:moveTo>
                                <a:lnTo>
                                  <a:pt x="2092" y="91"/>
                                </a:lnTo>
                                <a:lnTo>
                                  <a:pt x="2094" y="84"/>
                                </a:lnTo>
                                <a:lnTo>
                                  <a:pt x="2099" y="77"/>
                                </a:lnTo>
                                <a:lnTo>
                                  <a:pt x="2103" y="71"/>
                                </a:lnTo>
                                <a:lnTo>
                                  <a:pt x="2110" y="67"/>
                                </a:lnTo>
                                <a:lnTo>
                                  <a:pt x="2119" y="67"/>
                                </a:lnTo>
                                <a:lnTo>
                                  <a:pt x="2127" y="67"/>
                                </a:lnTo>
                                <a:lnTo>
                                  <a:pt x="2134" y="70"/>
                                </a:lnTo>
                                <a:lnTo>
                                  <a:pt x="2139" y="76"/>
                                </a:lnTo>
                                <a:lnTo>
                                  <a:pt x="2144" y="82"/>
                                </a:lnTo>
                                <a:lnTo>
                                  <a:pt x="2147" y="90"/>
                                </a:lnTo>
                                <a:lnTo>
                                  <a:pt x="2147" y="102"/>
                                </a:lnTo>
                                <a:lnTo>
                                  <a:pt x="2147" y="112"/>
                                </a:lnTo>
                                <a:lnTo>
                                  <a:pt x="2144" y="121"/>
                                </a:lnTo>
                                <a:lnTo>
                                  <a:pt x="2139" y="127"/>
                                </a:lnTo>
                                <a:lnTo>
                                  <a:pt x="2134" y="133"/>
                                </a:lnTo>
                                <a:lnTo>
                                  <a:pt x="2127" y="136"/>
                                </a:lnTo>
                                <a:lnTo>
                                  <a:pt x="2119" y="136"/>
                                </a:lnTo>
                                <a:lnTo>
                                  <a:pt x="2111" y="136"/>
                                </a:lnTo>
                                <a:lnTo>
                                  <a:pt x="2105" y="133"/>
                                </a:lnTo>
                                <a:lnTo>
                                  <a:pt x="2100" y="127"/>
                                </a:lnTo>
                                <a:lnTo>
                                  <a:pt x="2094" y="121"/>
                                </a:lnTo>
                                <a:lnTo>
                                  <a:pt x="2092" y="112"/>
                                </a:lnTo>
                                <a:lnTo>
                                  <a:pt x="2092" y="101"/>
                                </a:lnTo>
                                <a:close/>
                                <a:moveTo>
                                  <a:pt x="2119" y="78"/>
                                </a:moveTo>
                                <a:lnTo>
                                  <a:pt x="2115" y="78"/>
                                </a:lnTo>
                                <a:lnTo>
                                  <a:pt x="2112" y="80"/>
                                </a:lnTo>
                                <a:lnTo>
                                  <a:pt x="2109" y="83"/>
                                </a:lnTo>
                                <a:lnTo>
                                  <a:pt x="2107" y="87"/>
                                </a:lnTo>
                                <a:lnTo>
                                  <a:pt x="2106" y="93"/>
                                </a:lnTo>
                                <a:lnTo>
                                  <a:pt x="2106" y="102"/>
                                </a:lnTo>
                                <a:lnTo>
                                  <a:pt x="2106" y="110"/>
                                </a:lnTo>
                                <a:lnTo>
                                  <a:pt x="2107" y="116"/>
                                </a:lnTo>
                                <a:lnTo>
                                  <a:pt x="2110" y="120"/>
                                </a:lnTo>
                                <a:lnTo>
                                  <a:pt x="2112" y="123"/>
                                </a:lnTo>
                                <a:lnTo>
                                  <a:pt x="2115" y="125"/>
                                </a:lnTo>
                                <a:lnTo>
                                  <a:pt x="2119" y="125"/>
                                </a:lnTo>
                                <a:lnTo>
                                  <a:pt x="2123" y="125"/>
                                </a:lnTo>
                                <a:lnTo>
                                  <a:pt x="2127" y="123"/>
                                </a:lnTo>
                                <a:lnTo>
                                  <a:pt x="2129" y="120"/>
                                </a:lnTo>
                                <a:lnTo>
                                  <a:pt x="2132" y="116"/>
                                </a:lnTo>
                                <a:lnTo>
                                  <a:pt x="2133" y="110"/>
                                </a:lnTo>
                                <a:lnTo>
                                  <a:pt x="2133" y="101"/>
                                </a:lnTo>
                                <a:lnTo>
                                  <a:pt x="2133" y="93"/>
                                </a:lnTo>
                                <a:lnTo>
                                  <a:pt x="2132" y="87"/>
                                </a:lnTo>
                                <a:lnTo>
                                  <a:pt x="2129" y="83"/>
                                </a:lnTo>
                                <a:lnTo>
                                  <a:pt x="2127" y="80"/>
                                </a:lnTo>
                                <a:lnTo>
                                  <a:pt x="2123" y="78"/>
                                </a:lnTo>
                                <a:lnTo>
                                  <a:pt x="2119" y="78"/>
                                </a:lnTo>
                                <a:close/>
                                <a:moveTo>
                                  <a:pt x="2180" y="169"/>
                                </a:moveTo>
                                <a:lnTo>
                                  <a:pt x="2169" y="169"/>
                                </a:lnTo>
                                <a:lnTo>
                                  <a:pt x="2180" y="148"/>
                                </a:lnTo>
                                <a:lnTo>
                                  <a:pt x="2189" y="127"/>
                                </a:lnTo>
                                <a:lnTo>
                                  <a:pt x="2194" y="105"/>
                                </a:lnTo>
                                <a:lnTo>
                                  <a:pt x="2195" y="84"/>
                                </a:lnTo>
                                <a:lnTo>
                                  <a:pt x="2195" y="73"/>
                                </a:lnTo>
                                <a:lnTo>
                                  <a:pt x="2194" y="62"/>
                                </a:lnTo>
                                <a:lnTo>
                                  <a:pt x="2191" y="51"/>
                                </a:lnTo>
                                <a:lnTo>
                                  <a:pt x="2189" y="43"/>
                                </a:lnTo>
                                <a:lnTo>
                                  <a:pt x="2187" y="34"/>
                                </a:lnTo>
                                <a:lnTo>
                                  <a:pt x="2183" y="26"/>
                                </a:lnTo>
                                <a:lnTo>
                                  <a:pt x="2181" y="21"/>
                                </a:lnTo>
                                <a:lnTo>
                                  <a:pt x="2176" y="12"/>
                                </a:lnTo>
                                <a:lnTo>
                                  <a:pt x="2169" y="0"/>
                                </a:lnTo>
                                <a:lnTo>
                                  <a:pt x="2180" y="0"/>
                                </a:lnTo>
                                <a:lnTo>
                                  <a:pt x="2188" y="11"/>
                                </a:lnTo>
                                <a:lnTo>
                                  <a:pt x="2195" y="22"/>
                                </a:lnTo>
                                <a:lnTo>
                                  <a:pt x="2200" y="33"/>
                                </a:lnTo>
                                <a:lnTo>
                                  <a:pt x="2205" y="44"/>
                                </a:lnTo>
                                <a:lnTo>
                                  <a:pt x="2208" y="54"/>
                                </a:lnTo>
                                <a:lnTo>
                                  <a:pt x="2210" y="64"/>
                                </a:lnTo>
                                <a:lnTo>
                                  <a:pt x="2211" y="74"/>
                                </a:lnTo>
                                <a:lnTo>
                                  <a:pt x="2211" y="84"/>
                                </a:lnTo>
                                <a:lnTo>
                                  <a:pt x="2211" y="96"/>
                                </a:lnTo>
                                <a:lnTo>
                                  <a:pt x="2209" y="108"/>
                                </a:lnTo>
                                <a:lnTo>
                                  <a:pt x="2206" y="119"/>
                                </a:lnTo>
                                <a:lnTo>
                                  <a:pt x="2202" y="130"/>
                                </a:lnTo>
                                <a:lnTo>
                                  <a:pt x="2198" y="141"/>
                                </a:lnTo>
                                <a:lnTo>
                                  <a:pt x="2192" y="151"/>
                                </a:lnTo>
                                <a:lnTo>
                                  <a:pt x="2187" y="160"/>
                                </a:lnTo>
                                <a:lnTo>
                                  <a:pt x="2180" y="169"/>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599636981" name="Picture 3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697"/>
                            <a:ext cx="255" cy="300"/>
                          </a:xfrm>
                          <a:prstGeom prst="rect">
                            <a:avLst/>
                          </a:prstGeom>
                          <a:noFill/>
                          <a:ln>
                            <a:noFill/>
                          </a:ln>
                          <a:effectLst/>
                        </pic:spPr>
                      </pic:pic>
                      <wps:wsp>
                        <wps:cNvPr id="280448461" name="Rectangle 356"/>
                        <wps:cNvSpPr>
                          <a:spLocks noChangeArrowheads="1"/>
                        </wps:cNvSpPr>
                        <wps:spPr bwMode="auto">
                          <a:xfrm>
                            <a:off x="2070" y="864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2137165784" name="AutoShape 355"/>
                        <wps:cNvSpPr/>
                        <wps:spPr bwMode="auto">
                          <a:xfrm>
                            <a:off x="2069" y="8647"/>
                            <a:ext cx="8130" cy="2700"/>
                          </a:xfrm>
                          <a:custGeom>
                            <a:avLst/>
                            <a:gdLst>
                              <a:gd name="T0" fmla="*/ 6810 w 8130"/>
                              <a:gd name="T1" fmla="*/ 10657 h 2700"/>
                              <a:gd name="T2" fmla="*/ 0 w 8130"/>
                              <a:gd name="T3" fmla="*/ 10657 h 2700"/>
                              <a:gd name="T4" fmla="*/ 0 w 8130"/>
                              <a:gd name="T5" fmla="*/ 10672 h 2700"/>
                              <a:gd name="T6" fmla="*/ 6810 w 8130"/>
                              <a:gd name="T7" fmla="*/ 10672 h 2700"/>
                              <a:gd name="T8" fmla="*/ 6810 w 8130"/>
                              <a:gd name="T9" fmla="*/ 10657 h 2700"/>
                              <a:gd name="T10" fmla="*/ 6810 w 8130"/>
                              <a:gd name="T11" fmla="*/ 9997 h 2700"/>
                              <a:gd name="T12" fmla="*/ 0 w 8130"/>
                              <a:gd name="T13" fmla="*/ 9997 h 2700"/>
                              <a:gd name="T14" fmla="*/ 0 w 8130"/>
                              <a:gd name="T15" fmla="*/ 10012 h 2700"/>
                              <a:gd name="T16" fmla="*/ 6810 w 8130"/>
                              <a:gd name="T17" fmla="*/ 10012 h 2700"/>
                              <a:gd name="T18" fmla="*/ 6810 w 8130"/>
                              <a:gd name="T19" fmla="*/ 9997 h 2700"/>
                              <a:gd name="T20" fmla="*/ 6810 w 8130"/>
                              <a:gd name="T21" fmla="*/ 9322 h 2700"/>
                              <a:gd name="T22" fmla="*/ 0 w 8130"/>
                              <a:gd name="T23" fmla="*/ 9322 h 2700"/>
                              <a:gd name="T24" fmla="*/ 0 w 8130"/>
                              <a:gd name="T25" fmla="*/ 9337 h 2700"/>
                              <a:gd name="T26" fmla="*/ 6810 w 8130"/>
                              <a:gd name="T27" fmla="*/ 9337 h 2700"/>
                              <a:gd name="T28" fmla="*/ 6810 w 8130"/>
                              <a:gd name="T29" fmla="*/ 9322 h 2700"/>
                              <a:gd name="T30" fmla="*/ 8130 w 8130"/>
                              <a:gd name="T31" fmla="*/ 11332 h 2700"/>
                              <a:gd name="T32" fmla="*/ 0 w 8130"/>
                              <a:gd name="T33" fmla="*/ 11332 h 2700"/>
                              <a:gd name="T34" fmla="*/ 0 w 8130"/>
                              <a:gd name="T35" fmla="*/ 11347 h 2700"/>
                              <a:gd name="T36" fmla="*/ 8130 w 8130"/>
                              <a:gd name="T37" fmla="*/ 11347 h 2700"/>
                              <a:gd name="T38" fmla="*/ 8130 w 8130"/>
                              <a:gd name="T39" fmla="*/ 11332 h 2700"/>
                              <a:gd name="T40" fmla="*/ 8130 w 8130"/>
                              <a:gd name="T41" fmla="*/ 10657 h 2700"/>
                              <a:gd name="T42" fmla="*/ 7815 w 8130"/>
                              <a:gd name="T43" fmla="*/ 10657 h 2700"/>
                              <a:gd name="T44" fmla="*/ 7815 w 8130"/>
                              <a:gd name="T45" fmla="*/ 10672 h 2700"/>
                              <a:gd name="T46" fmla="*/ 8130 w 8130"/>
                              <a:gd name="T47" fmla="*/ 10672 h 2700"/>
                              <a:gd name="T48" fmla="*/ 8130 w 8130"/>
                              <a:gd name="T49" fmla="*/ 10657 h 2700"/>
                              <a:gd name="T50" fmla="*/ 8130 w 8130"/>
                              <a:gd name="T51" fmla="*/ 9997 h 2700"/>
                              <a:gd name="T52" fmla="*/ 7815 w 8130"/>
                              <a:gd name="T53" fmla="*/ 9997 h 2700"/>
                              <a:gd name="T54" fmla="*/ 7815 w 8130"/>
                              <a:gd name="T55" fmla="*/ 10012 h 2700"/>
                              <a:gd name="T56" fmla="*/ 8130 w 8130"/>
                              <a:gd name="T57" fmla="*/ 10012 h 2700"/>
                              <a:gd name="T58" fmla="*/ 8130 w 8130"/>
                              <a:gd name="T59" fmla="*/ 9997 h 2700"/>
                              <a:gd name="T60" fmla="*/ 8130 w 8130"/>
                              <a:gd name="T61" fmla="*/ 9322 h 2700"/>
                              <a:gd name="T62" fmla="*/ 7815 w 8130"/>
                              <a:gd name="T63" fmla="*/ 9322 h 2700"/>
                              <a:gd name="T64" fmla="*/ 7815 w 8130"/>
                              <a:gd name="T65" fmla="*/ 9337 h 2700"/>
                              <a:gd name="T66" fmla="*/ 8130 w 8130"/>
                              <a:gd name="T67" fmla="*/ 9337 h 2700"/>
                              <a:gd name="T68" fmla="*/ 8130 w 8130"/>
                              <a:gd name="T69" fmla="*/ 9322 h 2700"/>
                              <a:gd name="T70" fmla="*/ 8130 w 8130"/>
                              <a:gd name="T71" fmla="*/ 8647 h 2700"/>
                              <a:gd name="T72" fmla="*/ 0 w 8130"/>
                              <a:gd name="T73" fmla="*/ 8647 h 2700"/>
                              <a:gd name="T74" fmla="*/ 0 w 8130"/>
                              <a:gd name="T75" fmla="*/ 8662 h 2700"/>
                              <a:gd name="T76" fmla="*/ 8130 w 8130"/>
                              <a:gd name="T77" fmla="*/ 8662 h 2700"/>
                              <a:gd name="T78" fmla="*/ 8130 w 8130"/>
                              <a:gd name="T79" fmla="*/ 8647 h 27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30" h="2700">
                                <a:moveTo>
                                  <a:pt x="6810" y="2010"/>
                                </a:moveTo>
                                <a:lnTo>
                                  <a:pt x="0" y="2010"/>
                                </a:lnTo>
                                <a:lnTo>
                                  <a:pt x="0" y="2025"/>
                                </a:lnTo>
                                <a:lnTo>
                                  <a:pt x="6810" y="2025"/>
                                </a:lnTo>
                                <a:lnTo>
                                  <a:pt x="6810" y="2010"/>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049938699" name="AutoShape 354"/>
                        <wps:cNvSpPr/>
                        <wps:spPr bwMode="auto">
                          <a:xfrm>
                            <a:off x="2069" y="8977"/>
                            <a:ext cx="8130" cy="2040"/>
                          </a:xfrm>
                          <a:custGeom>
                            <a:avLst/>
                            <a:gdLst>
                              <a:gd name="T0" fmla="*/ 6810 w 8130"/>
                              <a:gd name="T1" fmla="*/ 11002 h 2040"/>
                              <a:gd name="T2" fmla="*/ 0 w 8130"/>
                              <a:gd name="T3" fmla="*/ 11002 h 2040"/>
                              <a:gd name="T4" fmla="*/ 0 w 8130"/>
                              <a:gd name="T5" fmla="*/ 11017 h 2040"/>
                              <a:gd name="T6" fmla="*/ 6810 w 8130"/>
                              <a:gd name="T7" fmla="*/ 11017 h 2040"/>
                              <a:gd name="T8" fmla="*/ 6810 w 8130"/>
                              <a:gd name="T9" fmla="*/ 11002 h 2040"/>
                              <a:gd name="T10" fmla="*/ 6810 w 8130"/>
                              <a:gd name="T11" fmla="*/ 10327 h 2040"/>
                              <a:gd name="T12" fmla="*/ 0 w 8130"/>
                              <a:gd name="T13" fmla="*/ 10327 h 2040"/>
                              <a:gd name="T14" fmla="*/ 0 w 8130"/>
                              <a:gd name="T15" fmla="*/ 10342 h 2040"/>
                              <a:gd name="T16" fmla="*/ 6810 w 8130"/>
                              <a:gd name="T17" fmla="*/ 10342 h 2040"/>
                              <a:gd name="T18" fmla="*/ 6810 w 8130"/>
                              <a:gd name="T19" fmla="*/ 10327 h 2040"/>
                              <a:gd name="T20" fmla="*/ 6810 w 8130"/>
                              <a:gd name="T21" fmla="*/ 9652 h 2040"/>
                              <a:gd name="T22" fmla="*/ 0 w 8130"/>
                              <a:gd name="T23" fmla="*/ 9652 h 2040"/>
                              <a:gd name="T24" fmla="*/ 0 w 8130"/>
                              <a:gd name="T25" fmla="*/ 9667 h 2040"/>
                              <a:gd name="T26" fmla="*/ 6810 w 8130"/>
                              <a:gd name="T27" fmla="*/ 9667 h 2040"/>
                              <a:gd name="T28" fmla="*/ 6810 w 8130"/>
                              <a:gd name="T29" fmla="*/ 9652 h 2040"/>
                              <a:gd name="T30" fmla="*/ 8130 w 8130"/>
                              <a:gd name="T31" fmla="*/ 11002 h 2040"/>
                              <a:gd name="T32" fmla="*/ 7815 w 8130"/>
                              <a:gd name="T33" fmla="*/ 11002 h 2040"/>
                              <a:gd name="T34" fmla="*/ 7815 w 8130"/>
                              <a:gd name="T35" fmla="*/ 11017 h 2040"/>
                              <a:gd name="T36" fmla="*/ 8130 w 8130"/>
                              <a:gd name="T37" fmla="*/ 11017 h 2040"/>
                              <a:gd name="T38" fmla="*/ 8130 w 8130"/>
                              <a:gd name="T39" fmla="*/ 11002 h 2040"/>
                              <a:gd name="T40" fmla="*/ 8130 w 8130"/>
                              <a:gd name="T41" fmla="*/ 10327 h 2040"/>
                              <a:gd name="T42" fmla="*/ 7815 w 8130"/>
                              <a:gd name="T43" fmla="*/ 10327 h 2040"/>
                              <a:gd name="T44" fmla="*/ 7815 w 8130"/>
                              <a:gd name="T45" fmla="*/ 10342 h 2040"/>
                              <a:gd name="T46" fmla="*/ 8130 w 8130"/>
                              <a:gd name="T47" fmla="*/ 10342 h 2040"/>
                              <a:gd name="T48" fmla="*/ 8130 w 8130"/>
                              <a:gd name="T49" fmla="*/ 10327 h 2040"/>
                              <a:gd name="T50" fmla="*/ 8130 w 8130"/>
                              <a:gd name="T51" fmla="*/ 9652 h 2040"/>
                              <a:gd name="T52" fmla="*/ 7815 w 8130"/>
                              <a:gd name="T53" fmla="*/ 9652 h 2040"/>
                              <a:gd name="T54" fmla="*/ 7815 w 8130"/>
                              <a:gd name="T55" fmla="*/ 9667 h 2040"/>
                              <a:gd name="T56" fmla="*/ 8130 w 8130"/>
                              <a:gd name="T57" fmla="*/ 9667 h 2040"/>
                              <a:gd name="T58" fmla="*/ 8130 w 8130"/>
                              <a:gd name="T59" fmla="*/ 9652 h 2040"/>
                              <a:gd name="T60" fmla="*/ 8130 w 8130"/>
                              <a:gd name="T61" fmla="*/ 8977 h 2040"/>
                              <a:gd name="T62" fmla="*/ 0 w 8130"/>
                              <a:gd name="T63" fmla="*/ 8977 h 2040"/>
                              <a:gd name="T64" fmla="*/ 0 w 8130"/>
                              <a:gd name="T65" fmla="*/ 8992 h 2040"/>
                              <a:gd name="T66" fmla="*/ 8130 w 8130"/>
                              <a:gd name="T67" fmla="*/ 8992 h 2040"/>
                              <a:gd name="T68" fmla="*/ 8130 w 8130"/>
                              <a:gd name="T69" fmla="*/ 8977 h 204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130" h="2040">
                                <a:moveTo>
                                  <a:pt x="6810" y="2025"/>
                                </a:moveTo>
                                <a:lnTo>
                                  <a:pt x="0" y="2025"/>
                                </a:lnTo>
                                <a:lnTo>
                                  <a:pt x="0" y="2040"/>
                                </a:lnTo>
                                <a:lnTo>
                                  <a:pt x="6810" y="2040"/>
                                </a:lnTo>
                                <a:lnTo>
                                  <a:pt x="6810" y="2025"/>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289247219" name="AutoShape 353"/>
                        <wps:cNvSpPr/>
                        <wps:spPr bwMode="auto">
                          <a:xfrm>
                            <a:off x="2384" y="11242"/>
                            <a:ext cx="4245" cy="98"/>
                          </a:xfrm>
                          <a:custGeom>
                            <a:avLst/>
                            <a:gdLst>
                              <a:gd name="T0" fmla="*/ 1005 w 4245"/>
                              <a:gd name="T1" fmla="*/ 11332 h 98"/>
                              <a:gd name="T2" fmla="*/ 0 w 4245"/>
                              <a:gd name="T3" fmla="*/ 11332 h 98"/>
                              <a:gd name="T4" fmla="*/ 0 w 4245"/>
                              <a:gd name="T5" fmla="*/ 11340 h 98"/>
                              <a:gd name="T6" fmla="*/ 1005 w 4245"/>
                              <a:gd name="T7" fmla="*/ 11340 h 98"/>
                              <a:gd name="T8" fmla="*/ 1005 w 4245"/>
                              <a:gd name="T9" fmla="*/ 11332 h 98"/>
                              <a:gd name="T10" fmla="*/ 2625 w 4245"/>
                              <a:gd name="T11" fmla="*/ 11332 h 98"/>
                              <a:gd name="T12" fmla="*/ 1620 w 4245"/>
                              <a:gd name="T13" fmla="*/ 11332 h 98"/>
                              <a:gd name="T14" fmla="*/ 1620 w 4245"/>
                              <a:gd name="T15" fmla="*/ 11340 h 98"/>
                              <a:gd name="T16" fmla="*/ 2625 w 4245"/>
                              <a:gd name="T17" fmla="*/ 11340 h 98"/>
                              <a:gd name="T18" fmla="*/ 2625 w 4245"/>
                              <a:gd name="T19" fmla="*/ 11332 h 98"/>
                              <a:gd name="T20" fmla="*/ 4245 w 4245"/>
                              <a:gd name="T21" fmla="*/ 11242 h 98"/>
                              <a:gd name="T22" fmla="*/ 3255 w 4245"/>
                              <a:gd name="T23" fmla="*/ 11242 h 98"/>
                              <a:gd name="T24" fmla="*/ 3255 w 4245"/>
                              <a:gd name="T25" fmla="*/ 11332 h 98"/>
                              <a:gd name="T26" fmla="*/ 4245 w 4245"/>
                              <a:gd name="T27" fmla="*/ 11332 h 98"/>
                              <a:gd name="T28" fmla="*/ 4245 w 4245"/>
                              <a:gd name="T29" fmla="*/ 11242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45" h="98">
                                <a:moveTo>
                                  <a:pt x="1005" y="90"/>
                                </a:moveTo>
                                <a:lnTo>
                                  <a:pt x="0" y="90"/>
                                </a:lnTo>
                                <a:lnTo>
                                  <a:pt x="0" y="98"/>
                                </a:lnTo>
                                <a:lnTo>
                                  <a:pt x="1005" y="98"/>
                                </a:lnTo>
                                <a:lnTo>
                                  <a:pt x="1005" y="90"/>
                                </a:lnTo>
                                <a:close/>
                                <a:moveTo>
                                  <a:pt x="2625" y="90"/>
                                </a:moveTo>
                                <a:lnTo>
                                  <a:pt x="1620" y="90"/>
                                </a:lnTo>
                                <a:lnTo>
                                  <a:pt x="1620" y="98"/>
                                </a:lnTo>
                                <a:lnTo>
                                  <a:pt x="2625" y="98"/>
                                </a:lnTo>
                                <a:lnTo>
                                  <a:pt x="2625" y="90"/>
                                </a:lnTo>
                                <a:close/>
                                <a:moveTo>
                                  <a:pt x="4245" y="0"/>
                                </a:moveTo>
                                <a:lnTo>
                                  <a:pt x="3255" y="0"/>
                                </a:lnTo>
                                <a:lnTo>
                                  <a:pt x="3255" y="90"/>
                                </a:lnTo>
                                <a:lnTo>
                                  <a:pt x="4245" y="90"/>
                                </a:lnTo>
                                <a:lnTo>
                                  <a:pt x="4245" y="0"/>
                                </a:lnTo>
                                <a:close/>
                              </a:path>
                            </a:pathLst>
                          </a:custGeom>
                          <a:solidFill>
                            <a:srgbClr val="663AB6"/>
                          </a:solidFill>
                          <a:ln>
                            <a:noFill/>
                          </a:ln>
                          <a:effectLst/>
                        </wps:spPr>
                        <wps:bodyPr rot="0" vert="horz" wrap="square" lIns="91440" tIns="45720" rIns="91440" bIns="45720" anchor="t" anchorCtr="0" upright="1">
                          <a:noAutofit/>
                        </wps:bodyPr>
                      </wps:wsp>
                      <wps:wsp>
                        <wps:cNvPr id="2051880014" name="Rectangle 352"/>
                        <wps:cNvSpPr>
                          <a:spLocks noChangeArrowheads="1"/>
                        </wps:cNvSpPr>
                        <wps:spPr bwMode="auto">
                          <a:xfrm>
                            <a:off x="2070" y="1133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2057347906" name="AutoShape 351"/>
                        <wps:cNvSpPr/>
                        <wps:spPr bwMode="auto">
                          <a:xfrm>
                            <a:off x="2879" y="11062"/>
                            <a:ext cx="3270" cy="270"/>
                          </a:xfrm>
                          <a:custGeom>
                            <a:avLst/>
                            <a:gdLst>
                              <a:gd name="T0" fmla="*/ 15 w 3270"/>
                              <a:gd name="T1" fmla="*/ 11152 h 270"/>
                              <a:gd name="T2" fmla="*/ 0 w 3270"/>
                              <a:gd name="T3" fmla="*/ 11152 h 270"/>
                              <a:gd name="T4" fmla="*/ 0 w 3270"/>
                              <a:gd name="T5" fmla="*/ 11332 h 270"/>
                              <a:gd name="T6" fmla="*/ 15 w 3270"/>
                              <a:gd name="T7" fmla="*/ 11332 h 270"/>
                              <a:gd name="T8" fmla="*/ 15 w 3270"/>
                              <a:gd name="T9" fmla="*/ 11152 h 270"/>
                              <a:gd name="T10" fmla="*/ 1635 w 3270"/>
                              <a:gd name="T11" fmla="*/ 11152 h 270"/>
                              <a:gd name="T12" fmla="*/ 1620 w 3270"/>
                              <a:gd name="T13" fmla="*/ 11152 h 270"/>
                              <a:gd name="T14" fmla="*/ 1620 w 3270"/>
                              <a:gd name="T15" fmla="*/ 11332 h 270"/>
                              <a:gd name="T16" fmla="*/ 1635 w 3270"/>
                              <a:gd name="T17" fmla="*/ 11332 h 270"/>
                              <a:gd name="T18" fmla="*/ 1635 w 3270"/>
                              <a:gd name="T19" fmla="*/ 11152 h 270"/>
                              <a:gd name="T20" fmla="*/ 3270 w 3270"/>
                              <a:gd name="T21" fmla="*/ 11062 h 270"/>
                              <a:gd name="T22" fmla="*/ 3255 w 3270"/>
                              <a:gd name="T23" fmla="*/ 11062 h 270"/>
                              <a:gd name="T24" fmla="*/ 3255 w 3270"/>
                              <a:gd name="T25" fmla="*/ 11242 h 270"/>
                              <a:gd name="T26" fmla="*/ 3270 w 3270"/>
                              <a:gd name="T27" fmla="*/ 11242 h 270"/>
                              <a:gd name="T28" fmla="*/ 3270 w 3270"/>
                              <a:gd name="T29" fmla="*/ 11062 h 27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70" h="270">
                                <a:moveTo>
                                  <a:pt x="15" y="90"/>
                                </a:moveTo>
                                <a:lnTo>
                                  <a:pt x="0" y="90"/>
                                </a:lnTo>
                                <a:lnTo>
                                  <a:pt x="0" y="270"/>
                                </a:lnTo>
                                <a:lnTo>
                                  <a:pt x="15" y="270"/>
                                </a:lnTo>
                                <a:lnTo>
                                  <a:pt x="15" y="90"/>
                                </a:lnTo>
                                <a:close/>
                                <a:moveTo>
                                  <a:pt x="1635" y="90"/>
                                </a:moveTo>
                                <a:lnTo>
                                  <a:pt x="1620" y="90"/>
                                </a:lnTo>
                                <a:lnTo>
                                  <a:pt x="1620" y="270"/>
                                </a:lnTo>
                                <a:lnTo>
                                  <a:pt x="1635" y="270"/>
                                </a:lnTo>
                                <a:lnTo>
                                  <a:pt x="1635" y="90"/>
                                </a:lnTo>
                                <a:close/>
                                <a:moveTo>
                                  <a:pt x="3270" y="0"/>
                                </a:moveTo>
                                <a:lnTo>
                                  <a:pt x="3255" y="0"/>
                                </a:lnTo>
                                <a:lnTo>
                                  <a:pt x="3255" y="180"/>
                                </a:lnTo>
                                <a:lnTo>
                                  <a:pt x="3270" y="180"/>
                                </a:lnTo>
                                <a:lnTo>
                                  <a:pt x="3270" y="0"/>
                                </a:lnTo>
                                <a:close/>
                              </a:path>
                            </a:pathLst>
                          </a:custGeom>
                          <a:solidFill>
                            <a:srgbClr val="999999"/>
                          </a:solidFill>
                          <a:ln>
                            <a:noFill/>
                          </a:ln>
                          <a:effectLst/>
                        </wps:spPr>
                        <wps:bodyPr rot="0" vert="horz" wrap="square" lIns="91440" tIns="45720" rIns="91440" bIns="45720" anchor="t" anchorCtr="0" upright="1">
                          <a:noAutofit/>
                        </wps:bodyPr>
                      </wps:wsp>
                      <wps:wsp>
                        <wps:cNvPr id="1661725830" name="AutoShape 350"/>
                        <wps:cNvSpPr/>
                        <wps:spPr bwMode="auto">
                          <a:xfrm>
                            <a:off x="2622" y="10903"/>
                            <a:ext cx="3772" cy="259"/>
                          </a:xfrm>
                          <a:custGeom>
                            <a:avLst/>
                            <a:gdLst>
                              <a:gd name="T0" fmla="*/ 66 w 3772"/>
                              <a:gd name="T1" fmla="*/ 11002 h 259"/>
                              <a:gd name="T2" fmla="*/ 66 w 3772"/>
                              <a:gd name="T3" fmla="*/ 11119 h 259"/>
                              <a:gd name="T4" fmla="*/ 21 w 3772"/>
                              <a:gd name="T5" fmla="*/ 11097 h 259"/>
                              <a:gd name="T6" fmla="*/ 64 w 3772"/>
                              <a:gd name="T7" fmla="*/ 11026 h 259"/>
                              <a:gd name="T8" fmla="*/ 173 w 3772"/>
                              <a:gd name="T9" fmla="*/ 11145 h 259"/>
                              <a:gd name="T10" fmla="*/ 185 w 3772"/>
                              <a:gd name="T11" fmla="*/ 10994 h 259"/>
                              <a:gd name="T12" fmla="*/ 196 w 3772"/>
                              <a:gd name="T13" fmla="*/ 11163 h 259"/>
                              <a:gd name="T14" fmla="*/ 271 w 3772"/>
                              <a:gd name="T15" fmla="*/ 11000 h 259"/>
                              <a:gd name="T16" fmla="*/ 282 w 3772"/>
                              <a:gd name="T17" fmla="*/ 11114 h 259"/>
                              <a:gd name="T18" fmla="*/ 229 w 3772"/>
                              <a:gd name="T19" fmla="*/ 11088 h 259"/>
                              <a:gd name="T20" fmla="*/ 276 w 3772"/>
                              <a:gd name="T21" fmla="*/ 11035 h 259"/>
                              <a:gd name="T22" fmla="*/ 314 w 3772"/>
                              <a:gd name="T23" fmla="*/ 11018 h 259"/>
                              <a:gd name="T24" fmla="*/ 361 w 3772"/>
                              <a:gd name="T25" fmla="*/ 11053 h 259"/>
                              <a:gd name="T26" fmla="*/ 329 w 3772"/>
                              <a:gd name="T27" fmla="*/ 11013 h 259"/>
                              <a:gd name="T28" fmla="*/ 355 w 3772"/>
                              <a:gd name="T29" fmla="*/ 11027 h 259"/>
                              <a:gd name="T30" fmla="*/ 399 w 3772"/>
                              <a:gd name="T31" fmla="*/ 11078 h 259"/>
                              <a:gd name="T32" fmla="*/ 439 w 3772"/>
                              <a:gd name="T33" fmla="*/ 11127 h 259"/>
                              <a:gd name="T34" fmla="*/ 411 w 3772"/>
                              <a:gd name="T35" fmla="*/ 11087 h 259"/>
                              <a:gd name="T36" fmla="*/ 438 w 3772"/>
                              <a:gd name="T37" fmla="*/ 11087 h 259"/>
                              <a:gd name="T38" fmla="*/ 497 w 3772"/>
                              <a:gd name="T39" fmla="*/ 11045 h 259"/>
                              <a:gd name="T40" fmla="*/ 516 w 3772"/>
                              <a:gd name="T41" fmla="*/ 11068 h 259"/>
                              <a:gd name="T42" fmla="*/ 1628 w 3772"/>
                              <a:gd name="T43" fmla="*/ 11015 h 259"/>
                              <a:gd name="T44" fmla="*/ 1702 w 3772"/>
                              <a:gd name="T45" fmla="*/ 11031 h 259"/>
                              <a:gd name="T46" fmla="*/ 1640 w 3772"/>
                              <a:gd name="T47" fmla="*/ 11123 h 259"/>
                              <a:gd name="T48" fmla="*/ 1670 w 3772"/>
                              <a:gd name="T49" fmla="*/ 11114 h 259"/>
                              <a:gd name="T50" fmla="*/ 1655 w 3772"/>
                              <a:gd name="T51" fmla="*/ 11009 h 259"/>
                              <a:gd name="T52" fmla="*/ 1775 w 3772"/>
                              <a:gd name="T53" fmla="*/ 11090 h 259"/>
                              <a:gd name="T54" fmla="*/ 1799 w 3772"/>
                              <a:gd name="T55" fmla="*/ 11028 h 259"/>
                              <a:gd name="T56" fmla="*/ 1835 w 3772"/>
                              <a:gd name="T57" fmla="*/ 11025 h 259"/>
                              <a:gd name="T58" fmla="*/ 1910 w 3772"/>
                              <a:gd name="T59" fmla="*/ 11023 h 259"/>
                              <a:gd name="T60" fmla="*/ 1860 w 3772"/>
                              <a:gd name="T61" fmla="*/ 11127 h 259"/>
                              <a:gd name="T62" fmla="*/ 1872 w 3772"/>
                              <a:gd name="T63" fmla="*/ 11114 h 259"/>
                              <a:gd name="T64" fmla="*/ 1872 w 3772"/>
                              <a:gd name="T65" fmla="*/ 11009 h 259"/>
                              <a:gd name="T66" fmla="*/ 1961 w 3772"/>
                              <a:gd name="T67" fmla="*/ 10994 h 259"/>
                              <a:gd name="T68" fmla="*/ 1947 w 3772"/>
                              <a:gd name="T69" fmla="*/ 11059 h 259"/>
                              <a:gd name="T70" fmla="*/ 1951 w 3772"/>
                              <a:gd name="T71" fmla="*/ 11046 h 259"/>
                              <a:gd name="T72" fmla="*/ 1965 w 3772"/>
                              <a:gd name="T73" fmla="*/ 11005 h 259"/>
                              <a:gd name="T74" fmla="*/ 2052 w 3772"/>
                              <a:gd name="T75" fmla="*/ 11061 h 259"/>
                              <a:gd name="T76" fmla="*/ 2025 w 3772"/>
                              <a:gd name="T77" fmla="*/ 11121 h 259"/>
                              <a:gd name="T78" fmla="*/ 2037 w 3772"/>
                              <a:gd name="T79" fmla="*/ 11117 h 259"/>
                              <a:gd name="T80" fmla="*/ 2044 w 3772"/>
                              <a:gd name="T81" fmla="*/ 11072 h 259"/>
                              <a:gd name="T82" fmla="*/ 2101 w 3772"/>
                              <a:gd name="T83" fmla="*/ 11006 h 259"/>
                              <a:gd name="T84" fmla="*/ 2127 w 3772"/>
                              <a:gd name="T85" fmla="*/ 11124 h 259"/>
                              <a:gd name="T86" fmla="*/ 3310 w 3772"/>
                              <a:gd name="T87" fmla="*/ 11021 h 259"/>
                              <a:gd name="T88" fmla="*/ 3288 w 3772"/>
                              <a:gd name="T89" fmla="*/ 10960 h 259"/>
                              <a:gd name="T90" fmla="*/ 3302 w 3772"/>
                              <a:gd name="T91" fmla="*/ 10918 h 259"/>
                              <a:gd name="T92" fmla="*/ 3296 w 3772"/>
                              <a:gd name="T93" fmla="*/ 10905 h 259"/>
                              <a:gd name="T94" fmla="*/ 3322 w 3772"/>
                              <a:gd name="T95" fmla="*/ 10962 h 259"/>
                              <a:gd name="T96" fmla="*/ 3285 w 3772"/>
                              <a:gd name="T97" fmla="*/ 11037 h 259"/>
                              <a:gd name="T98" fmla="*/ 3409 w 3772"/>
                              <a:gd name="T99" fmla="*/ 10988 h 259"/>
                              <a:gd name="T100" fmla="*/ 3431 w 3772"/>
                              <a:gd name="T101" fmla="*/ 10946 h 259"/>
                              <a:gd name="T102" fmla="*/ 3519 w 3772"/>
                              <a:gd name="T103" fmla="*/ 10906 h 259"/>
                              <a:gd name="T104" fmla="*/ 3571 w 3772"/>
                              <a:gd name="T105" fmla="*/ 10920 h 259"/>
                              <a:gd name="T106" fmla="*/ 3610 w 3772"/>
                              <a:gd name="T107" fmla="*/ 10969 h 259"/>
                              <a:gd name="T108" fmla="*/ 3582 w 3772"/>
                              <a:gd name="T109" fmla="*/ 10929 h 259"/>
                              <a:gd name="T110" fmla="*/ 3610 w 3772"/>
                              <a:gd name="T111" fmla="*/ 10929 h 259"/>
                              <a:gd name="T112" fmla="*/ 3659 w 3772"/>
                              <a:gd name="T113" fmla="*/ 10981 h 259"/>
                              <a:gd name="T114" fmla="*/ 3687 w 3772"/>
                              <a:gd name="T115" fmla="*/ 11040 h 259"/>
                              <a:gd name="T116" fmla="*/ 3666 w 3772"/>
                              <a:gd name="T117" fmla="*/ 11006 h 259"/>
                              <a:gd name="T118" fmla="*/ 3692 w 3772"/>
                              <a:gd name="T119" fmla="*/ 10991 h 259"/>
                              <a:gd name="T120" fmla="*/ 3750 w 3772"/>
                              <a:gd name="T121" fmla="*/ 10947 h 259"/>
                              <a:gd name="T122" fmla="*/ 3772 w 3772"/>
                              <a:gd name="T123" fmla="*/ 10988 h 25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772" h="259">
                                <a:moveTo>
                                  <a:pt x="0" y="157"/>
                                </a:moveTo>
                                <a:lnTo>
                                  <a:pt x="0" y="142"/>
                                </a:lnTo>
                                <a:lnTo>
                                  <a:pt x="2" y="130"/>
                                </a:lnTo>
                                <a:lnTo>
                                  <a:pt x="5" y="121"/>
                                </a:lnTo>
                                <a:lnTo>
                                  <a:pt x="8" y="111"/>
                                </a:lnTo>
                                <a:lnTo>
                                  <a:pt x="13" y="104"/>
                                </a:lnTo>
                                <a:lnTo>
                                  <a:pt x="19" y="99"/>
                                </a:lnTo>
                                <a:lnTo>
                                  <a:pt x="25" y="94"/>
                                </a:lnTo>
                                <a:lnTo>
                                  <a:pt x="33" y="91"/>
                                </a:lnTo>
                                <a:lnTo>
                                  <a:pt x="42" y="91"/>
                                </a:lnTo>
                                <a:lnTo>
                                  <a:pt x="49" y="91"/>
                                </a:lnTo>
                                <a:lnTo>
                                  <a:pt x="55" y="93"/>
                                </a:lnTo>
                                <a:lnTo>
                                  <a:pt x="61" y="96"/>
                                </a:lnTo>
                                <a:lnTo>
                                  <a:pt x="66" y="98"/>
                                </a:lnTo>
                                <a:lnTo>
                                  <a:pt x="70" y="102"/>
                                </a:lnTo>
                                <a:lnTo>
                                  <a:pt x="74" y="108"/>
                                </a:lnTo>
                                <a:lnTo>
                                  <a:pt x="77" y="113"/>
                                </a:lnTo>
                                <a:lnTo>
                                  <a:pt x="80" y="119"/>
                                </a:lnTo>
                                <a:lnTo>
                                  <a:pt x="82" y="127"/>
                                </a:lnTo>
                                <a:lnTo>
                                  <a:pt x="83" y="134"/>
                                </a:lnTo>
                                <a:lnTo>
                                  <a:pt x="84" y="145"/>
                                </a:lnTo>
                                <a:lnTo>
                                  <a:pt x="84" y="157"/>
                                </a:lnTo>
                                <a:lnTo>
                                  <a:pt x="84" y="172"/>
                                </a:lnTo>
                                <a:lnTo>
                                  <a:pt x="83" y="185"/>
                                </a:lnTo>
                                <a:lnTo>
                                  <a:pt x="80" y="194"/>
                                </a:lnTo>
                                <a:lnTo>
                                  <a:pt x="77" y="203"/>
                                </a:lnTo>
                                <a:lnTo>
                                  <a:pt x="72" y="210"/>
                                </a:lnTo>
                                <a:lnTo>
                                  <a:pt x="66" y="215"/>
                                </a:lnTo>
                                <a:lnTo>
                                  <a:pt x="60" y="221"/>
                                </a:lnTo>
                                <a:lnTo>
                                  <a:pt x="52" y="223"/>
                                </a:lnTo>
                                <a:lnTo>
                                  <a:pt x="42" y="223"/>
                                </a:lnTo>
                                <a:lnTo>
                                  <a:pt x="30" y="223"/>
                                </a:lnTo>
                                <a:lnTo>
                                  <a:pt x="20" y="219"/>
                                </a:lnTo>
                                <a:lnTo>
                                  <a:pt x="13" y="210"/>
                                </a:lnTo>
                                <a:lnTo>
                                  <a:pt x="8" y="200"/>
                                </a:lnTo>
                                <a:lnTo>
                                  <a:pt x="4" y="189"/>
                                </a:lnTo>
                                <a:lnTo>
                                  <a:pt x="1" y="174"/>
                                </a:lnTo>
                                <a:lnTo>
                                  <a:pt x="0" y="157"/>
                                </a:lnTo>
                                <a:close/>
                                <a:moveTo>
                                  <a:pt x="17" y="157"/>
                                </a:moveTo>
                                <a:lnTo>
                                  <a:pt x="17" y="172"/>
                                </a:lnTo>
                                <a:lnTo>
                                  <a:pt x="19" y="184"/>
                                </a:lnTo>
                                <a:lnTo>
                                  <a:pt x="21" y="193"/>
                                </a:lnTo>
                                <a:lnTo>
                                  <a:pt x="24" y="200"/>
                                </a:lnTo>
                                <a:lnTo>
                                  <a:pt x="29" y="207"/>
                                </a:lnTo>
                                <a:lnTo>
                                  <a:pt x="35" y="210"/>
                                </a:lnTo>
                                <a:lnTo>
                                  <a:pt x="42" y="210"/>
                                </a:lnTo>
                                <a:lnTo>
                                  <a:pt x="50" y="210"/>
                                </a:lnTo>
                                <a:lnTo>
                                  <a:pt x="56" y="207"/>
                                </a:lnTo>
                                <a:lnTo>
                                  <a:pt x="61" y="200"/>
                                </a:lnTo>
                                <a:lnTo>
                                  <a:pt x="64" y="193"/>
                                </a:lnTo>
                                <a:lnTo>
                                  <a:pt x="66" y="184"/>
                                </a:lnTo>
                                <a:lnTo>
                                  <a:pt x="68" y="172"/>
                                </a:lnTo>
                                <a:lnTo>
                                  <a:pt x="68" y="157"/>
                                </a:lnTo>
                                <a:lnTo>
                                  <a:pt x="68" y="143"/>
                                </a:lnTo>
                                <a:lnTo>
                                  <a:pt x="66" y="131"/>
                                </a:lnTo>
                                <a:lnTo>
                                  <a:pt x="64" y="122"/>
                                </a:lnTo>
                                <a:lnTo>
                                  <a:pt x="61" y="115"/>
                                </a:lnTo>
                                <a:lnTo>
                                  <a:pt x="56" y="108"/>
                                </a:lnTo>
                                <a:lnTo>
                                  <a:pt x="50" y="105"/>
                                </a:lnTo>
                                <a:lnTo>
                                  <a:pt x="42" y="105"/>
                                </a:lnTo>
                                <a:lnTo>
                                  <a:pt x="35" y="105"/>
                                </a:lnTo>
                                <a:lnTo>
                                  <a:pt x="29" y="108"/>
                                </a:lnTo>
                                <a:lnTo>
                                  <a:pt x="25" y="114"/>
                                </a:lnTo>
                                <a:lnTo>
                                  <a:pt x="21" y="121"/>
                                </a:lnTo>
                                <a:lnTo>
                                  <a:pt x="19" y="131"/>
                                </a:lnTo>
                                <a:lnTo>
                                  <a:pt x="17" y="143"/>
                                </a:lnTo>
                                <a:lnTo>
                                  <a:pt x="17" y="157"/>
                                </a:lnTo>
                                <a:close/>
                                <a:moveTo>
                                  <a:pt x="185" y="259"/>
                                </a:moveTo>
                                <a:lnTo>
                                  <a:pt x="179" y="250"/>
                                </a:lnTo>
                                <a:lnTo>
                                  <a:pt x="173" y="241"/>
                                </a:lnTo>
                                <a:lnTo>
                                  <a:pt x="168" y="231"/>
                                </a:lnTo>
                                <a:lnTo>
                                  <a:pt x="163" y="220"/>
                                </a:lnTo>
                                <a:lnTo>
                                  <a:pt x="159" y="209"/>
                                </a:lnTo>
                                <a:lnTo>
                                  <a:pt x="156" y="198"/>
                                </a:lnTo>
                                <a:lnTo>
                                  <a:pt x="155" y="186"/>
                                </a:lnTo>
                                <a:lnTo>
                                  <a:pt x="154" y="174"/>
                                </a:lnTo>
                                <a:lnTo>
                                  <a:pt x="154" y="164"/>
                                </a:lnTo>
                                <a:lnTo>
                                  <a:pt x="156" y="154"/>
                                </a:lnTo>
                                <a:lnTo>
                                  <a:pt x="158" y="144"/>
                                </a:lnTo>
                                <a:lnTo>
                                  <a:pt x="161" y="134"/>
                                </a:lnTo>
                                <a:lnTo>
                                  <a:pt x="165" y="123"/>
                                </a:lnTo>
                                <a:lnTo>
                                  <a:pt x="171" y="112"/>
                                </a:lnTo>
                                <a:lnTo>
                                  <a:pt x="177" y="101"/>
                                </a:lnTo>
                                <a:lnTo>
                                  <a:pt x="185" y="90"/>
                                </a:lnTo>
                                <a:lnTo>
                                  <a:pt x="196" y="90"/>
                                </a:lnTo>
                                <a:lnTo>
                                  <a:pt x="189" y="102"/>
                                </a:lnTo>
                                <a:lnTo>
                                  <a:pt x="185" y="111"/>
                                </a:lnTo>
                                <a:lnTo>
                                  <a:pt x="182" y="116"/>
                                </a:lnTo>
                                <a:lnTo>
                                  <a:pt x="179" y="124"/>
                                </a:lnTo>
                                <a:lnTo>
                                  <a:pt x="176" y="132"/>
                                </a:lnTo>
                                <a:lnTo>
                                  <a:pt x="174" y="141"/>
                                </a:lnTo>
                                <a:lnTo>
                                  <a:pt x="171" y="152"/>
                                </a:lnTo>
                                <a:lnTo>
                                  <a:pt x="170" y="163"/>
                                </a:lnTo>
                                <a:lnTo>
                                  <a:pt x="170" y="174"/>
                                </a:lnTo>
                                <a:lnTo>
                                  <a:pt x="172" y="195"/>
                                </a:lnTo>
                                <a:lnTo>
                                  <a:pt x="177" y="217"/>
                                </a:lnTo>
                                <a:lnTo>
                                  <a:pt x="185" y="238"/>
                                </a:lnTo>
                                <a:lnTo>
                                  <a:pt x="196" y="259"/>
                                </a:lnTo>
                                <a:lnTo>
                                  <a:pt x="185" y="259"/>
                                </a:lnTo>
                                <a:close/>
                                <a:moveTo>
                                  <a:pt x="210" y="157"/>
                                </a:moveTo>
                                <a:lnTo>
                                  <a:pt x="210" y="142"/>
                                </a:lnTo>
                                <a:lnTo>
                                  <a:pt x="212" y="130"/>
                                </a:lnTo>
                                <a:lnTo>
                                  <a:pt x="215" y="121"/>
                                </a:lnTo>
                                <a:lnTo>
                                  <a:pt x="218" y="111"/>
                                </a:lnTo>
                                <a:lnTo>
                                  <a:pt x="223" y="104"/>
                                </a:lnTo>
                                <a:lnTo>
                                  <a:pt x="229" y="99"/>
                                </a:lnTo>
                                <a:lnTo>
                                  <a:pt x="235" y="94"/>
                                </a:lnTo>
                                <a:lnTo>
                                  <a:pt x="243" y="91"/>
                                </a:lnTo>
                                <a:lnTo>
                                  <a:pt x="252" y="91"/>
                                </a:lnTo>
                                <a:lnTo>
                                  <a:pt x="259" y="91"/>
                                </a:lnTo>
                                <a:lnTo>
                                  <a:pt x="265" y="93"/>
                                </a:lnTo>
                                <a:lnTo>
                                  <a:pt x="271" y="96"/>
                                </a:lnTo>
                                <a:lnTo>
                                  <a:pt x="276" y="98"/>
                                </a:lnTo>
                                <a:lnTo>
                                  <a:pt x="280" y="102"/>
                                </a:lnTo>
                                <a:lnTo>
                                  <a:pt x="284" y="108"/>
                                </a:lnTo>
                                <a:lnTo>
                                  <a:pt x="287" y="113"/>
                                </a:lnTo>
                                <a:lnTo>
                                  <a:pt x="290" y="119"/>
                                </a:lnTo>
                                <a:lnTo>
                                  <a:pt x="292" y="127"/>
                                </a:lnTo>
                                <a:lnTo>
                                  <a:pt x="294" y="134"/>
                                </a:lnTo>
                                <a:lnTo>
                                  <a:pt x="294" y="145"/>
                                </a:lnTo>
                                <a:lnTo>
                                  <a:pt x="294" y="157"/>
                                </a:lnTo>
                                <a:lnTo>
                                  <a:pt x="294" y="172"/>
                                </a:lnTo>
                                <a:lnTo>
                                  <a:pt x="293" y="185"/>
                                </a:lnTo>
                                <a:lnTo>
                                  <a:pt x="290" y="194"/>
                                </a:lnTo>
                                <a:lnTo>
                                  <a:pt x="287" y="203"/>
                                </a:lnTo>
                                <a:lnTo>
                                  <a:pt x="282" y="210"/>
                                </a:lnTo>
                                <a:lnTo>
                                  <a:pt x="276" y="215"/>
                                </a:lnTo>
                                <a:lnTo>
                                  <a:pt x="270" y="221"/>
                                </a:lnTo>
                                <a:lnTo>
                                  <a:pt x="262" y="223"/>
                                </a:lnTo>
                                <a:lnTo>
                                  <a:pt x="252" y="223"/>
                                </a:lnTo>
                                <a:lnTo>
                                  <a:pt x="240" y="223"/>
                                </a:lnTo>
                                <a:lnTo>
                                  <a:pt x="230" y="219"/>
                                </a:lnTo>
                                <a:lnTo>
                                  <a:pt x="223" y="210"/>
                                </a:lnTo>
                                <a:lnTo>
                                  <a:pt x="218" y="200"/>
                                </a:lnTo>
                                <a:lnTo>
                                  <a:pt x="214" y="189"/>
                                </a:lnTo>
                                <a:lnTo>
                                  <a:pt x="211" y="174"/>
                                </a:lnTo>
                                <a:lnTo>
                                  <a:pt x="210" y="157"/>
                                </a:lnTo>
                                <a:close/>
                                <a:moveTo>
                                  <a:pt x="227" y="157"/>
                                </a:moveTo>
                                <a:lnTo>
                                  <a:pt x="227" y="172"/>
                                </a:lnTo>
                                <a:lnTo>
                                  <a:pt x="229" y="184"/>
                                </a:lnTo>
                                <a:lnTo>
                                  <a:pt x="231" y="193"/>
                                </a:lnTo>
                                <a:lnTo>
                                  <a:pt x="234" y="200"/>
                                </a:lnTo>
                                <a:lnTo>
                                  <a:pt x="239" y="207"/>
                                </a:lnTo>
                                <a:lnTo>
                                  <a:pt x="245" y="210"/>
                                </a:lnTo>
                                <a:lnTo>
                                  <a:pt x="252" y="210"/>
                                </a:lnTo>
                                <a:lnTo>
                                  <a:pt x="260" y="210"/>
                                </a:lnTo>
                                <a:lnTo>
                                  <a:pt x="266" y="207"/>
                                </a:lnTo>
                                <a:lnTo>
                                  <a:pt x="271" y="200"/>
                                </a:lnTo>
                                <a:lnTo>
                                  <a:pt x="274" y="193"/>
                                </a:lnTo>
                                <a:lnTo>
                                  <a:pt x="276" y="184"/>
                                </a:lnTo>
                                <a:lnTo>
                                  <a:pt x="278" y="172"/>
                                </a:lnTo>
                                <a:lnTo>
                                  <a:pt x="278" y="157"/>
                                </a:lnTo>
                                <a:lnTo>
                                  <a:pt x="278" y="143"/>
                                </a:lnTo>
                                <a:lnTo>
                                  <a:pt x="276" y="131"/>
                                </a:lnTo>
                                <a:lnTo>
                                  <a:pt x="274" y="122"/>
                                </a:lnTo>
                                <a:lnTo>
                                  <a:pt x="271" y="115"/>
                                </a:lnTo>
                                <a:lnTo>
                                  <a:pt x="266" y="108"/>
                                </a:lnTo>
                                <a:lnTo>
                                  <a:pt x="260" y="105"/>
                                </a:lnTo>
                                <a:lnTo>
                                  <a:pt x="252" y="105"/>
                                </a:lnTo>
                                <a:lnTo>
                                  <a:pt x="245" y="105"/>
                                </a:lnTo>
                                <a:lnTo>
                                  <a:pt x="239" y="108"/>
                                </a:lnTo>
                                <a:lnTo>
                                  <a:pt x="235" y="114"/>
                                </a:lnTo>
                                <a:lnTo>
                                  <a:pt x="231" y="121"/>
                                </a:lnTo>
                                <a:lnTo>
                                  <a:pt x="229" y="131"/>
                                </a:lnTo>
                                <a:lnTo>
                                  <a:pt x="227" y="143"/>
                                </a:lnTo>
                                <a:lnTo>
                                  <a:pt x="227" y="157"/>
                                </a:lnTo>
                                <a:close/>
                                <a:moveTo>
                                  <a:pt x="314" y="123"/>
                                </a:moveTo>
                                <a:lnTo>
                                  <a:pt x="314" y="114"/>
                                </a:lnTo>
                                <a:lnTo>
                                  <a:pt x="316" y="106"/>
                                </a:lnTo>
                                <a:lnTo>
                                  <a:pt x="320" y="99"/>
                                </a:lnTo>
                                <a:lnTo>
                                  <a:pt x="325" y="93"/>
                                </a:lnTo>
                                <a:lnTo>
                                  <a:pt x="332" y="90"/>
                                </a:lnTo>
                                <a:lnTo>
                                  <a:pt x="341" y="90"/>
                                </a:lnTo>
                                <a:lnTo>
                                  <a:pt x="349" y="90"/>
                                </a:lnTo>
                                <a:lnTo>
                                  <a:pt x="355" y="93"/>
                                </a:lnTo>
                                <a:lnTo>
                                  <a:pt x="361" y="98"/>
                                </a:lnTo>
                                <a:lnTo>
                                  <a:pt x="366" y="104"/>
                                </a:lnTo>
                                <a:lnTo>
                                  <a:pt x="369" y="113"/>
                                </a:lnTo>
                                <a:lnTo>
                                  <a:pt x="369" y="124"/>
                                </a:lnTo>
                                <a:lnTo>
                                  <a:pt x="369" y="135"/>
                                </a:lnTo>
                                <a:lnTo>
                                  <a:pt x="366" y="143"/>
                                </a:lnTo>
                                <a:lnTo>
                                  <a:pt x="361" y="149"/>
                                </a:lnTo>
                                <a:lnTo>
                                  <a:pt x="355" y="155"/>
                                </a:lnTo>
                                <a:lnTo>
                                  <a:pt x="349" y="158"/>
                                </a:lnTo>
                                <a:lnTo>
                                  <a:pt x="341" y="158"/>
                                </a:lnTo>
                                <a:lnTo>
                                  <a:pt x="333" y="158"/>
                                </a:lnTo>
                                <a:lnTo>
                                  <a:pt x="327" y="155"/>
                                </a:lnTo>
                                <a:lnTo>
                                  <a:pt x="321" y="149"/>
                                </a:lnTo>
                                <a:lnTo>
                                  <a:pt x="316" y="143"/>
                                </a:lnTo>
                                <a:lnTo>
                                  <a:pt x="314" y="135"/>
                                </a:lnTo>
                                <a:lnTo>
                                  <a:pt x="314" y="123"/>
                                </a:lnTo>
                                <a:close/>
                                <a:moveTo>
                                  <a:pt x="341" y="101"/>
                                </a:moveTo>
                                <a:lnTo>
                                  <a:pt x="337" y="101"/>
                                </a:lnTo>
                                <a:lnTo>
                                  <a:pt x="334" y="102"/>
                                </a:lnTo>
                                <a:lnTo>
                                  <a:pt x="331" y="106"/>
                                </a:lnTo>
                                <a:lnTo>
                                  <a:pt x="329" y="109"/>
                                </a:lnTo>
                                <a:lnTo>
                                  <a:pt x="327" y="115"/>
                                </a:lnTo>
                                <a:lnTo>
                                  <a:pt x="327" y="125"/>
                                </a:lnTo>
                                <a:lnTo>
                                  <a:pt x="327" y="133"/>
                                </a:lnTo>
                                <a:lnTo>
                                  <a:pt x="329" y="139"/>
                                </a:lnTo>
                                <a:lnTo>
                                  <a:pt x="331" y="142"/>
                                </a:lnTo>
                                <a:lnTo>
                                  <a:pt x="334" y="145"/>
                                </a:lnTo>
                                <a:lnTo>
                                  <a:pt x="337" y="147"/>
                                </a:lnTo>
                                <a:lnTo>
                                  <a:pt x="341" y="147"/>
                                </a:lnTo>
                                <a:lnTo>
                                  <a:pt x="345" y="147"/>
                                </a:lnTo>
                                <a:lnTo>
                                  <a:pt x="348" y="145"/>
                                </a:lnTo>
                                <a:lnTo>
                                  <a:pt x="351" y="142"/>
                                </a:lnTo>
                                <a:lnTo>
                                  <a:pt x="354" y="139"/>
                                </a:lnTo>
                                <a:lnTo>
                                  <a:pt x="355" y="132"/>
                                </a:lnTo>
                                <a:lnTo>
                                  <a:pt x="355" y="123"/>
                                </a:lnTo>
                                <a:lnTo>
                                  <a:pt x="355" y="115"/>
                                </a:lnTo>
                                <a:lnTo>
                                  <a:pt x="354" y="109"/>
                                </a:lnTo>
                                <a:lnTo>
                                  <a:pt x="351" y="106"/>
                                </a:lnTo>
                                <a:lnTo>
                                  <a:pt x="348" y="102"/>
                                </a:lnTo>
                                <a:lnTo>
                                  <a:pt x="345" y="101"/>
                                </a:lnTo>
                                <a:lnTo>
                                  <a:pt x="341" y="101"/>
                                </a:lnTo>
                                <a:close/>
                                <a:moveTo>
                                  <a:pt x="341" y="226"/>
                                </a:moveTo>
                                <a:lnTo>
                                  <a:pt x="412" y="90"/>
                                </a:lnTo>
                                <a:lnTo>
                                  <a:pt x="424" y="90"/>
                                </a:lnTo>
                                <a:lnTo>
                                  <a:pt x="354" y="226"/>
                                </a:lnTo>
                                <a:lnTo>
                                  <a:pt x="341" y="226"/>
                                </a:lnTo>
                                <a:close/>
                                <a:moveTo>
                                  <a:pt x="397" y="191"/>
                                </a:moveTo>
                                <a:lnTo>
                                  <a:pt x="397" y="181"/>
                                </a:lnTo>
                                <a:lnTo>
                                  <a:pt x="399" y="174"/>
                                </a:lnTo>
                                <a:lnTo>
                                  <a:pt x="404" y="167"/>
                                </a:lnTo>
                                <a:lnTo>
                                  <a:pt x="408" y="161"/>
                                </a:lnTo>
                                <a:lnTo>
                                  <a:pt x="415" y="157"/>
                                </a:lnTo>
                                <a:lnTo>
                                  <a:pt x="424" y="157"/>
                                </a:lnTo>
                                <a:lnTo>
                                  <a:pt x="432" y="157"/>
                                </a:lnTo>
                                <a:lnTo>
                                  <a:pt x="439" y="160"/>
                                </a:lnTo>
                                <a:lnTo>
                                  <a:pt x="444" y="166"/>
                                </a:lnTo>
                                <a:lnTo>
                                  <a:pt x="449" y="172"/>
                                </a:lnTo>
                                <a:lnTo>
                                  <a:pt x="452" y="180"/>
                                </a:lnTo>
                                <a:lnTo>
                                  <a:pt x="452" y="192"/>
                                </a:lnTo>
                                <a:lnTo>
                                  <a:pt x="452" y="202"/>
                                </a:lnTo>
                                <a:lnTo>
                                  <a:pt x="449" y="211"/>
                                </a:lnTo>
                                <a:lnTo>
                                  <a:pt x="444" y="217"/>
                                </a:lnTo>
                                <a:lnTo>
                                  <a:pt x="439" y="223"/>
                                </a:lnTo>
                                <a:lnTo>
                                  <a:pt x="432" y="226"/>
                                </a:lnTo>
                                <a:lnTo>
                                  <a:pt x="424" y="226"/>
                                </a:lnTo>
                                <a:lnTo>
                                  <a:pt x="416" y="226"/>
                                </a:lnTo>
                                <a:lnTo>
                                  <a:pt x="410" y="223"/>
                                </a:lnTo>
                                <a:lnTo>
                                  <a:pt x="405" y="217"/>
                                </a:lnTo>
                                <a:lnTo>
                                  <a:pt x="399" y="211"/>
                                </a:lnTo>
                                <a:lnTo>
                                  <a:pt x="397" y="202"/>
                                </a:lnTo>
                                <a:lnTo>
                                  <a:pt x="397" y="191"/>
                                </a:lnTo>
                                <a:close/>
                                <a:moveTo>
                                  <a:pt x="424" y="168"/>
                                </a:moveTo>
                                <a:lnTo>
                                  <a:pt x="420" y="168"/>
                                </a:lnTo>
                                <a:lnTo>
                                  <a:pt x="417" y="170"/>
                                </a:lnTo>
                                <a:lnTo>
                                  <a:pt x="415" y="173"/>
                                </a:lnTo>
                                <a:lnTo>
                                  <a:pt x="412" y="177"/>
                                </a:lnTo>
                                <a:lnTo>
                                  <a:pt x="411" y="183"/>
                                </a:lnTo>
                                <a:lnTo>
                                  <a:pt x="411" y="192"/>
                                </a:lnTo>
                                <a:lnTo>
                                  <a:pt x="411" y="200"/>
                                </a:lnTo>
                                <a:lnTo>
                                  <a:pt x="412" y="206"/>
                                </a:lnTo>
                                <a:lnTo>
                                  <a:pt x="415" y="210"/>
                                </a:lnTo>
                                <a:lnTo>
                                  <a:pt x="417" y="213"/>
                                </a:lnTo>
                                <a:lnTo>
                                  <a:pt x="421" y="215"/>
                                </a:lnTo>
                                <a:lnTo>
                                  <a:pt x="424" y="215"/>
                                </a:lnTo>
                                <a:lnTo>
                                  <a:pt x="428" y="215"/>
                                </a:lnTo>
                                <a:lnTo>
                                  <a:pt x="432" y="213"/>
                                </a:lnTo>
                                <a:lnTo>
                                  <a:pt x="434" y="210"/>
                                </a:lnTo>
                                <a:lnTo>
                                  <a:pt x="437" y="206"/>
                                </a:lnTo>
                                <a:lnTo>
                                  <a:pt x="438" y="200"/>
                                </a:lnTo>
                                <a:lnTo>
                                  <a:pt x="438" y="191"/>
                                </a:lnTo>
                                <a:lnTo>
                                  <a:pt x="438" y="183"/>
                                </a:lnTo>
                                <a:lnTo>
                                  <a:pt x="437" y="177"/>
                                </a:lnTo>
                                <a:lnTo>
                                  <a:pt x="434" y="173"/>
                                </a:lnTo>
                                <a:lnTo>
                                  <a:pt x="432" y="170"/>
                                </a:lnTo>
                                <a:lnTo>
                                  <a:pt x="428" y="168"/>
                                </a:lnTo>
                                <a:lnTo>
                                  <a:pt x="424" y="168"/>
                                </a:lnTo>
                                <a:close/>
                                <a:moveTo>
                                  <a:pt x="485" y="259"/>
                                </a:moveTo>
                                <a:lnTo>
                                  <a:pt x="474" y="259"/>
                                </a:lnTo>
                                <a:lnTo>
                                  <a:pt x="486" y="238"/>
                                </a:lnTo>
                                <a:lnTo>
                                  <a:pt x="494" y="217"/>
                                </a:lnTo>
                                <a:lnTo>
                                  <a:pt x="499" y="195"/>
                                </a:lnTo>
                                <a:lnTo>
                                  <a:pt x="500" y="174"/>
                                </a:lnTo>
                                <a:lnTo>
                                  <a:pt x="500" y="163"/>
                                </a:lnTo>
                                <a:lnTo>
                                  <a:pt x="499" y="152"/>
                                </a:lnTo>
                                <a:lnTo>
                                  <a:pt x="497" y="141"/>
                                </a:lnTo>
                                <a:lnTo>
                                  <a:pt x="495" y="133"/>
                                </a:lnTo>
                                <a:lnTo>
                                  <a:pt x="492" y="124"/>
                                </a:lnTo>
                                <a:lnTo>
                                  <a:pt x="488" y="116"/>
                                </a:lnTo>
                                <a:lnTo>
                                  <a:pt x="486" y="111"/>
                                </a:lnTo>
                                <a:lnTo>
                                  <a:pt x="481" y="102"/>
                                </a:lnTo>
                                <a:lnTo>
                                  <a:pt x="474" y="90"/>
                                </a:lnTo>
                                <a:lnTo>
                                  <a:pt x="485" y="90"/>
                                </a:lnTo>
                                <a:lnTo>
                                  <a:pt x="493" y="101"/>
                                </a:lnTo>
                                <a:lnTo>
                                  <a:pt x="500" y="112"/>
                                </a:lnTo>
                                <a:lnTo>
                                  <a:pt x="505" y="123"/>
                                </a:lnTo>
                                <a:lnTo>
                                  <a:pt x="510" y="134"/>
                                </a:lnTo>
                                <a:lnTo>
                                  <a:pt x="513" y="144"/>
                                </a:lnTo>
                                <a:lnTo>
                                  <a:pt x="515" y="154"/>
                                </a:lnTo>
                                <a:lnTo>
                                  <a:pt x="516" y="164"/>
                                </a:lnTo>
                                <a:lnTo>
                                  <a:pt x="517" y="174"/>
                                </a:lnTo>
                                <a:lnTo>
                                  <a:pt x="516" y="186"/>
                                </a:lnTo>
                                <a:lnTo>
                                  <a:pt x="514" y="198"/>
                                </a:lnTo>
                                <a:lnTo>
                                  <a:pt x="511" y="209"/>
                                </a:lnTo>
                                <a:lnTo>
                                  <a:pt x="507" y="220"/>
                                </a:lnTo>
                                <a:lnTo>
                                  <a:pt x="503" y="231"/>
                                </a:lnTo>
                                <a:lnTo>
                                  <a:pt x="497" y="241"/>
                                </a:lnTo>
                                <a:lnTo>
                                  <a:pt x="492" y="250"/>
                                </a:lnTo>
                                <a:lnTo>
                                  <a:pt x="485" y="259"/>
                                </a:lnTo>
                                <a:close/>
                                <a:moveTo>
                                  <a:pt x="1620" y="157"/>
                                </a:moveTo>
                                <a:lnTo>
                                  <a:pt x="1620" y="142"/>
                                </a:lnTo>
                                <a:lnTo>
                                  <a:pt x="1622" y="130"/>
                                </a:lnTo>
                                <a:lnTo>
                                  <a:pt x="1625" y="121"/>
                                </a:lnTo>
                                <a:lnTo>
                                  <a:pt x="1628" y="111"/>
                                </a:lnTo>
                                <a:lnTo>
                                  <a:pt x="1633" y="104"/>
                                </a:lnTo>
                                <a:lnTo>
                                  <a:pt x="1639" y="99"/>
                                </a:lnTo>
                                <a:lnTo>
                                  <a:pt x="1645" y="94"/>
                                </a:lnTo>
                                <a:lnTo>
                                  <a:pt x="1653" y="91"/>
                                </a:lnTo>
                                <a:lnTo>
                                  <a:pt x="1662" y="91"/>
                                </a:lnTo>
                                <a:lnTo>
                                  <a:pt x="1669" y="91"/>
                                </a:lnTo>
                                <a:lnTo>
                                  <a:pt x="1675" y="93"/>
                                </a:lnTo>
                                <a:lnTo>
                                  <a:pt x="1681" y="96"/>
                                </a:lnTo>
                                <a:lnTo>
                                  <a:pt x="1686" y="98"/>
                                </a:lnTo>
                                <a:lnTo>
                                  <a:pt x="1690" y="102"/>
                                </a:lnTo>
                                <a:lnTo>
                                  <a:pt x="1694" y="108"/>
                                </a:lnTo>
                                <a:lnTo>
                                  <a:pt x="1697" y="113"/>
                                </a:lnTo>
                                <a:lnTo>
                                  <a:pt x="1700" y="119"/>
                                </a:lnTo>
                                <a:lnTo>
                                  <a:pt x="1702" y="127"/>
                                </a:lnTo>
                                <a:lnTo>
                                  <a:pt x="1703" y="134"/>
                                </a:lnTo>
                                <a:lnTo>
                                  <a:pt x="1704" y="145"/>
                                </a:lnTo>
                                <a:lnTo>
                                  <a:pt x="1704" y="157"/>
                                </a:lnTo>
                                <a:lnTo>
                                  <a:pt x="1704" y="172"/>
                                </a:lnTo>
                                <a:lnTo>
                                  <a:pt x="1703" y="185"/>
                                </a:lnTo>
                                <a:lnTo>
                                  <a:pt x="1700" y="194"/>
                                </a:lnTo>
                                <a:lnTo>
                                  <a:pt x="1697" y="203"/>
                                </a:lnTo>
                                <a:lnTo>
                                  <a:pt x="1692" y="210"/>
                                </a:lnTo>
                                <a:lnTo>
                                  <a:pt x="1686" y="215"/>
                                </a:lnTo>
                                <a:lnTo>
                                  <a:pt x="1680" y="221"/>
                                </a:lnTo>
                                <a:lnTo>
                                  <a:pt x="1672" y="223"/>
                                </a:lnTo>
                                <a:lnTo>
                                  <a:pt x="1662" y="223"/>
                                </a:lnTo>
                                <a:lnTo>
                                  <a:pt x="1650" y="223"/>
                                </a:lnTo>
                                <a:lnTo>
                                  <a:pt x="1640" y="219"/>
                                </a:lnTo>
                                <a:lnTo>
                                  <a:pt x="1633" y="210"/>
                                </a:lnTo>
                                <a:lnTo>
                                  <a:pt x="1628" y="200"/>
                                </a:lnTo>
                                <a:lnTo>
                                  <a:pt x="1624" y="189"/>
                                </a:lnTo>
                                <a:lnTo>
                                  <a:pt x="1621" y="174"/>
                                </a:lnTo>
                                <a:lnTo>
                                  <a:pt x="1620" y="157"/>
                                </a:lnTo>
                                <a:close/>
                                <a:moveTo>
                                  <a:pt x="1637" y="157"/>
                                </a:moveTo>
                                <a:lnTo>
                                  <a:pt x="1637" y="172"/>
                                </a:lnTo>
                                <a:lnTo>
                                  <a:pt x="1639" y="184"/>
                                </a:lnTo>
                                <a:lnTo>
                                  <a:pt x="1641" y="193"/>
                                </a:lnTo>
                                <a:lnTo>
                                  <a:pt x="1644" y="200"/>
                                </a:lnTo>
                                <a:lnTo>
                                  <a:pt x="1649" y="207"/>
                                </a:lnTo>
                                <a:lnTo>
                                  <a:pt x="1655" y="210"/>
                                </a:lnTo>
                                <a:lnTo>
                                  <a:pt x="1662" y="210"/>
                                </a:lnTo>
                                <a:lnTo>
                                  <a:pt x="1670" y="210"/>
                                </a:lnTo>
                                <a:lnTo>
                                  <a:pt x="1676" y="207"/>
                                </a:lnTo>
                                <a:lnTo>
                                  <a:pt x="1681" y="200"/>
                                </a:lnTo>
                                <a:lnTo>
                                  <a:pt x="1684" y="193"/>
                                </a:lnTo>
                                <a:lnTo>
                                  <a:pt x="1686" y="184"/>
                                </a:lnTo>
                                <a:lnTo>
                                  <a:pt x="1688" y="172"/>
                                </a:lnTo>
                                <a:lnTo>
                                  <a:pt x="1688" y="157"/>
                                </a:lnTo>
                                <a:lnTo>
                                  <a:pt x="1688" y="143"/>
                                </a:lnTo>
                                <a:lnTo>
                                  <a:pt x="1686" y="131"/>
                                </a:lnTo>
                                <a:lnTo>
                                  <a:pt x="1684" y="122"/>
                                </a:lnTo>
                                <a:lnTo>
                                  <a:pt x="1681" y="115"/>
                                </a:lnTo>
                                <a:lnTo>
                                  <a:pt x="1676" y="108"/>
                                </a:lnTo>
                                <a:lnTo>
                                  <a:pt x="1670" y="105"/>
                                </a:lnTo>
                                <a:lnTo>
                                  <a:pt x="1662" y="105"/>
                                </a:lnTo>
                                <a:lnTo>
                                  <a:pt x="1655" y="105"/>
                                </a:lnTo>
                                <a:lnTo>
                                  <a:pt x="1649" y="108"/>
                                </a:lnTo>
                                <a:lnTo>
                                  <a:pt x="1645" y="114"/>
                                </a:lnTo>
                                <a:lnTo>
                                  <a:pt x="1641" y="121"/>
                                </a:lnTo>
                                <a:lnTo>
                                  <a:pt x="1639" y="131"/>
                                </a:lnTo>
                                <a:lnTo>
                                  <a:pt x="1637" y="143"/>
                                </a:lnTo>
                                <a:lnTo>
                                  <a:pt x="1637" y="157"/>
                                </a:lnTo>
                                <a:close/>
                                <a:moveTo>
                                  <a:pt x="1805" y="259"/>
                                </a:moveTo>
                                <a:lnTo>
                                  <a:pt x="1799" y="250"/>
                                </a:lnTo>
                                <a:lnTo>
                                  <a:pt x="1793" y="241"/>
                                </a:lnTo>
                                <a:lnTo>
                                  <a:pt x="1788" y="231"/>
                                </a:lnTo>
                                <a:lnTo>
                                  <a:pt x="1783" y="220"/>
                                </a:lnTo>
                                <a:lnTo>
                                  <a:pt x="1779" y="209"/>
                                </a:lnTo>
                                <a:lnTo>
                                  <a:pt x="1776" y="198"/>
                                </a:lnTo>
                                <a:lnTo>
                                  <a:pt x="1775" y="186"/>
                                </a:lnTo>
                                <a:lnTo>
                                  <a:pt x="1774" y="174"/>
                                </a:lnTo>
                                <a:lnTo>
                                  <a:pt x="1774" y="164"/>
                                </a:lnTo>
                                <a:lnTo>
                                  <a:pt x="1776" y="154"/>
                                </a:lnTo>
                                <a:lnTo>
                                  <a:pt x="1778" y="144"/>
                                </a:lnTo>
                                <a:lnTo>
                                  <a:pt x="1781" y="134"/>
                                </a:lnTo>
                                <a:lnTo>
                                  <a:pt x="1785" y="123"/>
                                </a:lnTo>
                                <a:lnTo>
                                  <a:pt x="1791" y="112"/>
                                </a:lnTo>
                                <a:lnTo>
                                  <a:pt x="1797" y="101"/>
                                </a:lnTo>
                                <a:lnTo>
                                  <a:pt x="1805" y="90"/>
                                </a:lnTo>
                                <a:lnTo>
                                  <a:pt x="1816" y="90"/>
                                </a:lnTo>
                                <a:lnTo>
                                  <a:pt x="1809" y="102"/>
                                </a:lnTo>
                                <a:lnTo>
                                  <a:pt x="1805" y="111"/>
                                </a:lnTo>
                                <a:lnTo>
                                  <a:pt x="1802" y="116"/>
                                </a:lnTo>
                                <a:lnTo>
                                  <a:pt x="1799" y="124"/>
                                </a:lnTo>
                                <a:lnTo>
                                  <a:pt x="1796" y="132"/>
                                </a:lnTo>
                                <a:lnTo>
                                  <a:pt x="1794" y="141"/>
                                </a:lnTo>
                                <a:lnTo>
                                  <a:pt x="1791" y="152"/>
                                </a:lnTo>
                                <a:lnTo>
                                  <a:pt x="1790" y="163"/>
                                </a:lnTo>
                                <a:lnTo>
                                  <a:pt x="1790" y="174"/>
                                </a:lnTo>
                                <a:lnTo>
                                  <a:pt x="1792" y="195"/>
                                </a:lnTo>
                                <a:lnTo>
                                  <a:pt x="1797" y="217"/>
                                </a:lnTo>
                                <a:lnTo>
                                  <a:pt x="1805" y="238"/>
                                </a:lnTo>
                                <a:lnTo>
                                  <a:pt x="1816" y="259"/>
                                </a:lnTo>
                                <a:lnTo>
                                  <a:pt x="1805" y="259"/>
                                </a:lnTo>
                                <a:close/>
                                <a:moveTo>
                                  <a:pt x="1830" y="157"/>
                                </a:moveTo>
                                <a:lnTo>
                                  <a:pt x="1830" y="142"/>
                                </a:lnTo>
                                <a:lnTo>
                                  <a:pt x="1832" y="130"/>
                                </a:lnTo>
                                <a:lnTo>
                                  <a:pt x="1835" y="121"/>
                                </a:lnTo>
                                <a:lnTo>
                                  <a:pt x="1838" y="111"/>
                                </a:lnTo>
                                <a:lnTo>
                                  <a:pt x="1843" y="104"/>
                                </a:lnTo>
                                <a:lnTo>
                                  <a:pt x="1849" y="99"/>
                                </a:lnTo>
                                <a:lnTo>
                                  <a:pt x="1855" y="94"/>
                                </a:lnTo>
                                <a:lnTo>
                                  <a:pt x="1863" y="91"/>
                                </a:lnTo>
                                <a:lnTo>
                                  <a:pt x="1872" y="91"/>
                                </a:lnTo>
                                <a:lnTo>
                                  <a:pt x="1879" y="91"/>
                                </a:lnTo>
                                <a:lnTo>
                                  <a:pt x="1885" y="93"/>
                                </a:lnTo>
                                <a:lnTo>
                                  <a:pt x="1891" y="96"/>
                                </a:lnTo>
                                <a:lnTo>
                                  <a:pt x="1896" y="98"/>
                                </a:lnTo>
                                <a:lnTo>
                                  <a:pt x="1900" y="102"/>
                                </a:lnTo>
                                <a:lnTo>
                                  <a:pt x="1904" y="108"/>
                                </a:lnTo>
                                <a:lnTo>
                                  <a:pt x="1907" y="113"/>
                                </a:lnTo>
                                <a:lnTo>
                                  <a:pt x="1910" y="119"/>
                                </a:lnTo>
                                <a:lnTo>
                                  <a:pt x="1912" y="127"/>
                                </a:lnTo>
                                <a:lnTo>
                                  <a:pt x="1914" y="134"/>
                                </a:lnTo>
                                <a:lnTo>
                                  <a:pt x="1914" y="145"/>
                                </a:lnTo>
                                <a:lnTo>
                                  <a:pt x="1914" y="157"/>
                                </a:lnTo>
                                <a:lnTo>
                                  <a:pt x="1914" y="172"/>
                                </a:lnTo>
                                <a:lnTo>
                                  <a:pt x="1913" y="185"/>
                                </a:lnTo>
                                <a:lnTo>
                                  <a:pt x="1910" y="194"/>
                                </a:lnTo>
                                <a:lnTo>
                                  <a:pt x="1907" y="203"/>
                                </a:lnTo>
                                <a:lnTo>
                                  <a:pt x="1902" y="210"/>
                                </a:lnTo>
                                <a:lnTo>
                                  <a:pt x="1896" y="215"/>
                                </a:lnTo>
                                <a:lnTo>
                                  <a:pt x="1890" y="221"/>
                                </a:lnTo>
                                <a:lnTo>
                                  <a:pt x="1882" y="223"/>
                                </a:lnTo>
                                <a:lnTo>
                                  <a:pt x="1872" y="223"/>
                                </a:lnTo>
                                <a:lnTo>
                                  <a:pt x="1860" y="223"/>
                                </a:lnTo>
                                <a:lnTo>
                                  <a:pt x="1850" y="219"/>
                                </a:lnTo>
                                <a:lnTo>
                                  <a:pt x="1843" y="210"/>
                                </a:lnTo>
                                <a:lnTo>
                                  <a:pt x="1838" y="200"/>
                                </a:lnTo>
                                <a:lnTo>
                                  <a:pt x="1834" y="189"/>
                                </a:lnTo>
                                <a:lnTo>
                                  <a:pt x="1831" y="174"/>
                                </a:lnTo>
                                <a:lnTo>
                                  <a:pt x="1830" y="157"/>
                                </a:lnTo>
                                <a:close/>
                                <a:moveTo>
                                  <a:pt x="1847" y="157"/>
                                </a:moveTo>
                                <a:lnTo>
                                  <a:pt x="1847" y="172"/>
                                </a:lnTo>
                                <a:lnTo>
                                  <a:pt x="1849" y="184"/>
                                </a:lnTo>
                                <a:lnTo>
                                  <a:pt x="1851" y="193"/>
                                </a:lnTo>
                                <a:lnTo>
                                  <a:pt x="1854" y="200"/>
                                </a:lnTo>
                                <a:lnTo>
                                  <a:pt x="1859" y="207"/>
                                </a:lnTo>
                                <a:lnTo>
                                  <a:pt x="1865" y="210"/>
                                </a:lnTo>
                                <a:lnTo>
                                  <a:pt x="1872" y="210"/>
                                </a:lnTo>
                                <a:lnTo>
                                  <a:pt x="1880" y="210"/>
                                </a:lnTo>
                                <a:lnTo>
                                  <a:pt x="1886" y="207"/>
                                </a:lnTo>
                                <a:lnTo>
                                  <a:pt x="1891" y="200"/>
                                </a:lnTo>
                                <a:lnTo>
                                  <a:pt x="1894" y="193"/>
                                </a:lnTo>
                                <a:lnTo>
                                  <a:pt x="1896" y="184"/>
                                </a:lnTo>
                                <a:lnTo>
                                  <a:pt x="1898" y="172"/>
                                </a:lnTo>
                                <a:lnTo>
                                  <a:pt x="1898" y="157"/>
                                </a:lnTo>
                                <a:lnTo>
                                  <a:pt x="1898" y="143"/>
                                </a:lnTo>
                                <a:lnTo>
                                  <a:pt x="1896" y="131"/>
                                </a:lnTo>
                                <a:lnTo>
                                  <a:pt x="1894" y="122"/>
                                </a:lnTo>
                                <a:lnTo>
                                  <a:pt x="1891" y="115"/>
                                </a:lnTo>
                                <a:lnTo>
                                  <a:pt x="1886" y="108"/>
                                </a:lnTo>
                                <a:lnTo>
                                  <a:pt x="1880" y="105"/>
                                </a:lnTo>
                                <a:lnTo>
                                  <a:pt x="1872" y="105"/>
                                </a:lnTo>
                                <a:lnTo>
                                  <a:pt x="1865" y="105"/>
                                </a:lnTo>
                                <a:lnTo>
                                  <a:pt x="1859" y="108"/>
                                </a:lnTo>
                                <a:lnTo>
                                  <a:pt x="1855" y="114"/>
                                </a:lnTo>
                                <a:lnTo>
                                  <a:pt x="1851" y="121"/>
                                </a:lnTo>
                                <a:lnTo>
                                  <a:pt x="1849" y="131"/>
                                </a:lnTo>
                                <a:lnTo>
                                  <a:pt x="1847" y="143"/>
                                </a:lnTo>
                                <a:lnTo>
                                  <a:pt x="1847" y="157"/>
                                </a:lnTo>
                                <a:close/>
                                <a:moveTo>
                                  <a:pt x="1934" y="123"/>
                                </a:moveTo>
                                <a:lnTo>
                                  <a:pt x="1934" y="114"/>
                                </a:lnTo>
                                <a:lnTo>
                                  <a:pt x="1936" y="106"/>
                                </a:lnTo>
                                <a:lnTo>
                                  <a:pt x="1940" y="99"/>
                                </a:lnTo>
                                <a:lnTo>
                                  <a:pt x="1945" y="93"/>
                                </a:lnTo>
                                <a:lnTo>
                                  <a:pt x="1952" y="90"/>
                                </a:lnTo>
                                <a:lnTo>
                                  <a:pt x="1961" y="90"/>
                                </a:lnTo>
                                <a:lnTo>
                                  <a:pt x="1969" y="90"/>
                                </a:lnTo>
                                <a:lnTo>
                                  <a:pt x="1975" y="93"/>
                                </a:lnTo>
                                <a:lnTo>
                                  <a:pt x="1981" y="98"/>
                                </a:lnTo>
                                <a:lnTo>
                                  <a:pt x="1986" y="104"/>
                                </a:lnTo>
                                <a:lnTo>
                                  <a:pt x="1989" y="113"/>
                                </a:lnTo>
                                <a:lnTo>
                                  <a:pt x="1989" y="124"/>
                                </a:lnTo>
                                <a:lnTo>
                                  <a:pt x="1989" y="135"/>
                                </a:lnTo>
                                <a:lnTo>
                                  <a:pt x="1986" y="143"/>
                                </a:lnTo>
                                <a:lnTo>
                                  <a:pt x="1981" y="149"/>
                                </a:lnTo>
                                <a:lnTo>
                                  <a:pt x="1975" y="155"/>
                                </a:lnTo>
                                <a:lnTo>
                                  <a:pt x="1969" y="158"/>
                                </a:lnTo>
                                <a:lnTo>
                                  <a:pt x="1961" y="158"/>
                                </a:lnTo>
                                <a:lnTo>
                                  <a:pt x="1953" y="158"/>
                                </a:lnTo>
                                <a:lnTo>
                                  <a:pt x="1947" y="155"/>
                                </a:lnTo>
                                <a:lnTo>
                                  <a:pt x="1941" y="149"/>
                                </a:lnTo>
                                <a:lnTo>
                                  <a:pt x="1936" y="143"/>
                                </a:lnTo>
                                <a:lnTo>
                                  <a:pt x="1934" y="135"/>
                                </a:lnTo>
                                <a:lnTo>
                                  <a:pt x="1934" y="123"/>
                                </a:lnTo>
                                <a:close/>
                                <a:moveTo>
                                  <a:pt x="1961" y="101"/>
                                </a:moveTo>
                                <a:lnTo>
                                  <a:pt x="1957" y="101"/>
                                </a:lnTo>
                                <a:lnTo>
                                  <a:pt x="1954" y="102"/>
                                </a:lnTo>
                                <a:lnTo>
                                  <a:pt x="1951" y="106"/>
                                </a:lnTo>
                                <a:lnTo>
                                  <a:pt x="1949" y="109"/>
                                </a:lnTo>
                                <a:lnTo>
                                  <a:pt x="1947" y="115"/>
                                </a:lnTo>
                                <a:lnTo>
                                  <a:pt x="1947" y="125"/>
                                </a:lnTo>
                                <a:lnTo>
                                  <a:pt x="1947" y="133"/>
                                </a:lnTo>
                                <a:lnTo>
                                  <a:pt x="1949" y="139"/>
                                </a:lnTo>
                                <a:lnTo>
                                  <a:pt x="1951" y="142"/>
                                </a:lnTo>
                                <a:lnTo>
                                  <a:pt x="1954" y="145"/>
                                </a:lnTo>
                                <a:lnTo>
                                  <a:pt x="1957" y="147"/>
                                </a:lnTo>
                                <a:lnTo>
                                  <a:pt x="1961" y="147"/>
                                </a:lnTo>
                                <a:lnTo>
                                  <a:pt x="1965" y="147"/>
                                </a:lnTo>
                                <a:lnTo>
                                  <a:pt x="1968" y="145"/>
                                </a:lnTo>
                                <a:lnTo>
                                  <a:pt x="1971" y="142"/>
                                </a:lnTo>
                                <a:lnTo>
                                  <a:pt x="1974" y="139"/>
                                </a:lnTo>
                                <a:lnTo>
                                  <a:pt x="1975" y="132"/>
                                </a:lnTo>
                                <a:lnTo>
                                  <a:pt x="1975" y="123"/>
                                </a:lnTo>
                                <a:lnTo>
                                  <a:pt x="1975" y="115"/>
                                </a:lnTo>
                                <a:lnTo>
                                  <a:pt x="1974" y="109"/>
                                </a:lnTo>
                                <a:lnTo>
                                  <a:pt x="1971" y="106"/>
                                </a:lnTo>
                                <a:lnTo>
                                  <a:pt x="1968" y="102"/>
                                </a:lnTo>
                                <a:lnTo>
                                  <a:pt x="1965" y="101"/>
                                </a:lnTo>
                                <a:lnTo>
                                  <a:pt x="1961" y="101"/>
                                </a:lnTo>
                                <a:close/>
                                <a:moveTo>
                                  <a:pt x="1961" y="226"/>
                                </a:moveTo>
                                <a:lnTo>
                                  <a:pt x="2032" y="90"/>
                                </a:lnTo>
                                <a:lnTo>
                                  <a:pt x="2044" y="90"/>
                                </a:lnTo>
                                <a:lnTo>
                                  <a:pt x="1974" y="226"/>
                                </a:lnTo>
                                <a:lnTo>
                                  <a:pt x="1961" y="226"/>
                                </a:lnTo>
                                <a:close/>
                                <a:moveTo>
                                  <a:pt x="2017" y="191"/>
                                </a:moveTo>
                                <a:lnTo>
                                  <a:pt x="2017" y="181"/>
                                </a:lnTo>
                                <a:lnTo>
                                  <a:pt x="2019" y="174"/>
                                </a:lnTo>
                                <a:lnTo>
                                  <a:pt x="2024" y="167"/>
                                </a:lnTo>
                                <a:lnTo>
                                  <a:pt x="2028" y="161"/>
                                </a:lnTo>
                                <a:lnTo>
                                  <a:pt x="2035" y="157"/>
                                </a:lnTo>
                                <a:lnTo>
                                  <a:pt x="2044" y="157"/>
                                </a:lnTo>
                                <a:lnTo>
                                  <a:pt x="2052" y="157"/>
                                </a:lnTo>
                                <a:lnTo>
                                  <a:pt x="2059" y="160"/>
                                </a:lnTo>
                                <a:lnTo>
                                  <a:pt x="2064" y="166"/>
                                </a:lnTo>
                                <a:lnTo>
                                  <a:pt x="2069" y="172"/>
                                </a:lnTo>
                                <a:lnTo>
                                  <a:pt x="2072" y="180"/>
                                </a:lnTo>
                                <a:lnTo>
                                  <a:pt x="2072" y="192"/>
                                </a:lnTo>
                                <a:lnTo>
                                  <a:pt x="2072" y="202"/>
                                </a:lnTo>
                                <a:lnTo>
                                  <a:pt x="2069" y="211"/>
                                </a:lnTo>
                                <a:lnTo>
                                  <a:pt x="2064" y="217"/>
                                </a:lnTo>
                                <a:lnTo>
                                  <a:pt x="2059" y="223"/>
                                </a:lnTo>
                                <a:lnTo>
                                  <a:pt x="2052" y="226"/>
                                </a:lnTo>
                                <a:lnTo>
                                  <a:pt x="2044" y="226"/>
                                </a:lnTo>
                                <a:lnTo>
                                  <a:pt x="2036" y="226"/>
                                </a:lnTo>
                                <a:lnTo>
                                  <a:pt x="2030" y="223"/>
                                </a:lnTo>
                                <a:lnTo>
                                  <a:pt x="2025" y="217"/>
                                </a:lnTo>
                                <a:lnTo>
                                  <a:pt x="2019" y="211"/>
                                </a:lnTo>
                                <a:lnTo>
                                  <a:pt x="2017" y="202"/>
                                </a:lnTo>
                                <a:lnTo>
                                  <a:pt x="2017" y="191"/>
                                </a:lnTo>
                                <a:close/>
                                <a:moveTo>
                                  <a:pt x="2044" y="168"/>
                                </a:moveTo>
                                <a:lnTo>
                                  <a:pt x="2040" y="168"/>
                                </a:lnTo>
                                <a:lnTo>
                                  <a:pt x="2037" y="170"/>
                                </a:lnTo>
                                <a:lnTo>
                                  <a:pt x="2035" y="173"/>
                                </a:lnTo>
                                <a:lnTo>
                                  <a:pt x="2032" y="177"/>
                                </a:lnTo>
                                <a:lnTo>
                                  <a:pt x="2031" y="183"/>
                                </a:lnTo>
                                <a:lnTo>
                                  <a:pt x="2031" y="192"/>
                                </a:lnTo>
                                <a:lnTo>
                                  <a:pt x="2031" y="200"/>
                                </a:lnTo>
                                <a:lnTo>
                                  <a:pt x="2032" y="206"/>
                                </a:lnTo>
                                <a:lnTo>
                                  <a:pt x="2035" y="210"/>
                                </a:lnTo>
                                <a:lnTo>
                                  <a:pt x="2037" y="213"/>
                                </a:lnTo>
                                <a:lnTo>
                                  <a:pt x="2041" y="215"/>
                                </a:lnTo>
                                <a:lnTo>
                                  <a:pt x="2044" y="215"/>
                                </a:lnTo>
                                <a:lnTo>
                                  <a:pt x="2048" y="215"/>
                                </a:lnTo>
                                <a:lnTo>
                                  <a:pt x="2052" y="213"/>
                                </a:lnTo>
                                <a:lnTo>
                                  <a:pt x="2054" y="210"/>
                                </a:lnTo>
                                <a:lnTo>
                                  <a:pt x="2057" y="206"/>
                                </a:lnTo>
                                <a:lnTo>
                                  <a:pt x="2058" y="200"/>
                                </a:lnTo>
                                <a:lnTo>
                                  <a:pt x="2058" y="191"/>
                                </a:lnTo>
                                <a:lnTo>
                                  <a:pt x="2058" y="183"/>
                                </a:lnTo>
                                <a:lnTo>
                                  <a:pt x="2057" y="177"/>
                                </a:lnTo>
                                <a:lnTo>
                                  <a:pt x="2054" y="173"/>
                                </a:lnTo>
                                <a:lnTo>
                                  <a:pt x="2052" y="170"/>
                                </a:lnTo>
                                <a:lnTo>
                                  <a:pt x="2048" y="168"/>
                                </a:lnTo>
                                <a:lnTo>
                                  <a:pt x="2044" y="168"/>
                                </a:lnTo>
                                <a:close/>
                                <a:moveTo>
                                  <a:pt x="2105" y="259"/>
                                </a:moveTo>
                                <a:lnTo>
                                  <a:pt x="2094" y="259"/>
                                </a:lnTo>
                                <a:lnTo>
                                  <a:pt x="2106" y="238"/>
                                </a:lnTo>
                                <a:lnTo>
                                  <a:pt x="2114" y="217"/>
                                </a:lnTo>
                                <a:lnTo>
                                  <a:pt x="2119" y="195"/>
                                </a:lnTo>
                                <a:lnTo>
                                  <a:pt x="2120" y="174"/>
                                </a:lnTo>
                                <a:lnTo>
                                  <a:pt x="2120" y="163"/>
                                </a:lnTo>
                                <a:lnTo>
                                  <a:pt x="2119" y="152"/>
                                </a:lnTo>
                                <a:lnTo>
                                  <a:pt x="2117" y="141"/>
                                </a:lnTo>
                                <a:lnTo>
                                  <a:pt x="2115" y="133"/>
                                </a:lnTo>
                                <a:lnTo>
                                  <a:pt x="2112" y="124"/>
                                </a:lnTo>
                                <a:lnTo>
                                  <a:pt x="2108" y="116"/>
                                </a:lnTo>
                                <a:lnTo>
                                  <a:pt x="2106" y="111"/>
                                </a:lnTo>
                                <a:lnTo>
                                  <a:pt x="2101" y="102"/>
                                </a:lnTo>
                                <a:lnTo>
                                  <a:pt x="2094" y="90"/>
                                </a:lnTo>
                                <a:lnTo>
                                  <a:pt x="2105" y="90"/>
                                </a:lnTo>
                                <a:lnTo>
                                  <a:pt x="2113" y="101"/>
                                </a:lnTo>
                                <a:lnTo>
                                  <a:pt x="2120" y="112"/>
                                </a:lnTo>
                                <a:lnTo>
                                  <a:pt x="2125" y="123"/>
                                </a:lnTo>
                                <a:lnTo>
                                  <a:pt x="2130" y="134"/>
                                </a:lnTo>
                                <a:lnTo>
                                  <a:pt x="2133" y="144"/>
                                </a:lnTo>
                                <a:lnTo>
                                  <a:pt x="2135" y="154"/>
                                </a:lnTo>
                                <a:lnTo>
                                  <a:pt x="2136" y="164"/>
                                </a:lnTo>
                                <a:lnTo>
                                  <a:pt x="2137" y="174"/>
                                </a:lnTo>
                                <a:lnTo>
                                  <a:pt x="2136" y="186"/>
                                </a:lnTo>
                                <a:lnTo>
                                  <a:pt x="2134" y="198"/>
                                </a:lnTo>
                                <a:lnTo>
                                  <a:pt x="2131" y="209"/>
                                </a:lnTo>
                                <a:lnTo>
                                  <a:pt x="2127" y="220"/>
                                </a:lnTo>
                                <a:lnTo>
                                  <a:pt x="2123" y="231"/>
                                </a:lnTo>
                                <a:lnTo>
                                  <a:pt x="2117" y="241"/>
                                </a:lnTo>
                                <a:lnTo>
                                  <a:pt x="2112" y="250"/>
                                </a:lnTo>
                                <a:lnTo>
                                  <a:pt x="2105" y="259"/>
                                </a:lnTo>
                                <a:close/>
                                <a:moveTo>
                                  <a:pt x="3255" y="97"/>
                                </a:moveTo>
                                <a:lnTo>
                                  <a:pt x="3271" y="95"/>
                                </a:lnTo>
                                <a:lnTo>
                                  <a:pt x="3273" y="104"/>
                                </a:lnTo>
                                <a:lnTo>
                                  <a:pt x="3276" y="110"/>
                                </a:lnTo>
                                <a:lnTo>
                                  <a:pt x="3281" y="114"/>
                                </a:lnTo>
                                <a:lnTo>
                                  <a:pt x="3285" y="118"/>
                                </a:lnTo>
                                <a:lnTo>
                                  <a:pt x="3290" y="120"/>
                                </a:lnTo>
                                <a:lnTo>
                                  <a:pt x="3297" y="120"/>
                                </a:lnTo>
                                <a:lnTo>
                                  <a:pt x="3304" y="120"/>
                                </a:lnTo>
                                <a:lnTo>
                                  <a:pt x="3310" y="117"/>
                                </a:lnTo>
                                <a:lnTo>
                                  <a:pt x="3315" y="112"/>
                                </a:lnTo>
                                <a:lnTo>
                                  <a:pt x="3321" y="107"/>
                                </a:lnTo>
                                <a:lnTo>
                                  <a:pt x="3323" y="101"/>
                                </a:lnTo>
                                <a:lnTo>
                                  <a:pt x="3323" y="93"/>
                                </a:lnTo>
                                <a:lnTo>
                                  <a:pt x="3323" y="86"/>
                                </a:lnTo>
                                <a:lnTo>
                                  <a:pt x="3321" y="80"/>
                                </a:lnTo>
                                <a:lnTo>
                                  <a:pt x="3316" y="75"/>
                                </a:lnTo>
                                <a:lnTo>
                                  <a:pt x="3311" y="70"/>
                                </a:lnTo>
                                <a:lnTo>
                                  <a:pt x="3305" y="68"/>
                                </a:lnTo>
                                <a:lnTo>
                                  <a:pt x="3298" y="68"/>
                                </a:lnTo>
                                <a:lnTo>
                                  <a:pt x="3295" y="68"/>
                                </a:lnTo>
                                <a:lnTo>
                                  <a:pt x="3291" y="69"/>
                                </a:lnTo>
                                <a:lnTo>
                                  <a:pt x="3287" y="70"/>
                                </a:lnTo>
                                <a:lnTo>
                                  <a:pt x="3288" y="56"/>
                                </a:lnTo>
                                <a:lnTo>
                                  <a:pt x="3289" y="56"/>
                                </a:lnTo>
                                <a:lnTo>
                                  <a:pt x="3290" y="56"/>
                                </a:lnTo>
                                <a:lnTo>
                                  <a:pt x="3291" y="56"/>
                                </a:lnTo>
                                <a:lnTo>
                                  <a:pt x="3298" y="56"/>
                                </a:lnTo>
                                <a:lnTo>
                                  <a:pt x="3304" y="54"/>
                                </a:lnTo>
                                <a:lnTo>
                                  <a:pt x="3309" y="51"/>
                                </a:lnTo>
                                <a:lnTo>
                                  <a:pt x="3315" y="47"/>
                                </a:lnTo>
                                <a:lnTo>
                                  <a:pt x="3317" y="42"/>
                                </a:lnTo>
                                <a:lnTo>
                                  <a:pt x="3317" y="35"/>
                                </a:lnTo>
                                <a:lnTo>
                                  <a:pt x="3317" y="29"/>
                                </a:lnTo>
                                <a:lnTo>
                                  <a:pt x="3315" y="24"/>
                                </a:lnTo>
                                <a:lnTo>
                                  <a:pt x="3311" y="20"/>
                                </a:lnTo>
                                <a:lnTo>
                                  <a:pt x="3307" y="16"/>
                                </a:lnTo>
                                <a:lnTo>
                                  <a:pt x="3302" y="14"/>
                                </a:lnTo>
                                <a:lnTo>
                                  <a:pt x="3296" y="14"/>
                                </a:lnTo>
                                <a:lnTo>
                                  <a:pt x="3290" y="14"/>
                                </a:lnTo>
                                <a:lnTo>
                                  <a:pt x="3285" y="16"/>
                                </a:lnTo>
                                <a:lnTo>
                                  <a:pt x="3281" y="20"/>
                                </a:lnTo>
                                <a:lnTo>
                                  <a:pt x="3277" y="24"/>
                                </a:lnTo>
                                <a:lnTo>
                                  <a:pt x="3274" y="30"/>
                                </a:lnTo>
                                <a:lnTo>
                                  <a:pt x="3273" y="38"/>
                                </a:lnTo>
                                <a:lnTo>
                                  <a:pt x="3257" y="35"/>
                                </a:lnTo>
                                <a:lnTo>
                                  <a:pt x="3259" y="24"/>
                                </a:lnTo>
                                <a:lnTo>
                                  <a:pt x="3263" y="16"/>
                                </a:lnTo>
                                <a:lnTo>
                                  <a:pt x="3270" y="10"/>
                                </a:lnTo>
                                <a:lnTo>
                                  <a:pt x="3277" y="4"/>
                                </a:lnTo>
                                <a:lnTo>
                                  <a:pt x="3286" y="1"/>
                                </a:lnTo>
                                <a:lnTo>
                                  <a:pt x="3296" y="1"/>
                                </a:lnTo>
                                <a:lnTo>
                                  <a:pt x="3303" y="1"/>
                                </a:lnTo>
                                <a:lnTo>
                                  <a:pt x="3309" y="3"/>
                                </a:lnTo>
                                <a:lnTo>
                                  <a:pt x="3315" y="6"/>
                                </a:lnTo>
                                <a:lnTo>
                                  <a:pt x="3321" y="9"/>
                                </a:lnTo>
                                <a:lnTo>
                                  <a:pt x="3326" y="13"/>
                                </a:lnTo>
                                <a:lnTo>
                                  <a:pt x="3329" y="18"/>
                                </a:lnTo>
                                <a:lnTo>
                                  <a:pt x="3332" y="24"/>
                                </a:lnTo>
                                <a:lnTo>
                                  <a:pt x="3334" y="29"/>
                                </a:lnTo>
                                <a:lnTo>
                                  <a:pt x="3334" y="35"/>
                                </a:lnTo>
                                <a:lnTo>
                                  <a:pt x="3334" y="41"/>
                                </a:lnTo>
                                <a:lnTo>
                                  <a:pt x="3332" y="46"/>
                                </a:lnTo>
                                <a:lnTo>
                                  <a:pt x="3329" y="50"/>
                                </a:lnTo>
                                <a:lnTo>
                                  <a:pt x="3326" y="55"/>
                                </a:lnTo>
                                <a:lnTo>
                                  <a:pt x="3322" y="58"/>
                                </a:lnTo>
                                <a:lnTo>
                                  <a:pt x="3316" y="61"/>
                                </a:lnTo>
                                <a:lnTo>
                                  <a:pt x="3323" y="63"/>
                                </a:lnTo>
                                <a:lnTo>
                                  <a:pt x="3329" y="66"/>
                                </a:lnTo>
                                <a:lnTo>
                                  <a:pt x="3334" y="72"/>
                                </a:lnTo>
                                <a:lnTo>
                                  <a:pt x="3338" y="78"/>
                                </a:lnTo>
                                <a:lnTo>
                                  <a:pt x="3340" y="84"/>
                                </a:lnTo>
                                <a:lnTo>
                                  <a:pt x="3340" y="93"/>
                                </a:lnTo>
                                <a:lnTo>
                                  <a:pt x="3340" y="104"/>
                                </a:lnTo>
                                <a:lnTo>
                                  <a:pt x="3336" y="114"/>
                                </a:lnTo>
                                <a:lnTo>
                                  <a:pt x="3328" y="121"/>
                                </a:lnTo>
                                <a:lnTo>
                                  <a:pt x="3319" y="129"/>
                                </a:lnTo>
                                <a:lnTo>
                                  <a:pt x="3309" y="133"/>
                                </a:lnTo>
                                <a:lnTo>
                                  <a:pt x="3296" y="133"/>
                                </a:lnTo>
                                <a:lnTo>
                                  <a:pt x="3285" y="133"/>
                                </a:lnTo>
                                <a:lnTo>
                                  <a:pt x="3276" y="130"/>
                                </a:lnTo>
                                <a:lnTo>
                                  <a:pt x="3268" y="123"/>
                                </a:lnTo>
                                <a:lnTo>
                                  <a:pt x="3261" y="116"/>
                                </a:lnTo>
                                <a:lnTo>
                                  <a:pt x="3257" y="108"/>
                                </a:lnTo>
                                <a:lnTo>
                                  <a:pt x="3255" y="97"/>
                                </a:lnTo>
                                <a:close/>
                                <a:moveTo>
                                  <a:pt x="3440" y="169"/>
                                </a:moveTo>
                                <a:lnTo>
                                  <a:pt x="3434" y="160"/>
                                </a:lnTo>
                                <a:lnTo>
                                  <a:pt x="3428" y="151"/>
                                </a:lnTo>
                                <a:lnTo>
                                  <a:pt x="3423" y="141"/>
                                </a:lnTo>
                                <a:lnTo>
                                  <a:pt x="3418" y="130"/>
                                </a:lnTo>
                                <a:lnTo>
                                  <a:pt x="3414" y="119"/>
                                </a:lnTo>
                                <a:lnTo>
                                  <a:pt x="3411" y="108"/>
                                </a:lnTo>
                                <a:lnTo>
                                  <a:pt x="3410" y="96"/>
                                </a:lnTo>
                                <a:lnTo>
                                  <a:pt x="3409" y="84"/>
                                </a:lnTo>
                                <a:lnTo>
                                  <a:pt x="3409" y="74"/>
                                </a:lnTo>
                                <a:lnTo>
                                  <a:pt x="3411" y="64"/>
                                </a:lnTo>
                                <a:lnTo>
                                  <a:pt x="3413" y="54"/>
                                </a:lnTo>
                                <a:lnTo>
                                  <a:pt x="3416" y="44"/>
                                </a:lnTo>
                                <a:lnTo>
                                  <a:pt x="3420" y="33"/>
                                </a:lnTo>
                                <a:lnTo>
                                  <a:pt x="3426" y="22"/>
                                </a:lnTo>
                                <a:lnTo>
                                  <a:pt x="3432" y="11"/>
                                </a:lnTo>
                                <a:lnTo>
                                  <a:pt x="3440" y="0"/>
                                </a:lnTo>
                                <a:lnTo>
                                  <a:pt x="3451" y="0"/>
                                </a:lnTo>
                                <a:lnTo>
                                  <a:pt x="3444" y="12"/>
                                </a:lnTo>
                                <a:lnTo>
                                  <a:pt x="3440" y="21"/>
                                </a:lnTo>
                                <a:lnTo>
                                  <a:pt x="3437" y="26"/>
                                </a:lnTo>
                                <a:lnTo>
                                  <a:pt x="3434" y="34"/>
                                </a:lnTo>
                                <a:lnTo>
                                  <a:pt x="3431" y="42"/>
                                </a:lnTo>
                                <a:lnTo>
                                  <a:pt x="3429" y="51"/>
                                </a:lnTo>
                                <a:lnTo>
                                  <a:pt x="3426" y="62"/>
                                </a:lnTo>
                                <a:lnTo>
                                  <a:pt x="3425" y="73"/>
                                </a:lnTo>
                                <a:lnTo>
                                  <a:pt x="3425" y="84"/>
                                </a:lnTo>
                                <a:lnTo>
                                  <a:pt x="3427" y="105"/>
                                </a:lnTo>
                                <a:lnTo>
                                  <a:pt x="3432" y="127"/>
                                </a:lnTo>
                                <a:lnTo>
                                  <a:pt x="3440" y="148"/>
                                </a:lnTo>
                                <a:lnTo>
                                  <a:pt x="3451" y="169"/>
                                </a:lnTo>
                                <a:lnTo>
                                  <a:pt x="3440" y="169"/>
                                </a:lnTo>
                                <a:close/>
                                <a:moveTo>
                                  <a:pt x="3516" y="131"/>
                                </a:moveTo>
                                <a:lnTo>
                                  <a:pt x="3516" y="100"/>
                                </a:lnTo>
                                <a:lnTo>
                                  <a:pt x="3460" y="100"/>
                                </a:lnTo>
                                <a:lnTo>
                                  <a:pt x="3460" y="86"/>
                                </a:lnTo>
                                <a:lnTo>
                                  <a:pt x="3519" y="2"/>
                                </a:lnTo>
                                <a:lnTo>
                                  <a:pt x="3532" y="2"/>
                                </a:lnTo>
                                <a:lnTo>
                                  <a:pt x="3532" y="86"/>
                                </a:lnTo>
                                <a:lnTo>
                                  <a:pt x="3549" y="86"/>
                                </a:lnTo>
                                <a:lnTo>
                                  <a:pt x="3549" y="100"/>
                                </a:lnTo>
                                <a:lnTo>
                                  <a:pt x="3532" y="100"/>
                                </a:lnTo>
                                <a:lnTo>
                                  <a:pt x="3532" y="131"/>
                                </a:lnTo>
                                <a:lnTo>
                                  <a:pt x="3516" y="131"/>
                                </a:lnTo>
                                <a:close/>
                                <a:moveTo>
                                  <a:pt x="3516" y="86"/>
                                </a:moveTo>
                                <a:lnTo>
                                  <a:pt x="3516" y="27"/>
                                </a:lnTo>
                                <a:lnTo>
                                  <a:pt x="3476" y="86"/>
                                </a:lnTo>
                                <a:lnTo>
                                  <a:pt x="3516" y="86"/>
                                </a:lnTo>
                                <a:close/>
                                <a:moveTo>
                                  <a:pt x="3569" y="33"/>
                                </a:moveTo>
                                <a:lnTo>
                                  <a:pt x="3569" y="24"/>
                                </a:lnTo>
                                <a:lnTo>
                                  <a:pt x="3571" y="16"/>
                                </a:lnTo>
                                <a:lnTo>
                                  <a:pt x="3575" y="9"/>
                                </a:lnTo>
                                <a:lnTo>
                                  <a:pt x="3580" y="3"/>
                                </a:lnTo>
                                <a:lnTo>
                                  <a:pt x="3587" y="0"/>
                                </a:lnTo>
                                <a:lnTo>
                                  <a:pt x="3596" y="0"/>
                                </a:lnTo>
                                <a:lnTo>
                                  <a:pt x="3604" y="0"/>
                                </a:lnTo>
                                <a:lnTo>
                                  <a:pt x="3610" y="3"/>
                                </a:lnTo>
                                <a:lnTo>
                                  <a:pt x="3616" y="8"/>
                                </a:lnTo>
                                <a:lnTo>
                                  <a:pt x="3621" y="14"/>
                                </a:lnTo>
                                <a:lnTo>
                                  <a:pt x="3624" y="23"/>
                                </a:lnTo>
                                <a:lnTo>
                                  <a:pt x="3624" y="34"/>
                                </a:lnTo>
                                <a:lnTo>
                                  <a:pt x="3624" y="45"/>
                                </a:lnTo>
                                <a:lnTo>
                                  <a:pt x="3621" y="53"/>
                                </a:lnTo>
                                <a:lnTo>
                                  <a:pt x="3616" y="59"/>
                                </a:lnTo>
                                <a:lnTo>
                                  <a:pt x="3610" y="65"/>
                                </a:lnTo>
                                <a:lnTo>
                                  <a:pt x="3604" y="68"/>
                                </a:lnTo>
                                <a:lnTo>
                                  <a:pt x="3596" y="68"/>
                                </a:lnTo>
                                <a:lnTo>
                                  <a:pt x="3588" y="68"/>
                                </a:lnTo>
                                <a:lnTo>
                                  <a:pt x="3582" y="65"/>
                                </a:lnTo>
                                <a:lnTo>
                                  <a:pt x="3576" y="59"/>
                                </a:lnTo>
                                <a:lnTo>
                                  <a:pt x="3571" y="53"/>
                                </a:lnTo>
                                <a:lnTo>
                                  <a:pt x="3569" y="45"/>
                                </a:lnTo>
                                <a:lnTo>
                                  <a:pt x="3569" y="33"/>
                                </a:lnTo>
                                <a:close/>
                                <a:moveTo>
                                  <a:pt x="3596" y="11"/>
                                </a:moveTo>
                                <a:lnTo>
                                  <a:pt x="3592" y="11"/>
                                </a:lnTo>
                                <a:lnTo>
                                  <a:pt x="3589" y="12"/>
                                </a:lnTo>
                                <a:lnTo>
                                  <a:pt x="3586" y="16"/>
                                </a:lnTo>
                                <a:lnTo>
                                  <a:pt x="3584" y="19"/>
                                </a:lnTo>
                                <a:lnTo>
                                  <a:pt x="3582" y="25"/>
                                </a:lnTo>
                                <a:lnTo>
                                  <a:pt x="3582" y="35"/>
                                </a:lnTo>
                                <a:lnTo>
                                  <a:pt x="3582" y="43"/>
                                </a:lnTo>
                                <a:lnTo>
                                  <a:pt x="3584" y="49"/>
                                </a:lnTo>
                                <a:lnTo>
                                  <a:pt x="3586" y="52"/>
                                </a:lnTo>
                                <a:lnTo>
                                  <a:pt x="3589" y="55"/>
                                </a:lnTo>
                                <a:lnTo>
                                  <a:pt x="3592" y="57"/>
                                </a:lnTo>
                                <a:lnTo>
                                  <a:pt x="3596" y="57"/>
                                </a:lnTo>
                                <a:lnTo>
                                  <a:pt x="3600" y="57"/>
                                </a:lnTo>
                                <a:lnTo>
                                  <a:pt x="3603" y="55"/>
                                </a:lnTo>
                                <a:lnTo>
                                  <a:pt x="3606" y="52"/>
                                </a:lnTo>
                                <a:lnTo>
                                  <a:pt x="3609" y="49"/>
                                </a:lnTo>
                                <a:lnTo>
                                  <a:pt x="3610" y="42"/>
                                </a:lnTo>
                                <a:lnTo>
                                  <a:pt x="3610" y="33"/>
                                </a:lnTo>
                                <a:lnTo>
                                  <a:pt x="3610" y="25"/>
                                </a:lnTo>
                                <a:lnTo>
                                  <a:pt x="3609" y="19"/>
                                </a:lnTo>
                                <a:lnTo>
                                  <a:pt x="3606" y="16"/>
                                </a:lnTo>
                                <a:lnTo>
                                  <a:pt x="3603" y="12"/>
                                </a:lnTo>
                                <a:lnTo>
                                  <a:pt x="3600" y="11"/>
                                </a:lnTo>
                                <a:lnTo>
                                  <a:pt x="3596" y="11"/>
                                </a:lnTo>
                                <a:close/>
                                <a:moveTo>
                                  <a:pt x="3596" y="136"/>
                                </a:moveTo>
                                <a:lnTo>
                                  <a:pt x="3667" y="0"/>
                                </a:lnTo>
                                <a:lnTo>
                                  <a:pt x="3679" y="0"/>
                                </a:lnTo>
                                <a:lnTo>
                                  <a:pt x="3609" y="136"/>
                                </a:lnTo>
                                <a:lnTo>
                                  <a:pt x="3596" y="136"/>
                                </a:lnTo>
                                <a:close/>
                                <a:moveTo>
                                  <a:pt x="3652" y="101"/>
                                </a:moveTo>
                                <a:lnTo>
                                  <a:pt x="3652" y="91"/>
                                </a:lnTo>
                                <a:lnTo>
                                  <a:pt x="3654" y="84"/>
                                </a:lnTo>
                                <a:lnTo>
                                  <a:pt x="3659" y="77"/>
                                </a:lnTo>
                                <a:lnTo>
                                  <a:pt x="3663" y="71"/>
                                </a:lnTo>
                                <a:lnTo>
                                  <a:pt x="3670" y="67"/>
                                </a:lnTo>
                                <a:lnTo>
                                  <a:pt x="3679" y="67"/>
                                </a:lnTo>
                                <a:lnTo>
                                  <a:pt x="3687" y="67"/>
                                </a:lnTo>
                                <a:lnTo>
                                  <a:pt x="3694" y="70"/>
                                </a:lnTo>
                                <a:lnTo>
                                  <a:pt x="3699" y="76"/>
                                </a:lnTo>
                                <a:lnTo>
                                  <a:pt x="3704" y="82"/>
                                </a:lnTo>
                                <a:lnTo>
                                  <a:pt x="3707" y="90"/>
                                </a:lnTo>
                                <a:lnTo>
                                  <a:pt x="3707" y="102"/>
                                </a:lnTo>
                                <a:lnTo>
                                  <a:pt x="3707" y="112"/>
                                </a:lnTo>
                                <a:lnTo>
                                  <a:pt x="3704" y="121"/>
                                </a:lnTo>
                                <a:lnTo>
                                  <a:pt x="3699" y="127"/>
                                </a:lnTo>
                                <a:lnTo>
                                  <a:pt x="3694" y="133"/>
                                </a:lnTo>
                                <a:lnTo>
                                  <a:pt x="3687" y="136"/>
                                </a:lnTo>
                                <a:lnTo>
                                  <a:pt x="3679" y="136"/>
                                </a:lnTo>
                                <a:lnTo>
                                  <a:pt x="3671" y="136"/>
                                </a:lnTo>
                                <a:lnTo>
                                  <a:pt x="3665" y="133"/>
                                </a:lnTo>
                                <a:lnTo>
                                  <a:pt x="3660" y="127"/>
                                </a:lnTo>
                                <a:lnTo>
                                  <a:pt x="3654" y="121"/>
                                </a:lnTo>
                                <a:lnTo>
                                  <a:pt x="3652" y="112"/>
                                </a:lnTo>
                                <a:lnTo>
                                  <a:pt x="3652" y="101"/>
                                </a:lnTo>
                                <a:close/>
                                <a:moveTo>
                                  <a:pt x="3679" y="78"/>
                                </a:moveTo>
                                <a:lnTo>
                                  <a:pt x="3675" y="78"/>
                                </a:lnTo>
                                <a:lnTo>
                                  <a:pt x="3672" y="80"/>
                                </a:lnTo>
                                <a:lnTo>
                                  <a:pt x="3670" y="83"/>
                                </a:lnTo>
                                <a:lnTo>
                                  <a:pt x="3667" y="87"/>
                                </a:lnTo>
                                <a:lnTo>
                                  <a:pt x="3666" y="93"/>
                                </a:lnTo>
                                <a:lnTo>
                                  <a:pt x="3666" y="102"/>
                                </a:lnTo>
                                <a:lnTo>
                                  <a:pt x="3666" y="110"/>
                                </a:lnTo>
                                <a:lnTo>
                                  <a:pt x="3667" y="116"/>
                                </a:lnTo>
                                <a:lnTo>
                                  <a:pt x="3670" y="120"/>
                                </a:lnTo>
                                <a:lnTo>
                                  <a:pt x="3672" y="123"/>
                                </a:lnTo>
                                <a:lnTo>
                                  <a:pt x="3676" y="125"/>
                                </a:lnTo>
                                <a:lnTo>
                                  <a:pt x="3679" y="125"/>
                                </a:lnTo>
                                <a:lnTo>
                                  <a:pt x="3683" y="125"/>
                                </a:lnTo>
                                <a:lnTo>
                                  <a:pt x="3687" y="123"/>
                                </a:lnTo>
                                <a:lnTo>
                                  <a:pt x="3689" y="120"/>
                                </a:lnTo>
                                <a:lnTo>
                                  <a:pt x="3692" y="116"/>
                                </a:lnTo>
                                <a:lnTo>
                                  <a:pt x="3693" y="110"/>
                                </a:lnTo>
                                <a:lnTo>
                                  <a:pt x="3693" y="101"/>
                                </a:lnTo>
                                <a:lnTo>
                                  <a:pt x="3693" y="93"/>
                                </a:lnTo>
                                <a:lnTo>
                                  <a:pt x="3692" y="87"/>
                                </a:lnTo>
                                <a:lnTo>
                                  <a:pt x="3689" y="83"/>
                                </a:lnTo>
                                <a:lnTo>
                                  <a:pt x="3687" y="80"/>
                                </a:lnTo>
                                <a:lnTo>
                                  <a:pt x="3683" y="78"/>
                                </a:lnTo>
                                <a:lnTo>
                                  <a:pt x="3679" y="78"/>
                                </a:lnTo>
                                <a:close/>
                                <a:moveTo>
                                  <a:pt x="3740" y="169"/>
                                </a:moveTo>
                                <a:lnTo>
                                  <a:pt x="3729" y="169"/>
                                </a:lnTo>
                                <a:lnTo>
                                  <a:pt x="3741" y="148"/>
                                </a:lnTo>
                                <a:lnTo>
                                  <a:pt x="3749" y="127"/>
                                </a:lnTo>
                                <a:lnTo>
                                  <a:pt x="3754" y="105"/>
                                </a:lnTo>
                                <a:lnTo>
                                  <a:pt x="3755" y="84"/>
                                </a:lnTo>
                                <a:lnTo>
                                  <a:pt x="3755" y="73"/>
                                </a:lnTo>
                                <a:lnTo>
                                  <a:pt x="3754" y="62"/>
                                </a:lnTo>
                                <a:lnTo>
                                  <a:pt x="3752" y="51"/>
                                </a:lnTo>
                                <a:lnTo>
                                  <a:pt x="3750" y="43"/>
                                </a:lnTo>
                                <a:lnTo>
                                  <a:pt x="3747" y="34"/>
                                </a:lnTo>
                                <a:lnTo>
                                  <a:pt x="3743" y="26"/>
                                </a:lnTo>
                                <a:lnTo>
                                  <a:pt x="3741" y="21"/>
                                </a:lnTo>
                                <a:lnTo>
                                  <a:pt x="3736" y="12"/>
                                </a:lnTo>
                                <a:lnTo>
                                  <a:pt x="3729" y="0"/>
                                </a:lnTo>
                                <a:lnTo>
                                  <a:pt x="3740" y="0"/>
                                </a:lnTo>
                                <a:lnTo>
                                  <a:pt x="3748" y="11"/>
                                </a:lnTo>
                                <a:lnTo>
                                  <a:pt x="3755" y="22"/>
                                </a:lnTo>
                                <a:lnTo>
                                  <a:pt x="3760" y="33"/>
                                </a:lnTo>
                                <a:lnTo>
                                  <a:pt x="3765" y="44"/>
                                </a:lnTo>
                                <a:lnTo>
                                  <a:pt x="3768" y="54"/>
                                </a:lnTo>
                                <a:lnTo>
                                  <a:pt x="3770" y="64"/>
                                </a:lnTo>
                                <a:lnTo>
                                  <a:pt x="3771" y="74"/>
                                </a:lnTo>
                                <a:lnTo>
                                  <a:pt x="3772" y="84"/>
                                </a:lnTo>
                                <a:lnTo>
                                  <a:pt x="3771" y="96"/>
                                </a:lnTo>
                                <a:lnTo>
                                  <a:pt x="3769" y="108"/>
                                </a:lnTo>
                                <a:lnTo>
                                  <a:pt x="3766" y="119"/>
                                </a:lnTo>
                                <a:lnTo>
                                  <a:pt x="3762" y="130"/>
                                </a:lnTo>
                                <a:lnTo>
                                  <a:pt x="3758" y="141"/>
                                </a:lnTo>
                                <a:lnTo>
                                  <a:pt x="3752" y="151"/>
                                </a:lnTo>
                                <a:lnTo>
                                  <a:pt x="3747" y="160"/>
                                </a:lnTo>
                                <a:lnTo>
                                  <a:pt x="3740" y="169"/>
                                </a:lnTo>
                                <a:close/>
                              </a:path>
                            </a:pathLst>
                          </a:custGeom>
                          <a:noFill/>
                          <a:ln w="28575">
                            <a:solidFill>
                              <a:srgbClr val="FFFFFF"/>
                            </a:solidFill>
                            <a:round/>
                          </a:ln>
                          <a:effectLst/>
                        </wps:spPr>
                        <wps:bodyPr rot="0" vert="horz" wrap="square" lIns="91440" tIns="45720" rIns="91440" bIns="45720" anchor="t" anchorCtr="0" upright="1">
                          <a:noAutofit/>
                        </wps:bodyPr>
                      </wps:wsp>
                    </wpg:wgp>
                  </a:graphicData>
                </a:graphic>
              </wp:anchor>
            </w:drawing>
          </mc:Choice>
          <mc:Fallback>
            <w:pict>
              <v:group id="Group 349" o:spid="_x0000_s1026" o:spt="203" style="position:absolute;left:0pt;margin-left:57.75pt;margin-top:-3.4pt;height:609pt;width:480pt;mso-position-horizontal-relative:page;z-index:-251629568;mso-width-relative:page;mso-height-relative:page;" coordorigin="1155,-68" coordsize="9600,12180" o:gfxdata="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">
                <o:lock v:ext="edit" aspectratio="f"/>
                <v:shape id="AutoShape 366" o:spid="_x0000_s1026" o:spt="100" style="position:absolute;left:1162;top:-61;height:12165;width:9585;" filled="f" stroked="t" coordsize="9585,12165" o:gfxdata="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5Qz&#10;wAAAAOEAAAAPAAAAAAAAAAEAIAAAACIAAABkcnMvZG93bnJldi54bWxQSwECFAAUAAAACACHTuJA&#10;My8FnjsAAAA5AAAAEAAAAAAAAAABACAAAAAPAQAAZHJzL3NoYXBleG1sLnhtbFBLBQYAAAAABgAG&#10;AFsBAAC5AwAAAAA=&#10;" path="m0,6502l0,112,0,105,1,97,3,90,4,83,6,76,9,69,12,62,15,56,19,50,24,43,28,38,33,32,39,27,44,23,50,19,57,14,63,11,70,8,77,5,84,3,91,2,98,0,106,0,113,0,9473,0,9480,0,9488,0,9495,2,9502,3,9509,5,9516,8,9523,11,9529,14,9535,19,9542,23,9547,27,9553,32,9558,38,9562,43,9567,50,9571,56,9574,62,9577,69,9580,76,9582,83,9583,90,9585,97,9585,105,9585,112,9585,6502,9585,6509,9585,6517,9583,6524,9582,6531,9580,6538,9577,6545,9574,6552,9571,6558,9567,6565,9562,6571,9558,6576,9553,6582,9547,6587,9542,6591,9535,6596,9529,6600,9523,6603,9516,6606,9509,6609,9502,6611,9495,6612,9488,6614,9480,6615,9473,6615,113,6615,106,6615,98,6614,91,6612,84,6611,77,6609,70,6606,63,6603,57,6600,50,6596,44,6591,39,6587,33,6582,28,6576,24,6571,19,6565,15,6558,12,6552,9,6545,6,6538,4,6531,3,6524,1,6517,0,6509,0,6502xm0,12052l0,6742,0,6735,1,6727,3,6720,4,6713,6,6706,9,6699,12,6692,15,6686,19,6680,24,6673,28,6668,33,6662,39,6657,44,6653,50,6649,57,6644,63,6641,70,6638,77,6635,84,6633,91,6632,98,6630,106,6630,113,6630,9473,6630,9480,6630,9488,6630,9495,6632,9502,6633,9509,6635,9516,6638,9523,6641,9529,6644,9535,6649,9542,6653,9547,6657,9553,6662,9558,6668,9562,6673,9567,6680,9571,6686,9574,6692,9577,6699,9580,6706,9582,6713,9583,6720,9585,6727,9585,6735,9585,6742,9585,12052,9585,12059,9585,12067,9583,12074,9582,12081,9580,12088,9577,12095,9574,12102,9571,12108,9567,12115,9562,12121,9558,12126,9553,12132,9547,12137,9542,12141,9535,12146,9529,12150,9523,12153,9516,12156,9509,12159,9502,12161,9495,12162,9488,12164,9480,12165,9473,12165,113,12165,106,12165,98,12164,91,12162,84,12161,77,12159,70,12156,63,12153,57,12150,50,12146,44,12141,39,12137,33,12132,28,12126,24,12121,19,12115,15,12108,12,12102,9,12095,6,12088,4,12081,3,12074,1,12067,0,12059,0,12052xe">
                  <v:path o:connectlocs="1,37;9,9;24,-17;44,-37;70,-52;98,-60;9480,-60;9509,-55;9535,-41;9558,-22;9574,2;9583,30;9585,6442;9582,6471;9571,6498;9553,6522;9529,6540;9502,6551;9473,6555;91,6552;63,6543;39,6527;19,6505;6,6478;0,6449;0,6675;6,6646;19,6620;39,6597;63,6581;91,6572;9473,6570;9502,6573;9529,6584;9553,6602;9571,6626;9582,6653;9585,6682;9583,12014;9574,12042;9558,12066;9535,12086;9509,12099;9480,12105;98,12104;70,12096;44,12081;24,12061;9,12035;1,12007" o:connectangles="0,0,0,0,0,0,0,0,0,0,0,0,0,0,0,0,0,0,0,0,0,0,0,0,0,0,0,0,0,0,0,0,0,0,0,0,0,0,0,0,0,0,0,0,0,0,0,0,0,0"/>
                  <v:fill on="f" focussize="0,0"/>
                  <v:stroke color="#D9DBDF" joinstyle="round"/>
                  <v:imagedata o:title=""/>
                  <o:lock v:ext="edit" aspectratio="f"/>
                </v:shape>
                <v:shape id="Picture 365" o:spid="_x0000_s1026" o:spt="75" type="#_x0000_t75" style="position:absolute;left:9525;top:67;height:300;width:255;" filled="f" o:preferrelative="t" stroked="f" coordsize="21600,21600" o:gfxdata="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B2S6pHIAAAA4wAAAA8AAAAAAAAAAQAgAAAAIgAAAGRycy9kb3ducmV2LnhtbFBLAQIUABQA&#10;AAAIAIdO4kAzLwWeOwAAADkAAAAQAAAAAAAAAAEAIAAAABcBAABkcnMvc2hhcGV4bWwueG1sUEsF&#10;BgAAAAAGAAYAWwEAAMEDAAAAAA==&#10;">
                  <v:fill on="f" focussize="0,0"/>
                  <v:stroke on="f"/>
                  <v:imagedata r:id="rId110" o:title=""/>
                  <o:lock v:ext="edit" aspectratio="t"/>
                </v:shape>
                <v:rect id="Rectangle 364" o:spid="_x0000_s1026" o:spt="1" style="position:absolute;left:2070;top:3097;height:2700;width:8130;" filled="f" stroked="t" coordsize="21600,21600" o:gfxdata="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YazG&#10;wAAAAOMAAAAPAAAAAAAAAAEAIAAAACIAAABkcnMvZG93bnJldi54bWxQSwECFAAUAAAACACHTuJA&#10;My8FnjsAAAA5AAAAEAAAAAAAAAABACAAAAAPAQAAZHJzL3NoYXBleG1sLnhtbFBLBQYAAAAABgAG&#10;AFsBAAC5AwAAAAA=&#10;">
                  <v:fill on="f" focussize="0,0"/>
                  <v:stroke color="#EDEDED" miterlimit="8" joinstyle="miter"/>
                  <v:imagedata o:title=""/>
                  <o:lock v:ext="edit" aspectratio="f"/>
                </v:rect>
                <v:shape id="AutoShape 363" o:spid="_x0000_s1026" o:spt="100" style="position:absolute;left:2069;top:3097;height:2700;width:8130;" fillcolor="#EDEDED" filled="t" stroked="f" coordsize="8130,2700" o:gfxdata="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K&#10;cgnCAAAA4wAAAA8AAAAAAAAAAQAgAAAAIgAAAGRycy9kb3ducmV2LnhtbFBLAQIUABQAAAAIAIdO&#10;4kAzLwWeOwAAADkAAAAQAAAAAAAAAAEAIAAAABEBAABkcnMvc2hhcGV4bWwueG1sUEsFBgAAAAAG&#10;AAYAWwEAALsDAAAAAA==&#10;" path="m6810,1785l0,1785,0,1800,6810,1800,6810,1785xm6810,900l0,900,0,915,6810,915,6810,900xm8130,2685l0,2685,0,2700,8130,2700,8130,2685xm8130,1785l7815,1785,7815,1800,8130,1800,8130,1785xm8130,900l7815,900,7815,915,8130,915,8130,900xm8130,0l0,0,0,15,8130,15,8130,0xe">
                  <v:path o:connectlocs="6810,4882;0,4882;0,4897;6810,4897;6810,4882;6810,3997;0,3997;0,4012;6810,4012;6810,3997;8130,5782;0,5782;0,5797;8130,5797;8130,5782;8130,4882;7815,4882;7815,4897;8130,4897;8130,4882;8130,3997;7815,3997;7815,4012;8130,4012;8130,3997;8130,3097;0,3097;0,3112;8130,3112;8130,3097" o:connectangles="0,0,0,0,0,0,0,0,0,0,0,0,0,0,0,0,0,0,0,0,0,0,0,0,0,0,0,0,0,0"/>
                  <v:fill on="t" focussize="0,0"/>
                  <v:stroke on="f"/>
                  <v:imagedata o:title=""/>
                  <o:lock v:ext="edit" aspectratio="f"/>
                </v:shape>
                <v:shape id="AutoShape 362" o:spid="_x0000_s1026" o:spt="100" style="position:absolute;left:2069;top:3547;height:1800;width:8130;" fillcolor="#F7F7F7" filled="t" stroked="f" coordsize="8130,1800" o:gfxdata="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7So&#10;cMEAAADjAAAADwAAAAAAAAABACAAAAAiAAAAZHJzL2Rvd25yZXYueG1sUEsBAhQAFAAAAAgAh07i&#10;QDMvBZ47AAAAOQAAABAAAAAAAAAAAQAgAAAAEAEAAGRycy9zaGFwZXhtbC54bWxQSwUGAAAAAAYA&#10;BgBbAQAAugMAAAAA&#10;" path="m5190,1785l0,1785,0,1800,5190,1800,5190,1785xm6810,1785l6195,1785,6195,1800,6810,1800,6810,1785xm6810,900l0,900,0,915,6810,915,6810,900xm6810,0l0,0,0,15,6810,15,6810,0xm8130,1785l7815,1785,7815,1800,8130,1800,8130,1785xm8130,900l7815,900,7815,915,8130,915,8130,900xm8130,0l7815,0,7815,15,8130,15,8130,0xe">
                  <v:path o:connectlocs="5190,5332;0,5332;0,5347;5190,5347;5190,5332;6810,5332;6195,5332;6195,5347;6810,5347;6810,5332;6810,4447;0,4447;0,4462;6810,4462;6810,4447;6810,3547;0,3547;0,3562;6810,3562;6810,3547;8130,5332;7815,5332;7815,5347;8130,5347;8130,5332;8130,4447;7815,4447;7815,4462;8130,4462;8130,4447;8130,3547;7815,3547;7815,3562;8130,3562;8130,3547" o:connectangles="0,0,0,0,0,0,0,0,0,0,0,0,0,0,0,0,0,0,0,0,0,0,0,0,0,0,0,0,0,0,0,0,0,0,0"/>
                  <v:fill on="t" focussize="0,0"/>
                  <v:stroke on="f"/>
                  <v:imagedata o:title=""/>
                  <o:lock v:ext="edit" aspectratio="f"/>
                </v:shape>
                <v:shape id="AutoShape 361" o:spid="_x0000_s1026" o:spt="100" style="position:absolute;left:2384;top:5752;height:38;width:2625;" fillcolor="#663AB6" filled="t" stroked="f" coordsize="2625,38" o:gfxdata="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ejer4A&#10;AADiAAAADwAAAAAAAAABACAAAAAiAAAAZHJzL2Rvd25yZXYueG1sUEsBAhQAFAAAAAgAh07iQDMv&#10;BZ47AAAAOQAAABAAAAAAAAAAAQAgAAAADQEAAGRycy9zaGFwZXhtbC54bWxQSwUGAAAAAAYABgBb&#10;AQAAtwMAAAAA&#10;" path="m1005,30l0,30,0,38,1005,38,1005,30xm2625,0l1620,0,1620,30,2625,30,2625,0xe">
                  <v:path o:connectlocs="1005,5782;0,5782;0,5790;1005,5790;1005,5782;2625,5752;1620,5752;1620,5782;2625,5782;2625,5752" o:connectangles="0,0,0,0,0,0,0,0,0,0"/>
                  <v:fill on="t" focussize="0,0"/>
                  <v:stroke on="f"/>
                  <v:imagedata o:title=""/>
                  <o:lock v:ext="edit" aspectratio="f"/>
                </v:shape>
                <v:rect id="Rectangle 360" o:spid="_x0000_s1026" o:spt="1" style="position:absolute;left:2070;top:5782;height:15;width:8130;" fillcolor="#333333" filled="t" stroked="f" coordsize="21600,21600" o:gfxdata="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cx&#10;wcEAAADjAAAADwAAAAAAAAABACAAAAAiAAAAZHJzL2Rvd25yZXYueG1sUEsBAhQAFAAAAAgAh07i&#10;QDMvBZ47AAAAOQAAABAAAAAAAAAAAQAgAAAAEAEAAGRycy9zaGFwZXhtbC54bWxQSwUGAAAAAAYA&#10;BgBbAQAAugMAAAAA&#10;">
                  <v:fill on="t" focussize="0,0"/>
                  <v:stroke on="f"/>
                  <v:imagedata o:title=""/>
                  <o:lock v:ext="edit" aspectratio="f"/>
                </v:rect>
                <v:shape id="AutoShape 359" o:spid="_x0000_s1026" o:spt="100" style="position:absolute;left:2879;top:5572;height:210;width:1635;" fillcolor="#999999" filled="t" stroked="f" coordsize="1635,210" o:gfxdata="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wki/&#10;AAAA4gAAAA8AAAAAAAAAAQAgAAAAIgAAAGRycy9kb3ducmV2LnhtbFBLAQIUABQAAAAIAIdO4kAz&#10;LwWeOwAAADkAAAAQAAAAAAAAAAEAIAAAAA4BAABkcnMvc2hhcGV4bWwueG1sUEsFBgAAAAAGAAYA&#10;WwEAALgDAAAAAA==&#10;" path="m15,30l0,30,0,210,15,210,15,30xm1635,0l1620,0,1620,180,1635,180,1635,0xe">
                  <v:path o:connectlocs="15,5602;0,5602;0,5782;15,5782;15,5602;1635,5572;1620,5572;1620,5752;1635,5752;1635,5572" o:connectangles="0,0,0,0,0,0,0,0,0,0"/>
                  <v:fill on="t" focussize="0,0"/>
                  <v:stroke on="f"/>
                  <v:imagedata o:title=""/>
                  <o:lock v:ext="edit" aspectratio="f"/>
                </v:shape>
                <v:shape id="AutoShape 358" o:spid="_x0000_s1026" o:spt="100" style="position:absolute;left:2622;top:5413;height:199;width:2212;" filled="f" stroked="t" coordsize="2212,199" o:gfxdata="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74ufHFAAAA4gAAAA8AAAAAAAAAAQAgAAAAIgAAAGRycy9kb3ducmV2LnhtbFBLAQIUABQAAAAI&#10;AIdO4kAzLwWeOwAAADkAAAAQAAAAAAAAAAEAIAAAABQBAABkcnMvc2hhcGV4bWwueG1sUEsFBgAA&#10;AAAGAAYAWwEAAL4DAAAAAA==&#10;" path="m0,97l0,82,2,70,5,61,8,51,13,44,19,39,25,34,33,31,42,31,49,31,55,33,61,36,66,38,70,42,74,48,77,53,80,59,82,67,83,74,84,85,84,97,84,112,83,125,80,134,77,143,72,150,66,155,60,161,52,163,42,163,30,163,20,159,13,150,8,140,4,129,1,114,0,97xm17,97l17,112,19,124,21,133,24,140,29,147,35,150,42,150,50,150,56,147,61,140,64,133,66,124,68,112,68,97,68,83,66,71,64,62,61,55,56,48,50,45,42,45,35,45,29,48,25,54,21,61,19,71,17,83,17,97xm185,199l179,190,173,181,168,171,163,160,159,149,156,138,155,126,154,114,154,104,156,94,158,84,161,74,165,63,171,52,177,41,185,30,196,30,189,42,185,51,182,56,179,64,176,72,174,81,171,92,170,103,170,114,172,135,177,157,185,178,196,199,185,199xm210,97l210,82,212,70,215,61,218,51,223,44,229,39,235,34,243,31,252,31,259,31,265,33,271,36,276,38,280,42,284,48,287,53,290,59,292,67,294,74,294,85,294,97,294,112,293,125,290,134,287,143,282,150,276,155,270,161,262,163,252,163,240,163,230,159,223,150,218,140,214,129,211,114,210,97xm227,97l227,112,229,124,231,133,234,140,239,147,245,150,252,150,260,150,266,147,271,140,274,133,276,124,278,112,278,97,278,83,276,71,274,62,271,55,266,48,260,45,252,45,245,45,239,48,235,54,231,61,229,71,227,83,227,97xm314,63l314,54,316,46,320,39,325,33,332,30,341,30,349,30,355,33,361,38,366,44,369,53,369,64,369,75,366,83,361,89,355,95,349,98,341,98,333,98,327,95,321,89,316,83,314,75,314,63xm341,41l337,41,334,42,331,46,329,49,327,55,327,65,327,73,329,79,331,82,334,85,337,87,341,87,345,87,348,85,351,82,354,79,355,72,355,63,355,55,354,49,351,46,348,42,345,41,341,41xm341,166l412,30,424,30,354,166,341,166xm397,131l397,121,399,114,404,107,408,101,415,97,424,97,432,97,439,100,444,106,449,112,452,120,452,132,452,142,449,151,444,157,439,163,432,166,424,166,416,166,410,163,405,157,399,151,397,142,397,131xm424,108l420,108,417,110,415,113,412,117,411,123,411,132,411,140,412,146,415,150,417,153,421,155,424,155,428,155,432,153,434,150,437,146,438,140,438,131,438,123,437,117,434,113,432,110,428,108,424,108xm485,199l474,199,486,178,494,157,499,135,500,114,500,103,499,92,497,81,495,73,492,64,488,56,486,51,481,42,474,30,485,30,493,41,500,52,505,63,510,74,513,84,515,94,516,104,517,114,516,126,514,138,511,149,507,160,503,171,497,181,492,190,485,199xm1605,131l1589,131,1589,30,1585,34,1580,37,1574,41,1568,45,1562,47,1557,49,1557,34,1566,30,1574,25,1580,19,1587,13,1592,7,1595,1,1605,1,1605,131xm1730,169l1724,160,1718,151,1713,141,1708,130,1704,119,1701,108,1699,96,1699,84,1699,74,1700,64,1703,54,1705,44,1710,33,1716,22,1722,11,1730,0,1741,0,1734,12,1729,21,1727,26,1724,34,1721,42,1719,51,1716,62,1715,73,1715,84,1717,105,1722,127,1730,148,1741,169,1730,169xm1815,131l1799,131,1799,30,1795,34,1790,37,1784,41,1778,45,1772,47,1767,49,1767,34,1776,30,1784,25,1791,19,1797,13,1802,7,1805,1,1815,1,1815,131xm1864,131l1864,113,1882,113,1882,131,1864,131xm1905,97l1921,95,1923,104,1926,110,1931,114,1935,118,1940,120,1946,120,1954,120,1960,117,1965,112,1970,107,1973,101,1973,93,1973,86,1971,80,1966,75,1961,70,1955,68,1948,68,1945,68,1941,69,1937,70,1938,56,1939,56,1940,56,1941,56,1948,56,1954,54,1959,51,1965,47,1967,42,1967,35,1967,29,1965,24,1961,20,1957,16,1952,14,1946,14,1940,14,1935,16,1931,20,1927,24,1924,30,1923,38,1907,35,1909,24,1913,16,1920,10,1927,4,1936,1,1946,1,1953,1,1959,3,1965,6,1971,9,1976,13,1979,18,1982,24,1983,29,1983,35,1983,41,1982,46,1979,50,1976,55,1972,58,1966,61,1973,63,1979,66,1983,72,1988,78,1990,84,1990,93,1990,104,1986,114,1977,121,1969,129,1959,133,1946,133,1935,133,1926,130,1918,123,1911,116,1906,108,1905,97xm2008,33l2008,24,2011,16,2015,9,2020,3,2027,0,2035,0,2044,0,2050,3,2056,8,2061,14,2064,23,2064,34,2064,45,2061,53,2055,59,2050,65,2044,68,2036,68,2028,68,2021,65,2016,59,2011,53,2008,45,2008,33xm2036,11l2032,11,2029,12,2026,16,2024,19,2022,25,2022,35,2022,43,2024,49,2026,52,2029,55,2032,57,2036,57,2040,57,2043,55,2046,52,2048,49,2050,42,2050,33,2050,25,2048,19,2046,16,2043,12,2040,11,2036,11xm2036,136l2107,0,2119,0,2049,136,2036,136xm2092,101l2092,91,2094,84,2099,77,2103,71,2110,67,2119,67,2127,67,2134,70,2139,76,2144,82,2147,90,2147,102,2147,112,2144,121,2139,127,2134,133,2127,136,2119,136,2111,136,2105,133,2100,127,2094,121,2092,112,2092,101xm2119,78l2115,78,2112,80,2109,83,2107,87,2106,93,2106,102,2106,110,2107,116,2110,120,2112,123,2115,125,2119,125,2123,125,2127,123,2129,120,2132,116,2133,110,2133,101,2133,93,2132,87,2129,83,2127,80,2123,78,2119,78xm2180,169l2169,169,2180,148,2189,127,2194,105,2195,84,2195,73,2194,62,2191,51,2189,43,2187,34,2183,26,2181,21,2176,12,2169,0,2180,0,2188,11,2195,22,2200,33,2205,44,2208,54,2210,64,2211,74,2211,84,2211,96,2209,108,2206,119,2202,130,2198,141,2192,151,2187,160,2180,169xe">
                  <v:path o:connectlocs="42,5445;83,5488;52,5577;17,5526;64,5547;42,5459;173,5595;161,5488;176,5486;210,5511;259,5445;294,5499;252,5577;229,5538;276,5538;245,5459;320,5453;369,5489;314,5489;329,5493;355,5477;354,5580;439,5514;424,5580;415,5527;428,5569;428,5522;497,5495;505,5477;503,5585;1568,5459;1605,5415;1699,5498;1734,5426;1722,5541;1778,5459;1815,5415;1926,5524;1973,5507;1938,5470;1967,5443;1924,5444;1959,5417;1979,5464;1990,5518;1906,5522;2050,5417;2036,5482;2026,5430;2040,5471;2040,5425;2099,5491;2147,5526;2092,5526;2107,5530;2133,5515;2189,5541;2176,5426;2211,5498" o:connectangles="0,0,0,0,0,0,0,0,0,0,0,0,0,0,0,0,0,0,0,0,0,0,0,0,0,0,0,0,0,0,0,0,0,0,0,0,0,0,0,0,0,0,0,0,0,0,0,0,0,0,0,0,0,0,0,0,0,0,0"/>
                  <v:fill on="f" focussize="0,0"/>
                  <v:stroke weight="2.25pt" color="#FFFFFF" joinstyle="round"/>
                  <v:imagedata o:title=""/>
                  <o:lock v:ext="edit" aspectratio="f"/>
                </v:shape>
                <v:shape id="Picture 357" o:spid="_x0000_s1026" o:spt="75" type="#_x0000_t75" style="position:absolute;left:9525;top:6697;height:300;width:255;" filled="f" o:preferrelative="t" stroked="f" coordsize="21600,21600" o:gfxdata="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XvF8GxgAAAOIAAAAPAAAAAAAAAAEAIAAAACIAAABkcnMvZG93bnJldi54bWxQSwECFAAUAAAA&#10;CACHTuJAMy8FnjsAAAA5AAAAEAAAAAAAAAABACAAAAAVAQAAZHJzL3NoYXBleG1sLnhtbFBLBQYA&#10;AAAABgAGAFsBAAC/AwAAAAA=&#10;">
                  <v:fill on="f" focussize="0,0"/>
                  <v:stroke on="f"/>
                  <v:imagedata r:id="rId110" o:title=""/>
                  <o:lock v:ext="edit" aspectratio="t"/>
                </v:shape>
                <v:rect id="Rectangle 356" o:spid="_x0000_s1026" o:spt="1" style="position:absolute;left:2070;top:8647;height:2700;width:8130;" filled="f" stroked="t" coordsize="21600,21600" o:gfxdata="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zBuwwAAAOIAAAAPAAAAAAAAAAEAIAAAACIAAABkcnMvZG93bnJldi54bWxQSwECFAAUAAAACACH&#10;TuJAMy8FnjsAAAA5AAAAEAAAAAAAAAABACAAAAASAQAAZHJzL3NoYXBleG1sLnhtbFBLBQYAAAAA&#10;BgAGAFsBAAC8AwAAAAA=&#10;">
                  <v:fill on="f" focussize="0,0"/>
                  <v:stroke color="#EDEDED" miterlimit="8" joinstyle="miter"/>
                  <v:imagedata o:title=""/>
                  <o:lock v:ext="edit" aspectratio="f"/>
                </v:rect>
                <v:shape id="AutoShape 355" o:spid="_x0000_s1026" o:spt="100" style="position:absolute;left:2069;top:8647;height:2700;width:8130;" fillcolor="#EDEDED" filled="t" stroked="f" coordsize="8130,2700" o:gfxdata="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OPf68QAAADjAAAADwAAAAAAAAABACAAAAAiAAAAZHJzL2Rvd25yZXYueG1sUEsBAhQAFAAAAAgA&#10;h07iQDMvBZ47AAAAOQAAABAAAAAAAAAAAQAgAAAAEwEAAGRycy9zaGFwZXhtbC54bWxQSwUGAAAA&#10;AAYABgBbAQAAvQMAAAAA&#10;" path="m6810,2010l0,2010,0,2025,6810,2025,6810,2010xm6810,1350l0,1350,0,1365,6810,1365,6810,1350xm6810,675l0,675,0,690,6810,690,6810,675xm8130,2685l0,2685,0,2700,8130,2700,8130,2685xm8130,2010l7815,2010,7815,2025,8130,2025,8130,2010xm8130,1350l7815,1350,7815,1365,8130,1365,8130,1350xm8130,675l7815,675,7815,690,8130,690,8130,675xm8130,0l0,0,0,15,8130,15,8130,0xe">
                  <v:path o:connectlocs="6810,10657;0,10657;0,10672;6810,10672;6810,10657;6810,9997;0,9997;0,10012;6810,10012;6810,9997;6810,9322;0,9322;0,9337;6810,9337;6810,9322;8130,11332;0,11332;0,11347;8130,11347;8130,11332;8130,10657;7815,10657;7815,10672;8130,10672;8130,10657;8130,9997;7815,9997;7815,10012;8130,10012;8130,9997;8130,9322;7815,9322;7815,9337;8130,9337;8130,9322;8130,8647;0,8647;0,8662;8130,8662;8130,8647" o:connectangles="0,0,0,0,0,0,0,0,0,0,0,0,0,0,0,0,0,0,0,0,0,0,0,0,0,0,0,0,0,0,0,0,0,0,0,0,0,0,0,0"/>
                  <v:fill on="t" focussize="0,0"/>
                  <v:stroke on="f"/>
                  <v:imagedata o:title=""/>
                  <o:lock v:ext="edit" aspectratio="f"/>
                </v:shape>
                <v:shape id="AutoShape 354" o:spid="_x0000_s1026" o:spt="100" style="position:absolute;left:2069;top:8977;height:2040;width:8130;" fillcolor="#F7F7F7" filled="t" stroked="f" coordsize="8130,2040" o:gfxdata="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uLU&#10;wAAAAOMAAAAPAAAAAAAAAAEAIAAAACIAAABkcnMvZG93bnJldi54bWxQSwECFAAUAAAACACHTuJA&#10;My8FnjsAAAA5AAAAEAAAAAAAAAABACAAAAAPAQAAZHJzL3NoYXBleG1sLnhtbFBLBQYAAAAABgAG&#10;AFsBAAC5AwAAAAA=&#10;" path="m6810,2025l0,2025,0,2040,6810,2040,6810,2025xm6810,1350l0,1350,0,1365,6810,1365,6810,1350xm6810,675l0,675,0,690,6810,690,6810,675xm8130,2025l7815,2025,7815,2040,8130,2040,8130,2025xm8130,1350l7815,1350,7815,1365,8130,1365,8130,1350xm8130,675l7815,675,7815,690,8130,690,8130,675xm8130,0l0,0,0,15,8130,15,8130,0xe">
                  <v:path o:connectlocs="6810,11002;0,11002;0,11017;6810,11017;6810,11002;6810,10327;0,10327;0,10342;6810,10342;6810,10327;6810,9652;0,9652;0,9667;6810,9667;6810,9652;8130,11002;7815,11002;7815,11017;8130,11017;8130,11002;8130,10327;7815,10327;7815,10342;8130,10342;8130,10327;8130,9652;7815,9652;7815,9667;8130,9667;8130,9652;8130,8977;0,8977;0,8992;8130,8992;8130,8977" o:connectangles="0,0,0,0,0,0,0,0,0,0,0,0,0,0,0,0,0,0,0,0,0,0,0,0,0,0,0,0,0,0,0,0,0,0,0"/>
                  <v:fill on="t" focussize="0,0"/>
                  <v:stroke on="f"/>
                  <v:imagedata o:title=""/>
                  <o:lock v:ext="edit" aspectratio="f"/>
                </v:shape>
                <v:shape id="AutoShape 353" o:spid="_x0000_s1026" o:spt="100" style="position:absolute;left:2384;top:11242;height:98;width:4245;" fillcolor="#663AB6" filled="t" stroked="f" coordsize="4245,98" o:gfxdata="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nL&#10;O1XCAAAA4gAAAA8AAAAAAAAAAQAgAAAAIgAAAGRycy9kb3ducmV2LnhtbFBLAQIUABQAAAAIAIdO&#10;4kAzLwWeOwAAADkAAAAQAAAAAAAAAAEAIAAAABEBAABkcnMvc2hhcGV4bWwueG1sUEsFBgAAAAAG&#10;AAYAWwEAALsDAAAAAA==&#10;" path="m1005,90l0,90,0,98,1005,98,1005,90xm2625,90l1620,90,1620,98,2625,98,2625,90xm4245,0l3255,0,3255,90,4245,90,4245,0xe">
                  <v:path o:connectlocs="1005,11332;0,11332;0,11340;1005,11340;1005,11332;2625,11332;1620,11332;1620,11340;2625,11340;2625,11332;4245,11242;3255,11242;3255,11332;4245,11332;4245,11242" o:connectangles="0,0,0,0,0,0,0,0,0,0,0,0,0,0,0"/>
                  <v:fill on="t" focussize="0,0"/>
                  <v:stroke on="f"/>
                  <v:imagedata o:title=""/>
                  <o:lock v:ext="edit" aspectratio="f"/>
                </v:shape>
                <v:rect id="Rectangle 352" o:spid="_x0000_s1026" o:spt="1" style="position:absolute;left:2070;top:11332;height:15;width:8130;" fillcolor="#333333" filled="t" stroked="f" coordsize="21600,21600" o:gfxdata="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N3R4cQAAADjAAAADwAAAAAAAAABACAAAAAiAAAAZHJzL2Rvd25yZXYueG1sUEsBAhQAFAAAAAgA&#10;h07iQDMvBZ47AAAAOQAAABAAAAAAAAAAAQAgAAAAEwEAAGRycy9zaGFwZXhtbC54bWxQSwUGAAAA&#10;AAYABgBbAQAAvQMAAAAA&#10;">
                  <v:fill on="t" focussize="0,0"/>
                  <v:stroke on="f"/>
                  <v:imagedata o:title=""/>
                  <o:lock v:ext="edit" aspectratio="f"/>
                </v:rect>
                <v:shape id="AutoShape 351" o:spid="_x0000_s1026" o:spt="100" style="position:absolute;left:2879;top:11062;height:270;width:3270;" fillcolor="#999999" filled="t" stroked="f" coordsize="3270,270" o:gfxdata="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c&#10;99kswwAAAOMAAAAPAAAAAAAAAAEAIAAAACIAAABkcnMvZG93bnJldi54bWxQSwECFAAUAAAACACH&#10;TuJAMy8FnjsAAAA5AAAAEAAAAAAAAAABACAAAAASAQAAZHJzL3NoYXBleG1sLnhtbFBLBQYAAAAA&#10;BgAGAFsBAAC8AwAAAAA=&#10;" path="m15,90l0,90,0,270,15,270,15,90xm1635,90l1620,90,1620,270,1635,270,1635,90xm3270,0l3255,0,3255,180,3270,180,3270,0xe">
                  <v:path o:connectlocs="15,11152;0,11152;0,11332;15,11332;15,11152;1635,11152;1620,11152;1620,11332;1635,11332;1635,11152;3270,11062;3255,11062;3255,11242;3270,11242;3270,11062" o:connectangles="0,0,0,0,0,0,0,0,0,0,0,0,0,0,0"/>
                  <v:fill on="t" focussize="0,0"/>
                  <v:stroke on="f"/>
                  <v:imagedata o:title=""/>
                  <o:lock v:ext="edit" aspectratio="f"/>
                </v:shape>
                <v:shape id="AutoShape 350" o:spid="_x0000_s1026" o:spt="100" style="position:absolute;left:2622;top:10903;height:259;width:3772;" filled="f" stroked="t" coordsize="3772,259" o:gfxdata="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IH&#10;D8EAAADjAAAADwAAAAAAAAABACAAAAAiAAAAZHJzL2Rvd25yZXYueG1sUEsBAhQAFAAAAAgAh07i&#10;QDMvBZ47AAAAOQAAABAAAAAAAAAAAQAgAAAAEAEAAGRycy9zaGFwZXhtbC54bWxQSwUGAAAAAAYA&#10;BgBbAQAAugMAAAAA&#10;" path="m0,157l0,142,2,130,5,121,8,111,13,104,19,99,25,94,33,91,42,91,49,91,55,93,61,96,66,98,70,102,74,108,77,113,80,119,82,127,83,134,84,145,84,157,84,172,83,185,80,194,77,203,72,210,66,215,60,221,52,223,42,223,30,223,20,219,13,210,8,200,4,189,1,174,0,157xm17,157l17,172,19,184,21,193,24,200,29,207,35,210,42,210,50,210,56,207,61,200,64,193,66,184,68,172,68,157,68,143,66,131,64,122,61,115,56,108,50,105,42,105,35,105,29,108,25,114,21,121,19,131,17,143,17,157xm185,259l179,250,173,241,168,231,163,220,159,209,156,198,155,186,154,174,154,164,156,154,158,144,161,134,165,123,171,112,177,101,185,90,196,90,189,102,185,111,182,116,179,124,176,132,174,141,171,152,170,163,170,174,172,195,177,217,185,238,196,259,185,259xm210,157l210,142,212,130,215,121,218,111,223,104,229,99,235,94,243,91,252,91,259,91,265,93,271,96,276,98,280,102,284,108,287,113,290,119,292,127,294,134,294,145,294,157,294,172,293,185,290,194,287,203,282,210,276,215,270,221,262,223,252,223,240,223,230,219,223,210,218,200,214,189,211,174,210,157xm227,157l227,172,229,184,231,193,234,200,239,207,245,210,252,210,260,210,266,207,271,200,274,193,276,184,278,172,278,157,278,143,276,131,274,122,271,115,266,108,260,105,252,105,245,105,239,108,235,114,231,121,229,131,227,143,227,157xm314,123l314,114,316,106,320,99,325,93,332,90,341,90,349,90,355,93,361,98,366,104,369,113,369,124,369,135,366,143,361,149,355,155,349,158,341,158,333,158,327,155,321,149,316,143,314,135,314,123xm341,101l337,101,334,102,331,106,329,109,327,115,327,125,327,133,329,139,331,142,334,145,337,147,341,147,345,147,348,145,351,142,354,139,355,132,355,123,355,115,354,109,351,106,348,102,345,101,341,101xm341,226l412,90,424,90,354,226,341,226xm397,191l397,181,399,174,404,167,408,161,415,157,424,157,432,157,439,160,444,166,449,172,452,180,452,192,452,202,449,211,444,217,439,223,432,226,424,226,416,226,410,223,405,217,399,211,397,202,397,191xm424,168l420,168,417,170,415,173,412,177,411,183,411,192,411,200,412,206,415,210,417,213,421,215,424,215,428,215,432,213,434,210,437,206,438,200,438,191,438,183,437,177,434,173,432,170,428,168,424,168xm485,259l474,259,486,238,494,217,499,195,500,174,500,163,499,152,497,141,495,133,492,124,488,116,486,111,481,102,474,90,485,90,493,101,500,112,505,123,510,134,513,144,515,154,516,164,517,174,516,186,514,198,511,209,507,220,503,231,497,241,492,250,485,259xm1620,157l1620,142,1622,130,1625,121,1628,111,1633,104,1639,99,1645,94,1653,91,1662,91,1669,91,1675,93,1681,96,1686,98,1690,102,1694,108,1697,113,1700,119,1702,127,1703,134,1704,145,1704,157,1704,172,1703,185,1700,194,1697,203,1692,210,1686,215,1680,221,1672,223,1662,223,1650,223,1640,219,1633,210,1628,200,1624,189,1621,174,1620,157xm1637,157l1637,172,1639,184,1641,193,1644,200,1649,207,1655,210,1662,210,1670,210,1676,207,1681,200,1684,193,1686,184,1688,172,1688,157,1688,143,1686,131,1684,122,1681,115,1676,108,1670,105,1662,105,1655,105,1649,108,1645,114,1641,121,1639,131,1637,143,1637,157xm1805,259l1799,250,1793,241,1788,231,1783,220,1779,209,1776,198,1775,186,1774,174,1774,164,1776,154,1778,144,1781,134,1785,123,1791,112,1797,101,1805,90,1816,90,1809,102,1805,111,1802,116,1799,124,1796,132,1794,141,1791,152,1790,163,1790,174,1792,195,1797,217,1805,238,1816,259,1805,259xm1830,157l1830,142,1832,130,1835,121,1838,111,1843,104,1849,99,1855,94,1863,91,1872,91,1879,91,1885,93,1891,96,1896,98,1900,102,1904,108,1907,113,1910,119,1912,127,1914,134,1914,145,1914,157,1914,172,1913,185,1910,194,1907,203,1902,210,1896,215,1890,221,1882,223,1872,223,1860,223,1850,219,1843,210,1838,200,1834,189,1831,174,1830,157xm1847,157l1847,172,1849,184,1851,193,1854,200,1859,207,1865,210,1872,210,1880,210,1886,207,1891,200,1894,193,1896,184,1898,172,1898,157,1898,143,1896,131,1894,122,1891,115,1886,108,1880,105,1872,105,1865,105,1859,108,1855,114,1851,121,1849,131,1847,143,1847,157xm1934,123l1934,114,1936,106,1940,99,1945,93,1952,90,1961,90,1969,90,1975,93,1981,98,1986,104,1989,113,1989,124,1989,135,1986,143,1981,149,1975,155,1969,158,1961,158,1953,158,1947,155,1941,149,1936,143,1934,135,1934,123xm1961,101l1957,101,1954,102,1951,106,1949,109,1947,115,1947,125,1947,133,1949,139,1951,142,1954,145,1957,147,1961,147,1965,147,1968,145,1971,142,1974,139,1975,132,1975,123,1975,115,1974,109,1971,106,1968,102,1965,101,1961,101xm1961,226l2032,90,2044,90,1974,226,1961,226xm2017,191l2017,181,2019,174,2024,167,2028,161,2035,157,2044,157,2052,157,2059,160,2064,166,2069,172,2072,180,2072,192,2072,202,2069,211,2064,217,2059,223,2052,226,2044,226,2036,226,2030,223,2025,217,2019,211,2017,202,2017,191xm2044,168l2040,168,2037,170,2035,173,2032,177,2031,183,2031,192,2031,200,2032,206,2035,210,2037,213,2041,215,2044,215,2048,215,2052,213,2054,210,2057,206,2058,200,2058,191,2058,183,2057,177,2054,173,2052,170,2048,168,2044,168xm2105,259l2094,259,2106,238,2114,217,2119,195,2120,174,2120,163,2119,152,2117,141,2115,133,2112,124,2108,116,2106,111,2101,102,2094,90,2105,90,2113,101,2120,112,2125,123,2130,134,2133,144,2135,154,2136,164,2137,174,2136,186,2134,198,2131,209,2127,220,2123,231,2117,241,2112,250,2105,259xm3255,97l3271,95,3273,104,3276,110,3281,114,3285,118,3290,120,3297,120,3304,120,3310,117,3315,112,3321,107,3323,101,3323,93,3323,86,3321,80,3316,75,3311,70,3305,68,3298,68,3295,68,3291,69,3287,70,3288,56,3289,56,3290,56,3291,56,3298,56,3304,54,3309,51,3315,47,3317,42,3317,35,3317,29,3315,24,3311,20,3307,16,3302,14,3296,14,3290,14,3285,16,3281,20,3277,24,3274,30,3273,38,3257,35,3259,24,3263,16,3270,10,3277,4,3286,1,3296,1,3303,1,3309,3,3315,6,3321,9,3326,13,3329,18,3332,24,3334,29,3334,35,3334,41,3332,46,3329,50,3326,55,3322,58,3316,61,3323,63,3329,66,3334,72,3338,78,3340,84,3340,93,3340,104,3336,114,3328,121,3319,129,3309,133,3296,133,3285,133,3276,130,3268,123,3261,116,3257,108,3255,97xm3440,169l3434,160,3428,151,3423,141,3418,130,3414,119,3411,108,3410,96,3409,84,3409,74,3411,64,3413,54,3416,44,3420,33,3426,22,3432,11,3440,0,3451,0,3444,12,3440,21,3437,26,3434,34,3431,42,3429,51,3426,62,3425,73,3425,84,3427,105,3432,127,3440,148,3451,169,3440,169xm3516,131l3516,100,3460,100,3460,86,3519,2,3532,2,3532,86,3549,86,3549,100,3532,100,3532,131,3516,131xm3516,86l3516,27,3476,86,3516,86xm3569,33l3569,24,3571,16,3575,9,3580,3,3587,0,3596,0,3604,0,3610,3,3616,8,3621,14,3624,23,3624,34,3624,45,3621,53,3616,59,3610,65,3604,68,3596,68,3588,68,3582,65,3576,59,3571,53,3569,45,3569,33xm3596,11l3592,11,3589,12,3586,16,3584,19,3582,25,3582,35,3582,43,3584,49,3586,52,3589,55,3592,57,3596,57,3600,57,3603,55,3606,52,3609,49,3610,42,3610,33,3610,25,3609,19,3606,16,3603,12,3600,11,3596,11xm3596,136l3667,0,3679,0,3609,136,3596,136xm3652,101l3652,91,3654,84,3659,77,3663,71,3670,67,3679,67,3687,67,3694,70,3699,76,3704,82,3707,90,3707,102,3707,112,3704,121,3699,127,3694,133,3687,136,3679,136,3671,136,3665,133,3660,127,3654,121,3652,112,3652,101xm3679,78l3675,78,3672,80,3670,83,3667,87,3666,93,3666,102,3666,110,3667,116,3670,120,3672,123,3676,125,3679,125,3683,125,3687,123,3689,120,3692,116,3693,110,3693,101,3693,93,3692,87,3689,83,3687,80,3683,78,3679,78xm3740,169l3729,169,3741,148,3749,127,3754,105,3755,84,3755,73,3754,62,3752,51,3750,43,3747,34,3743,26,3741,21,3736,12,3729,0,3740,0,3748,11,3755,22,3760,33,3765,44,3768,54,3770,64,3771,74,3772,84,3771,96,3769,108,3766,119,3762,130,3758,141,3752,151,3747,160,3740,169xe">
                  <v:path o:connectlocs="66,11002;66,11119;21,11097;64,11026;173,11145;185,10994;196,11163;271,11000;282,11114;229,11088;276,11035;314,11018;361,11053;329,11013;355,11027;399,11078;439,11127;411,11087;438,11087;497,11045;516,11068;1628,11015;1702,11031;1640,11123;1670,11114;1655,11009;1775,11090;1799,11028;1835,11025;1910,11023;1860,11127;1872,11114;1872,11009;1961,10994;1947,11059;1951,11046;1965,11005;2052,11061;2025,11121;2037,11117;2044,11072;2101,11006;2127,11124;3310,11021;3288,10960;3302,10918;3296,10905;3322,10962;3285,11037;3409,10988;3431,10946;3519,10906;3571,10920;3610,10969;3582,10929;3610,10929;3659,10981;3687,11040;3666,11006;3692,10991;3750,10947;3772,10988" o:connectangles="0,0,0,0,0,0,0,0,0,0,0,0,0,0,0,0,0,0,0,0,0,0,0,0,0,0,0,0,0,0,0,0,0,0,0,0,0,0,0,0,0,0,0,0,0,0,0,0,0,0,0,0,0,0,0,0,0,0,0,0,0,0"/>
                  <v:fill on="f" focussize="0,0"/>
                  <v:stroke weight="2.25pt" color="#FFFFFF" joinstyle="round"/>
                  <v:imagedata o:title=""/>
                  <o:lock v:ext="edit" aspectratio="f"/>
                </v:shape>
              </v:group>
            </w:pict>
          </mc:Fallback>
        </mc:AlternateContent>
      </w:r>
      <w:r>
        <w:rPr>
          <w:rFonts w:eastAsia="Roboto"/>
          <w:color w:val="202024"/>
        </w:rPr>
        <w:t>Clear</w:t>
      </w:r>
      <w:r>
        <w:rPr>
          <w:rFonts w:eastAsia="Roboto"/>
          <w:color w:val="202024"/>
          <w:spacing w:val="8"/>
        </w:rPr>
        <w:t xml:space="preserve"> </w:t>
      </w:r>
      <w:r>
        <w:rPr>
          <w:rFonts w:eastAsia="Roboto"/>
          <w:color w:val="202024"/>
        </w:rPr>
        <w:t>fiscal</w:t>
      </w:r>
      <w:r>
        <w:rPr>
          <w:rFonts w:eastAsia="Roboto"/>
          <w:color w:val="202024"/>
          <w:spacing w:val="8"/>
        </w:rPr>
        <w:t xml:space="preserve"> </w:t>
      </w:r>
      <w:r>
        <w:rPr>
          <w:rFonts w:eastAsia="Roboto"/>
          <w:color w:val="202024"/>
        </w:rPr>
        <w:t>policy</w:t>
      </w:r>
      <w:r>
        <w:rPr>
          <w:rFonts w:eastAsia="Roboto"/>
          <w:color w:val="202024"/>
          <w:spacing w:val="8"/>
        </w:rPr>
        <w:t xml:space="preserve"> </w:t>
      </w:r>
      <w:r>
        <w:rPr>
          <w:rFonts w:eastAsia="Roboto"/>
          <w:color w:val="202024"/>
        </w:rPr>
        <w:t>objectives,</w:t>
      </w:r>
      <w:r>
        <w:rPr>
          <w:rFonts w:eastAsia="Roboto"/>
          <w:color w:val="202024"/>
          <w:spacing w:val="9"/>
        </w:rPr>
        <w:t xml:space="preserve"> </w:t>
      </w:r>
      <w:r>
        <w:rPr>
          <w:rFonts w:eastAsia="Roboto"/>
          <w:color w:val="202024"/>
        </w:rPr>
        <w:t>principle</w:t>
      </w:r>
      <w:r>
        <w:rPr>
          <w:rFonts w:eastAsia="Roboto"/>
          <w:color w:val="202024"/>
          <w:spacing w:val="8"/>
        </w:rPr>
        <w:t xml:space="preserve"> </w:t>
      </w:r>
      <w:r>
        <w:rPr>
          <w:rFonts w:eastAsia="Roboto"/>
          <w:color w:val="202024"/>
        </w:rPr>
        <w:t>driven</w:t>
      </w:r>
      <w:r>
        <w:rPr>
          <w:rFonts w:eastAsia="Roboto"/>
          <w:color w:val="202024"/>
          <w:spacing w:val="8"/>
        </w:rPr>
        <w:t xml:space="preserve"> </w:t>
      </w:r>
      <w:r>
        <w:rPr>
          <w:rFonts w:eastAsia="Roboto"/>
          <w:color w:val="202024"/>
        </w:rPr>
        <w:t>tax</w:t>
      </w:r>
      <w:r>
        <w:rPr>
          <w:rFonts w:eastAsia="Roboto"/>
          <w:color w:val="202024"/>
          <w:spacing w:val="9"/>
        </w:rPr>
        <w:t xml:space="preserve"> </w:t>
      </w:r>
      <w:r>
        <w:rPr>
          <w:rFonts w:eastAsia="Roboto"/>
          <w:color w:val="202024"/>
        </w:rPr>
        <w:t>policy,</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drafting</w:t>
      </w:r>
      <w:r>
        <w:rPr>
          <w:rFonts w:eastAsia="Roboto"/>
          <w:color w:val="202024"/>
          <w:spacing w:val="1"/>
        </w:rPr>
        <w:t xml:space="preserve"> </w:t>
      </w:r>
      <w:r>
        <w:rPr>
          <w:rFonts w:eastAsia="Roboto"/>
          <w:color w:val="202024"/>
        </w:rPr>
        <w:t>competence</w:t>
      </w:r>
      <w:r>
        <w:rPr>
          <w:rFonts w:eastAsia="Roboto"/>
          <w:color w:val="202024"/>
          <w:spacing w:val="8"/>
        </w:rPr>
        <w:t xml:space="preserve"> </w:t>
      </w:r>
      <w:r>
        <w:rPr>
          <w:rFonts w:eastAsia="Roboto"/>
          <w:color w:val="202024"/>
        </w:rPr>
        <w:t>by</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relevant</w:t>
      </w:r>
      <w:r>
        <w:rPr>
          <w:rFonts w:eastAsia="Roboto"/>
          <w:color w:val="202024"/>
          <w:spacing w:val="8"/>
        </w:rPr>
        <w:t xml:space="preserve"> </w:t>
      </w:r>
      <w:r>
        <w:rPr>
          <w:rFonts w:eastAsia="Roboto"/>
          <w:color w:val="202024"/>
        </w:rPr>
        <w:t>ministries</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agencies,</w:t>
      </w:r>
      <w:r>
        <w:rPr>
          <w:rFonts w:eastAsia="Roboto"/>
          <w:color w:val="202024"/>
          <w:spacing w:val="8"/>
        </w:rPr>
        <w:t xml:space="preserve"> </w:t>
      </w:r>
      <w:r>
        <w:rPr>
          <w:rFonts w:eastAsia="Roboto"/>
          <w:color w:val="202024"/>
        </w:rPr>
        <w:t>i.e.</w:t>
      </w:r>
      <w:r>
        <w:rPr>
          <w:rFonts w:eastAsia="Roboto"/>
          <w:color w:val="202024"/>
          <w:spacing w:val="8"/>
        </w:rPr>
        <w:t xml:space="preserve"> </w:t>
      </w:r>
      <w:r>
        <w:rPr>
          <w:rFonts w:eastAsia="Roboto"/>
          <w:color w:val="202024"/>
        </w:rPr>
        <w:t>Ministry</w:t>
      </w:r>
      <w:r>
        <w:rPr>
          <w:rFonts w:eastAsia="Roboto"/>
          <w:color w:val="202024"/>
          <w:spacing w:val="8"/>
        </w:rPr>
        <w:t xml:space="preserve"> </w:t>
      </w:r>
      <w:r>
        <w:rPr>
          <w:rFonts w:eastAsia="Roboto"/>
          <w:color w:val="202024"/>
        </w:rPr>
        <w:t>of</w:t>
      </w:r>
      <w:r>
        <w:rPr>
          <w:rFonts w:eastAsia="Roboto"/>
          <w:color w:val="202024"/>
          <w:spacing w:val="1"/>
        </w:rPr>
        <w:t xml:space="preserve"> </w:t>
      </w:r>
      <w:r>
        <w:rPr>
          <w:rFonts w:eastAsia="Roboto"/>
          <w:color w:val="202024"/>
        </w:rPr>
        <w:t>Petroleum</w:t>
      </w:r>
      <w:r>
        <w:rPr>
          <w:rFonts w:eastAsia="Roboto"/>
          <w:color w:val="202024"/>
          <w:spacing w:val="14"/>
        </w:rPr>
        <w:t xml:space="preserve"> </w:t>
      </w:r>
      <w:r>
        <w:rPr>
          <w:rFonts w:eastAsia="Roboto"/>
          <w:color w:val="202024"/>
        </w:rPr>
        <w:t>Resources</w:t>
      </w:r>
      <w:r>
        <w:rPr>
          <w:rFonts w:eastAsia="Roboto"/>
          <w:color w:val="202024"/>
          <w:spacing w:val="14"/>
        </w:rPr>
        <w:t xml:space="preserve"> </w:t>
      </w:r>
      <w:r>
        <w:rPr>
          <w:rFonts w:eastAsia="Roboto"/>
          <w:color w:val="202024"/>
        </w:rPr>
        <w:t>(MPR),</w:t>
      </w:r>
      <w:r>
        <w:rPr>
          <w:rFonts w:eastAsia="Roboto"/>
          <w:color w:val="202024"/>
          <w:spacing w:val="14"/>
        </w:rPr>
        <w:t xml:space="preserve"> </w:t>
      </w:r>
      <w:r>
        <w:rPr>
          <w:rFonts w:eastAsia="Roboto"/>
          <w:color w:val="202024"/>
        </w:rPr>
        <w:t>Finance</w:t>
      </w:r>
      <w:r>
        <w:rPr>
          <w:rFonts w:eastAsia="Roboto"/>
          <w:color w:val="202024"/>
          <w:spacing w:val="14"/>
        </w:rPr>
        <w:t xml:space="preserve"> </w:t>
      </w:r>
      <w:r>
        <w:rPr>
          <w:rFonts w:eastAsia="Roboto"/>
          <w:color w:val="202024"/>
        </w:rPr>
        <w:t>(MoF),</w:t>
      </w:r>
      <w:r>
        <w:rPr>
          <w:rFonts w:eastAsia="Roboto"/>
          <w:color w:val="202024"/>
          <w:spacing w:val="15"/>
        </w:rPr>
        <w:t xml:space="preserve"> </w:t>
      </w:r>
      <w:r>
        <w:rPr>
          <w:rFonts w:eastAsia="Roboto"/>
          <w:color w:val="202024"/>
        </w:rPr>
        <w:t>Justice</w:t>
      </w:r>
      <w:r>
        <w:rPr>
          <w:rFonts w:eastAsia="Roboto"/>
          <w:color w:val="202024"/>
          <w:spacing w:val="14"/>
        </w:rPr>
        <w:t xml:space="preserve"> </w:t>
      </w:r>
      <w:r>
        <w:rPr>
          <w:rFonts w:eastAsia="Roboto"/>
          <w:color w:val="202024"/>
        </w:rPr>
        <w:t>(MoJ),</w:t>
      </w:r>
      <w:r>
        <w:rPr>
          <w:rFonts w:eastAsia="Roboto"/>
          <w:color w:val="202024"/>
          <w:spacing w:val="14"/>
        </w:rPr>
        <w:t xml:space="preserve"> </w:t>
      </w:r>
      <w:r>
        <w:rPr>
          <w:rFonts w:eastAsia="Roboto"/>
          <w:color w:val="202024"/>
        </w:rPr>
        <w:t>the</w:t>
      </w:r>
      <w:r>
        <w:rPr>
          <w:rFonts w:eastAsia="Roboto"/>
          <w:color w:val="202024"/>
          <w:spacing w:val="14"/>
        </w:rPr>
        <w:t xml:space="preserve"> </w:t>
      </w:r>
      <w:r>
        <w:rPr>
          <w:rFonts w:eastAsia="Roboto"/>
          <w:color w:val="202024"/>
        </w:rPr>
        <w:t>Nigeria</w:t>
      </w:r>
      <w:r>
        <w:rPr>
          <w:rFonts w:eastAsia="Roboto"/>
          <w:color w:val="202024"/>
          <w:spacing w:val="1"/>
        </w:rPr>
        <w:t xml:space="preserve"> </w:t>
      </w:r>
      <w:r>
        <w:rPr>
          <w:rFonts w:eastAsia="Roboto"/>
          <w:color w:val="202024"/>
        </w:rPr>
        <w:t>National</w:t>
      </w:r>
      <w:r>
        <w:rPr>
          <w:rFonts w:eastAsia="Roboto"/>
          <w:color w:val="202024"/>
          <w:spacing w:val="20"/>
        </w:rPr>
        <w:t xml:space="preserve"> </w:t>
      </w:r>
      <w:r>
        <w:rPr>
          <w:rFonts w:eastAsia="Roboto"/>
          <w:color w:val="202024"/>
        </w:rPr>
        <w:t>Petroleum</w:t>
      </w:r>
      <w:r>
        <w:rPr>
          <w:rFonts w:eastAsia="Roboto"/>
          <w:color w:val="202024"/>
          <w:spacing w:val="21"/>
        </w:rPr>
        <w:t xml:space="preserve"> </w:t>
      </w:r>
      <w:r>
        <w:rPr>
          <w:rFonts w:eastAsia="Roboto"/>
          <w:color w:val="202024"/>
        </w:rPr>
        <w:t>Corporation</w:t>
      </w:r>
      <w:r>
        <w:rPr>
          <w:rFonts w:eastAsia="Roboto"/>
          <w:color w:val="202024"/>
          <w:spacing w:val="21"/>
        </w:rPr>
        <w:t xml:space="preserve"> </w:t>
      </w:r>
      <w:r>
        <w:rPr>
          <w:rFonts w:eastAsia="Roboto"/>
          <w:color w:val="202024"/>
        </w:rPr>
        <w:t>(NNPC),</w:t>
      </w:r>
      <w:r>
        <w:rPr>
          <w:rFonts w:eastAsia="Roboto"/>
          <w:color w:val="202024"/>
          <w:spacing w:val="20"/>
        </w:rPr>
        <w:t xml:space="preserve"> </w:t>
      </w:r>
      <w:r>
        <w:rPr>
          <w:rFonts w:eastAsia="Roboto"/>
          <w:color w:val="202024"/>
        </w:rPr>
        <w:t>and</w:t>
      </w:r>
      <w:r>
        <w:rPr>
          <w:rFonts w:eastAsia="Roboto"/>
          <w:color w:val="202024"/>
          <w:spacing w:val="21"/>
        </w:rPr>
        <w:t xml:space="preserve"> </w:t>
      </w:r>
      <w:r>
        <w:rPr>
          <w:rFonts w:eastAsia="Roboto"/>
          <w:color w:val="202024"/>
        </w:rPr>
        <w:t>the</w:t>
      </w:r>
      <w:r>
        <w:rPr>
          <w:rFonts w:eastAsia="Roboto"/>
          <w:color w:val="202024"/>
          <w:spacing w:val="21"/>
        </w:rPr>
        <w:t xml:space="preserve"> </w:t>
      </w:r>
      <w:r>
        <w:rPr>
          <w:rFonts w:eastAsia="Roboto"/>
          <w:color w:val="202024"/>
        </w:rPr>
        <w:t>National</w:t>
      </w:r>
      <w:r>
        <w:rPr>
          <w:rFonts w:eastAsia="Roboto"/>
          <w:color w:val="202024"/>
          <w:spacing w:val="20"/>
        </w:rPr>
        <w:t xml:space="preserve"> </w:t>
      </w:r>
      <w:r>
        <w:rPr>
          <w:rFonts w:eastAsia="Roboto"/>
          <w:color w:val="202024"/>
        </w:rPr>
        <w:t>Assembly (NA),</w:t>
      </w:r>
      <w:r>
        <w:rPr>
          <w:rFonts w:eastAsia="Roboto"/>
          <w:color w:val="202024"/>
          <w:spacing w:val="-56"/>
        </w:rPr>
        <w:t xml:space="preserve"> </w:t>
      </w:r>
      <w:r>
        <w:rPr>
          <w:rFonts w:eastAsia="Roboto"/>
          <w:color w:val="202024"/>
        </w:rPr>
        <w:t>play</w:t>
      </w:r>
      <w:r>
        <w:rPr>
          <w:rFonts w:eastAsia="Roboto"/>
          <w:color w:val="202024"/>
          <w:spacing w:val="6"/>
        </w:rPr>
        <w:t xml:space="preserve"> </w:t>
      </w:r>
      <w:r>
        <w:rPr>
          <w:rFonts w:eastAsia="Roboto"/>
          <w:color w:val="202024"/>
        </w:rPr>
        <w:t>a</w:t>
      </w:r>
      <w:r>
        <w:rPr>
          <w:rFonts w:eastAsia="Roboto"/>
          <w:color w:val="202024"/>
          <w:spacing w:val="6"/>
        </w:rPr>
        <w:t xml:space="preserve"> </w:t>
      </w:r>
      <w:r>
        <w:rPr>
          <w:rFonts w:eastAsia="Roboto"/>
          <w:color w:val="202024"/>
        </w:rPr>
        <w:t>vital</w:t>
      </w:r>
      <w:r>
        <w:rPr>
          <w:rFonts w:eastAsia="Roboto"/>
          <w:color w:val="202024"/>
          <w:spacing w:val="6"/>
        </w:rPr>
        <w:t xml:space="preserve"> </w:t>
      </w:r>
      <w:r>
        <w:rPr>
          <w:rFonts w:eastAsia="Roboto"/>
          <w:color w:val="202024"/>
        </w:rPr>
        <w:t>role</w:t>
      </w:r>
      <w:r>
        <w:rPr>
          <w:rFonts w:eastAsia="Roboto"/>
          <w:color w:val="202024"/>
          <w:spacing w:val="6"/>
        </w:rPr>
        <w:t xml:space="preserve"> </w:t>
      </w:r>
      <w:r>
        <w:rPr>
          <w:rFonts w:eastAsia="Roboto"/>
          <w:color w:val="202024"/>
        </w:rPr>
        <w:t>in</w:t>
      </w:r>
      <w:r>
        <w:rPr>
          <w:rFonts w:eastAsia="Roboto"/>
          <w:color w:val="202024"/>
          <w:spacing w:val="6"/>
        </w:rPr>
        <w:t xml:space="preserve"> </w:t>
      </w:r>
      <w:r>
        <w:rPr>
          <w:rFonts w:eastAsia="Roboto"/>
          <w:color w:val="202024"/>
        </w:rPr>
        <w:t>making</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drafting</w:t>
      </w:r>
      <w:r>
        <w:rPr>
          <w:rFonts w:eastAsia="Roboto"/>
          <w:color w:val="202024"/>
          <w:spacing w:val="6"/>
        </w:rPr>
        <w:t xml:space="preserve"> </w:t>
      </w:r>
      <w:r>
        <w:rPr>
          <w:rFonts w:eastAsia="Roboto"/>
          <w:color w:val="202024"/>
        </w:rPr>
        <w:t>clear</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certain</w:t>
      </w:r>
      <w:r>
        <w:rPr>
          <w:rFonts w:eastAsia="Roboto"/>
          <w:color w:val="202024"/>
          <w:spacing w:val="6"/>
        </w:rPr>
        <w:t xml:space="preserve"> </w:t>
      </w:r>
      <w:r>
        <w:rPr>
          <w:rFonts w:eastAsia="Roboto"/>
          <w:color w:val="202024"/>
        </w:rPr>
        <w:t>upstream</w:t>
      </w:r>
      <w:r>
        <w:rPr>
          <w:rFonts w:eastAsia="Roboto"/>
          <w:color w:val="202024"/>
          <w:spacing w:val="1"/>
        </w:rPr>
        <w:t xml:space="preserve"> </w:t>
      </w:r>
      <w:r>
        <w:rPr>
          <w:rFonts w:eastAsia="Roboto"/>
          <w:color w:val="202024"/>
        </w:rPr>
        <w:t>petroleum</w:t>
      </w:r>
      <w:r>
        <w:rPr>
          <w:rFonts w:eastAsia="Roboto"/>
          <w:color w:val="202024"/>
          <w:spacing w:val="5"/>
        </w:rPr>
        <w:t xml:space="preserve"> </w:t>
      </w:r>
      <w:r>
        <w:rPr>
          <w:rFonts w:eastAsia="Roboto"/>
          <w:color w:val="202024"/>
        </w:rPr>
        <w:t>tax</w:t>
      </w:r>
      <w:r>
        <w:rPr>
          <w:rFonts w:eastAsia="Roboto"/>
          <w:color w:val="202024"/>
          <w:spacing w:val="5"/>
        </w:rPr>
        <w:t xml:space="preserve"> </w:t>
      </w:r>
      <w:r>
        <w:rPr>
          <w:rFonts w:eastAsia="Roboto"/>
          <w:color w:val="202024"/>
        </w:rPr>
        <w:t>laws.</w:t>
      </w:r>
    </w:p>
    <w:p w14:paraId="62F900F2">
      <w:pPr>
        <w:widowControl w:val="0"/>
        <w:numPr>
          <w:ilvl w:val="0"/>
          <w:numId w:val="44"/>
        </w:numPr>
        <w:tabs>
          <w:tab w:val="left" w:pos="383"/>
        </w:tabs>
        <w:autoSpaceDE w:val="0"/>
        <w:autoSpaceDN w:val="0"/>
        <w:spacing w:before="102"/>
        <w:rPr>
          <w:rFonts w:ascii="Roboto" w:hAnsi="Roboto" w:eastAsia="Roboto" w:cs="Roboto"/>
          <w:sz w:val="18"/>
          <w:szCs w:val="22"/>
        </w:rPr>
      </w:pPr>
      <w:r>
        <w:rPr>
          <w:rFonts w:ascii="Roboto" w:hAnsi="Roboto" w:eastAsia="Roboto" w:cs="Roboto"/>
          <w:color w:val="202024"/>
          <w:sz w:val="18"/>
          <w:szCs w:val="22"/>
        </w:rPr>
        <w:t>responses</w:t>
      </w:r>
    </w:p>
    <w:p w14:paraId="05A636DC">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54933B76">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8119" w:space="677"/>
            <w:col w:w="784"/>
          </w:cols>
        </w:sectPr>
      </w:pPr>
    </w:p>
    <w:p w14:paraId="2F5CF7C8">
      <w:pPr>
        <w:widowControl w:val="0"/>
        <w:autoSpaceDE w:val="0"/>
        <w:autoSpaceDN w:val="0"/>
        <w:spacing w:before="10"/>
        <w:rPr>
          <w:rFonts w:ascii="Lucida Sans Unicode" w:hAnsi="Roboto" w:eastAsia="Roboto" w:cs="Roboto"/>
          <w:sz w:val="21"/>
          <w:szCs w:val="21"/>
        </w:rPr>
      </w:pPr>
    </w:p>
    <w:p w14:paraId="1C9A8C4D">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60</w:t>
      </w:r>
    </w:p>
    <w:p w14:paraId="700514E0">
      <w:pPr>
        <w:widowControl w:val="0"/>
        <w:autoSpaceDE w:val="0"/>
        <w:autoSpaceDN w:val="0"/>
        <w:rPr>
          <w:rFonts w:ascii="Arial MT" w:hAnsi="Roboto" w:eastAsia="Roboto" w:cs="Roboto"/>
          <w:sz w:val="20"/>
          <w:szCs w:val="21"/>
        </w:rPr>
      </w:pPr>
    </w:p>
    <w:p w14:paraId="0DFECA57">
      <w:pPr>
        <w:widowControl w:val="0"/>
        <w:autoSpaceDE w:val="0"/>
        <w:autoSpaceDN w:val="0"/>
        <w:rPr>
          <w:rFonts w:ascii="Arial MT" w:hAnsi="Roboto" w:eastAsia="Roboto" w:cs="Roboto"/>
          <w:sz w:val="20"/>
          <w:szCs w:val="21"/>
        </w:rPr>
      </w:pPr>
    </w:p>
    <w:p w14:paraId="02A533EA">
      <w:pPr>
        <w:widowControl w:val="0"/>
        <w:autoSpaceDE w:val="0"/>
        <w:autoSpaceDN w:val="0"/>
        <w:spacing w:before="9"/>
        <w:rPr>
          <w:rFonts w:ascii="Arial MT" w:hAnsi="Roboto" w:eastAsia="Roboto" w:cs="Roboto"/>
          <w:sz w:val="19"/>
          <w:szCs w:val="21"/>
        </w:rPr>
      </w:pPr>
    </w:p>
    <w:p w14:paraId="16C5565A">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687936" behindDoc="0" locked="0" layoutInCell="1" allowOverlap="1">
                <wp:simplePos x="0" y="0"/>
                <wp:positionH relativeFrom="page">
                  <wp:posOffset>5638800</wp:posOffset>
                </wp:positionH>
                <wp:positionV relativeFrom="paragraph">
                  <wp:posOffset>-381635</wp:posOffset>
                </wp:positionV>
                <wp:extent cx="638175" cy="1581150"/>
                <wp:effectExtent l="0" t="0" r="0" b="0"/>
                <wp:wrapNone/>
                <wp:docPr id="1106352325" name="Text Box 87"/>
                <wp:cNvGraphicFramePr/>
                <a:graphic xmlns:a="http://schemas.openxmlformats.org/drawingml/2006/main">
                  <a:graphicData uri="http://schemas.microsoft.com/office/word/2010/wordprocessingShape">
                    <wps:wsp>
                      <wps:cNvSpPr txBox="1">
                        <a:spLocks noChangeArrowheads="1"/>
                      </wps:cNvSpPr>
                      <wps:spPr bwMode="auto">
                        <a:xfrm>
                          <a:off x="0" y="0"/>
                          <a:ext cx="638175" cy="1581150"/>
                        </a:xfrm>
                        <a:prstGeom prst="rect">
                          <a:avLst/>
                        </a:prstGeom>
                        <a:solidFill>
                          <a:srgbClr val="663AB6"/>
                        </a:solidFill>
                        <a:ln>
                          <a:noFill/>
                        </a:ln>
                        <a:effectLst/>
                      </wps:spPr>
                      <wps:txbx>
                        <w:txbxContent>
                          <w:p w14:paraId="74DF4417">
                            <w:pPr>
                              <w:spacing w:before="14"/>
                              <w:rPr>
                                <w:rFonts w:ascii="Arial MT"/>
                                <w:sz w:val="18"/>
                              </w:rPr>
                            </w:pPr>
                            <w:r>
                              <w:rPr>
                                <w:rFonts w:ascii="Arial MT"/>
                                <w:color w:val="FFFFFF"/>
                                <w:sz w:val="18"/>
                              </w:rPr>
                              <w:t>56 (73.7%)</w:t>
                            </w:r>
                          </w:p>
                        </w:txbxContent>
                      </wps:txbx>
                      <wps:bodyPr rot="0" vert="horz" wrap="square" lIns="0" tIns="0" rIns="0" bIns="0" anchor="t" anchorCtr="0" upright="1">
                        <a:noAutofit/>
                      </wps:bodyPr>
                    </wps:wsp>
                  </a:graphicData>
                </a:graphic>
              </wp:anchor>
            </w:drawing>
          </mc:Choice>
          <mc:Fallback>
            <w:pict>
              <v:shape id="Text Box 87" o:spid="_x0000_s1026" o:spt="202" type="#_x0000_t202" style="position:absolute;left:0pt;margin-left:444pt;margin-top:-30.05pt;height:124.5pt;width:50.25pt;mso-position-horizontal-relative:page;z-index:251687936;mso-width-relative:page;mso-height-relative:page;" fillcolor="#663AB6" filled="t" stroked="f" coordsize="21600,21600" o:gfxdata="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QCT2&#10;2AAAAAsBAAAPAAAAAAAAAAEAIAAAACIAAABkcnMvZG93bnJldi54bWxQSwECFAAUAAAACACHTuJA&#10;VkuqZSECAABFBAAADgAAAAAAAAABACAAAAAnAQAAZHJzL2Uyb0RvYy54bWxQSwUGAAAAAAYABgBZ&#10;AQAAugUAAAAA&#10;">
                <v:fill on="t" focussize="0,0"/>
                <v:stroke on="f"/>
                <v:imagedata o:title=""/>
                <o:lock v:ext="edit" aspectratio="f"/>
                <v:textbox inset="0mm,0mm,0mm,0mm">
                  <w:txbxContent>
                    <w:p w14:paraId="74DF4417">
                      <w:pPr>
                        <w:spacing w:before="14"/>
                        <w:rPr>
                          <w:rFonts w:ascii="Arial MT"/>
                          <w:sz w:val="18"/>
                        </w:rPr>
                      </w:pPr>
                      <w:r>
                        <w:rPr>
                          <w:rFonts w:ascii="Arial MT"/>
                          <w:color w:val="FFFFFF"/>
                          <w:sz w:val="18"/>
                        </w:rPr>
                        <w:t>56 (73.7%)</w:t>
                      </w:r>
                    </w:p>
                  </w:txbxContent>
                </v:textbox>
              </v:shape>
            </w:pict>
          </mc:Fallback>
        </mc:AlternateContent>
      </w:r>
      <w:r>
        <w:rPr>
          <w:rFonts w:ascii="Arial MT" w:hAnsi="Roboto" w:eastAsia="Roboto" w:cs="Roboto"/>
          <w:color w:val="444444"/>
          <w:sz w:val="18"/>
          <w:szCs w:val="22"/>
        </w:rPr>
        <w:t>40</w:t>
      </w:r>
    </w:p>
    <w:p w14:paraId="2B8E72F8">
      <w:pPr>
        <w:widowControl w:val="0"/>
        <w:autoSpaceDE w:val="0"/>
        <w:autoSpaceDN w:val="0"/>
        <w:rPr>
          <w:rFonts w:ascii="Arial MT" w:hAnsi="Roboto" w:eastAsia="Roboto" w:cs="Roboto"/>
          <w:sz w:val="20"/>
          <w:szCs w:val="21"/>
        </w:rPr>
      </w:pPr>
    </w:p>
    <w:p w14:paraId="12DD6E63">
      <w:pPr>
        <w:widowControl w:val="0"/>
        <w:autoSpaceDE w:val="0"/>
        <w:autoSpaceDN w:val="0"/>
        <w:rPr>
          <w:rFonts w:ascii="Arial MT" w:hAnsi="Roboto" w:eastAsia="Roboto" w:cs="Roboto"/>
          <w:sz w:val="20"/>
          <w:szCs w:val="21"/>
        </w:rPr>
      </w:pPr>
    </w:p>
    <w:p w14:paraId="53E07AB8">
      <w:pPr>
        <w:widowControl w:val="0"/>
        <w:autoSpaceDE w:val="0"/>
        <w:autoSpaceDN w:val="0"/>
        <w:spacing w:before="9"/>
        <w:rPr>
          <w:rFonts w:ascii="Arial MT" w:hAnsi="Roboto" w:eastAsia="Roboto" w:cs="Roboto"/>
          <w:sz w:val="19"/>
          <w:szCs w:val="21"/>
        </w:rPr>
      </w:pPr>
    </w:p>
    <w:p w14:paraId="65D0CBDE">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1629FA7D">
      <w:pPr>
        <w:widowControl w:val="0"/>
        <w:autoSpaceDE w:val="0"/>
        <w:autoSpaceDN w:val="0"/>
        <w:spacing w:before="10"/>
        <w:rPr>
          <w:rFonts w:ascii="Arial MT" w:hAnsi="Roboto" w:eastAsia="Roboto" w:cs="Roboto"/>
          <w:szCs w:val="21"/>
        </w:rPr>
      </w:pPr>
    </w:p>
    <w:p w14:paraId="637B4408">
      <w:pPr>
        <w:widowControl w:val="0"/>
        <w:autoSpaceDE w:val="0"/>
        <w:autoSpaceDN w:val="0"/>
        <w:rPr>
          <w:rFonts w:ascii="Arial MT" w:hAnsi="Roboto" w:eastAsia="Roboto" w:cs="Roboto"/>
          <w:szCs w:val="22"/>
        </w:rPr>
        <w:sectPr>
          <w:type w:val="continuous"/>
          <w:pgSz w:w="11900" w:h="16840"/>
          <w:pgMar w:top="480" w:right="1280" w:bottom="1680" w:left="1040" w:header="720" w:footer="720" w:gutter="0"/>
          <w:cols w:space="720" w:num="1"/>
        </w:sectPr>
      </w:pPr>
    </w:p>
    <w:p w14:paraId="0AEDD0B5">
      <w:pPr>
        <w:widowControl w:val="0"/>
        <w:autoSpaceDE w:val="0"/>
        <w:autoSpaceDN w:val="0"/>
        <w:spacing w:before="125"/>
        <w:ind w:right="20"/>
        <w:jc w:val="center"/>
        <w:rPr>
          <w:rFonts w:ascii="Arial MT" w:hAnsi="Roboto" w:eastAsia="Roboto" w:cs="Roboto"/>
          <w:sz w:val="18"/>
          <w:szCs w:val="22"/>
        </w:rPr>
      </w:pPr>
      <w:r>
        <w:rPr>
          <w:rFonts w:ascii="Arial MT" w:hAnsi="Roboto" w:eastAsia="Roboto" w:cs="Roboto"/>
          <w:color w:val="202024"/>
          <w:sz w:val="18"/>
          <w:szCs w:val="22"/>
        </w:rPr>
        <w:t>0 (0%)</w:t>
      </w:r>
    </w:p>
    <w:p w14:paraId="606C7583">
      <w:pPr>
        <w:widowControl w:val="0"/>
        <w:autoSpaceDE w:val="0"/>
        <w:autoSpaceDN w:val="0"/>
        <w:spacing w:before="70"/>
        <w:ind w:right="543"/>
        <w:jc w:val="center"/>
        <w:rPr>
          <w:rFonts w:ascii="Arial MT" w:hAnsi="Roboto" w:eastAsia="Roboto" w:cs="Roboto"/>
          <w:sz w:val="18"/>
          <w:szCs w:val="22"/>
        </w:rPr>
      </w:pPr>
      <w:r>
        <w:rPr>
          <w:rFonts w:ascii="Arial MT" w:hAnsi="Roboto" w:eastAsia="Roboto" w:cs="Roboto"/>
          <w:color w:val="444444"/>
          <w:sz w:val="18"/>
          <w:szCs w:val="22"/>
        </w:rPr>
        <w:t>0</w:t>
      </w:r>
    </w:p>
    <w:p w14:paraId="3BE5008D">
      <w:pPr>
        <w:widowControl w:val="0"/>
        <w:autoSpaceDE w:val="0"/>
        <w:autoSpaceDN w:val="0"/>
        <w:spacing w:before="95"/>
        <w:rPr>
          <w:rFonts w:ascii="Arial MT" w:hAnsi="Roboto" w:eastAsia="Roboto" w:cs="Roboto"/>
          <w:sz w:val="18"/>
          <w:szCs w:val="22"/>
        </w:rPr>
      </w:pPr>
      <w:r>
        <w:rPr>
          <w:rFonts w:ascii="Roboto" w:hAnsi="Roboto" w:eastAsia="Roboto" w:cs="Roboto"/>
          <w:sz w:val="22"/>
          <w:szCs w:val="22"/>
        </w:rPr>
        <w:br w:type="column"/>
      </w:r>
      <w:r>
        <w:rPr>
          <w:rFonts w:ascii="Arial MT" w:hAnsi="Roboto" w:eastAsia="Roboto" w:cs="Roboto"/>
          <w:spacing w:val="-2"/>
          <w:sz w:val="18"/>
          <w:szCs w:val="22"/>
        </w:rPr>
        <w:t>1</w:t>
      </w:r>
      <w:r>
        <w:rPr>
          <w:rFonts w:ascii="Arial MT" w:hAnsi="Roboto" w:eastAsia="Roboto" w:cs="Roboto"/>
          <w:spacing w:val="-6"/>
          <w:sz w:val="18"/>
          <w:szCs w:val="22"/>
        </w:rPr>
        <w:t xml:space="preserve"> </w:t>
      </w:r>
      <w:r>
        <w:rPr>
          <w:rFonts w:ascii="Arial MT" w:hAnsi="Roboto" w:eastAsia="Roboto" w:cs="Roboto"/>
          <w:color w:val="232327"/>
          <w:spacing w:val="-2"/>
          <w:sz w:val="18"/>
          <w:szCs w:val="22"/>
        </w:rPr>
        <w:t>(1.3%)</w:t>
      </w:r>
    </w:p>
    <w:p w14:paraId="5B52F285">
      <w:pPr>
        <w:widowControl w:val="0"/>
        <w:autoSpaceDE w:val="0"/>
        <w:autoSpaceDN w:val="0"/>
        <w:spacing w:before="6"/>
        <w:rPr>
          <w:rFonts w:ascii="Arial MT" w:hAnsi="Roboto" w:eastAsia="Roboto" w:cs="Roboto"/>
          <w:sz w:val="22"/>
          <w:szCs w:val="21"/>
        </w:rPr>
      </w:pPr>
      <w:r>
        <w:rPr>
          <w:rFonts w:ascii="Roboto" w:hAnsi="Roboto" w:eastAsia="Roboto" w:cs="Roboto"/>
          <w:sz w:val="21"/>
          <w:szCs w:val="21"/>
        </w:rPr>
        <w:br w:type="column"/>
      </w:r>
    </w:p>
    <w:p w14:paraId="182EB53B">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688960" behindDoc="0" locked="0" layoutInCell="1" allowOverlap="1">
                <wp:simplePos x="0" y="0"/>
                <wp:positionH relativeFrom="page">
                  <wp:posOffset>4610100</wp:posOffset>
                </wp:positionH>
                <wp:positionV relativeFrom="paragraph">
                  <wp:posOffset>-208280</wp:posOffset>
                </wp:positionV>
                <wp:extent cx="638175" cy="361950"/>
                <wp:effectExtent l="0" t="0" r="0" b="0"/>
                <wp:wrapNone/>
                <wp:docPr id="152307570" name="Text Box 86"/>
                <wp:cNvGraphicFramePr/>
                <a:graphic xmlns:a="http://schemas.openxmlformats.org/drawingml/2006/main">
                  <a:graphicData uri="http://schemas.microsoft.com/office/word/2010/wordprocessingShape">
                    <wps:wsp>
                      <wps:cNvSpPr txBox="1">
                        <a:spLocks noChangeArrowheads="1"/>
                      </wps:cNvSpPr>
                      <wps:spPr bwMode="auto">
                        <a:xfrm>
                          <a:off x="0" y="0"/>
                          <a:ext cx="638175" cy="361950"/>
                        </a:xfrm>
                        <a:prstGeom prst="rect">
                          <a:avLst/>
                        </a:prstGeom>
                        <a:solidFill>
                          <a:srgbClr val="663AB6"/>
                        </a:solidFill>
                        <a:ln>
                          <a:noFill/>
                        </a:ln>
                        <a:effectLst/>
                      </wps:spPr>
                      <wps:txbx>
                        <w:txbxContent>
                          <w:p w14:paraId="33A243A1">
                            <w:pPr>
                              <w:spacing w:before="14"/>
                              <w:rPr>
                                <w:rFonts w:ascii="Arial MT"/>
                                <w:sz w:val="18"/>
                              </w:rPr>
                            </w:pPr>
                            <w:r>
                              <w:rPr>
                                <w:rFonts w:ascii="Arial MT"/>
                                <w:color w:val="FFFFFF"/>
                                <w:sz w:val="18"/>
                              </w:rPr>
                              <w:t>13 (17.1%)</w:t>
                            </w:r>
                          </w:p>
                        </w:txbxContent>
                      </wps:txbx>
                      <wps:bodyPr rot="0" vert="horz" wrap="square" lIns="0" tIns="0" rIns="0" bIns="0" anchor="t" anchorCtr="0" upright="1">
                        <a:noAutofit/>
                      </wps:bodyPr>
                    </wps:wsp>
                  </a:graphicData>
                </a:graphic>
              </wp:anchor>
            </w:drawing>
          </mc:Choice>
          <mc:Fallback>
            <w:pict>
              <v:shape id="Text Box 86" o:spid="_x0000_s1026" o:spt="202" type="#_x0000_t202" style="position:absolute;left:0pt;margin-left:363pt;margin-top:-16.4pt;height:28.5pt;width:50.25pt;mso-position-horizontal-relative:page;z-index:251688960;mso-width-relative:page;mso-height-relative:page;" fillcolor="#663AB6" filled="t" stroked="f" coordsize="21600,21600" o:gfxdata="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0W3X&#10;2AAAAAoBAAAPAAAAAAAAAAEAIAAAACIAAABkcnMvZG93bnJldi54bWxQSwECFAAUAAAACACHTuJA&#10;OevsTiECAABDBAAADgAAAAAAAAABACAAAAAnAQAAZHJzL2Uyb0RvYy54bWxQSwUGAAAAAAYABgBZ&#10;AQAAugUAAAAA&#10;">
                <v:fill on="t" focussize="0,0"/>
                <v:stroke on="f"/>
                <v:imagedata o:title=""/>
                <o:lock v:ext="edit" aspectratio="f"/>
                <v:textbox inset="0mm,0mm,0mm,0mm">
                  <w:txbxContent>
                    <w:p w14:paraId="33A243A1">
                      <w:pPr>
                        <w:spacing w:before="14"/>
                        <w:rPr>
                          <w:rFonts w:ascii="Arial MT"/>
                          <w:sz w:val="18"/>
                        </w:rPr>
                      </w:pPr>
                      <w:r>
                        <w:rPr>
                          <w:rFonts w:ascii="Arial MT"/>
                          <w:color w:val="FFFFFF"/>
                          <w:sz w:val="18"/>
                        </w:rPr>
                        <w:t>13 (17.1%)</w:t>
                      </w:r>
                    </w:p>
                  </w:txbxContent>
                </v:textbox>
              </v:shape>
            </w:pict>
          </mc:Fallback>
        </mc:AlternateContent>
      </w:r>
      <w:r>
        <w:rPr>
          <w:rFonts w:hAnsi="Roboto" w:eastAsia="Roboto" w:cs="Roboto"/>
          <w:color w:val="FFFFFF"/>
          <w:sz w:val="18"/>
          <w:szCs w:val="22"/>
          <w:shd w:val="clear" w:color="auto" w:fill="663AB6"/>
        </w:rPr>
        <w:t xml:space="preserve">  </w:t>
      </w:r>
      <w:r>
        <w:rPr>
          <w:rFonts w:hAnsi="Roboto" w:eastAsia="Roboto" w:cs="Roboto"/>
          <w:color w:val="FFFFFF"/>
          <w:spacing w:val="19"/>
          <w:sz w:val="18"/>
          <w:szCs w:val="22"/>
          <w:shd w:val="clear" w:color="auto" w:fill="663AB6"/>
        </w:rPr>
        <w:t xml:space="preserve"> </w:t>
      </w:r>
      <w:r>
        <w:rPr>
          <w:rFonts w:ascii="Arial MT" w:hAnsi="Roboto" w:eastAsia="Roboto" w:cs="Roboto"/>
          <w:color w:val="FFFFFF"/>
          <w:sz w:val="18"/>
          <w:szCs w:val="22"/>
          <w:shd w:val="clear" w:color="auto" w:fill="663AB6"/>
        </w:rPr>
        <w:t>6 (7.9%)</w:t>
      </w:r>
      <w:r>
        <w:rPr>
          <w:rFonts w:ascii="Arial MT" w:hAnsi="Roboto" w:eastAsia="Roboto" w:cs="Roboto"/>
          <w:color w:val="FFFFFF"/>
          <w:spacing w:val="5"/>
          <w:sz w:val="18"/>
          <w:szCs w:val="22"/>
          <w:shd w:val="clear" w:color="auto" w:fill="663AB6"/>
        </w:rPr>
        <w:t xml:space="preserve"> </w:t>
      </w:r>
    </w:p>
    <w:p w14:paraId="52EB54E6">
      <w:pPr>
        <w:widowControl w:val="0"/>
        <w:autoSpaceDE w:val="0"/>
        <w:autoSpaceDN w:val="0"/>
        <w:rPr>
          <w:rFonts w:ascii="Arial MT" w:hAnsi="Roboto" w:eastAsia="Roboto" w:cs="Roboto"/>
          <w:sz w:val="18"/>
          <w:szCs w:val="22"/>
        </w:rPr>
        <w:sectPr>
          <w:type w:val="continuous"/>
          <w:pgSz w:w="11900" w:h="16840"/>
          <w:pgMar w:top="480" w:right="1280" w:bottom="1680" w:left="1040" w:header="720" w:footer="720" w:gutter="0"/>
          <w:cols w:equalWidth="0" w:num="3">
            <w:col w:w="2146" w:space="224"/>
            <w:col w:w="1430" w:space="50"/>
            <w:col w:w="5730"/>
          </w:cols>
        </w:sectPr>
      </w:pPr>
    </w:p>
    <w:p w14:paraId="2924EBCD">
      <w:pPr>
        <w:widowControl w:val="0"/>
        <w:tabs>
          <w:tab w:val="left" w:pos="3421"/>
          <w:tab w:val="left" w:pos="5044"/>
          <w:tab w:val="left" w:pos="6667"/>
          <w:tab w:val="left" w:pos="8290"/>
        </w:tabs>
        <w:autoSpaceDE w:val="0"/>
        <w:autoSpaceDN w:val="0"/>
        <w:spacing w:line="203"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0876CEB3">
      <w:pPr>
        <w:widowControl w:val="0"/>
        <w:autoSpaceDE w:val="0"/>
        <w:autoSpaceDN w:val="0"/>
        <w:rPr>
          <w:rFonts w:ascii="Arial MT" w:hAnsi="Roboto" w:eastAsia="Roboto" w:cs="Roboto"/>
          <w:sz w:val="20"/>
          <w:szCs w:val="21"/>
        </w:rPr>
      </w:pPr>
    </w:p>
    <w:p w14:paraId="50E4577B">
      <w:pPr>
        <w:widowControl w:val="0"/>
        <w:autoSpaceDE w:val="0"/>
        <w:autoSpaceDN w:val="0"/>
        <w:spacing w:before="7"/>
        <w:rPr>
          <w:rFonts w:ascii="Arial MT" w:hAnsi="Roboto" w:eastAsia="Roboto" w:cs="Roboto"/>
          <w:sz w:val="26"/>
          <w:szCs w:val="21"/>
        </w:rPr>
      </w:pPr>
    </w:p>
    <w:p w14:paraId="62FCFB33">
      <w:pPr>
        <w:widowControl w:val="0"/>
        <w:autoSpaceDE w:val="0"/>
        <w:autoSpaceDN w:val="0"/>
        <w:rPr>
          <w:rFonts w:ascii="Arial MT" w:hAnsi="Roboto" w:eastAsia="Roboto" w:cs="Roboto"/>
          <w:sz w:val="26"/>
          <w:szCs w:val="22"/>
        </w:rPr>
        <w:sectPr>
          <w:type w:val="continuous"/>
          <w:pgSz w:w="11900" w:h="16840"/>
          <w:pgMar w:top="480" w:right="1280" w:bottom="1680" w:left="1040" w:header="720" w:footer="720" w:gutter="0"/>
          <w:cols w:space="720" w:num="1"/>
        </w:sectPr>
      </w:pPr>
    </w:p>
    <w:p w14:paraId="1E3DB47D">
      <w:pPr>
        <w:widowControl w:val="0"/>
        <w:numPr>
          <w:ilvl w:val="0"/>
          <w:numId w:val="43"/>
        </w:numPr>
        <w:tabs>
          <w:tab w:val="left" w:pos="389"/>
        </w:tabs>
        <w:autoSpaceDE w:val="0"/>
        <w:autoSpaceDN w:val="0"/>
        <w:spacing w:before="95" w:line="300" w:lineRule="auto"/>
        <w:ind w:right="38" w:firstLine="0"/>
        <w:jc w:val="both"/>
        <w:outlineLvl w:val="0"/>
        <w:rPr>
          <w:rFonts w:eastAsia="Roboto"/>
        </w:rPr>
      </w:pPr>
      <w:r>
        <w:rPr>
          <w:rFonts w:eastAsia="Roboto"/>
          <w:color w:val="202024"/>
        </w:rPr>
        <w:t>In</w:t>
      </w:r>
      <w:r>
        <w:rPr>
          <w:rFonts w:eastAsia="Roboto"/>
          <w:color w:val="202024"/>
          <w:spacing w:val="9"/>
        </w:rPr>
        <w:t xml:space="preserve"> </w:t>
      </w:r>
      <w:r>
        <w:rPr>
          <w:rFonts w:eastAsia="Roboto"/>
          <w:color w:val="202024"/>
        </w:rPr>
        <w:t>your</w:t>
      </w:r>
      <w:r>
        <w:rPr>
          <w:rFonts w:eastAsia="Roboto"/>
          <w:color w:val="202024"/>
          <w:spacing w:val="10"/>
        </w:rPr>
        <w:t xml:space="preserve"> </w:t>
      </w:r>
      <w:r>
        <w:rPr>
          <w:rFonts w:eastAsia="Roboto"/>
          <w:color w:val="202024"/>
        </w:rPr>
        <w:t>experience,</w:t>
      </w:r>
      <w:r>
        <w:rPr>
          <w:rFonts w:eastAsia="Roboto"/>
          <w:color w:val="202024"/>
          <w:spacing w:val="9"/>
        </w:rPr>
        <w:t xml:space="preserve"> </w:t>
      </w:r>
      <w:r>
        <w:rPr>
          <w:rFonts w:eastAsia="Roboto"/>
          <w:color w:val="202024"/>
        </w:rPr>
        <w:t>how</w:t>
      </w:r>
      <w:r>
        <w:rPr>
          <w:rFonts w:eastAsia="Roboto"/>
          <w:color w:val="202024"/>
          <w:spacing w:val="10"/>
        </w:rPr>
        <w:t xml:space="preserve"> </w:t>
      </w:r>
      <w:r>
        <w:rPr>
          <w:rFonts w:eastAsia="Roboto"/>
          <w:color w:val="202024"/>
        </w:rPr>
        <w:t>important</w:t>
      </w:r>
      <w:r>
        <w:rPr>
          <w:rFonts w:eastAsia="Roboto"/>
          <w:color w:val="202024"/>
          <w:spacing w:val="9"/>
        </w:rPr>
        <w:t xml:space="preserve"> </w:t>
      </w:r>
      <w:r>
        <w:rPr>
          <w:rFonts w:eastAsia="Roboto"/>
          <w:color w:val="202024"/>
        </w:rPr>
        <w:t>is</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use</w:t>
      </w:r>
      <w:r>
        <w:rPr>
          <w:rFonts w:eastAsia="Roboto"/>
          <w:color w:val="202024"/>
          <w:spacing w:val="9"/>
        </w:rPr>
        <w:t xml:space="preserve"> </w:t>
      </w:r>
      <w:r>
        <w:rPr>
          <w:rFonts w:eastAsia="Roboto"/>
          <w:color w:val="202024"/>
        </w:rPr>
        <w:t>of</w:t>
      </w:r>
      <w:r>
        <w:rPr>
          <w:rFonts w:eastAsia="Roboto"/>
          <w:color w:val="202024"/>
          <w:spacing w:val="10"/>
        </w:rPr>
        <w:t xml:space="preserve"> </w:t>
      </w:r>
      <w:r>
        <w:rPr>
          <w:rFonts w:eastAsia="Roboto"/>
          <w:color w:val="202024"/>
        </w:rPr>
        <w:t>appropriate</w:t>
      </w:r>
      <w:r>
        <w:rPr>
          <w:rFonts w:eastAsia="Roboto"/>
          <w:color w:val="202024"/>
          <w:spacing w:val="9"/>
        </w:rPr>
        <w:t xml:space="preserve"> </w:t>
      </w:r>
      <w:r>
        <w:rPr>
          <w:rFonts w:eastAsia="Roboto"/>
          <w:color w:val="202024"/>
        </w:rPr>
        <w:t>and</w:t>
      </w:r>
      <w:r>
        <w:rPr>
          <w:rFonts w:eastAsia="Roboto"/>
          <w:color w:val="202024"/>
          <w:spacing w:val="10"/>
        </w:rPr>
        <w:t xml:space="preserve"> </w:t>
      </w:r>
      <w:r>
        <w:rPr>
          <w:rFonts w:eastAsia="Roboto"/>
          <w:color w:val="202024"/>
        </w:rPr>
        <w:t>well</w:t>
      </w:r>
      <w:r>
        <w:rPr>
          <w:rFonts w:eastAsia="Roboto"/>
          <w:color w:val="202024"/>
          <w:spacing w:val="-57"/>
        </w:rPr>
        <w:t xml:space="preserve"> </w:t>
      </w:r>
      <w:r>
        <w:rPr>
          <w:rFonts w:eastAsia="Roboto"/>
          <w:color w:val="202024"/>
        </w:rPr>
        <w:t>defined</w:t>
      </w:r>
      <w:r>
        <w:rPr>
          <w:rFonts w:eastAsia="Roboto"/>
          <w:color w:val="202024"/>
          <w:spacing w:val="6"/>
        </w:rPr>
        <w:t xml:space="preserve"> </w:t>
      </w:r>
      <w:r>
        <w:rPr>
          <w:rFonts w:eastAsia="Roboto"/>
          <w:color w:val="202024"/>
        </w:rPr>
        <w:t>words</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concepts</w:t>
      </w:r>
      <w:r>
        <w:rPr>
          <w:rFonts w:eastAsia="Roboto"/>
          <w:color w:val="202024"/>
          <w:spacing w:val="7"/>
        </w:rPr>
        <w:t xml:space="preserve"> </w:t>
      </w:r>
      <w:r>
        <w:rPr>
          <w:rFonts w:eastAsia="Roboto"/>
          <w:color w:val="202024"/>
        </w:rPr>
        <w:t>in</w:t>
      </w:r>
      <w:r>
        <w:rPr>
          <w:rFonts w:eastAsia="Roboto"/>
          <w:color w:val="202024"/>
          <w:spacing w:val="6"/>
        </w:rPr>
        <w:t xml:space="preserve"> </w:t>
      </w:r>
      <w:r>
        <w:rPr>
          <w:rFonts w:eastAsia="Roboto"/>
          <w:color w:val="202024"/>
        </w:rPr>
        <w:t>achieving</w:t>
      </w:r>
      <w:r>
        <w:rPr>
          <w:rFonts w:eastAsia="Roboto"/>
          <w:color w:val="202024"/>
          <w:spacing w:val="7"/>
        </w:rPr>
        <w:t xml:space="preserve"> </w:t>
      </w:r>
      <w:r>
        <w:rPr>
          <w:rFonts w:eastAsia="Roboto"/>
          <w:color w:val="202024"/>
        </w:rPr>
        <w:t>clarity</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certainty</w:t>
      </w:r>
      <w:r>
        <w:rPr>
          <w:rFonts w:eastAsia="Roboto"/>
          <w:color w:val="202024"/>
          <w:spacing w:val="7"/>
        </w:rPr>
        <w:t xml:space="preserve"> </w:t>
      </w:r>
      <w:r>
        <w:rPr>
          <w:rFonts w:eastAsia="Roboto"/>
          <w:color w:val="202024"/>
        </w:rPr>
        <w:t>in</w:t>
      </w:r>
      <w:r>
        <w:rPr>
          <w:rFonts w:eastAsia="Roboto"/>
          <w:color w:val="202024"/>
          <w:spacing w:val="1"/>
        </w:rPr>
        <w:t xml:space="preserve"> </w:t>
      </w:r>
      <w:r>
        <w:rPr>
          <w:rFonts w:eastAsia="Roboto"/>
          <w:color w:val="202024"/>
        </w:rPr>
        <w:t>upstream</w:t>
      </w:r>
      <w:r>
        <w:rPr>
          <w:rFonts w:eastAsia="Roboto"/>
          <w:color w:val="202024"/>
          <w:spacing w:val="6"/>
        </w:rPr>
        <w:t xml:space="preserve"> </w:t>
      </w:r>
      <w:r>
        <w:rPr>
          <w:rFonts w:eastAsia="Roboto"/>
          <w:color w:val="202024"/>
        </w:rPr>
        <w:t>oil</w:t>
      </w:r>
      <w:r>
        <w:rPr>
          <w:rFonts w:eastAsia="Roboto"/>
          <w:color w:val="202024"/>
          <w:spacing w:val="6"/>
        </w:rPr>
        <w:t xml:space="preserve"> </w:t>
      </w:r>
      <w:r>
        <w:rPr>
          <w:rFonts w:eastAsia="Roboto"/>
          <w:color w:val="202024"/>
        </w:rPr>
        <w:t>and</w:t>
      </w:r>
      <w:r>
        <w:rPr>
          <w:rFonts w:eastAsia="Roboto"/>
          <w:color w:val="202024"/>
          <w:spacing w:val="7"/>
        </w:rPr>
        <w:t xml:space="preserve"> </w:t>
      </w:r>
      <w:r>
        <w:rPr>
          <w:rFonts w:eastAsia="Roboto"/>
          <w:color w:val="202024"/>
        </w:rPr>
        <w:t>gas</w:t>
      </w:r>
      <w:r>
        <w:rPr>
          <w:rFonts w:eastAsia="Roboto"/>
          <w:color w:val="202024"/>
          <w:spacing w:val="6"/>
        </w:rPr>
        <w:t xml:space="preserve"> </w:t>
      </w:r>
      <w:r>
        <w:rPr>
          <w:rFonts w:eastAsia="Roboto"/>
          <w:color w:val="202024"/>
        </w:rPr>
        <w:t>fiscal</w:t>
      </w:r>
      <w:r>
        <w:rPr>
          <w:rFonts w:eastAsia="Roboto"/>
          <w:color w:val="202024"/>
          <w:spacing w:val="6"/>
        </w:rPr>
        <w:t xml:space="preserve"> </w:t>
      </w:r>
      <w:r>
        <w:rPr>
          <w:rFonts w:eastAsia="Roboto"/>
          <w:color w:val="202024"/>
        </w:rPr>
        <w:t>and</w:t>
      </w:r>
      <w:r>
        <w:rPr>
          <w:rFonts w:eastAsia="Roboto"/>
          <w:color w:val="202024"/>
          <w:spacing w:val="7"/>
        </w:rPr>
        <w:t xml:space="preserve"> </w:t>
      </w:r>
      <w:r>
        <w:rPr>
          <w:rFonts w:eastAsia="Roboto"/>
          <w:color w:val="202024"/>
        </w:rPr>
        <w:t>tax</w:t>
      </w:r>
      <w:r>
        <w:rPr>
          <w:rFonts w:eastAsia="Roboto"/>
          <w:color w:val="202024"/>
          <w:spacing w:val="6"/>
        </w:rPr>
        <w:t xml:space="preserve"> </w:t>
      </w:r>
      <w:r>
        <w:rPr>
          <w:rFonts w:eastAsia="Roboto"/>
          <w:color w:val="202024"/>
        </w:rPr>
        <w:t>policy</w:t>
      </w:r>
      <w:r>
        <w:rPr>
          <w:rFonts w:eastAsia="Roboto"/>
          <w:color w:val="202024"/>
          <w:spacing w:val="7"/>
        </w:rPr>
        <w:t xml:space="preserve"> </w:t>
      </w:r>
      <w:r>
        <w:rPr>
          <w:rFonts w:eastAsia="Roboto"/>
          <w:color w:val="202024"/>
        </w:rPr>
        <w:t>and</w:t>
      </w:r>
      <w:r>
        <w:rPr>
          <w:rFonts w:eastAsia="Roboto"/>
          <w:color w:val="202024"/>
          <w:spacing w:val="6"/>
        </w:rPr>
        <w:t xml:space="preserve"> </w:t>
      </w:r>
      <w:r>
        <w:rPr>
          <w:rFonts w:eastAsia="Roboto"/>
          <w:color w:val="202024"/>
        </w:rPr>
        <w:t>tax</w:t>
      </w:r>
      <w:r>
        <w:rPr>
          <w:rFonts w:eastAsia="Roboto"/>
          <w:color w:val="202024"/>
          <w:spacing w:val="6"/>
        </w:rPr>
        <w:t xml:space="preserve"> </w:t>
      </w:r>
      <w:r>
        <w:rPr>
          <w:rFonts w:eastAsia="Roboto"/>
          <w:color w:val="202024"/>
        </w:rPr>
        <w:t>legislation.</w:t>
      </w:r>
    </w:p>
    <w:p w14:paraId="4041D489">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38835D4B">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229ED1B3">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7818" w:space="978"/>
            <w:col w:w="784"/>
          </w:cols>
        </w:sectPr>
      </w:pPr>
    </w:p>
    <w:p w14:paraId="41DF967F">
      <w:pPr>
        <w:widowControl w:val="0"/>
        <w:autoSpaceDE w:val="0"/>
        <w:autoSpaceDN w:val="0"/>
        <w:spacing w:before="9"/>
        <w:rPr>
          <w:rFonts w:ascii="Lucida Sans Unicode" w:hAnsi="Roboto" w:eastAsia="Roboto" w:cs="Roboto"/>
          <w:sz w:val="21"/>
          <w:szCs w:val="21"/>
        </w:rPr>
      </w:pPr>
    </w:p>
    <w:p w14:paraId="399D5124">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80</w:t>
      </w:r>
    </w:p>
    <w:p w14:paraId="633EA519">
      <w:pPr>
        <w:widowControl w:val="0"/>
        <w:autoSpaceDE w:val="0"/>
        <w:autoSpaceDN w:val="0"/>
        <w:rPr>
          <w:rFonts w:ascii="Arial MT" w:hAnsi="Roboto" w:eastAsia="Roboto" w:cs="Roboto"/>
          <w:sz w:val="20"/>
          <w:szCs w:val="21"/>
        </w:rPr>
      </w:pPr>
    </w:p>
    <w:p w14:paraId="755093CF">
      <w:pPr>
        <w:widowControl w:val="0"/>
        <w:autoSpaceDE w:val="0"/>
        <w:autoSpaceDN w:val="0"/>
        <w:spacing w:before="4"/>
        <w:rPr>
          <w:rFonts w:ascii="Arial MT" w:hAnsi="Roboto" w:eastAsia="Roboto" w:cs="Roboto"/>
          <w:sz w:val="20"/>
          <w:szCs w:val="21"/>
        </w:rPr>
      </w:pPr>
    </w:p>
    <w:p w14:paraId="2F436356">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689984" behindDoc="0" locked="0" layoutInCell="1" allowOverlap="1">
                <wp:simplePos x="0" y="0"/>
                <wp:positionH relativeFrom="page">
                  <wp:posOffset>5638800</wp:posOffset>
                </wp:positionH>
                <wp:positionV relativeFrom="paragraph">
                  <wp:posOffset>27305</wp:posOffset>
                </wp:positionV>
                <wp:extent cx="638175" cy="1314450"/>
                <wp:effectExtent l="0" t="0" r="0" b="0"/>
                <wp:wrapNone/>
                <wp:docPr id="862956833" name="Text Box 85"/>
                <wp:cNvGraphicFramePr/>
                <a:graphic xmlns:a="http://schemas.openxmlformats.org/drawingml/2006/main">
                  <a:graphicData uri="http://schemas.microsoft.com/office/word/2010/wordprocessingShape">
                    <wps:wsp>
                      <wps:cNvSpPr txBox="1">
                        <a:spLocks noChangeArrowheads="1"/>
                      </wps:cNvSpPr>
                      <wps:spPr bwMode="auto">
                        <a:xfrm>
                          <a:off x="0" y="0"/>
                          <a:ext cx="638175" cy="1314450"/>
                        </a:xfrm>
                        <a:prstGeom prst="rect">
                          <a:avLst/>
                        </a:prstGeom>
                        <a:solidFill>
                          <a:srgbClr val="663AB6"/>
                        </a:solidFill>
                        <a:ln>
                          <a:noFill/>
                        </a:ln>
                        <a:effectLst/>
                      </wps:spPr>
                      <wps:txbx>
                        <w:txbxContent>
                          <w:p w14:paraId="44AA95E8">
                            <w:pPr>
                              <w:spacing w:before="14"/>
                              <w:rPr>
                                <w:rFonts w:ascii="Arial MT"/>
                                <w:sz w:val="18"/>
                              </w:rPr>
                            </w:pPr>
                            <w:r>
                              <w:rPr>
                                <w:rFonts w:ascii="Arial MT"/>
                                <w:color w:val="FFFFFF"/>
                                <w:sz w:val="18"/>
                              </w:rPr>
                              <w:t>62 (82.7%)</w:t>
                            </w:r>
                          </w:p>
                        </w:txbxContent>
                      </wps:txbx>
                      <wps:bodyPr rot="0" vert="horz" wrap="square" lIns="0" tIns="0" rIns="0" bIns="0" anchor="t" anchorCtr="0" upright="1">
                        <a:noAutofit/>
                      </wps:bodyPr>
                    </wps:wsp>
                  </a:graphicData>
                </a:graphic>
              </wp:anchor>
            </w:drawing>
          </mc:Choice>
          <mc:Fallback>
            <w:pict>
              <v:shape id="Text Box 85" o:spid="_x0000_s1026" o:spt="202" type="#_x0000_t202" style="position:absolute;left:0pt;margin-left:444pt;margin-top:2.15pt;height:103.5pt;width:50.25pt;mso-position-horizontal-relative:page;z-index:251689984;mso-width-relative:page;mso-height-relative:page;" fillcolor="#663AB6" filled="t" stroked="f" coordsize="21600,21600" o:gfxdata="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54ys&#10;1wAAAAkBAAAPAAAAAAAAAAEAIAAAACIAAABkcnMvZG93bnJldi54bWxQSwECFAAUAAAACACHTuJA&#10;JtDxDyICAABEBAAADgAAAAAAAAABACAAAAAmAQAAZHJzL2Uyb0RvYy54bWxQSwUGAAAAAAYABgBZ&#10;AQAAugUAAAAA&#10;">
                <v:fill on="t" focussize="0,0"/>
                <v:stroke on="f"/>
                <v:imagedata o:title=""/>
                <o:lock v:ext="edit" aspectratio="f"/>
                <v:textbox inset="0mm,0mm,0mm,0mm">
                  <w:txbxContent>
                    <w:p w14:paraId="44AA95E8">
                      <w:pPr>
                        <w:spacing w:before="14"/>
                        <w:rPr>
                          <w:rFonts w:ascii="Arial MT"/>
                          <w:sz w:val="18"/>
                        </w:rPr>
                      </w:pPr>
                      <w:r>
                        <w:rPr>
                          <w:rFonts w:ascii="Arial MT"/>
                          <w:color w:val="FFFFFF"/>
                          <w:sz w:val="18"/>
                        </w:rPr>
                        <w:t>62 (82.7%)</w:t>
                      </w:r>
                    </w:p>
                  </w:txbxContent>
                </v:textbox>
              </v:shape>
            </w:pict>
          </mc:Fallback>
        </mc:AlternateContent>
      </w:r>
      <w:r>
        <w:rPr>
          <w:rFonts w:ascii="Arial MT" w:hAnsi="Roboto" w:eastAsia="Roboto" w:cs="Roboto"/>
          <w:color w:val="444444"/>
          <w:sz w:val="18"/>
          <w:szCs w:val="22"/>
        </w:rPr>
        <w:t>60</w:t>
      </w:r>
    </w:p>
    <w:p w14:paraId="4746ACE3">
      <w:pPr>
        <w:widowControl w:val="0"/>
        <w:autoSpaceDE w:val="0"/>
        <w:autoSpaceDN w:val="0"/>
        <w:rPr>
          <w:rFonts w:ascii="Arial MT" w:hAnsi="Roboto" w:eastAsia="Roboto" w:cs="Roboto"/>
          <w:sz w:val="20"/>
          <w:szCs w:val="21"/>
        </w:rPr>
      </w:pPr>
    </w:p>
    <w:p w14:paraId="7D6367B6">
      <w:pPr>
        <w:widowControl w:val="0"/>
        <w:autoSpaceDE w:val="0"/>
        <w:autoSpaceDN w:val="0"/>
        <w:spacing w:before="4"/>
        <w:rPr>
          <w:rFonts w:ascii="Arial MT" w:hAnsi="Roboto" w:eastAsia="Roboto" w:cs="Roboto"/>
          <w:sz w:val="20"/>
          <w:szCs w:val="21"/>
        </w:rPr>
      </w:pPr>
    </w:p>
    <w:p w14:paraId="698EBCDB">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40</w:t>
      </w:r>
    </w:p>
    <w:p w14:paraId="23F0149F">
      <w:pPr>
        <w:widowControl w:val="0"/>
        <w:autoSpaceDE w:val="0"/>
        <w:autoSpaceDN w:val="0"/>
        <w:rPr>
          <w:rFonts w:ascii="Arial MT" w:hAnsi="Roboto" w:eastAsia="Roboto" w:cs="Roboto"/>
          <w:sz w:val="20"/>
          <w:szCs w:val="21"/>
        </w:rPr>
      </w:pPr>
    </w:p>
    <w:p w14:paraId="4C53E34A">
      <w:pPr>
        <w:widowControl w:val="0"/>
        <w:autoSpaceDE w:val="0"/>
        <w:autoSpaceDN w:val="0"/>
        <w:rPr>
          <w:rFonts w:ascii="Arial MT" w:hAnsi="Roboto" w:eastAsia="Roboto" w:cs="Roboto"/>
          <w:sz w:val="20"/>
          <w:szCs w:val="22"/>
        </w:rPr>
        <w:sectPr>
          <w:type w:val="continuous"/>
          <w:pgSz w:w="11900" w:h="16840"/>
          <w:pgMar w:top="480" w:right="1280" w:bottom="1680" w:left="1040" w:header="720" w:footer="720" w:gutter="0"/>
          <w:cols w:space="720" w:num="1"/>
        </w:sectPr>
      </w:pPr>
    </w:p>
    <w:p w14:paraId="49436B51">
      <w:pPr>
        <w:widowControl w:val="0"/>
        <w:autoSpaceDE w:val="0"/>
        <w:autoSpaceDN w:val="0"/>
        <w:spacing w:before="4"/>
        <w:rPr>
          <w:rFonts w:ascii="Arial MT" w:hAnsi="Roboto" w:eastAsia="Roboto" w:cs="Roboto"/>
          <w:sz w:val="20"/>
          <w:szCs w:val="21"/>
        </w:rPr>
      </w:pPr>
    </w:p>
    <w:p w14:paraId="3A78EFAC">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4C8F6CE1">
      <w:pPr>
        <w:widowControl w:val="0"/>
        <w:autoSpaceDE w:val="0"/>
        <w:autoSpaceDN w:val="0"/>
        <w:spacing w:before="3"/>
        <w:rPr>
          <w:rFonts w:ascii="Arial MT" w:hAnsi="Roboto" w:eastAsia="Roboto" w:cs="Roboto"/>
          <w:sz w:val="16"/>
          <w:szCs w:val="21"/>
        </w:rPr>
      </w:pPr>
    </w:p>
    <w:p w14:paraId="3550D3F2">
      <w:pPr>
        <w:widowControl w:val="0"/>
        <w:autoSpaceDE w:val="0"/>
        <w:autoSpaceDN w:val="0"/>
        <w:ind w:right="20"/>
        <w:jc w:val="center"/>
        <w:rPr>
          <w:rFonts w:ascii="Arial MT" w:hAnsi="Roboto" w:eastAsia="Roboto" w:cs="Roboto"/>
          <w:sz w:val="18"/>
          <w:szCs w:val="22"/>
        </w:rPr>
      </w:pPr>
      <w:r>
        <w:rPr>
          <w:rFonts w:ascii="Arial MT" w:hAnsi="Roboto" w:eastAsia="Roboto" w:cs="Roboto"/>
          <w:sz w:val="18"/>
          <w:szCs w:val="22"/>
        </w:rPr>
        <w:t xml:space="preserve">0 </w:t>
      </w:r>
      <w:r>
        <w:rPr>
          <w:rFonts w:ascii="Arial MT" w:hAnsi="Roboto" w:eastAsia="Roboto" w:cs="Roboto"/>
          <w:color w:val="232327"/>
          <w:sz w:val="18"/>
          <w:szCs w:val="22"/>
        </w:rPr>
        <w:t>(0%)</w:t>
      </w:r>
    </w:p>
    <w:p w14:paraId="78DFCD71">
      <w:pPr>
        <w:widowControl w:val="0"/>
        <w:autoSpaceDE w:val="0"/>
        <w:autoSpaceDN w:val="0"/>
        <w:spacing w:before="71"/>
        <w:rPr>
          <w:rFonts w:ascii="Arial MT" w:hAnsi="Roboto" w:eastAsia="Roboto" w:cs="Roboto"/>
          <w:sz w:val="18"/>
          <w:szCs w:val="22"/>
        </w:rPr>
      </w:pPr>
      <w:r>
        <w:rPr>
          <w:rFonts w:ascii="Arial MT" w:hAnsi="Roboto" w:eastAsia="Roboto" w:cs="Roboto"/>
          <w:color w:val="444444"/>
          <w:sz w:val="18"/>
          <w:szCs w:val="22"/>
        </w:rPr>
        <w:t>0</w:t>
      </w:r>
    </w:p>
    <w:p w14:paraId="3CD962C9">
      <w:pPr>
        <w:widowControl w:val="0"/>
        <w:autoSpaceDE w:val="0"/>
        <w:autoSpaceDN w:val="0"/>
        <w:spacing w:before="4"/>
        <w:rPr>
          <w:rFonts w:ascii="Arial MT" w:hAnsi="Roboto" w:eastAsia="Roboto" w:cs="Roboto"/>
          <w:sz w:val="46"/>
          <w:szCs w:val="21"/>
        </w:rPr>
      </w:pPr>
      <w:r>
        <w:rPr>
          <w:rFonts w:ascii="Roboto" w:hAnsi="Roboto" w:eastAsia="Roboto" w:cs="Roboto"/>
          <w:sz w:val="21"/>
          <w:szCs w:val="21"/>
        </w:rPr>
        <w:br w:type="column"/>
      </w:r>
    </w:p>
    <w:p w14:paraId="7AAF80DF">
      <w:pPr>
        <w:widowControl w:val="0"/>
        <w:tabs>
          <w:tab w:val="left" w:pos="2284"/>
          <w:tab w:val="left" w:pos="3674"/>
        </w:tabs>
        <w:autoSpaceDE w:val="0"/>
        <w:autoSpaceDN w:val="0"/>
        <w:rPr>
          <w:rFonts w:ascii="Arial MT" w:hAnsi="Roboto" w:eastAsia="Roboto" w:cs="Roboto"/>
          <w:sz w:val="18"/>
          <w:szCs w:val="22"/>
        </w:rPr>
      </w:pPr>
      <w:r>
        <w:rPr>
          <w:rFonts w:ascii="Arial MT" w:hAnsi="Roboto" w:eastAsia="Roboto" w:cs="Roboto"/>
          <w:color w:val="202024"/>
          <w:position w:val="7"/>
          <w:sz w:val="18"/>
          <w:szCs w:val="22"/>
        </w:rPr>
        <w:t>0 (0%)</w:t>
      </w:r>
      <w:r>
        <w:rPr>
          <w:rFonts w:ascii="Arial MT" w:hAnsi="Roboto" w:eastAsia="Roboto" w:cs="Roboto"/>
          <w:color w:val="202024"/>
          <w:position w:val="7"/>
          <w:sz w:val="18"/>
          <w:szCs w:val="22"/>
        </w:rPr>
        <w:tab/>
      </w:r>
      <w:r>
        <w:rPr>
          <w:rFonts w:ascii="Arial MT" w:hAnsi="Roboto" w:eastAsia="Roboto" w:cs="Roboto"/>
          <w:color w:val="232327"/>
          <w:position w:val="17"/>
          <w:sz w:val="18"/>
          <w:szCs w:val="22"/>
        </w:rPr>
        <w:t xml:space="preserve">3 </w:t>
      </w:r>
      <w:r>
        <w:rPr>
          <w:rFonts w:ascii="Arial MT" w:hAnsi="Roboto" w:eastAsia="Roboto" w:cs="Roboto"/>
          <w:position w:val="17"/>
          <w:sz w:val="18"/>
          <w:szCs w:val="22"/>
        </w:rPr>
        <w:t>(4%)</w:t>
      </w:r>
      <w:r>
        <w:rPr>
          <w:rFonts w:ascii="Arial MT" w:hAnsi="Roboto" w:eastAsia="Roboto" w:cs="Roboto"/>
          <w:position w:val="17"/>
          <w:sz w:val="18"/>
          <w:szCs w:val="22"/>
        </w:rPr>
        <w:tab/>
      </w:r>
      <w:r>
        <w:rPr>
          <w:rFonts w:ascii="Arial MT" w:hAnsi="Roboto" w:eastAsia="Roboto" w:cs="Roboto"/>
          <w:color w:val="FFFFFF"/>
          <w:sz w:val="18"/>
          <w:szCs w:val="22"/>
          <w:shd w:val="clear" w:color="auto" w:fill="663AB6"/>
        </w:rPr>
        <w:t>10 (13.3%)</w:t>
      </w:r>
      <w:r>
        <w:rPr>
          <w:rFonts w:ascii="Arial MT" w:hAnsi="Roboto" w:eastAsia="Roboto" w:cs="Roboto"/>
          <w:color w:val="FFFFFF"/>
          <w:spacing w:val="19"/>
          <w:sz w:val="18"/>
          <w:szCs w:val="22"/>
          <w:shd w:val="clear" w:color="auto" w:fill="663AB6"/>
        </w:rPr>
        <w:t xml:space="preserve"> </w:t>
      </w:r>
    </w:p>
    <w:p w14:paraId="39EFF2A2">
      <w:pPr>
        <w:widowControl w:val="0"/>
        <w:autoSpaceDE w:val="0"/>
        <w:autoSpaceDN w:val="0"/>
        <w:rPr>
          <w:rFonts w:ascii="Arial MT" w:hAnsi="Roboto" w:eastAsia="Roboto" w:cs="Roboto"/>
          <w:sz w:val="18"/>
          <w:szCs w:val="22"/>
        </w:rPr>
        <w:sectPr>
          <w:type w:val="continuous"/>
          <w:pgSz w:w="11900" w:h="16840"/>
          <w:pgMar w:top="480" w:right="1280" w:bottom="1680" w:left="1040" w:header="720" w:footer="720" w:gutter="0"/>
          <w:cols w:equalWidth="0" w:num="2">
            <w:col w:w="2146" w:space="400"/>
            <w:col w:w="7034"/>
          </w:cols>
        </w:sectPr>
      </w:pPr>
    </w:p>
    <w:p w14:paraId="453C0200">
      <w:pPr>
        <w:widowControl w:val="0"/>
        <w:tabs>
          <w:tab w:val="left" w:pos="3421"/>
          <w:tab w:val="left" w:pos="5044"/>
          <w:tab w:val="left" w:pos="6667"/>
          <w:tab w:val="left" w:pos="8290"/>
        </w:tabs>
        <w:autoSpaceDE w:val="0"/>
        <w:autoSpaceDN w:val="0"/>
        <w:spacing w:line="202"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2A2588FA">
      <w:pPr>
        <w:widowControl w:val="0"/>
        <w:autoSpaceDE w:val="0"/>
        <w:autoSpaceDN w:val="0"/>
        <w:spacing w:line="202" w:lineRule="exact"/>
        <w:rPr>
          <w:rFonts w:ascii="Arial MT" w:hAnsi="Roboto" w:eastAsia="Roboto" w:cs="Roboto"/>
          <w:sz w:val="18"/>
          <w:szCs w:val="22"/>
        </w:rPr>
        <w:sectPr>
          <w:type w:val="continuous"/>
          <w:pgSz w:w="11900" w:h="16840"/>
          <w:pgMar w:top="480" w:right="1280" w:bottom="1680" w:left="1040" w:header="720" w:footer="720" w:gutter="0"/>
          <w:cols w:space="720" w:num="1"/>
        </w:sectPr>
      </w:pPr>
    </w:p>
    <w:p w14:paraId="7D04A387">
      <w:pPr>
        <w:widowControl w:val="0"/>
        <w:autoSpaceDE w:val="0"/>
        <w:autoSpaceDN w:val="0"/>
        <w:spacing w:before="4"/>
        <w:rPr>
          <w:rFonts w:ascii="Arial MT" w:hAnsi="Roboto" w:eastAsia="Roboto" w:cs="Roboto"/>
          <w:sz w:val="17"/>
          <w:szCs w:val="21"/>
        </w:rPr>
      </w:pPr>
      <w:r>
        <mc:AlternateContent>
          <mc:Choice Requires="wpg">
            <w:drawing>
              <wp:anchor distT="0" distB="0" distL="114300" distR="114300" simplePos="0" relativeHeight="251691008" behindDoc="0" locked="0" layoutInCell="1" allowOverlap="1">
                <wp:simplePos x="0" y="0"/>
                <wp:positionH relativeFrom="page">
                  <wp:posOffset>733425</wp:posOffset>
                </wp:positionH>
                <wp:positionV relativeFrom="page">
                  <wp:posOffset>352425</wp:posOffset>
                </wp:positionV>
                <wp:extent cx="6096000" cy="3752850"/>
                <wp:effectExtent l="9525" t="9525" r="0" b="0"/>
                <wp:wrapNone/>
                <wp:docPr id="44534481" name="Group 319"/>
                <wp:cNvGraphicFramePr/>
                <a:graphic xmlns:a="http://schemas.openxmlformats.org/drawingml/2006/main">
                  <a:graphicData uri="http://schemas.microsoft.com/office/word/2010/wordprocessingGroup">
                    <wpg:wgp>
                      <wpg:cNvGrpSpPr/>
                      <wpg:grpSpPr>
                        <a:xfrm>
                          <a:off x="0" y="0"/>
                          <a:ext cx="6096000" cy="3752850"/>
                          <a:chOff x="1155" y="555"/>
                          <a:chExt cx="9600" cy="5910"/>
                        </a:xfrm>
                        <a:effectLst/>
                      </wpg:grpSpPr>
                      <wps:wsp>
                        <wps:cNvPr id="181674752" name="Freeform 345"/>
                        <wps:cNvSpPr/>
                        <wps:spPr bwMode="auto">
                          <a:xfrm>
                            <a:off x="1162" y="562"/>
                            <a:ext cx="9585" cy="5895"/>
                          </a:xfrm>
                          <a:custGeom>
                            <a:avLst/>
                            <a:gdLst>
                              <a:gd name="T0" fmla="*/ 0 w 9585"/>
                              <a:gd name="T1" fmla="*/ 6345 h 5895"/>
                              <a:gd name="T2" fmla="*/ 0 w 9585"/>
                              <a:gd name="T3" fmla="*/ 675 h 5895"/>
                              <a:gd name="T4" fmla="*/ 0 w 9585"/>
                              <a:gd name="T5" fmla="*/ 668 h 5895"/>
                              <a:gd name="T6" fmla="*/ 1 w 9585"/>
                              <a:gd name="T7" fmla="*/ 660 h 5895"/>
                              <a:gd name="T8" fmla="*/ 3 w 9585"/>
                              <a:gd name="T9" fmla="*/ 653 h 5895"/>
                              <a:gd name="T10" fmla="*/ 4 w 9585"/>
                              <a:gd name="T11" fmla="*/ 646 h 5895"/>
                              <a:gd name="T12" fmla="*/ 6 w 9585"/>
                              <a:gd name="T13" fmla="*/ 639 h 5895"/>
                              <a:gd name="T14" fmla="*/ 9 w 9585"/>
                              <a:gd name="T15" fmla="*/ 632 h 5895"/>
                              <a:gd name="T16" fmla="*/ 12 w 9585"/>
                              <a:gd name="T17" fmla="*/ 625 h 5895"/>
                              <a:gd name="T18" fmla="*/ 15 w 9585"/>
                              <a:gd name="T19" fmla="*/ 619 h 5895"/>
                              <a:gd name="T20" fmla="*/ 19 w 9585"/>
                              <a:gd name="T21" fmla="*/ 612 h 5895"/>
                              <a:gd name="T22" fmla="*/ 24 w 9585"/>
                              <a:gd name="T23" fmla="*/ 606 h 5895"/>
                              <a:gd name="T24" fmla="*/ 28 w 9585"/>
                              <a:gd name="T25" fmla="*/ 601 h 5895"/>
                              <a:gd name="T26" fmla="*/ 33 w 9585"/>
                              <a:gd name="T27" fmla="*/ 595 h 5895"/>
                              <a:gd name="T28" fmla="*/ 39 w 9585"/>
                              <a:gd name="T29" fmla="*/ 590 h 5895"/>
                              <a:gd name="T30" fmla="*/ 44 w 9585"/>
                              <a:gd name="T31" fmla="*/ 586 h 5895"/>
                              <a:gd name="T32" fmla="*/ 106 w 9585"/>
                              <a:gd name="T33" fmla="*/ 562 h 5895"/>
                              <a:gd name="T34" fmla="*/ 113 w 9585"/>
                              <a:gd name="T35" fmla="*/ 562 h 5895"/>
                              <a:gd name="T36" fmla="*/ 9473 w 9585"/>
                              <a:gd name="T37" fmla="*/ 562 h 5895"/>
                              <a:gd name="T38" fmla="*/ 9480 w 9585"/>
                              <a:gd name="T39" fmla="*/ 562 h 5895"/>
                              <a:gd name="T40" fmla="*/ 9488 w 9585"/>
                              <a:gd name="T41" fmla="*/ 563 h 5895"/>
                              <a:gd name="T42" fmla="*/ 9547 w 9585"/>
                              <a:gd name="T43" fmla="*/ 590 h 5895"/>
                              <a:gd name="T44" fmla="*/ 9553 w 9585"/>
                              <a:gd name="T45" fmla="*/ 595 h 5895"/>
                              <a:gd name="T46" fmla="*/ 9558 w 9585"/>
                              <a:gd name="T47" fmla="*/ 601 h 5895"/>
                              <a:gd name="T48" fmla="*/ 9583 w 9585"/>
                              <a:gd name="T49" fmla="*/ 653 h 5895"/>
                              <a:gd name="T50" fmla="*/ 9585 w 9585"/>
                              <a:gd name="T51" fmla="*/ 660 h 5895"/>
                              <a:gd name="T52" fmla="*/ 9585 w 9585"/>
                              <a:gd name="T53" fmla="*/ 668 h 5895"/>
                              <a:gd name="T54" fmla="*/ 9585 w 9585"/>
                              <a:gd name="T55" fmla="*/ 675 h 5895"/>
                              <a:gd name="T56" fmla="*/ 9585 w 9585"/>
                              <a:gd name="T57" fmla="*/ 6345 h 5895"/>
                              <a:gd name="T58" fmla="*/ 9585 w 9585"/>
                              <a:gd name="T59" fmla="*/ 6352 h 5895"/>
                              <a:gd name="T60" fmla="*/ 9585 w 9585"/>
                              <a:gd name="T61" fmla="*/ 6360 h 5895"/>
                              <a:gd name="T62" fmla="*/ 9567 w 9585"/>
                              <a:gd name="T63" fmla="*/ 6407 h 5895"/>
                              <a:gd name="T64" fmla="*/ 9562 w 9585"/>
                              <a:gd name="T65" fmla="*/ 6414 h 5895"/>
                              <a:gd name="T66" fmla="*/ 9509 w 9585"/>
                              <a:gd name="T67" fmla="*/ 6452 h 5895"/>
                              <a:gd name="T68" fmla="*/ 9495 w 9585"/>
                              <a:gd name="T69" fmla="*/ 6455 h 5895"/>
                              <a:gd name="T70" fmla="*/ 9488 w 9585"/>
                              <a:gd name="T71" fmla="*/ 6457 h 5895"/>
                              <a:gd name="T72" fmla="*/ 9480 w 9585"/>
                              <a:gd name="T73" fmla="*/ 6457 h 5895"/>
                              <a:gd name="T74" fmla="*/ 9473 w 9585"/>
                              <a:gd name="T75" fmla="*/ 6457 h 5895"/>
                              <a:gd name="T76" fmla="*/ 113 w 9585"/>
                              <a:gd name="T77" fmla="*/ 6457 h 5895"/>
                              <a:gd name="T78" fmla="*/ 50 w 9585"/>
                              <a:gd name="T79" fmla="*/ 6439 h 5895"/>
                              <a:gd name="T80" fmla="*/ 44 w 9585"/>
                              <a:gd name="T81" fmla="*/ 6434 h 5895"/>
                              <a:gd name="T82" fmla="*/ 19 w 9585"/>
                              <a:gd name="T83" fmla="*/ 6407 h 5895"/>
                              <a:gd name="T84" fmla="*/ 15 w 9585"/>
                              <a:gd name="T85" fmla="*/ 6401 h 5895"/>
                              <a:gd name="T86" fmla="*/ 0 w 9585"/>
                              <a:gd name="T87" fmla="*/ 6352 h 5895"/>
                              <a:gd name="T88" fmla="*/ 0 w 9585"/>
                              <a:gd name="T89" fmla="*/ 6345 h 589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585" h="5895">
                                <a:moveTo>
                                  <a:pt x="0" y="5783"/>
                                </a:moveTo>
                                <a:lnTo>
                                  <a:pt x="0" y="113"/>
                                </a:lnTo>
                                <a:lnTo>
                                  <a:pt x="0" y="106"/>
                                </a:lnTo>
                                <a:lnTo>
                                  <a:pt x="1" y="98"/>
                                </a:lnTo>
                                <a:lnTo>
                                  <a:pt x="3" y="91"/>
                                </a:lnTo>
                                <a:lnTo>
                                  <a:pt x="4" y="84"/>
                                </a:lnTo>
                                <a:lnTo>
                                  <a:pt x="6" y="77"/>
                                </a:lnTo>
                                <a:lnTo>
                                  <a:pt x="9" y="70"/>
                                </a:lnTo>
                                <a:lnTo>
                                  <a:pt x="12" y="63"/>
                                </a:lnTo>
                                <a:lnTo>
                                  <a:pt x="15" y="57"/>
                                </a:lnTo>
                                <a:lnTo>
                                  <a:pt x="19" y="50"/>
                                </a:lnTo>
                                <a:lnTo>
                                  <a:pt x="24" y="44"/>
                                </a:lnTo>
                                <a:lnTo>
                                  <a:pt x="28" y="39"/>
                                </a:lnTo>
                                <a:lnTo>
                                  <a:pt x="33" y="33"/>
                                </a:lnTo>
                                <a:lnTo>
                                  <a:pt x="39" y="28"/>
                                </a:lnTo>
                                <a:lnTo>
                                  <a:pt x="44" y="24"/>
                                </a:lnTo>
                                <a:lnTo>
                                  <a:pt x="106" y="0"/>
                                </a:lnTo>
                                <a:lnTo>
                                  <a:pt x="113" y="0"/>
                                </a:lnTo>
                                <a:lnTo>
                                  <a:pt x="9473" y="0"/>
                                </a:lnTo>
                                <a:lnTo>
                                  <a:pt x="9480" y="0"/>
                                </a:lnTo>
                                <a:lnTo>
                                  <a:pt x="9488" y="1"/>
                                </a:lnTo>
                                <a:lnTo>
                                  <a:pt x="9547" y="28"/>
                                </a:lnTo>
                                <a:lnTo>
                                  <a:pt x="9553" y="33"/>
                                </a:lnTo>
                                <a:lnTo>
                                  <a:pt x="9558" y="39"/>
                                </a:lnTo>
                                <a:lnTo>
                                  <a:pt x="9583" y="91"/>
                                </a:lnTo>
                                <a:lnTo>
                                  <a:pt x="9585" y="98"/>
                                </a:lnTo>
                                <a:lnTo>
                                  <a:pt x="9585" y="106"/>
                                </a:lnTo>
                                <a:lnTo>
                                  <a:pt x="9585" y="113"/>
                                </a:lnTo>
                                <a:lnTo>
                                  <a:pt x="9585" y="5783"/>
                                </a:lnTo>
                                <a:lnTo>
                                  <a:pt x="9585" y="5790"/>
                                </a:lnTo>
                                <a:lnTo>
                                  <a:pt x="9585" y="5798"/>
                                </a:lnTo>
                                <a:lnTo>
                                  <a:pt x="9567" y="5845"/>
                                </a:lnTo>
                                <a:lnTo>
                                  <a:pt x="9562" y="5852"/>
                                </a:lnTo>
                                <a:lnTo>
                                  <a:pt x="9509" y="5890"/>
                                </a:lnTo>
                                <a:lnTo>
                                  <a:pt x="9495" y="5893"/>
                                </a:lnTo>
                                <a:lnTo>
                                  <a:pt x="9488" y="5895"/>
                                </a:lnTo>
                                <a:lnTo>
                                  <a:pt x="9480" y="5895"/>
                                </a:lnTo>
                                <a:lnTo>
                                  <a:pt x="9473" y="5895"/>
                                </a:lnTo>
                                <a:lnTo>
                                  <a:pt x="113" y="5895"/>
                                </a:lnTo>
                                <a:lnTo>
                                  <a:pt x="50" y="5877"/>
                                </a:lnTo>
                                <a:lnTo>
                                  <a:pt x="44" y="5872"/>
                                </a:lnTo>
                                <a:lnTo>
                                  <a:pt x="19" y="5845"/>
                                </a:lnTo>
                                <a:lnTo>
                                  <a:pt x="15" y="5839"/>
                                </a:lnTo>
                                <a:lnTo>
                                  <a:pt x="0" y="5790"/>
                                </a:lnTo>
                                <a:lnTo>
                                  <a:pt x="0" y="5783"/>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1767885693" name="Picture 3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90"/>
                            <a:ext cx="255" cy="300"/>
                          </a:xfrm>
                          <a:prstGeom prst="rect">
                            <a:avLst/>
                          </a:prstGeom>
                          <a:noFill/>
                          <a:ln>
                            <a:noFill/>
                          </a:ln>
                          <a:effectLst/>
                        </pic:spPr>
                      </pic:pic>
                      <wps:wsp>
                        <wps:cNvPr id="1768530149" name="Rectangle 343"/>
                        <wps:cNvSpPr>
                          <a:spLocks noChangeArrowheads="1"/>
                        </wps:cNvSpPr>
                        <wps:spPr bwMode="auto">
                          <a:xfrm>
                            <a:off x="2070" y="3000"/>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918341653" name="AutoShape 342"/>
                        <wps:cNvSpPr/>
                        <wps:spPr bwMode="auto">
                          <a:xfrm>
                            <a:off x="2069" y="3000"/>
                            <a:ext cx="8130" cy="2700"/>
                          </a:xfrm>
                          <a:custGeom>
                            <a:avLst/>
                            <a:gdLst>
                              <a:gd name="T0" fmla="*/ 3570 w 8130"/>
                              <a:gd name="T1" fmla="*/ 5010 h 2700"/>
                              <a:gd name="T2" fmla="*/ 0 w 8130"/>
                              <a:gd name="T3" fmla="*/ 5010 h 2700"/>
                              <a:gd name="T4" fmla="*/ 0 w 8130"/>
                              <a:gd name="T5" fmla="*/ 5025 h 2700"/>
                              <a:gd name="T6" fmla="*/ 3570 w 8130"/>
                              <a:gd name="T7" fmla="*/ 5025 h 2700"/>
                              <a:gd name="T8" fmla="*/ 3570 w 8130"/>
                              <a:gd name="T9" fmla="*/ 5010 h 2700"/>
                              <a:gd name="T10" fmla="*/ 5190 w 8130"/>
                              <a:gd name="T11" fmla="*/ 5010 h 2700"/>
                              <a:gd name="T12" fmla="*/ 4560 w 8130"/>
                              <a:gd name="T13" fmla="*/ 5010 h 2700"/>
                              <a:gd name="T14" fmla="*/ 4560 w 8130"/>
                              <a:gd name="T15" fmla="*/ 5025 h 2700"/>
                              <a:gd name="T16" fmla="*/ 5190 w 8130"/>
                              <a:gd name="T17" fmla="*/ 5025 h 2700"/>
                              <a:gd name="T18" fmla="*/ 5190 w 8130"/>
                              <a:gd name="T19" fmla="*/ 5010 h 2700"/>
                              <a:gd name="T20" fmla="*/ 5190 w 8130"/>
                              <a:gd name="T21" fmla="*/ 4350 h 2700"/>
                              <a:gd name="T22" fmla="*/ 0 w 8130"/>
                              <a:gd name="T23" fmla="*/ 4350 h 2700"/>
                              <a:gd name="T24" fmla="*/ 0 w 8130"/>
                              <a:gd name="T25" fmla="*/ 4365 h 2700"/>
                              <a:gd name="T26" fmla="*/ 5190 w 8130"/>
                              <a:gd name="T27" fmla="*/ 4365 h 2700"/>
                              <a:gd name="T28" fmla="*/ 5190 w 8130"/>
                              <a:gd name="T29" fmla="*/ 4350 h 2700"/>
                              <a:gd name="T30" fmla="*/ 6810 w 8130"/>
                              <a:gd name="T31" fmla="*/ 5010 h 2700"/>
                              <a:gd name="T32" fmla="*/ 6195 w 8130"/>
                              <a:gd name="T33" fmla="*/ 5010 h 2700"/>
                              <a:gd name="T34" fmla="*/ 6195 w 8130"/>
                              <a:gd name="T35" fmla="*/ 5025 h 2700"/>
                              <a:gd name="T36" fmla="*/ 6810 w 8130"/>
                              <a:gd name="T37" fmla="*/ 5025 h 2700"/>
                              <a:gd name="T38" fmla="*/ 6810 w 8130"/>
                              <a:gd name="T39" fmla="*/ 5010 h 2700"/>
                              <a:gd name="T40" fmla="*/ 6810 w 8130"/>
                              <a:gd name="T41" fmla="*/ 4350 h 2700"/>
                              <a:gd name="T42" fmla="*/ 6195 w 8130"/>
                              <a:gd name="T43" fmla="*/ 4350 h 2700"/>
                              <a:gd name="T44" fmla="*/ 6195 w 8130"/>
                              <a:gd name="T45" fmla="*/ 4365 h 2700"/>
                              <a:gd name="T46" fmla="*/ 6810 w 8130"/>
                              <a:gd name="T47" fmla="*/ 4365 h 2700"/>
                              <a:gd name="T48" fmla="*/ 6810 w 8130"/>
                              <a:gd name="T49" fmla="*/ 4350 h 2700"/>
                              <a:gd name="T50" fmla="*/ 6810 w 8130"/>
                              <a:gd name="T51" fmla="*/ 3675 h 2700"/>
                              <a:gd name="T52" fmla="*/ 0 w 8130"/>
                              <a:gd name="T53" fmla="*/ 3675 h 2700"/>
                              <a:gd name="T54" fmla="*/ 0 w 8130"/>
                              <a:gd name="T55" fmla="*/ 3690 h 2700"/>
                              <a:gd name="T56" fmla="*/ 6810 w 8130"/>
                              <a:gd name="T57" fmla="*/ 3690 h 2700"/>
                              <a:gd name="T58" fmla="*/ 6810 w 8130"/>
                              <a:gd name="T59" fmla="*/ 3675 h 2700"/>
                              <a:gd name="T60" fmla="*/ 8130 w 8130"/>
                              <a:gd name="T61" fmla="*/ 5685 h 2700"/>
                              <a:gd name="T62" fmla="*/ 0 w 8130"/>
                              <a:gd name="T63" fmla="*/ 5685 h 2700"/>
                              <a:gd name="T64" fmla="*/ 0 w 8130"/>
                              <a:gd name="T65" fmla="*/ 5700 h 2700"/>
                              <a:gd name="T66" fmla="*/ 8130 w 8130"/>
                              <a:gd name="T67" fmla="*/ 5700 h 2700"/>
                              <a:gd name="T68" fmla="*/ 8130 w 8130"/>
                              <a:gd name="T69" fmla="*/ 5685 h 2700"/>
                              <a:gd name="T70" fmla="*/ 8130 w 8130"/>
                              <a:gd name="T71" fmla="*/ 5010 h 2700"/>
                              <a:gd name="T72" fmla="*/ 7815 w 8130"/>
                              <a:gd name="T73" fmla="*/ 5010 h 2700"/>
                              <a:gd name="T74" fmla="*/ 7815 w 8130"/>
                              <a:gd name="T75" fmla="*/ 5025 h 2700"/>
                              <a:gd name="T76" fmla="*/ 8130 w 8130"/>
                              <a:gd name="T77" fmla="*/ 5025 h 2700"/>
                              <a:gd name="T78" fmla="*/ 8130 w 8130"/>
                              <a:gd name="T79" fmla="*/ 5010 h 2700"/>
                              <a:gd name="T80" fmla="*/ 8130 w 8130"/>
                              <a:gd name="T81" fmla="*/ 4350 h 2700"/>
                              <a:gd name="T82" fmla="*/ 7815 w 8130"/>
                              <a:gd name="T83" fmla="*/ 4350 h 2700"/>
                              <a:gd name="T84" fmla="*/ 7815 w 8130"/>
                              <a:gd name="T85" fmla="*/ 4365 h 2700"/>
                              <a:gd name="T86" fmla="*/ 8130 w 8130"/>
                              <a:gd name="T87" fmla="*/ 4365 h 2700"/>
                              <a:gd name="T88" fmla="*/ 8130 w 8130"/>
                              <a:gd name="T89" fmla="*/ 4350 h 2700"/>
                              <a:gd name="T90" fmla="*/ 8130 w 8130"/>
                              <a:gd name="T91" fmla="*/ 3675 h 2700"/>
                              <a:gd name="T92" fmla="*/ 7815 w 8130"/>
                              <a:gd name="T93" fmla="*/ 3675 h 2700"/>
                              <a:gd name="T94" fmla="*/ 7815 w 8130"/>
                              <a:gd name="T95" fmla="*/ 3690 h 2700"/>
                              <a:gd name="T96" fmla="*/ 8130 w 8130"/>
                              <a:gd name="T97" fmla="*/ 3690 h 2700"/>
                              <a:gd name="T98" fmla="*/ 8130 w 8130"/>
                              <a:gd name="T99" fmla="*/ 3675 h 2700"/>
                              <a:gd name="T100" fmla="*/ 8130 w 8130"/>
                              <a:gd name="T101" fmla="*/ 3000 h 2700"/>
                              <a:gd name="T102" fmla="*/ 0 w 8130"/>
                              <a:gd name="T103" fmla="*/ 3000 h 2700"/>
                              <a:gd name="T104" fmla="*/ 0 w 8130"/>
                              <a:gd name="T105" fmla="*/ 3015 h 2700"/>
                              <a:gd name="T106" fmla="*/ 8130 w 8130"/>
                              <a:gd name="T107" fmla="*/ 3015 h 2700"/>
                              <a:gd name="T108" fmla="*/ 8130 w 8130"/>
                              <a:gd name="T109" fmla="*/ 3000 h 27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700">
                                <a:moveTo>
                                  <a:pt x="3570" y="2010"/>
                                </a:moveTo>
                                <a:lnTo>
                                  <a:pt x="0" y="2010"/>
                                </a:lnTo>
                                <a:lnTo>
                                  <a:pt x="0" y="2025"/>
                                </a:lnTo>
                                <a:lnTo>
                                  <a:pt x="3570" y="2025"/>
                                </a:lnTo>
                                <a:lnTo>
                                  <a:pt x="3570" y="2010"/>
                                </a:lnTo>
                                <a:close/>
                                <a:moveTo>
                                  <a:pt x="5190" y="2010"/>
                                </a:moveTo>
                                <a:lnTo>
                                  <a:pt x="4560" y="2010"/>
                                </a:lnTo>
                                <a:lnTo>
                                  <a:pt x="4560" y="2025"/>
                                </a:lnTo>
                                <a:lnTo>
                                  <a:pt x="5190" y="2025"/>
                                </a:lnTo>
                                <a:lnTo>
                                  <a:pt x="5190" y="2010"/>
                                </a:lnTo>
                                <a:close/>
                                <a:moveTo>
                                  <a:pt x="5190" y="1350"/>
                                </a:moveTo>
                                <a:lnTo>
                                  <a:pt x="0" y="1350"/>
                                </a:lnTo>
                                <a:lnTo>
                                  <a:pt x="0" y="1365"/>
                                </a:lnTo>
                                <a:lnTo>
                                  <a:pt x="5190" y="1365"/>
                                </a:lnTo>
                                <a:lnTo>
                                  <a:pt x="5190" y="1350"/>
                                </a:lnTo>
                                <a:close/>
                                <a:moveTo>
                                  <a:pt x="6810" y="2010"/>
                                </a:moveTo>
                                <a:lnTo>
                                  <a:pt x="6195" y="2010"/>
                                </a:lnTo>
                                <a:lnTo>
                                  <a:pt x="6195" y="2025"/>
                                </a:lnTo>
                                <a:lnTo>
                                  <a:pt x="6810" y="2025"/>
                                </a:lnTo>
                                <a:lnTo>
                                  <a:pt x="6810" y="2010"/>
                                </a:lnTo>
                                <a:close/>
                                <a:moveTo>
                                  <a:pt x="6810" y="1350"/>
                                </a:moveTo>
                                <a:lnTo>
                                  <a:pt x="6195" y="1350"/>
                                </a:lnTo>
                                <a:lnTo>
                                  <a:pt x="6195" y="1365"/>
                                </a:lnTo>
                                <a:lnTo>
                                  <a:pt x="6810" y="1365"/>
                                </a:lnTo>
                                <a:lnTo>
                                  <a:pt x="6810" y="1350"/>
                                </a:lnTo>
                                <a:close/>
                                <a:moveTo>
                                  <a:pt x="6810" y="675"/>
                                </a:moveTo>
                                <a:lnTo>
                                  <a:pt x="0" y="675"/>
                                </a:lnTo>
                                <a:lnTo>
                                  <a:pt x="0"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241923252" name="AutoShape 341"/>
                        <wps:cNvSpPr/>
                        <wps:spPr bwMode="auto">
                          <a:xfrm>
                            <a:off x="2069" y="3330"/>
                            <a:ext cx="8130" cy="2040"/>
                          </a:xfrm>
                          <a:custGeom>
                            <a:avLst/>
                            <a:gdLst>
                              <a:gd name="T0" fmla="*/ 3570 w 8130"/>
                              <a:gd name="T1" fmla="*/ 5355 h 2040"/>
                              <a:gd name="T2" fmla="*/ 0 w 8130"/>
                              <a:gd name="T3" fmla="*/ 5355 h 2040"/>
                              <a:gd name="T4" fmla="*/ 0 w 8130"/>
                              <a:gd name="T5" fmla="*/ 5370 h 2040"/>
                              <a:gd name="T6" fmla="*/ 3570 w 8130"/>
                              <a:gd name="T7" fmla="*/ 5370 h 2040"/>
                              <a:gd name="T8" fmla="*/ 3570 w 8130"/>
                              <a:gd name="T9" fmla="*/ 5355 h 2040"/>
                              <a:gd name="T10" fmla="*/ 3570 w 8130"/>
                              <a:gd name="T11" fmla="*/ 4680 h 2040"/>
                              <a:gd name="T12" fmla="*/ 0 w 8130"/>
                              <a:gd name="T13" fmla="*/ 4680 h 2040"/>
                              <a:gd name="T14" fmla="*/ 0 w 8130"/>
                              <a:gd name="T15" fmla="*/ 4695 h 2040"/>
                              <a:gd name="T16" fmla="*/ 3570 w 8130"/>
                              <a:gd name="T17" fmla="*/ 4695 h 2040"/>
                              <a:gd name="T18" fmla="*/ 3570 w 8130"/>
                              <a:gd name="T19" fmla="*/ 4680 h 2040"/>
                              <a:gd name="T20" fmla="*/ 5190 w 8130"/>
                              <a:gd name="T21" fmla="*/ 5355 h 2040"/>
                              <a:gd name="T22" fmla="*/ 4560 w 8130"/>
                              <a:gd name="T23" fmla="*/ 5355 h 2040"/>
                              <a:gd name="T24" fmla="*/ 4560 w 8130"/>
                              <a:gd name="T25" fmla="*/ 5370 h 2040"/>
                              <a:gd name="T26" fmla="*/ 5190 w 8130"/>
                              <a:gd name="T27" fmla="*/ 5370 h 2040"/>
                              <a:gd name="T28" fmla="*/ 5190 w 8130"/>
                              <a:gd name="T29" fmla="*/ 5355 h 2040"/>
                              <a:gd name="T30" fmla="*/ 5190 w 8130"/>
                              <a:gd name="T31" fmla="*/ 4680 h 2040"/>
                              <a:gd name="T32" fmla="*/ 4560 w 8130"/>
                              <a:gd name="T33" fmla="*/ 4680 h 2040"/>
                              <a:gd name="T34" fmla="*/ 4560 w 8130"/>
                              <a:gd name="T35" fmla="*/ 4695 h 2040"/>
                              <a:gd name="T36" fmla="*/ 5190 w 8130"/>
                              <a:gd name="T37" fmla="*/ 4695 h 2040"/>
                              <a:gd name="T38" fmla="*/ 5190 w 8130"/>
                              <a:gd name="T39" fmla="*/ 4680 h 2040"/>
                              <a:gd name="T40" fmla="*/ 6810 w 8130"/>
                              <a:gd name="T41" fmla="*/ 5355 h 2040"/>
                              <a:gd name="T42" fmla="*/ 6195 w 8130"/>
                              <a:gd name="T43" fmla="*/ 5355 h 2040"/>
                              <a:gd name="T44" fmla="*/ 6195 w 8130"/>
                              <a:gd name="T45" fmla="*/ 5370 h 2040"/>
                              <a:gd name="T46" fmla="*/ 6810 w 8130"/>
                              <a:gd name="T47" fmla="*/ 5370 h 2040"/>
                              <a:gd name="T48" fmla="*/ 6810 w 8130"/>
                              <a:gd name="T49" fmla="*/ 5355 h 2040"/>
                              <a:gd name="T50" fmla="*/ 6810 w 8130"/>
                              <a:gd name="T51" fmla="*/ 4680 h 2040"/>
                              <a:gd name="T52" fmla="*/ 6195 w 8130"/>
                              <a:gd name="T53" fmla="*/ 4680 h 2040"/>
                              <a:gd name="T54" fmla="*/ 6195 w 8130"/>
                              <a:gd name="T55" fmla="*/ 4695 h 2040"/>
                              <a:gd name="T56" fmla="*/ 6810 w 8130"/>
                              <a:gd name="T57" fmla="*/ 4695 h 2040"/>
                              <a:gd name="T58" fmla="*/ 6810 w 8130"/>
                              <a:gd name="T59" fmla="*/ 4680 h 2040"/>
                              <a:gd name="T60" fmla="*/ 6810 w 8130"/>
                              <a:gd name="T61" fmla="*/ 4005 h 2040"/>
                              <a:gd name="T62" fmla="*/ 0 w 8130"/>
                              <a:gd name="T63" fmla="*/ 4005 h 2040"/>
                              <a:gd name="T64" fmla="*/ 0 w 8130"/>
                              <a:gd name="T65" fmla="*/ 4020 h 2040"/>
                              <a:gd name="T66" fmla="*/ 6810 w 8130"/>
                              <a:gd name="T67" fmla="*/ 4020 h 2040"/>
                              <a:gd name="T68" fmla="*/ 6810 w 8130"/>
                              <a:gd name="T69" fmla="*/ 4005 h 2040"/>
                              <a:gd name="T70" fmla="*/ 8130 w 8130"/>
                              <a:gd name="T71" fmla="*/ 5355 h 2040"/>
                              <a:gd name="T72" fmla="*/ 7815 w 8130"/>
                              <a:gd name="T73" fmla="*/ 5355 h 2040"/>
                              <a:gd name="T74" fmla="*/ 7815 w 8130"/>
                              <a:gd name="T75" fmla="*/ 5370 h 2040"/>
                              <a:gd name="T76" fmla="*/ 8130 w 8130"/>
                              <a:gd name="T77" fmla="*/ 5370 h 2040"/>
                              <a:gd name="T78" fmla="*/ 8130 w 8130"/>
                              <a:gd name="T79" fmla="*/ 5355 h 2040"/>
                              <a:gd name="T80" fmla="*/ 8130 w 8130"/>
                              <a:gd name="T81" fmla="*/ 4680 h 2040"/>
                              <a:gd name="T82" fmla="*/ 7815 w 8130"/>
                              <a:gd name="T83" fmla="*/ 4680 h 2040"/>
                              <a:gd name="T84" fmla="*/ 7815 w 8130"/>
                              <a:gd name="T85" fmla="*/ 4695 h 2040"/>
                              <a:gd name="T86" fmla="*/ 8130 w 8130"/>
                              <a:gd name="T87" fmla="*/ 4695 h 2040"/>
                              <a:gd name="T88" fmla="*/ 8130 w 8130"/>
                              <a:gd name="T89" fmla="*/ 4680 h 2040"/>
                              <a:gd name="T90" fmla="*/ 8130 w 8130"/>
                              <a:gd name="T91" fmla="*/ 4005 h 2040"/>
                              <a:gd name="T92" fmla="*/ 7815 w 8130"/>
                              <a:gd name="T93" fmla="*/ 4005 h 2040"/>
                              <a:gd name="T94" fmla="*/ 7815 w 8130"/>
                              <a:gd name="T95" fmla="*/ 4020 h 2040"/>
                              <a:gd name="T96" fmla="*/ 8130 w 8130"/>
                              <a:gd name="T97" fmla="*/ 4020 h 2040"/>
                              <a:gd name="T98" fmla="*/ 8130 w 8130"/>
                              <a:gd name="T99" fmla="*/ 4005 h 2040"/>
                              <a:gd name="T100" fmla="*/ 8130 w 8130"/>
                              <a:gd name="T101" fmla="*/ 3330 h 2040"/>
                              <a:gd name="T102" fmla="*/ 0 w 8130"/>
                              <a:gd name="T103" fmla="*/ 3330 h 2040"/>
                              <a:gd name="T104" fmla="*/ 0 w 8130"/>
                              <a:gd name="T105" fmla="*/ 3345 h 2040"/>
                              <a:gd name="T106" fmla="*/ 8130 w 8130"/>
                              <a:gd name="T107" fmla="*/ 3345 h 2040"/>
                              <a:gd name="T108" fmla="*/ 8130 w 8130"/>
                              <a:gd name="T109" fmla="*/ 3330 h 204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040">
                                <a:moveTo>
                                  <a:pt x="3570" y="2025"/>
                                </a:moveTo>
                                <a:lnTo>
                                  <a:pt x="0" y="2025"/>
                                </a:lnTo>
                                <a:lnTo>
                                  <a:pt x="0" y="2040"/>
                                </a:lnTo>
                                <a:lnTo>
                                  <a:pt x="3570" y="2040"/>
                                </a:lnTo>
                                <a:lnTo>
                                  <a:pt x="3570" y="2025"/>
                                </a:lnTo>
                                <a:close/>
                                <a:moveTo>
                                  <a:pt x="3570" y="1350"/>
                                </a:moveTo>
                                <a:lnTo>
                                  <a:pt x="0" y="1350"/>
                                </a:lnTo>
                                <a:lnTo>
                                  <a:pt x="0" y="1365"/>
                                </a:lnTo>
                                <a:lnTo>
                                  <a:pt x="3570" y="1365"/>
                                </a:lnTo>
                                <a:lnTo>
                                  <a:pt x="3570" y="1350"/>
                                </a:lnTo>
                                <a:close/>
                                <a:moveTo>
                                  <a:pt x="5190" y="2025"/>
                                </a:moveTo>
                                <a:lnTo>
                                  <a:pt x="4560" y="2025"/>
                                </a:lnTo>
                                <a:lnTo>
                                  <a:pt x="4560" y="2040"/>
                                </a:lnTo>
                                <a:lnTo>
                                  <a:pt x="5190" y="2040"/>
                                </a:lnTo>
                                <a:lnTo>
                                  <a:pt x="5190" y="2025"/>
                                </a:lnTo>
                                <a:close/>
                                <a:moveTo>
                                  <a:pt x="5190" y="1350"/>
                                </a:moveTo>
                                <a:lnTo>
                                  <a:pt x="4560" y="1350"/>
                                </a:lnTo>
                                <a:lnTo>
                                  <a:pt x="4560" y="1365"/>
                                </a:lnTo>
                                <a:lnTo>
                                  <a:pt x="5190" y="1365"/>
                                </a:lnTo>
                                <a:lnTo>
                                  <a:pt x="5190" y="1350"/>
                                </a:lnTo>
                                <a:close/>
                                <a:moveTo>
                                  <a:pt x="6810" y="2025"/>
                                </a:moveTo>
                                <a:lnTo>
                                  <a:pt x="6195" y="2025"/>
                                </a:lnTo>
                                <a:lnTo>
                                  <a:pt x="6195" y="2040"/>
                                </a:lnTo>
                                <a:lnTo>
                                  <a:pt x="6810" y="2040"/>
                                </a:lnTo>
                                <a:lnTo>
                                  <a:pt x="6810" y="2025"/>
                                </a:lnTo>
                                <a:close/>
                                <a:moveTo>
                                  <a:pt x="6810" y="1350"/>
                                </a:moveTo>
                                <a:lnTo>
                                  <a:pt x="6195" y="1350"/>
                                </a:lnTo>
                                <a:lnTo>
                                  <a:pt x="6195" y="1365"/>
                                </a:lnTo>
                                <a:lnTo>
                                  <a:pt x="6810" y="1365"/>
                                </a:lnTo>
                                <a:lnTo>
                                  <a:pt x="6810" y="1350"/>
                                </a:lnTo>
                                <a:close/>
                                <a:moveTo>
                                  <a:pt x="6810" y="675"/>
                                </a:moveTo>
                                <a:lnTo>
                                  <a:pt x="0" y="675"/>
                                </a:lnTo>
                                <a:lnTo>
                                  <a:pt x="0" y="690"/>
                                </a:lnTo>
                                <a:lnTo>
                                  <a:pt x="6810" y="690"/>
                                </a:lnTo>
                                <a:lnTo>
                                  <a:pt x="6810" y="675"/>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873469196" name="AutoShape 340"/>
                        <wps:cNvSpPr/>
                        <wps:spPr bwMode="auto">
                          <a:xfrm>
                            <a:off x="2384" y="5565"/>
                            <a:ext cx="2625" cy="128"/>
                          </a:xfrm>
                          <a:custGeom>
                            <a:avLst/>
                            <a:gdLst>
                              <a:gd name="T0" fmla="*/ 1005 w 2625"/>
                              <a:gd name="T1" fmla="*/ 5685 h 128"/>
                              <a:gd name="T2" fmla="*/ 0 w 2625"/>
                              <a:gd name="T3" fmla="*/ 5685 h 128"/>
                              <a:gd name="T4" fmla="*/ 0 w 2625"/>
                              <a:gd name="T5" fmla="*/ 5693 h 128"/>
                              <a:gd name="T6" fmla="*/ 1005 w 2625"/>
                              <a:gd name="T7" fmla="*/ 5693 h 128"/>
                              <a:gd name="T8" fmla="*/ 1005 w 2625"/>
                              <a:gd name="T9" fmla="*/ 5685 h 128"/>
                              <a:gd name="T10" fmla="*/ 2625 w 2625"/>
                              <a:gd name="T11" fmla="*/ 5565 h 128"/>
                              <a:gd name="T12" fmla="*/ 1620 w 2625"/>
                              <a:gd name="T13" fmla="*/ 5565 h 128"/>
                              <a:gd name="T14" fmla="*/ 1620 w 2625"/>
                              <a:gd name="T15" fmla="*/ 5685 h 128"/>
                              <a:gd name="T16" fmla="*/ 2625 w 2625"/>
                              <a:gd name="T17" fmla="*/ 5685 h 128"/>
                              <a:gd name="T18" fmla="*/ 2625 w 2625"/>
                              <a:gd name="T19" fmla="*/ 5565 h 1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25" h="128">
                                <a:moveTo>
                                  <a:pt x="1005" y="120"/>
                                </a:moveTo>
                                <a:lnTo>
                                  <a:pt x="0" y="120"/>
                                </a:lnTo>
                                <a:lnTo>
                                  <a:pt x="0" y="128"/>
                                </a:lnTo>
                                <a:lnTo>
                                  <a:pt x="1005" y="128"/>
                                </a:lnTo>
                                <a:lnTo>
                                  <a:pt x="1005" y="120"/>
                                </a:lnTo>
                                <a:close/>
                                <a:moveTo>
                                  <a:pt x="2625" y="0"/>
                                </a:moveTo>
                                <a:lnTo>
                                  <a:pt x="1620" y="0"/>
                                </a:lnTo>
                                <a:lnTo>
                                  <a:pt x="1620" y="120"/>
                                </a:lnTo>
                                <a:lnTo>
                                  <a:pt x="2625" y="120"/>
                                </a:lnTo>
                                <a:lnTo>
                                  <a:pt x="2625" y="0"/>
                                </a:lnTo>
                                <a:close/>
                              </a:path>
                            </a:pathLst>
                          </a:custGeom>
                          <a:solidFill>
                            <a:srgbClr val="663AB6"/>
                          </a:solidFill>
                          <a:ln>
                            <a:noFill/>
                          </a:ln>
                          <a:effectLst/>
                        </wps:spPr>
                        <wps:bodyPr rot="0" vert="horz" wrap="square" lIns="91440" tIns="45720" rIns="91440" bIns="45720" anchor="t" anchorCtr="0" upright="1">
                          <a:noAutofit/>
                        </wps:bodyPr>
                      </wps:wsp>
                      <wps:wsp>
                        <wps:cNvPr id="1864395308" name="Rectangle 339"/>
                        <wps:cNvSpPr>
                          <a:spLocks noChangeArrowheads="1"/>
                        </wps:cNvSpPr>
                        <wps:spPr bwMode="auto">
                          <a:xfrm>
                            <a:off x="2070" y="5685"/>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568820343" name="AutoShape 338"/>
                        <wps:cNvSpPr/>
                        <wps:spPr bwMode="auto">
                          <a:xfrm>
                            <a:off x="2879" y="5385"/>
                            <a:ext cx="1635" cy="300"/>
                          </a:xfrm>
                          <a:custGeom>
                            <a:avLst/>
                            <a:gdLst>
                              <a:gd name="T0" fmla="*/ 15 w 1635"/>
                              <a:gd name="T1" fmla="*/ 5505 h 300"/>
                              <a:gd name="T2" fmla="*/ 0 w 1635"/>
                              <a:gd name="T3" fmla="*/ 5505 h 300"/>
                              <a:gd name="T4" fmla="*/ 0 w 1635"/>
                              <a:gd name="T5" fmla="*/ 5685 h 300"/>
                              <a:gd name="T6" fmla="*/ 15 w 1635"/>
                              <a:gd name="T7" fmla="*/ 5685 h 300"/>
                              <a:gd name="T8" fmla="*/ 15 w 1635"/>
                              <a:gd name="T9" fmla="*/ 5505 h 300"/>
                              <a:gd name="T10" fmla="*/ 1635 w 1635"/>
                              <a:gd name="T11" fmla="*/ 5385 h 300"/>
                              <a:gd name="T12" fmla="*/ 1620 w 1635"/>
                              <a:gd name="T13" fmla="*/ 5385 h 300"/>
                              <a:gd name="T14" fmla="*/ 1620 w 1635"/>
                              <a:gd name="T15" fmla="*/ 5565 h 300"/>
                              <a:gd name="T16" fmla="*/ 1635 w 1635"/>
                              <a:gd name="T17" fmla="*/ 5565 h 300"/>
                              <a:gd name="T18" fmla="*/ 1635 w 1635"/>
                              <a:gd name="T19" fmla="*/ 5385 h 3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5" h="300">
                                <a:moveTo>
                                  <a:pt x="15" y="120"/>
                                </a:moveTo>
                                <a:lnTo>
                                  <a:pt x="0" y="120"/>
                                </a:lnTo>
                                <a:lnTo>
                                  <a:pt x="0" y="300"/>
                                </a:lnTo>
                                <a:lnTo>
                                  <a:pt x="15" y="300"/>
                                </a:lnTo>
                                <a:lnTo>
                                  <a:pt x="15" y="120"/>
                                </a:lnTo>
                                <a:close/>
                                <a:moveTo>
                                  <a:pt x="1635" y="0"/>
                                </a:moveTo>
                                <a:lnTo>
                                  <a:pt x="1620" y="0"/>
                                </a:lnTo>
                                <a:lnTo>
                                  <a:pt x="1620" y="180"/>
                                </a:lnTo>
                                <a:lnTo>
                                  <a:pt x="1635" y="180"/>
                                </a:lnTo>
                                <a:lnTo>
                                  <a:pt x="1635" y="0"/>
                                </a:lnTo>
                                <a:close/>
                              </a:path>
                            </a:pathLst>
                          </a:custGeom>
                          <a:solidFill>
                            <a:srgbClr val="999999"/>
                          </a:solidFill>
                          <a:ln>
                            <a:noFill/>
                          </a:ln>
                          <a:effectLst/>
                        </wps:spPr>
                        <wps:bodyPr rot="0" vert="horz" wrap="square" lIns="91440" tIns="45720" rIns="91440" bIns="45720" anchor="t" anchorCtr="0" upright="1">
                          <a:noAutofit/>
                        </wps:bodyPr>
                      </wps:wsp>
                      <wps:wsp>
                        <wps:cNvPr id="1848156377" name="AutoShape 337"/>
                        <wps:cNvSpPr/>
                        <wps:spPr bwMode="auto">
                          <a:xfrm>
                            <a:off x="2622" y="5226"/>
                            <a:ext cx="2212" cy="289"/>
                          </a:xfrm>
                          <a:custGeom>
                            <a:avLst/>
                            <a:gdLst>
                              <a:gd name="T0" fmla="*/ 49 w 2212"/>
                              <a:gd name="T1" fmla="*/ 5348 h 289"/>
                              <a:gd name="T2" fmla="*/ 84 w 2212"/>
                              <a:gd name="T3" fmla="*/ 5414 h 289"/>
                              <a:gd name="T4" fmla="*/ 20 w 2212"/>
                              <a:gd name="T5" fmla="*/ 5476 h 289"/>
                              <a:gd name="T6" fmla="*/ 29 w 2212"/>
                              <a:gd name="T7" fmla="*/ 5464 h 289"/>
                              <a:gd name="T8" fmla="*/ 66 w 2212"/>
                              <a:gd name="T9" fmla="*/ 5388 h 289"/>
                              <a:gd name="T10" fmla="*/ 17 w 2212"/>
                              <a:gd name="T11" fmla="*/ 5400 h 289"/>
                              <a:gd name="T12" fmla="*/ 154 w 2212"/>
                              <a:gd name="T13" fmla="*/ 5421 h 289"/>
                              <a:gd name="T14" fmla="*/ 182 w 2212"/>
                              <a:gd name="T15" fmla="*/ 5373 h 289"/>
                              <a:gd name="T16" fmla="*/ 185 w 2212"/>
                              <a:gd name="T17" fmla="*/ 5516 h 289"/>
                              <a:gd name="T18" fmla="*/ 259 w 2212"/>
                              <a:gd name="T19" fmla="*/ 5348 h 289"/>
                              <a:gd name="T20" fmla="*/ 294 w 2212"/>
                              <a:gd name="T21" fmla="*/ 5414 h 289"/>
                              <a:gd name="T22" fmla="*/ 230 w 2212"/>
                              <a:gd name="T23" fmla="*/ 5476 h 289"/>
                              <a:gd name="T24" fmla="*/ 239 w 2212"/>
                              <a:gd name="T25" fmla="*/ 5464 h 289"/>
                              <a:gd name="T26" fmla="*/ 276 w 2212"/>
                              <a:gd name="T27" fmla="*/ 5388 h 289"/>
                              <a:gd name="T28" fmla="*/ 227 w 2212"/>
                              <a:gd name="T29" fmla="*/ 5400 h 289"/>
                              <a:gd name="T30" fmla="*/ 361 w 2212"/>
                              <a:gd name="T31" fmla="*/ 5355 h 289"/>
                              <a:gd name="T32" fmla="*/ 327 w 2212"/>
                              <a:gd name="T33" fmla="*/ 5412 h 289"/>
                              <a:gd name="T34" fmla="*/ 327 w 2212"/>
                              <a:gd name="T35" fmla="*/ 5381 h 289"/>
                              <a:gd name="T36" fmla="*/ 355 w 2212"/>
                              <a:gd name="T37" fmla="*/ 5389 h 289"/>
                              <a:gd name="T38" fmla="*/ 354 w 2212"/>
                              <a:gd name="T39" fmla="*/ 5483 h 289"/>
                              <a:gd name="T40" fmla="*/ 444 w 2212"/>
                              <a:gd name="T41" fmla="*/ 5423 h 289"/>
                              <a:gd name="T42" fmla="*/ 410 w 2212"/>
                              <a:gd name="T43" fmla="*/ 5480 h 289"/>
                              <a:gd name="T44" fmla="*/ 411 w 2212"/>
                              <a:gd name="T45" fmla="*/ 5449 h 289"/>
                              <a:gd name="T46" fmla="*/ 438 w 2212"/>
                              <a:gd name="T47" fmla="*/ 5457 h 289"/>
                              <a:gd name="T48" fmla="*/ 494 w 2212"/>
                              <a:gd name="T49" fmla="*/ 5473 h 289"/>
                              <a:gd name="T50" fmla="*/ 474 w 2212"/>
                              <a:gd name="T51" fmla="*/ 5347 h 289"/>
                              <a:gd name="T52" fmla="*/ 514 w 2212"/>
                              <a:gd name="T53" fmla="*/ 5454 h 289"/>
                              <a:gd name="T54" fmla="*/ 1544 w 2212"/>
                              <a:gd name="T55" fmla="*/ 5350 h 289"/>
                              <a:gd name="T56" fmla="*/ 1609 w 2212"/>
                              <a:gd name="T57" fmla="*/ 5276 h 289"/>
                              <a:gd name="T58" fmla="*/ 1569 w 2212"/>
                              <a:gd name="T59" fmla="*/ 5248 h 289"/>
                              <a:gd name="T60" fmla="*/ 1600 w 2212"/>
                              <a:gd name="T61" fmla="*/ 5228 h 289"/>
                              <a:gd name="T62" fmla="*/ 1614 w 2212"/>
                              <a:gd name="T63" fmla="*/ 5295 h 289"/>
                              <a:gd name="T64" fmla="*/ 1730 w 2212"/>
                              <a:gd name="T65" fmla="*/ 5396 h 289"/>
                              <a:gd name="T66" fmla="*/ 1703 w 2212"/>
                              <a:gd name="T67" fmla="*/ 5281 h 289"/>
                              <a:gd name="T68" fmla="*/ 1721 w 2212"/>
                              <a:gd name="T69" fmla="*/ 5269 h 289"/>
                              <a:gd name="T70" fmla="*/ 1838 w 2212"/>
                              <a:gd name="T71" fmla="*/ 5358 h 289"/>
                              <a:gd name="T72" fmla="*/ 1800 w 2212"/>
                              <a:gd name="T73" fmla="*/ 5299 h 289"/>
                              <a:gd name="T74" fmla="*/ 1798 w 2212"/>
                              <a:gd name="T75" fmla="*/ 5242 h 289"/>
                              <a:gd name="T76" fmla="*/ 1776 w 2212"/>
                              <a:gd name="T77" fmla="*/ 5232 h 289"/>
                              <a:gd name="T78" fmla="*/ 1835 w 2212"/>
                              <a:gd name="T79" fmla="*/ 5279 h 289"/>
                              <a:gd name="T80" fmla="*/ 1777 w 2212"/>
                              <a:gd name="T81" fmla="*/ 5340 h 289"/>
                              <a:gd name="T82" fmla="*/ 1968 w 2212"/>
                              <a:gd name="T83" fmla="*/ 5251 h 289"/>
                              <a:gd name="T84" fmla="*/ 1922 w 2212"/>
                              <a:gd name="T85" fmla="*/ 5269 h 289"/>
                              <a:gd name="T86" fmla="*/ 1979 w 2212"/>
                              <a:gd name="T87" fmla="*/ 5286 h 289"/>
                              <a:gd name="T88" fmla="*/ 1957 w 2212"/>
                              <a:gd name="T89" fmla="*/ 5360 h 289"/>
                              <a:gd name="T90" fmla="*/ 1912 w 2212"/>
                              <a:gd name="T91" fmla="*/ 5253 h 289"/>
                              <a:gd name="T92" fmla="*/ 1923 w 2212"/>
                              <a:gd name="T93" fmla="*/ 5316 h 289"/>
                              <a:gd name="T94" fmla="*/ 1962 w 2212"/>
                              <a:gd name="T95" fmla="*/ 5344 h 289"/>
                              <a:gd name="T96" fmla="*/ 1941 w 2212"/>
                              <a:gd name="T97" fmla="*/ 5288 h 289"/>
                              <a:gd name="T98" fmla="*/ 2027 w 2212"/>
                              <a:gd name="T99" fmla="*/ 5227 h 289"/>
                              <a:gd name="T100" fmla="*/ 2050 w 2212"/>
                              <a:gd name="T101" fmla="*/ 5292 h 289"/>
                              <a:gd name="T102" fmla="*/ 2029 w 2212"/>
                              <a:gd name="T103" fmla="*/ 5239 h 289"/>
                              <a:gd name="T104" fmla="*/ 2040 w 2212"/>
                              <a:gd name="T105" fmla="*/ 5284 h 289"/>
                              <a:gd name="T106" fmla="*/ 2036 w 2212"/>
                              <a:gd name="T107" fmla="*/ 5238 h 289"/>
                              <a:gd name="T108" fmla="*/ 2110 w 2212"/>
                              <a:gd name="T109" fmla="*/ 5294 h 289"/>
                              <a:gd name="T110" fmla="*/ 2134 w 2212"/>
                              <a:gd name="T111" fmla="*/ 5360 h 289"/>
                              <a:gd name="T112" fmla="*/ 2112 w 2212"/>
                              <a:gd name="T113" fmla="*/ 5307 h 289"/>
                              <a:gd name="T114" fmla="*/ 2123 w 2212"/>
                              <a:gd name="T115" fmla="*/ 5352 h 289"/>
                              <a:gd name="T116" fmla="*/ 2119 w 2212"/>
                              <a:gd name="T117" fmla="*/ 5305 h 289"/>
                              <a:gd name="T118" fmla="*/ 2187 w 2212"/>
                              <a:gd name="T119" fmla="*/ 5261 h 289"/>
                              <a:gd name="T120" fmla="*/ 2210 w 2212"/>
                              <a:gd name="T121" fmla="*/ 5291 h 2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212" h="289">
                                <a:moveTo>
                                  <a:pt x="0" y="187"/>
                                </a:moveTo>
                                <a:lnTo>
                                  <a:pt x="0" y="172"/>
                                </a:lnTo>
                                <a:lnTo>
                                  <a:pt x="2" y="160"/>
                                </a:lnTo>
                                <a:lnTo>
                                  <a:pt x="5" y="150"/>
                                </a:lnTo>
                                <a:lnTo>
                                  <a:pt x="8" y="141"/>
                                </a:lnTo>
                                <a:lnTo>
                                  <a:pt x="13" y="134"/>
                                </a:lnTo>
                                <a:lnTo>
                                  <a:pt x="19" y="129"/>
                                </a:lnTo>
                                <a:lnTo>
                                  <a:pt x="25" y="124"/>
                                </a:lnTo>
                                <a:lnTo>
                                  <a:pt x="33" y="121"/>
                                </a:lnTo>
                                <a:lnTo>
                                  <a:pt x="42" y="121"/>
                                </a:lnTo>
                                <a:lnTo>
                                  <a:pt x="49" y="121"/>
                                </a:lnTo>
                                <a:lnTo>
                                  <a:pt x="55" y="123"/>
                                </a:lnTo>
                                <a:lnTo>
                                  <a:pt x="61" y="126"/>
                                </a:lnTo>
                                <a:lnTo>
                                  <a:pt x="66" y="128"/>
                                </a:lnTo>
                                <a:lnTo>
                                  <a:pt x="70" y="132"/>
                                </a:lnTo>
                                <a:lnTo>
                                  <a:pt x="74" y="138"/>
                                </a:lnTo>
                                <a:lnTo>
                                  <a:pt x="77" y="143"/>
                                </a:lnTo>
                                <a:lnTo>
                                  <a:pt x="80" y="149"/>
                                </a:lnTo>
                                <a:lnTo>
                                  <a:pt x="82" y="157"/>
                                </a:lnTo>
                                <a:lnTo>
                                  <a:pt x="83" y="164"/>
                                </a:lnTo>
                                <a:lnTo>
                                  <a:pt x="84" y="174"/>
                                </a:lnTo>
                                <a:lnTo>
                                  <a:pt x="84" y="187"/>
                                </a:lnTo>
                                <a:lnTo>
                                  <a:pt x="84" y="202"/>
                                </a:lnTo>
                                <a:lnTo>
                                  <a:pt x="83" y="215"/>
                                </a:lnTo>
                                <a:lnTo>
                                  <a:pt x="80" y="224"/>
                                </a:lnTo>
                                <a:lnTo>
                                  <a:pt x="77" y="233"/>
                                </a:lnTo>
                                <a:lnTo>
                                  <a:pt x="72" y="240"/>
                                </a:lnTo>
                                <a:lnTo>
                                  <a:pt x="66" y="245"/>
                                </a:lnTo>
                                <a:lnTo>
                                  <a:pt x="60" y="250"/>
                                </a:lnTo>
                                <a:lnTo>
                                  <a:pt x="52" y="253"/>
                                </a:lnTo>
                                <a:lnTo>
                                  <a:pt x="42" y="253"/>
                                </a:lnTo>
                                <a:lnTo>
                                  <a:pt x="30" y="253"/>
                                </a:lnTo>
                                <a:lnTo>
                                  <a:pt x="20" y="249"/>
                                </a:lnTo>
                                <a:lnTo>
                                  <a:pt x="13" y="240"/>
                                </a:lnTo>
                                <a:lnTo>
                                  <a:pt x="8" y="230"/>
                                </a:lnTo>
                                <a:lnTo>
                                  <a:pt x="4" y="219"/>
                                </a:lnTo>
                                <a:lnTo>
                                  <a:pt x="1" y="204"/>
                                </a:lnTo>
                                <a:lnTo>
                                  <a:pt x="0" y="187"/>
                                </a:lnTo>
                                <a:close/>
                                <a:moveTo>
                                  <a:pt x="17" y="187"/>
                                </a:moveTo>
                                <a:lnTo>
                                  <a:pt x="17" y="202"/>
                                </a:lnTo>
                                <a:lnTo>
                                  <a:pt x="19" y="214"/>
                                </a:lnTo>
                                <a:lnTo>
                                  <a:pt x="21" y="223"/>
                                </a:lnTo>
                                <a:lnTo>
                                  <a:pt x="24" y="229"/>
                                </a:lnTo>
                                <a:lnTo>
                                  <a:pt x="29" y="237"/>
                                </a:lnTo>
                                <a:lnTo>
                                  <a:pt x="35" y="240"/>
                                </a:lnTo>
                                <a:lnTo>
                                  <a:pt x="42" y="240"/>
                                </a:lnTo>
                                <a:lnTo>
                                  <a:pt x="50" y="240"/>
                                </a:lnTo>
                                <a:lnTo>
                                  <a:pt x="56" y="236"/>
                                </a:lnTo>
                                <a:lnTo>
                                  <a:pt x="61" y="229"/>
                                </a:lnTo>
                                <a:lnTo>
                                  <a:pt x="64" y="223"/>
                                </a:lnTo>
                                <a:lnTo>
                                  <a:pt x="66" y="214"/>
                                </a:lnTo>
                                <a:lnTo>
                                  <a:pt x="68" y="202"/>
                                </a:lnTo>
                                <a:lnTo>
                                  <a:pt x="68" y="187"/>
                                </a:lnTo>
                                <a:lnTo>
                                  <a:pt x="68" y="173"/>
                                </a:lnTo>
                                <a:lnTo>
                                  <a:pt x="66" y="161"/>
                                </a:lnTo>
                                <a:lnTo>
                                  <a:pt x="64" y="152"/>
                                </a:lnTo>
                                <a:lnTo>
                                  <a:pt x="61" y="145"/>
                                </a:lnTo>
                                <a:lnTo>
                                  <a:pt x="56" y="138"/>
                                </a:lnTo>
                                <a:lnTo>
                                  <a:pt x="50" y="135"/>
                                </a:lnTo>
                                <a:lnTo>
                                  <a:pt x="42" y="135"/>
                                </a:lnTo>
                                <a:lnTo>
                                  <a:pt x="35" y="135"/>
                                </a:lnTo>
                                <a:lnTo>
                                  <a:pt x="29" y="138"/>
                                </a:lnTo>
                                <a:lnTo>
                                  <a:pt x="25" y="144"/>
                                </a:lnTo>
                                <a:lnTo>
                                  <a:pt x="21" y="151"/>
                                </a:lnTo>
                                <a:lnTo>
                                  <a:pt x="19" y="161"/>
                                </a:lnTo>
                                <a:lnTo>
                                  <a:pt x="17" y="173"/>
                                </a:lnTo>
                                <a:lnTo>
                                  <a:pt x="17" y="187"/>
                                </a:lnTo>
                                <a:close/>
                                <a:moveTo>
                                  <a:pt x="185" y="289"/>
                                </a:moveTo>
                                <a:lnTo>
                                  <a:pt x="179" y="280"/>
                                </a:lnTo>
                                <a:lnTo>
                                  <a:pt x="173" y="271"/>
                                </a:lnTo>
                                <a:lnTo>
                                  <a:pt x="168" y="261"/>
                                </a:lnTo>
                                <a:lnTo>
                                  <a:pt x="163" y="250"/>
                                </a:lnTo>
                                <a:lnTo>
                                  <a:pt x="159" y="239"/>
                                </a:lnTo>
                                <a:lnTo>
                                  <a:pt x="156" y="227"/>
                                </a:lnTo>
                                <a:lnTo>
                                  <a:pt x="155" y="216"/>
                                </a:lnTo>
                                <a:lnTo>
                                  <a:pt x="154" y="204"/>
                                </a:lnTo>
                                <a:lnTo>
                                  <a:pt x="154" y="194"/>
                                </a:lnTo>
                                <a:lnTo>
                                  <a:pt x="156" y="184"/>
                                </a:lnTo>
                                <a:lnTo>
                                  <a:pt x="158" y="174"/>
                                </a:lnTo>
                                <a:lnTo>
                                  <a:pt x="161" y="164"/>
                                </a:lnTo>
                                <a:lnTo>
                                  <a:pt x="165" y="153"/>
                                </a:lnTo>
                                <a:lnTo>
                                  <a:pt x="171" y="142"/>
                                </a:lnTo>
                                <a:lnTo>
                                  <a:pt x="177" y="131"/>
                                </a:lnTo>
                                <a:lnTo>
                                  <a:pt x="185" y="120"/>
                                </a:lnTo>
                                <a:lnTo>
                                  <a:pt x="196" y="120"/>
                                </a:lnTo>
                                <a:lnTo>
                                  <a:pt x="189" y="132"/>
                                </a:lnTo>
                                <a:lnTo>
                                  <a:pt x="185" y="141"/>
                                </a:lnTo>
                                <a:lnTo>
                                  <a:pt x="182" y="146"/>
                                </a:lnTo>
                                <a:lnTo>
                                  <a:pt x="179" y="154"/>
                                </a:lnTo>
                                <a:lnTo>
                                  <a:pt x="176" y="162"/>
                                </a:lnTo>
                                <a:lnTo>
                                  <a:pt x="174" y="171"/>
                                </a:lnTo>
                                <a:lnTo>
                                  <a:pt x="171" y="182"/>
                                </a:lnTo>
                                <a:lnTo>
                                  <a:pt x="170" y="193"/>
                                </a:lnTo>
                                <a:lnTo>
                                  <a:pt x="170" y="204"/>
                                </a:lnTo>
                                <a:lnTo>
                                  <a:pt x="172" y="225"/>
                                </a:lnTo>
                                <a:lnTo>
                                  <a:pt x="177" y="246"/>
                                </a:lnTo>
                                <a:lnTo>
                                  <a:pt x="185" y="268"/>
                                </a:lnTo>
                                <a:lnTo>
                                  <a:pt x="196" y="289"/>
                                </a:lnTo>
                                <a:lnTo>
                                  <a:pt x="185" y="289"/>
                                </a:lnTo>
                                <a:close/>
                                <a:moveTo>
                                  <a:pt x="210" y="187"/>
                                </a:moveTo>
                                <a:lnTo>
                                  <a:pt x="210" y="172"/>
                                </a:lnTo>
                                <a:lnTo>
                                  <a:pt x="212" y="160"/>
                                </a:lnTo>
                                <a:lnTo>
                                  <a:pt x="215" y="150"/>
                                </a:lnTo>
                                <a:lnTo>
                                  <a:pt x="218" y="141"/>
                                </a:lnTo>
                                <a:lnTo>
                                  <a:pt x="223" y="134"/>
                                </a:lnTo>
                                <a:lnTo>
                                  <a:pt x="229" y="129"/>
                                </a:lnTo>
                                <a:lnTo>
                                  <a:pt x="235" y="124"/>
                                </a:lnTo>
                                <a:lnTo>
                                  <a:pt x="243" y="121"/>
                                </a:lnTo>
                                <a:lnTo>
                                  <a:pt x="252" y="121"/>
                                </a:lnTo>
                                <a:lnTo>
                                  <a:pt x="259" y="121"/>
                                </a:lnTo>
                                <a:lnTo>
                                  <a:pt x="265" y="123"/>
                                </a:lnTo>
                                <a:lnTo>
                                  <a:pt x="271" y="126"/>
                                </a:lnTo>
                                <a:lnTo>
                                  <a:pt x="276" y="128"/>
                                </a:lnTo>
                                <a:lnTo>
                                  <a:pt x="280" y="132"/>
                                </a:lnTo>
                                <a:lnTo>
                                  <a:pt x="284" y="138"/>
                                </a:lnTo>
                                <a:lnTo>
                                  <a:pt x="287" y="143"/>
                                </a:lnTo>
                                <a:lnTo>
                                  <a:pt x="290" y="149"/>
                                </a:lnTo>
                                <a:lnTo>
                                  <a:pt x="292" y="157"/>
                                </a:lnTo>
                                <a:lnTo>
                                  <a:pt x="294" y="164"/>
                                </a:lnTo>
                                <a:lnTo>
                                  <a:pt x="294" y="174"/>
                                </a:lnTo>
                                <a:lnTo>
                                  <a:pt x="294" y="187"/>
                                </a:lnTo>
                                <a:lnTo>
                                  <a:pt x="294" y="202"/>
                                </a:lnTo>
                                <a:lnTo>
                                  <a:pt x="293" y="215"/>
                                </a:lnTo>
                                <a:lnTo>
                                  <a:pt x="290" y="224"/>
                                </a:lnTo>
                                <a:lnTo>
                                  <a:pt x="287" y="233"/>
                                </a:lnTo>
                                <a:lnTo>
                                  <a:pt x="282" y="240"/>
                                </a:lnTo>
                                <a:lnTo>
                                  <a:pt x="276" y="245"/>
                                </a:lnTo>
                                <a:lnTo>
                                  <a:pt x="270" y="250"/>
                                </a:lnTo>
                                <a:lnTo>
                                  <a:pt x="262" y="253"/>
                                </a:lnTo>
                                <a:lnTo>
                                  <a:pt x="252" y="253"/>
                                </a:lnTo>
                                <a:lnTo>
                                  <a:pt x="240" y="253"/>
                                </a:lnTo>
                                <a:lnTo>
                                  <a:pt x="230" y="249"/>
                                </a:lnTo>
                                <a:lnTo>
                                  <a:pt x="223" y="240"/>
                                </a:lnTo>
                                <a:lnTo>
                                  <a:pt x="218" y="230"/>
                                </a:lnTo>
                                <a:lnTo>
                                  <a:pt x="214" y="219"/>
                                </a:lnTo>
                                <a:lnTo>
                                  <a:pt x="211" y="204"/>
                                </a:lnTo>
                                <a:lnTo>
                                  <a:pt x="210" y="187"/>
                                </a:lnTo>
                                <a:close/>
                                <a:moveTo>
                                  <a:pt x="227" y="187"/>
                                </a:moveTo>
                                <a:lnTo>
                                  <a:pt x="227" y="202"/>
                                </a:lnTo>
                                <a:lnTo>
                                  <a:pt x="229" y="214"/>
                                </a:lnTo>
                                <a:lnTo>
                                  <a:pt x="231" y="223"/>
                                </a:lnTo>
                                <a:lnTo>
                                  <a:pt x="234" y="229"/>
                                </a:lnTo>
                                <a:lnTo>
                                  <a:pt x="239" y="237"/>
                                </a:lnTo>
                                <a:lnTo>
                                  <a:pt x="245" y="240"/>
                                </a:lnTo>
                                <a:lnTo>
                                  <a:pt x="252" y="240"/>
                                </a:lnTo>
                                <a:lnTo>
                                  <a:pt x="260" y="240"/>
                                </a:lnTo>
                                <a:lnTo>
                                  <a:pt x="266" y="236"/>
                                </a:lnTo>
                                <a:lnTo>
                                  <a:pt x="271" y="229"/>
                                </a:lnTo>
                                <a:lnTo>
                                  <a:pt x="274" y="223"/>
                                </a:lnTo>
                                <a:lnTo>
                                  <a:pt x="276" y="214"/>
                                </a:lnTo>
                                <a:lnTo>
                                  <a:pt x="278" y="202"/>
                                </a:lnTo>
                                <a:lnTo>
                                  <a:pt x="278" y="187"/>
                                </a:lnTo>
                                <a:lnTo>
                                  <a:pt x="278" y="173"/>
                                </a:lnTo>
                                <a:lnTo>
                                  <a:pt x="276" y="161"/>
                                </a:lnTo>
                                <a:lnTo>
                                  <a:pt x="274" y="152"/>
                                </a:lnTo>
                                <a:lnTo>
                                  <a:pt x="271" y="145"/>
                                </a:lnTo>
                                <a:lnTo>
                                  <a:pt x="266" y="138"/>
                                </a:lnTo>
                                <a:lnTo>
                                  <a:pt x="260" y="135"/>
                                </a:lnTo>
                                <a:lnTo>
                                  <a:pt x="252" y="135"/>
                                </a:lnTo>
                                <a:lnTo>
                                  <a:pt x="245" y="135"/>
                                </a:lnTo>
                                <a:lnTo>
                                  <a:pt x="239" y="138"/>
                                </a:lnTo>
                                <a:lnTo>
                                  <a:pt x="235" y="144"/>
                                </a:lnTo>
                                <a:lnTo>
                                  <a:pt x="231" y="151"/>
                                </a:lnTo>
                                <a:lnTo>
                                  <a:pt x="229" y="161"/>
                                </a:lnTo>
                                <a:lnTo>
                                  <a:pt x="227" y="173"/>
                                </a:lnTo>
                                <a:lnTo>
                                  <a:pt x="227" y="187"/>
                                </a:lnTo>
                                <a:close/>
                                <a:moveTo>
                                  <a:pt x="314" y="153"/>
                                </a:moveTo>
                                <a:lnTo>
                                  <a:pt x="314" y="144"/>
                                </a:lnTo>
                                <a:lnTo>
                                  <a:pt x="316" y="136"/>
                                </a:lnTo>
                                <a:lnTo>
                                  <a:pt x="320" y="129"/>
                                </a:lnTo>
                                <a:lnTo>
                                  <a:pt x="325" y="123"/>
                                </a:lnTo>
                                <a:lnTo>
                                  <a:pt x="332" y="120"/>
                                </a:lnTo>
                                <a:lnTo>
                                  <a:pt x="341" y="120"/>
                                </a:lnTo>
                                <a:lnTo>
                                  <a:pt x="349" y="120"/>
                                </a:lnTo>
                                <a:lnTo>
                                  <a:pt x="355" y="123"/>
                                </a:lnTo>
                                <a:lnTo>
                                  <a:pt x="361" y="128"/>
                                </a:lnTo>
                                <a:lnTo>
                                  <a:pt x="366" y="134"/>
                                </a:lnTo>
                                <a:lnTo>
                                  <a:pt x="369" y="143"/>
                                </a:lnTo>
                                <a:lnTo>
                                  <a:pt x="369" y="154"/>
                                </a:lnTo>
                                <a:lnTo>
                                  <a:pt x="369" y="165"/>
                                </a:lnTo>
                                <a:lnTo>
                                  <a:pt x="366" y="173"/>
                                </a:lnTo>
                                <a:lnTo>
                                  <a:pt x="361" y="179"/>
                                </a:lnTo>
                                <a:lnTo>
                                  <a:pt x="355" y="185"/>
                                </a:lnTo>
                                <a:lnTo>
                                  <a:pt x="349" y="188"/>
                                </a:lnTo>
                                <a:lnTo>
                                  <a:pt x="341" y="188"/>
                                </a:lnTo>
                                <a:lnTo>
                                  <a:pt x="333" y="188"/>
                                </a:lnTo>
                                <a:lnTo>
                                  <a:pt x="327" y="185"/>
                                </a:lnTo>
                                <a:lnTo>
                                  <a:pt x="321" y="179"/>
                                </a:lnTo>
                                <a:lnTo>
                                  <a:pt x="316" y="173"/>
                                </a:lnTo>
                                <a:lnTo>
                                  <a:pt x="314" y="165"/>
                                </a:lnTo>
                                <a:lnTo>
                                  <a:pt x="314" y="153"/>
                                </a:lnTo>
                                <a:close/>
                                <a:moveTo>
                                  <a:pt x="341" y="131"/>
                                </a:moveTo>
                                <a:lnTo>
                                  <a:pt x="337" y="131"/>
                                </a:lnTo>
                                <a:lnTo>
                                  <a:pt x="334" y="132"/>
                                </a:lnTo>
                                <a:lnTo>
                                  <a:pt x="331" y="136"/>
                                </a:lnTo>
                                <a:lnTo>
                                  <a:pt x="329" y="139"/>
                                </a:lnTo>
                                <a:lnTo>
                                  <a:pt x="327" y="145"/>
                                </a:lnTo>
                                <a:lnTo>
                                  <a:pt x="327" y="154"/>
                                </a:lnTo>
                                <a:lnTo>
                                  <a:pt x="327" y="163"/>
                                </a:lnTo>
                                <a:lnTo>
                                  <a:pt x="329" y="169"/>
                                </a:lnTo>
                                <a:lnTo>
                                  <a:pt x="331" y="172"/>
                                </a:lnTo>
                                <a:lnTo>
                                  <a:pt x="334" y="175"/>
                                </a:lnTo>
                                <a:lnTo>
                                  <a:pt x="337" y="177"/>
                                </a:lnTo>
                                <a:lnTo>
                                  <a:pt x="341" y="177"/>
                                </a:lnTo>
                                <a:lnTo>
                                  <a:pt x="345" y="177"/>
                                </a:lnTo>
                                <a:lnTo>
                                  <a:pt x="348" y="175"/>
                                </a:lnTo>
                                <a:lnTo>
                                  <a:pt x="351" y="172"/>
                                </a:lnTo>
                                <a:lnTo>
                                  <a:pt x="354" y="168"/>
                                </a:lnTo>
                                <a:lnTo>
                                  <a:pt x="355" y="162"/>
                                </a:lnTo>
                                <a:lnTo>
                                  <a:pt x="355" y="153"/>
                                </a:lnTo>
                                <a:lnTo>
                                  <a:pt x="355" y="145"/>
                                </a:lnTo>
                                <a:lnTo>
                                  <a:pt x="354" y="139"/>
                                </a:lnTo>
                                <a:lnTo>
                                  <a:pt x="351" y="136"/>
                                </a:lnTo>
                                <a:lnTo>
                                  <a:pt x="348" y="132"/>
                                </a:lnTo>
                                <a:lnTo>
                                  <a:pt x="345" y="131"/>
                                </a:lnTo>
                                <a:lnTo>
                                  <a:pt x="341" y="131"/>
                                </a:lnTo>
                                <a:close/>
                                <a:moveTo>
                                  <a:pt x="341" y="256"/>
                                </a:moveTo>
                                <a:lnTo>
                                  <a:pt x="412" y="120"/>
                                </a:lnTo>
                                <a:lnTo>
                                  <a:pt x="424" y="120"/>
                                </a:lnTo>
                                <a:lnTo>
                                  <a:pt x="354" y="256"/>
                                </a:lnTo>
                                <a:lnTo>
                                  <a:pt x="341" y="256"/>
                                </a:lnTo>
                                <a:close/>
                                <a:moveTo>
                                  <a:pt x="397" y="221"/>
                                </a:moveTo>
                                <a:lnTo>
                                  <a:pt x="397" y="211"/>
                                </a:lnTo>
                                <a:lnTo>
                                  <a:pt x="399" y="203"/>
                                </a:lnTo>
                                <a:lnTo>
                                  <a:pt x="404" y="197"/>
                                </a:lnTo>
                                <a:lnTo>
                                  <a:pt x="408" y="191"/>
                                </a:lnTo>
                                <a:lnTo>
                                  <a:pt x="415" y="187"/>
                                </a:lnTo>
                                <a:lnTo>
                                  <a:pt x="424" y="187"/>
                                </a:lnTo>
                                <a:lnTo>
                                  <a:pt x="432" y="187"/>
                                </a:lnTo>
                                <a:lnTo>
                                  <a:pt x="439" y="190"/>
                                </a:lnTo>
                                <a:lnTo>
                                  <a:pt x="444" y="196"/>
                                </a:lnTo>
                                <a:lnTo>
                                  <a:pt x="449" y="202"/>
                                </a:lnTo>
                                <a:lnTo>
                                  <a:pt x="452" y="210"/>
                                </a:lnTo>
                                <a:lnTo>
                                  <a:pt x="452" y="222"/>
                                </a:lnTo>
                                <a:lnTo>
                                  <a:pt x="452" y="232"/>
                                </a:lnTo>
                                <a:lnTo>
                                  <a:pt x="449" y="241"/>
                                </a:lnTo>
                                <a:lnTo>
                                  <a:pt x="444" y="247"/>
                                </a:lnTo>
                                <a:lnTo>
                                  <a:pt x="439" y="253"/>
                                </a:lnTo>
                                <a:lnTo>
                                  <a:pt x="432" y="256"/>
                                </a:lnTo>
                                <a:lnTo>
                                  <a:pt x="424" y="256"/>
                                </a:lnTo>
                                <a:lnTo>
                                  <a:pt x="416" y="256"/>
                                </a:lnTo>
                                <a:lnTo>
                                  <a:pt x="410" y="253"/>
                                </a:lnTo>
                                <a:lnTo>
                                  <a:pt x="405" y="247"/>
                                </a:lnTo>
                                <a:lnTo>
                                  <a:pt x="399" y="241"/>
                                </a:lnTo>
                                <a:lnTo>
                                  <a:pt x="397" y="232"/>
                                </a:lnTo>
                                <a:lnTo>
                                  <a:pt x="397" y="221"/>
                                </a:lnTo>
                                <a:close/>
                                <a:moveTo>
                                  <a:pt x="424" y="198"/>
                                </a:moveTo>
                                <a:lnTo>
                                  <a:pt x="420" y="198"/>
                                </a:lnTo>
                                <a:lnTo>
                                  <a:pt x="417" y="200"/>
                                </a:lnTo>
                                <a:lnTo>
                                  <a:pt x="415" y="203"/>
                                </a:lnTo>
                                <a:lnTo>
                                  <a:pt x="412" y="207"/>
                                </a:lnTo>
                                <a:lnTo>
                                  <a:pt x="411" y="213"/>
                                </a:lnTo>
                                <a:lnTo>
                                  <a:pt x="411" y="222"/>
                                </a:lnTo>
                                <a:lnTo>
                                  <a:pt x="411" y="230"/>
                                </a:lnTo>
                                <a:lnTo>
                                  <a:pt x="412" y="236"/>
                                </a:lnTo>
                                <a:lnTo>
                                  <a:pt x="415" y="240"/>
                                </a:lnTo>
                                <a:lnTo>
                                  <a:pt x="417" y="243"/>
                                </a:lnTo>
                                <a:lnTo>
                                  <a:pt x="421" y="245"/>
                                </a:lnTo>
                                <a:lnTo>
                                  <a:pt x="424" y="245"/>
                                </a:lnTo>
                                <a:lnTo>
                                  <a:pt x="428" y="245"/>
                                </a:lnTo>
                                <a:lnTo>
                                  <a:pt x="432" y="243"/>
                                </a:lnTo>
                                <a:lnTo>
                                  <a:pt x="434" y="240"/>
                                </a:lnTo>
                                <a:lnTo>
                                  <a:pt x="437" y="236"/>
                                </a:lnTo>
                                <a:lnTo>
                                  <a:pt x="438" y="230"/>
                                </a:lnTo>
                                <a:lnTo>
                                  <a:pt x="438" y="221"/>
                                </a:lnTo>
                                <a:lnTo>
                                  <a:pt x="438" y="213"/>
                                </a:lnTo>
                                <a:lnTo>
                                  <a:pt x="437" y="207"/>
                                </a:lnTo>
                                <a:lnTo>
                                  <a:pt x="434" y="203"/>
                                </a:lnTo>
                                <a:lnTo>
                                  <a:pt x="432" y="200"/>
                                </a:lnTo>
                                <a:lnTo>
                                  <a:pt x="428" y="198"/>
                                </a:lnTo>
                                <a:lnTo>
                                  <a:pt x="424" y="198"/>
                                </a:lnTo>
                                <a:close/>
                                <a:moveTo>
                                  <a:pt x="485" y="289"/>
                                </a:moveTo>
                                <a:lnTo>
                                  <a:pt x="474" y="289"/>
                                </a:lnTo>
                                <a:lnTo>
                                  <a:pt x="486" y="268"/>
                                </a:lnTo>
                                <a:lnTo>
                                  <a:pt x="494" y="246"/>
                                </a:lnTo>
                                <a:lnTo>
                                  <a:pt x="499" y="225"/>
                                </a:lnTo>
                                <a:lnTo>
                                  <a:pt x="500" y="204"/>
                                </a:lnTo>
                                <a:lnTo>
                                  <a:pt x="500" y="193"/>
                                </a:lnTo>
                                <a:lnTo>
                                  <a:pt x="499" y="182"/>
                                </a:lnTo>
                                <a:lnTo>
                                  <a:pt x="497" y="171"/>
                                </a:lnTo>
                                <a:lnTo>
                                  <a:pt x="495" y="163"/>
                                </a:lnTo>
                                <a:lnTo>
                                  <a:pt x="492" y="154"/>
                                </a:lnTo>
                                <a:lnTo>
                                  <a:pt x="488" y="146"/>
                                </a:lnTo>
                                <a:lnTo>
                                  <a:pt x="486" y="141"/>
                                </a:lnTo>
                                <a:lnTo>
                                  <a:pt x="481" y="132"/>
                                </a:lnTo>
                                <a:lnTo>
                                  <a:pt x="474" y="120"/>
                                </a:lnTo>
                                <a:lnTo>
                                  <a:pt x="485" y="120"/>
                                </a:lnTo>
                                <a:lnTo>
                                  <a:pt x="493" y="131"/>
                                </a:lnTo>
                                <a:lnTo>
                                  <a:pt x="500" y="142"/>
                                </a:lnTo>
                                <a:lnTo>
                                  <a:pt x="505" y="153"/>
                                </a:lnTo>
                                <a:lnTo>
                                  <a:pt x="510" y="164"/>
                                </a:lnTo>
                                <a:lnTo>
                                  <a:pt x="513" y="174"/>
                                </a:lnTo>
                                <a:lnTo>
                                  <a:pt x="515" y="184"/>
                                </a:lnTo>
                                <a:lnTo>
                                  <a:pt x="516" y="194"/>
                                </a:lnTo>
                                <a:lnTo>
                                  <a:pt x="517" y="204"/>
                                </a:lnTo>
                                <a:lnTo>
                                  <a:pt x="516" y="216"/>
                                </a:lnTo>
                                <a:lnTo>
                                  <a:pt x="514" y="227"/>
                                </a:lnTo>
                                <a:lnTo>
                                  <a:pt x="511" y="239"/>
                                </a:lnTo>
                                <a:lnTo>
                                  <a:pt x="507" y="250"/>
                                </a:lnTo>
                                <a:lnTo>
                                  <a:pt x="503" y="261"/>
                                </a:lnTo>
                                <a:lnTo>
                                  <a:pt x="497" y="271"/>
                                </a:lnTo>
                                <a:lnTo>
                                  <a:pt x="492" y="280"/>
                                </a:lnTo>
                                <a:lnTo>
                                  <a:pt x="485" y="289"/>
                                </a:lnTo>
                                <a:close/>
                                <a:moveTo>
                                  <a:pt x="1628" y="116"/>
                                </a:moveTo>
                                <a:lnTo>
                                  <a:pt x="1628" y="131"/>
                                </a:lnTo>
                                <a:lnTo>
                                  <a:pt x="1543" y="131"/>
                                </a:lnTo>
                                <a:lnTo>
                                  <a:pt x="1543" y="127"/>
                                </a:lnTo>
                                <a:lnTo>
                                  <a:pt x="1544" y="123"/>
                                </a:lnTo>
                                <a:lnTo>
                                  <a:pt x="1545" y="120"/>
                                </a:lnTo>
                                <a:lnTo>
                                  <a:pt x="1547" y="114"/>
                                </a:lnTo>
                                <a:lnTo>
                                  <a:pt x="1551" y="108"/>
                                </a:lnTo>
                                <a:lnTo>
                                  <a:pt x="1555" y="103"/>
                                </a:lnTo>
                                <a:lnTo>
                                  <a:pt x="1560" y="97"/>
                                </a:lnTo>
                                <a:lnTo>
                                  <a:pt x="1567" y="91"/>
                                </a:lnTo>
                                <a:lnTo>
                                  <a:pt x="1576" y="83"/>
                                </a:lnTo>
                                <a:lnTo>
                                  <a:pt x="1590" y="72"/>
                                </a:lnTo>
                                <a:lnTo>
                                  <a:pt x="1600" y="63"/>
                                </a:lnTo>
                                <a:lnTo>
                                  <a:pt x="1604" y="56"/>
                                </a:lnTo>
                                <a:lnTo>
                                  <a:pt x="1609" y="49"/>
                                </a:lnTo>
                                <a:lnTo>
                                  <a:pt x="1612" y="43"/>
                                </a:lnTo>
                                <a:lnTo>
                                  <a:pt x="1612" y="37"/>
                                </a:lnTo>
                                <a:lnTo>
                                  <a:pt x="1612" y="31"/>
                                </a:lnTo>
                                <a:lnTo>
                                  <a:pt x="1610" y="25"/>
                                </a:lnTo>
                                <a:lnTo>
                                  <a:pt x="1605" y="21"/>
                                </a:lnTo>
                                <a:lnTo>
                                  <a:pt x="1601" y="17"/>
                                </a:lnTo>
                                <a:lnTo>
                                  <a:pt x="1595" y="15"/>
                                </a:lnTo>
                                <a:lnTo>
                                  <a:pt x="1588" y="15"/>
                                </a:lnTo>
                                <a:lnTo>
                                  <a:pt x="1580" y="15"/>
                                </a:lnTo>
                                <a:lnTo>
                                  <a:pt x="1574" y="17"/>
                                </a:lnTo>
                                <a:lnTo>
                                  <a:pt x="1569" y="21"/>
                                </a:lnTo>
                                <a:lnTo>
                                  <a:pt x="1565" y="26"/>
                                </a:lnTo>
                                <a:lnTo>
                                  <a:pt x="1562" y="32"/>
                                </a:lnTo>
                                <a:lnTo>
                                  <a:pt x="1562" y="40"/>
                                </a:lnTo>
                                <a:lnTo>
                                  <a:pt x="1546" y="39"/>
                                </a:lnTo>
                                <a:lnTo>
                                  <a:pt x="1547" y="27"/>
                                </a:lnTo>
                                <a:lnTo>
                                  <a:pt x="1551" y="17"/>
                                </a:lnTo>
                                <a:lnTo>
                                  <a:pt x="1559" y="11"/>
                                </a:lnTo>
                                <a:lnTo>
                                  <a:pt x="1566" y="5"/>
                                </a:lnTo>
                                <a:lnTo>
                                  <a:pt x="1576" y="1"/>
                                </a:lnTo>
                                <a:lnTo>
                                  <a:pt x="1588" y="1"/>
                                </a:lnTo>
                                <a:lnTo>
                                  <a:pt x="1600" y="1"/>
                                </a:lnTo>
                                <a:lnTo>
                                  <a:pt x="1610" y="5"/>
                                </a:lnTo>
                                <a:lnTo>
                                  <a:pt x="1617" y="12"/>
                                </a:lnTo>
                                <a:lnTo>
                                  <a:pt x="1625" y="19"/>
                                </a:lnTo>
                                <a:lnTo>
                                  <a:pt x="1628" y="27"/>
                                </a:lnTo>
                                <a:lnTo>
                                  <a:pt x="1628" y="37"/>
                                </a:lnTo>
                                <a:lnTo>
                                  <a:pt x="1628" y="42"/>
                                </a:lnTo>
                                <a:lnTo>
                                  <a:pt x="1627" y="47"/>
                                </a:lnTo>
                                <a:lnTo>
                                  <a:pt x="1625" y="52"/>
                                </a:lnTo>
                                <a:lnTo>
                                  <a:pt x="1623" y="57"/>
                                </a:lnTo>
                                <a:lnTo>
                                  <a:pt x="1619" y="63"/>
                                </a:lnTo>
                                <a:lnTo>
                                  <a:pt x="1614" y="68"/>
                                </a:lnTo>
                                <a:lnTo>
                                  <a:pt x="1610" y="74"/>
                                </a:lnTo>
                                <a:lnTo>
                                  <a:pt x="1601" y="81"/>
                                </a:lnTo>
                                <a:lnTo>
                                  <a:pt x="1590" y="91"/>
                                </a:lnTo>
                                <a:lnTo>
                                  <a:pt x="1581" y="99"/>
                                </a:lnTo>
                                <a:lnTo>
                                  <a:pt x="1574" y="104"/>
                                </a:lnTo>
                                <a:lnTo>
                                  <a:pt x="1572" y="107"/>
                                </a:lnTo>
                                <a:lnTo>
                                  <a:pt x="1569" y="110"/>
                                </a:lnTo>
                                <a:lnTo>
                                  <a:pt x="1567" y="113"/>
                                </a:lnTo>
                                <a:lnTo>
                                  <a:pt x="1565" y="116"/>
                                </a:lnTo>
                                <a:lnTo>
                                  <a:pt x="1628" y="116"/>
                                </a:lnTo>
                                <a:close/>
                                <a:moveTo>
                                  <a:pt x="1730" y="169"/>
                                </a:moveTo>
                                <a:lnTo>
                                  <a:pt x="1724" y="160"/>
                                </a:lnTo>
                                <a:lnTo>
                                  <a:pt x="1718" y="151"/>
                                </a:lnTo>
                                <a:lnTo>
                                  <a:pt x="1713" y="141"/>
                                </a:lnTo>
                                <a:lnTo>
                                  <a:pt x="1708" y="130"/>
                                </a:lnTo>
                                <a:lnTo>
                                  <a:pt x="1704" y="119"/>
                                </a:lnTo>
                                <a:lnTo>
                                  <a:pt x="1701" y="107"/>
                                </a:lnTo>
                                <a:lnTo>
                                  <a:pt x="1699" y="96"/>
                                </a:lnTo>
                                <a:lnTo>
                                  <a:pt x="1699" y="84"/>
                                </a:lnTo>
                                <a:lnTo>
                                  <a:pt x="1699" y="74"/>
                                </a:lnTo>
                                <a:lnTo>
                                  <a:pt x="1700" y="64"/>
                                </a:lnTo>
                                <a:lnTo>
                                  <a:pt x="1703" y="54"/>
                                </a:lnTo>
                                <a:lnTo>
                                  <a:pt x="1705" y="44"/>
                                </a:lnTo>
                                <a:lnTo>
                                  <a:pt x="1710" y="33"/>
                                </a:lnTo>
                                <a:lnTo>
                                  <a:pt x="1716" y="22"/>
                                </a:lnTo>
                                <a:lnTo>
                                  <a:pt x="1722" y="11"/>
                                </a:lnTo>
                                <a:lnTo>
                                  <a:pt x="1730" y="0"/>
                                </a:lnTo>
                                <a:lnTo>
                                  <a:pt x="1741" y="0"/>
                                </a:lnTo>
                                <a:lnTo>
                                  <a:pt x="1734" y="12"/>
                                </a:lnTo>
                                <a:lnTo>
                                  <a:pt x="1729" y="21"/>
                                </a:lnTo>
                                <a:lnTo>
                                  <a:pt x="1727" y="26"/>
                                </a:lnTo>
                                <a:lnTo>
                                  <a:pt x="1724" y="34"/>
                                </a:lnTo>
                                <a:lnTo>
                                  <a:pt x="1721" y="42"/>
                                </a:lnTo>
                                <a:lnTo>
                                  <a:pt x="1719" y="51"/>
                                </a:lnTo>
                                <a:lnTo>
                                  <a:pt x="1716" y="62"/>
                                </a:lnTo>
                                <a:lnTo>
                                  <a:pt x="1715" y="73"/>
                                </a:lnTo>
                                <a:lnTo>
                                  <a:pt x="1715" y="84"/>
                                </a:lnTo>
                                <a:lnTo>
                                  <a:pt x="1717" y="105"/>
                                </a:lnTo>
                                <a:lnTo>
                                  <a:pt x="1722" y="126"/>
                                </a:lnTo>
                                <a:lnTo>
                                  <a:pt x="1730" y="148"/>
                                </a:lnTo>
                                <a:lnTo>
                                  <a:pt x="1741" y="169"/>
                                </a:lnTo>
                                <a:lnTo>
                                  <a:pt x="1730" y="169"/>
                                </a:lnTo>
                                <a:close/>
                                <a:moveTo>
                                  <a:pt x="1838" y="116"/>
                                </a:moveTo>
                                <a:lnTo>
                                  <a:pt x="1838" y="131"/>
                                </a:lnTo>
                                <a:lnTo>
                                  <a:pt x="1753" y="131"/>
                                </a:lnTo>
                                <a:lnTo>
                                  <a:pt x="1753" y="127"/>
                                </a:lnTo>
                                <a:lnTo>
                                  <a:pt x="1754" y="123"/>
                                </a:lnTo>
                                <a:lnTo>
                                  <a:pt x="1755" y="120"/>
                                </a:lnTo>
                                <a:lnTo>
                                  <a:pt x="1757" y="114"/>
                                </a:lnTo>
                                <a:lnTo>
                                  <a:pt x="1761" y="108"/>
                                </a:lnTo>
                                <a:lnTo>
                                  <a:pt x="1765" y="103"/>
                                </a:lnTo>
                                <a:lnTo>
                                  <a:pt x="1770" y="97"/>
                                </a:lnTo>
                                <a:lnTo>
                                  <a:pt x="1777" y="91"/>
                                </a:lnTo>
                                <a:lnTo>
                                  <a:pt x="1786" y="83"/>
                                </a:lnTo>
                                <a:lnTo>
                                  <a:pt x="1800" y="72"/>
                                </a:lnTo>
                                <a:lnTo>
                                  <a:pt x="1810" y="63"/>
                                </a:lnTo>
                                <a:lnTo>
                                  <a:pt x="1815" y="56"/>
                                </a:lnTo>
                                <a:lnTo>
                                  <a:pt x="1819" y="49"/>
                                </a:lnTo>
                                <a:lnTo>
                                  <a:pt x="1822" y="43"/>
                                </a:lnTo>
                                <a:lnTo>
                                  <a:pt x="1822" y="37"/>
                                </a:lnTo>
                                <a:lnTo>
                                  <a:pt x="1822" y="31"/>
                                </a:lnTo>
                                <a:lnTo>
                                  <a:pt x="1820" y="25"/>
                                </a:lnTo>
                                <a:lnTo>
                                  <a:pt x="1815" y="21"/>
                                </a:lnTo>
                                <a:lnTo>
                                  <a:pt x="1811" y="17"/>
                                </a:lnTo>
                                <a:lnTo>
                                  <a:pt x="1805" y="15"/>
                                </a:lnTo>
                                <a:lnTo>
                                  <a:pt x="1798" y="15"/>
                                </a:lnTo>
                                <a:lnTo>
                                  <a:pt x="1790" y="15"/>
                                </a:lnTo>
                                <a:lnTo>
                                  <a:pt x="1784" y="17"/>
                                </a:lnTo>
                                <a:lnTo>
                                  <a:pt x="1779" y="21"/>
                                </a:lnTo>
                                <a:lnTo>
                                  <a:pt x="1775" y="26"/>
                                </a:lnTo>
                                <a:lnTo>
                                  <a:pt x="1773" y="32"/>
                                </a:lnTo>
                                <a:lnTo>
                                  <a:pt x="1772" y="40"/>
                                </a:lnTo>
                                <a:lnTo>
                                  <a:pt x="1756" y="39"/>
                                </a:lnTo>
                                <a:lnTo>
                                  <a:pt x="1757" y="27"/>
                                </a:lnTo>
                                <a:lnTo>
                                  <a:pt x="1761" y="17"/>
                                </a:lnTo>
                                <a:lnTo>
                                  <a:pt x="1769" y="11"/>
                                </a:lnTo>
                                <a:lnTo>
                                  <a:pt x="1776" y="5"/>
                                </a:lnTo>
                                <a:lnTo>
                                  <a:pt x="1786" y="1"/>
                                </a:lnTo>
                                <a:lnTo>
                                  <a:pt x="1798" y="1"/>
                                </a:lnTo>
                                <a:lnTo>
                                  <a:pt x="1810" y="1"/>
                                </a:lnTo>
                                <a:lnTo>
                                  <a:pt x="1820" y="5"/>
                                </a:lnTo>
                                <a:lnTo>
                                  <a:pt x="1827" y="12"/>
                                </a:lnTo>
                                <a:lnTo>
                                  <a:pt x="1835" y="19"/>
                                </a:lnTo>
                                <a:lnTo>
                                  <a:pt x="1838" y="27"/>
                                </a:lnTo>
                                <a:lnTo>
                                  <a:pt x="1838" y="37"/>
                                </a:lnTo>
                                <a:lnTo>
                                  <a:pt x="1838" y="42"/>
                                </a:lnTo>
                                <a:lnTo>
                                  <a:pt x="1837" y="47"/>
                                </a:lnTo>
                                <a:lnTo>
                                  <a:pt x="1835" y="52"/>
                                </a:lnTo>
                                <a:lnTo>
                                  <a:pt x="1833" y="57"/>
                                </a:lnTo>
                                <a:lnTo>
                                  <a:pt x="1829" y="63"/>
                                </a:lnTo>
                                <a:lnTo>
                                  <a:pt x="1825" y="68"/>
                                </a:lnTo>
                                <a:lnTo>
                                  <a:pt x="1820" y="74"/>
                                </a:lnTo>
                                <a:lnTo>
                                  <a:pt x="1811" y="81"/>
                                </a:lnTo>
                                <a:lnTo>
                                  <a:pt x="1800" y="91"/>
                                </a:lnTo>
                                <a:lnTo>
                                  <a:pt x="1791" y="99"/>
                                </a:lnTo>
                                <a:lnTo>
                                  <a:pt x="1785" y="104"/>
                                </a:lnTo>
                                <a:lnTo>
                                  <a:pt x="1782" y="107"/>
                                </a:lnTo>
                                <a:lnTo>
                                  <a:pt x="1779" y="110"/>
                                </a:lnTo>
                                <a:lnTo>
                                  <a:pt x="1777" y="113"/>
                                </a:lnTo>
                                <a:lnTo>
                                  <a:pt x="1775" y="116"/>
                                </a:lnTo>
                                <a:lnTo>
                                  <a:pt x="1838" y="116"/>
                                </a:lnTo>
                                <a:close/>
                                <a:moveTo>
                                  <a:pt x="1864" y="131"/>
                                </a:moveTo>
                                <a:lnTo>
                                  <a:pt x="1864" y="113"/>
                                </a:lnTo>
                                <a:lnTo>
                                  <a:pt x="1882" y="113"/>
                                </a:lnTo>
                                <a:lnTo>
                                  <a:pt x="1882" y="131"/>
                                </a:lnTo>
                                <a:lnTo>
                                  <a:pt x="1864" y="131"/>
                                </a:lnTo>
                                <a:close/>
                                <a:moveTo>
                                  <a:pt x="1987" y="34"/>
                                </a:moveTo>
                                <a:lnTo>
                                  <a:pt x="1972" y="35"/>
                                </a:lnTo>
                                <a:lnTo>
                                  <a:pt x="1970" y="29"/>
                                </a:lnTo>
                                <a:lnTo>
                                  <a:pt x="1968" y="24"/>
                                </a:lnTo>
                                <a:lnTo>
                                  <a:pt x="1966" y="21"/>
                                </a:lnTo>
                                <a:lnTo>
                                  <a:pt x="1961" y="17"/>
                                </a:lnTo>
                                <a:lnTo>
                                  <a:pt x="1956" y="14"/>
                                </a:lnTo>
                                <a:lnTo>
                                  <a:pt x="1950" y="14"/>
                                </a:lnTo>
                                <a:lnTo>
                                  <a:pt x="1945" y="14"/>
                                </a:lnTo>
                                <a:lnTo>
                                  <a:pt x="1940" y="16"/>
                                </a:lnTo>
                                <a:lnTo>
                                  <a:pt x="1937" y="19"/>
                                </a:lnTo>
                                <a:lnTo>
                                  <a:pt x="1932" y="22"/>
                                </a:lnTo>
                                <a:lnTo>
                                  <a:pt x="1928" y="28"/>
                                </a:lnTo>
                                <a:lnTo>
                                  <a:pt x="1925" y="35"/>
                                </a:lnTo>
                                <a:lnTo>
                                  <a:pt x="1922" y="42"/>
                                </a:lnTo>
                                <a:lnTo>
                                  <a:pt x="1920" y="51"/>
                                </a:lnTo>
                                <a:lnTo>
                                  <a:pt x="1920" y="64"/>
                                </a:lnTo>
                                <a:lnTo>
                                  <a:pt x="1924" y="59"/>
                                </a:lnTo>
                                <a:lnTo>
                                  <a:pt x="1929" y="54"/>
                                </a:lnTo>
                                <a:lnTo>
                                  <a:pt x="1934" y="51"/>
                                </a:lnTo>
                                <a:lnTo>
                                  <a:pt x="1940" y="49"/>
                                </a:lnTo>
                                <a:lnTo>
                                  <a:pt x="1946" y="47"/>
                                </a:lnTo>
                                <a:lnTo>
                                  <a:pt x="1952" y="47"/>
                                </a:lnTo>
                                <a:lnTo>
                                  <a:pt x="1962" y="47"/>
                                </a:lnTo>
                                <a:lnTo>
                                  <a:pt x="1971" y="51"/>
                                </a:lnTo>
                                <a:lnTo>
                                  <a:pt x="1979" y="59"/>
                                </a:lnTo>
                                <a:lnTo>
                                  <a:pt x="1986" y="67"/>
                                </a:lnTo>
                                <a:lnTo>
                                  <a:pt x="1990" y="77"/>
                                </a:lnTo>
                                <a:lnTo>
                                  <a:pt x="1990" y="89"/>
                                </a:lnTo>
                                <a:lnTo>
                                  <a:pt x="1990" y="97"/>
                                </a:lnTo>
                                <a:lnTo>
                                  <a:pt x="1988" y="105"/>
                                </a:lnTo>
                                <a:lnTo>
                                  <a:pt x="1984" y="112"/>
                                </a:lnTo>
                                <a:lnTo>
                                  <a:pt x="1981" y="118"/>
                                </a:lnTo>
                                <a:lnTo>
                                  <a:pt x="1976" y="124"/>
                                </a:lnTo>
                                <a:lnTo>
                                  <a:pt x="1970" y="127"/>
                                </a:lnTo>
                                <a:lnTo>
                                  <a:pt x="1964" y="131"/>
                                </a:lnTo>
                                <a:lnTo>
                                  <a:pt x="1957" y="133"/>
                                </a:lnTo>
                                <a:lnTo>
                                  <a:pt x="1949" y="133"/>
                                </a:lnTo>
                                <a:lnTo>
                                  <a:pt x="1936" y="133"/>
                                </a:lnTo>
                                <a:lnTo>
                                  <a:pt x="1925" y="128"/>
                                </a:lnTo>
                                <a:lnTo>
                                  <a:pt x="1917" y="118"/>
                                </a:lnTo>
                                <a:lnTo>
                                  <a:pt x="1912" y="110"/>
                                </a:lnTo>
                                <a:lnTo>
                                  <a:pt x="1908" y="99"/>
                                </a:lnTo>
                                <a:lnTo>
                                  <a:pt x="1905" y="86"/>
                                </a:lnTo>
                                <a:lnTo>
                                  <a:pt x="1905" y="71"/>
                                </a:lnTo>
                                <a:lnTo>
                                  <a:pt x="1905" y="53"/>
                                </a:lnTo>
                                <a:lnTo>
                                  <a:pt x="1908" y="38"/>
                                </a:lnTo>
                                <a:lnTo>
                                  <a:pt x="1912" y="26"/>
                                </a:lnTo>
                                <a:lnTo>
                                  <a:pt x="1918" y="16"/>
                                </a:lnTo>
                                <a:lnTo>
                                  <a:pt x="1926" y="6"/>
                                </a:lnTo>
                                <a:lnTo>
                                  <a:pt x="1937" y="1"/>
                                </a:lnTo>
                                <a:lnTo>
                                  <a:pt x="1951" y="1"/>
                                </a:lnTo>
                                <a:lnTo>
                                  <a:pt x="1961" y="1"/>
                                </a:lnTo>
                                <a:lnTo>
                                  <a:pt x="1969" y="4"/>
                                </a:lnTo>
                                <a:lnTo>
                                  <a:pt x="1976" y="10"/>
                                </a:lnTo>
                                <a:lnTo>
                                  <a:pt x="1982" y="16"/>
                                </a:lnTo>
                                <a:lnTo>
                                  <a:pt x="1986" y="23"/>
                                </a:lnTo>
                                <a:lnTo>
                                  <a:pt x="1987" y="34"/>
                                </a:lnTo>
                                <a:close/>
                                <a:moveTo>
                                  <a:pt x="1923" y="89"/>
                                </a:moveTo>
                                <a:lnTo>
                                  <a:pt x="1923" y="95"/>
                                </a:lnTo>
                                <a:lnTo>
                                  <a:pt x="1924" y="100"/>
                                </a:lnTo>
                                <a:lnTo>
                                  <a:pt x="1926" y="105"/>
                                </a:lnTo>
                                <a:lnTo>
                                  <a:pt x="1929" y="110"/>
                                </a:lnTo>
                                <a:lnTo>
                                  <a:pt x="1932" y="113"/>
                                </a:lnTo>
                                <a:lnTo>
                                  <a:pt x="1936" y="116"/>
                                </a:lnTo>
                                <a:lnTo>
                                  <a:pt x="1940" y="119"/>
                                </a:lnTo>
                                <a:lnTo>
                                  <a:pt x="1945" y="120"/>
                                </a:lnTo>
                                <a:lnTo>
                                  <a:pt x="1949" y="120"/>
                                </a:lnTo>
                                <a:lnTo>
                                  <a:pt x="1956" y="120"/>
                                </a:lnTo>
                                <a:lnTo>
                                  <a:pt x="1962" y="117"/>
                                </a:lnTo>
                                <a:lnTo>
                                  <a:pt x="1966" y="112"/>
                                </a:lnTo>
                                <a:lnTo>
                                  <a:pt x="1971" y="107"/>
                                </a:lnTo>
                                <a:lnTo>
                                  <a:pt x="1974" y="99"/>
                                </a:lnTo>
                                <a:lnTo>
                                  <a:pt x="1974" y="90"/>
                                </a:lnTo>
                                <a:lnTo>
                                  <a:pt x="1974" y="81"/>
                                </a:lnTo>
                                <a:lnTo>
                                  <a:pt x="1971" y="74"/>
                                </a:lnTo>
                                <a:lnTo>
                                  <a:pt x="1966" y="69"/>
                                </a:lnTo>
                                <a:lnTo>
                                  <a:pt x="1962" y="64"/>
                                </a:lnTo>
                                <a:lnTo>
                                  <a:pt x="1956" y="61"/>
                                </a:lnTo>
                                <a:lnTo>
                                  <a:pt x="1948" y="61"/>
                                </a:lnTo>
                                <a:lnTo>
                                  <a:pt x="1941" y="61"/>
                                </a:lnTo>
                                <a:lnTo>
                                  <a:pt x="1935" y="64"/>
                                </a:lnTo>
                                <a:lnTo>
                                  <a:pt x="1930" y="69"/>
                                </a:lnTo>
                                <a:lnTo>
                                  <a:pt x="1925" y="74"/>
                                </a:lnTo>
                                <a:lnTo>
                                  <a:pt x="1923" y="81"/>
                                </a:lnTo>
                                <a:lnTo>
                                  <a:pt x="1923" y="89"/>
                                </a:lnTo>
                                <a:close/>
                                <a:moveTo>
                                  <a:pt x="2008" y="33"/>
                                </a:moveTo>
                                <a:lnTo>
                                  <a:pt x="2008" y="24"/>
                                </a:lnTo>
                                <a:lnTo>
                                  <a:pt x="2011" y="16"/>
                                </a:lnTo>
                                <a:lnTo>
                                  <a:pt x="2015" y="9"/>
                                </a:lnTo>
                                <a:lnTo>
                                  <a:pt x="2020" y="3"/>
                                </a:lnTo>
                                <a:lnTo>
                                  <a:pt x="2027" y="0"/>
                                </a:lnTo>
                                <a:lnTo>
                                  <a:pt x="2035" y="0"/>
                                </a:lnTo>
                                <a:lnTo>
                                  <a:pt x="2044" y="0"/>
                                </a:lnTo>
                                <a:lnTo>
                                  <a:pt x="2050" y="3"/>
                                </a:lnTo>
                                <a:lnTo>
                                  <a:pt x="2056" y="8"/>
                                </a:lnTo>
                                <a:lnTo>
                                  <a:pt x="2061" y="14"/>
                                </a:lnTo>
                                <a:lnTo>
                                  <a:pt x="2064" y="23"/>
                                </a:lnTo>
                                <a:lnTo>
                                  <a:pt x="2064" y="34"/>
                                </a:lnTo>
                                <a:lnTo>
                                  <a:pt x="2064" y="45"/>
                                </a:lnTo>
                                <a:lnTo>
                                  <a:pt x="2061" y="53"/>
                                </a:lnTo>
                                <a:lnTo>
                                  <a:pt x="2055" y="59"/>
                                </a:lnTo>
                                <a:lnTo>
                                  <a:pt x="2050" y="65"/>
                                </a:lnTo>
                                <a:lnTo>
                                  <a:pt x="2044" y="68"/>
                                </a:lnTo>
                                <a:lnTo>
                                  <a:pt x="2036" y="68"/>
                                </a:lnTo>
                                <a:lnTo>
                                  <a:pt x="2028" y="68"/>
                                </a:lnTo>
                                <a:lnTo>
                                  <a:pt x="2021" y="65"/>
                                </a:lnTo>
                                <a:lnTo>
                                  <a:pt x="2016" y="59"/>
                                </a:lnTo>
                                <a:lnTo>
                                  <a:pt x="2011" y="53"/>
                                </a:lnTo>
                                <a:lnTo>
                                  <a:pt x="2008" y="45"/>
                                </a:lnTo>
                                <a:lnTo>
                                  <a:pt x="2008" y="33"/>
                                </a:lnTo>
                                <a:close/>
                                <a:moveTo>
                                  <a:pt x="2036" y="11"/>
                                </a:moveTo>
                                <a:lnTo>
                                  <a:pt x="2032" y="11"/>
                                </a:lnTo>
                                <a:lnTo>
                                  <a:pt x="2029" y="12"/>
                                </a:lnTo>
                                <a:lnTo>
                                  <a:pt x="2026" y="16"/>
                                </a:lnTo>
                                <a:lnTo>
                                  <a:pt x="2024" y="19"/>
                                </a:lnTo>
                                <a:lnTo>
                                  <a:pt x="2022" y="25"/>
                                </a:lnTo>
                                <a:lnTo>
                                  <a:pt x="2022" y="34"/>
                                </a:lnTo>
                                <a:lnTo>
                                  <a:pt x="2022" y="43"/>
                                </a:lnTo>
                                <a:lnTo>
                                  <a:pt x="2024" y="49"/>
                                </a:lnTo>
                                <a:lnTo>
                                  <a:pt x="2026" y="52"/>
                                </a:lnTo>
                                <a:lnTo>
                                  <a:pt x="2029" y="55"/>
                                </a:lnTo>
                                <a:lnTo>
                                  <a:pt x="2032" y="57"/>
                                </a:lnTo>
                                <a:lnTo>
                                  <a:pt x="2036" y="57"/>
                                </a:lnTo>
                                <a:lnTo>
                                  <a:pt x="2040" y="57"/>
                                </a:lnTo>
                                <a:lnTo>
                                  <a:pt x="2043" y="55"/>
                                </a:lnTo>
                                <a:lnTo>
                                  <a:pt x="2046" y="52"/>
                                </a:lnTo>
                                <a:lnTo>
                                  <a:pt x="2048" y="48"/>
                                </a:lnTo>
                                <a:lnTo>
                                  <a:pt x="2050" y="42"/>
                                </a:lnTo>
                                <a:lnTo>
                                  <a:pt x="2050" y="33"/>
                                </a:lnTo>
                                <a:lnTo>
                                  <a:pt x="2050" y="25"/>
                                </a:lnTo>
                                <a:lnTo>
                                  <a:pt x="2048" y="19"/>
                                </a:lnTo>
                                <a:lnTo>
                                  <a:pt x="2046" y="16"/>
                                </a:lnTo>
                                <a:lnTo>
                                  <a:pt x="2043" y="12"/>
                                </a:lnTo>
                                <a:lnTo>
                                  <a:pt x="2040" y="11"/>
                                </a:lnTo>
                                <a:lnTo>
                                  <a:pt x="2036" y="11"/>
                                </a:lnTo>
                                <a:close/>
                                <a:moveTo>
                                  <a:pt x="2036" y="136"/>
                                </a:moveTo>
                                <a:lnTo>
                                  <a:pt x="2107" y="0"/>
                                </a:lnTo>
                                <a:lnTo>
                                  <a:pt x="2119" y="0"/>
                                </a:lnTo>
                                <a:lnTo>
                                  <a:pt x="2049" y="136"/>
                                </a:lnTo>
                                <a:lnTo>
                                  <a:pt x="2036" y="136"/>
                                </a:lnTo>
                                <a:close/>
                                <a:moveTo>
                                  <a:pt x="2092" y="101"/>
                                </a:moveTo>
                                <a:lnTo>
                                  <a:pt x="2092" y="91"/>
                                </a:lnTo>
                                <a:lnTo>
                                  <a:pt x="2094" y="83"/>
                                </a:lnTo>
                                <a:lnTo>
                                  <a:pt x="2099" y="77"/>
                                </a:lnTo>
                                <a:lnTo>
                                  <a:pt x="2103" y="71"/>
                                </a:lnTo>
                                <a:lnTo>
                                  <a:pt x="2110" y="67"/>
                                </a:lnTo>
                                <a:lnTo>
                                  <a:pt x="2119" y="67"/>
                                </a:lnTo>
                                <a:lnTo>
                                  <a:pt x="2127" y="67"/>
                                </a:lnTo>
                                <a:lnTo>
                                  <a:pt x="2134" y="70"/>
                                </a:lnTo>
                                <a:lnTo>
                                  <a:pt x="2139" y="76"/>
                                </a:lnTo>
                                <a:lnTo>
                                  <a:pt x="2144" y="82"/>
                                </a:lnTo>
                                <a:lnTo>
                                  <a:pt x="2147" y="90"/>
                                </a:lnTo>
                                <a:lnTo>
                                  <a:pt x="2147" y="102"/>
                                </a:lnTo>
                                <a:lnTo>
                                  <a:pt x="2147" y="112"/>
                                </a:lnTo>
                                <a:lnTo>
                                  <a:pt x="2144" y="121"/>
                                </a:lnTo>
                                <a:lnTo>
                                  <a:pt x="2139" y="127"/>
                                </a:lnTo>
                                <a:lnTo>
                                  <a:pt x="2134" y="133"/>
                                </a:lnTo>
                                <a:lnTo>
                                  <a:pt x="2127" y="136"/>
                                </a:lnTo>
                                <a:lnTo>
                                  <a:pt x="2119" y="136"/>
                                </a:lnTo>
                                <a:lnTo>
                                  <a:pt x="2111" y="136"/>
                                </a:lnTo>
                                <a:lnTo>
                                  <a:pt x="2105" y="133"/>
                                </a:lnTo>
                                <a:lnTo>
                                  <a:pt x="2100" y="127"/>
                                </a:lnTo>
                                <a:lnTo>
                                  <a:pt x="2094" y="121"/>
                                </a:lnTo>
                                <a:lnTo>
                                  <a:pt x="2092" y="112"/>
                                </a:lnTo>
                                <a:lnTo>
                                  <a:pt x="2092" y="101"/>
                                </a:lnTo>
                                <a:close/>
                                <a:moveTo>
                                  <a:pt x="2119" y="78"/>
                                </a:moveTo>
                                <a:lnTo>
                                  <a:pt x="2115" y="78"/>
                                </a:lnTo>
                                <a:lnTo>
                                  <a:pt x="2112" y="80"/>
                                </a:lnTo>
                                <a:lnTo>
                                  <a:pt x="2109" y="83"/>
                                </a:lnTo>
                                <a:lnTo>
                                  <a:pt x="2107" y="87"/>
                                </a:lnTo>
                                <a:lnTo>
                                  <a:pt x="2106" y="93"/>
                                </a:lnTo>
                                <a:lnTo>
                                  <a:pt x="2106" y="102"/>
                                </a:lnTo>
                                <a:lnTo>
                                  <a:pt x="2106" y="110"/>
                                </a:lnTo>
                                <a:lnTo>
                                  <a:pt x="2107" y="116"/>
                                </a:lnTo>
                                <a:lnTo>
                                  <a:pt x="2110" y="120"/>
                                </a:lnTo>
                                <a:lnTo>
                                  <a:pt x="2112" y="123"/>
                                </a:lnTo>
                                <a:lnTo>
                                  <a:pt x="2115" y="125"/>
                                </a:lnTo>
                                <a:lnTo>
                                  <a:pt x="2119" y="125"/>
                                </a:lnTo>
                                <a:lnTo>
                                  <a:pt x="2123" y="125"/>
                                </a:lnTo>
                                <a:lnTo>
                                  <a:pt x="2127" y="123"/>
                                </a:lnTo>
                                <a:lnTo>
                                  <a:pt x="2129" y="120"/>
                                </a:lnTo>
                                <a:lnTo>
                                  <a:pt x="2132" y="116"/>
                                </a:lnTo>
                                <a:lnTo>
                                  <a:pt x="2133" y="110"/>
                                </a:lnTo>
                                <a:lnTo>
                                  <a:pt x="2133" y="101"/>
                                </a:lnTo>
                                <a:lnTo>
                                  <a:pt x="2133" y="93"/>
                                </a:lnTo>
                                <a:lnTo>
                                  <a:pt x="2132" y="87"/>
                                </a:lnTo>
                                <a:lnTo>
                                  <a:pt x="2129" y="83"/>
                                </a:lnTo>
                                <a:lnTo>
                                  <a:pt x="2127" y="80"/>
                                </a:lnTo>
                                <a:lnTo>
                                  <a:pt x="2123" y="78"/>
                                </a:lnTo>
                                <a:lnTo>
                                  <a:pt x="2119" y="78"/>
                                </a:lnTo>
                                <a:close/>
                                <a:moveTo>
                                  <a:pt x="2180" y="169"/>
                                </a:moveTo>
                                <a:lnTo>
                                  <a:pt x="2169" y="169"/>
                                </a:lnTo>
                                <a:lnTo>
                                  <a:pt x="2180" y="148"/>
                                </a:lnTo>
                                <a:lnTo>
                                  <a:pt x="2189" y="126"/>
                                </a:lnTo>
                                <a:lnTo>
                                  <a:pt x="2194" y="105"/>
                                </a:lnTo>
                                <a:lnTo>
                                  <a:pt x="2195" y="84"/>
                                </a:lnTo>
                                <a:lnTo>
                                  <a:pt x="2195" y="73"/>
                                </a:lnTo>
                                <a:lnTo>
                                  <a:pt x="2194" y="62"/>
                                </a:lnTo>
                                <a:lnTo>
                                  <a:pt x="2191" y="51"/>
                                </a:lnTo>
                                <a:lnTo>
                                  <a:pt x="2189" y="43"/>
                                </a:lnTo>
                                <a:lnTo>
                                  <a:pt x="2187" y="34"/>
                                </a:lnTo>
                                <a:lnTo>
                                  <a:pt x="2183" y="26"/>
                                </a:lnTo>
                                <a:lnTo>
                                  <a:pt x="2181" y="21"/>
                                </a:lnTo>
                                <a:lnTo>
                                  <a:pt x="2176" y="12"/>
                                </a:lnTo>
                                <a:lnTo>
                                  <a:pt x="2169" y="0"/>
                                </a:lnTo>
                                <a:lnTo>
                                  <a:pt x="2180" y="0"/>
                                </a:lnTo>
                                <a:lnTo>
                                  <a:pt x="2188" y="11"/>
                                </a:lnTo>
                                <a:lnTo>
                                  <a:pt x="2195" y="22"/>
                                </a:lnTo>
                                <a:lnTo>
                                  <a:pt x="2200" y="33"/>
                                </a:lnTo>
                                <a:lnTo>
                                  <a:pt x="2205" y="44"/>
                                </a:lnTo>
                                <a:lnTo>
                                  <a:pt x="2208" y="54"/>
                                </a:lnTo>
                                <a:lnTo>
                                  <a:pt x="2210" y="64"/>
                                </a:lnTo>
                                <a:lnTo>
                                  <a:pt x="2211" y="74"/>
                                </a:lnTo>
                                <a:lnTo>
                                  <a:pt x="2211" y="84"/>
                                </a:lnTo>
                                <a:lnTo>
                                  <a:pt x="2211" y="96"/>
                                </a:lnTo>
                                <a:lnTo>
                                  <a:pt x="2209" y="107"/>
                                </a:lnTo>
                                <a:lnTo>
                                  <a:pt x="2206" y="119"/>
                                </a:lnTo>
                                <a:lnTo>
                                  <a:pt x="2202" y="130"/>
                                </a:lnTo>
                                <a:lnTo>
                                  <a:pt x="2198" y="141"/>
                                </a:lnTo>
                                <a:lnTo>
                                  <a:pt x="2192" y="151"/>
                                </a:lnTo>
                                <a:lnTo>
                                  <a:pt x="2187" y="160"/>
                                </a:lnTo>
                                <a:lnTo>
                                  <a:pt x="2180" y="169"/>
                                </a:lnTo>
                                <a:close/>
                              </a:path>
                            </a:pathLst>
                          </a:custGeom>
                          <a:noFill/>
                          <a:ln w="28575">
                            <a:solidFill>
                              <a:srgbClr val="FFFFFF"/>
                            </a:solidFill>
                            <a:round/>
                          </a:ln>
                          <a:effectLst/>
                        </wps:spPr>
                        <wps:bodyPr rot="0" vert="horz" wrap="square" lIns="91440" tIns="45720" rIns="91440" bIns="45720" anchor="t" anchorCtr="0" upright="1">
                          <a:noAutofit/>
                        </wps:bodyPr>
                      </wps:wsp>
                      <wps:wsp>
                        <wps:cNvPr id="744521947" name="Text Box 336"/>
                        <wps:cNvSpPr txBox="1">
                          <a:spLocks noChangeArrowheads="1"/>
                        </wps:cNvSpPr>
                        <wps:spPr bwMode="auto">
                          <a:xfrm>
                            <a:off x="1162" y="722"/>
                            <a:ext cx="8021" cy="1752"/>
                          </a:xfrm>
                          <a:prstGeom prst="rect">
                            <a:avLst/>
                          </a:prstGeom>
                          <a:noFill/>
                          <a:ln>
                            <a:noFill/>
                          </a:ln>
                          <a:effectLst/>
                        </wps:spPr>
                        <wps:txbx>
                          <w:txbxContent>
                            <w:p w14:paraId="12B90ED1">
                              <w:pPr>
                                <w:spacing w:line="300" w:lineRule="auto"/>
                                <w:ind w:right="9"/>
                              </w:pPr>
                              <w:r>
                                <w:rPr>
                                  <w:color w:val="202024"/>
                                </w:rPr>
                                <w:t>5.</w:t>
                              </w:r>
                              <w:r>
                                <w:rPr>
                                  <w:color w:val="202024"/>
                                  <w:spacing w:val="6"/>
                                </w:rPr>
                                <w:t xml:space="preserve"> </w:t>
                              </w:r>
                              <w:r>
                                <w:rPr>
                                  <w:color w:val="202024"/>
                                </w:rPr>
                                <w:t>The</w:t>
                              </w:r>
                              <w:r>
                                <w:rPr>
                                  <w:color w:val="202024"/>
                                  <w:spacing w:val="11"/>
                                </w:rPr>
                                <w:t xml:space="preserve"> </w:t>
                              </w:r>
                              <w:r>
                                <w:rPr>
                                  <w:color w:val="202024"/>
                                </w:rPr>
                                <w:t>allocation</w:t>
                              </w:r>
                              <w:r>
                                <w:rPr>
                                  <w:color w:val="202024"/>
                                  <w:spacing w:val="12"/>
                                </w:rPr>
                                <w:t xml:space="preserve"> </w:t>
                              </w:r>
                              <w:r>
                                <w:rPr>
                                  <w:color w:val="202024"/>
                                </w:rPr>
                                <w:t>of</w:t>
                              </w:r>
                              <w:r>
                                <w:rPr>
                                  <w:color w:val="202024"/>
                                  <w:spacing w:val="11"/>
                                </w:rPr>
                                <w:t xml:space="preserve"> </w:t>
                              </w:r>
                              <w:r>
                                <w:rPr>
                                  <w:color w:val="202024"/>
                                </w:rPr>
                                <w:t>fiscal</w:t>
                              </w:r>
                              <w:r>
                                <w:rPr>
                                  <w:color w:val="202024"/>
                                  <w:spacing w:val="11"/>
                                </w:rPr>
                                <w:t xml:space="preserve"> </w:t>
                              </w:r>
                              <w:r>
                                <w:rPr>
                                  <w:color w:val="202024"/>
                                </w:rPr>
                                <w:t>and</w:t>
                              </w:r>
                              <w:r>
                                <w:rPr>
                                  <w:color w:val="202024"/>
                                  <w:spacing w:val="11"/>
                                </w:rPr>
                                <w:t xml:space="preserve"> </w:t>
                              </w:r>
                              <w:r>
                                <w:rPr>
                                  <w:color w:val="202024"/>
                                </w:rPr>
                                <w:t>taxing</w:t>
                              </w:r>
                              <w:r>
                                <w:rPr>
                                  <w:color w:val="202024"/>
                                  <w:spacing w:val="11"/>
                                </w:rPr>
                                <w:t xml:space="preserve"> </w:t>
                              </w:r>
                              <w:r>
                                <w:rPr>
                                  <w:color w:val="202024"/>
                                </w:rPr>
                                <w:t>powers</w:t>
                              </w:r>
                              <w:r>
                                <w:rPr>
                                  <w:color w:val="202024"/>
                                  <w:spacing w:val="11"/>
                                </w:rPr>
                                <w:t xml:space="preserve"> </w:t>
                              </w:r>
                              <w:r>
                                <w:rPr>
                                  <w:color w:val="202024"/>
                                </w:rPr>
                                <w:t>between</w:t>
                              </w:r>
                              <w:r>
                                <w:rPr>
                                  <w:color w:val="202024"/>
                                  <w:spacing w:val="12"/>
                                </w:rPr>
                                <w:t xml:space="preserve"> </w:t>
                              </w:r>
                              <w:r>
                                <w:rPr>
                                  <w:color w:val="202024"/>
                                </w:rPr>
                                <w:t>the</w:t>
                              </w:r>
                              <w:r>
                                <w:rPr>
                                  <w:color w:val="202024"/>
                                  <w:spacing w:val="11"/>
                                </w:rPr>
                                <w:t xml:space="preserve"> </w:t>
                              </w:r>
                              <w:r>
                                <w:rPr>
                                  <w:color w:val="202024"/>
                                </w:rPr>
                                <w:t>federating</w:t>
                              </w:r>
                              <w:r>
                                <w:rPr>
                                  <w:color w:val="202024"/>
                                  <w:spacing w:val="11"/>
                                </w:rPr>
                                <w:t xml:space="preserve"> </w:t>
                              </w:r>
                              <w:r>
                                <w:rPr>
                                  <w:color w:val="202024"/>
                                </w:rPr>
                                <w:t>units</w:t>
                              </w:r>
                              <w:r>
                                <w:rPr>
                                  <w:color w:val="202024"/>
                                  <w:spacing w:val="-57"/>
                                </w:rPr>
                                <w:t xml:space="preserve"> </w:t>
                              </w:r>
                              <w:r>
                                <w:rPr>
                                  <w:color w:val="202024"/>
                                </w:rPr>
                                <w:t>in</w:t>
                              </w:r>
                              <w:r>
                                <w:rPr>
                                  <w:color w:val="202024"/>
                                  <w:spacing w:val="7"/>
                                </w:rPr>
                                <w:t xml:space="preserve"> </w:t>
                              </w:r>
                              <w:r>
                                <w:rPr>
                                  <w:color w:val="202024"/>
                                </w:rPr>
                                <w:t>Nigeria</w:t>
                              </w:r>
                              <w:r>
                                <w:rPr>
                                  <w:color w:val="202024"/>
                                  <w:spacing w:val="7"/>
                                </w:rPr>
                                <w:t xml:space="preserve"> </w:t>
                              </w:r>
                              <w:r>
                                <w:rPr>
                                  <w:color w:val="202024"/>
                                </w:rPr>
                                <w:t>and</w:t>
                              </w:r>
                              <w:r>
                                <w:rPr>
                                  <w:color w:val="202024"/>
                                  <w:spacing w:val="7"/>
                                </w:rPr>
                                <w:t xml:space="preserve"> </w:t>
                              </w:r>
                              <w:r>
                                <w:rPr>
                                  <w:color w:val="202024"/>
                                </w:rPr>
                                <w:t>the</w:t>
                              </w:r>
                              <w:r>
                                <w:rPr>
                                  <w:color w:val="202024"/>
                                  <w:spacing w:val="8"/>
                                </w:rPr>
                                <w:t xml:space="preserve"> </w:t>
                              </w:r>
                              <w:r>
                                <w:rPr>
                                  <w:color w:val="202024"/>
                                </w:rPr>
                                <w:t>competition</w:t>
                              </w:r>
                              <w:r>
                                <w:rPr>
                                  <w:color w:val="202024"/>
                                  <w:spacing w:val="7"/>
                                </w:rPr>
                                <w:t xml:space="preserve"> </w:t>
                              </w:r>
                              <w:r>
                                <w:rPr>
                                  <w:color w:val="202024"/>
                                </w:rPr>
                                <w:t>for</w:t>
                              </w:r>
                              <w:r>
                                <w:rPr>
                                  <w:color w:val="202024"/>
                                  <w:spacing w:val="7"/>
                                </w:rPr>
                                <w:t xml:space="preserve"> </w:t>
                              </w:r>
                              <w:r>
                                <w:rPr>
                                  <w:color w:val="202024"/>
                                </w:rPr>
                                <w:t>revenue</w:t>
                              </w:r>
                              <w:r>
                                <w:rPr>
                                  <w:color w:val="202024"/>
                                  <w:spacing w:val="7"/>
                                </w:rPr>
                                <w:t xml:space="preserve"> </w:t>
                              </w:r>
                              <w:r>
                                <w:rPr>
                                  <w:color w:val="202024"/>
                                </w:rPr>
                                <w:t>capture</w:t>
                              </w:r>
                              <w:r>
                                <w:rPr>
                                  <w:color w:val="202024"/>
                                  <w:spacing w:val="8"/>
                                </w:rPr>
                                <w:t xml:space="preserve"> </w:t>
                              </w:r>
                              <w:r>
                                <w:rPr>
                                  <w:color w:val="202024"/>
                                </w:rPr>
                                <w:t>impacts</w:t>
                              </w:r>
                              <w:r>
                                <w:rPr>
                                  <w:color w:val="202024"/>
                                  <w:spacing w:val="7"/>
                                </w:rPr>
                                <w:t xml:space="preserve"> </w:t>
                              </w:r>
                              <w:r>
                                <w:rPr>
                                  <w:color w:val="202024"/>
                                </w:rPr>
                                <w:t>tax</w:t>
                              </w:r>
                              <w:r>
                                <w:rPr>
                                  <w:color w:val="202024"/>
                                  <w:spacing w:val="7"/>
                                </w:rPr>
                                <w:t xml:space="preserve"> </w:t>
                              </w:r>
                              <w:r>
                                <w:rPr>
                                  <w:color w:val="202024"/>
                                </w:rPr>
                                <w:t>law</w:t>
                              </w:r>
                              <w:r>
                                <w:rPr>
                                  <w:color w:val="202024"/>
                                  <w:spacing w:val="1"/>
                                </w:rPr>
                                <w:t xml:space="preserve"> </w:t>
                              </w:r>
                              <w:r>
                                <w:rPr>
                                  <w:color w:val="202024"/>
                                </w:rPr>
                                <w:t>making</w:t>
                              </w:r>
                              <w:r>
                                <w:rPr>
                                  <w:color w:val="202024"/>
                                  <w:spacing w:val="8"/>
                                </w:rPr>
                                <w:t xml:space="preserve"> </w:t>
                              </w:r>
                              <w:r>
                                <w:rPr>
                                  <w:color w:val="202024"/>
                                </w:rPr>
                                <w:t>and</w:t>
                              </w:r>
                              <w:r>
                                <w:rPr>
                                  <w:color w:val="202024"/>
                                  <w:spacing w:val="8"/>
                                </w:rPr>
                                <w:t xml:space="preserve"> </w:t>
                              </w:r>
                              <w:r>
                                <w:rPr>
                                  <w:color w:val="202024"/>
                                </w:rPr>
                                <w:t>collection,</w:t>
                              </w:r>
                              <w:r>
                                <w:rPr>
                                  <w:color w:val="202024"/>
                                  <w:spacing w:val="9"/>
                                </w:rPr>
                                <w:t xml:space="preserve"> </w:t>
                              </w:r>
                              <w:r>
                                <w:rPr>
                                  <w:color w:val="202024"/>
                                </w:rPr>
                                <w:t>as</w:t>
                              </w:r>
                              <w:r>
                                <w:rPr>
                                  <w:color w:val="202024"/>
                                  <w:spacing w:val="8"/>
                                </w:rPr>
                                <w:t xml:space="preserve"> </w:t>
                              </w:r>
                              <w:r>
                                <w:rPr>
                                  <w:color w:val="202024"/>
                                </w:rPr>
                                <w:t>well</w:t>
                              </w:r>
                              <w:r>
                                <w:rPr>
                                  <w:color w:val="202024"/>
                                  <w:spacing w:val="9"/>
                                </w:rPr>
                                <w:t xml:space="preserve"> </w:t>
                              </w:r>
                              <w:r>
                                <w:rPr>
                                  <w:color w:val="202024"/>
                                </w:rPr>
                                <w:t>as</w:t>
                              </w:r>
                              <w:r>
                                <w:rPr>
                                  <w:color w:val="202024"/>
                                  <w:spacing w:val="8"/>
                                </w:rPr>
                                <w:t xml:space="preserve"> </w:t>
                              </w:r>
                              <w:r>
                                <w:rPr>
                                  <w:color w:val="202024"/>
                                </w:rPr>
                                <w:t>the</w:t>
                              </w:r>
                              <w:r>
                                <w:rPr>
                                  <w:color w:val="202024"/>
                                  <w:spacing w:val="8"/>
                                </w:rPr>
                                <w:t xml:space="preserve"> </w:t>
                              </w:r>
                              <w:r>
                                <w:rPr>
                                  <w:color w:val="202024"/>
                                </w:rPr>
                                <w:t>clarity,</w:t>
                              </w:r>
                              <w:r>
                                <w:rPr>
                                  <w:color w:val="202024"/>
                                  <w:spacing w:val="9"/>
                                </w:rPr>
                                <w:t xml:space="preserve"> </w:t>
                              </w:r>
                              <w:r>
                                <w:rPr>
                                  <w:color w:val="202024"/>
                                </w:rPr>
                                <w:t>certainty</w:t>
                              </w:r>
                              <w:r>
                                <w:rPr>
                                  <w:color w:val="202024"/>
                                  <w:spacing w:val="8"/>
                                </w:rPr>
                                <w:t xml:space="preserve"> </w:t>
                              </w:r>
                              <w:r>
                                <w:rPr>
                                  <w:color w:val="202024"/>
                                </w:rPr>
                                <w:t>and</w:t>
                              </w:r>
                              <w:r>
                                <w:rPr>
                                  <w:color w:val="202024"/>
                                  <w:spacing w:val="9"/>
                                </w:rPr>
                                <w:t xml:space="preserve"> </w:t>
                              </w:r>
                              <w:r>
                                <w:rPr>
                                  <w:color w:val="202024"/>
                                </w:rPr>
                                <w:t>consistency</w:t>
                              </w:r>
                              <w:r>
                                <w:rPr>
                                  <w:color w:val="202024"/>
                                  <w:spacing w:val="8"/>
                                </w:rPr>
                                <w:t xml:space="preserve"> </w:t>
                              </w:r>
                              <w:r>
                                <w:rPr>
                                  <w:color w:val="202024"/>
                                </w:rPr>
                                <w:t>of</w:t>
                              </w:r>
                              <w:r>
                                <w:rPr>
                                  <w:color w:val="202024"/>
                                  <w:spacing w:val="1"/>
                                </w:rPr>
                                <w:t xml:space="preserve"> </w:t>
                              </w:r>
                              <w:r>
                                <w:rPr>
                                  <w:color w:val="202024"/>
                                </w:rPr>
                                <w:t>understanding</w:t>
                              </w:r>
                              <w:r>
                                <w:rPr>
                                  <w:color w:val="202024"/>
                                  <w:spacing w:val="6"/>
                                </w:rPr>
                                <w:t xml:space="preserve"> </w:t>
                              </w:r>
                              <w:r>
                                <w:rPr>
                                  <w:color w:val="202024"/>
                                </w:rPr>
                                <w:t>of</w:t>
                              </w:r>
                              <w:r>
                                <w:rPr>
                                  <w:color w:val="202024"/>
                                  <w:spacing w:val="6"/>
                                </w:rPr>
                                <w:t xml:space="preserve"> </w:t>
                              </w:r>
                              <w:r>
                                <w:rPr>
                                  <w:color w:val="202024"/>
                                </w:rPr>
                                <w:t>the</w:t>
                              </w:r>
                              <w:r>
                                <w:rPr>
                                  <w:color w:val="202024"/>
                                  <w:spacing w:val="6"/>
                                </w:rPr>
                                <w:t xml:space="preserve"> </w:t>
                              </w:r>
                              <w:r>
                                <w:rPr>
                                  <w:color w:val="202024"/>
                                </w:rPr>
                                <w:t>Upstream</w:t>
                              </w:r>
                              <w:r>
                                <w:rPr>
                                  <w:color w:val="202024"/>
                                  <w:spacing w:val="7"/>
                                </w:rPr>
                                <w:t xml:space="preserve"> </w:t>
                              </w:r>
                              <w:r>
                                <w:rPr>
                                  <w:color w:val="202024"/>
                                </w:rPr>
                                <w:t>petroleum</w:t>
                              </w:r>
                              <w:r>
                                <w:rPr>
                                  <w:color w:val="202024"/>
                                  <w:spacing w:val="6"/>
                                </w:rPr>
                                <w:t xml:space="preserve"> </w:t>
                              </w:r>
                              <w:r>
                                <w:rPr>
                                  <w:color w:val="202024"/>
                                </w:rPr>
                                <w:t>tax</w:t>
                              </w:r>
                              <w:r>
                                <w:rPr>
                                  <w:color w:val="202024"/>
                                  <w:spacing w:val="6"/>
                                </w:rPr>
                                <w:t xml:space="preserve"> </w:t>
                              </w:r>
                              <w:r>
                                <w:rPr>
                                  <w:color w:val="202024"/>
                                </w:rPr>
                                <w:t>legislation.</w:t>
                              </w:r>
                            </w:p>
                            <w:p w14:paraId="607A11CF">
                              <w:pPr>
                                <w:spacing w:before="96" w:line="215" w:lineRule="exact"/>
                                <w:rPr>
                                  <w:sz w:val="18"/>
                                </w:rPr>
                              </w:pPr>
                              <w:r>
                                <w:rPr>
                                  <w:color w:val="202024"/>
                                  <w:sz w:val="18"/>
                                </w:rPr>
                                <w:t>76</w:t>
                              </w:r>
                              <w:r>
                                <w:rPr>
                                  <w:color w:val="202024"/>
                                  <w:spacing w:val="20"/>
                                  <w:sz w:val="18"/>
                                </w:rPr>
                                <w:t xml:space="preserve"> </w:t>
                              </w:r>
                              <w:r>
                                <w:rPr>
                                  <w:color w:val="202024"/>
                                  <w:sz w:val="18"/>
                                </w:rPr>
                                <w:t>responses</w:t>
                              </w:r>
                            </w:p>
                          </w:txbxContent>
                        </wps:txbx>
                        <wps:bodyPr rot="0" vert="horz" wrap="square" lIns="0" tIns="0" rIns="0" bIns="0" anchor="t" anchorCtr="0" upright="1">
                          <a:noAutofit/>
                        </wps:bodyPr>
                      </wps:wsp>
                      <wps:wsp>
                        <wps:cNvPr id="155302297" name="Text Box 335"/>
                        <wps:cNvSpPr txBox="1">
                          <a:spLocks noChangeArrowheads="1"/>
                        </wps:cNvSpPr>
                        <wps:spPr bwMode="auto">
                          <a:xfrm>
                            <a:off x="9958" y="761"/>
                            <a:ext cx="550" cy="200"/>
                          </a:xfrm>
                          <a:prstGeom prst="rect">
                            <a:avLst/>
                          </a:prstGeom>
                          <a:noFill/>
                          <a:ln>
                            <a:noFill/>
                          </a:ln>
                          <a:effectLst/>
                        </wps:spPr>
                        <wps:txbx>
                          <w:txbxContent>
                            <w:p w14:paraId="0D9329BE">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868211651" name="Text Box 334"/>
                        <wps:cNvSpPr txBox="1">
                          <a:spLocks noChangeArrowheads="1"/>
                        </wps:cNvSpPr>
                        <wps:spPr bwMode="auto">
                          <a:xfrm>
                            <a:off x="1689" y="2907"/>
                            <a:ext cx="221" cy="202"/>
                          </a:xfrm>
                          <a:prstGeom prst="rect">
                            <a:avLst/>
                          </a:prstGeom>
                          <a:noFill/>
                          <a:ln>
                            <a:noFill/>
                          </a:ln>
                          <a:effectLst/>
                        </wps:spPr>
                        <wps:txbx>
                          <w:txbxContent>
                            <w:p w14:paraId="7CFF6F8E">
                              <w:pPr>
                                <w:spacing w:line="201" w:lineRule="exact"/>
                                <w:rPr>
                                  <w:rFonts w:ascii="Arial MT"/>
                                  <w:sz w:val="18"/>
                                </w:rPr>
                              </w:pPr>
                              <w:r>
                                <w:rPr>
                                  <w:rFonts w:ascii="Arial MT"/>
                                  <w:color w:val="444444"/>
                                  <w:sz w:val="18"/>
                                </w:rPr>
                                <w:t>40</w:t>
                              </w:r>
                            </w:p>
                          </w:txbxContent>
                        </wps:txbx>
                        <wps:bodyPr rot="0" vert="horz" wrap="square" lIns="0" tIns="0" rIns="0" bIns="0" anchor="t" anchorCtr="0" upright="1">
                          <a:noAutofit/>
                        </wps:bodyPr>
                      </wps:wsp>
                      <wps:wsp>
                        <wps:cNvPr id="6283655" name="Text Box 333"/>
                        <wps:cNvSpPr txBox="1">
                          <a:spLocks noChangeArrowheads="1"/>
                        </wps:cNvSpPr>
                        <wps:spPr bwMode="auto">
                          <a:xfrm>
                            <a:off x="1689" y="3578"/>
                            <a:ext cx="221" cy="202"/>
                          </a:xfrm>
                          <a:prstGeom prst="rect">
                            <a:avLst/>
                          </a:prstGeom>
                          <a:noFill/>
                          <a:ln>
                            <a:noFill/>
                          </a:ln>
                          <a:effectLst/>
                        </wps:spPr>
                        <wps:txbx>
                          <w:txbxContent>
                            <w:p w14:paraId="142651B0">
                              <w:pPr>
                                <w:spacing w:line="201" w:lineRule="exact"/>
                                <w:rPr>
                                  <w:rFonts w:ascii="Arial MT"/>
                                  <w:sz w:val="18"/>
                                </w:rPr>
                              </w:pPr>
                              <w:r>
                                <w:rPr>
                                  <w:rFonts w:ascii="Arial MT"/>
                                  <w:color w:val="444444"/>
                                  <w:sz w:val="18"/>
                                </w:rPr>
                                <w:t>30</w:t>
                              </w:r>
                            </w:p>
                          </w:txbxContent>
                        </wps:txbx>
                        <wps:bodyPr rot="0" vert="horz" wrap="square" lIns="0" tIns="0" rIns="0" bIns="0" anchor="t" anchorCtr="0" upright="1">
                          <a:noAutofit/>
                        </wps:bodyPr>
                      </wps:wsp>
                      <wps:wsp>
                        <wps:cNvPr id="130079343" name="Text Box 332"/>
                        <wps:cNvSpPr txBox="1">
                          <a:spLocks noChangeArrowheads="1"/>
                        </wps:cNvSpPr>
                        <wps:spPr bwMode="auto">
                          <a:xfrm>
                            <a:off x="1689" y="4249"/>
                            <a:ext cx="221" cy="202"/>
                          </a:xfrm>
                          <a:prstGeom prst="rect">
                            <a:avLst/>
                          </a:prstGeom>
                          <a:noFill/>
                          <a:ln>
                            <a:noFill/>
                          </a:ln>
                          <a:effectLst/>
                        </wps:spPr>
                        <wps:txbx>
                          <w:txbxContent>
                            <w:p w14:paraId="4FE0B5BB">
                              <w:pPr>
                                <w:spacing w:line="201" w:lineRule="exact"/>
                                <w:rPr>
                                  <w:rFonts w:ascii="Arial MT"/>
                                  <w:sz w:val="18"/>
                                </w:rPr>
                              </w:pPr>
                              <w:r>
                                <w:rPr>
                                  <w:rFonts w:ascii="Arial MT"/>
                                  <w:color w:val="444444"/>
                                  <w:sz w:val="18"/>
                                </w:rPr>
                                <w:t>20</w:t>
                              </w:r>
                            </w:p>
                          </w:txbxContent>
                        </wps:txbx>
                        <wps:bodyPr rot="0" vert="horz" wrap="square" lIns="0" tIns="0" rIns="0" bIns="0" anchor="t" anchorCtr="0" upright="1">
                          <a:noAutofit/>
                        </wps:bodyPr>
                      </wps:wsp>
                      <wps:wsp>
                        <wps:cNvPr id="338675639" name="Text Box 331"/>
                        <wps:cNvSpPr txBox="1">
                          <a:spLocks noChangeArrowheads="1"/>
                        </wps:cNvSpPr>
                        <wps:spPr bwMode="auto">
                          <a:xfrm>
                            <a:off x="1689" y="4921"/>
                            <a:ext cx="221" cy="202"/>
                          </a:xfrm>
                          <a:prstGeom prst="rect">
                            <a:avLst/>
                          </a:prstGeom>
                          <a:noFill/>
                          <a:ln>
                            <a:noFill/>
                          </a:ln>
                          <a:effectLst/>
                        </wps:spPr>
                        <wps:txbx>
                          <w:txbxContent>
                            <w:p w14:paraId="33C4CB3D">
                              <w:pPr>
                                <w:spacing w:line="201" w:lineRule="exact"/>
                                <w:rPr>
                                  <w:rFonts w:ascii="Arial MT"/>
                                  <w:sz w:val="18"/>
                                </w:rPr>
                              </w:pPr>
                              <w:r>
                                <w:rPr>
                                  <w:rFonts w:ascii="Arial MT"/>
                                  <w:color w:val="444444"/>
                                  <w:sz w:val="18"/>
                                </w:rPr>
                                <w:t>10</w:t>
                              </w:r>
                            </w:p>
                          </w:txbxContent>
                        </wps:txbx>
                        <wps:bodyPr rot="0" vert="horz" wrap="square" lIns="0" tIns="0" rIns="0" bIns="0" anchor="t" anchorCtr="0" upright="1">
                          <a:noAutofit/>
                        </wps:bodyPr>
                      </wps:wsp>
                      <wps:wsp>
                        <wps:cNvPr id="327807091" name="Text Box 330"/>
                        <wps:cNvSpPr txBox="1">
                          <a:spLocks noChangeArrowheads="1"/>
                        </wps:cNvSpPr>
                        <wps:spPr bwMode="auto">
                          <a:xfrm>
                            <a:off x="2614" y="5314"/>
                            <a:ext cx="551" cy="202"/>
                          </a:xfrm>
                          <a:prstGeom prst="rect">
                            <a:avLst/>
                          </a:prstGeom>
                          <a:noFill/>
                          <a:ln>
                            <a:noFill/>
                          </a:ln>
                          <a:effectLst/>
                        </wps:spPr>
                        <wps:txbx>
                          <w:txbxContent>
                            <w:p w14:paraId="18998C43">
                              <w:pPr>
                                <w:spacing w:line="201" w:lineRule="exact"/>
                                <w:rPr>
                                  <w:rFonts w:ascii="Arial MT"/>
                                  <w:sz w:val="18"/>
                                </w:rPr>
                              </w:pPr>
                              <w:r>
                                <w:rPr>
                                  <w:rFonts w:ascii="Arial MT"/>
                                  <w:color w:val="202024"/>
                                  <w:sz w:val="18"/>
                                </w:rPr>
                                <w:t>0 (0%)</w:t>
                              </w:r>
                            </w:p>
                          </w:txbxContent>
                        </wps:txbx>
                        <wps:bodyPr rot="0" vert="horz" wrap="square" lIns="0" tIns="0" rIns="0" bIns="0" anchor="t" anchorCtr="0" upright="1">
                          <a:noAutofit/>
                        </wps:bodyPr>
                      </wps:wsp>
                      <wps:wsp>
                        <wps:cNvPr id="2111217693" name="Text Box 329"/>
                        <wps:cNvSpPr txBox="1">
                          <a:spLocks noChangeArrowheads="1"/>
                        </wps:cNvSpPr>
                        <wps:spPr bwMode="auto">
                          <a:xfrm>
                            <a:off x="4159" y="5194"/>
                            <a:ext cx="701" cy="202"/>
                          </a:xfrm>
                          <a:prstGeom prst="rect">
                            <a:avLst/>
                          </a:prstGeom>
                          <a:noFill/>
                          <a:ln>
                            <a:noFill/>
                          </a:ln>
                          <a:effectLst/>
                        </wps:spPr>
                        <wps:txbx>
                          <w:txbxContent>
                            <w:p w14:paraId="76D75105">
                              <w:pPr>
                                <w:spacing w:line="201" w:lineRule="exact"/>
                                <w:rPr>
                                  <w:rFonts w:ascii="Arial MT"/>
                                  <w:sz w:val="18"/>
                                </w:rPr>
                              </w:pPr>
                              <w:r>
                                <w:rPr>
                                  <w:rFonts w:ascii="Arial MT"/>
                                  <w:color w:val="232327"/>
                                  <w:sz w:val="18"/>
                                </w:rPr>
                                <w:t>2 (2.6%)</w:t>
                              </w:r>
                            </w:p>
                          </w:txbxContent>
                        </wps:txbx>
                        <wps:bodyPr rot="0" vert="horz" wrap="square" lIns="0" tIns="0" rIns="0" bIns="0" anchor="t" anchorCtr="0" upright="1">
                          <a:noAutofit/>
                        </wps:bodyPr>
                      </wps:wsp>
                      <wps:wsp>
                        <wps:cNvPr id="1329006986" name="Text Box 328"/>
                        <wps:cNvSpPr txBox="1">
                          <a:spLocks noChangeArrowheads="1"/>
                        </wps:cNvSpPr>
                        <wps:spPr bwMode="auto">
                          <a:xfrm>
                            <a:off x="1789" y="5592"/>
                            <a:ext cx="121" cy="202"/>
                          </a:xfrm>
                          <a:prstGeom prst="rect">
                            <a:avLst/>
                          </a:prstGeom>
                          <a:noFill/>
                          <a:ln>
                            <a:noFill/>
                          </a:ln>
                          <a:effectLst/>
                        </wps:spPr>
                        <wps:txbx>
                          <w:txbxContent>
                            <w:p w14:paraId="2F1462CE">
                              <w:pPr>
                                <w:spacing w:line="201" w:lineRule="exact"/>
                                <w:rPr>
                                  <w:rFonts w:ascii="Arial MT"/>
                                  <w:sz w:val="18"/>
                                </w:rPr>
                              </w:pPr>
                              <w:r>
                                <w:rPr>
                                  <w:rFonts w:ascii="Arial MT"/>
                                  <w:color w:val="444444"/>
                                  <w:sz w:val="18"/>
                                </w:rPr>
                                <w:t>0</w:t>
                              </w:r>
                            </w:p>
                          </w:txbxContent>
                        </wps:txbx>
                        <wps:bodyPr rot="0" vert="horz" wrap="square" lIns="0" tIns="0" rIns="0" bIns="0" anchor="t" anchorCtr="0" upright="1">
                          <a:noAutofit/>
                        </wps:bodyPr>
                      </wps:wsp>
                      <wps:wsp>
                        <wps:cNvPr id="471590551" name="Text Box 327"/>
                        <wps:cNvSpPr txBox="1">
                          <a:spLocks noChangeArrowheads="1"/>
                        </wps:cNvSpPr>
                        <wps:spPr bwMode="auto">
                          <a:xfrm>
                            <a:off x="2838" y="5794"/>
                            <a:ext cx="121" cy="202"/>
                          </a:xfrm>
                          <a:prstGeom prst="rect">
                            <a:avLst/>
                          </a:prstGeom>
                          <a:noFill/>
                          <a:ln>
                            <a:noFill/>
                          </a:ln>
                          <a:effectLst/>
                        </wps:spPr>
                        <wps:txbx>
                          <w:txbxContent>
                            <w:p w14:paraId="171E3AC2">
                              <w:pPr>
                                <w:spacing w:line="201" w:lineRule="exact"/>
                                <w:rPr>
                                  <w:rFonts w:ascii="Arial MT"/>
                                  <w:sz w:val="18"/>
                                </w:rPr>
                              </w:pPr>
                              <w:r>
                                <w:rPr>
                                  <w:rFonts w:ascii="Arial MT"/>
                                  <w:color w:val="212121"/>
                                  <w:sz w:val="18"/>
                                </w:rPr>
                                <w:t>1</w:t>
                              </w:r>
                            </w:p>
                          </w:txbxContent>
                        </wps:txbx>
                        <wps:bodyPr rot="0" vert="horz" wrap="square" lIns="0" tIns="0" rIns="0" bIns="0" anchor="t" anchorCtr="0" upright="1">
                          <a:noAutofit/>
                        </wps:bodyPr>
                      </wps:wsp>
                      <wps:wsp>
                        <wps:cNvPr id="240552637" name="Text Box 326"/>
                        <wps:cNvSpPr txBox="1">
                          <a:spLocks noChangeArrowheads="1"/>
                        </wps:cNvSpPr>
                        <wps:spPr bwMode="auto">
                          <a:xfrm>
                            <a:off x="4461" y="5794"/>
                            <a:ext cx="121" cy="202"/>
                          </a:xfrm>
                          <a:prstGeom prst="rect">
                            <a:avLst/>
                          </a:prstGeom>
                          <a:noFill/>
                          <a:ln>
                            <a:noFill/>
                          </a:ln>
                          <a:effectLst/>
                        </wps:spPr>
                        <wps:txbx>
                          <w:txbxContent>
                            <w:p w14:paraId="6AEFD463">
                              <w:pPr>
                                <w:spacing w:line="201" w:lineRule="exact"/>
                                <w:rPr>
                                  <w:rFonts w:ascii="Arial MT"/>
                                  <w:sz w:val="18"/>
                                </w:rPr>
                              </w:pPr>
                              <w:r>
                                <w:rPr>
                                  <w:rFonts w:ascii="Arial MT"/>
                                  <w:color w:val="212121"/>
                                  <w:sz w:val="18"/>
                                </w:rPr>
                                <w:t>2</w:t>
                              </w:r>
                            </w:p>
                          </w:txbxContent>
                        </wps:txbx>
                        <wps:bodyPr rot="0" vert="horz" wrap="square" lIns="0" tIns="0" rIns="0" bIns="0" anchor="t" anchorCtr="0" upright="1">
                          <a:noAutofit/>
                        </wps:bodyPr>
                      </wps:wsp>
                      <wps:wsp>
                        <wps:cNvPr id="1350186719" name="Text Box 325"/>
                        <wps:cNvSpPr txBox="1">
                          <a:spLocks noChangeArrowheads="1"/>
                        </wps:cNvSpPr>
                        <wps:spPr bwMode="auto">
                          <a:xfrm>
                            <a:off x="6084" y="5794"/>
                            <a:ext cx="121" cy="202"/>
                          </a:xfrm>
                          <a:prstGeom prst="rect">
                            <a:avLst/>
                          </a:prstGeom>
                          <a:noFill/>
                          <a:ln>
                            <a:noFill/>
                          </a:ln>
                          <a:effectLst/>
                        </wps:spPr>
                        <wps:txbx>
                          <w:txbxContent>
                            <w:p w14:paraId="4558914D">
                              <w:pPr>
                                <w:spacing w:line="201" w:lineRule="exact"/>
                                <w:rPr>
                                  <w:rFonts w:ascii="Arial MT"/>
                                  <w:sz w:val="18"/>
                                </w:rPr>
                              </w:pPr>
                              <w:r>
                                <w:rPr>
                                  <w:rFonts w:ascii="Arial MT"/>
                                  <w:color w:val="212121"/>
                                  <w:sz w:val="18"/>
                                </w:rPr>
                                <w:t>3</w:t>
                              </w:r>
                            </w:p>
                          </w:txbxContent>
                        </wps:txbx>
                        <wps:bodyPr rot="0" vert="horz" wrap="square" lIns="0" tIns="0" rIns="0" bIns="0" anchor="t" anchorCtr="0" upright="1">
                          <a:noAutofit/>
                        </wps:bodyPr>
                      </wps:wsp>
                      <wps:wsp>
                        <wps:cNvPr id="936550731" name="Text Box 324"/>
                        <wps:cNvSpPr txBox="1">
                          <a:spLocks noChangeArrowheads="1"/>
                        </wps:cNvSpPr>
                        <wps:spPr bwMode="auto">
                          <a:xfrm>
                            <a:off x="7707" y="5794"/>
                            <a:ext cx="121" cy="202"/>
                          </a:xfrm>
                          <a:prstGeom prst="rect">
                            <a:avLst/>
                          </a:prstGeom>
                          <a:noFill/>
                          <a:ln>
                            <a:noFill/>
                          </a:ln>
                          <a:effectLst/>
                        </wps:spPr>
                        <wps:txbx>
                          <w:txbxContent>
                            <w:p w14:paraId="1875D489">
                              <w:pPr>
                                <w:spacing w:line="201" w:lineRule="exact"/>
                                <w:rPr>
                                  <w:rFonts w:ascii="Arial MT"/>
                                  <w:sz w:val="18"/>
                                </w:rPr>
                              </w:pPr>
                              <w:r>
                                <w:rPr>
                                  <w:rFonts w:ascii="Arial MT"/>
                                  <w:color w:val="212121"/>
                                  <w:sz w:val="18"/>
                                </w:rPr>
                                <w:t>4</w:t>
                              </w:r>
                            </w:p>
                          </w:txbxContent>
                        </wps:txbx>
                        <wps:bodyPr rot="0" vert="horz" wrap="square" lIns="0" tIns="0" rIns="0" bIns="0" anchor="t" anchorCtr="0" upright="1">
                          <a:noAutofit/>
                        </wps:bodyPr>
                      </wps:wsp>
                      <wps:wsp>
                        <wps:cNvPr id="481816573" name="Text Box 323"/>
                        <wps:cNvSpPr txBox="1">
                          <a:spLocks noChangeArrowheads="1"/>
                        </wps:cNvSpPr>
                        <wps:spPr bwMode="auto">
                          <a:xfrm>
                            <a:off x="9330" y="5794"/>
                            <a:ext cx="121" cy="202"/>
                          </a:xfrm>
                          <a:prstGeom prst="rect">
                            <a:avLst/>
                          </a:prstGeom>
                          <a:noFill/>
                          <a:ln>
                            <a:noFill/>
                          </a:ln>
                          <a:effectLst/>
                        </wps:spPr>
                        <wps:txbx>
                          <w:txbxContent>
                            <w:p w14:paraId="45A9C643">
                              <w:pPr>
                                <w:spacing w:line="201" w:lineRule="exact"/>
                                <w:rPr>
                                  <w:rFonts w:ascii="Arial MT"/>
                                  <w:sz w:val="18"/>
                                </w:rPr>
                              </w:pPr>
                              <w:r>
                                <w:rPr>
                                  <w:rFonts w:ascii="Arial MT"/>
                                  <w:color w:val="212121"/>
                                  <w:sz w:val="18"/>
                                </w:rPr>
                                <w:t>5</w:t>
                              </w:r>
                            </w:p>
                          </w:txbxContent>
                        </wps:txbx>
                        <wps:bodyPr rot="0" vert="horz" wrap="square" lIns="0" tIns="0" rIns="0" bIns="0" anchor="t" anchorCtr="0" upright="1">
                          <a:noAutofit/>
                        </wps:bodyPr>
                      </wps:wsp>
                      <wps:wsp>
                        <wps:cNvPr id="913451195" name="Text Box 322"/>
                        <wps:cNvSpPr txBox="1">
                          <a:spLocks noChangeArrowheads="1"/>
                        </wps:cNvSpPr>
                        <wps:spPr bwMode="auto">
                          <a:xfrm>
                            <a:off x="7260" y="4020"/>
                            <a:ext cx="1005" cy="1665"/>
                          </a:xfrm>
                          <a:prstGeom prst="rect">
                            <a:avLst/>
                          </a:prstGeom>
                          <a:solidFill>
                            <a:srgbClr val="663AB6"/>
                          </a:solidFill>
                          <a:ln>
                            <a:noFill/>
                          </a:ln>
                          <a:effectLst/>
                        </wps:spPr>
                        <wps:txbx>
                          <w:txbxContent>
                            <w:p w14:paraId="1BAB80E7">
                              <w:pPr>
                                <w:spacing w:before="14"/>
                                <w:rPr>
                                  <w:rFonts w:ascii="Arial MT"/>
                                  <w:sz w:val="18"/>
                                </w:rPr>
                              </w:pPr>
                              <w:r>
                                <w:rPr>
                                  <w:rFonts w:ascii="Arial MT"/>
                                  <w:color w:val="FFFFFF"/>
                                  <w:sz w:val="18"/>
                                </w:rPr>
                                <w:t>25 (32.9%)</w:t>
                              </w:r>
                            </w:p>
                          </w:txbxContent>
                        </wps:txbx>
                        <wps:bodyPr rot="0" vert="horz" wrap="square" lIns="0" tIns="0" rIns="0" bIns="0" anchor="t" anchorCtr="0" upright="1">
                          <a:noAutofit/>
                        </wps:bodyPr>
                      </wps:wsp>
                      <wps:wsp>
                        <wps:cNvPr id="1355265376" name="Text Box 321"/>
                        <wps:cNvSpPr txBox="1">
                          <a:spLocks noChangeArrowheads="1"/>
                        </wps:cNvSpPr>
                        <wps:spPr bwMode="auto">
                          <a:xfrm>
                            <a:off x="5640" y="4620"/>
                            <a:ext cx="990" cy="1065"/>
                          </a:xfrm>
                          <a:prstGeom prst="rect">
                            <a:avLst/>
                          </a:prstGeom>
                          <a:solidFill>
                            <a:srgbClr val="663AB6"/>
                          </a:solidFill>
                          <a:ln>
                            <a:noFill/>
                          </a:ln>
                          <a:effectLst/>
                        </wps:spPr>
                        <wps:txbx>
                          <w:txbxContent>
                            <w:p w14:paraId="5AE105B0">
                              <w:pPr>
                                <w:spacing w:before="14"/>
                                <w:rPr>
                                  <w:rFonts w:ascii="Arial MT"/>
                                  <w:sz w:val="18"/>
                                </w:rPr>
                              </w:pPr>
                              <w:r>
                                <w:rPr>
                                  <w:rFonts w:ascii="Arial MT"/>
                                  <w:color w:val="FFFFFF"/>
                                  <w:sz w:val="18"/>
                                </w:rPr>
                                <w:t>16 (21.1%)</w:t>
                              </w:r>
                            </w:p>
                          </w:txbxContent>
                        </wps:txbx>
                        <wps:bodyPr rot="0" vert="horz" wrap="square" lIns="0" tIns="0" rIns="0" bIns="0" anchor="t" anchorCtr="0" upright="1">
                          <a:noAutofit/>
                        </wps:bodyPr>
                      </wps:wsp>
                      <wps:wsp>
                        <wps:cNvPr id="1810852435" name="Text Box 320"/>
                        <wps:cNvSpPr txBox="1">
                          <a:spLocks noChangeArrowheads="1"/>
                        </wps:cNvSpPr>
                        <wps:spPr bwMode="auto">
                          <a:xfrm>
                            <a:off x="8880" y="3480"/>
                            <a:ext cx="1005" cy="2205"/>
                          </a:xfrm>
                          <a:prstGeom prst="rect">
                            <a:avLst/>
                          </a:prstGeom>
                          <a:solidFill>
                            <a:srgbClr val="663AB6"/>
                          </a:solidFill>
                          <a:ln>
                            <a:noFill/>
                          </a:ln>
                          <a:effectLst/>
                        </wps:spPr>
                        <wps:txbx>
                          <w:txbxContent>
                            <w:p w14:paraId="013E45F8">
                              <w:pPr>
                                <w:spacing w:before="14"/>
                                <w:rPr>
                                  <w:rFonts w:ascii="Arial MT"/>
                                  <w:sz w:val="18"/>
                                </w:rPr>
                              </w:pPr>
                              <w:r>
                                <w:rPr>
                                  <w:rFonts w:ascii="Arial MT"/>
                                  <w:color w:val="FFFFFF"/>
                                  <w:sz w:val="18"/>
                                </w:rPr>
                                <w:t>33 (43.4%)</w:t>
                              </w:r>
                            </w:p>
                          </w:txbxContent>
                        </wps:txbx>
                        <wps:bodyPr rot="0" vert="horz" wrap="square" lIns="0" tIns="0" rIns="0" bIns="0" anchor="t" anchorCtr="0" upright="1">
                          <a:noAutofit/>
                        </wps:bodyPr>
                      </wps:wsp>
                    </wpg:wgp>
                  </a:graphicData>
                </a:graphic>
              </wp:anchor>
            </w:drawing>
          </mc:Choice>
          <mc:Fallback>
            <w:pict>
              <v:group id="Group 319" o:spid="_x0000_s1026" o:spt="203" style="position:absolute;left:0pt;margin-left:57.75pt;margin-top:27.75pt;height:295.5pt;width:480pt;mso-position-horizontal-relative:page;mso-position-vertical-relative:page;z-index:251691008;mso-width-relative:page;mso-height-relative:page;" coordorigin="1155,555" coordsize="9600,5910" o:gfxdata="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">
                <o:lock v:ext="edit" aspectratio="f"/>
                <v:shape id="Freeform 345" o:spid="_x0000_s1026" o:spt="100" style="position:absolute;left:1162;top:562;height:5895;width:9585;" filled="f" stroked="t" coordsize="9585,5895" o:gfxdata="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7s/&#10;mMEAAADiAAAADwAAAAAAAAABACAAAAAiAAAAZHJzL2Rvd25yZXYueG1sUEsBAhQAFAAAAAgAh07i&#10;QDMvBZ47AAAAOQAAABAAAAAAAAAAAQAgAAAAEAEAAGRycy9zaGFwZXhtbC54bWxQSwUGAAAAAAYA&#10;BgBbAQAAugMAAAAA&#10;" path="m0,5783l0,113,0,106,1,98,3,91,4,84,6,77,9,70,12,63,15,57,19,50,24,44,28,39,33,33,39,28,44,24,106,0,113,0,9473,0,9480,0,9488,1,9547,28,9553,33,9558,39,9583,91,9585,98,9585,106,9585,113,9585,5783,9585,5790,9585,5798,9567,5845,9562,5852,9509,5890,9495,5893,9488,5895,9480,5895,9473,5895,113,5895,50,5877,44,5872,19,5845,15,5839,0,5790,0,5783xe">
                  <v:path o:connectlocs="0,6345;0,675;0,668;1,660;3,653;4,646;6,639;9,632;12,625;15,619;19,612;24,606;28,601;33,595;39,590;44,586;106,562;113,562;9473,562;9480,562;9488,563;9547,590;9553,595;9558,601;9583,653;9585,660;9585,668;9585,675;9585,6345;9585,6352;9585,6360;9567,6407;9562,6414;9509,6452;9495,6455;9488,6457;9480,6457;9473,6457;113,6457;50,6439;44,6434;19,6407;15,6401;0,6352;0,6345" o:connectangles="0,0,0,0,0,0,0,0,0,0,0,0,0,0,0,0,0,0,0,0,0,0,0,0,0,0,0,0,0,0,0,0,0,0,0,0,0,0,0,0,0,0,0,0,0"/>
                  <v:fill on="f" focussize="0,0"/>
                  <v:stroke color="#D9DBDF" joinstyle="round"/>
                  <v:imagedata o:title=""/>
                  <o:lock v:ext="edit" aspectratio="f"/>
                </v:shape>
                <v:shape id="Picture 344" o:spid="_x0000_s1026" o:spt="75" type="#_x0000_t75" style="position:absolute;left:9525;top:690;height:300;width:255;" filled="f" o:preferrelative="t" stroked="f" coordsize="21600,21600" o:gfxdata="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PwvQvFAAAA4wAAAA8AAAAAAAAAAQAgAAAAIgAAAGRycy9kb3ducmV2LnhtbFBLAQIUABQAAAAI&#10;AIdO4kAzLwWeOwAAADkAAAAQAAAAAAAAAAEAIAAAABQBAABkcnMvc2hhcGV4bWwueG1sUEsFBgAA&#10;AAAGAAYAWwEAAL4DAAAAAA==&#10;">
                  <v:fill on="f" focussize="0,0"/>
                  <v:stroke on="f"/>
                  <v:imagedata r:id="rId110" o:title=""/>
                  <o:lock v:ext="edit" aspectratio="t"/>
                </v:shape>
                <v:rect id="Rectangle 343" o:spid="_x0000_s1026" o:spt="1" style="position:absolute;left:2070;top:3000;height:2700;width:8130;" filled="f" stroked="t" coordsize="21600,21600" o:gfxdata="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r68&#10;wcEAAADjAAAADwAAAAAAAAABACAAAAAiAAAAZHJzL2Rvd25yZXYueG1sUEsBAhQAFAAAAAgAh07i&#10;QDMvBZ47AAAAOQAAABAAAAAAAAAAAQAgAAAAEAEAAGRycy9zaGFwZXhtbC54bWxQSwUGAAAAAAYA&#10;BgBbAQAAugMAAAAA&#10;">
                  <v:fill on="f" focussize="0,0"/>
                  <v:stroke color="#EDEDED" miterlimit="8" joinstyle="miter"/>
                  <v:imagedata o:title=""/>
                  <o:lock v:ext="edit" aspectratio="f"/>
                </v:rect>
                <v:shape id="AutoShape 342" o:spid="_x0000_s1026" o:spt="100" style="position:absolute;left:2069;top:3000;height:2700;width:8130;" fillcolor="#EDEDED" filled="t" stroked="f" coordsize="8130,2700" o:gfxdata="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rYr4wwAAAOMAAAAPAAAAAAAAAAEAIAAAACIAAABkcnMvZG93bnJldi54bWxQSwECFAAUAAAACACH&#10;TuJAMy8FnjsAAAA5AAAAEAAAAAAAAAABACAAAAASAQAAZHJzL3NoYXBleG1sLnhtbFBLBQYAAAAA&#10;BgAGAFsBAAC8AwAAAAA=&#10;" path="m3570,2010l0,2010,0,2025,3570,2025,3570,2010xm5190,2010l4560,2010,4560,2025,5190,2025,5190,2010xm5190,1350l0,1350,0,1365,5190,1365,5190,1350xm6810,2010l6195,2010,6195,2025,6810,2025,6810,2010xm6810,1350l6195,1350,6195,1365,6810,1365,6810,1350xm6810,675l0,675,0,690,6810,690,6810,675xm8130,2685l0,2685,0,2700,8130,2700,8130,2685xm8130,2010l7815,2010,7815,2025,8130,2025,8130,2010xm8130,1350l7815,1350,7815,1365,8130,1365,8130,1350xm8130,675l7815,675,7815,690,8130,690,8130,675xm8130,0l0,0,0,15,8130,15,8130,0xe">
                  <v:path o:connectlocs="3570,5010;0,5010;0,5025;3570,5025;3570,5010;5190,5010;4560,5010;4560,5025;5190,5025;5190,5010;5190,4350;0,4350;0,4365;5190,4365;5190,4350;6810,5010;6195,5010;6195,5025;6810,5025;6810,5010;6810,4350;6195,4350;6195,4365;6810,4365;6810,4350;6810,3675;0,3675;0,3690;6810,3690;6810,3675;8130,5685;0,5685;0,5700;8130,5700;8130,5685;8130,5010;7815,5010;7815,5025;8130,5025;8130,5010;8130,4350;7815,4350;7815,4365;8130,4365;8130,4350;8130,3675;7815,3675;7815,3690;8130,3690;8130,3675;8130,3000;0,3000;0,3015;8130,3015;8130,3000" o:connectangles="0,0,0,0,0,0,0,0,0,0,0,0,0,0,0,0,0,0,0,0,0,0,0,0,0,0,0,0,0,0,0,0,0,0,0,0,0,0,0,0,0,0,0,0,0,0,0,0,0,0,0,0,0,0,0"/>
                  <v:fill on="t" focussize="0,0"/>
                  <v:stroke on="f"/>
                  <v:imagedata o:title=""/>
                  <o:lock v:ext="edit" aspectratio="f"/>
                </v:shape>
                <v:shape id="AutoShape 341" o:spid="_x0000_s1026" o:spt="100" style="position:absolute;left:2069;top:3330;height:2040;width:8130;" fillcolor="#F7F7F7" filled="t" stroked="f" coordsize="8130,2040" o:gfxdata="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0&#10;5PfCAAAA4gAAAA8AAAAAAAAAAQAgAAAAIgAAAGRycy9kb3ducmV2LnhtbFBLAQIUABQAAAAIAIdO&#10;4kAzLwWeOwAAADkAAAAQAAAAAAAAAAEAIAAAABEBAABkcnMvc2hhcGV4bWwueG1sUEsFBgAAAAAG&#10;AAYAWwEAALsDAAAAAA==&#10;" path="m3570,2025l0,2025,0,2040,3570,2040,3570,2025xm3570,1350l0,1350,0,1365,3570,1365,3570,1350xm5190,2025l4560,2025,4560,2040,5190,2040,5190,2025xm5190,1350l4560,1350,4560,1365,5190,1365,5190,1350xm6810,2025l6195,2025,6195,2040,6810,2040,6810,2025xm6810,1350l6195,1350,6195,1365,6810,1365,6810,1350xm6810,675l0,675,0,690,6810,690,6810,675xm8130,2025l7815,2025,7815,2040,8130,2040,8130,2025xm8130,1350l7815,1350,7815,1365,8130,1365,8130,1350xm8130,675l7815,675,7815,690,8130,690,8130,675xm8130,0l0,0,0,15,8130,15,8130,0xe">
                  <v:path o:connectlocs="3570,5355;0,5355;0,5370;3570,5370;3570,5355;3570,4680;0,4680;0,4695;3570,4695;3570,4680;5190,5355;4560,5355;4560,5370;5190,5370;5190,5355;5190,4680;4560,4680;4560,4695;5190,4695;5190,4680;6810,5355;6195,5355;6195,5370;6810,5370;6810,5355;6810,4680;6195,4680;6195,4695;6810,4695;6810,4680;6810,4005;0,4005;0,4020;6810,4020;6810,4005;8130,5355;7815,5355;7815,5370;8130,5370;8130,5355;8130,4680;7815,4680;7815,4695;8130,4695;8130,4680;8130,4005;7815,4005;7815,4020;8130,4020;8130,4005;8130,3330;0,3330;0,3345;8130,3345;8130,3330" o:connectangles="0,0,0,0,0,0,0,0,0,0,0,0,0,0,0,0,0,0,0,0,0,0,0,0,0,0,0,0,0,0,0,0,0,0,0,0,0,0,0,0,0,0,0,0,0,0,0,0,0,0,0,0,0,0,0"/>
                  <v:fill on="t" focussize="0,0"/>
                  <v:stroke on="f"/>
                  <v:imagedata o:title=""/>
                  <o:lock v:ext="edit" aspectratio="f"/>
                </v:shape>
                <v:shape id="AutoShape 340" o:spid="_x0000_s1026" o:spt="100" style="position:absolute;left:2384;top:5565;height:128;width:2625;" fillcolor="#663AB6" filled="t" stroked="f" coordsize="2625,128" o:gfxdata="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32&#10;rz/CAAAA4wAAAA8AAAAAAAAAAQAgAAAAIgAAAGRycy9kb3ducmV2LnhtbFBLAQIUABQAAAAIAIdO&#10;4kAzLwWeOwAAADkAAAAQAAAAAAAAAAEAIAAAABEBAABkcnMvc2hhcGV4bWwueG1sUEsFBgAAAAAG&#10;AAYAWwEAALsDAAAAAA==&#10;" path="m1005,120l0,120,0,128,1005,128,1005,120xm2625,0l1620,0,1620,120,2625,120,2625,0xe">
                  <v:path o:connectlocs="1005,5685;0,5685;0,5693;1005,5693;1005,5685;2625,5565;1620,5565;1620,5685;2625,5685;2625,5565" o:connectangles="0,0,0,0,0,0,0,0,0,0"/>
                  <v:fill on="t" focussize="0,0"/>
                  <v:stroke on="f"/>
                  <v:imagedata o:title=""/>
                  <o:lock v:ext="edit" aspectratio="f"/>
                </v:shape>
                <v:rect id="Rectangle 339" o:spid="_x0000_s1026" o:spt="1" style="position:absolute;left:2070;top:5685;height:15;width:8130;" fillcolor="#333333" filled="t" stroked="f" coordsize="21600,21600" o:gfxdata="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DkIMzFAAAA4wAAAA8AAAAAAAAAAQAgAAAAIgAAAGRycy9kb3ducmV2LnhtbFBLAQIUABQAAAAI&#10;AIdO4kAzLwWeOwAAADkAAAAQAAAAAAAAAAEAIAAAABQBAABkcnMvc2hhcGV4bWwueG1sUEsFBgAA&#10;AAAGAAYAWwEAAL4DAAAAAA==&#10;">
                  <v:fill on="t" focussize="0,0"/>
                  <v:stroke on="f"/>
                  <v:imagedata o:title=""/>
                  <o:lock v:ext="edit" aspectratio="f"/>
                </v:rect>
                <v:shape id="AutoShape 338" o:spid="_x0000_s1026" o:spt="100" style="position:absolute;left:2879;top:5385;height:300;width:1635;" fillcolor="#999999" filled="t" stroked="f" coordsize="1635,300" o:gfxdata="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A&#10;VmTTwwAAAOIAAAAPAAAAAAAAAAEAIAAAACIAAABkcnMvZG93bnJldi54bWxQSwECFAAUAAAACACH&#10;TuJAMy8FnjsAAAA5AAAAEAAAAAAAAAABACAAAAASAQAAZHJzL3NoYXBleG1sLnhtbFBLBQYAAAAA&#10;BgAGAFsBAAC8AwAAAAA=&#10;" path="m15,120l0,120,0,300,15,300,15,120xm1635,0l1620,0,1620,180,1635,180,1635,0xe">
                  <v:path o:connectlocs="15,5505;0,5505;0,5685;15,5685;15,5505;1635,5385;1620,5385;1620,5565;1635,5565;1635,5385" o:connectangles="0,0,0,0,0,0,0,0,0,0"/>
                  <v:fill on="t" focussize="0,0"/>
                  <v:stroke on="f"/>
                  <v:imagedata o:title=""/>
                  <o:lock v:ext="edit" aspectratio="f"/>
                </v:shape>
                <v:shape id="AutoShape 337" o:spid="_x0000_s1026" o:spt="100" style="position:absolute;left:2622;top:5226;height:289;width:2212;" filled="f" stroked="t" coordsize="2212,289" o:gfxdata="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7MEwsQAAADjAAAADwAAAAAAAAABACAAAAAiAAAAZHJzL2Rvd25yZXYueG1sUEsBAhQAFAAAAAgA&#10;h07iQDMvBZ47AAAAOQAAABAAAAAAAAAAAQAgAAAAEwEAAGRycy9zaGFwZXhtbC54bWxQSwUGAAAA&#10;AAYABgBbAQAAvQMAAAAA&#10;" path="m0,187l0,172,2,160,5,150,8,141,13,134,19,129,25,124,33,121,42,121,49,121,55,123,61,126,66,128,70,132,74,138,77,143,80,149,82,157,83,164,84,174,84,187,84,202,83,215,80,224,77,233,72,240,66,245,60,250,52,253,42,253,30,253,20,249,13,240,8,230,4,219,1,204,0,187xm17,187l17,202,19,214,21,223,24,229,29,237,35,240,42,240,50,240,56,236,61,229,64,223,66,214,68,202,68,187,68,173,66,161,64,152,61,145,56,138,50,135,42,135,35,135,29,138,25,144,21,151,19,161,17,173,17,187xm185,289l179,280,173,271,168,261,163,250,159,239,156,227,155,216,154,204,154,194,156,184,158,174,161,164,165,153,171,142,177,131,185,120,196,120,189,132,185,141,182,146,179,154,176,162,174,171,171,182,170,193,170,204,172,225,177,246,185,268,196,289,185,289xm210,187l210,172,212,160,215,150,218,141,223,134,229,129,235,124,243,121,252,121,259,121,265,123,271,126,276,128,280,132,284,138,287,143,290,149,292,157,294,164,294,174,294,187,294,202,293,215,290,224,287,233,282,240,276,245,270,250,262,253,252,253,240,253,230,249,223,240,218,230,214,219,211,204,210,187xm227,187l227,202,229,214,231,223,234,229,239,237,245,240,252,240,260,240,266,236,271,229,274,223,276,214,278,202,278,187,278,173,276,161,274,152,271,145,266,138,260,135,252,135,245,135,239,138,235,144,231,151,229,161,227,173,227,187xm314,153l314,144,316,136,320,129,325,123,332,120,341,120,349,120,355,123,361,128,366,134,369,143,369,154,369,165,366,173,361,179,355,185,349,188,341,188,333,188,327,185,321,179,316,173,314,165,314,153xm341,131l337,131,334,132,331,136,329,139,327,145,327,154,327,163,329,169,331,172,334,175,337,177,341,177,345,177,348,175,351,172,354,168,355,162,355,153,355,145,354,139,351,136,348,132,345,131,341,131xm341,256l412,120,424,120,354,256,341,256xm397,221l397,211,399,203,404,197,408,191,415,187,424,187,432,187,439,190,444,196,449,202,452,210,452,222,452,232,449,241,444,247,439,253,432,256,424,256,416,256,410,253,405,247,399,241,397,232,397,221xm424,198l420,198,417,200,415,203,412,207,411,213,411,222,411,230,412,236,415,240,417,243,421,245,424,245,428,245,432,243,434,240,437,236,438,230,438,221,438,213,437,207,434,203,432,200,428,198,424,198xm485,289l474,289,486,268,494,246,499,225,500,204,500,193,499,182,497,171,495,163,492,154,488,146,486,141,481,132,474,120,485,120,493,131,500,142,505,153,510,164,513,174,515,184,516,194,517,204,516,216,514,227,511,239,507,250,503,261,497,271,492,280,485,289xm1628,116l1628,131,1543,131,1543,127,1544,123,1545,120,1547,114,1551,108,1555,103,1560,97,1567,91,1576,83,1590,72,1600,63,1604,56,1609,49,1612,43,1612,37,1612,31,1610,25,1605,21,1601,17,1595,15,1588,15,1580,15,1574,17,1569,21,1565,26,1562,32,1562,40,1546,39,1547,27,1551,17,1559,11,1566,5,1576,1,1588,1,1600,1,1610,5,1617,12,1625,19,1628,27,1628,37,1628,42,1627,47,1625,52,1623,57,1619,63,1614,68,1610,74,1601,81,1590,91,1581,99,1574,104,1572,107,1569,110,1567,113,1565,116,1628,116xm1730,169l1724,160,1718,151,1713,141,1708,130,1704,119,1701,107,1699,96,1699,84,1699,74,1700,64,1703,54,1705,44,1710,33,1716,22,1722,11,1730,0,1741,0,1734,12,1729,21,1727,26,1724,34,1721,42,1719,51,1716,62,1715,73,1715,84,1717,105,1722,126,1730,148,1741,169,1730,169xm1838,116l1838,131,1753,131,1753,127,1754,123,1755,120,1757,114,1761,108,1765,103,1770,97,1777,91,1786,83,1800,72,1810,63,1815,56,1819,49,1822,43,1822,37,1822,31,1820,25,1815,21,1811,17,1805,15,1798,15,1790,15,1784,17,1779,21,1775,26,1773,32,1772,40,1756,39,1757,27,1761,17,1769,11,1776,5,1786,1,1798,1,1810,1,1820,5,1827,12,1835,19,1838,27,1838,37,1838,42,1837,47,1835,52,1833,57,1829,63,1825,68,1820,74,1811,81,1800,91,1791,99,1785,104,1782,107,1779,110,1777,113,1775,116,1838,116xm1864,131l1864,113,1882,113,1882,131,1864,131xm1987,34l1972,35,1970,29,1968,24,1966,21,1961,17,1956,14,1950,14,1945,14,1940,16,1937,19,1932,22,1928,28,1925,35,1922,42,1920,51,1920,64,1924,59,1929,54,1934,51,1940,49,1946,47,1952,47,1962,47,1971,51,1979,59,1986,67,1990,77,1990,89,1990,97,1988,105,1984,112,1981,118,1976,124,1970,127,1964,131,1957,133,1949,133,1936,133,1925,128,1917,118,1912,110,1908,99,1905,86,1905,71,1905,53,1908,38,1912,26,1918,16,1926,6,1937,1,1951,1,1961,1,1969,4,1976,10,1982,16,1986,23,1987,34xm1923,89l1923,95,1924,100,1926,105,1929,110,1932,113,1936,116,1940,119,1945,120,1949,120,1956,120,1962,117,1966,112,1971,107,1974,99,1974,90,1974,81,1971,74,1966,69,1962,64,1956,61,1948,61,1941,61,1935,64,1930,69,1925,74,1923,81,1923,89xm2008,33l2008,24,2011,16,2015,9,2020,3,2027,0,2035,0,2044,0,2050,3,2056,8,2061,14,2064,23,2064,34,2064,45,2061,53,2055,59,2050,65,2044,68,2036,68,2028,68,2021,65,2016,59,2011,53,2008,45,2008,33xm2036,11l2032,11,2029,12,2026,16,2024,19,2022,25,2022,34,2022,43,2024,49,2026,52,2029,55,2032,57,2036,57,2040,57,2043,55,2046,52,2048,48,2050,42,2050,33,2050,25,2048,19,2046,16,2043,12,2040,11,2036,11xm2036,136l2107,0,2119,0,2049,136,2036,136xm2092,101l2092,91,2094,83,2099,77,2103,71,2110,67,2119,67,2127,67,2134,70,2139,76,2144,82,2147,90,2147,102,2147,112,2144,121,2139,127,2134,133,2127,136,2119,136,2111,136,2105,133,2100,127,2094,121,2092,112,2092,101xm2119,78l2115,78,2112,80,2109,83,2107,87,2106,93,2106,102,2106,110,2107,116,2110,120,2112,123,2115,125,2119,125,2123,125,2127,123,2129,120,2132,116,2133,110,2133,101,2133,93,2132,87,2129,83,2127,80,2123,78,2119,78xm2180,169l2169,169,2180,148,2189,126,2194,105,2195,84,2195,73,2194,62,2191,51,2189,43,2187,34,2183,26,2181,21,2176,12,2169,0,2180,0,2188,11,2195,22,2200,33,2205,44,2208,54,2210,64,2211,74,2211,84,2211,96,2209,107,2206,119,2202,130,2198,141,2192,151,2187,160,2180,169xe">
                  <v:path o:connectlocs="49,5348;84,5414;20,5476;29,5464;66,5388;17,5400;154,5421;182,5373;185,5516;259,5348;294,5414;230,5476;239,5464;276,5388;227,5400;361,5355;327,5412;327,5381;355,5389;354,5483;444,5423;410,5480;411,5449;438,5457;494,5473;474,5347;514,5454;1544,5350;1609,5276;1569,5248;1600,5228;1614,5295;1730,5396;1703,5281;1721,5269;1838,5358;1800,5299;1798,5242;1776,5232;1835,5279;1777,5340;1968,5251;1922,5269;1979,5286;1957,5360;1912,5253;1923,5316;1962,5344;1941,5288;2027,5227;2050,5292;2029,5239;2040,5284;2036,5238;2110,5294;2134,5360;2112,5307;2123,5352;2119,5305;2187,5261;2210,5291" o:connectangles="0,0,0,0,0,0,0,0,0,0,0,0,0,0,0,0,0,0,0,0,0,0,0,0,0,0,0,0,0,0,0,0,0,0,0,0,0,0,0,0,0,0,0,0,0,0,0,0,0,0,0,0,0,0,0,0,0,0,0,0,0"/>
                  <v:fill on="f" focussize="0,0"/>
                  <v:stroke weight="2.25pt" color="#FFFFFF" joinstyle="round"/>
                  <v:imagedata o:title=""/>
                  <o:lock v:ext="edit" aspectratio="f"/>
                </v:shape>
                <v:shape id="Text Box 336" o:spid="_x0000_s1026" o:spt="202" type="#_x0000_t202" style="position:absolute;left:1162;top:722;height:1752;width:8021;" filled="f" stroked="f" coordsize="21600,21600" o:gfxdata="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I1FkX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12B90ED1">
                        <w:pPr>
                          <w:spacing w:line="300" w:lineRule="auto"/>
                          <w:ind w:right="9"/>
                        </w:pPr>
                        <w:r>
                          <w:rPr>
                            <w:color w:val="202024"/>
                          </w:rPr>
                          <w:t>5.</w:t>
                        </w:r>
                        <w:r>
                          <w:rPr>
                            <w:color w:val="202024"/>
                            <w:spacing w:val="6"/>
                          </w:rPr>
                          <w:t xml:space="preserve"> </w:t>
                        </w:r>
                        <w:r>
                          <w:rPr>
                            <w:color w:val="202024"/>
                          </w:rPr>
                          <w:t>The</w:t>
                        </w:r>
                        <w:r>
                          <w:rPr>
                            <w:color w:val="202024"/>
                            <w:spacing w:val="11"/>
                          </w:rPr>
                          <w:t xml:space="preserve"> </w:t>
                        </w:r>
                        <w:r>
                          <w:rPr>
                            <w:color w:val="202024"/>
                          </w:rPr>
                          <w:t>allocation</w:t>
                        </w:r>
                        <w:r>
                          <w:rPr>
                            <w:color w:val="202024"/>
                            <w:spacing w:val="12"/>
                          </w:rPr>
                          <w:t xml:space="preserve"> </w:t>
                        </w:r>
                        <w:r>
                          <w:rPr>
                            <w:color w:val="202024"/>
                          </w:rPr>
                          <w:t>of</w:t>
                        </w:r>
                        <w:r>
                          <w:rPr>
                            <w:color w:val="202024"/>
                            <w:spacing w:val="11"/>
                          </w:rPr>
                          <w:t xml:space="preserve"> </w:t>
                        </w:r>
                        <w:r>
                          <w:rPr>
                            <w:color w:val="202024"/>
                          </w:rPr>
                          <w:t>fiscal</w:t>
                        </w:r>
                        <w:r>
                          <w:rPr>
                            <w:color w:val="202024"/>
                            <w:spacing w:val="11"/>
                          </w:rPr>
                          <w:t xml:space="preserve"> </w:t>
                        </w:r>
                        <w:r>
                          <w:rPr>
                            <w:color w:val="202024"/>
                          </w:rPr>
                          <w:t>and</w:t>
                        </w:r>
                        <w:r>
                          <w:rPr>
                            <w:color w:val="202024"/>
                            <w:spacing w:val="11"/>
                          </w:rPr>
                          <w:t xml:space="preserve"> </w:t>
                        </w:r>
                        <w:r>
                          <w:rPr>
                            <w:color w:val="202024"/>
                          </w:rPr>
                          <w:t>taxing</w:t>
                        </w:r>
                        <w:r>
                          <w:rPr>
                            <w:color w:val="202024"/>
                            <w:spacing w:val="11"/>
                          </w:rPr>
                          <w:t xml:space="preserve"> </w:t>
                        </w:r>
                        <w:r>
                          <w:rPr>
                            <w:color w:val="202024"/>
                          </w:rPr>
                          <w:t>powers</w:t>
                        </w:r>
                        <w:r>
                          <w:rPr>
                            <w:color w:val="202024"/>
                            <w:spacing w:val="11"/>
                          </w:rPr>
                          <w:t xml:space="preserve"> </w:t>
                        </w:r>
                        <w:r>
                          <w:rPr>
                            <w:color w:val="202024"/>
                          </w:rPr>
                          <w:t>between</w:t>
                        </w:r>
                        <w:r>
                          <w:rPr>
                            <w:color w:val="202024"/>
                            <w:spacing w:val="12"/>
                          </w:rPr>
                          <w:t xml:space="preserve"> </w:t>
                        </w:r>
                        <w:r>
                          <w:rPr>
                            <w:color w:val="202024"/>
                          </w:rPr>
                          <w:t>the</w:t>
                        </w:r>
                        <w:r>
                          <w:rPr>
                            <w:color w:val="202024"/>
                            <w:spacing w:val="11"/>
                          </w:rPr>
                          <w:t xml:space="preserve"> </w:t>
                        </w:r>
                        <w:r>
                          <w:rPr>
                            <w:color w:val="202024"/>
                          </w:rPr>
                          <w:t>federating</w:t>
                        </w:r>
                        <w:r>
                          <w:rPr>
                            <w:color w:val="202024"/>
                            <w:spacing w:val="11"/>
                          </w:rPr>
                          <w:t xml:space="preserve"> </w:t>
                        </w:r>
                        <w:r>
                          <w:rPr>
                            <w:color w:val="202024"/>
                          </w:rPr>
                          <w:t>units</w:t>
                        </w:r>
                        <w:r>
                          <w:rPr>
                            <w:color w:val="202024"/>
                            <w:spacing w:val="-57"/>
                          </w:rPr>
                          <w:t xml:space="preserve"> </w:t>
                        </w:r>
                        <w:r>
                          <w:rPr>
                            <w:color w:val="202024"/>
                          </w:rPr>
                          <w:t>in</w:t>
                        </w:r>
                        <w:r>
                          <w:rPr>
                            <w:color w:val="202024"/>
                            <w:spacing w:val="7"/>
                          </w:rPr>
                          <w:t xml:space="preserve"> </w:t>
                        </w:r>
                        <w:r>
                          <w:rPr>
                            <w:color w:val="202024"/>
                          </w:rPr>
                          <w:t>Nigeria</w:t>
                        </w:r>
                        <w:r>
                          <w:rPr>
                            <w:color w:val="202024"/>
                            <w:spacing w:val="7"/>
                          </w:rPr>
                          <w:t xml:space="preserve"> </w:t>
                        </w:r>
                        <w:r>
                          <w:rPr>
                            <w:color w:val="202024"/>
                          </w:rPr>
                          <w:t>and</w:t>
                        </w:r>
                        <w:r>
                          <w:rPr>
                            <w:color w:val="202024"/>
                            <w:spacing w:val="7"/>
                          </w:rPr>
                          <w:t xml:space="preserve"> </w:t>
                        </w:r>
                        <w:r>
                          <w:rPr>
                            <w:color w:val="202024"/>
                          </w:rPr>
                          <w:t>the</w:t>
                        </w:r>
                        <w:r>
                          <w:rPr>
                            <w:color w:val="202024"/>
                            <w:spacing w:val="8"/>
                          </w:rPr>
                          <w:t xml:space="preserve"> </w:t>
                        </w:r>
                        <w:r>
                          <w:rPr>
                            <w:color w:val="202024"/>
                          </w:rPr>
                          <w:t>competition</w:t>
                        </w:r>
                        <w:r>
                          <w:rPr>
                            <w:color w:val="202024"/>
                            <w:spacing w:val="7"/>
                          </w:rPr>
                          <w:t xml:space="preserve"> </w:t>
                        </w:r>
                        <w:r>
                          <w:rPr>
                            <w:color w:val="202024"/>
                          </w:rPr>
                          <w:t>for</w:t>
                        </w:r>
                        <w:r>
                          <w:rPr>
                            <w:color w:val="202024"/>
                            <w:spacing w:val="7"/>
                          </w:rPr>
                          <w:t xml:space="preserve"> </w:t>
                        </w:r>
                        <w:r>
                          <w:rPr>
                            <w:color w:val="202024"/>
                          </w:rPr>
                          <w:t>revenue</w:t>
                        </w:r>
                        <w:r>
                          <w:rPr>
                            <w:color w:val="202024"/>
                            <w:spacing w:val="7"/>
                          </w:rPr>
                          <w:t xml:space="preserve"> </w:t>
                        </w:r>
                        <w:r>
                          <w:rPr>
                            <w:color w:val="202024"/>
                          </w:rPr>
                          <w:t>capture</w:t>
                        </w:r>
                        <w:r>
                          <w:rPr>
                            <w:color w:val="202024"/>
                            <w:spacing w:val="8"/>
                          </w:rPr>
                          <w:t xml:space="preserve"> </w:t>
                        </w:r>
                        <w:r>
                          <w:rPr>
                            <w:color w:val="202024"/>
                          </w:rPr>
                          <w:t>impacts</w:t>
                        </w:r>
                        <w:r>
                          <w:rPr>
                            <w:color w:val="202024"/>
                            <w:spacing w:val="7"/>
                          </w:rPr>
                          <w:t xml:space="preserve"> </w:t>
                        </w:r>
                        <w:r>
                          <w:rPr>
                            <w:color w:val="202024"/>
                          </w:rPr>
                          <w:t>tax</w:t>
                        </w:r>
                        <w:r>
                          <w:rPr>
                            <w:color w:val="202024"/>
                            <w:spacing w:val="7"/>
                          </w:rPr>
                          <w:t xml:space="preserve"> </w:t>
                        </w:r>
                        <w:r>
                          <w:rPr>
                            <w:color w:val="202024"/>
                          </w:rPr>
                          <w:t>law</w:t>
                        </w:r>
                        <w:r>
                          <w:rPr>
                            <w:color w:val="202024"/>
                            <w:spacing w:val="1"/>
                          </w:rPr>
                          <w:t xml:space="preserve"> </w:t>
                        </w:r>
                        <w:r>
                          <w:rPr>
                            <w:color w:val="202024"/>
                          </w:rPr>
                          <w:t>making</w:t>
                        </w:r>
                        <w:r>
                          <w:rPr>
                            <w:color w:val="202024"/>
                            <w:spacing w:val="8"/>
                          </w:rPr>
                          <w:t xml:space="preserve"> </w:t>
                        </w:r>
                        <w:r>
                          <w:rPr>
                            <w:color w:val="202024"/>
                          </w:rPr>
                          <w:t>and</w:t>
                        </w:r>
                        <w:r>
                          <w:rPr>
                            <w:color w:val="202024"/>
                            <w:spacing w:val="8"/>
                          </w:rPr>
                          <w:t xml:space="preserve"> </w:t>
                        </w:r>
                        <w:r>
                          <w:rPr>
                            <w:color w:val="202024"/>
                          </w:rPr>
                          <w:t>collection,</w:t>
                        </w:r>
                        <w:r>
                          <w:rPr>
                            <w:color w:val="202024"/>
                            <w:spacing w:val="9"/>
                          </w:rPr>
                          <w:t xml:space="preserve"> </w:t>
                        </w:r>
                        <w:r>
                          <w:rPr>
                            <w:color w:val="202024"/>
                          </w:rPr>
                          <w:t>as</w:t>
                        </w:r>
                        <w:r>
                          <w:rPr>
                            <w:color w:val="202024"/>
                            <w:spacing w:val="8"/>
                          </w:rPr>
                          <w:t xml:space="preserve"> </w:t>
                        </w:r>
                        <w:r>
                          <w:rPr>
                            <w:color w:val="202024"/>
                          </w:rPr>
                          <w:t>well</w:t>
                        </w:r>
                        <w:r>
                          <w:rPr>
                            <w:color w:val="202024"/>
                            <w:spacing w:val="9"/>
                          </w:rPr>
                          <w:t xml:space="preserve"> </w:t>
                        </w:r>
                        <w:r>
                          <w:rPr>
                            <w:color w:val="202024"/>
                          </w:rPr>
                          <w:t>as</w:t>
                        </w:r>
                        <w:r>
                          <w:rPr>
                            <w:color w:val="202024"/>
                            <w:spacing w:val="8"/>
                          </w:rPr>
                          <w:t xml:space="preserve"> </w:t>
                        </w:r>
                        <w:r>
                          <w:rPr>
                            <w:color w:val="202024"/>
                          </w:rPr>
                          <w:t>the</w:t>
                        </w:r>
                        <w:r>
                          <w:rPr>
                            <w:color w:val="202024"/>
                            <w:spacing w:val="8"/>
                          </w:rPr>
                          <w:t xml:space="preserve"> </w:t>
                        </w:r>
                        <w:r>
                          <w:rPr>
                            <w:color w:val="202024"/>
                          </w:rPr>
                          <w:t>clarity,</w:t>
                        </w:r>
                        <w:r>
                          <w:rPr>
                            <w:color w:val="202024"/>
                            <w:spacing w:val="9"/>
                          </w:rPr>
                          <w:t xml:space="preserve"> </w:t>
                        </w:r>
                        <w:r>
                          <w:rPr>
                            <w:color w:val="202024"/>
                          </w:rPr>
                          <w:t>certainty</w:t>
                        </w:r>
                        <w:r>
                          <w:rPr>
                            <w:color w:val="202024"/>
                            <w:spacing w:val="8"/>
                          </w:rPr>
                          <w:t xml:space="preserve"> </w:t>
                        </w:r>
                        <w:r>
                          <w:rPr>
                            <w:color w:val="202024"/>
                          </w:rPr>
                          <w:t>and</w:t>
                        </w:r>
                        <w:r>
                          <w:rPr>
                            <w:color w:val="202024"/>
                            <w:spacing w:val="9"/>
                          </w:rPr>
                          <w:t xml:space="preserve"> </w:t>
                        </w:r>
                        <w:r>
                          <w:rPr>
                            <w:color w:val="202024"/>
                          </w:rPr>
                          <w:t>consistency</w:t>
                        </w:r>
                        <w:r>
                          <w:rPr>
                            <w:color w:val="202024"/>
                            <w:spacing w:val="8"/>
                          </w:rPr>
                          <w:t xml:space="preserve"> </w:t>
                        </w:r>
                        <w:r>
                          <w:rPr>
                            <w:color w:val="202024"/>
                          </w:rPr>
                          <w:t>of</w:t>
                        </w:r>
                        <w:r>
                          <w:rPr>
                            <w:color w:val="202024"/>
                            <w:spacing w:val="1"/>
                          </w:rPr>
                          <w:t xml:space="preserve"> </w:t>
                        </w:r>
                        <w:r>
                          <w:rPr>
                            <w:color w:val="202024"/>
                          </w:rPr>
                          <w:t>understanding</w:t>
                        </w:r>
                        <w:r>
                          <w:rPr>
                            <w:color w:val="202024"/>
                            <w:spacing w:val="6"/>
                          </w:rPr>
                          <w:t xml:space="preserve"> </w:t>
                        </w:r>
                        <w:r>
                          <w:rPr>
                            <w:color w:val="202024"/>
                          </w:rPr>
                          <w:t>of</w:t>
                        </w:r>
                        <w:r>
                          <w:rPr>
                            <w:color w:val="202024"/>
                            <w:spacing w:val="6"/>
                          </w:rPr>
                          <w:t xml:space="preserve"> </w:t>
                        </w:r>
                        <w:r>
                          <w:rPr>
                            <w:color w:val="202024"/>
                          </w:rPr>
                          <w:t>the</w:t>
                        </w:r>
                        <w:r>
                          <w:rPr>
                            <w:color w:val="202024"/>
                            <w:spacing w:val="6"/>
                          </w:rPr>
                          <w:t xml:space="preserve"> </w:t>
                        </w:r>
                        <w:r>
                          <w:rPr>
                            <w:color w:val="202024"/>
                          </w:rPr>
                          <w:t>Upstream</w:t>
                        </w:r>
                        <w:r>
                          <w:rPr>
                            <w:color w:val="202024"/>
                            <w:spacing w:val="7"/>
                          </w:rPr>
                          <w:t xml:space="preserve"> </w:t>
                        </w:r>
                        <w:r>
                          <w:rPr>
                            <w:color w:val="202024"/>
                          </w:rPr>
                          <w:t>petroleum</w:t>
                        </w:r>
                        <w:r>
                          <w:rPr>
                            <w:color w:val="202024"/>
                            <w:spacing w:val="6"/>
                          </w:rPr>
                          <w:t xml:space="preserve"> </w:t>
                        </w:r>
                        <w:r>
                          <w:rPr>
                            <w:color w:val="202024"/>
                          </w:rPr>
                          <w:t>tax</w:t>
                        </w:r>
                        <w:r>
                          <w:rPr>
                            <w:color w:val="202024"/>
                            <w:spacing w:val="6"/>
                          </w:rPr>
                          <w:t xml:space="preserve"> </w:t>
                        </w:r>
                        <w:r>
                          <w:rPr>
                            <w:color w:val="202024"/>
                          </w:rPr>
                          <w:t>legislation.</w:t>
                        </w:r>
                      </w:p>
                      <w:p w14:paraId="607A11CF">
                        <w:pPr>
                          <w:spacing w:before="96" w:line="215" w:lineRule="exact"/>
                          <w:rPr>
                            <w:sz w:val="18"/>
                          </w:rPr>
                        </w:pPr>
                        <w:r>
                          <w:rPr>
                            <w:color w:val="202024"/>
                            <w:sz w:val="18"/>
                          </w:rPr>
                          <w:t>76</w:t>
                        </w:r>
                        <w:r>
                          <w:rPr>
                            <w:color w:val="202024"/>
                            <w:spacing w:val="20"/>
                            <w:sz w:val="18"/>
                          </w:rPr>
                          <w:t xml:space="preserve"> </w:t>
                        </w:r>
                        <w:r>
                          <w:rPr>
                            <w:color w:val="202024"/>
                            <w:sz w:val="18"/>
                          </w:rPr>
                          <w:t>responses</w:t>
                        </w:r>
                      </w:p>
                    </w:txbxContent>
                  </v:textbox>
                </v:shape>
                <v:shape id="Text Box 335" o:spid="_x0000_s1026" o:spt="202" type="#_x0000_t202" style="position:absolute;left:9958;top:761;height:200;width:550;" filled="f" stroked="f" coordsize="21600,21600" o:gfxdata="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14&#10;wM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D9329BE">
                        <w:pPr>
                          <w:spacing w:line="199" w:lineRule="exact"/>
                          <w:rPr>
                            <w:rFonts w:ascii="Lucida Sans Unicode"/>
                            <w:sz w:val="20"/>
                          </w:rPr>
                        </w:pPr>
                        <w:r>
                          <w:rPr>
                            <w:rFonts w:ascii="Lucida Sans Unicode"/>
                            <w:color w:val="1A73E7"/>
                            <w:w w:val="105"/>
                            <w:sz w:val="20"/>
                          </w:rPr>
                          <w:t>Copy</w:t>
                        </w:r>
                      </w:p>
                    </w:txbxContent>
                  </v:textbox>
                </v:shape>
                <v:shape id="Text Box 334" o:spid="_x0000_s1026" o:spt="202" type="#_x0000_t202" style="position:absolute;left:1689;top:2907;height:202;width:221;" filled="f" stroked="f" coordsize="21600,21600" o:gfxdata="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OqE8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7CFF6F8E">
                        <w:pPr>
                          <w:spacing w:line="201" w:lineRule="exact"/>
                          <w:rPr>
                            <w:rFonts w:ascii="Arial MT"/>
                            <w:sz w:val="18"/>
                          </w:rPr>
                        </w:pPr>
                        <w:r>
                          <w:rPr>
                            <w:rFonts w:ascii="Arial MT"/>
                            <w:color w:val="444444"/>
                            <w:sz w:val="18"/>
                          </w:rPr>
                          <w:t>40</w:t>
                        </w:r>
                      </w:p>
                    </w:txbxContent>
                  </v:textbox>
                </v:shape>
                <v:shape id="Text Box 333" o:spid="_x0000_s1026" o:spt="202" type="#_x0000_t202" style="position:absolute;left:1689;top:3578;height:202;width:221;" filled="f" stroked="f" coordsize="21600,21600" o:gfxdata="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ys&#10;gHrCAAAA4A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42651B0">
                        <w:pPr>
                          <w:spacing w:line="201" w:lineRule="exact"/>
                          <w:rPr>
                            <w:rFonts w:ascii="Arial MT"/>
                            <w:sz w:val="18"/>
                          </w:rPr>
                        </w:pPr>
                        <w:r>
                          <w:rPr>
                            <w:rFonts w:ascii="Arial MT"/>
                            <w:color w:val="444444"/>
                            <w:sz w:val="18"/>
                          </w:rPr>
                          <w:t>30</w:t>
                        </w:r>
                      </w:p>
                    </w:txbxContent>
                  </v:textbox>
                </v:shape>
                <v:shape id="Text Box 332" o:spid="_x0000_s1026" o:spt="202" type="#_x0000_t202" style="position:absolute;left:1689;top:4249;height:202;width:221;" filled="f" stroked="f" coordsize="21600,21600" o:gfxdata="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js&#10;EM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FE0B5BB">
                        <w:pPr>
                          <w:spacing w:line="201" w:lineRule="exact"/>
                          <w:rPr>
                            <w:rFonts w:ascii="Arial MT"/>
                            <w:sz w:val="18"/>
                          </w:rPr>
                        </w:pPr>
                        <w:r>
                          <w:rPr>
                            <w:rFonts w:ascii="Arial MT"/>
                            <w:color w:val="444444"/>
                            <w:sz w:val="18"/>
                          </w:rPr>
                          <w:t>20</w:t>
                        </w:r>
                      </w:p>
                    </w:txbxContent>
                  </v:textbox>
                </v:shape>
                <v:shape id="Text Box 331" o:spid="_x0000_s1026" o:spt="202" type="#_x0000_t202" style="position:absolute;left:1689;top:4921;height:202;width:221;" filled="f" stroked="f" coordsize="21600,21600" o:gfxdata="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uuVTz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33C4CB3D">
                        <w:pPr>
                          <w:spacing w:line="201" w:lineRule="exact"/>
                          <w:rPr>
                            <w:rFonts w:ascii="Arial MT"/>
                            <w:sz w:val="18"/>
                          </w:rPr>
                        </w:pPr>
                        <w:r>
                          <w:rPr>
                            <w:rFonts w:ascii="Arial MT"/>
                            <w:color w:val="444444"/>
                            <w:sz w:val="18"/>
                          </w:rPr>
                          <w:t>10</w:t>
                        </w:r>
                      </w:p>
                    </w:txbxContent>
                  </v:textbox>
                </v:shape>
                <v:shape id="Text Box 330" o:spid="_x0000_s1026" o:spt="202" type="#_x0000_t202" style="position:absolute;left:2614;top:5314;height:202;width:551;" filled="f" stroked="f" coordsize="21600,21600" o:gfxdata="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2ACzc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8998C43">
                        <w:pPr>
                          <w:spacing w:line="201" w:lineRule="exact"/>
                          <w:rPr>
                            <w:rFonts w:ascii="Arial MT"/>
                            <w:sz w:val="18"/>
                          </w:rPr>
                        </w:pPr>
                        <w:r>
                          <w:rPr>
                            <w:rFonts w:ascii="Arial MT"/>
                            <w:color w:val="202024"/>
                            <w:sz w:val="18"/>
                          </w:rPr>
                          <w:t>0 (0%)</w:t>
                        </w:r>
                      </w:p>
                    </w:txbxContent>
                  </v:textbox>
                </v:shape>
                <v:shape id="Text Box 329" o:spid="_x0000_s1026" o:spt="202" type="#_x0000_t202" style="position:absolute;left:4159;top:5194;height:202;width:701;" filled="f" stroked="f" coordsize="21600,21600" o:gfxdata="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JGbL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76D75105">
                        <w:pPr>
                          <w:spacing w:line="201" w:lineRule="exact"/>
                          <w:rPr>
                            <w:rFonts w:ascii="Arial MT"/>
                            <w:sz w:val="18"/>
                          </w:rPr>
                        </w:pPr>
                        <w:r>
                          <w:rPr>
                            <w:rFonts w:ascii="Arial MT"/>
                            <w:color w:val="232327"/>
                            <w:sz w:val="18"/>
                          </w:rPr>
                          <w:t>2 (2.6%)</w:t>
                        </w:r>
                      </w:p>
                    </w:txbxContent>
                  </v:textbox>
                </v:shape>
                <v:shape id="Text Box 328" o:spid="_x0000_s1026" o:spt="202" type="#_x0000_t202" style="position:absolute;left:1789;top:5592;height:202;width:121;" filled="f" stroked="f" coordsize="21600,21600" o:gfxdata="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41C+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2F1462CE">
                        <w:pPr>
                          <w:spacing w:line="201" w:lineRule="exact"/>
                          <w:rPr>
                            <w:rFonts w:ascii="Arial MT"/>
                            <w:sz w:val="18"/>
                          </w:rPr>
                        </w:pPr>
                        <w:r>
                          <w:rPr>
                            <w:rFonts w:ascii="Arial MT"/>
                            <w:color w:val="444444"/>
                            <w:sz w:val="18"/>
                          </w:rPr>
                          <w:t>0</w:t>
                        </w:r>
                      </w:p>
                    </w:txbxContent>
                  </v:textbox>
                </v:shape>
                <v:shape id="Text Box 327" o:spid="_x0000_s1026" o:spt="202" type="#_x0000_t202" style="position:absolute;left:2838;top:5794;height:202;width:121;" filled="f" stroked="f" coordsize="21600,21600" o:gfxdata="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4JtV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71E3AC2">
                        <w:pPr>
                          <w:spacing w:line="201" w:lineRule="exact"/>
                          <w:rPr>
                            <w:rFonts w:ascii="Arial MT"/>
                            <w:sz w:val="18"/>
                          </w:rPr>
                        </w:pPr>
                        <w:r>
                          <w:rPr>
                            <w:rFonts w:ascii="Arial MT"/>
                            <w:color w:val="212121"/>
                            <w:sz w:val="18"/>
                          </w:rPr>
                          <w:t>1</w:t>
                        </w:r>
                      </w:p>
                    </w:txbxContent>
                  </v:textbox>
                </v:shape>
                <v:shape id="Text Box 326" o:spid="_x0000_s1026" o:spt="202" type="#_x0000_t202" style="position:absolute;left:4461;top:5794;height:202;width:121;" filled="f" stroked="f" coordsize="21600,21600" o:gfxdata="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kSV6L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6AEFD463">
                        <w:pPr>
                          <w:spacing w:line="201" w:lineRule="exact"/>
                          <w:rPr>
                            <w:rFonts w:ascii="Arial MT"/>
                            <w:sz w:val="18"/>
                          </w:rPr>
                        </w:pPr>
                        <w:r>
                          <w:rPr>
                            <w:rFonts w:ascii="Arial MT"/>
                            <w:color w:val="212121"/>
                            <w:sz w:val="18"/>
                          </w:rPr>
                          <w:t>2</w:t>
                        </w:r>
                      </w:p>
                    </w:txbxContent>
                  </v:textbox>
                </v:shape>
                <v:shape id="Text Box 325" o:spid="_x0000_s1026" o:spt="202" type="#_x0000_t202" style="position:absolute;left:6084;top:5794;height:202;width:121;" filled="f" stroked="f" coordsize="21600,21600" o:gfxdata="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yK&#10;UIP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558914D">
                        <w:pPr>
                          <w:spacing w:line="201" w:lineRule="exact"/>
                          <w:rPr>
                            <w:rFonts w:ascii="Arial MT"/>
                            <w:sz w:val="18"/>
                          </w:rPr>
                        </w:pPr>
                        <w:r>
                          <w:rPr>
                            <w:rFonts w:ascii="Arial MT"/>
                            <w:color w:val="212121"/>
                            <w:sz w:val="18"/>
                          </w:rPr>
                          <w:t>3</w:t>
                        </w:r>
                      </w:p>
                    </w:txbxContent>
                  </v:textbox>
                </v:shape>
                <v:shape id="Text Box 324" o:spid="_x0000_s1026" o:spt="202" type="#_x0000_t202" style="position:absolute;left:7707;top:5794;height:202;width:121;" filled="f" stroked="f" coordsize="21600,21600" o:gfxdata="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hL0w7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1875D489">
                        <w:pPr>
                          <w:spacing w:line="201" w:lineRule="exact"/>
                          <w:rPr>
                            <w:rFonts w:ascii="Arial MT"/>
                            <w:sz w:val="18"/>
                          </w:rPr>
                        </w:pPr>
                        <w:r>
                          <w:rPr>
                            <w:rFonts w:ascii="Arial MT"/>
                            <w:color w:val="212121"/>
                            <w:sz w:val="18"/>
                          </w:rPr>
                          <w:t>4</w:t>
                        </w:r>
                      </w:p>
                    </w:txbxContent>
                  </v:textbox>
                </v:shape>
                <v:shape id="Text Box 323" o:spid="_x0000_s1026" o:spt="202" type="#_x0000_t202" style="position:absolute;left:9330;top:5794;height:202;width:121;" filled="f" stroked="f" coordsize="21600,21600" o:gfxdata="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7Xwtr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45A9C643">
                        <w:pPr>
                          <w:spacing w:line="201" w:lineRule="exact"/>
                          <w:rPr>
                            <w:rFonts w:ascii="Arial MT"/>
                            <w:sz w:val="18"/>
                          </w:rPr>
                        </w:pPr>
                        <w:r>
                          <w:rPr>
                            <w:rFonts w:ascii="Arial MT"/>
                            <w:color w:val="212121"/>
                            <w:sz w:val="18"/>
                          </w:rPr>
                          <w:t>5</w:t>
                        </w:r>
                      </w:p>
                    </w:txbxContent>
                  </v:textbox>
                </v:shape>
                <v:shape id="Text Box 322" o:spid="_x0000_s1026" o:spt="202" type="#_x0000_t202" style="position:absolute;left:7260;top:4020;height:1665;width:1005;" fillcolor="#663AB6" filled="t" stroked="f" coordsize="21600,21600" o:gfxdata="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H&#10;M3rCAAAA4g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14:paraId="1BAB80E7">
                        <w:pPr>
                          <w:spacing w:before="14"/>
                          <w:rPr>
                            <w:rFonts w:ascii="Arial MT"/>
                            <w:sz w:val="18"/>
                          </w:rPr>
                        </w:pPr>
                        <w:r>
                          <w:rPr>
                            <w:rFonts w:ascii="Arial MT"/>
                            <w:color w:val="FFFFFF"/>
                            <w:sz w:val="18"/>
                          </w:rPr>
                          <w:t>25 (32.9%)</w:t>
                        </w:r>
                      </w:p>
                    </w:txbxContent>
                  </v:textbox>
                </v:shape>
                <v:shape id="Text Box 321" o:spid="_x0000_s1026" o:spt="202" type="#_x0000_t202" style="position:absolute;left:5640;top:4620;height:1065;width:990;" fillcolor="#663AB6" filled="t" stroked="f" coordsize="21600,21600" o:gfxdata="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ytW4wwAAAOMAAAAPAAAAAAAAAAEAIAAAACIAAABkcnMvZG93bnJldi54bWxQSwECFAAUAAAACACH&#10;TuJAMy8FnjsAAAA5AAAAEAAAAAAAAAABACAAAAASAQAAZHJzL3NoYXBleG1sLnhtbFBLBQYAAAAA&#10;BgAGAFsBAAC8AwAAAAA=&#10;">
                  <v:fill on="t" focussize="0,0"/>
                  <v:stroke on="f"/>
                  <v:imagedata o:title=""/>
                  <o:lock v:ext="edit" aspectratio="f"/>
                  <v:textbox inset="0mm,0mm,0mm,0mm">
                    <w:txbxContent>
                      <w:p w14:paraId="5AE105B0">
                        <w:pPr>
                          <w:spacing w:before="14"/>
                          <w:rPr>
                            <w:rFonts w:ascii="Arial MT"/>
                            <w:sz w:val="18"/>
                          </w:rPr>
                        </w:pPr>
                        <w:r>
                          <w:rPr>
                            <w:rFonts w:ascii="Arial MT"/>
                            <w:color w:val="FFFFFF"/>
                            <w:sz w:val="18"/>
                          </w:rPr>
                          <w:t>16 (21.1%)</w:t>
                        </w:r>
                      </w:p>
                    </w:txbxContent>
                  </v:textbox>
                </v:shape>
                <v:shape id="Text Box 320" o:spid="_x0000_s1026" o:spt="202" type="#_x0000_t202" style="position:absolute;left:8880;top:3480;height:2205;width:1005;" fillcolor="#663AB6" filled="t" stroked="f" coordsize="21600,21600" o:gfxdata="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9&#10;SzrVwwAAAOMAAAAPAAAAAAAAAAEAIAAAACIAAABkcnMvZG93bnJldi54bWxQSwECFAAUAAAACACH&#10;TuJAMy8FnjsAAAA5AAAAEAAAAAAAAAABACAAAAASAQAAZHJzL3NoYXBleG1sLnhtbFBLBQYAAAAA&#10;BgAGAFsBAAC8AwAAAAA=&#10;">
                  <v:fill on="t" focussize="0,0"/>
                  <v:stroke on="f"/>
                  <v:imagedata o:title=""/>
                  <o:lock v:ext="edit" aspectratio="f"/>
                  <v:textbox inset="0mm,0mm,0mm,0mm">
                    <w:txbxContent>
                      <w:p w14:paraId="013E45F8">
                        <w:pPr>
                          <w:spacing w:before="14"/>
                          <w:rPr>
                            <w:rFonts w:ascii="Arial MT"/>
                            <w:sz w:val="18"/>
                          </w:rPr>
                        </w:pPr>
                        <w:r>
                          <w:rPr>
                            <w:rFonts w:ascii="Arial MT"/>
                            <w:color w:val="FFFFFF"/>
                            <w:sz w:val="18"/>
                          </w:rPr>
                          <w:t>33 (43.4%)</w:t>
                        </w:r>
                      </w:p>
                    </w:txbxContent>
                  </v:textbox>
                </v:shape>
              </v:group>
            </w:pict>
          </mc:Fallback>
        </mc:AlternateContent>
      </w:r>
    </w:p>
    <w:p w14:paraId="3602618A">
      <w:pPr>
        <w:widowControl w:val="0"/>
        <w:autoSpaceDE w:val="0"/>
        <w:autoSpaceDN w:val="0"/>
        <w:rPr>
          <w:rFonts w:ascii="Arial MT" w:hAnsi="Roboto" w:eastAsia="Roboto" w:cs="Roboto"/>
          <w:sz w:val="17"/>
          <w:szCs w:val="22"/>
        </w:rPr>
        <w:sectPr>
          <w:pgSz w:w="11900" w:h="16840"/>
          <w:pgMar w:top="480" w:right="1280" w:bottom="1680" w:left="1040" w:header="269" w:footer="1490" w:gutter="0"/>
          <w:cols w:space="720" w:num="1"/>
        </w:sectPr>
      </w:pPr>
    </w:p>
    <w:p w14:paraId="1464A967">
      <w:pPr>
        <w:widowControl w:val="0"/>
        <w:autoSpaceDE w:val="0"/>
        <w:autoSpaceDN w:val="0"/>
        <w:spacing w:before="4"/>
        <w:rPr>
          <w:rFonts w:ascii="Arial MT" w:hAnsi="Roboto" w:eastAsia="Roboto" w:cs="Roboto"/>
          <w:sz w:val="12"/>
          <w:szCs w:val="21"/>
        </w:rPr>
      </w:pPr>
      <w:r>
        <mc:AlternateContent>
          <mc:Choice Requires="wpg">
            <w:drawing>
              <wp:anchor distT="0" distB="0" distL="114300" distR="114300" simplePos="0" relativeHeight="251692032" behindDoc="1" locked="0" layoutInCell="1" allowOverlap="1">
                <wp:simplePos x="0" y="0"/>
                <wp:positionH relativeFrom="page">
                  <wp:posOffset>859790</wp:posOffset>
                </wp:positionH>
                <wp:positionV relativeFrom="margin">
                  <wp:posOffset>-1379855</wp:posOffset>
                </wp:positionV>
                <wp:extent cx="6276975" cy="9982200"/>
                <wp:effectExtent l="2540" t="1270" r="0" b="8255"/>
                <wp:wrapNone/>
                <wp:docPr id="1750193582" name="Group 315"/>
                <wp:cNvGraphicFramePr/>
                <a:graphic xmlns:a="http://schemas.openxmlformats.org/drawingml/2006/main">
                  <a:graphicData uri="http://schemas.microsoft.com/office/word/2010/wordprocessingGroup">
                    <wpg:wgp>
                      <wpg:cNvGrpSpPr/>
                      <wpg:grpSpPr>
                        <a:xfrm>
                          <a:off x="0" y="0"/>
                          <a:ext cx="6276975" cy="9982200"/>
                          <a:chOff x="1155" y="555"/>
                          <a:chExt cx="9885" cy="15720"/>
                        </a:xfrm>
                        <a:effectLst/>
                      </wpg:grpSpPr>
                      <wps:wsp>
                        <wps:cNvPr id="502330154" name="Freeform 318"/>
                        <wps:cNvSpPr/>
                        <wps:spPr bwMode="auto">
                          <a:xfrm>
                            <a:off x="1155" y="555"/>
                            <a:ext cx="9600" cy="15720"/>
                          </a:xfrm>
                          <a:custGeom>
                            <a:avLst/>
                            <a:gdLst>
                              <a:gd name="T0" fmla="*/ 9600 w 9600"/>
                              <a:gd name="T1" fmla="*/ 675 h 15720"/>
                              <a:gd name="T2" fmla="*/ 9580 w 9600"/>
                              <a:gd name="T3" fmla="*/ 608 h 15720"/>
                              <a:gd name="T4" fmla="*/ 9564 w 9600"/>
                              <a:gd name="T5" fmla="*/ 589 h 15720"/>
                              <a:gd name="T6" fmla="*/ 9556 w 9600"/>
                              <a:gd name="T7" fmla="*/ 582 h 15720"/>
                              <a:gd name="T8" fmla="*/ 9547 w 9600"/>
                              <a:gd name="T9" fmla="*/ 575 h 15720"/>
                              <a:gd name="T10" fmla="*/ 9538 w 9600"/>
                              <a:gd name="T11" fmla="*/ 570 h 15720"/>
                              <a:gd name="T12" fmla="*/ 9537 w 9600"/>
                              <a:gd name="T13" fmla="*/ 569 h 15720"/>
                              <a:gd name="T14" fmla="*/ 9480 w 9600"/>
                              <a:gd name="T15" fmla="*/ 555 h 15720"/>
                              <a:gd name="T16" fmla="*/ 120 w 9600"/>
                              <a:gd name="T17" fmla="*/ 555 h 15720"/>
                              <a:gd name="T18" fmla="*/ 53 w 9600"/>
                              <a:gd name="T19" fmla="*/ 575 h 15720"/>
                              <a:gd name="T20" fmla="*/ 9 w 9600"/>
                              <a:gd name="T21" fmla="*/ 629 h 15720"/>
                              <a:gd name="T22" fmla="*/ 0 w 9600"/>
                              <a:gd name="T23" fmla="*/ 675 h 15720"/>
                              <a:gd name="T24" fmla="*/ 0 w 9600"/>
                              <a:gd name="T25" fmla="*/ 16275 h 15720"/>
                              <a:gd name="T26" fmla="*/ 15 w 9600"/>
                              <a:gd name="T27" fmla="*/ 16275 h 15720"/>
                              <a:gd name="T28" fmla="*/ 15 w 9600"/>
                              <a:gd name="T29" fmla="*/ 675 h 15720"/>
                              <a:gd name="T30" fmla="*/ 15 w 9600"/>
                              <a:gd name="T31" fmla="*/ 665 h 15720"/>
                              <a:gd name="T32" fmla="*/ 39 w 9600"/>
                              <a:gd name="T33" fmla="*/ 608 h 15720"/>
                              <a:gd name="T34" fmla="*/ 47 w 9600"/>
                              <a:gd name="T35" fmla="*/ 600 h 15720"/>
                              <a:gd name="T36" fmla="*/ 53 w 9600"/>
                              <a:gd name="T37" fmla="*/ 594 h 15720"/>
                              <a:gd name="T38" fmla="*/ 110 w 9600"/>
                              <a:gd name="T39" fmla="*/ 571 h 15720"/>
                              <a:gd name="T40" fmla="*/ 120 w 9600"/>
                              <a:gd name="T41" fmla="*/ 570 h 15720"/>
                              <a:gd name="T42" fmla="*/ 9480 w 9600"/>
                              <a:gd name="T43" fmla="*/ 570 h 15720"/>
                              <a:gd name="T44" fmla="*/ 9538 w 9600"/>
                              <a:gd name="T45" fmla="*/ 588 h 15720"/>
                              <a:gd name="T46" fmla="*/ 9553 w 9600"/>
                              <a:gd name="T47" fmla="*/ 600 h 15720"/>
                              <a:gd name="T48" fmla="*/ 9554 w 9600"/>
                              <a:gd name="T49" fmla="*/ 601 h 15720"/>
                              <a:gd name="T50" fmla="*/ 9583 w 9600"/>
                              <a:gd name="T51" fmla="*/ 655 h 15720"/>
                              <a:gd name="T52" fmla="*/ 9585 w 9600"/>
                              <a:gd name="T53" fmla="*/ 675 h 15720"/>
                              <a:gd name="T54" fmla="*/ 9585 w 9600"/>
                              <a:gd name="T55" fmla="*/ 16275 h 15720"/>
                              <a:gd name="T56" fmla="*/ 9600 w 9600"/>
                              <a:gd name="T57" fmla="*/ 16275 h 15720"/>
                              <a:gd name="T58" fmla="*/ 9600 w 9600"/>
                              <a:gd name="T59" fmla="*/ 675 h 1572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00" h="15720">
                                <a:moveTo>
                                  <a:pt x="9600" y="120"/>
                                </a:moveTo>
                                <a:lnTo>
                                  <a:pt x="9580" y="53"/>
                                </a:lnTo>
                                <a:lnTo>
                                  <a:pt x="9564" y="34"/>
                                </a:lnTo>
                                <a:lnTo>
                                  <a:pt x="9556" y="27"/>
                                </a:lnTo>
                                <a:lnTo>
                                  <a:pt x="9547" y="20"/>
                                </a:lnTo>
                                <a:lnTo>
                                  <a:pt x="9538" y="15"/>
                                </a:lnTo>
                                <a:lnTo>
                                  <a:pt x="9537" y="14"/>
                                </a:lnTo>
                                <a:lnTo>
                                  <a:pt x="9480" y="0"/>
                                </a:lnTo>
                                <a:lnTo>
                                  <a:pt x="120" y="0"/>
                                </a:lnTo>
                                <a:lnTo>
                                  <a:pt x="53" y="20"/>
                                </a:lnTo>
                                <a:lnTo>
                                  <a:pt x="9" y="74"/>
                                </a:lnTo>
                                <a:lnTo>
                                  <a:pt x="0" y="120"/>
                                </a:lnTo>
                                <a:lnTo>
                                  <a:pt x="0" y="15720"/>
                                </a:lnTo>
                                <a:lnTo>
                                  <a:pt x="15" y="15720"/>
                                </a:lnTo>
                                <a:lnTo>
                                  <a:pt x="15" y="120"/>
                                </a:lnTo>
                                <a:lnTo>
                                  <a:pt x="15" y="110"/>
                                </a:lnTo>
                                <a:lnTo>
                                  <a:pt x="39" y="53"/>
                                </a:lnTo>
                                <a:lnTo>
                                  <a:pt x="47" y="45"/>
                                </a:lnTo>
                                <a:lnTo>
                                  <a:pt x="53" y="39"/>
                                </a:lnTo>
                                <a:lnTo>
                                  <a:pt x="110" y="16"/>
                                </a:lnTo>
                                <a:lnTo>
                                  <a:pt x="120" y="15"/>
                                </a:lnTo>
                                <a:lnTo>
                                  <a:pt x="9480" y="15"/>
                                </a:lnTo>
                                <a:lnTo>
                                  <a:pt x="9538" y="33"/>
                                </a:lnTo>
                                <a:lnTo>
                                  <a:pt x="9553" y="45"/>
                                </a:lnTo>
                                <a:lnTo>
                                  <a:pt x="9554" y="46"/>
                                </a:lnTo>
                                <a:lnTo>
                                  <a:pt x="9583" y="100"/>
                                </a:lnTo>
                                <a:lnTo>
                                  <a:pt x="9585" y="120"/>
                                </a:lnTo>
                                <a:lnTo>
                                  <a:pt x="9585" y="15720"/>
                                </a:lnTo>
                                <a:lnTo>
                                  <a:pt x="9600" y="15720"/>
                                </a:lnTo>
                                <a:lnTo>
                                  <a:pt x="9600" y="120"/>
                                </a:lnTo>
                                <a:close/>
                              </a:path>
                            </a:pathLst>
                          </a:custGeom>
                          <a:solidFill>
                            <a:srgbClr val="D9DBDF"/>
                          </a:solidFill>
                          <a:ln>
                            <a:noFill/>
                          </a:ln>
                          <a:effectLst/>
                        </wps:spPr>
                        <wps:bodyPr rot="0" vert="horz" wrap="square" lIns="91440" tIns="45720" rIns="91440" bIns="45720" anchor="t" anchorCtr="0" upright="1">
                          <a:noAutofit/>
                        </wps:bodyPr>
                      </wps:wsp>
                      <wps:wsp>
                        <wps:cNvPr id="1491848143" name="AutoShape 317"/>
                        <wps:cNvSpPr/>
                        <wps:spPr bwMode="auto">
                          <a:xfrm>
                            <a:off x="1169" y="1830"/>
                            <a:ext cx="9390" cy="14445"/>
                          </a:xfrm>
                          <a:custGeom>
                            <a:avLst/>
                            <a:gdLst>
                              <a:gd name="T0" fmla="*/ 9360 w 9390"/>
                              <a:gd name="T1" fmla="*/ 14978 h 14445"/>
                              <a:gd name="T2" fmla="*/ 23 w 9390"/>
                              <a:gd name="T3" fmla="*/ 14982 h 14445"/>
                              <a:gd name="T4" fmla="*/ 9390 w 9390"/>
                              <a:gd name="T5" fmla="*/ 16275 h 14445"/>
                              <a:gd name="T6" fmla="*/ 9367 w 9390"/>
                              <a:gd name="T7" fmla="*/ 14022 h 14445"/>
                              <a:gd name="T8" fmla="*/ 30 w 9390"/>
                              <a:gd name="T9" fmla="*/ 14018 h 14445"/>
                              <a:gd name="T10" fmla="*/ 0 w 9390"/>
                              <a:gd name="T11" fmla="*/ 14850 h 14445"/>
                              <a:gd name="T12" fmla="*/ 30 w 9390"/>
                              <a:gd name="T13" fmla="*/ 14902 h 14445"/>
                              <a:gd name="T14" fmla="*/ 9367 w 9390"/>
                              <a:gd name="T15" fmla="*/ 14898 h 14445"/>
                              <a:gd name="T16" fmla="*/ 9390 w 9390"/>
                              <a:gd name="T17" fmla="*/ 12802 h 14445"/>
                              <a:gd name="T18" fmla="*/ 9346 w 9390"/>
                              <a:gd name="T19" fmla="*/ 12752 h 14445"/>
                              <a:gd name="T20" fmla="*/ 12 w 9390"/>
                              <a:gd name="T21" fmla="*/ 12773 h 14445"/>
                              <a:gd name="T22" fmla="*/ 2 w 9390"/>
                              <a:gd name="T23" fmla="*/ 13906 h 14445"/>
                              <a:gd name="T24" fmla="*/ 52 w 9390"/>
                              <a:gd name="T25" fmla="*/ 13950 h 14445"/>
                              <a:gd name="T26" fmla="*/ 9382 w 9390"/>
                              <a:gd name="T27" fmla="*/ 13920 h 14445"/>
                              <a:gd name="T28" fmla="*/ 9382 w 9390"/>
                              <a:gd name="T29" fmla="*/ 12120 h 14445"/>
                              <a:gd name="T30" fmla="*/ 52 w 9390"/>
                              <a:gd name="T31" fmla="*/ 12090 h 14445"/>
                              <a:gd name="T32" fmla="*/ 2 w 9390"/>
                              <a:gd name="T33" fmla="*/ 12134 h 14445"/>
                              <a:gd name="T34" fmla="*/ 12 w 9390"/>
                              <a:gd name="T35" fmla="*/ 12667 h 14445"/>
                              <a:gd name="T36" fmla="*/ 9346 w 9390"/>
                              <a:gd name="T37" fmla="*/ 12688 h 14445"/>
                              <a:gd name="T38" fmla="*/ 9390 w 9390"/>
                              <a:gd name="T39" fmla="*/ 12638 h 14445"/>
                              <a:gd name="T40" fmla="*/ 9367 w 9390"/>
                              <a:gd name="T41" fmla="*/ 10842 h 14445"/>
                              <a:gd name="T42" fmla="*/ 30 w 9390"/>
                              <a:gd name="T43" fmla="*/ 10838 h 14445"/>
                              <a:gd name="T44" fmla="*/ 0 w 9390"/>
                              <a:gd name="T45" fmla="*/ 11970 h 14445"/>
                              <a:gd name="T46" fmla="*/ 30 w 9390"/>
                              <a:gd name="T47" fmla="*/ 12022 h 14445"/>
                              <a:gd name="T48" fmla="*/ 9367 w 9390"/>
                              <a:gd name="T49" fmla="*/ 12018 h 14445"/>
                              <a:gd name="T50" fmla="*/ 9390 w 9390"/>
                              <a:gd name="T51" fmla="*/ 8422 h 14445"/>
                              <a:gd name="T52" fmla="*/ 9346 w 9390"/>
                              <a:gd name="T53" fmla="*/ 8372 h 14445"/>
                              <a:gd name="T54" fmla="*/ 12 w 9390"/>
                              <a:gd name="T55" fmla="*/ 8393 h 14445"/>
                              <a:gd name="T56" fmla="*/ 2 w 9390"/>
                              <a:gd name="T57" fmla="*/ 10726 h 14445"/>
                              <a:gd name="T58" fmla="*/ 52 w 9390"/>
                              <a:gd name="T59" fmla="*/ 10770 h 14445"/>
                              <a:gd name="T60" fmla="*/ 9382 w 9390"/>
                              <a:gd name="T61" fmla="*/ 10740 h 14445"/>
                              <a:gd name="T62" fmla="*/ 9382 w 9390"/>
                              <a:gd name="T63" fmla="*/ 7140 h 14445"/>
                              <a:gd name="T64" fmla="*/ 52 w 9390"/>
                              <a:gd name="T65" fmla="*/ 7110 h 14445"/>
                              <a:gd name="T66" fmla="*/ 2 w 9390"/>
                              <a:gd name="T67" fmla="*/ 7154 h 14445"/>
                              <a:gd name="T68" fmla="*/ 12 w 9390"/>
                              <a:gd name="T69" fmla="*/ 8287 h 14445"/>
                              <a:gd name="T70" fmla="*/ 9346 w 9390"/>
                              <a:gd name="T71" fmla="*/ 8308 h 14445"/>
                              <a:gd name="T72" fmla="*/ 9390 w 9390"/>
                              <a:gd name="T73" fmla="*/ 8258 h 14445"/>
                              <a:gd name="T74" fmla="*/ 9367 w 9390"/>
                              <a:gd name="T75" fmla="*/ 5862 h 14445"/>
                              <a:gd name="T76" fmla="*/ 30 w 9390"/>
                              <a:gd name="T77" fmla="*/ 5858 h 14445"/>
                              <a:gd name="T78" fmla="*/ 0 w 9390"/>
                              <a:gd name="T79" fmla="*/ 6990 h 14445"/>
                              <a:gd name="T80" fmla="*/ 30 w 9390"/>
                              <a:gd name="T81" fmla="*/ 7042 h 14445"/>
                              <a:gd name="T82" fmla="*/ 9367 w 9390"/>
                              <a:gd name="T83" fmla="*/ 7038 h 14445"/>
                              <a:gd name="T84" fmla="*/ 9390 w 9390"/>
                              <a:gd name="T85" fmla="*/ 3142 h 14445"/>
                              <a:gd name="T86" fmla="*/ 9346 w 9390"/>
                              <a:gd name="T87" fmla="*/ 3092 h 14445"/>
                              <a:gd name="T88" fmla="*/ 12 w 9390"/>
                              <a:gd name="T89" fmla="*/ 3113 h 14445"/>
                              <a:gd name="T90" fmla="*/ 2 w 9390"/>
                              <a:gd name="T91" fmla="*/ 5746 h 14445"/>
                              <a:gd name="T92" fmla="*/ 52 w 9390"/>
                              <a:gd name="T93" fmla="*/ 5790 h 14445"/>
                              <a:gd name="T94" fmla="*/ 9382 w 9390"/>
                              <a:gd name="T95" fmla="*/ 5760 h 14445"/>
                              <a:gd name="T96" fmla="*/ 9382 w 9390"/>
                              <a:gd name="T97" fmla="*/ 1860 h 14445"/>
                              <a:gd name="T98" fmla="*/ 52 w 9390"/>
                              <a:gd name="T99" fmla="*/ 1830 h 14445"/>
                              <a:gd name="T100" fmla="*/ 2 w 9390"/>
                              <a:gd name="T101" fmla="*/ 1874 h 14445"/>
                              <a:gd name="T102" fmla="*/ 12 w 9390"/>
                              <a:gd name="T103" fmla="*/ 3007 h 14445"/>
                              <a:gd name="T104" fmla="*/ 9346 w 9390"/>
                              <a:gd name="T105" fmla="*/ 3028 h 14445"/>
                              <a:gd name="T106" fmla="*/ 9390 w 9390"/>
                              <a:gd name="T107" fmla="*/ 2978 h 1444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9390" h="14445">
                                <a:moveTo>
                                  <a:pt x="9390" y="13192"/>
                                </a:moveTo>
                                <a:lnTo>
                                  <a:pt x="9388" y="13184"/>
                                </a:lnTo>
                                <a:lnTo>
                                  <a:pt x="9382" y="13170"/>
                                </a:lnTo>
                                <a:lnTo>
                                  <a:pt x="9378" y="13163"/>
                                </a:lnTo>
                                <a:lnTo>
                                  <a:pt x="9367" y="13152"/>
                                </a:lnTo>
                                <a:lnTo>
                                  <a:pt x="9360" y="13148"/>
                                </a:lnTo>
                                <a:lnTo>
                                  <a:pt x="9346" y="13142"/>
                                </a:lnTo>
                                <a:lnTo>
                                  <a:pt x="9338" y="13140"/>
                                </a:lnTo>
                                <a:lnTo>
                                  <a:pt x="52" y="13140"/>
                                </a:lnTo>
                                <a:lnTo>
                                  <a:pt x="44" y="13142"/>
                                </a:lnTo>
                                <a:lnTo>
                                  <a:pt x="30" y="13148"/>
                                </a:lnTo>
                                <a:lnTo>
                                  <a:pt x="23" y="13152"/>
                                </a:lnTo>
                                <a:lnTo>
                                  <a:pt x="12" y="13163"/>
                                </a:lnTo>
                                <a:lnTo>
                                  <a:pt x="8" y="13170"/>
                                </a:lnTo>
                                <a:lnTo>
                                  <a:pt x="2" y="13184"/>
                                </a:lnTo>
                                <a:lnTo>
                                  <a:pt x="0" y="13192"/>
                                </a:lnTo>
                                <a:lnTo>
                                  <a:pt x="0" y="14445"/>
                                </a:lnTo>
                                <a:lnTo>
                                  <a:pt x="9390" y="14445"/>
                                </a:lnTo>
                                <a:lnTo>
                                  <a:pt x="9390" y="13192"/>
                                </a:lnTo>
                                <a:close/>
                                <a:moveTo>
                                  <a:pt x="9390" y="12232"/>
                                </a:moveTo>
                                <a:lnTo>
                                  <a:pt x="9388" y="12224"/>
                                </a:lnTo>
                                <a:lnTo>
                                  <a:pt x="9382" y="12210"/>
                                </a:lnTo>
                                <a:lnTo>
                                  <a:pt x="9378" y="12203"/>
                                </a:lnTo>
                                <a:lnTo>
                                  <a:pt x="9367" y="12192"/>
                                </a:lnTo>
                                <a:lnTo>
                                  <a:pt x="9360" y="12188"/>
                                </a:lnTo>
                                <a:lnTo>
                                  <a:pt x="9346" y="12182"/>
                                </a:lnTo>
                                <a:lnTo>
                                  <a:pt x="9338" y="12180"/>
                                </a:lnTo>
                                <a:lnTo>
                                  <a:pt x="52" y="12180"/>
                                </a:lnTo>
                                <a:lnTo>
                                  <a:pt x="44" y="12182"/>
                                </a:lnTo>
                                <a:lnTo>
                                  <a:pt x="30" y="12188"/>
                                </a:lnTo>
                                <a:lnTo>
                                  <a:pt x="23" y="12192"/>
                                </a:lnTo>
                                <a:lnTo>
                                  <a:pt x="12" y="12203"/>
                                </a:lnTo>
                                <a:lnTo>
                                  <a:pt x="8" y="12210"/>
                                </a:lnTo>
                                <a:lnTo>
                                  <a:pt x="2" y="12224"/>
                                </a:lnTo>
                                <a:lnTo>
                                  <a:pt x="0" y="12232"/>
                                </a:lnTo>
                                <a:lnTo>
                                  <a:pt x="0" y="13020"/>
                                </a:lnTo>
                                <a:lnTo>
                                  <a:pt x="0" y="13028"/>
                                </a:lnTo>
                                <a:lnTo>
                                  <a:pt x="2" y="13036"/>
                                </a:lnTo>
                                <a:lnTo>
                                  <a:pt x="8" y="13050"/>
                                </a:lnTo>
                                <a:lnTo>
                                  <a:pt x="12" y="13057"/>
                                </a:lnTo>
                                <a:lnTo>
                                  <a:pt x="23" y="13068"/>
                                </a:lnTo>
                                <a:lnTo>
                                  <a:pt x="30" y="13072"/>
                                </a:lnTo>
                                <a:lnTo>
                                  <a:pt x="44" y="13078"/>
                                </a:lnTo>
                                <a:lnTo>
                                  <a:pt x="52" y="13080"/>
                                </a:lnTo>
                                <a:lnTo>
                                  <a:pt x="9338" y="13080"/>
                                </a:lnTo>
                                <a:lnTo>
                                  <a:pt x="9346" y="13078"/>
                                </a:lnTo>
                                <a:lnTo>
                                  <a:pt x="9360" y="13072"/>
                                </a:lnTo>
                                <a:lnTo>
                                  <a:pt x="9367" y="13068"/>
                                </a:lnTo>
                                <a:lnTo>
                                  <a:pt x="9378" y="13057"/>
                                </a:lnTo>
                                <a:lnTo>
                                  <a:pt x="9382" y="13050"/>
                                </a:lnTo>
                                <a:lnTo>
                                  <a:pt x="9388" y="13036"/>
                                </a:lnTo>
                                <a:lnTo>
                                  <a:pt x="9390" y="13028"/>
                                </a:lnTo>
                                <a:lnTo>
                                  <a:pt x="9390" y="12232"/>
                                </a:lnTo>
                                <a:close/>
                                <a:moveTo>
                                  <a:pt x="9390" y="10972"/>
                                </a:moveTo>
                                <a:lnTo>
                                  <a:pt x="9388" y="10964"/>
                                </a:lnTo>
                                <a:lnTo>
                                  <a:pt x="9382" y="10950"/>
                                </a:lnTo>
                                <a:lnTo>
                                  <a:pt x="9378" y="10943"/>
                                </a:lnTo>
                                <a:lnTo>
                                  <a:pt x="9367" y="10932"/>
                                </a:lnTo>
                                <a:lnTo>
                                  <a:pt x="9360" y="10928"/>
                                </a:lnTo>
                                <a:lnTo>
                                  <a:pt x="9346" y="10922"/>
                                </a:lnTo>
                                <a:lnTo>
                                  <a:pt x="9338" y="10920"/>
                                </a:lnTo>
                                <a:lnTo>
                                  <a:pt x="52" y="10920"/>
                                </a:lnTo>
                                <a:lnTo>
                                  <a:pt x="44" y="10922"/>
                                </a:lnTo>
                                <a:lnTo>
                                  <a:pt x="30" y="10928"/>
                                </a:lnTo>
                                <a:lnTo>
                                  <a:pt x="23" y="10932"/>
                                </a:lnTo>
                                <a:lnTo>
                                  <a:pt x="12" y="10943"/>
                                </a:lnTo>
                                <a:lnTo>
                                  <a:pt x="8" y="10950"/>
                                </a:lnTo>
                                <a:lnTo>
                                  <a:pt x="2" y="10964"/>
                                </a:lnTo>
                                <a:lnTo>
                                  <a:pt x="0" y="10972"/>
                                </a:lnTo>
                                <a:lnTo>
                                  <a:pt x="0" y="12060"/>
                                </a:lnTo>
                                <a:lnTo>
                                  <a:pt x="0" y="12068"/>
                                </a:lnTo>
                                <a:lnTo>
                                  <a:pt x="2" y="12076"/>
                                </a:lnTo>
                                <a:lnTo>
                                  <a:pt x="8" y="12090"/>
                                </a:lnTo>
                                <a:lnTo>
                                  <a:pt x="12" y="12097"/>
                                </a:lnTo>
                                <a:lnTo>
                                  <a:pt x="23" y="12108"/>
                                </a:lnTo>
                                <a:lnTo>
                                  <a:pt x="30" y="12112"/>
                                </a:lnTo>
                                <a:lnTo>
                                  <a:pt x="44" y="12118"/>
                                </a:lnTo>
                                <a:lnTo>
                                  <a:pt x="52" y="12120"/>
                                </a:lnTo>
                                <a:lnTo>
                                  <a:pt x="9338" y="12120"/>
                                </a:lnTo>
                                <a:lnTo>
                                  <a:pt x="9346" y="12118"/>
                                </a:lnTo>
                                <a:lnTo>
                                  <a:pt x="9360" y="12112"/>
                                </a:lnTo>
                                <a:lnTo>
                                  <a:pt x="9367" y="12108"/>
                                </a:lnTo>
                                <a:lnTo>
                                  <a:pt x="9378" y="12097"/>
                                </a:lnTo>
                                <a:lnTo>
                                  <a:pt x="9382" y="12090"/>
                                </a:lnTo>
                                <a:lnTo>
                                  <a:pt x="9388" y="12076"/>
                                </a:lnTo>
                                <a:lnTo>
                                  <a:pt x="9390" y="12068"/>
                                </a:lnTo>
                                <a:lnTo>
                                  <a:pt x="9390" y="10972"/>
                                </a:lnTo>
                                <a:close/>
                                <a:moveTo>
                                  <a:pt x="9390" y="10312"/>
                                </a:moveTo>
                                <a:lnTo>
                                  <a:pt x="9388" y="10304"/>
                                </a:lnTo>
                                <a:lnTo>
                                  <a:pt x="9382" y="10290"/>
                                </a:lnTo>
                                <a:lnTo>
                                  <a:pt x="9378" y="10283"/>
                                </a:lnTo>
                                <a:lnTo>
                                  <a:pt x="9367" y="10272"/>
                                </a:lnTo>
                                <a:lnTo>
                                  <a:pt x="9360" y="10268"/>
                                </a:lnTo>
                                <a:lnTo>
                                  <a:pt x="9346" y="10262"/>
                                </a:lnTo>
                                <a:lnTo>
                                  <a:pt x="9338" y="10260"/>
                                </a:lnTo>
                                <a:lnTo>
                                  <a:pt x="52" y="10260"/>
                                </a:lnTo>
                                <a:lnTo>
                                  <a:pt x="44" y="10262"/>
                                </a:lnTo>
                                <a:lnTo>
                                  <a:pt x="30" y="10268"/>
                                </a:lnTo>
                                <a:lnTo>
                                  <a:pt x="23" y="10272"/>
                                </a:lnTo>
                                <a:lnTo>
                                  <a:pt x="12" y="10283"/>
                                </a:lnTo>
                                <a:lnTo>
                                  <a:pt x="8" y="10290"/>
                                </a:lnTo>
                                <a:lnTo>
                                  <a:pt x="2" y="10304"/>
                                </a:lnTo>
                                <a:lnTo>
                                  <a:pt x="0" y="10312"/>
                                </a:lnTo>
                                <a:lnTo>
                                  <a:pt x="0" y="10800"/>
                                </a:lnTo>
                                <a:lnTo>
                                  <a:pt x="0" y="10808"/>
                                </a:lnTo>
                                <a:lnTo>
                                  <a:pt x="2" y="10816"/>
                                </a:lnTo>
                                <a:lnTo>
                                  <a:pt x="8" y="10830"/>
                                </a:lnTo>
                                <a:lnTo>
                                  <a:pt x="12" y="10837"/>
                                </a:lnTo>
                                <a:lnTo>
                                  <a:pt x="23" y="10848"/>
                                </a:lnTo>
                                <a:lnTo>
                                  <a:pt x="30" y="10852"/>
                                </a:lnTo>
                                <a:lnTo>
                                  <a:pt x="44" y="10858"/>
                                </a:lnTo>
                                <a:lnTo>
                                  <a:pt x="52" y="10860"/>
                                </a:lnTo>
                                <a:lnTo>
                                  <a:pt x="9338" y="10860"/>
                                </a:lnTo>
                                <a:lnTo>
                                  <a:pt x="9346" y="10858"/>
                                </a:lnTo>
                                <a:lnTo>
                                  <a:pt x="9360" y="10852"/>
                                </a:lnTo>
                                <a:lnTo>
                                  <a:pt x="9367" y="10848"/>
                                </a:lnTo>
                                <a:lnTo>
                                  <a:pt x="9378" y="10837"/>
                                </a:lnTo>
                                <a:lnTo>
                                  <a:pt x="9382" y="10830"/>
                                </a:lnTo>
                                <a:lnTo>
                                  <a:pt x="9388" y="10816"/>
                                </a:lnTo>
                                <a:lnTo>
                                  <a:pt x="9390" y="10808"/>
                                </a:lnTo>
                                <a:lnTo>
                                  <a:pt x="9390" y="10312"/>
                                </a:lnTo>
                                <a:close/>
                                <a:moveTo>
                                  <a:pt x="9390" y="9052"/>
                                </a:moveTo>
                                <a:lnTo>
                                  <a:pt x="9388" y="9044"/>
                                </a:lnTo>
                                <a:lnTo>
                                  <a:pt x="9382" y="9030"/>
                                </a:lnTo>
                                <a:lnTo>
                                  <a:pt x="9378" y="9023"/>
                                </a:lnTo>
                                <a:lnTo>
                                  <a:pt x="9367" y="9012"/>
                                </a:lnTo>
                                <a:lnTo>
                                  <a:pt x="9360" y="9008"/>
                                </a:lnTo>
                                <a:lnTo>
                                  <a:pt x="9346" y="9002"/>
                                </a:lnTo>
                                <a:lnTo>
                                  <a:pt x="9338" y="9000"/>
                                </a:lnTo>
                                <a:lnTo>
                                  <a:pt x="52" y="9000"/>
                                </a:lnTo>
                                <a:lnTo>
                                  <a:pt x="44" y="9002"/>
                                </a:lnTo>
                                <a:lnTo>
                                  <a:pt x="30" y="9008"/>
                                </a:lnTo>
                                <a:lnTo>
                                  <a:pt x="23" y="9012"/>
                                </a:lnTo>
                                <a:lnTo>
                                  <a:pt x="12" y="9023"/>
                                </a:lnTo>
                                <a:lnTo>
                                  <a:pt x="8" y="9030"/>
                                </a:lnTo>
                                <a:lnTo>
                                  <a:pt x="2" y="9044"/>
                                </a:lnTo>
                                <a:lnTo>
                                  <a:pt x="0" y="9052"/>
                                </a:lnTo>
                                <a:lnTo>
                                  <a:pt x="0" y="10140"/>
                                </a:lnTo>
                                <a:lnTo>
                                  <a:pt x="0" y="10148"/>
                                </a:lnTo>
                                <a:lnTo>
                                  <a:pt x="2" y="10156"/>
                                </a:lnTo>
                                <a:lnTo>
                                  <a:pt x="8" y="10170"/>
                                </a:lnTo>
                                <a:lnTo>
                                  <a:pt x="12" y="10177"/>
                                </a:lnTo>
                                <a:lnTo>
                                  <a:pt x="23" y="10188"/>
                                </a:lnTo>
                                <a:lnTo>
                                  <a:pt x="30" y="10192"/>
                                </a:lnTo>
                                <a:lnTo>
                                  <a:pt x="44" y="10198"/>
                                </a:lnTo>
                                <a:lnTo>
                                  <a:pt x="52" y="10200"/>
                                </a:lnTo>
                                <a:lnTo>
                                  <a:pt x="9338" y="10200"/>
                                </a:lnTo>
                                <a:lnTo>
                                  <a:pt x="9346" y="10198"/>
                                </a:lnTo>
                                <a:lnTo>
                                  <a:pt x="9360" y="10192"/>
                                </a:lnTo>
                                <a:lnTo>
                                  <a:pt x="9367" y="10188"/>
                                </a:lnTo>
                                <a:lnTo>
                                  <a:pt x="9378" y="10177"/>
                                </a:lnTo>
                                <a:lnTo>
                                  <a:pt x="9382" y="10170"/>
                                </a:lnTo>
                                <a:lnTo>
                                  <a:pt x="9388" y="10156"/>
                                </a:lnTo>
                                <a:lnTo>
                                  <a:pt x="9390" y="10148"/>
                                </a:lnTo>
                                <a:lnTo>
                                  <a:pt x="9390" y="9052"/>
                                </a:lnTo>
                                <a:close/>
                                <a:moveTo>
                                  <a:pt x="9390" y="6592"/>
                                </a:moveTo>
                                <a:lnTo>
                                  <a:pt x="9388" y="6584"/>
                                </a:lnTo>
                                <a:lnTo>
                                  <a:pt x="9382" y="6570"/>
                                </a:lnTo>
                                <a:lnTo>
                                  <a:pt x="9378" y="6563"/>
                                </a:lnTo>
                                <a:lnTo>
                                  <a:pt x="9367" y="6552"/>
                                </a:lnTo>
                                <a:lnTo>
                                  <a:pt x="9360" y="6548"/>
                                </a:lnTo>
                                <a:lnTo>
                                  <a:pt x="9346" y="6542"/>
                                </a:lnTo>
                                <a:lnTo>
                                  <a:pt x="9338" y="6540"/>
                                </a:lnTo>
                                <a:lnTo>
                                  <a:pt x="52" y="6540"/>
                                </a:lnTo>
                                <a:lnTo>
                                  <a:pt x="44" y="6542"/>
                                </a:lnTo>
                                <a:lnTo>
                                  <a:pt x="30" y="6548"/>
                                </a:lnTo>
                                <a:lnTo>
                                  <a:pt x="23" y="6552"/>
                                </a:lnTo>
                                <a:lnTo>
                                  <a:pt x="12" y="6563"/>
                                </a:lnTo>
                                <a:lnTo>
                                  <a:pt x="8" y="6570"/>
                                </a:lnTo>
                                <a:lnTo>
                                  <a:pt x="2" y="6584"/>
                                </a:lnTo>
                                <a:lnTo>
                                  <a:pt x="0" y="6592"/>
                                </a:lnTo>
                                <a:lnTo>
                                  <a:pt x="0" y="8880"/>
                                </a:lnTo>
                                <a:lnTo>
                                  <a:pt x="0" y="8888"/>
                                </a:lnTo>
                                <a:lnTo>
                                  <a:pt x="2" y="8896"/>
                                </a:lnTo>
                                <a:lnTo>
                                  <a:pt x="8" y="8910"/>
                                </a:lnTo>
                                <a:lnTo>
                                  <a:pt x="12" y="8917"/>
                                </a:lnTo>
                                <a:lnTo>
                                  <a:pt x="23" y="8928"/>
                                </a:lnTo>
                                <a:lnTo>
                                  <a:pt x="30" y="8932"/>
                                </a:lnTo>
                                <a:lnTo>
                                  <a:pt x="44" y="8938"/>
                                </a:lnTo>
                                <a:lnTo>
                                  <a:pt x="52" y="8940"/>
                                </a:lnTo>
                                <a:lnTo>
                                  <a:pt x="9338" y="8940"/>
                                </a:lnTo>
                                <a:lnTo>
                                  <a:pt x="9346" y="8938"/>
                                </a:lnTo>
                                <a:lnTo>
                                  <a:pt x="9360" y="8932"/>
                                </a:lnTo>
                                <a:lnTo>
                                  <a:pt x="9367" y="8928"/>
                                </a:lnTo>
                                <a:lnTo>
                                  <a:pt x="9378" y="8917"/>
                                </a:lnTo>
                                <a:lnTo>
                                  <a:pt x="9382" y="8910"/>
                                </a:lnTo>
                                <a:lnTo>
                                  <a:pt x="9388" y="8896"/>
                                </a:lnTo>
                                <a:lnTo>
                                  <a:pt x="9390" y="8888"/>
                                </a:lnTo>
                                <a:lnTo>
                                  <a:pt x="9390" y="6592"/>
                                </a:lnTo>
                                <a:close/>
                                <a:moveTo>
                                  <a:pt x="9390" y="5332"/>
                                </a:moveTo>
                                <a:lnTo>
                                  <a:pt x="9388" y="5324"/>
                                </a:lnTo>
                                <a:lnTo>
                                  <a:pt x="9382" y="5310"/>
                                </a:lnTo>
                                <a:lnTo>
                                  <a:pt x="9378" y="5303"/>
                                </a:lnTo>
                                <a:lnTo>
                                  <a:pt x="9367" y="5292"/>
                                </a:lnTo>
                                <a:lnTo>
                                  <a:pt x="9360" y="5288"/>
                                </a:lnTo>
                                <a:lnTo>
                                  <a:pt x="9346" y="5282"/>
                                </a:lnTo>
                                <a:lnTo>
                                  <a:pt x="9338" y="5280"/>
                                </a:lnTo>
                                <a:lnTo>
                                  <a:pt x="52" y="5280"/>
                                </a:lnTo>
                                <a:lnTo>
                                  <a:pt x="44" y="5282"/>
                                </a:lnTo>
                                <a:lnTo>
                                  <a:pt x="30" y="5288"/>
                                </a:lnTo>
                                <a:lnTo>
                                  <a:pt x="23" y="5292"/>
                                </a:lnTo>
                                <a:lnTo>
                                  <a:pt x="12" y="5303"/>
                                </a:lnTo>
                                <a:lnTo>
                                  <a:pt x="8" y="5310"/>
                                </a:lnTo>
                                <a:lnTo>
                                  <a:pt x="2" y="5324"/>
                                </a:lnTo>
                                <a:lnTo>
                                  <a:pt x="0" y="5332"/>
                                </a:lnTo>
                                <a:lnTo>
                                  <a:pt x="0" y="6420"/>
                                </a:lnTo>
                                <a:lnTo>
                                  <a:pt x="0" y="6428"/>
                                </a:lnTo>
                                <a:lnTo>
                                  <a:pt x="2" y="6436"/>
                                </a:lnTo>
                                <a:lnTo>
                                  <a:pt x="8" y="6450"/>
                                </a:lnTo>
                                <a:lnTo>
                                  <a:pt x="12" y="6457"/>
                                </a:lnTo>
                                <a:lnTo>
                                  <a:pt x="23" y="6468"/>
                                </a:lnTo>
                                <a:lnTo>
                                  <a:pt x="30" y="6472"/>
                                </a:lnTo>
                                <a:lnTo>
                                  <a:pt x="44" y="6478"/>
                                </a:lnTo>
                                <a:lnTo>
                                  <a:pt x="52" y="6480"/>
                                </a:lnTo>
                                <a:lnTo>
                                  <a:pt x="9338" y="6480"/>
                                </a:lnTo>
                                <a:lnTo>
                                  <a:pt x="9346" y="6478"/>
                                </a:lnTo>
                                <a:lnTo>
                                  <a:pt x="9360" y="6472"/>
                                </a:lnTo>
                                <a:lnTo>
                                  <a:pt x="9367" y="6468"/>
                                </a:lnTo>
                                <a:lnTo>
                                  <a:pt x="9378" y="6457"/>
                                </a:lnTo>
                                <a:lnTo>
                                  <a:pt x="9382" y="6450"/>
                                </a:lnTo>
                                <a:lnTo>
                                  <a:pt x="9388" y="6436"/>
                                </a:lnTo>
                                <a:lnTo>
                                  <a:pt x="9390" y="6428"/>
                                </a:lnTo>
                                <a:lnTo>
                                  <a:pt x="9390" y="5332"/>
                                </a:lnTo>
                                <a:close/>
                                <a:moveTo>
                                  <a:pt x="9390" y="4072"/>
                                </a:moveTo>
                                <a:lnTo>
                                  <a:pt x="9388" y="4064"/>
                                </a:lnTo>
                                <a:lnTo>
                                  <a:pt x="9382" y="4050"/>
                                </a:lnTo>
                                <a:lnTo>
                                  <a:pt x="9378" y="4043"/>
                                </a:lnTo>
                                <a:lnTo>
                                  <a:pt x="9367" y="4032"/>
                                </a:lnTo>
                                <a:lnTo>
                                  <a:pt x="9360" y="4028"/>
                                </a:lnTo>
                                <a:lnTo>
                                  <a:pt x="9346" y="4022"/>
                                </a:lnTo>
                                <a:lnTo>
                                  <a:pt x="9338" y="4020"/>
                                </a:lnTo>
                                <a:lnTo>
                                  <a:pt x="52" y="4020"/>
                                </a:lnTo>
                                <a:lnTo>
                                  <a:pt x="44" y="4022"/>
                                </a:lnTo>
                                <a:lnTo>
                                  <a:pt x="30" y="4028"/>
                                </a:lnTo>
                                <a:lnTo>
                                  <a:pt x="23" y="4032"/>
                                </a:lnTo>
                                <a:lnTo>
                                  <a:pt x="12" y="4043"/>
                                </a:lnTo>
                                <a:lnTo>
                                  <a:pt x="8" y="4050"/>
                                </a:lnTo>
                                <a:lnTo>
                                  <a:pt x="2" y="4064"/>
                                </a:lnTo>
                                <a:lnTo>
                                  <a:pt x="0" y="4072"/>
                                </a:lnTo>
                                <a:lnTo>
                                  <a:pt x="0" y="5160"/>
                                </a:lnTo>
                                <a:lnTo>
                                  <a:pt x="0" y="5168"/>
                                </a:lnTo>
                                <a:lnTo>
                                  <a:pt x="2" y="5176"/>
                                </a:lnTo>
                                <a:lnTo>
                                  <a:pt x="8" y="5190"/>
                                </a:lnTo>
                                <a:lnTo>
                                  <a:pt x="12" y="5197"/>
                                </a:lnTo>
                                <a:lnTo>
                                  <a:pt x="23" y="5208"/>
                                </a:lnTo>
                                <a:lnTo>
                                  <a:pt x="30" y="5212"/>
                                </a:lnTo>
                                <a:lnTo>
                                  <a:pt x="44" y="5218"/>
                                </a:lnTo>
                                <a:lnTo>
                                  <a:pt x="52" y="5220"/>
                                </a:lnTo>
                                <a:lnTo>
                                  <a:pt x="9338" y="5220"/>
                                </a:lnTo>
                                <a:lnTo>
                                  <a:pt x="9346" y="5218"/>
                                </a:lnTo>
                                <a:lnTo>
                                  <a:pt x="9360" y="5212"/>
                                </a:lnTo>
                                <a:lnTo>
                                  <a:pt x="9367" y="5208"/>
                                </a:lnTo>
                                <a:lnTo>
                                  <a:pt x="9378" y="5197"/>
                                </a:lnTo>
                                <a:lnTo>
                                  <a:pt x="9382" y="5190"/>
                                </a:lnTo>
                                <a:lnTo>
                                  <a:pt x="9388" y="5176"/>
                                </a:lnTo>
                                <a:lnTo>
                                  <a:pt x="9390" y="5168"/>
                                </a:lnTo>
                                <a:lnTo>
                                  <a:pt x="9390" y="4072"/>
                                </a:lnTo>
                                <a:close/>
                                <a:moveTo>
                                  <a:pt x="9390" y="1312"/>
                                </a:moveTo>
                                <a:lnTo>
                                  <a:pt x="9388" y="1304"/>
                                </a:lnTo>
                                <a:lnTo>
                                  <a:pt x="9382" y="1290"/>
                                </a:lnTo>
                                <a:lnTo>
                                  <a:pt x="9378" y="1283"/>
                                </a:lnTo>
                                <a:lnTo>
                                  <a:pt x="9367" y="1272"/>
                                </a:lnTo>
                                <a:lnTo>
                                  <a:pt x="9360" y="1268"/>
                                </a:lnTo>
                                <a:lnTo>
                                  <a:pt x="9346" y="1262"/>
                                </a:lnTo>
                                <a:lnTo>
                                  <a:pt x="9338" y="1260"/>
                                </a:lnTo>
                                <a:lnTo>
                                  <a:pt x="52" y="1260"/>
                                </a:lnTo>
                                <a:lnTo>
                                  <a:pt x="44" y="1262"/>
                                </a:lnTo>
                                <a:lnTo>
                                  <a:pt x="30" y="1268"/>
                                </a:lnTo>
                                <a:lnTo>
                                  <a:pt x="23" y="1272"/>
                                </a:lnTo>
                                <a:lnTo>
                                  <a:pt x="12" y="1283"/>
                                </a:lnTo>
                                <a:lnTo>
                                  <a:pt x="8" y="1290"/>
                                </a:lnTo>
                                <a:lnTo>
                                  <a:pt x="2" y="1304"/>
                                </a:lnTo>
                                <a:lnTo>
                                  <a:pt x="0" y="1312"/>
                                </a:lnTo>
                                <a:lnTo>
                                  <a:pt x="0" y="3900"/>
                                </a:lnTo>
                                <a:lnTo>
                                  <a:pt x="0" y="3908"/>
                                </a:lnTo>
                                <a:lnTo>
                                  <a:pt x="2" y="3916"/>
                                </a:lnTo>
                                <a:lnTo>
                                  <a:pt x="8" y="3930"/>
                                </a:lnTo>
                                <a:lnTo>
                                  <a:pt x="12" y="3937"/>
                                </a:lnTo>
                                <a:lnTo>
                                  <a:pt x="23" y="3948"/>
                                </a:lnTo>
                                <a:lnTo>
                                  <a:pt x="30" y="3952"/>
                                </a:lnTo>
                                <a:lnTo>
                                  <a:pt x="44" y="3958"/>
                                </a:lnTo>
                                <a:lnTo>
                                  <a:pt x="52" y="3960"/>
                                </a:lnTo>
                                <a:lnTo>
                                  <a:pt x="9338" y="3960"/>
                                </a:lnTo>
                                <a:lnTo>
                                  <a:pt x="9346" y="3958"/>
                                </a:lnTo>
                                <a:lnTo>
                                  <a:pt x="9360" y="3952"/>
                                </a:lnTo>
                                <a:lnTo>
                                  <a:pt x="9367" y="3948"/>
                                </a:lnTo>
                                <a:lnTo>
                                  <a:pt x="9378" y="3937"/>
                                </a:lnTo>
                                <a:lnTo>
                                  <a:pt x="9382" y="3930"/>
                                </a:lnTo>
                                <a:lnTo>
                                  <a:pt x="9388" y="3916"/>
                                </a:lnTo>
                                <a:lnTo>
                                  <a:pt x="9390" y="3908"/>
                                </a:lnTo>
                                <a:lnTo>
                                  <a:pt x="9390" y="1312"/>
                                </a:lnTo>
                                <a:close/>
                                <a:moveTo>
                                  <a:pt x="9390" y="52"/>
                                </a:moveTo>
                                <a:lnTo>
                                  <a:pt x="9388" y="44"/>
                                </a:lnTo>
                                <a:lnTo>
                                  <a:pt x="9382" y="30"/>
                                </a:lnTo>
                                <a:lnTo>
                                  <a:pt x="9378" y="23"/>
                                </a:lnTo>
                                <a:lnTo>
                                  <a:pt x="9367" y="12"/>
                                </a:lnTo>
                                <a:lnTo>
                                  <a:pt x="9360" y="8"/>
                                </a:lnTo>
                                <a:lnTo>
                                  <a:pt x="9346" y="2"/>
                                </a:lnTo>
                                <a:lnTo>
                                  <a:pt x="9338" y="0"/>
                                </a:lnTo>
                                <a:lnTo>
                                  <a:pt x="52" y="0"/>
                                </a:lnTo>
                                <a:lnTo>
                                  <a:pt x="44" y="2"/>
                                </a:lnTo>
                                <a:lnTo>
                                  <a:pt x="30" y="8"/>
                                </a:lnTo>
                                <a:lnTo>
                                  <a:pt x="23" y="12"/>
                                </a:lnTo>
                                <a:lnTo>
                                  <a:pt x="12" y="23"/>
                                </a:lnTo>
                                <a:lnTo>
                                  <a:pt x="8" y="30"/>
                                </a:lnTo>
                                <a:lnTo>
                                  <a:pt x="2" y="44"/>
                                </a:lnTo>
                                <a:lnTo>
                                  <a:pt x="0" y="52"/>
                                </a:lnTo>
                                <a:lnTo>
                                  <a:pt x="0" y="1140"/>
                                </a:lnTo>
                                <a:lnTo>
                                  <a:pt x="0" y="1148"/>
                                </a:lnTo>
                                <a:lnTo>
                                  <a:pt x="2" y="1156"/>
                                </a:lnTo>
                                <a:lnTo>
                                  <a:pt x="8" y="1170"/>
                                </a:lnTo>
                                <a:lnTo>
                                  <a:pt x="12" y="1177"/>
                                </a:lnTo>
                                <a:lnTo>
                                  <a:pt x="23" y="1188"/>
                                </a:lnTo>
                                <a:lnTo>
                                  <a:pt x="30" y="1192"/>
                                </a:lnTo>
                                <a:lnTo>
                                  <a:pt x="44" y="1198"/>
                                </a:lnTo>
                                <a:lnTo>
                                  <a:pt x="52" y="1200"/>
                                </a:lnTo>
                                <a:lnTo>
                                  <a:pt x="9338" y="1200"/>
                                </a:lnTo>
                                <a:lnTo>
                                  <a:pt x="9346" y="1198"/>
                                </a:lnTo>
                                <a:lnTo>
                                  <a:pt x="9360" y="1192"/>
                                </a:lnTo>
                                <a:lnTo>
                                  <a:pt x="9367" y="1188"/>
                                </a:lnTo>
                                <a:lnTo>
                                  <a:pt x="9378" y="1177"/>
                                </a:lnTo>
                                <a:lnTo>
                                  <a:pt x="9382" y="1170"/>
                                </a:lnTo>
                                <a:lnTo>
                                  <a:pt x="9388" y="1156"/>
                                </a:lnTo>
                                <a:lnTo>
                                  <a:pt x="9390" y="1148"/>
                                </a:lnTo>
                                <a:lnTo>
                                  <a:pt x="9390" y="52"/>
                                </a:lnTo>
                                <a:close/>
                              </a:path>
                            </a:pathLst>
                          </a:custGeom>
                          <a:solidFill>
                            <a:srgbClr val="FFFFFF"/>
                          </a:solidFill>
                          <a:ln>
                            <a:noFill/>
                          </a:ln>
                          <a:effectLst/>
                        </wps:spPr>
                        <wps:bodyPr rot="0" vert="horz" wrap="square" lIns="91440" tIns="45720" rIns="91440" bIns="45720" anchor="t" anchorCtr="0" upright="1">
                          <a:noAutofit/>
                        </wps:bodyPr>
                      </wps:wsp>
                      <pic:pic xmlns:pic="http://schemas.openxmlformats.org/drawingml/2006/picture">
                        <pic:nvPicPr>
                          <pic:cNvPr id="1953553659" name="Picture 3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10200" y="15148"/>
                            <a:ext cx="840" cy="845"/>
                          </a:xfrm>
                          <a:prstGeom prst="rect">
                            <a:avLst/>
                          </a:prstGeom>
                          <a:noFill/>
                          <a:ln>
                            <a:noFill/>
                          </a:ln>
                          <a:effectLst/>
                        </pic:spPr>
                      </pic:pic>
                    </wpg:wgp>
                  </a:graphicData>
                </a:graphic>
              </wp:anchor>
            </w:drawing>
          </mc:Choice>
          <mc:Fallback>
            <w:pict>
              <v:group id="Group 315" o:spid="_x0000_s1026" o:spt="203" style="position:absolute;left:0pt;margin-left:67.7pt;margin-top:-108.65pt;height:786pt;width:494.25pt;mso-position-horizontal-relative:page;mso-position-vertical-relative:margin;z-index:-251624448;mso-width-relative:page;mso-height-relative:page;" coordorigin="1155,555" coordsize="9885,15720" o:gfxdata="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">
                <o:lock v:ext="edit" aspectratio="f"/>
                <v:shape id="Freeform 318" o:spid="_x0000_s1026" o:spt="100" style="position:absolute;left:1155;top:555;height:15720;width:9600;" fillcolor="#D9DBDF" filled="t" stroked="f" coordsize="9600,15720" o:gfxdata="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Yk/fwwAAAOIAAAAPAAAAAAAAAAEAIAAAACIAAABkcnMvZG93bnJldi54bWxQSwECFAAUAAAACACH&#10;TuJAMy8FnjsAAAA5AAAAEAAAAAAAAAABACAAAAASAQAAZHJzL3NoYXBleG1sLnhtbFBLBQYAAAAA&#10;BgAGAFsBAAC8AwAAAAA=&#10;" path="m9600,120l9580,53,9564,34,9556,27,9547,20,9538,15,9537,14,9480,0,120,0,53,20,9,74,0,120,0,15720,15,15720,15,120,15,110,39,53,47,45,53,39,110,16,120,15,9480,15,9538,33,9553,45,9554,46,9583,100,9585,120,9585,15720,9600,15720,9600,120xe">
                  <v:path o:connectlocs="9600,675;9580,608;9564,589;9556,582;9547,575;9538,570;9537,569;9480,555;120,555;53,575;9,629;0,675;0,16275;15,16275;15,675;15,665;39,608;47,600;53,594;110,571;120,570;9480,570;9538,588;9553,600;9554,601;9583,655;9585,675;9585,16275;9600,16275;9600,675" o:connectangles="0,0,0,0,0,0,0,0,0,0,0,0,0,0,0,0,0,0,0,0,0,0,0,0,0,0,0,0,0,0"/>
                  <v:fill on="t" focussize="0,0"/>
                  <v:stroke on="f"/>
                  <v:imagedata o:title=""/>
                  <o:lock v:ext="edit" aspectratio="f"/>
                </v:shape>
                <v:shape id="AutoShape 317" o:spid="_x0000_s1026" o:spt="100" style="position:absolute;left:1169;top:1830;height:14445;width:9390;" fillcolor="#FFFFFF" filled="t" stroked="f" coordsize="9390,14445" o:gfxdata="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Qfn&#10;rsEAAADjAAAADwAAAAAAAAABACAAAAAiAAAAZHJzL2Rvd25yZXYueG1sUEsBAhQAFAAAAAgAh07i&#10;QDMvBZ47AAAAOQAAABAAAAAAAAAAAQAgAAAAEAEAAGRycy9zaGFwZXhtbC54bWxQSwUGAAAAAAYA&#10;BgBbAQAAugMAAAAA&#10;" path="m9390,13192l9388,13184,9382,13170,9378,13163,9367,13152,9360,13148,9346,13142,9338,13140,52,13140,44,13142,30,13148,23,13152,12,13163,8,13170,2,13184,0,13192,0,14445,9390,14445,9390,13192xm9390,12232l9388,12224,9382,12210,9378,12203,9367,12192,9360,12188,9346,12182,9338,12180,52,12180,44,12182,30,12188,23,12192,12,12203,8,12210,2,12224,0,12232,0,13020,0,13028,2,13036,8,13050,12,13057,23,13068,30,13072,44,13078,52,13080,9338,13080,9346,13078,9360,13072,9367,13068,9378,13057,9382,13050,9388,13036,9390,13028,9390,12232xm9390,10972l9388,10964,9382,10950,9378,10943,9367,10932,9360,10928,9346,10922,9338,10920,52,10920,44,10922,30,10928,23,10932,12,10943,8,10950,2,10964,0,10972,0,12060,0,12068,2,12076,8,12090,12,12097,23,12108,30,12112,44,12118,52,12120,9338,12120,9346,12118,9360,12112,9367,12108,9378,12097,9382,12090,9388,12076,9390,12068,9390,10972xm9390,10312l9388,10304,9382,10290,9378,10283,9367,10272,9360,10268,9346,10262,9338,10260,52,10260,44,10262,30,10268,23,10272,12,10283,8,10290,2,10304,0,10312,0,10800,0,10808,2,10816,8,10830,12,10837,23,10848,30,10852,44,10858,52,10860,9338,10860,9346,10858,9360,10852,9367,10848,9378,10837,9382,10830,9388,10816,9390,10808,9390,10312xm9390,9052l9388,9044,9382,9030,9378,9023,9367,9012,9360,9008,9346,9002,9338,9000,52,9000,44,9002,30,9008,23,9012,12,9023,8,9030,2,9044,0,9052,0,10140,0,10148,2,10156,8,10170,12,10177,23,10188,30,10192,44,10198,52,10200,9338,10200,9346,10198,9360,10192,9367,10188,9378,10177,9382,10170,9388,10156,9390,10148,9390,9052xm9390,6592l9388,6584,9382,6570,9378,6563,9367,6552,9360,6548,9346,6542,9338,6540,52,6540,44,6542,30,6548,23,6552,12,6563,8,6570,2,6584,0,6592,0,8880,0,8888,2,8896,8,8910,12,8917,23,8928,30,8932,44,8938,52,8940,9338,8940,9346,8938,9360,8932,9367,8928,9378,8917,9382,8910,9388,8896,9390,8888,9390,6592xm9390,5332l9388,5324,9382,5310,9378,5303,9367,5292,9360,5288,9346,5282,9338,5280,52,5280,44,5282,30,5288,23,5292,12,5303,8,5310,2,5324,0,5332,0,6420,0,6428,2,6436,8,6450,12,6457,23,6468,30,6472,44,6478,52,6480,9338,6480,9346,6478,9360,6472,9367,6468,9378,6457,9382,6450,9388,6436,9390,6428,9390,5332xm9390,4072l9388,4064,9382,4050,9378,4043,9367,4032,9360,4028,9346,4022,9338,4020,52,4020,44,4022,30,4028,23,4032,12,4043,8,4050,2,4064,0,4072,0,5160,0,5168,2,5176,8,5190,12,5197,23,5208,30,5212,44,5218,52,5220,9338,5220,9346,5218,9360,5212,9367,5208,9378,5197,9382,5190,9388,5176,9390,5168,9390,4072xm9390,1312l9388,1304,9382,1290,9378,1283,9367,1272,9360,1268,9346,1262,9338,1260,52,1260,44,1262,30,1268,23,1272,12,1283,8,1290,2,1304,0,1312,0,3900,0,3908,2,3916,8,3930,12,3937,23,3948,30,3952,44,3958,52,3960,9338,3960,9346,3958,9360,3952,9367,3948,9378,3937,9382,3930,9388,3916,9390,3908,9390,1312xm9390,52l9388,44,9382,30,9378,23,9367,12,9360,8,9346,2,9338,0,52,0,44,2,30,8,23,12,12,23,8,30,2,44,0,52,0,1140,0,1148,2,1156,8,1170,12,1177,23,1188,30,1192,44,1198,52,1200,9338,1200,9346,1198,9360,1192,9367,1188,9378,1177,9382,1170,9388,1156,9390,1148,9390,52xe">
                  <v:path o:connectlocs="9360,14978;23,14982;9390,16275;9367,14022;30,14018;0,14850;30,14902;9367,14898;9390,12802;9346,12752;12,12773;2,13906;52,13950;9382,13920;9382,12120;52,12090;2,12134;12,12667;9346,12688;9390,12638;9367,10842;30,10838;0,11970;30,12022;9367,12018;9390,8422;9346,8372;12,8393;2,10726;52,10770;9382,10740;9382,7140;52,7110;2,7154;12,8287;9346,8308;9390,8258;9367,5862;30,5858;0,6990;30,7042;9367,7038;9390,3142;9346,3092;12,3113;2,5746;52,5790;9382,5760;9382,1860;52,1830;2,1874;12,3007;9346,3028;9390,2978" o:connectangles="0,0,0,0,0,0,0,0,0,0,0,0,0,0,0,0,0,0,0,0,0,0,0,0,0,0,0,0,0,0,0,0,0,0,0,0,0,0,0,0,0,0,0,0,0,0,0,0,0,0,0,0,0,0"/>
                  <v:fill on="t" focussize="0,0"/>
                  <v:stroke on="f"/>
                  <v:imagedata o:title=""/>
                  <o:lock v:ext="edit" aspectratio="f"/>
                </v:shape>
                <v:shape id="Picture 316" o:spid="_x0000_s1026" o:spt="75" type="#_x0000_t75" style="position:absolute;left:10200;top:15148;height:845;width:840;" filled="f" o:preferrelative="t" stroked="f" coordsize="21600,21600" o:gfxdata="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OX&#10;1LzCAAAA4wAAAA8AAAAAAAAAAQAgAAAAIgAAAGRycy9kb3ducmV2LnhtbFBLAQIUABQAAAAIAIdO&#10;4kAzLwWeOwAAADkAAAAQAAAAAAAAAAEAIAAAABEBAABkcnMvc2hhcGV4bWwueG1sUEsFBgAAAAAG&#10;AAYAWwEAALsDAAAAAA==&#10;">
                  <v:fill on="f" focussize="0,0"/>
                  <v:stroke on="f"/>
                  <v:imagedata r:id="rId112" o:title=""/>
                  <o:lock v:ext="edit" aspectratio="t"/>
                </v:shape>
              </v:group>
            </w:pict>
          </mc:Fallback>
        </mc:AlternateContent>
      </w:r>
    </w:p>
    <w:p w14:paraId="74C385B8">
      <w:pPr>
        <w:widowControl w:val="0"/>
        <w:autoSpaceDE w:val="0"/>
        <w:autoSpaceDN w:val="0"/>
        <w:spacing w:before="94"/>
        <w:outlineLvl w:val="0"/>
        <w:rPr>
          <w:rFonts w:eastAsia="Roboto"/>
        </w:rPr>
      </w:pPr>
      <w:r>
        <w:rPr>
          <w:rFonts w:eastAsia="Roboto"/>
          <w:color w:val="202024"/>
        </w:rPr>
        <w:t>Please</w:t>
      </w:r>
      <w:r>
        <w:rPr>
          <w:rFonts w:eastAsia="Roboto"/>
          <w:color w:val="202024"/>
          <w:spacing w:val="11"/>
        </w:rPr>
        <w:t xml:space="preserve"> </w:t>
      </w:r>
      <w:r>
        <w:rPr>
          <w:rFonts w:eastAsia="Roboto"/>
          <w:color w:val="202024"/>
        </w:rPr>
        <w:t>add</w:t>
      </w:r>
      <w:r>
        <w:rPr>
          <w:rFonts w:eastAsia="Roboto"/>
          <w:color w:val="202024"/>
          <w:spacing w:val="12"/>
        </w:rPr>
        <w:t xml:space="preserve"> </w:t>
      </w:r>
      <w:r>
        <w:rPr>
          <w:rFonts w:eastAsia="Roboto"/>
          <w:color w:val="202024"/>
        </w:rPr>
        <w:t>any</w:t>
      </w:r>
      <w:r>
        <w:rPr>
          <w:rFonts w:eastAsia="Roboto"/>
          <w:color w:val="202024"/>
          <w:spacing w:val="12"/>
        </w:rPr>
        <w:t xml:space="preserve"> </w:t>
      </w:r>
      <w:r>
        <w:rPr>
          <w:rFonts w:eastAsia="Roboto"/>
          <w:color w:val="202024"/>
        </w:rPr>
        <w:t>other</w:t>
      </w:r>
      <w:r>
        <w:rPr>
          <w:rFonts w:eastAsia="Roboto"/>
          <w:color w:val="202024"/>
          <w:spacing w:val="11"/>
        </w:rPr>
        <w:t xml:space="preserve"> </w:t>
      </w:r>
      <w:r>
        <w:rPr>
          <w:rFonts w:eastAsia="Roboto"/>
          <w:color w:val="202024"/>
        </w:rPr>
        <w:t>comments</w:t>
      </w:r>
      <w:r>
        <w:rPr>
          <w:rFonts w:eastAsia="Roboto"/>
          <w:color w:val="202024"/>
          <w:spacing w:val="12"/>
        </w:rPr>
        <w:t xml:space="preserve"> </w:t>
      </w:r>
      <w:r>
        <w:rPr>
          <w:rFonts w:eastAsia="Roboto"/>
          <w:color w:val="202024"/>
        </w:rPr>
        <w:t>below_1:</w:t>
      </w:r>
    </w:p>
    <w:p w14:paraId="0BEDD19E">
      <w:pPr>
        <w:widowControl w:val="0"/>
        <w:autoSpaceDE w:val="0"/>
        <w:autoSpaceDN w:val="0"/>
        <w:spacing w:before="174"/>
        <w:rPr>
          <w:rFonts w:ascii="Roboto" w:hAnsi="Roboto" w:eastAsia="Roboto" w:cs="Roboto"/>
          <w:sz w:val="18"/>
          <w:szCs w:val="22"/>
        </w:rPr>
      </w:pPr>
      <w:r>
        <w:rPr>
          <w:rFonts w:ascii="Roboto" w:hAnsi="Roboto" w:eastAsia="Roboto" w:cs="Roboto"/>
          <w:color w:val="202024"/>
          <w:sz w:val="18"/>
          <w:szCs w:val="22"/>
        </w:rPr>
        <w:t>15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3D8F51EC">
      <w:pPr>
        <w:widowControl w:val="0"/>
        <w:autoSpaceDE w:val="0"/>
        <w:autoSpaceDN w:val="0"/>
        <w:rPr>
          <w:rFonts w:ascii="Roboto" w:hAnsi="Roboto" w:eastAsia="Roboto" w:cs="Roboto"/>
          <w:sz w:val="20"/>
          <w:szCs w:val="21"/>
        </w:rPr>
      </w:pPr>
    </w:p>
    <w:p w14:paraId="3E469510">
      <w:pPr>
        <w:widowControl w:val="0"/>
        <w:autoSpaceDE w:val="0"/>
        <w:autoSpaceDN w:val="0"/>
        <w:spacing w:before="8"/>
        <w:rPr>
          <w:rFonts w:ascii="Roboto" w:hAnsi="Roboto" w:eastAsia="Roboto" w:cs="Roboto"/>
          <w:sz w:val="29"/>
          <w:szCs w:val="21"/>
        </w:rPr>
      </w:pPr>
    </w:p>
    <w:p w14:paraId="34D167D8">
      <w:pPr>
        <w:widowControl w:val="0"/>
        <w:autoSpaceDE w:val="0"/>
        <w:autoSpaceDN w:val="0"/>
        <w:spacing w:line="285" w:lineRule="auto"/>
        <w:ind w:right="224"/>
        <w:jc w:val="both"/>
        <w:rPr>
          <w:rFonts w:eastAsia="Roboto"/>
        </w:rPr>
      </w:pPr>
      <w:r>
        <w:rPr>
          <w:rFonts w:eastAsia="Roboto"/>
          <w:color w:val="202024"/>
        </w:rPr>
        <w:t>The very last point is a particularly worrisome issue which often exposes tax payers to multiple</w:t>
      </w:r>
      <w:r>
        <w:rPr>
          <w:rFonts w:eastAsia="Roboto"/>
          <w:color w:val="202024"/>
          <w:spacing w:val="1"/>
        </w:rPr>
        <w:t xml:space="preserve"> </w:t>
      </w:r>
      <w:r>
        <w:rPr>
          <w:rFonts w:eastAsia="Roboto"/>
          <w:color w:val="202024"/>
        </w:rPr>
        <w:t>levels of taxation and sometimes on the same head, but disguised under various names, by the</w:t>
      </w:r>
      <w:r>
        <w:rPr>
          <w:rFonts w:eastAsia="Roboto"/>
          <w:color w:val="202024"/>
          <w:spacing w:val="1"/>
        </w:rPr>
        <w:t xml:space="preserve"> </w:t>
      </w:r>
      <w:r>
        <w:rPr>
          <w:rFonts w:eastAsia="Roboto"/>
          <w:color w:val="202024"/>
        </w:rPr>
        <w:t>different</w:t>
      </w:r>
      <w:r>
        <w:rPr>
          <w:rFonts w:eastAsia="Roboto"/>
          <w:color w:val="202024"/>
          <w:spacing w:val="5"/>
        </w:rPr>
        <w:t xml:space="preserve"> </w:t>
      </w:r>
      <w:r>
        <w:rPr>
          <w:rFonts w:eastAsia="Roboto"/>
          <w:color w:val="202024"/>
        </w:rPr>
        <w:t>levels</w:t>
      </w:r>
      <w:r>
        <w:rPr>
          <w:rFonts w:eastAsia="Roboto"/>
          <w:color w:val="202024"/>
          <w:spacing w:val="5"/>
        </w:rPr>
        <w:t xml:space="preserve"> </w:t>
      </w:r>
      <w:r>
        <w:rPr>
          <w:rFonts w:eastAsia="Roboto"/>
          <w:color w:val="202024"/>
        </w:rPr>
        <w:t>of</w:t>
      </w:r>
      <w:r>
        <w:rPr>
          <w:rFonts w:eastAsia="Roboto"/>
          <w:color w:val="202024"/>
          <w:spacing w:val="6"/>
        </w:rPr>
        <w:t xml:space="preserve"> </w:t>
      </w:r>
      <w:r>
        <w:rPr>
          <w:rFonts w:eastAsia="Roboto"/>
          <w:color w:val="202024"/>
        </w:rPr>
        <w:t>government.</w:t>
      </w:r>
    </w:p>
    <w:p w14:paraId="6089ABEC">
      <w:pPr>
        <w:widowControl w:val="0"/>
        <w:autoSpaceDE w:val="0"/>
        <w:autoSpaceDN w:val="0"/>
        <w:jc w:val="both"/>
        <w:rPr>
          <w:rFonts w:eastAsia="Roboto"/>
        </w:rPr>
      </w:pPr>
    </w:p>
    <w:p w14:paraId="1C957080">
      <w:pPr>
        <w:widowControl w:val="0"/>
        <w:autoSpaceDE w:val="0"/>
        <w:autoSpaceDN w:val="0"/>
        <w:spacing w:line="285" w:lineRule="auto"/>
        <w:ind w:right="220"/>
        <w:jc w:val="both"/>
        <w:rPr>
          <w:rFonts w:eastAsia="Roboto"/>
        </w:rPr>
      </w:pPr>
      <w:r>
        <w:rPr>
          <w:rFonts w:eastAsia="Roboto"/>
          <w:color w:val="202024"/>
        </w:rPr>
        <w:t>The</w:t>
      </w:r>
      <w:r>
        <w:rPr>
          <w:rFonts w:eastAsia="Roboto"/>
          <w:color w:val="202024"/>
          <w:spacing w:val="17"/>
        </w:rPr>
        <w:t xml:space="preserve"> </w:t>
      </w:r>
      <w:r>
        <w:rPr>
          <w:rFonts w:eastAsia="Roboto"/>
          <w:color w:val="202024"/>
        </w:rPr>
        <w:t>Petroleum</w:t>
      </w:r>
      <w:r>
        <w:rPr>
          <w:rFonts w:eastAsia="Roboto"/>
          <w:color w:val="202024"/>
          <w:spacing w:val="18"/>
        </w:rPr>
        <w:t xml:space="preserve"> </w:t>
      </w:r>
      <w:r>
        <w:rPr>
          <w:rFonts w:eastAsia="Roboto"/>
          <w:color w:val="202024"/>
        </w:rPr>
        <w:t>Industry</w:t>
      </w:r>
      <w:r>
        <w:rPr>
          <w:rFonts w:eastAsia="Roboto"/>
          <w:color w:val="202024"/>
          <w:spacing w:val="18"/>
        </w:rPr>
        <w:t xml:space="preserve"> </w:t>
      </w:r>
      <w:r>
        <w:rPr>
          <w:rFonts w:eastAsia="Roboto"/>
          <w:color w:val="202024"/>
        </w:rPr>
        <w:t>Act</w:t>
      </w:r>
      <w:r>
        <w:rPr>
          <w:rFonts w:eastAsia="Roboto"/>
          <w:color w:val="202024"/>
          <w:spacing w:val="18"/>
        </w:rPr>
        <w:t xml:space="preserve"> </w:t>
      </w:r>
      <w:r>
        <w:rPr>
          <w:rFonts w:eastAsia="Roboto"/>
          <w:color w:val="202024"/>
        </w:rPr>
        <w:t>(PIA)</w:t>
      </w:r>
      <w:r>
        <w:rPr>
          <w:rFonts w:eastAsia="Roboto"/>
          <w:color w:val="202024"/>
          <w:spacing w:val="18"/>
        </w:rPr>
        <w:t xml:space="preserve"> </w:t>
      </w:r>
      <w:r>
        <w:rPr>
          <w:rFonts w:eastAsia="Roboto"/>
          <w:color w:val="202024"/>
        </w:rPr>
        <w:t>introduced</w:t>
      </w:r>
      <w:r>
        <w:rPr>
          <w:rFonts w:eastAsia="Roboto"/>
          <w:color w:val="202024"/>
          <w:spacing w:val="18"/>
        </w:rPr>
        <w:t xml:space="preserve"> </w:t>
      </w:r>
      <w:r>
        <w:rPr>
          <w:rFonts w:eastAsia="Roboto"/>
          <w:color w:val="202024"/>
        </w:rPr>
        <w:t>significant</w:t>
      </w:r>
      <w:r>
        <w:rPr>
          <w:rFonts w:eastAsia="Roboto"/>
          <w:color w:val="202024"/>
          <w:spacing w:val="18"/>
        </w:rPr>
        <w:t xml:space="preserve"> </w:t>
      </w:r>
      <w:r>
        <w:rPr>
          <w:rFonts w:eastAsia="Roboto"/>
          <w:color w:val="202024"/>
        </w:rPr>
        <w:t>changes</w:t>
      </w:r>
      <w:r>
        <w:rPr>
          <w:rFonts w:eastAsia="Roboto"/>
          <w:color w:val="202024"/>
          <w:spacing w:val="17"/>
        </w:rPr>
        <w:t xml:space="preserve"> </w:t>
      </w:r>
      <w:r>
        <w:rPr>
          <w:rFonts w:eastAsia="Roboto"/>
          <w:color w:val="202024"/>
        </w:rPr>
        <w:t>in</w:t>
      </w:r>
      <w:r>
        <w:rPr>
          <w:rFonts w:eastAsia="Roboto"/>
          <w:color w:val="202024"/>
          <w:spacing w:val="18"/>
        </w:rPr>
        <w:t xml:space="preserve"> </w:t>
      </w:r>
      <w:r>
        <w:rPr>
          <w:rFonts w:eastAsia="Roboto"/>
          <w:color w:val="202024"/>
        </w:rPr>
        <w:t>the</w:t>
      </w:r>
      <w:r>
        <w:rPr>
          <w:rFonts w:eastAsia="Roboto"/>
          <w:color w:val="202024"/>
          <w:spacing w:val="18"/>
        </w:rPr>
        <w:t xml:space="preserve"> </w:t>
      </w:r>
      <w:r>
        <w:rPr>
          <w:rFonts w:eastAsia="Roboto"/>
          <w:color w:val="202024"/>
        </w:rPr>
        <w:t>upstream</w:t>
      </w:r>
      <w:r>
        <w:rPr>
          <w:rFonts w:eastAsia="Roboto"/>
          <w:color w:val="202024"/>
          <w:spacing w:val="18"/>
        </w:rPr>
        <w:t xml:space="preserve"> </w:t>
      </w:r>
      <w:r>
        <w:rPr>
          <w:rFonts w:eastAsia="Roboto"/>
          <w:color w:val="202024"/>
        </w:rPr>
        <w:t>petroleum</w:t>
      </w:r>
      <w:r>
        <w:rPr>
          <w:rFonts w:eastAsia="Roboto"/>
          <w:color w:val="202024"/>
          <w:spacing w:val="1"/>
        </w:rPr>
        <w:t xml:space="preserve"> </w:t>
      </w:r>
      <w:r>
        <w:rPr>
          <w:rFonts w:eastAsia="Roboto"/>
          <w:color w:val="202024"/>
        </w:rPr>
        <w:t>tax</w:t>
      </w:r>
      <w:r>
        <w:rPr>
          <w:rFonts w:eastAsia="Roboto"/>
          <w:color w:val="202024"/>
          <w:spacing w:val="8"/>
        </w:rPr>
        <w:t xml:space="preserve"> </w:t>
      </w:r>
      <w:r>
        <w:rPr>
          <w:rFonts w:eastAsia="Roboto"/>
          <w:color w:val="202024"/>
        </w:rPr>
        <w:t>regime</w:t>
      </w:r>
      <w:r>
        <w:rPr>
          <w:rFonts w:eastAsia="Roboto"/>
          <w:color w:val="202024"/>
          <w:spacing w:val="9"/>
        </w:rPr>
        <w:t xml:space="preserve"> </w:t>
      </w:r>
      <w:r>
        <w:rPr>
          <w:rFonts w:eastAsia="Roboto"/>
          <w:color w:val="202024"/>
        </w:rPr>
        <w:t>in</w:t>
      </w:r>
      <w:r>
        <w:rPr>
          <w:rFonts w:eastAsia="Roboto"/>
          <w:color w:val="202024"/>
          <w:spacing w:val="9"/>
        </w:rPr>
        <w:t xml:space="preserve"> </w:t>
      </w:r>
      <w:r>
        <w:rPr>
          <w:rFonts w:eastAsia="Roboto"/>
          <w:color w:val="202024"/>
        </w:rPr>
        <w:t>Nigeria</w:t>
      </w:r>
      <w:r>
        <w:rPr>
          <w:rFonts w:eastAsia="Roboto"/>
          <w:color w:val="202024"/>
          <w:spacing w:val="9"/>
        </w:rPr>
        <w:t xml:space="preserve"> </w:t>
      </w:r>
      <w:r>
        <w:rPr>
          <w:rFonts w:eastAsia="Roboto"/>
          <w:color w:val="202024"/>
        </w:rPr>
        <w:t>.</w:t>
      </w:r>
      <w:r>
        <w:rPr>
          <w:rFonts w:eastAsia="Roboto"/>
          <w:color w:val="202024"/>
          <w:spacing w:val="9"/>
        </w:rPr>
        <w:t xml:space="preserve"> </w:t>
      </w:r>
      <w:r>
        <w:rPr>
          <w:rFonts w:eastAsia="Roboto"/>
          <w:color w:val="202024"/>
        </w:rPr>
        <w:t>Whilst</w:t>
      </w:r>
      <w:r>
        <w:rPr>
          <w:rFonts w:eastAsia="Roboto"/>
          <w:color w:val="202024"/>
          <w:spacing w:val="9"/>
        </w:rPr>
        <w:t xml:space="preserve"> </w:t>
      </w:r>
      <w:r>
        <w:rPr>
          <w:rFonts w:eastAsia="Roboto"/>
          <w:color w:val="202024"/>
        </w:rPr>
        <w:t>the</w:t>
      </w:r>
      <w:r>
        <w:rPr>
          <w:rFonts w:eastAsia="Roboto"/>
          <w:color w:val="202024"/>
          <w:spacing w:val="8"/>
        </w:rPr>
        <w:t xml:space="preserve"> </w:t>
      </w:r>
      <w:r>
        <w:rPr>
          <w:rFonts w:eastAsia="Roboto"/>
          <w:color w:val="202024"/>
        </w:rPr>
        <w:t>adequacy</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clarity,</w:t>
      </w:r>
      <w:r>
        <w:rPr>
          <w:rFonts w:eastAsia="Roboto"/>
          <w:color w:val="202024"/>
          <w:spacing w:val="9"/>
        </w:rPr>
        <w:t xml:space="preserve"> </w:t>
      </w:r>
      <w:r>
        <w:rPr>
          <w:rFonts w:eastAsia="Roboto"/>
          <w:color w:val="202024"/>
        </w:rPr>
        <w:t>certainty</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consistency</w:t>
      </w:r>
      <w:r>
        <w:rPr>
          <w:rFonts w:eastAsia="Roboto"/>
          <w:color w:val="202024"/>
          <w:spacing w:val="8"/>
        </w:rPr>
        <w:t xml:space="preserve"> </w:t>
      </w:r>
      <w:r>
        <w:rPr>
          <w:rFonts w:eastAsia="Roboto"/>
          <w:color w:val="202024"/>
        </w:rPr>
        <w:t>introduced</w:t>
      </w:r>
      <w:r>
        <w:rPr>
          <w:rFonts w:eastAsia="Roboto"/>
          <w:color w:val="202024"/>
          <w:spacing w:val="9"/>
        </w:rPr>
        <w:t xml:space="preserve"> </w:t>
      </w:r>
      <w:r>
        <w:rPr>
          <w:rFonts w:eastAsia="Roboto"/>
          <w:color w:val="202024"/>
        </w:rPr>
        <w:t>in</w:t>
      </w:r>
      <w:r>
        <w:rPr>
          <w:rFonts w:eastAsia="Roboto"/>
          <w:color w:val="202024"/>
          <w:spacing w:val="1"/>
        </w:rPr>
        <w:t xml:space="preserve"> </w:t>
      </w:r>
      <w:r>
        <w:rPr>
          <w:rFonts w:eastAsia="Roboto"/>
          <w:color w:val="202024"/>
        </w:rPr>
        <w:t>the</w:t>
      </w:r>
      <w:r>
        <w:rPr>
          <w:rFonts w:eastAsia="Roboto"/>
          <w:color w:val="202024"/>
          <w:spacing w:val="9"/>
        </w:rPr>
        <w:t xml:space="preserve"> </w:t>
      </w:r>
      <w:r>
        <w:rPr>
          <w:rFonts w:eastAsia="Roboto"/>
          <w:color w:val="202024"/>
        </w:rPr>
        <w:t>PIA</w:t>
      </w:r>
      <w:r>
        <w:rPr>
          <w:rFonts w:eastAsia="Roboto"/>
          <w:color w:val="202024"/>
          <w:spacing w:val="9"/>
        </w:rPr>
        <w:t xml:space="preserve"> </w:t>
      </w:r>
      <w:r>
        <w:rPr>
          <w:rFonts w:eastAsia="Roboto"/>
          <w:color w:val="202024"/>
        </w:rPr>
        <w:t>will</w:t>
      </w:r>
      <w:r>
        <w:rPr>
          <w:rFonts w:eastAsia="Roboto"/>
          <w:color w:val="202024"/>
          <w:spacing w:val="9"/>
        </w:rPr>
        <w:t xml:space="preserve"> </w:t>
      </w:r>
      <w:r>
        <w:rPr>
          <w:rFonts w:eastAsia="Roboto"/>
          <w:color w:val="202024"/>
        </w:rPr>
        <w:t>be</w:t>
      </w:r>
      <w:r>
        <w:rPr>
          <w:rFonts w:eastAsia="Roboto"/>
          <w:color w:val="202024"/>
          <w:spacing w:val="9"/>
        </w:rPr>
        <w:t xml:space="preserve"> </w:t>
      </w:r>
      <w:r>
        <w:rPr>
          <w:rFonts w:eastAsia="Roboto"/>
          <w:color w:val="202024"/>
        </w:rPr>
        <w:t>determined</w:t>
      </w:r>
      <w:r>
        <w:rPr>
          <w:rFonts w:eastAsia="Roboto"/>
          <w:color w:val="202024"/>
          <w:spacing w:val="10"/>
        </w:rPr>
        <w:t xml:space="preserve"> </w:t>
      </w:r>
      <w:r>
        <w:rPr>
          <w:rFonts w:eastAsia="Roboto"/>
          <w:color w:val="202024"/>
        </w:rPr>
        <w:t>with</w:t>
      </w:r>
      <w:r>
        <w:rPr>
          <w:rFonts w:eastAsia="Roboto"/>
          <w:color w:val="202024"/>
          <w:spacing w:val="9"/>
        </w:rPr>
        <w:t xml:space="preserve"> </w:t>
      </w:r>
      <w:r>
        <w:rPr>
          <w:rFonts w:eastAsia="Roboto"/>
          <w:color w:val="202024"/>
        </w:rPr>
        <w:t>time,</w:t>
      </w:r>
      <w:r>
        <w:rPr>
          <w:rFonts w:eastAsia="Roboto"/>
          <w:color w:val="202024"/>
          <w:spacing w:val="9"/>
        </w:rPr>
        <w:t xml:space="preserve"> </w:t>
      </w:r>
      <w:r>
        <w:rPr>
          <w:rFonts w:eastAsia="Roboto"/>
          <w:color w:val="202024"/>
        </w:rPr>
        <w:t>what</w:t>
      </w:r>
      <w:r>
        <w:rPr>
          <w:rFonts w:eastAsia="Roboto"/>
          <w:color w:val="202024"/>
          <w:spacing w:val="9"/>
        </w:rPr>
        <w:t xml:space="preserve"> </w:t>
      </w:r>
      <w:r>
        <w:rPr>
          <w:rFonts w:eastAsia="Roboto"/>
          <w:color w:val="202024"/>
        </w:rPr>
        <w:t>is</w:t>
      </w:r>
      <w:r>
        <w:rPr>
          <w:rFonts w:eastAsia="Roboto"/>
          <w:color w:val="202024"/>
          <w:spacing w:val="10"/>
        </w:rPr>
        <w:t xml:space="preserve"> </w:t>
      </w:r>
      <w:r>
        <w:rPr>
          <w:rFonts w:eastAsia="Roboto"/>
          <w:color w:val="202024"/>
        </w:rPr>
        <w:t>worth</w:t>
      </w:r>
      <w:r>
        <w:rPr>
          <w:rFonts w:eastAsia="Roboto"/>
          <w:color w:val="202024"/>
          <w:spacing w:val="9"/>
        </w:rPr>
        <w:t xml:space="preserve"> </w:t>
      </w:r>
      <w:r>
        <w:rPr>
          <w:rFonts w:eastAsia="Roboto"/>
          <w:color w:val="202024"/>
        </w:rPr>
        <w:t>noting</w:t>
      </w:r>
      <w:r>
        <w:rPr>
          <w:rFonts w:eastAsia="Roboto"/>
          <w:color w:val="202024"/>
          <w:spacing w:val="9"/>
        </w:rPr>
        <w:t xml:space="preserve"> </w:t>
      </w:r>
      <w:r>
        <w:rPr>
          <w:rFonts w:eastAsia="Roboto"/>
          <w:color w:val="202024"/>
        </w:rPr>
        <w:t>is</w:t>
      </w:r>
      <w:r>
        <w:rPr>
          <w:rFonts w:eastAsia="Roboto"/>
          <w:color w:val="202024"/>
          <w:spacing w:val="9"/>
        </w:rPr>
        <w:t xml:space="preserve"> </w:t>
      </w:r>
      <w:r>
        <w:rPr>
          <w:rFonts w:eastAsia="Roboto"/>
          <w:color w:val="202024"/>
        </w:rPr>
        <w:t>that</w:t>
      </w:r>
      <w:r>
        <w:rPr>
          <w:rFonts w:eastAsia="Roboto"/>
          <w:color w:val="202024"/>
          <w:spacing w:val="9"/>
        </w:rPr>
        <w:t xml:space="preserve"> </w:t>
      </w:r>
      <w:r>
        <w:rPr>
          <w:rFonts w:eastAsia="Roboto"/>
          <w:color w:val="202024"/>
        </w:rPr>
        <w:t>stakeholders</w:t>
      </w:r>
      <w:r>
        <w:rPr>
          <w:rFonts w:eastAsia="Roboto"/>
          <w:color w:val="202024"/>
          <w:spacing w:val="10"/>
        </w:rPr>
        <w:t xml:space="preserve"> </w:t>
      </w:r>
      <w:r>
        <w:rPr>
          <w:rFonts w:eastAsia="Roboto"/>
          <w:color w:val="202024"/>
        </w:rPr>
        <w:t>engagement</w:t>
      </w:r>
      <w:r>
        <w:rPr>
          <w:rFonts w:eastAsia="Roboto"/>
          <w:color w:val="202024"/>
          <w:spacing w:val="1"/>
        </w:rPr>
        <w:t xml:space="preserve"> </w:t>
      </w:r>
      <w:r>
        <w:rPr>
          <w:rFonts w:eastAsia="Roboto"/>
          <w:color w:val="202024"/>
        </w:rPr>
        <w:t>played</w:t>
      </w:r>
      <w:r>
        <w:rPr>
          <w:rFonts w:eastAsia="Roboto"/>
          <w:color w:val="202024"/>
          <w:spacing w:val="9"/>
        </w:rPr>
        <w:t xml:space="preserve"> </w:t>
      </w:r>
      <w:r>
        <w:rPr>
          <w:rFonts w:eastAsia="Roboto"/>
          <w:color w:val="202024"/>
        </w:rPr>
        <w:t>a</w:t>
      </w:r>
      <w:r>
        <w:rPr>
          <w:rFonts w:eastAsia="Roboto"/>
          <w:color w:val="202024"/>
          <w:spacing w:val="10"/>
        </w:rPr>
        <w:t xml:space="preserve"> </w:t>
      </w:r>
      <w:r>
        <w:rPr>
          <w:rFonts w:eastAsia="Roboto"/>
          <w:color w:val="202024"/>
        </w:rPr>
        <w:t>significant</w:t>
      </w:r>
      <w:r>
        <w:rPr>
          <w:rFonts w:eastAsia="Roboto"/>
          <w:color w:val="202024"/>
          <w:spacing w:val="9"/>
        </w:rPr>
        <w:t xml:space="preserve"> </w:t>
      </w:r>
      <w:r>
        <w:rPr>
          <w:rFonts w:eastAsia="Roboto"/>
          <w:color w:val="202024"/>
        </w:rPr>
        <w:t>role</w:t>
      </w:r>
      <w:r>
        <w:rPr>
          <w:rFonts w:eastAsia="Roboto"/>
          <w:color w:val="202024"/>
          <w:spacing w:val="10"/>
        </w:rPr>
        <w:t xml:space="preserve"> </w:t>
      </w:r>
      <w:r>
        <w:rPr>
          <w:rFonts w:eastAsia="Roboto"/>
          <w:color w:val="202024"/>
        </w:rPr>
        <w:t>in</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passage</w:t>
      </w:r>
      <w:r>
        <w:rPr>
          <w:rFonts w:eastAsia="Roboto"/>
          <w:color w:val="202024"/>
          <w:spacing w:val="10"/>
        </w:rPr>
        <w:t xml:space="preserve"> </w:t>
      </w:r>
      <w:r>
        <w:rPr>
          <w:rFonts w:eastAsia="Roboto"/>
          <w:color w:val="202024"/>
        </w:rPr>
        <w:t>of</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PIA.</w:t>
      </w:r>
      <w:r>
        <w:rPr>
          <w:rFonts w:eastAsia="Roboto"/>
          <w:color w:val="202024"/>
          <w:spacing w:val="10"/>
        </w:rPr>
        <w:t xml:space="preserve"> </w:t>
      </w:r>
      <w:r>
        <w:rPr>
          <w:rFonts w:eastAsia="Roboto"/>
          <w:color w:val="202024"/>
        </w:rPr>
        <w:t>However,</w:t>
      </w:r>
      <w:r>
        <w:rPr>
          <w:rFonts w:eastAsia="Roboto"/>
          <w:color w:val="202024"/>
          <w:spacing w:val="9"/>
        </w:rPr>
        <w:t xml:space="preserve"> </w:t>
      </w:r>
      <w:r>
        <w:rPr>
          <w:rFonts w:eastAsia="Roboto"/>
          <w:color w:val="202024"/>
        </w:rPr>
        <w:t>to</w:t>
      </w:r>
      <w:r>
        <w:rPr>
          <w:rFonts w:eastAsia="Roboto"/>
          <w:color w:val="202024"/>
          <w:spacing w:val="10"/>
        </w:rPr>
        <w:t xml:space="preserve"> </w:t>
      </w:r>
      <w:r>
        <w:rPr>
          <w:rFonts w:eastAsia="Roboto"/>
          <w:color w:val="202024"/>
        </w:rPr>
        <w:t>ensure</w:t>
      </w:r>
      <w:r>
        <w:rPr>
          <w:rFonts w:eastAsia="Roboto"/>
          <w:color w:val="202024"/>
          <w:spacing w:val="10"/>
        </w:rPr>
        <w:t xml:space="preserve"> </w:t>
      </w:r>
      <w:r>
        <w:rPr>
          <w:rFonts w:eastAsia="Roboto"/>
          <w:color w:val="202024"/>
        </w:rPr>
        <w:t>that</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fiscal</w:t>
      </w:r>
      <w:r>
        <w:rPr>
          <w:rFonts w:eastAsia="Roboto"/>
          <w:color w:val="202024"/>
          <w:spacing w:val="10"/>
        </w:rPr>
        <w:t xml:space="preserve"> </w:t>
      </w:r>
      <w:r>
        <w:rPr>
          <w:rFonts w:eastAsia="Roboto"/>
          <w:color w:val="202024"/>
        </w:rPr>
        <w:t>objectives</w:t>
      </w:r>
      <w:r>
        <w:rPr>
          <w:rFonts w:eastAsia="Roboto"/>
          <w:color w:val="202024"/>
          <w:spacing w:val="-50"/>
        </w:rPr>
        <w:t xml:space="preserve"> </w:t>
      </w:r>
      <w:r>
        <w:rPr>
          <w:rFonts w:eastAsia="Roboto"/>
          <w:color w:val="202024"/>
        </w:rPr>
        <w:t>of</w:t>
      </w:r>
      <w:r>
        <w:rPr>
          <w:rFonts w:eastAsia="Roboto"/>
          <w:color w:val="202024"/>
          <w:spacing w:val="14"/>
        </w:rPr>
        <w:t xml:space="preserve"> </w:t>
      </w:r>
      <w:r>
        <w:rPr>
          <w:rFonts w:eastAsia="Roboto"/>
          <w:color w:val="202024"/>
        </w:rPr>
        <w:t>clarity,</w:t>
      </w:r>
      <w:r>
        <w:rPr>
          <w:rFonts w:eastAsia="Roboto"/>
          <w:color w:val="202024"/>
          <w:spacing w:val="15"/>
        </w:rPr>
        <w:t xml:space="preserve"> </w:t>
      </w:r>
      <w:r>
        <w:rPr>
          <w:rFonts w:eastAsia="Roboto"/>
          <w:color w:val="202024"/>
        </w:rPr>
        <w:t>certainty</w:t>
      </w:r>
      <w:r>
        <w:rPr>
          <w:rFonts w:eastAsia="Roboto"/>
          <w:color w:val="202024"/>
          <w:spacing w:val="14"/>
        </w:rPr>
        <w:t xml:space="preserve"> </w:t>
      </w:r>
      <w:r>
        <w:rPr>
          <w:rFonts w:eastAsia="Roboto"/>
          <w:color w:val="202024"/>
        </w:rPr>
        <w:t>and</w:t>
      </w:r>
      <w:r>
        <w:rPr>
          <w:rFonts w:eastAsia="Roboto"/>
          <w:color w:val="202024"/>
          <w:spacing w:val="15"/>
        </w:rPr>
        <w:t xml:space="preserve"> </w:t>
      </w:r>
      <w:r>
        <w:rPr>
          <w:rFonts w:eastAsia="Roboto"/>
          <w:color w:val="202024"/>
        </w:rPr>
        <w:t>consistency</w:t>
      </w:r>
      <w:r>
        <w:rPr>
          <w:rFonts w:eastAsia="Roboto"/>
          <w:color w:val="202024"/>
          <w:spacing w:val="14"/>
        </w:rPr>
        <w:t xml:space="preserve"> </w:t>
      </w:r>
      <w:r>
        <w:rPr>
          <w:rFonts w:eastAsia="Roboto"/>
          <w:color w:val="202024"/>
        </w:rPr>
        <w:t>are</w:t>
      </w:r>
      <w:r>
        <w:rPr>
          <w:rFonts w:eastAsia="Roboto"/>
          <w:color w:val="202024"/>
          <w:spacing w:val="15"/>
        </w:rPr>
        <w:t xml:space="preserve"> </w:t>
      </w:r>
      <w:r>
        <w:rPr>
          <w:rFonts w:eastAsia="Roboto"/>
          <w:color w:val="202024"/>
        </w:rPr>
        <w:t>achieved,</w:t>
      </w:r>
      <w:r>
        <w:rPr>
          <w:rFonts w:eastAsia="Roboto"/>
          <w:color w:val="202024"/>
          <w:spacing w:val="14"/>
        </w:rPr>
        <w:t xml:space="preserve"> </w:t>
      </w:r>
      <w:r>
        <w:rPr>
          <w:rFonts w:eastAsia="Roboto"/>
          <w:color w:val="202024"/>
        </w:rPr>
        <w:t>there</w:t>
      </w:r>
      <w:r>
        <w:rPr>
          <w:rFonts w:eastAsia="Roboto"/>
          <w:color w:val="202024"/>
          <w:spacing w:val="15"/>
        </w:rPr>
        <w:t xml:space="preserve"> </w:t>
      </w:r>
      <w:r>
        <w:rPr>
          <w:rFonts w:eastAsia="Roboto"/>
          <w:color w:val="202024"/>
        </w:rPr>
        <w:t>is</w:t>
      </w:r>
      <w:r>
        <w:rPr>
          <w:rFonts w:eastAsia="Roboto"/>
          <w:color w:val="202024"/>
          <w:spacing w:val="14"/>
        </w:rPr>
        <w:t xml:space="preserve"> </w:t>
      </w:r>
      <w:r>
        <w:rPr>
          <w:rFonts w:eastAsia="Roboto"/>
          <w:color w:val="202024"/>
        </w:rPr>
        <w:t>a</w:t>
      </w:r>
      <w:r>
        <w:rPr>
          <w:rFonts w:eastAsia="Roboto"/>
          <w:color w:val="202024"/>
          <w:spacing w:val="15"/>
        </w:rPr>
        <w:t xml:space="preserve"> </w:t>
      </w:r>
      <w:r>
        <w:rPr>
          <w:rFonts w:eastAsia="Roboto"/>
          <w:color w:val="202024"/>
        </w:rPr>
        <w:t>need</w:t>
      </w:r>
      <w:r>
        <w:rPr>
          <w:rFonts w:eastAsia="Roboto"/>
          <w:color w:val="202024"/>
          <w:spacing w:val="14"/>
        </w:rPr>
        <w:t xml:space="preserve"> </w:t>
      </w:r>
      <w:r>
        <w:rPr>
          <w:rFonts w:eastAsia="Roboto"/>
          <w:color w:val="202024"/>
        </w:rPr>
        <w:t>for</w:t>
      </w:r>
      <w:r>
        <w:rPr>
          <w:rFonts w:eastAsia="Roboto"/>
          <w:color w:val="202024"/>
          <w:spacing w:val="15"/>
        </w:rPr>
        <w:t xml:space="preserve"> </w:t>
      </w:r>
      <w:r>
        <w:rPr>
          <w:rFonts w:eastAsia="Roboto"/>
          <w:color w:val="202024"/>
        </w:rPr>
        <w:t>the</w:t>
      </w:r>
      <w:r>
        <w:rPr>
          <w:rFonts w:eastAsia="Roboto"/>
          <w:color w:val="202024"/>
          <w:spacing w:val="15"/>
        </w:rPr>
        <w:t xml:space="preserve"> </w:t>
      </w:r>
      <w:r>
        <w:rPr>
          <w:rFonts w:eastAsia="Roboto"/>
          <w:color w:val="202024"/>
        </w:rPr>
        <w:t>fiscal</w:t>
      </w:r>
      <w:r>
        <w:rPr>
          <w:rFonts w:eastAsia="Roboto"/>
          <w:color w:val="202024"/>
          <w:spacing w:val="14"/>
        </w:rPr>
        <w:t xml:space="preserve"> </w:t>
      </w:r>
      <w:r>
        <w:rPr>
          <w:rFonts w:eastAsia="Roboto"/>
          <w:color w:val="202024"/>
        </w:rPr>
        <w:t>authorities,</w:t>
      </w:r>
      <w:r>
        <w:rPr>
          <w:rFonts w:eastAsia="Roboto"/>
          <w:color w:val="202024"/>
          <w:spacing w:val="1"/>
        </w:rPr>
        <w:t xml:space="preserve"> </w:t>
      </w:r>
      <w:r>
        <w:rPr>
          <w:rFonts w:eastAsia="Roboto"/>
          <w:color w:val="202024"/>
        </w:rPr>
        <w:t>other</w:t>
      </w:r>
      <w:r>
        <w:rPr>
          <w:rFonts w:eastAsia="Roboto"/>
          <w:color w:val="202024"/>
          <w:spacing w:val="8"/>
        </w:rPr>
        <w:t xml:space="preserve"> </w:t>
      </w:r>
      <w:r>
        <w:rPr>
          <w:rFonts w:eastAsia="Roboto"/>
          <w:color w:val="202024"/>
        </w:rPr>
        <w:t>governmental</w:t>
      </w:r>
      <w:r>
        <w:rPr>
          <w:rFonts w:eastAsia="Roboto"/>
          <w:color w:val="202024"/>
          <w:spacing w:val="9"/>
        </w:rPr>
        <w:t xml:space="preserve"> </w:t>
      </w:r>
      <w:r>
        <w:rPr>
          <w:rFonts w:eastAsia="Roboto"/>
          <w:color w:val="202024"/>
        </w:rPr>
        <w:t>agencies</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taxpayers</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constantly</w:t>
      </w:r>
      <w:r>
        <w:rPr>
          <w:rFonts w:eastAsia="Roboto"/>
          <w:color w:val="202024"/>
          <w:spacing w:val="9"/>
        </w:rPr>
        <w:t xml:space="preserve"> </w:t>
      </w:r>
      <w:r>
        <w:rPr>
          <w:rFonts w:eastAsia="Roboto"/>
          <w:color w:val="202024"/>
        </w:rPr>
        <w:t>engage</w:t>
      </w:r>
      <w:r>
        <w:rPr>
          <w:rFonts w:eastAsia="Roboto"/>
          <w:color w:val="202024"/>
          <w:spacing w:val="9"/>
        </w:rPr>
        <w:t xml:space="preserve"> </w:t>
      </w:r>
      <w:r>
        <w:rPr>
          <w:rFonts w:eastAsia="Roboto"/>
          <w:color w:val="202024"/>
        </w:rPr>
        <w:t>with</w:t>
      </w:r>
      <w:r>
        <w:rPr>
          <w:rFonts w:eastAsia="Roboto"/>
          <w:color w:val="202024"/>
          <w:spacing w:val="9"/>
        </w:rPr>
        <w:t xml:space="preserve"> </w:t>
      </w:r>
      <w:r>
        <w:rPr>
          <w:rFonts w:eastAsia="Roboto"/>
          <w:color w:val="202024"/>
        </w:rPr>
        <w:t>a</w:t>
      </w:r>
      <w:r>
        <w:rPr>
          <w:rFonts w:eastAsia="Roboto"/>
          <w:color w:val="202024"/>
          <w:spacing w:val="9"/>
        </w:rPr>
        <w:t xml:space="preserve"> </w:t>
      </w:r>
      <w:r>
        <w:rPr>
          <w:rFonts w:eastAsia="Roboto"/>
          <w:color w:val="202024"/>
        </w:rPr>
        <w:t>view</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reshaping</w:t>
      </w:r>
      <w:r>
        <w:rPr>
          <w:rFonts w:eastAsia="Roboto"/>
          <w:color w:val="202024"/>
          <w:spacing w:val="9"/>
        </w:rPr>
        <w:t xml:space="preserve"> </w:t>
      </w:r>
      <w:r>
        <w:rPr>
          <w:rFonts w:eastAsia="Roboto"/>
          <w:color w:val="202024"/>
        </w:rPr>
        <w:t>and</w:t>
      </w:r>
      <w:r>
        <w:rPr>
          <w:rFonts w:eastAsia="Roboto"/>
          <w:color w:val="202024"/>
          <w:spacing w:val="1"/>
        </w:rPr>
        <w:t xml:space="preserve"> </w:t>
      </w:r>
      <w:r>
        <w:rPr>
          <w:rFonts w:eastAsia="Roboto"/>
          <w:color w:val="202024"/>
        </w:rPr>
        <w:t>revising</w:t>
      </w:r>
      <w:r>
        <w:rPr>
          <w:rFonts w:eastAsia="Roboto"/>
          <w:color w:val="202024"/>
          <w:spacing w:val="6"/>
        </w:rPr>
        <w:t xml:space="preserve"> </w:t>
      </w:r>
      <w:r>
        <w:rPr>
          <w:rFonts w:eastAsia="Roboto"/>
          <w:color w:val="202024"/>
        </w:rPr>
        <w:t>any</w:t>
      </w:r>
      <w:r>
        <w:rPr>
          <w:rFonts w:eastAsia="Roboto"/>
          <w:color w:val="202024"/>
          <w:spacing w:val="7"/>
        </w:rPr>
        <w:t xml:space="preserve"> </w:t>
      </w:r>
      <w:r>
        <w:rPr>
          <w:rFonts w:eastAsia="Roboto"/>
          <w:color w:val="202024"/>
        </w:rPr>
        <w:t>grey</w:t>
      </w:r>
      <w:r>
        <w:rPr>
          <w:rFonts w:eastAsia="Roboto"/>
          <w:color w:val="202024"/>
          <w:spacing w:val="7"/>
        </w:rPr>
        <w:t xml:space="preserve"> </w:t>
      </w:r>
      <w:r>
        <w:rPr>
          <w:rFonts w:eastAsia="Roboto"/>
          <w:color w:val="202024"/>
        </w:rPr>
        <w:t>area</w:t>
      </w:r>
      <w:r>
        <w:rPr>
          <w:rFonts w:eastAsia="Roboto"/>
          <w:color w:val="202024"/>
          <w:spacing w:val="7"/>
        </w:rPr>
        <w:t xml:space="preserve"> </w:t>
      </w:r>
      <w:r>
        <w:rPr>
          <w:rFonts w:eastAsia="Roboto"/>
          <w:color w:val="202024"/>
        </w:rPr>
        <w:t>that</w:t>
      </w:r>
      <w:r>
        <w:rPr>
          <w:rFonts w:eastAsia="Roboto"/>
          <w:color w:val="202024"/>
          <w:spacing w:val="7"/>
        </w:rPr>
        <w:t xml:space="preserve"> </w:t>
      </w:r>
      <w:r>
        <w:rPr>
          <w:rFonts w:eastAsia="Roboto"/>
          <w:color w:val="202024"/>
        </w:rPr>
        <w:t>have</w:t>
      </w:r>
      <w:r>
        <w:rPr>
          <w:rFonts w:eastAsia="Roboto"/>
          <w:color w:val="202024"/>
          <w:spacing w:val="7"/>
        </w:rPr>
        <w:t xml:space="preserve"> </w:t>
      </w:r>
      <w:r>
        <w:rPr>
          <w:rFonts w:eastAsia="Roboto"/>
          <w:color w:val="202024"/>
        </w:rPr>
        <w:t>not</w:t>
      </w:r>
      <w:r>
        <w:rPr>
          <w:rFonts w:eastAsia="Roboto"/>
          <w:color w:val="202024"/>
          <w:spacing w:val="7"/>
        </w:rPr>
        <w:t xml:space="preserve"> </w:t>
      </w:r>
      <w:r>
        <w:rPr>
          <w:rFonts w:eastAsia="Roboto"/>
          <w:color w:val="202024"/>
        </w:rPr>
        <w:t>been</w:t>
      </w:r>
      <w:r>
        <w:rPr>
          <w:rFonts w:eastAsia="Roboto"/>
          <w:color w:val="202024"/>
          <w:spacing w:val="7"/>
        </w:rPr>
        <w:t xml:space="preserve"> </w:t>
      </w:r>
      <w:r>
        <w:rPr>
          <w:rFonts w:eastAsia="Roboto"/>
          <w:color w:val="202024"/>
        </w:rPr>
        <w:t>addressed</w:t>
      </w:r>
      <w:r>
        <w:rPr>
          <w:rFonts w:eastAsia="Roboto"/>
          <w:color w:val="202024"/>
          <w:spacing w:val="7"/>
        </w:rPr>
        <w:t xml:space="preserve"> </w:t>
      </w:r>
      <w:r>
        <w:rPr>
          <w:rFonts w:eastAsia="Roboto"/>
          <w:color w:val="202024"/>
        </w:rPr>
        <w:t>or</w:t>
      </w:r>
      <w:r>
        <w:rPr>
          <w:rFonts w:eastAsia="Roboto"/>
          <w:color w:val="202024"/>
          <w:spacing w:val="6"/>
        </w:rPr>
        <w:t xml:space="preserve"> </w:t>
      </w:r>
      <w:r>
        <w:rPr>
          <w:rFonts w:eastAsia="Roboto"/>
          <w:color w:val="202024"/>
        </w:rPr>
        <w:t>new</w:t>
      </w:r>
      <w:r>
        <w:rPr>
          <w:rFonts w:eastAsia="Roboto"/>
          <w:color w:val="202024"/>
          <w:spacing w:val="7"/>
        </w:rPr>
        <w:t xml:space="preserve"> </w:t>
      </w:r>
      <w:r>
        <w:rPr>
          <w:rFonts w:eastAsia="Roboto"/>
          <w:color w:val="202024"/>
        </w:rPr>
        <w:t>areas</w:t>
      </w:r>
      <w:r>
        <w:rPr>
          <w:rFonts w:eastAsia="Roboto"/>
          <w:color w:val="202024"/>
          <w:spacing w:val="7"/>
        </w:rPr>
        <w:t xml:space="preserve"> </w:t>
      </w:r>
      <w:r>
        <w:rPr>
          <w:rFonts w:eastAsia="Roboto"/>
          <w:color w:val="202024"/>
        </w:rPr>
        <w:t>that</w:t>
      </w:r>
      <w:r>
        <w:rPr>
          <w:rFonts w:eastAsia="Roboto"/>
          <w:color w:val="202024"/>
          <w:spacing w:val="7"/>
        </w:rPr>
        <w:t xml:space="preserve"> </w:t>
      </w:r>
      <w:r>
        <w:rPr>
          <w:rFonts w:eastAsia="Roboto"/>
          <w:color w:val="202024"/>
        </w:rPr>
        <w:t>pose</w:t>
      </w:r>
      <w:r>
        <w:rPr>
          <w:rFonts w:eastAsia="Roboto"/>
          <w:color w:val="202024"/>
          <w:spacing w:val="7"/>
        </w:rPr>
        <w:t xml:space="preserve"> </w:t>
      </w:r>
      <w:r>
        <w:rPr>
          <w:rFonts w:eastAsia="Roboto"/>
          <w:color w:val="202024"/>
        </w:rPr>
        <w:t>changes</w:t>
      </w:r>
      <w:r>
        <w:rPr>
          <w:rFonts w:eastAsia="Roboto"/>
          <w:color w:val="202024"/>
          <w:spacing w:val="7"/>
        </w:rPr>
        <w:t xml:space="preserve"> </w:t>
      </w:r>
      <w:r>
        <w:rPr>
          <w:rFonts w:eastAsia="Roboto"/>
          <w:color w:val="202024"/>
        </w:rPr>
        <w:t>in</w:t>
      </w:r>
      <w:r>
        <w:rPr>
          <w:rFonts w:eastAsia="Roboto"/>
          <w:color w:val="202024"/>
          <w:spacing w:val="7"/>
        </w:rPr>
        <w:t xml:space="preserve"> </w:t>
      </w:r>
      <w:r>
        <w:rPr>
          <w:rFonts w:eastAsia="Roboto"/>
          <w:color w:val="202024"/>
        </w:rPr>
        <w:t>their</w:t>
      </w:r>
      <w:r>
        <w:rPr>
          <w:rFonts w:eastAsia="Roboto"/>
          <w:color w:val="202024"/>
          <w:spacing w:val="1"/>
        </w:rPr>
        <w:t xml:space="preserve"> </w:t>
      </w:r>
      <w:r>
        <w:rPr>
          <w:rFonts w:eastAsia="Roboto"/>
          <w:color w:val="202024"/>
        </w:rPr>
        <w:t>application/implementation.</w:t>
      </w:r>
    </w:p>
    <w:p w14:paraId="2C09AA54">
      <w:pPr>
        <w:widowControl w:val="0"/>
        <w:autoSpaceDE w:val="0"/>
        <w:autoSpaceDN w:val="0"/>
        <w:jc w:val="both"/>
        <w:rPr>
          <w:rFonts w:eastAsia="Roboto"/>
        </w:rPr>
      </w:pPr>
    </w:p>
    <w:p w14:paraId="09D82B77">
      <w:pPr>
        <w:widowControl w:val="0"/>
        <w:autoSpaceDE w:val="0"/>
        <w:autoSpaceDN w:val="0"/>
        <w:spacing w:line="285" w:lineRule="auto"/>
        <w:ind w:right="272"/>
        <w:jc w:val="both"/>
        <w:rPr>
          <w:rFonts w:eastAsia="Roboto"/>
        </w:rPr>
      </w:pPr>
      <w:r>
        <w:rPr>
          <w:rFonts w:eastAsia="Roboto"/>
          <w:color w:val="202024"/>
        </w:rPr>
        <w:t>For</w:t>
      </w:r>
      <w:r>
        <w:rPr>
          <w:rFonts w:eastAsia="Roboto"/>
          <w:color w:val="202024"/>
          <w:spacing w:val="8"/>
        </w:rPr>
        <w:t xml:space="preserve"> </w:t>
      </w:r>
      <w:r>
        <w:rPr>
          <w:rFonts w:eastAsia="Roboto"/>
          <w:color w:val="202024"/>
        </w:rPr>
        <w:t>#1</w:t>
      </w:r>
      <w:r>
        <w:rPr>
          <w:rFonts w:eastAsia="Roboto"/>
          <w:color w:val="202024"/>
          <w:spacing w:val="8"/>
        </w:rPr>
        <w:t xml:space="preserve"> </w:t>
      </w:r>
      <w:r>
        <w:rPr>
          <w:rFonts w:eastAsia="Roboto"/>
          <w:color w:val="202024"/>
        </w:rPr>
        <w:t>above,</w:t>
      </w:r>
      <w:r>
        <w:rPr>
          <w:rFonts w:eastAsia="Roboto"/>
          <w:color w:val="202024"/>
          <w:spacing w:val="8"/>
        </w:rPr>
        <w:t xml:space="preserve"> </w:t>
      </w:r>
      <w:r>
        <w:rPr>
          <w:rFonts w:eastAsia="Roboto"/>
          <w:color w:val="202024"/>
        </w:rPr>
        <w:t>it</w:t>
      </w:r>
      <w:r>
        <w:rPr>
          <w:rFonts w:eastAsia="Roboto"/>
          <w:color w:val="202024"/>
          <w:spacing w:val="8"/>
        </w:rPr>
        <w:t xml:space="preserve"> </w:t>
      </w:r>
      <w:r>
        <w:rPr>
          <w:rFonts w:eastAsia="Roboto"/>
          <w:color w:val="202024"/>
        </w:rPr>
        <w:t>is</w:t>
      </w:r>
      <w:r>
        <w:rPr>
          <w:rFonts w:eastAsia="Roboto"/>
          <w:color w:val="202024"/>
          <w:spacing w:val="8"/>
        </w:rPr>
        <w:t xml:space="preserve"> </w:t>
      </w:r>
      <w:r>
        <w:rPr>
          <w:rFonts w:eastAsia="Roboto"/>
          <w:color w:val="202024"/>
        </w:rPr>
        <w:t>very</w:t>
      </w:r>
      <w:r>
        <w:rPr>
          <w:rFonts w:eastAsia="Roboto"/>
          <w:color w:val="202024"/>
          <w:spacing w:val="8"/>
        </w:rPr>
        <w:t xml:space="preserve"> </w:t>
      </w:r>
      <w:r>
        <w:rPr>
          <w:rFonts w:eastAsia="Roboto"/>
          <w:color w:val="202024"/>
        </w:rPr>
        <w:t>important</w:t>
      </w:r>
      <w:r>
        <w:rPr>
          <w:rFonts w:eastAsia="Roboto"/>
          <w:color w:val="202024"/>
          <w:spacing w:val="9"/>
        </w:rPr>
        <w:t xml:space="preserve"> </w:t>
      </w:r>
      <w:r>
        <w:rPr>
          <w:rFonts w:eastAsia="Roboto"/>
          <w:color w:val="202024"/>
        </w:rPr>
        <w:t>for</w:t>
      </w:r>
      <w:r>
        <w:rPr>
          <w:rFonts w:eastAsia="Roboto"/>
          <w:color w:val="202024"/>
          <w:spacing w:val="8"/>
        </w:rPr>
        <w:t xml:space="preserve"> </w:t>
      </w:r>
      <w:r>
        <w:rPr>
          <w:rFonts w:eastAsia="Roboto"/>
          <w:color w:val="202024"/>
        </w:rPr>
        <w:t>relevant</w:t>
      </w:r>
      <w:r>
        <w:rPr>
          <w:rFonts w:eastAsia="Roboto"/>
          <w:color w:val="202024"/>
          <w:spacing w:val="8"/>
        </w:rPr>
        <w:t xml:space="preserve"> </w:t>
      </w:r>
      <w:r>
        <w:rPr>
          <w:rFonts w:eastAsia="Roboto"/>
          <w:color w:val="202024"/>
        </w:rPr>
        <w:t>government</w:t>
      </w:r>
      <w:r>
        <w:rPr>
          <w:rFonts w:eastAsia="Roboto"/>
          <w:color w:val="202024"/>
          <w:spacing w:val="8"/>
        </w:rPr>
        <w:t xml:space="preserve"> </w:t>
      </w:r>
      <w:r>
        <w:rPr>
          <w:rFonts w:eastAsia="Roboto"/>
          <w:color w:val="202024"/>
        </w:rPr>
        <w:t>agencies</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tax</w:t>
      </w:r>
      <w:r>
        <w:rPr>
          <w:rFonts w:eastAsia="Roboto"/>
          <w:color w:val="202024"/>
          <w:spacing w:val="8"/>
        </w:rPr>
        <w:t xml:space="preserve"> </w:t>
      </w:r>
      <w:r>
        <w:rPr>
          <w:rFonts w:eastAsia="Roboto"/>
          <w:color w:val="202024"/>
        </w:rPr>
        <w:t>payers</w:t>
      </w:r>
      <w:r>
        <w:rPr>
          <w:rFonts w:eastAsia="Roboto"/>
          <w:color w:val="202024"/>
          <w:spacing w:val="9"/>
        </w:rPr>
        <w:t xml:space="preserve"> </w:t>
      </w:r>
      <w:r>
        <w:rPr>
          <w:rFonts w:eastAsia="Roboto"/>
          <w:color w:val="202024"/>
        </w:rPr>
        <w:t>to</w:t>
      </w:r>
      <w:r>
        <w:rPr>
          <w:rFonts w:eastAsia="Roboto"/>
          <w:color w:val="202024"/>
          <w:spacing w:val="8"/>
        </w:rPr>
        <w:t xml:space="preserve"> </w:t>
      </w:r>
      <w:r>
        <w:rPr>
          <w:rFonts w:eastAsia="Roboto"/>
          <w:color w:val="202024"/>
        </w:rPr>
        <w:t>have</w:t>
      </w:r>
      <w:r>
        <w:rPr>
          <w:rFonts w:eastAsia="Roboto"/>
          <w:color w:val="202024"/>
          <w:spacing w:val="-50"/>
        </w:rPr>
        <w:t xml:space="preserve"> </w:t>
      </w:r>
      <w:r>
        <w:rPr>
          <w:rFonts w:eastAsia="Roboto"/>
          <w:color w:val="202024"/>
        </w:rPr>
        <w:t>continuous</w:t>
      </w:r>
      <w:r>
        <w:rPr>
          <w:rFonts w:eastAsia="Roboto"/>
          <w:color w:val="202024"/>
          <w:spacing w:val="7"/>
        </w:rPr>
        <w:t xml:space="preserve"> </w:t>
      </w:r>
      <w:r>
        <w:rPr>
          <w:rFonts w:eastAsia="Roboto"/>
          <w:color w:val="202024"/>
        </w:rPr>
        <w:t>engagement.</w:t>
      </w:r>
      <w:r>
        <w:rPr>
          <w:rFonts w:eastAsia="Roboto"/>
          <w:color w:val="202024"/>
          <w:spacing w:val="4"/>
        </w:rPr>
        <w:t xml:space="preserve"> </w:t>
      </w:r>
      <w:r>
        <w:rPr>
          <w:rFonts w:eastAsia="Roboto"/>
          <w:color w:val="202024"/>
        </w:rPr>
        <w:t>This</w:t>
      </w:r>
      <w:r>
        <w:rPr>
          <w:rFonts w:eastAsia="Roboto"/>
          <w:color w:val="202024"/>
          <w:spacing w:val="8"/>
        </w:rPr>
        <w:t xml:space="preserve"> </w:t>
      </w:r>
      <w:r>
        <w:rPr>
          <w:rFonts w:eastAsia="Roboto"/>
          <w:color w:val="202024"/>
        </w:rPr>
        <w:t>is</w:t>
      </w:r>
      <w:r>
        <w:rPr>
          <w:rFonts w:eastAsia="Roboto"/>
          <w:color w:val="202024"/>
          <w:spacing w:val="8"/>
        </w:rPr>
        <w:t xml:space="preserve"> </w:t>
      </w:r>
      <w:r>
        <w:rPr>
          <w:rFonts w:eastAsia="Roboto"/>
          <w:color w:val="202024"/>
        </w:rPr>
        <w:t>one</w:t>
      </w:r>
      <w:r>
        <w:rPr>
          <w:rFonts w:eastAsia="Roboto"/>
          <w:color w:val="202024"/>
          <w:spacing w:val="8"/>
        </w:rPr>
        <w:t xml:space="preserve"> </w:t>
      </w:r>
      <w:r>
        <w:rPr>
          <w:rFonts w:eastAsia="Roboto"/>
          <w:color w:val="202024"/>
        </w:rPr>
        <w:t>of</w:t>
      </w:r>
      <w:r>
        <w:rPr>
          <w:rFonts w:eastAsia="Roboto"/>
          <w:color w:val="202024"/>
          <w:spacing w:val="7"/>
        </w:rPr>
        <w:t xml:space="preserve"> </w:t>
      </w:r>
      <w:r>
        <w:rPr>
          <w:rFonts w:eastAsia="Roboto"/>
          <w:color w:val="202024"/>
        </w:rPr>
        <w:t>the</w:t>
      </w:r>
      <w:r>
        <w:rPr>
          <w:rFonts w:eastAsia="Roboto"/>
          <w:color w:val="202024"/>
          <w:spacing w:val="8"/>
        </w:rPr>
        <w:t xml:space="preserve"> </w:t>
      </w:r>
      <w:r>
        <w:rPr>
          <w:rFonts w:eastAsia="Roboto"/>
          <w:color w:val="202024"/>
        </w:rPr>
        <w:t>ways</w:t>
      </w:r>
      <w:r>
        <w:rPr>
          <w:rFonts w:eastAsia="Roboto"/>
          <w:color w:val="202024"/>
          <w:spacing w:val="8"/>
        </w:rPr>
        <w:t xml:space="preserve"> </w:t>
      </w:r>
      <w:r>
        <w:rPr>
          <w:rFonts w:eastAsia="Roboto"/>
          <w:color w:val="202024"/>
        </w:rPr>
        <w:t>to</w:t>
      </w:r>
      <w:r>
        <w:rPr>
          <w:rFonts w:eastAsia="Roboto"/>
          <w:color w:val="202024"/>
          <w:spacing w:val="8"/>
        </w:rPr>
        <w:t xml:space="preserve"> </w:t>
      </w:r>
      <w:r>
        <w:rPr>
          <w:rFonts w:eastAsia="Roboto"/>
          <w:color w:val="202024"/>
        </w:rPr>
        <w:t>avoid</w:t>
      </w:r>
      <w:r>
        <w:rPr>
          <w:rFonts w:eastAsia="Roboto"/>
          <w:color w:val="202024"/>
          <w:spacing w:val="8"/>
        </w:rPr>
        <w:t xml:space="preserve"> </w:t>
      </w:r>
      <w:r>
        <w:rPr>
          <w:rFonts w:eastAsia="Roboto"/>
          <w:color w:val="202024"/>
        </w:rPr>
        <w:t>having</w:t>
      </w:r>
      <w:r>
        <w:rPr>
          <w:rFonts w:eastAsia="Roboto"/>
          <w:color w:val="202024"/>
          <w:spacing w:val="8"/>
        </w:rPr>
        <w:t xml:space="preserve"> </w:t>
      </w:r>
      <w:r>
        <w:rPr>
          <w:rFonts w:eastAsia="Roboto"/>
          <w:color w:val="202024"/>
        </w:rPr>
        <w:t>tax</w:t>
      </w:r>
      <w:r>
        <w:rPr>
          <w:rFonts w:eastAsia="Roboto"/>
          <w:color w:val="202024"/>
          <w:spacing w:val="8"/>
        </w:rPr>
        <w:t xml:space="preserve"> </w:t>
      </w:r>
      <w:r>
        <w:rPr>
          <w:rFonts w:eastAsia="Roboto"/>
          <w:color w:val="202024"/>
        </w:rPr>
        <w:t>policies</w:t>
      </w:r>
      <w:r>
        <w:rPr>
          <w:rFonts w:eastAsia="Roboto"/>
          <w:color w:val="202024"/>
          <w:spacing w:val="7"/>
        </w:rPr>
        <w:t xml:space="preserve"> </w:t>
      </w:r>
      <w:r>
        <w:rPr>
          <w:rFonts w:eastAsia="Roboto"/>
          <w:color w:val="202024"/>
        </w:rPr>
        <w:t>that</w:t>
      </w:r>
      <w:r>
        <w:rPr>
          <w:rFonts w:eastAsia="Roboto"/>
          <w:color w:val="202024"/>
          <w:spacing w:val="8"/>
        </w:rPr>
        <w:t xml:space="preserve"> </w:t>
      </w:r>
      <w:r>
        <w:rPr>
          <w:rFonts w:eastAsia="Roboto"/>
          <w:color w:val="202024"/>
        </w:rPr>
        <w:t>are</w:t>
      </w:r>
      <w:r>
        <w:rPr>
          <w:rFonts w:eastAsia="Roboto"/>
          <w:color w:val="202024"/>
          <w:spacing w:val="8"/>
        </w:rPr>
        <w:t xml:space="preserve"> </w:t>
      </w:r>
      <w:r>
        <w:rPr>
          <w:rFonts w:eastAsia="Roboto"/>
          <w:color w:val="202024"/>
        </w:rPr>
        <w:t>not</w:t>
      </w:r>
      <w:r>
        <w:rPr>
          <w:rFonts w:eastAsia="Roboto"/>
          <w:color w:val="202024"/>
          <w:spacing w:val="1"/>
        </w:rPr>
        <w:t xml:space="preserve"> </w:t>
      </w:r>
      <w:r>
        <w:rPr>
          <w:rFonts w:eastAsia="Roboto"/>
          <w:color w:val="202024"/>
        </w:rPr>
        <w:t>people</w:t>
      </w:r>
      <w:r>
        <w:rPr>
          <w:rFonts w:eastAsia="Roboto"/>
          <w:color w:val="202024"/>
          <w:spacing w:val="5"/>
        </w:rPr>
        <w:t xml:space="preserve"> </w:t>
      </w:r>
      <w:r>
        <w:rPr>
          <w:rFonts w:eastAsia="Roboto"/>
          <w:color w:val="202024"/>
        </w:rPr>
        <w:t>oriented</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totally</w:t>
      </w:r>
      <w:r>
        <w:rPr>
          <w:rFonts w:eastAsia="Roboto"/>
          <w:color w:val="202024"/>
          <w:spacing w:val="5"/>
        </w:rPr>
        <w:t xml:space="preserve"> </w:t>
      </w:r>
      <w:r>
        <w:rPr>
          <w:rFonts w:eastAsia="Roboto"/>
          <w:color w:val="202024"/>
        </w:rPr>
        <w:t>inapplicable</w:t>
      </w:r>
      <w:r>
        <w:rPr>
          <w:rFonts w:eastAsia="Roboto"/>
          <w:color w:val="202024"/>
          <w:spacing w:val="6"/>
        </w:rPr>
        <w:t xml:space="preserve"> </w:t>
      </w:r>
      <w:r>
        <w:rPr>
          <w:rFonts w:eastAsia="Roboto"/>
          <w:color w:val="202024"/>
        </w:rPr>
        <w:t>to</w:t>
      </w:r>
      <w:r>
        <w:rPr>
          <w:rFonts w:eastAsia="Roboto"/>
          <w:color w:val="202024"/>
          <w:spacing w:val="6"/>
        </w:rPr>
        <w:t xml:space="preserve"> </w:t>
      </w:r>
      <w:r>
        <w:rPr>
          <w:rFonts w:eastAsia="Roboto"/>
          <w:color w:val="202024"/>
        </w:rPr>
        <w:t>the</w:t>
      </w:r>
      <w:r>
        <w:rPr>
          <w:rFonts w:eastAsia="Roboto"/>
          <w:color w:val="202024"/>
          <w:spacing w:val="5"/>
        </w:rPr>
        <w:t xml:space="preserve"> </w:t>
      </w:r>
      <w:r>
        <w:rPr>
          <w:rFonts w:eastAsia="Roboto"/>
          <w:color w:val="202024"/>
        </w:rPr>
        <w:t>tax</w:t>
      </w:r>
      <w:r>
        <w:rPr>
          <w:rFonts w:eastAsia="Roboto"/>
          <w:color w:val="202024"/>
          <w:spacing w:val="6"/>
        </w:rPr>
        <w:t xml:space="preserve"> </w:t>
      </w:r>
      <w:r>
        <w:rPr>
          <w:rFonts w:eastAsia="Roboto"/>
          <w:color w:val="202024"/>
        </w:rPr>
        <w:t>payers.</w:t>
      </w:r>
    </w:p>
    <w:p w14:paraId="45082AA1">
      <w:pPr>
        <w:widowControl w:val="0"/>
        <w:autoSpaceDE w:val="0"/>
        <w:autoSpaceDN w:val="0"/>
        <w:jc w:val="both"/>
        <w:rPr>
          <w:rFonts w:eastAsia="Roboto"/>
        </w:rPr>
      </w:pPr>
    </w:p>
    <w:p w14:paraId="65583761">
      <w:pPr>
        <w:widowControl w:val="0"/>
        <w:autoSpaceDE w:val="0"/>
        <w:autoSpaceDN w:val="0"/>
        <w:spacing w:before="1" w:line="285" w:lineRule="auto"/>
        <w:ind w:right="272"/>
        <w:jc w:val="both"/>
        <w:rPr>
          <w:rFonts w:eastAsia="Roboto"/>
        </w:rPr>
      </w:pPr>
      <w:r>
        <w:rPr>
          <w:rFonts w:eastAsia="Roboto"/>
          <w:color w:val="202024"/>
        </w:rPr>
        <w:t>The</w:t>
      </w:r>
      <w:r>
        <w:rPr>
          <w:rFonts w:eastAsia="Roboto"/>
          <w:color w:val="202024"/>
          <w:spacing w:val="9"/>
        </w:rPr>
        <w:t xml:space="preserve"> </w:t>
      </w:r>
      <w:r>
        <w:rPr>
          <w:rFonts w:eastAsia="Roboto"/>
          <w:color w:val="202024"/>
        </w:rPr>
        <w:t>development</w:t>
      </w:r>
      <w:r>
        <w:rPr>
          <w:rFonts w:eastAsia="Roboto"/>
          <w:color w:val="202024"/>
          <w:spacing w:val="10"/>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industry</w:t>
      </w:r>
      <w:r>
        <w:rPr>
          <w:rFonts w:eastAsia="Roboto"/>
          <w:color w:val="202024"/>
          <w:spacing w:val="9"/>
        </w:rPr>
        <w:t xml:space="preserve"> </w:t>
      </w:r>
      <w:r>
        <w:rPr>
          <w:rFonts w:eastAsia="Roboto"/>
          <w:color w:val="202024"/>
        </w:rPr>
        <w:t>in</w:t>
      </w:r>
      <w:r>
        <w:rPr>
          <w:rFonts w:eastAsia="Roboto"/>
          <w:color w:val="202024"/>
          <w:spacing w:val="10"/>
        </w:rPr>
        <w:t xml:space="preserve"> </w:t>
      </w:r>
      <w:r>
        <w:rPr>
          <w:rFonts w:eastAsia="Roboto"/>
          <w:color w:val="202024"/>
        </w:rPr>
        <w:t>Nigeria</w:t>
      </w:r>
      <w:r>
        <w:rPr>
          <w:rFonts w:eastAsia="Roboto"/>
          <w:color w:val="202024"/>
          <w:spacing w:val="9"/>
        </w:rPr>
        <w:t xml:space="preserve"> </w:t>
      </w:r>
      <w:r>
        <w:rPr>
          <w:rFonts w:eastAsia="Roboto"/>
          <w:color w:val="202024"/>
        </w:rPr>
        <w:t>has</w:t>
      </w:r>
      <w:r>
        <w:rPr>
          <w:rFonts w:eastAsia="Roboto"/>
          <w:color w:val="202024"/>
          <w:spacing w:val="10"/>
        </w:rPr>
        <w:t xml:space="preserve"> </w:t>
      </w:r>
      <w:r>
        <w:rPr>
          <w:rFonts w:eastAsia="Roboto"/>
          <w:color w:val="202024"/>
        </w:rPr>
        <w:t>been</w:t>
      </w:r>
      <w:r>
        <w:rPr>
          <w:rFonts w:eastAsia="Roboto"/>
          <w:color w:val="202024"/>
          <w:spacing w:val="9"/>
        </w:rPr>
        <w:t xml:space="preserve"> </w:t>
      </w:r>
      <w:r>
        <w:rPr>
          <w:rFonts w:eastAsia="Roboto"/>
          <w:color w:val="202024"/>
        </w:rPr>
        <w:t>fraught</w:t>
      </w:r>
      <w:r>
        <w:rPr>
          <w:rFonts w:eastAsia="Roboto"/>
          <w:color w:val="202024"/>
          <w:spacing w:val="10"/>
        </w:rPr>
        <w:t xml:space="preserve"> </w:t>
      </w:r>
      <w:r>
        <w:rPr>
          <w:rFonts w:eastAsia="Roboto"/>
          <w:color w:val="202024"/>
        </w:rPr>
        <w:t>with</w:t>
      </w:r>
      <w:r>
        <w:rPr>
          <w:rFonts w:eastAsia="Roboto"/>
          <w:color w:val="202024"/>
          <w:spacing w:val="9"/>
        </w:rPr>
        <w:t xml:space="preserve"> </w:t>
      </w:r>
      <w:r>
        <w:rPr>
          <w:rFonts w:eastAsia="Roboto"/>
          <w:color w:val="202024"/>
        </w:rPr>
        <w:t>a</w:t>
      </w:r>
      <w:r>
        <w:rPr>
          <w:rFonts w:eastAsia="Roboto"/>
          <w:color w:val="202024"/>
          <w:spacing w:val="10"/>
        </w:rPr>
        <w:t xml:space="preserve"> </w:t>
      </w:r>
      <w:r>
        <w:rPr>
          <w:rFonts w:eastAsia="Roboto"/>
          <w:color w:val="202024"/>
        </w:rPr>
        <w:t>myriad</w:t>
      </w:r>
      <w:r>
        <w:rPr>
          <w:rFonts w:eastAsia="Roboto"/>
          <w:color w:val="202024"/>
          <w:spacing w:val="9"/>
        </w:rPr>
        <w:t xml:space="preserve"> </w:t>
      </w:r>
      <w:r>
        <w:rPr>
          <w:rFonts w:eastAsia="Roboto"/>
          <w:color w:val="202024"/>
        </w:rPr>
        <w:t>of</w:t>
      </w:r>
      <w:r>
        <w:rPr>
          <w:rFonts w:eastAsia="Roboto"/>
          <w:color w:val="202024"/>
          <w:spacing w:val="10"/>
        </w:rPr>
        <w:t xml:space="preserve"> </w:t>
      </w:r>
      <w:r>
        <w:rPr>
          <w:rFonts w:eastAsia="Roboto"/>
          <w:color w:val="202024"/>
        </w:rPr>
        <w:t>challenges</w:t>
      </w:r>
      <w:r>
        <w:rPr>
          <w:rFonts w:eastAsia="Roboto"/>
          <w:color w:val="202024"/>
          <w:spacing w:val="9"/>
        </w:rPr>
        <w:t xml:space="preserve"> </w:t>
      </w:r>
      <w:r>
        <w:rPr>
          <w:rFonts w:eastAsia="Roboto"/>
          <w:color w:val="202024"/>
        </w:rPr>
        <w:t>that</w:t>
      </w:r>
      <w:r>
        <w:rPr>
          <w:rFonts w:eastAsia="Roboto"/>
          <w:color w:val="202024"/>
          <w:spacing w:val="-49"/>
        </w:rPr>
        <w:t xml:space="preserve"> </w:t>
      </w:r>
      <w:r>
        <w:rPr>
          <w:rFonts w:eastAsia="Roboto"/>
          <w:color w:val="202024"/>
        </w:rPr>
        <w:t>are</w:t>
      </w:r>
      <w:r>
        <w:rPr>
          <w:rFonts w:eastAsia="Roboto"/>
          <w:color w:val="202024"/>
          <w:spacing w:val="9"/>
        </w:rPr>
        <w:t xml:space="preserve"> </w:t>
      </w:r>
      <w:r>
        <w:rPr>
          <w:rFonts w:eastAsia="Roboto"/>
          <w:color w:val="202024"/>
        </w:rPr>
        <w:t>primarily</w:t>
      </w:r>
      <w:r>
        <w:rPr>
          <w:rFonts w:eastAsia="Roboto"/>
          <w:color w:val="202024"/>
          <w:spacing w:val="9"/>
        </w:rPr>
        <w:t xml:space="preserve"> </w:t>
      </w:r>
      <w:r>
        <w:rPr>
          <w:rFonts w:eastAsia="Roboto"/>
          <w:color w:val="202024"/>
        </w:rPr>
        <w:t>linked</w:t>
      </w:r>
      <w:r>
        <w:rPr>
          <w:rFonts w:eastAsia="Roboto"/>
          <w:color w:val="202024"/>
          <w:spacing w:val="10"/>
        </w:rPr>
        <w:t xml:space="preserve"> </w:t>
      </w:r>
      <w:r>
        <w:rPr>
          <w:rFonts w:eastAsia="Roboto"/>
          <w:color w:val="202024"/>
        </w:rPr>
        <w:t>to</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lack</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integrity</w:t>
      </w:r>
      <w:r>
        <w:rPr>
          <w:rFonts w:eastAsia="Roboto"/>
          <w:color w:val="202024"/>
          <w:spacing w:val="10"/>
        </w:rPr>
        <w:t xml:space="preserve"> </w:t>
      </w:r>
      <w:r>
        <w:rPr>
          <w:rFonts w:eastAsia="Roboto"/>
          <w:color w:val="202024"/>
        </w:rPr>
        <w:t>between</w:t>
      </w:r>
      <w:r>
        <w:rPr>
          <w:rFonts w:eastAsia="Roboto"/>
          <w:color w:val="202024"/>
          <w:spacing w:val="9"/>
        </w:rPr>
        <w:t xml:space="preserve"> </w:t>
      </w:r>
      <w:r>
        <w:rPr>
          <w:rFonts w:eastAsia="Roboto"/>
          <w:color w:val="202024"/>
        </w:rPr>
        <w:t>government</w:t>
      </w:r>
      <w:r>
        <w:rPr>
          <w:rFonts w:eastAsia="Roboto"/>
          <w:color w:val="202024"/>
          <w:spacing w:val="10"/>
        </w:rPr>
        <w:t xml:space="preserve"> </w:t>
      </w:r>
      <w:r>
        <w:rPr>
          <w:rFonts w:eastAsia="Roboto"/>
          <w:color w:val="202024"/>
        </w:rPr>
        <w:t>and</w:t>
      </w:r>
      <w:r>
        <w:rPr>
          <w:rFonts w:eastAsia="Roboto"/>
          <w:color w:val="202024"/>
          <w:spacing w:val="9"/>
        </w:rPr>
        <w:t xml:space="preserve"> </w:t>
      </w:r>
      <w:r>
        <w:rPr>
          <w:rFonts w:eastAsia="Roboto"/>
          <w:color w:val="202024"/>
        </w:rPr>
        <w:t>other</w:t>
      </w:r>
      <w:r>
        <w:rPr>
          <w:rFonts w:eastAsia="Roboto"/>
          <w:color w:val="202024"/>
          <w:spacing w:val="10"/>
        </w:rPr>
        <w:t xml:space="preserve"> </w:t>
      </w:r>
      <w:r>
        <w:rPr>
          <w:rFonts w:eastAsia="Roboto"/>
          <w:color w:val="202024"/>
        </w:rPr>
        <w:t>stakeholders</w:t>
      </w:r>
      <w:r>
        <w:rPr>
          <w:rFonts w:eastAsia="Roboto"/>
          <w:color w:val="202024"/>
          <w:spacing w:val="9"/>
        </w:rPr>
        <w:t xml:space="preserve"> </w:t>
      </w:r>
      <w:r>
        <w:rPr>
          <w:rFonts w:eastAsia="Roboto"/>
          <w:color w:val="202024"/>
        </w:rPr>
        <w:t>and</w:t>
      </w:r>
      <w:r>
        <w:rPr>
          <w:rFonts w:eastAsia="Roboto"/>
          <w:color w:val="202024"/>
          <w:spacing w:val="1"/>
        </w:rPr>
        <w:t xml:space="preserve"> </w:t>
      </w:r>
      <w:r>
        <w:rPr>
          <w:rFonts w:eastAsia="Roboto"/>
          <w:color w:val="202024"/>
        </w:rPr>
        <w:t>also</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lack</w:t>
      </w:r>
      <w:r>
        <w:rPr>
          <w:rFonts w:eastAsia="Roboto"/>
          <w:color w:val="202024"/>
          <w:spacing w:val="6"/>
        </w:rPr>
        <w:t xml:space="preserve"> </w:t>
      </w:r>
      <w:r>
        <w:rPr>
          <w:rFonts w:eastAsia="Roboto"/>
          <w:color w:val="202024"/>
        </w:rPr>
        <w:t>clarity</w:t>
      </w:r>
      <w:r>
        <w:rPr>
          <w:rFonts w:eastAsia="Roboto"/>
          <w:color w:val="202024"/>
          <w:spacing w:val="6"/>
        </w:rPr>
        <w:t xml:space="preserve"> </w:t>
      </w:r>
      <w:r>
        <w:rPr>
          <w:rFonts w:eastAsia="Roboto"/>
          <w:color w:val="202024"/>
        </w:rPr>
        <w:t>in</w:t>
      </w:r>
      <w:r>
        <w:rPr>
          <w:rFonts w:eastAsia="Roboto"/>
          <w:color w:val="202024"/>
          <w:spacing w:val="6"/>
        </w:rPr>
        <w:t xml:space="preserve"> </w:t>
      </w:r>
      <w:r>
        <w:rPr>
          <w:rFonts w:eastAsia="Roboto"/>
          <w:color w:val="202024"/>
        </w:rPr>
        <w:t>fiscal</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taxing</w:t>
      </w:r>
      <w:r>
        <w:rPr>
          <w:rFonts w:eastAsia="Roboto"/>
          <w:color w:val="202024"/>
          <w:spacing w:val="6"/>
        </w:rPr>
        <w:t xml:space="preserve"> </w:t>
      </w:r>
      <w:r>
        <w:rPr>
          <w:rFonts w:eastAsia="Roboto"/>
          <w:color w:val="202024"/>
        </w:rPr>
        <w:t>powers</w:t>
      </w:r>
      <w:r>
        <w:rPr>
          <w:rFonts w:eastAsia="Roboto"/>
          <w:color w:val="202024"/>
          <w:spacing w:val="6"/>
        </w:rPr>
        <w:t xml:space="preserve"> </w:t>
      </w:r>
      <w:r>
        <w:rPr>
          <w:rFonts w:eastAsia="Roboto"/>
          <w:color w:val="202024"/>
        </w:rPr>
        <w:t>of</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government.</w:t>
      </w:r>
    </w:p>
    <w:p w14:paraId="04517CBA">
      <w:pPr>
        <w:widowControl w:val="0"/>
        <w:autoSpaceDE w:val="0"/>
        <w:autoSpaceDN w:val="0"/>
        <w:jc w:val="both"/>
        <w:rPr>
          <w:rFonts w:eastAsia="Roboto"/>
        </w:rPr>
      </w:pPr>
    </w:p>
    <w:p w14:paraId="452AA20B">
      <w:pPr>
        <w:widowControl w:val="0"/>
        <w:autoSpaceDE w:val="0"/>
        <w:autoSpaceDN w:val="0"/>
        <w:spacing w:line="285" w:lineRule="auto"/>
        <w:ind w:right="272"/>
        <w:jc w:val="both"/>
        <w:rPr>
          <w:rFonts w:eastAsia="Roboto"/>
        </w:rPr>
      </w:pPr>
      <w:r>
        <w:rPr>
          <w:rFonts w:eastAsia="Roboto"/>
          <w:color w:val="202024"/>
        </w:rPr>
        <w:t>The</w:t>
      </w:r>
      <w:r>
        <w:rPr>
          <w:rFonts w:eastAsia="Roboto"/>
          <w:color w:val="202024"/>
          <w:spacing w:val="8"/>
        </w:rPr>
        <w:t xml:space="preserve"> </w:t>
      </w:r>
      <w:r>
        <w:rPr>
          <w:rFonts w:eastAsia="Roboto"/>
          <w:color w:val="202024"/>
        </w:rPr>
        <w:t>allocation</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fiscal</w:t>
      </w:r>
      <w:r>
        <w:rPr>
          <w:rFonts w:eastAsia="Roboto"/>
          <w:color w:val="202024"/>
          <w:spacing w:val="9"/>
        </w:rPr>
        <w:t xml:space="preserve"> </w:t>
      </w:r>
      <w:r>
        <w:rPr>
          <w:rFonts w:eastAsia="Roboto"/>
          <w:color w:val="202024"/>
        </w:rPr>
        <w:t>and</w:t>
      </w:r>
      <w:r>
        <w:rPr>
          <w:rFonts w:eastAsia="Roboto"/>
          <w:color w:val="202024"/>
          <w:spacing w:val="8"/>
        </w:rPr>
        <w:t xml:space="preserve"> </w:t>
      </w:r>
      <w:r>
        <w:rPr>
          <w:rFonts w:eastAsia="Roboto"/>
          <w:color w:val="202024"/>
        </w:rPr>
        <w:t>taxing</w:t>
      </w:r>
      <w:r>
        <w:rPr>
          <w:rFonts w:eastAsia="Roboto"/>
          <w:color w:val="202024"/>
          <w:spacing w:val="8"/>
        </w:rPr>
        <w:t xml:space="preserve"> </w:t>
      </w:r>
      <w:r>
        <w:rPr>
          <w:rFonts w:eastAsia="Roboto"/>
          <w:color w:val="202024"/>
        </w:rPr>
        <w:t>powers</w:t>
      </w:r>
      <w:r>
        <w:rPr>
          <w:rFonts w:eastAsia="Roboto"/>
          <w:color w:val="202024"/>
          <w:spacing w:val="9"/>
        </w:rPr>
        <w:t xml:space="preserve"> </w:t>
      </w:r>
      <w:r>
        <w:rPr>
          <w:rFonts w:eastAsia="Roboto"/>
          <w:color w:val="202024"/>
        </w:rPr>
        <w:t>the</w:t>
      </w:r>
      <w:r>
        <w:rPr>
          <w:rFonts w:eastAsia="Roboto"/>
          <w:color w:val="202024"/>
          <w:spacing w:val="8"/>
        </w:rPr>
        <w:t xml:space="preserve"> </w:t>
      </w:r>
      <w:r>
        <w:rPr>
          <w:rFonts w:eastAsia="Roboto"/>
          <w:color w:val="202024"/>
        </w:rPr>
        <w:t>federating</w:t>
      </w:r>
      <w:r>
        <w:rPr>
          <w:rFonts w:eastAsia="Roboto"/>
          <w:color w:val="202024"/>
          <w:spacing w:val="8"/>
        </w:rPr>
        <w:t xml:space="preserve"> </w:t>
      </w:r>
      <w:r>
        <w:rPr>
          <w:rFonts w:eastAsia="Roboto"/>
          <w:color w:val="202024"/>
        </w:rPr>
        <w:t>units</w:t>
      </w:r>
      <w:r>
        <w:rPr>
          <w:rFonts w:eastAsia="Roboto"/>
          <w:color w:val="202024"/>
          <w:spacing w:val="9"/>
        </w:rPr>
        <w:t xml:space="preserve"> </w:t>
      </w:r>
      <w:r>
        <w:rPr>
          <w:rFonts w:eastAsia="Roboto"/>
          <w:color w:val="202024"/>
        </w:rPr>
        <w:t>in</w:t>
      </w:r>
      <w:r>
        <w:rPr>
          <w:rFonts w:eastAsia="Roboto"/>
          <w:color w:val="202024"/>
          <w:spacing w:val="8"/>
        </w:rPr>
        <w:t xml:space="preserve"> </w:t>
      </w:r>
      <w:r>
        <w:rPr>
          <w:rFonts w:eastAsia="Roboto"/>
          <w:color w:val="202024"/>
        </w:rPr>
        <w:t>Nigeria</w:t>
      </w:r>
      <w:r>
        <w:rPr>
          <w:rFonts w:eastAsia="Roboto"/>
          <w:color w:val="202024"/>
          <w:spacing w:val="8"/>
        </w:rPr>
        <w:t xml:space="preserve"> </w:t>
      </w:r>
      <w:r>
        <w:rPr>
          <w:rFonts w:eastAsia="Roboto"/>
          <w:color w:val="202024"/>
        </w:rPr>
        <w:t>and</w:t>
      </w:r>
      <w:r>
        <w:rPr>
          <w:rFonts w:eastAsia="Roboto"/>
          <w:color w:val="202024"/>
          <w:spacing w:val="9"/>
        </w:rPr>
        <w:t xml:space="preserve"> </w:t>
      </w:r>
      <w:r>
        <w:rPr>
          <w:rFonts w:eastAsia="Roboto"/>
          <w:color w:val="202024"/>
        </w:rPr>
        <w:t>the</w:t>
      </w:r>
      <w:r>
        <w:rPr>
          <w:rFonts w:eastAsia="Roboto"/>
          <w:color w:val="202024"/>
          <w:spacing w:val="8"/>
        </w:rPr>
        <w:t xml:space="preserve"> </w:t>
      </w:r>
      <w:r>
        <w:rPr>
          <w:rFonts w:eastAsia="Roboto"/>
          <w:color w:val="202024"/>
        </w:rPr>
        <w:t>federal</w:t>
      </w:r>
      <w:r>
        <w:rPr>
          <w:rFonts w:eastAsia="Roboto"/>
          <w:color w:val="202024"/>
          <w:spacing w:val="1"/>
        </w:rPr>
        <w:t xml:space="preserve"> </w:t>
      </w:r>
      <w:r>
        <w:rPr>
          <w:rFonts w:eastAsia="Roboto"/>
          <w:color w:val="202024"/>
        </w:rPr>
        <w:t>government</w:t>
      </w:r>
      <w:r>
        <w:rPr>
          <w:rFonts w:eastAsia="Roboto"/>
          <w:color w:val="202024"/>
          <w:spacing w:val="8"/>
        </w:rPr>
        <w:t xml:space="preserve"> </w:t>
      </w:r>
      <w:r>
        <w:rPr>
          <w:rFonts w:eastAsia="Roboto"/>
          <w:color w:val="202024"/>
        </w:rPr>
        <w:t>does</w:t>
      </w:r>
      <w:r>
        <w:rPr>
          <w:rFonts w:eastAsia="Roboto"/>
          <w:color w:val="202024"/>
          <w:spacing w:val="9"/>
        </w:rPr>
        <w:t xml:space="preserve"> </w:t>
      </w:r>
      <w:r>
        <w:rPr>
          <w:rFonts w:eastAsia="Roboto"/>
          <w:color w:val="202024"/>
        </w:rPr>
        <w:t>have</w:t>
      </w:r>
      <w:r>
        <w:rPr>
          <w:rFonts w:eastAsia="Roboto"/>
          <w:color w:val="202024"/>
          <w:spacing w:val="8"/>
        </w:rPr>
        <w:t xml:space="preserve"> </w:t>
      </w:r>
      <w:r>
        <w:rPr>
          <w:rFonts w:eastAsia="Roboto"/>
          <w:color w:val="202024"/>
        </w:rPr>
        <w:t>an</w:t>
      </w:r>
      <w:r>
        <w:rPr>
          <w:rFonts w:eastAsia="Roboto"/>
          <w:color w:val="202024"/>
          <w:spacing w:val="9"/>
        </w:rPr>
        <w:t xml:space="preserve"> </w:t>
      </w:r>
      <w:r>
        <w:rPr>
          <w:rFonts w:eastAsia="Roboto"/>
          <w:color w:val="202024"/>
        </w:rPr>
        <w:t>impact</w:t>
      </w:r>
      <w:r>
        <w:rPr>
          <w:rFonts w:eastAsia="Roboto"/>
          <w:color w:val="202024"/>
          <w:spacing w:val="8"/>
        </w:rPr>
        <w:t xml:space="preserve"> </w:t>
      </w:r>
      <w:r>
        <w:rPr>
          <w:rFonts w:eastAsia="Roboto"/>
          <w:color w:val="202024"/>
        </w:rPr>
        <w:t>of</w:t>
      </w:r>
      <w:r>
        <w:rPr>
          <w:rFonts w:eastAsia="Roboto"/>
          <w:color w:val="202024"/>
          <w:spacing w:val="9"/>
        </w:rPr>
        <w:t xml:space="preserve"> </w:t>
      </w:r>
      <w:r>
        <w:rPr>
          <w:rFonts w:eastAsia="Roboto"/>
          <w:color w:val="202024"/>
        </w:rPr>
        <w:t>clarity</w:t>
      </w:r>
      <w:r>
        <w:rPr>
          <w:rFonts w:eastAsia="Roboto"/>
          <w:color w:val="202024"/>
          <w:spacing w:val="9"/>
        </w:rPr>
        <w:t xml:space="preserve"> </w:t>
      </w:r>
      <w:r>
        <w:rPr>
          <w:rFonts w:eastAsia="Roboto"/>
          <w:color w:val="202024"/>
        </w:rPr>
        <w:t>and</w:t>
      </w:r>
      <w:r>
        <w:rPr>
          <w:rFonts w:eastAsia="Roboto"/>
          <w:color w:val="202024"/>
          <w:spacing w:val="8"/>
        </w:rPr>
        <w:t xml:space="preserve"> </w:t>
      </w:r>
      <w:r>
        <w:rPr>
          <w:rFonts w:eastAsia="Roboto"/>
          <w:color w:val="202024"/>
        </w:rPr>
        <w:t>certainty</w:t>
      </w:r>
      <w:r>
        <w:rPr>
          <w:rFonts w:eastAsia="Roboto"/>
          <w:color w:val="202024"/>
          <w:spacing w:val="9"/>
        </w:rPr>
        <w:t xml:space="preserve"> </w:t>
      </w:r>
      <w:r>
        <w:rPr>
          <w:rFonts w:eastAsia="Roboto"/>
          <w:color w:val="202024"/>
        </w:rPr>
        <w:t>in</w:t>
      </w:r>
      <w:r>
        <w:rPr>
          <w:rFonts w:eastAsia="Roboto"/>
          <w:color w:val="202024"/>
          <w:spacing w:val="8"/>
        </w:rPr>
        <w:t xml:space="preserve"> </w:t>
      </w:r>
      <w:r>
        <w:rPr>
          <w:rFonts w:eastAsia="Roboto"/>
          <w:color w:val="202024"/>
        </w:rPr>
        <w:t>tax</w:t>
      </w:r>
      <w:r>
        <w:rPr>
          <w:rFonts w:eastAsia="Roboto"/>
          <w:color w:val="202024"/>
          <w:spacing w:val="9"/>
        </w:rPr>
        <w:t xml:space="preserve"> </w:t>
      </w:r>
      <w:r>
        <w:rPr>
          <w:rFonts w:eastAsia="Roboto"/>
          <w:color w:val="202024"/>
        </w:rPr>
        <w:t>legislation</w:t>
      </w:r>
      <w:r>
        <w:rPr>
          <w:rFonts w:eastAsia="Roboto"/>
          <w:color w:val="202024"/>
          <w:spacing w:val="9"/>
        </w:rPr>
        <w:t xml:space="preserve"> </w:t>
      </w:r>
      <w:r>
        <w:rPr>
          <w:rFonts w:eastAsia="Roboto"/>
          <w:color w:val="202024"/>
        </w:rPr>
        <w:t>but</w:t>
      </w:r>
      <w:r>
        <w:rPr>
          <w:rFonts w:eastAsia="Roboto"/>
          <w:color w:val="202024"/>
          <w:spacing w:val="8"/>
        </w:rPr>
        <w:t xml:space="preserve"> </w:t>
      </w:r>
      <w:r>
        <w:rPr>
          <w:rFonts w:eastAsia="Roboto"/>
          <w:color w:val="202024"/>
        </w:rPr>
        <w:t>I</w:t>
      </w:r>
      <w:r>
        <w:rPr>
          <w:rFonts w:eastAsia="Roboto"/>
          <w:color w:val="202024"/>
          <w:spacing w:val="9"/>
        </w:rPr>
        <w:t xml:space="preserve"> </w:t>
      </w:r>
      <w:r>
        <w:rPr>
          <w:rFonts w:eastAsia="Roboto"/>
          <w:color w:val="202024"/>
        </w:rPr>
        <w:t>am</w:t>
      </w:r>
      <w:r>
        <w:rPr>
          <w:rFonts w:eastAsia="Roboto"/>
          <w:color w:val="202024"/>
          <w:spacing w:val="8"/>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view</w:t>
      </w:r>
      <w:r>
        <w:rPr>
          <w:rFonts w:eastAsia="Roboto"/>
          <w:color w:val="202024"/>
          <w:spacing w:val="1"/>
        </w:rPr>
        <w:t xml:space="preserve"> </w:t>
      </w:r>
      <w:r>
        <w:rPr>
          <w:rFonts w:eastAsia="Roboto"/>
          <w:color w:val="202024"/>
        </w:rPr>
        <w:t>that</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issue</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lack</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clarity</w:t>
      </w:r>
      <w:r>
        <w:rPr>
          <w:rFonts w:eastAsia="Roboto"/>
          <w:color w:val="202024"/>
          <w:spacing w:val="9"/>
        </w:rPr>
        <w:t xml:space="preserve"> </w:t>
      </w:r>
      <w:r>
        <w:rPr>
          <w:rFonts w:eastAsia="Roboto"/>
          <w:color w:val="202024"/>
        </w:rPr>
        <w:t>in</w:t>
      </w:r>
      <w:r>
        <w:rPr>
          <w:rFonts w:eastAsia="Roboto"/>
          <w:color w:val="202024"/>
          <w:spacing w:val="8"/>
        </w:rPr>
        <w:t xml:space="preserve"> </w:t>
      </w:r>
      <w:r>
        <w:rPr>
          <w:rFonts w:eastAsia="Roboto"/>
          <w:color w:val="202024"/>
        </w:rPr>
        <w:t>our</w:t>
      </w:r>
      <w:r>
        <w:rPr>
          <w:rFonts w:eastAsia="Roboto"/>
          <w:color w:val="202024"/>
          <w:spacing w:val="8"/>
        </w:rPr>
        <w:t xml:space="preserve"> </w:t>
      </w:r>
      <w:r>
        <w:rPr>
          <w:rFonts w:eastAsia="Roboto"/>
          <w:color w:val="202024"/>
        </w:rPr>
        <w:t>tax</w:t>
      </w:r>
      <w:r>
        <w:rPr>
          <w:rFonts w:eastAsia="Roboto"/>
          <w:color w:val="202024"/>
          <w:spacing w:val="8"/>
        </w:rPr>
        <w:t xml:space="preserve"> </w:t>
      </w:r>
      <w:r>
        <w:rPr>
          <w:rFonts w:eastAsia="Roboto"/>
          <w:color w:val="202024"/>
        </w:rPr>
        <w:t>legislation</w:t>
      </w:r>
      <w:r>
        <w:rPr>
          <w:rFonts w:eastAsia="Roboto"/>
          <w:color w:val="202024"/>
          <w:spacing w:val="8"/>
        </w:rPr>
        <w:t xml:space="preserve"> </w:t>
      </w:r>
      <w:r>
        <w:rPr>
          <w:rFonts w:eastAsia="Roboto"/>
          <w:color w:val="202024"/>
        </w:rPr>
        <w:t>is</w:t>
      </w:r>
      <w:r>
        <w:rPr>
          <w:rFonts w:eastAsia="Roboto"/>
          <w:color w:val="202024"/>
          <w:spacing w:val="8"/>
        </w:rPr>
        <w:t xml:space="preserve"> </w:t>
      </w:r>
      <w:r>
        <w:rPr>
          <w:rFonts w:eastAsia="Roboto"/>
          <w:color w:val="202024"/>
        </w:rPr>
        <w:t>as</w:t>
      </w:r>
      <w:r>
        <w:rPr>
          <w:rFonts w:eastAsia="Roboto"/>
          <w:color w:val="202024"/>
          <w:spacing w:val="9"/>
        </w:rPr>
        <w:t xml:space="preserve"> </w:t>
      </w:r>
      <w:r>
        <w:rPr>
          <w:rFonts w:eastAsia="Roboto"/>
          <w:color w:val="202024"/>
        </w:rPr>
        <w:t>a</w:t>
      </w:r>
      <w:r>
        <w:rPr>
          <w:rFonts w:eastAsia="Roboto"/>
          <w:color w:val="202024"/>
          <w:spacing w:val="8"/>
        </w:rPr>
        <w:t xml:space="preserve"> </w:t>
      </w:r>
      <w:r>
        <w:rPr>
          <w:rFonts w:eastAsia="Roboto"/>
          <w:color w:val="202024"/>
        </w:rPr>
        <w:t>result</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poor</w:t>
      </w:r>
      <w:r>
        <w:rPr>
          <w:rFonts w:eastAsia="Roboto"/>
          <w:color w:val="202024"/>
          <w:spacing w:val="8"/>
        </w:rPr>
        <w:t xml:space="preserve"> </w:t>
      </w:r>
      <w:r>
        <w:rPr>
          <w:rFonts w:eastAsia="Roboto"/>
          <w:color w:val="202024"/>
        </w:rPr>
        <w:t>legislative</w:t>
      </w:r>
      <w:r>
        <w:rPr>
          <w:rFonts w:eastAsia="Roboto"/>
          <w:color w:val="202024"/>
          <w:spacing w:val="8"/>
        </w:rPr>
        <w:t xml:space="preserve"> </w:t>
      </w:r>
      <w:r>
        <w:rPr>
          <w:rFonts w:eastAsia="Roboto"/>
          <w:color w:val="202024"/>
        </w:rPr>
        <w:t>drafting</w:t>
      </w:r>
      <w:r>
        <w:rPr>
          <w:rFonts w:eastAsia="Roboto"/>
          <w:color w:val="202024"/>
          <w:spacing w:val="1"/>
        </w:rPr>
        <w:t xml:space="preserve"> </w:t>
      </w:r>
      <w:r>
        <w:rPr>
          <w:rFonts w:eastAsia="Roboto"/>
          <w:color w:val="202024"/>
        </w:rPr>
        <w:t>that</w:t>
      </w:r>
      <w:r>
        <w:rPr>
          <w:rFonts w:eastAsia="Roboto"/>
          <w:color w:val="202024"/>
          <w:spacing w:val="8"/>
        </w:rPr>
        <w:t xml:space="preserve"> </w:t>
      </w:r>
      <w:r>
        <w:rPr>
          <w:rFonts w:eastAsia="Roboto"/>
          <w:color w:val="202024"/>
        </w:rPr>
        <w:t>is</w:t>
      </w:r>
      <w:r>
        <w:rPr>
          <w:rFonts w:eastAsia="Roboto"/>
          <w:color w:val="202024"/>
          <w:spacing w:val="9"/>
        </w:rPr>
        <w:t xml:space="preserve"> </w:t>
      </w:r>
      <w:r>
        <w:rPr>
          <w:rFonts w:eastAsia="Roboto"/>
          <w:color w:val="202024"/>
        </w:rPr>
        <w:t>usually</w:t>
      </w:r>
      <w:r>
        <w:rPr>
          <w:rFonts w:eastAsia="Roboto"/>
          <w:color w:val="202024"/>
          <w:spacing w:val="9"/>
        </w:rPr>
        <w:t xml:space="preserve"> </w:t>
      </w:r>
      <w:r>
        <w:rPr>
          <w:rFonts w:eastAsia="Roboto"/>
          <w:color w:val="202024"/>
        </w:rPr>
        <w:t>borne</w:t>
      </w:r>
      <w:r>
        <w:rPr>
          <w:rFonts w:eastAsia="Roboto"/>
          <w:color w:val="202024"/>
          <w:spacing w:val="9"/>
        </w:rPr>
        <w:t xml:space="preserve"> </w:t>
      </w:r>
      <w:r>
        <w:rPr>
          <w:rFonts w:eastAsia="Roboto"/>
          <w:color w:val="202024"/>
        </w:rPr>
        <w:t>out</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lack</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knowledge</w:t>
      </w:r>
      <w:r>
        <w:rPr>
          <w:rFonts w:eastAsia="Roboto"/>
          <w:color w:val="202024"/>
          <w:spacing w:val="9"/>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9"/>
        </w:rPr>
        <w:t xml:space="preserve"> </w:t>
      </w:r>
      <w:r>
        <w:rPr>
          <w:rFonts w:eastAsia="Roboto"/>
          <w:color w:val="202024"/>
        </w:rPr>
        <w:t>principles</w:t>
      </w:r>
      <w:r>
        <w:rPr>
          <w:rFonts w:eastAsia="Roboto"/>
          <w:color w:val="202024"/>
          <w:spacing w:val="9"/>
        </w:rPr>
        <w:t xml:space="preserve"> </w:t>
      </w:r>
      <w:r>
        <w:rPr>
          <w:rFonts w:eastAsia="Roboto"/>
          <w:color w:val="202024"/>
        </w:rPr>
        <w:t>underpinning</w:t>
      </w:r>
      <w:r>
        <w:rPr>
          <w:rFonts w:eastAsia="Roboto"/>
          <w:color w:val="202024"/>
          <w:spacing w:val="9"/>
        </w:rPr>
        <w:t xml:space="preserve"> </w:t>
      </w:r>
      <w:r>
        <w:rPr>
          <w:rFonts w:eastAsia="Roboto"/>
          <w:color w:val="202024"/>
        </w:rPr>
        <w:t>legislative</w:t>
      </w:r>
      <w:r>
        <w:rPr>
          <w:rFonts w:eastAsia="Roboto"/>
          <w:color w:val="202024"/>
          <w:spacing w:val="1"/>
        </w:rPr>
        <w:t xml:space="preserve"> </w:t>
      </w:r>
      <w:r>
        <w:rPr>
          <w:rFonts w:eastAsia="Roboto"/>
          <w:color w:val="202024"/>
        </w:rPr>
        <w:t>drafting</w:t>
      </w:r>
      <w:r>
        <w:rPr>
          <w:rFonts w:eastAsia="Roboto"/>
          <w:color w:val="202024"/>
          <w:spacing w:val="9"/>
        </w:rPr>
        <w:t xml:space="preserve"> </w:t>
      </w:r>
      <w:r>
        <w:rPr>
          <w:rFonts w:eastAsia="Roboto"/>
          <w:color w:val="202024"/>
        </w:rPr>
        <w:t>by</w:t>
      </w:r>
      <w:r>
        <w:rPr>
          <w:rFonts w:eastAsia="Roboto"/>
          <w:color w:val="202024"/>
          <w:spacing w:val="10"/>
        </w:rPr>
        <w:t xml:space="preserve"> </w:t>
      </w:r>
      <w:r>
        <w:rPr>
          <w:rFonts w:eastAsia="Roboto"/>
          <w:color w:val="202024"/>
        </w:rPr>
        <w:t>drafters</w:t>
      </w:r>
      <w:r>
        <w:rPr>
          <w:rFonts w:eastAsia="Roboto"/>
          <w:color w:val="202024"/>
          <w:spacing w:val="9"/>
        </w:rPr>
        <w:t xml:space="preserve"> </w:t>
      </w:r>
      <w:r>
        <w:rPr>
          <w:rFonts w:eastAsia="Roboto"/>
          <w:color w:val="202024"/>
        </w:rPr>
        <w:t>of</w:t>
      </w:r>
      <w:r>
        <w:rPr>
          <w:rFonts w:eastAsia="Roboto"/>
          <w:color w:val="202024"/>
          <w:spacing w:val="10"/>
        </w:rPr>
        <w:t xml:space="preserve"> </w:t>
      </w:r>
      <w:r>
        <w:rPr>
          <w:rFonts w:eastAsia="Roboto"/>
          <w:color w:val="202024"/>
        </w:rPr>
        <w:t>our</w:t>
      </w:r>
      <w:r>
        <w:rPr>
          <w:rFonts w:eastAsia="Roboto"/>
          <w:color w:val="202024"/>
          <w:spacing w:val="10"/>
        </w:rPr>
        <w:t xml:space="preserve"> </w:t>
      </w:r>
      <w:r>
        <w:rPr>
          <w:rFonts w:eastAsia="Roboto"/>
          <w:color w:val="202024"/>
        </w:rPr>
        <w:t>tax</w:t>
      </w:r>
      <w:r>
        <w:rPr>
          <w:rFonts w:eastAsia="Roboto"/>
          <w:color w:val="202024"/>
          <w:spacing w:val="9"/>
        </w:rPr>
        <w:t xml:space="preserve"> </w:t>
      </w:r>
      <w:r>
        <w:rPr>
          <w:rFonts w:eastAsia="Roboto"/>
          <w:color w:val="202024"/>
        </w:rPr>
        <w:t>legislation.</w:t>
      </w:r>
      <w:r>
        <w:rPr>
          <w:rFonts w:eastAsia="Roboto"/>
          <w:color w:val="202024"/>
          <w:spacing w:val="6"/>
        </w:rPr>
        <w:t xml:space="preserve"> </w:t>
      </w:r>
      <w:r>
        <w:rPr>
          <w:rFonts w:eastAsia="Roboto"/>
          <w:color w:val="202024"/>
        </w:rPr>
        <w:t>This</w:t>
      </w:r>
      <w:r>
        <w:rPr>
          <w:rFonts w:eastAsia="Roboto"/>
          <w:color w:val="202024"/>
          <w:spacing w:val="9"/>
        </w:rPr>
        <w:t xml:space="preserve"> </w:t>
      </w:r>
      <w:r>
        <w:rPr>
          <w:rFonts w:eastAsia="Roboto"/>
          <w:color w:val="202024"/>
        </w:rPr>
        <w:t>applies</w:t>
      </w:r>
      <w:r>
        <w:rPr>
          <w:rFonts w:eastAsia="Roboto"/>
          <w:color w:val="202024"/>
          <w:spacing w:val="10"/>
        </w:rPr>
        <w:t xml:space="preserve"> </w:t>
      </w:r>
      <w:r>
        <w:rPr>
          <w:rFonts w:eastAsia="Roboto"/>
          <w:color w:val="202024"/>
        </w:rPr>
        <w:t>to</w:t>
      </w:r>
      <w:r>
        <w:rPr>
          <w:rFonts w:eastAsia="Roboto"/>
          <w:color w:val="202024"/>
          <w:spacing w:val="10"/>
        </w:rPr>
        <w:t xml:space="preserve"> </w:t>
      </w:r>
      <w:r>
        <w:rPr>
          <w:rFonts w:eastAsia="Roboto"/>
          <w:color w:val="202024"/>
        </w:rPr>
        <w:t>most</w:t>
      </w:r>
      <w:r>
        <w:rPr>
          <w:rFonts w:eastAsia="Roboto"/>
          <w:color w:val="202024"/>
          <w:spacing w:val="9"/>
        </w:rPr>
        <w:t xml:space="preserve"> </w:t>
      </w:r>
      <w:r>
        <w:rPr>
          <w:rFonts w:eastAsia="Roboto"/>
          <w:color w:val="202024"/>
        </w:rPr>
        <w:t>legislation</w:t>
      </w:r>
      <w:r>
        <w:rPr>
          <w:rFonts w:eastAsia="Roboto"/>
          <w:color w:val="202024"/>
          <w:spacing w:val="10"/>
        </w:rPr>
        <w:t xml:space="preserve"> </w:t>
      </w:r>
      <w:r>
        <w:rPr>
          <w:rFonts w:eastAsia="Roboto"/>
          <w:color w:val="202024"/>
        </w:rPr>
        <w:t>in</w:t>
      </w:r>
      <w:r>
        <w:rPr>
          <w:rFonts w:eastAsia="Roboto"/>
          <w:color w:val="202024"/>
          <w:spacing w:val="9"/>
        </w:rPr>
        <w:t xml:space="preserve"> </w:t>
      </w:r>
      <w:r>
        <w:rPr>
          <w:rFonts w:eastAsia="Roboto"/>
          <w:color w:val="202024"/>
        </w:rPr>
        <w:t>Nigeria.</w:t>
      </w:r>
      <w:r>
        <w:rPr>
          <w:rFonts w:eastAsia="Roboto"/>
          <w:color w:val="202024"/>
          <w:spacing w:val="10"/>
        </w:rPr>
        <w:t xml:space="preserve"> </w:t>
      </w:r>
      <w:r>
        <w:rPr>
          <w:rFonts w:eastAsia="Roboto"/>
          <w:color w:val="202024"/>
        </w:rPr>
        <w:t>Properly</w:t>
      </w:r>
      <w:r>
        <w:rPr>
          <w:rFonts w:eastAsia="Roboto"/>
          <w:color w:val="202024"/>
          <w:spacing w:val="1"/>
        </w:rPr>
        <w:t xml:space="preserve"> </w:t>
      </w:r>
      <w:r>
        <w:rPr>
          <w:rFonts w:eastAsia="Roboto"/>
          <w:color w:val="202024"/>
        </w:rPr>
        <w:t>trained</w:t>
      </w:r>
      <w:r>
        <w:rPr>
          <w:rFonts w:eastAsia="Roboto"/>
          <w:color w:val="202024"/>
          <w:spacing w:val="10"/>
        </w:rPr>
        <w:t xml:space="preserve"> </w:t>
      </w:r>
      <w:r>
        <w:rPr>
          <w:rFonts w:eastAsia="Roboto"/>
          <w:color w:val="202024"/>
        </w:rPr>
        <w:t>and</w:t>
      </w:r>
      <w:r>
        <w:rPr>
          <w:rFonts w:eastAsia="Roboto"/>
          <w:color w:val="202024"/>
          <w:spacing w:val="11"/>
        </w:rPr>
        <w:t xml:space="preserve"> </w:t>
      </w:r>
      <w:r>
        <w:rPr>
          <w:rFonts w:eastAsia="Roboto"/>
          <w:color w:val="202024"/>
        </w:rPr>
        <w:t>experienced</w:t>
      </w:r>
      <w:r>
        <w:rPr>
          <w:rFonts w:eastAsia="Roboto"/>
          <w:color w:val="202024"/>
          <w:spacing w:val="11"/>
        </w:rPr>
        <w:t xml:space="preserve"> </w:t>
      </w:r>
      <w:r>
        <w:rPr>
          <w:rFonts w:eastAsia="Roboto"/>
          <w:color w:val="202024"/>
        </w:rPr>
        <w:t>legislative</w:t>
      </w:r>
      <w:r>
        <w:rPr>
          <w:rFonts w:eastAsia="Roboto"/>
          <w:color w:val="202024"/>
          <w:spacing w:val="11"/>
        </w:rPr>
        <w:t xml:space="preserve"> </w:t>
      </w:r>
      <w:r>
        <w:rPr>
          <w:rFonts w:eastAsia="Roboto"/>
          <w:color w:val="202024"/>
        </w:rPr>
        <w:t>draftsmen</w:t>
      </w:r>
      <w:r>
        <w:rPr>
          <w:rFonts w:eastAsia="Roboto"/>
          <w:color w:val="202024"/>
          <w:spacing w:val="10"/>
        </w:rPr>
        <w:t xml:space="preserve"> </w:t>
      </w:r>
      <w:r>
        <w:rPr>
          <w:rFonts w:eastAsia="Roboto"/>
          <w:color w:val="202024"/>
        </w:rPr>
        <w:t>as</w:t>
      </w:r>
      <w:r>
        <w:rPr>
          <w:rFonts w:eastAsia="Roboto"/>
          <w:color w:val="202024"/>
          <w:spacing w:val="11"/>
        </w:rPr>
        <w:t xml:space="preserve"> </w:t>
      </w:r>
      <w:r>
        <w:rPr>
          <w:rFonts w:eastAsia="Roboto"/>
          <w:color w:val="202024"/>
        </w:rPr>
        <w:t>usually</w:t>
      </w:r>
      <w:r>
        <w:rPr>
          <w:rFonts w:eastAsia="Roboto"/>
          <w:color w:val="202024"/>
          <w:spacing w:val="11"/>
        </w:rPr>
        <w:t xml:space="preserve"> </w:t>
      </w:r>
      <w:r>
        <w:rPr>
          <w:rFonts w:eastAsia="Roboto"/>
          <w:color w:val="202024"/>
        </w:rPr>
        <w:t>not</w:t>
      </w:r>
      <w:r>
        <w:rPr>
          <w:rFonts w:eastAsia="Roboto"/>
          <w:color w:val="202024"/>
          <w:spacing w:val="11"/>
        </w:rPr>
        <w:t xml:space="preserve"> </w:t>
      </w:r>
      <w:r>
        <w:rPr>
          <w:rFonts w:eastAsia="Roboto"/>
          <w:color w:val="202024"/>
        </w:rPr>
        <w:t>engaged</w:t>
      </w:r>
      <w:r>
        <w:rPr>
          <w:rFonts w:eastAsia="Roboto"/>
          <w:color w:val="202024"/>
          <w:spacing w:val="11"/>
        </w:rPr>
        <w:t xml:space="preserve"> </w:t>
      </w:r>
      <w:r>
        <w:rPr>
          <w:rFonts w:eastAsia="Roboto"/>
          <w:color w:val="202024"/>
        </w:rPr>
        <w:t>to</w:t>
      </w:r>
      <w:r>
        <w:rPr>
          <w:rFonts w:eastAsia="Roboto"/>
          <w:color w:val="202024"/>
          <w:spacing w:val="10"/>
        </w:rPr>
        <w:t xml:space="preserve"> </w:t>
      </w:r>
      <w:r>
        <w:rPr>
          <w:rFonts w:eastAsia="Roboto"/>
          <w:color w:val="202024"/>
        </w:rPr>
        <w:t>draft</w:t>
      </w:r>
      <w:r>
        <w:rPr>
          <w:rFonts w:eastAsia="Roboto"/>
          <w:color w:val="202024"/>
          <w:spacing w:val="11"/>
        </w:rPr>
        <w:t xml:space="preserve"> </w:t>
      </w:r>
      <w:r>
        <w:rPr>
          <w:rFonts w:eastAsia="Roboto"/>
          <w:color w:val="202024"/>
        </w:rPr>
        <w:t>tax</w:t>
      </w:r>
      <w:r>
        <w:rPr>
          <w:rFonts w:eastAsia="Roboto"/>
          <w:color w:val="202024"/>
          <w:spacing w:val="11"/>
        </w:rPr>
        <w:t xml:space="preserve"> </w:t>
      </w:r>
      <w:r>
        <w:rPr>
          <w:rFonts w:eastAsia="Roboto"/>
          <w:color w:val="202024"/>
        </w:rPr>
        <w:t>legislation</w:t>
      </w:r>
      <w:r>
        <w:rPr>
          <w:rFonts w:eastAsia="Roboto"/>
          <w:color w:val="202024"/>
          <w:spacing w:val="11"/>
        </w:rPr>
        <w:t xml:space="preserve"> </w:t>
      </w:r>
      <w:r>
        <w:rPr>
          <w:rFonts w:eastAsia="Roboto"/>
          <w:color w:val="202024"/>
        </w:rPr>
        <w:t>in</w:t>
      </w:r>
      <w:r>
        <w:rPr>
          <w:rFonts w:eastAsia="Roboto"/>
          <w:color w:val="202024"/>
          <w:spacing w:val="-49"/>
        </w:rPr>
        <w:t xml:space="preserve"> </w:t>
      </w:r>
      <w:r>
        <w:rPr>
          <w:rFonts w:eastAsia="Roboto"/>
          <w:color w:val="202024"/>
        </w:rPr>
        <w:t>collaboration</w:t>
      </w:r>
      <w:r>
        <w:rPr>
          <w:rFonts w:eastAsia="Roboto"/>
          <w:color w:val="202024"/>
          <w:spacing w:val="10"/>
        </w:rPr>
        <w:t xml:space="preserve"> </w:t>
      </w:r>
      <w:r>
        <w:rPr>
          <w:rFonts w:eastAsia="Roboto"/>
          <w:color w:val="202024"/>
        </w:rPr>
        <w:t>with</w:t>
      </w:r>
      <w:r>
        <w:rPr>
          <w:rFonts w:eastAsia="Roboto"/>
          <w:color w:val="202024"/>
          <w:spacing w:val="10"/>
        </w:rPr>
        <w:t xml:space="preserve"> </w:t>
      </w:r>
      <w:r>
        <w:rPr>
          <w:rFonts w:eastAsia="Roboto"/>
          <w:color w:val="202024"/>
        </w:rPr>
        <w:t>very</w:t>
      </w:r>
      <w:r>
        <w:rPr>
          <w:rFonts w:eastAsia="Roboto"/>
          <w:color w:val="202024"/>
          <w:spacing w:val="10"/>
        </w:rPr>
        <w:t xml:space="preserve"> </w:t>
      </w:r>
      <w:r>
        <w:rPr>
          <w:rFonts w:eastAsia="Roboto"/>
          <w:color w:val="202024"/>
        </w:rPr>
        <w:t>knowledgeable</w:t>
      </w:r>
      <w:r>
        <w:rPr>
          <w:rFonts w:eastAsia="Roboto"/>
          <w:color w:val="202024"/>
          <w:spacing w:val="10"/>
        </w:rPr>
        <w:t xml:space="preserve"> </w:t>
      </w:r>
      <w:r>
        <w:rPr>
          <w:rFonts w:eastAsia="Roboto"/>
          <w:color w:val="202024"/>
        </w:rPr>
        <w:t>and</w:t>
      </w:r>
      <w:r>
        <w:rPr>
          <w:rFonts w:eastAsia="Roboto"/>
          <w:color w:val="202024"/>
          <w:spacing w:val="10"/>
        </w:rPr>
        <w:t xml:space="preserve"> </w:t>
      </w:r>
      <w:r>
        <w:rPr>
          <w:rFonts w:eastAsia="Roboto"/>
          <w:color w:val="202024"/>
        </w:rPr>
        <w:t>experienced</w:t>
      </w:r>
      <w:r>
        <w:rPr>
          <w:rFonts w:eastAsia="Roboto"/>
          <w:color w:val="202024"/>
          <w:spacing w:val="10"/>
        </w:rPr>
        <w:t xml:space="preserve"> </w:t>
      </w:r>
      <w:r>
        <w:rPr>
          <w:rFonts w:eastAsia="Roboto"/>
          <w:color w:val="202024"/>
        </w:rPr>
        <w:t>tax</w:t>
      </w:r>
      <w:r>
        <w:rPr>
          <w:rFonts w:eastAsia="Roboto"/>
          <w:color w:val="202024"/>
          <w:spacing w:val="11"/>
        </w:rPr>
        <w:t xml:space="preserve"> </w:t>
      </w:r>
      <w:r>
        <w:rPr>
          <w:rFonts w:eastAsia="Roboto"/>
          <w:color w:val="202024"/>
        </w:rPr>
        <w:t>practitioners</w:t>
      </w:r>
      <w:r>
        <w:rPr>
          <w:rFonts w:eastAsia="Roboto"/>
          <w:color w:val="202024"/>
          <w:spacing w:val="10"/>
        </w:rPr>
        <w:t xml:space="preserve"> </w:t>
      </w:r>
      <w:r>
        <w:rPr>
          <w:rFonts w:eastAsia="Roboto"/>
          <w:color w:val="202024"/>
        </w:rPr>
        <w:t>and</w:t>
      </w:r>
      <w:r>
        <w:rPr>
          <w:rFonts w:eastAsia="Roboto"/>
          <w:color w:val="202024"/>
          <w:spacing w:val="10"/>
        </w:rPr>
        <w:t xml:space="preserve"> </w:t>
      </w:r>
      <w:r>
        <w:rPr>
          <w:rFonts w:eastAsia="Roboto"/>
          <w:color w:val="202024"/>
        </w:rPr>
        <w:t>academics.</w:t>
      </w:r>
    </w:p>
    <w:p w14:paraId="0F975BDD">
      <w:pPr>
        <w:widowControl w:val="0"/>
        <w:autoSpaceDE w:val="0"/>
        <w:autoSpaceDN w:val="0"/>
        <w:jc w:val="both"/>
        <w:rPr>
          <w:rFonts w:eastAsia="Roboto"/>
        </w:rPr>
      </w:pPr>
    </w:p>
    <w:p w14:paraId="3CABD4EC">
      <w:pPr>
        <w:widowControl w:val="0"/>
        <w:autoSpaceDE w:val="0"/>
        <w:autoSpaceDN w:val="0"/>
        <w:spacing w:line="285" w:lineRule="auto"/>
        <w:jc w:val="both"/>
        <w:rPr>
          <w:rFonts w:eastAsia="Roboto"/>
        </w:rPr>
      </w:pPr>
      <w:r>
        <w:rPr>
          <w:rFonts w:eastAsia="Roboto"/>
          <w:color w:val="202024"/>
        </w:rPr>
        <w:t>Taxation</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Upstream</w:t>
      </w:r>
      <w:r>
        <w:rPr>
          <w:rFonts w:eastAsia="Roboto"/>
          <w:color w:val="202024"/>
          <w:spacing w:val="9"/>
        </w:rPr>
        <w:t xml:space="preserve"> </w:t>
      </w:r>
      <w:r>
        <w:rPr>
          <w:rFonts w:eastAsia="Roboto"/>
          <w:color w:val="202024"/>
        </w:rPr>
        <w:t>Oil</w:t>
      </w:r>
      <w:r>
        <w:rPr>
          <w:rFonts w:eastAsia="Roboto"/>
          <w:color w:val="202024"/>
          <w:spacing w:val="8"/>
        </w:rPr>
        <w:t xml:space="preserve"> </w:t>
      </w:r>
      <w:r>
        <w:rPr>
          <w:rFonts w:eastAsia="Roboto"/>
          <w:color w:val="202024"/>
        </w:rPr>
        <w:t>&amp;</w:t>
      </w:r>
      <w:r>
        <w:rPr>
          <w:rFonts w:eastAsia="Roboto"/>
          <w:color w:val="202024"/>
          <w:spacing w:val="8"/>
        </w:rPr>
        <w:t xml:space="preserve"> </w:t>
      </w:r>
      <w:r>
        <w:rPr>
          <w:rFonts w:eastAsia="Roboto"/>
          <w:color w:val="202024"/>
        </w:rPr>
        <w:t>Gas</w:t>
      </w:r>
      <w:r>
        <w:rPr>
          <w:rFonts w:eastAsia="Roboto"/>
          <w:color w:val="202024"/>
          <w:spacing w:val="8"/>
        </w:rPr>
        <w:t xml:space="preserve"> </w:t>
      </w:r>
      <w:r>
        <w:rPr>
          <w:rFonts w:eastAsia="Roboto"/>
          <w:color w:val="202024"/>
        </w:rPr>
        <w:t>Industry</w:t>
      </w:r>
      <w:r>
        <w:rPr>
          <w:rFonts w:eastAsia="Roboto"/>
          <w:color w:val="202024"/>
          <w:spacing w:val="9"/>
        </w:rPr>
        <w:t xml:space="preserve"> </w:t>
      </w:r>
      <w:r>
        <w:rPr>
          <w:rFonts w:eastAsia="Roboto"/>
          <w:color w:val="202024"/>
        </w:rPr>
        <w:t>is</w:t>
      </w:r>
      <w:r>
        <w:rPr>
          <w:rFonts w:eastAsia="Roboto"/>
          <w:color w:val="202024"/>
          <w:spacing w:val="8"/>
        </w:rPr>
        <w:t xml:space="preserve"> </w:t>
      </w:r>
      <w:r>
        <w:rPr>
          <w:rFonts w:eastAsia="Roboto"/>
          <w:color w:val="202024"/>
        </w:rPr>
        <w:t>an</w:t>
      </w:r>
      <w:r>
        <w:rPr>
          <w:rFonts w:eastAsia="Roboto"/>
          <w:color w:val="202024"/>
          <w:spacing w:val="8"/>
        </w:rPr>
        <w:t xml:space="preserve"> </w:t>
      </w:r>
      <w:r>
        <w:rPr>
          <w:rFonts w:eastAsia="Roboto"/>
          <w:color w:val="202024"/>
        </w:rPr>
        <w:t>area</w:t>
      </w:r>
      <w:r>
        <w:rPr>
          <w:rFonts w:eastAsia="Roboto"/>
          <w:color w:val="202024"/>
          <w:spacing w:val="8"/>
        </w:rPr>
        <w:t xml:space="preserve"> </w:t>
      </w:r>
      <w:r>
        <w:rPr>
          <w:rFonts w:eastAsia="Roboto"/>
          <w:color w:val="202024"/>
        </w:rPr>
        <w:t>that</w:t>
      </w:r>
      <w:r>
        <w:rPr>
          <w:rFonts w:eastAsia="Roboto"/>
          <w:color w:val="202024"/>
          <w:spacing w:val="9"/>
        </w:rPr>
        <w:t xml:space="preserve"> </w:t>
      </w:r>
      <w:r>
        <w:rPr>
          <w:rFonts w:eastAsia="Roboto"/>
          <w:color w:val="202024"/>
        </w:rPr>
        <w:t>requires</w:t>
      </w:r>
      <w:r>
        <w:rPr>
          <w:rFonts w:eastAsia="Roboto"/>
          <w:color w:val="202024"/>
          <w:spacing w:val="8"/>
        </w:rPr>
        <w:t xml:space="preserve"> </w:t>
      </w:r>
      <w:r>
        <w:rPr>
          <w:rFonts w:eastAsia="Roboto"/>
          <w:color w:val="202024"/>
        </w:rPr>
        <w:t>specialist</w:t>
      </w:r>
      <w:r>
        <w:rPr>
          <w:rFonts w:eastAsia="Roboto"/>
          <w:color w:val="202024"/>
          <w:spacing w:val="8"/>
        </w:rPr>
        <w:t xml:space="preserve"> </w:t>
      </w:r>
      <w:r>
        <w:rPr>
          <w:rFonts w:eastAsia="Roboto"/>
          <w:color w:val="202024"/>
        </w:rPr>
        <w:t>knowledge</w:t>
      </w:r>
      <w:r>
        <w:rPr>
          <w:rFonts w:eastAsia="Roboto"/>
          <w:color w:val="202024"/>
          <w:spacing w:val="8"/>
        </w:rPr>
        <w:t xml:space="preserve"> </w:t>
      </w:r>
      <w:r>
        <w:rPr>
          <w:rFonts w:eastAsia="Roboto"/>
          <w:color w:val="202024"/>
        </w:rPr>
        <w:t>and</w:t>
      </w:r>
      <w:r>
        <w:rPr>
          <w:rFonts w:eastAsia="Roboto"/>
          <w:color w:val="202024"/>
          <w:spacing w:val="1"/>
        </w:rPr>
        <w:t xml:space="preserve"> </w:t>
      </w:r>
      <w:r>
        <w:rPr>
          <w:rFonts w:eastAsia="Roboto"/>
          <w:color w:val="202024"/>
        </w:rPr>
        <w:t>even</w:t>
      </w:r>
      <w:r>
        <w:rPr>
          <w:rFonts w:eastAsia="Roboto"/>
          <w:color w:val="202024"/>
          <w:spacing w:val="12"/>
        </w:rPr>
        <w:t xml:space="preserve"> </w:t>
      </w:r>
      <w:r>
        <w:rPr>
          <w:rFonts w:eastAsia="Roboto"/>
          <w:color w:val="202024"/>
        </w:rPr>
        <w:t>a</w:t>
      </w:r>
      <w:r>
        <w:rPr>
          <w:rFonts w:eastAsia="Roboto"/>
          <w:color w:val="202024"/>
          <w:spacing w:val="12"/>
        </w:rPr>
        <w:t xml:space="preserve"> </w:t>
      </w:r>
      <w:r>
        <w:rPr>
          <w:rFonts w:eastAsia="Roboto"/>
          <w:color w:val="202024"/>
        </w:rPr>
        <w:t>measure</w:t>
      </w:r>
      <w:r>
        <w:rPr>
          <w:rFonts w:eastAsia="Roboto"/>
          <w:color w:val="202024"/>
          <w:spacing w:val="12"/>
        </w:rPr>
        <w:t xml:space="preserve"> </w:t>
      </w:r>
      <w:r>
        <w:rPr>
          <w:rFonts w:eastAsia="Roboto"/>
          <w:color w:val="202024"/>
        </w:rPr>
        <w:t>of</w:t>
      </w:r>
      <w:r>
        <w:rPr>
          <w:rFonts w:eastAsia="Roboto"/>
          <w:color w:val="202024"/>
          <w:spacing w:val="12"/>
        </w:rPr>
        <w:t xml:space="preserve"> </w:t>
      </w:r>
      <w:r>
        <w:rPr>
          <w:rFonts w:eastAsia="Roboto"/>
          <w:color w:val="202024"/>
        </w:rPr>
        <w:t>expertise.</w:t>
      </w:r>
      <w:r>
        <w:rPr>
          <w:rFonts w:eastAsia="Roboto"/>
          <w:color w:val="202024"/>
          <w:spacing w:val="12"/>
        </w:rPr>
        <w:t xml:space="preserve"> </w:t>
      </w:r>
      <w:r>
        <w:rPr>
          <w:rFonts w:eastAsia="Roboto"/>
          <w:color w:val="202024"/>
        </w:rPr>
        <w:t>It</w:t>
      </w:r>
      <w:r>
        <w:rPr>
          <w:rFonts w:eastAsia="Roboto"/>
          <w:color w:val="202024"/>
          <w:spacing w:val="12"/>
        </w:rPr>
        <w:t xml:space="preserve"> </w:t>
      </w:r>
      <w:r>
        <w:rPr>
          <w:rFonts w:eastAsia="Roboto"/>
          <w:color w:val="202024"/>
        </w:rPr>
        <w:t>is</w:t>
      </w:r>
      <w:r>
        <w:rPr>
          <w:rFonts w:eastAsia="Roboto"/>
          <w:color w:val="202024"/>
          <w:spacing w:val="12"/>
        </w:rPr>
        <w:t xml:space="preserve"> </w:t>
      </w:r>
      <w:r>
        <w:rPr>
          <w:rFonts w:eastAsia="Roboto"/>
          <w:color w:val="202024"/>
        </w:rPr>
        <w:t>doubtful</w:t>
      </w:r>
      <w:r>
        <w:rPr>
          <w:rFonts w:eastAsia="Roboto"/>
          <w:color w:val="202024"/>
          <w:spacing w:val="12"/>
        </w:rPr>
        <w:t xml:space="preserve"> </w:t>
      </w:r>
      <w:r>
        <w:rPr>
          <w:rFonts w:eastAsia="Roboto"/>
          <w:color w:val="202024"/>
        </w:rPr>
        <w:t>that</w:t>
      </w:r>
      <w:r>
        <w:rPr>
          <w:rFonts w:eastAsia="Roboto"/>
          <w:color w:val="202024"/>
          <w:spacing w:val="12"/>
        </w:rPr>
        <w:t xml:space="preserve"> </w:t>
      </w:r>
      <w:r>
        <w:rPr>
          <w:rFonts w:eastAsia="Roboto"/>
          <w:color w:val="202024"/>
        </w:rPr>
        <w:t>sufficient</w:t>
      </w:r>
      <w:r>
        <w:rPr>
          <w:rFonts w:eastAsia="Roboto"/>
          <w:color w:val="202024"/>
          <w:spacing w:val="12"/>
        </w:rPr>
        <w:t xml:space="preserve"> </w:t>
      </w:r>
      <w:r>
        <w:rPr>
          <w:rFonts w:eastAsia="Roboto"/>
          <w:color w:val="202024"/>
        </w:rPr>
        <w:t>skills</w:t>
      </w:r>
      <w:r>
        <w:rPr>
          <w:rFonts w:eastAsia="Roboto"/>
          <w:color w:val="202024"/>
          <w:spacing w:val="12"/>
        </w:rPr>
        <w:t xml:space="preserve"> </w:t>
      </w:r>
      <w:r>
        <w:rPr>
          <w:rFonts w:eastAsia="Roboto"/>
          <w:color w:val="202024"/>
        </w:rPr>
        <w:t>exist</w:t>
      </w:r>
      <w:r>
        <w:rPr>
          <w:rFonts w:eastAsia="Roboto"/>
          <w:color w:val="202024"/>
          <w:spacing w:val="12"/>
        </w:rPr>
        <w:t xml:space="preserve"> </w:t>
      </w:r>
      <w:r>
        <w:rPr>
          <w:rFonts w:eastAsia="Roboto"/>
          <w:color w:val="202024"/>
        </w:rPr>
        <w:t>amongst</w:t>
      </w:r>
      <w:r>
        <w:rPr>
          <w:rFonts w:eastAsia="Roboto"/>
          <w:color w:val="202024"/>
          <w:spacing w:val="12"/>
        </w:rPr>
        <w:t xml:space="preserve"> </w:t>
      </w:r>
      <w:r>
        <w:rPr>
          <w:rFonts w:eastAsia="Roboto"/>
          <w:color w:val="202024"/>
        </w:rPr>
        <w:t>the</w:t>
      </w:r>
      <w:r>
        <w:rPr>
          <w:rFonts w:eastAsia="Roboto"/>
          <w:color w:val="202024"/>
          <w:spacing w:val="12"/>
        </w:rPr>
        <w:t xml:space="preserve"> </w:t>
      </w:r>
      <w:r>
        <w:rPr>
          <w:rFonts w:eastAsia="Roboto"/>
          <w:color w:val="202024"/>
        </w:rPr>
        <w:t>identified</w:t>
      </w:r>
      <w:r>
        <w:rPr>
          <w:rFonts w:eastAsia="Roboto"/>
          <w:color w:val="202024"/>
          <w:spacing w:val="12"/>
        </w:rPr>
        <w:t xml:space="preserve"> </w:t>
      </w:r>
      <w:r>
        <w:rPr>
          <w:rFonts w:eastAsia="Roboto"/>
          <w:color w:val="202024"/>
        </w:rPr>
        <w:t>key</w:t>
      </w:r>
      <w:r>
        <w:rPr>
          <w:rFonts w:eastAsia="Roboto"/>
          <w:color w:val="202024"/>
          <w:spacing w:val="-49"/>
        </w:rPr>
        <w:t xml:space="preserve"> </w:t>
      </w:r>
      <w:r>
        <w:rPr>
          <w:rFonts w:eastAsia="Roboto"/>
          <w:color w:val="202024"/>
        </w:rPr>
        <w:t>stakeholders</w:t>
      </w:r>
      <w:r>
        <w:rPr>
          <w:rFonts w:eastAsia="Roboto"/>
          <w:color w:val="202024"/>
          <w:spacing w:val="5"/>
        </w:rPr>
        <w:t xml:space="preserve"> </w:t>
      </w:r>
      <w:r>
        <w:rPr>
          <w:rFonts w:eastAsia="Roboto"/>
          <w:color w:val="202024"/>
        </w:rPr>
        <w:t>to</w:t>
      </w:r>
      <w:r>
        <w:rPr>
          <w:rFonts w:eastAsia="Roboto"/>
          <w:color w:val="202024"/>
          <w:spacing w:val="6"/>
        </w:rPr>
        <w:t xml:space="preserve"> </w:t>
      </w:r>
      <w:r>
        <w:rPr>
          <w:rFonts w:eastAsia="Roboto"/>
          <w:color w:val="202024"/>
        </w:rPr>
        <w:t>enable</w:t>
      </w:r>
      <w:r>
        <w:rPr>
          <w:rFonts w:eastAsia="Roboto"/>
          <w:color w:val="202024"/>
          <w:spacing w:val="5"/>
        </w:rPr>
        <w:t xml:space="preserve"> </w:t>
      </w:r>
      <w:r>
        <w:rPr>
          <w:rFonts w:eastAsia="Roboto"/>
          <w:color w:val="202024"/>
        </w:rPr>
        <w:t>efficiency,</w:t>
      </w:r>
      <w:r>
        <w:rPr>
          <w:rFonts w:eastAsia="Roboto"/>
          <w:color w:val="202024"/>
          <w:spacing w:val="6"/>
        </w:rPr>
        <w:t xml:space="preserve"> </w:t>
      </w:r>
      <w:r>
        <w:rPr>
          <w:rFonts w:eastAsia="Roboto"/>
          <w:color w:val="202024"/>
        </w:rPr>
        <w:t>in</w:t>
      </w:r>
      <w:r>
        <w:rPr>
          <w:rFonts w:eastAsia="Roboto"/>
          <w:color w:val="202024"/>
          <w:spacing w:val="5"/>
        </w:rPr>
        <w:t xml:space="preserve"> </w:t>
      </w:r>
      <w:r>
        <w:rPr>
          <w:rFonts w:eastAsia="Roboto"/>
          <w:color w:val="202024"/>
        </w:rPr>
        <w:t>this</w:t>
      </w:r>
      <w:r>
        <w:rPr>
          <w:rFonts w:eastAsia="Roboto"/>
          <w:color w:val="202024"/>
          <w:spacing w:val="6"/>
        </w:rPr>
        <w:t xml:space="preserve"> </w:t>
      </w:r>
      <w:r>
        <w:rPr>
          <w:rFonts w:eastAsia="Roboto"/>
          <w:color w:val="202024"/>
        </w:rPr>
        <w:t>regard.</w:t>
      </w:r>
    </w:p>
    <w:p w14:paraId="27143EF2">
      <w:pPr>
        <w:widowControl w:val="0"/>
        <w:autoSpaceDE w:val="0"/>
        <w:autoSpaceDN w:val="0"/>
        <w:jc w:val="both"/>
        <w:rPr>
          <w:rFonts w:eastAsia="Roboto"/>
        </w:rPr>
      </w:pPr>
    </w:p>
    <w:p w14:paraId="4EBFA241">
      <w:pPr>
        <w:widowControl w:val="0"/>
        <w:autoSpaceDE w:val="0"/>
        <w:autoSpaceDN w:val="0"/>
        <w:jc w:val="both"/>
        <w:rPr>
          <w:rFonts w:eastAsia="Roboto"/>
        </w:rPr>
      </w:pPr>
      <w:r>
        <w:rPr>
          <w:rFonts w:eastAsia="Roboto"/>
          <w:color w:val="202024"/>
        </w:rPr>
        <w:t>None</w:t>
      </w:r>
    </w:p>
    <w:p w14:paraId="28C07760">
      <w:pPr>
        <w:widowControl w:val="0"/>
        <w:autoSpaceDE w:val="0"/>
        <w:autoSpaceDN w:val="0"/>
        <w:jc w:val="both"/>
        <w:rPr>
          <w:rFonts w:eastAsia="Roboto"/>
        </w:rPr>
      </w:pPr>
    </w:p>
    <w:p w14:paraId="7AB05698">
      <w:pPr>
        <w:widowControl w:val="0"/>
        <w:autoSpaceDE w:val="0"/>
        <w:autoSpaceDN w:val="0"/>
        <w:spacing w:line="285" w:lineRule="auto"/>
        <w:ind w:right="366"/>
        <w:jc w:val="both"/>
        <w:rPr>
          <w:rFonts w:eastAsia="Roboto"/>
        </w:rPr>
      </w:pPr>
      <w:r>
        <w:rPr>
          <w:rFonts w:eastAsia="Roboto"/>
          <w:color w:val="202024"/>
        </w:rPr>
        <w:t>There</w:t>
      </w:r>
      <w:r>
        <w:rPr>
          <w:rFonts w:eastAsia="Roboto"/>
          <w:color w:val="202024"/>
          <w:spacing w:val="6"/>
        </w:rPr>
        <w:t xml:space="preserve"> </w:t>
      </w:r>
      <w:r>
        <w:rPr>
          <w:rFonts w:eastAsia="Roboto"/>
          <w:color w:val="202024"/>
        </w:rPr>
        <w:t>is</w:t>
      </w:r>
      <w:r>
        <w:rPr>
          <w:rFonts w:eastAsia="Roboto"/>
          <w:color w:val="202024"/>
          <w:spacing w:val="6"/>
        </w:rPr>
        <w:t xml:space="preserve"> </w:t>
      </w:r>
      <w:r>
        <w:rPr>
          <w:rFonts w:eastAsia="Roboto"/>
          <w:color w:val="202024"/>
        </w:rPr>
        <w:t>so</w:t>
      </w:r>
      <w:r>
        <w:rPr>
          <w:rFonts w:eastAsia="Roboto"/>
          <w:color w:val="202024"/>
          <w:spacing w:val="6"/>
        </w:rPr>
        <w:t xml:space="preserve"> </w:t>
      </w:r>
      <w:r>
        <w:rPr>
          <w:rFonts w:eastAsia="Roboto"/>
          <w:color w:val="202024"/>
        </w:rPr>
        <w:t>much</w:t>
      </w:r>
      <w:r>
        <w:rPr>
          <w:rFonts w:eastAsia="Roboto"/>
          <w:color w:val="202024"/>
          <w:spacing w:val="6"/>
        </w:rPr>
        <w:t xml:space="preserve"> </w:t>
      </w:r>
      <w:r>
        <w:rPr>
          <w:rFonts w:eastAsia="Roboto"/>
          <w:color w:val="202024"/>
        </w:rPr>
        <w:t>opacity</w:t>
      </w:r>
      <w:r>
        <w:rPr>
          <w:rFonts w:eastAsia="Roboto"/>
          <w:color w:val="202024"/>
          <w:spacing w:val="7"/>
        </w:rPr>
        <w:t xml:space="preserve"> </w:t>
      </w:r>
      <w:r>
        <w:rPr>
          <w:rFonts w:eastAsia="Roboto"/>
          <w:color w:val="202024"/>
        </w:rPr>
        <w:t>in</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oil</w:t>
      </w:r>
      <w:r>
        <w:rPr>
          <w:rFonts w:eastAsia="Roboto"/>
          <w:color w:val="202024"/>
          <w:spacing w:val="6"/>
        </w:rPr>
        <w:t xml:space="preserve"> </w:t>
      </w:r>
      <w:r>
        <w:rPr>
          <w:rFonts w:eastAsia="Roboto"/>
          <w:color w:val="202024"/>
        </w:rPr>
        <w:t>and</w:t>
      </w:r>
      <w:r>
        <w:rPr>
          <w:rFonts w:eastAsia="Roboto"/>
          <w:color w:val="202024"/>
          <w:spacing w:val="7"/>
        </w:rPr>
        <w:t xml:space="preserve"> </w:t>
      </w:r>
      <w:r>
        <w:rPr>
          <w:rFonts w:eastAsia="Roboto"/>
          <w:color w:val="202024"/>
        </w:rPr>
        <w:t>gas</w:t>
      </w:r>
      <w:r>
        <w:rPr>
          <w:rFonts w:eastAsia="Roboto"/>
          <w:color w:val="202024"/>
          <w:spacing w:val="6"/>
        </w:rPr>
        <w:t xml:space="preserve"> </w:t>
      </w:r>
      <w:r>
        <w:rPr>
          <w:rFonts w:eastAsia="Roboto"/>
          <w:color w:val="202024"/>
        </w:rPr>
        <w:t>industry</w:t>
      </w:r>
      <w:r>
        <w:rPr>
          <w:rFonts w:eastAsia="Roboto"/>
          <w:color w:val="202024"/>
          <w:spacing w:val="6"/>
        </w:rPr>
        <w:t xml:space="preserve"> </w:t>
      </w:r>
      <w:r>
        <w:rPr>
          <w:rFonts w:eastAsia="Roboto"/>
          <w:color w:val="202024"/>
        </w:rPr>
        <w:t>such</w:t>
      </w:r>
      <w:r>
        <w:rPr>
          <w:rFonts w:eastAsia="Roboto"/>
          <w:color w:val="202024"/>
          <w:spacing w:val="6"/>
        </w:rPr>
        <w:t xml:space="preserve"> </w:t>
      </w:r>
      <w:r>
        <w:rPr>
          <w:rFonts w:eastAsia="Roboto"/>
          <w:color w:val="202024"/>
        </w:rPr>
        <w:t>the</w:t>
      </w:r>
      <w:r>
        <w:rPr>
          <w:rFonts w:eastAsia="Roboto"/>
          <w:color w:val="202024"/>
          <w:spacing w:val="7"/>
        </w:rPr>
        <w:t xml:space="preserve"> </w:t>
      </w:r>
      <w:r>
        <w:rPr>
          <w:rFonts w:eastAsia="Roboto"/>
          <w:color w:val="202024"/>
        </w:rPr>
        <w:t>rules</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regulations</w:t>
      </w:r>
      <w:r>
        <w:rPr>
          <w:rFonts w:eastAsia="Roboto"/>
          <w:color w:val="202024"/>
          <w:spacing w:val="6"/>
        </w:rPr>
        <w:t xml:space="preserve"> </w:t>
      </w:r>
      <w:r>
        <w:rPr>
          <w:rFonts w:eastAsia="Roboto"/>
          <w:color w:val="202024"/>
        </w:rPr>
        <w:t>are</w:t>
      </w:r>
      <w:r>
        <w:rPr>
          <w:rFonts w:eastAsia="Roboto"/>
          <w:color w:val="202024"/>
          <w:spacing w:val="1"/>
        </w:rPr>
        <w:t xml:space="preserve"> </w:t>
      </w:r>
      <w:r>
        <w:rPr>
          <w:rFonts w:eastAsia="Roboto"/>
          <w:color w:val="202024"/>
        </w:rPr>
        <w:t>observed</w:t>
      </w:r>
      <w:r>
        <w:rPr>
          <w:rFonts w:eastAsia="Roboto"/>
          <w:color w:val="202024"/>
          <w:spacing w:val="7"/>
        </w:rPr>
        <w:t xml:space="preserve"> </w:t>
      </w:r>
      <w:r>
        <w:rPr>
          <w:rFonts w:eastAsia="Roboto"/>
          <w:color w:val="202024"/>
        </w:rPr>
        <w:t>more</w:t>
      </w:r>
      <w:r>
        <w:rPr>
          <w:rFonts w:eastAsia="Roboto"/>
          <w:color w:val="202024"/>
          <w:spacing w:val="7"/>
        </w:rPr>
        <w:t xml:space="preserve"> </w:t>
      </w:r>
      <w:r>
        <w:rPr>
          <w:rFonts w:eastAsia="Roboto"/>
          <w:color w:val="202024"/>
        </w:rPr>
        <w:t>in</w:t>
      </w:r>
      <w:r>
        <w:rPr>
          <w:rFonts w:eastAsia="Roboto"/>
          <w:color w:val="202024"/>
          <w:spacing w:val="8"/>
        </w:rPr>
        <w:t xml:space="preserve"> </w:t>
      </w:r>
      <w:r>
        <w:rPr>
          <w:rFonts w:eastAsia="Roboto"/>
          <w:color w:val="202024"/>
        </w:rPr>
        <w:t>the</w:t>
      </w:r>
      <w:r>
        <w:rPr>
          <w:rFonts w:eastAsia="Roboto"/>
          <w:color w:val="202024"/>
          <w:spacing w:val="7"/>
        </w:rPr>
        <w:t xml:space="preserve"> </w:t>
      </w:r>
      <w:r>
        <w:rPr>
          <w:rFonts w:eastAsia="Roboto"/>
          <w:color w:val="202024"/>
        </w:rPr>
        <w:t>breach.</w:t>
      </w:r>
      <w:r>
        <w:rPr>
          <w:rFonts w:eastAsia="Roboto"/>
          <w:color w:val="202024"/>
          <w:spacing w:val="7"/>
        </w:rPr>
        <w:t xml:space="preserve"> </w:t>
      </w:r>
      <w:r>
        <w:rPr>
          <w:rFonts w:eastAsia="Roboto"/>
          <w:color w:val="202024"/>
        </w:rPr>
        <w:t>Rules</w:t>
      </w:r>
      <w:r>
        <w:rPr>
          <w:rFonts w:eastAsia="Roboto"/>
          <w:color w:val="202024"/>
          <w:spacing w:val="8"/>
        </w:rPr>
        <w:t xml:space="preserve"> </w:t>
      </w:r>
      <w:r>
        <w:rPr>
          <w:rFonts w:eastAsia="Roboto"/>
          <w:color w:val="202024"/>
        </w:rPr>
        <w:t>are</w:t>
      </w:r>
      <w:r>
        <w:rPr>
          <w:rFonts w:eastAsia="Roboto"/>
          <w:color w:val="202024"/>
          <w:spacing w:val="7"/>
        </w:rPr>
        <w:t xml:space="preserve"> </w:t>
      </w:r>
      <w:r>
        <w:rPr>
          <w:rFonts w:eastAsia="Roboto"/>
          <w:color w:val="202024"/>
        </w:rPr>
        <w:t>generally</w:t>
      </w:r>
      <w:r>
        <w:rPr>
          <w:rFonts w:eastAsia="Roboto"/>
          <w:color w:val="202024"/>
          <w:spacing w:val="8"/>
        </w:rPr>
        <w:t xml:space="preserve"> </w:t>
      </w:r>
      <w:r>
        <w:rPr>
          <w:rFonts w:eastAsia="Roboto"/>
          <w:color w:val="202024"/>
        </w:rPr>
        <w:t>interpreted</w:t>
      </w:r>
      <w:r>
        <w:rPr>
          <w:rFonts w:eastAsia="Roboto"/>
          <w:color w:val="202024"/>
          <w:spacing w:val="7"/>
        </w:rPr>
        <w:t xml:space="preserve"> </w:t>
      </w:r>
      <w:r>
        <w:rPr>
          <w:rFonts w:eastAsia="Roboto"/>
          <w:color w:val="202024"/>
        </w:rPr>
        <w:t>in</w:t>
      </w:r>
      <w:r>
        <w:rPr>
          <w:rFonts w:eastAsia="Roboto"/>
          <w:color w:val="202024"/>
          <w:spacing w:val="7"/>
        </w:rPr>
        <w:t xml:space="preserve"> </w:t>
      </w:r>
      <w:r>
        <w:rPr>
          <w:rFonts w:eastAsia="Roboto"/>
          <w:color w:val="202024"/>
        </w:rPr>
        <w:t>ways</w:t>
      </w:r>
      <w:r>
        <w:rPr>
          <w:rFonts w:eastAsia="Roboto"/>
          <w:color w:val="202024"/>
          <w:spacing w:val="8"/>
        </w:rPr>
        <w:t xml:space="preserve"> </w:t>
      </w:r>
      <w:r>
        <w:rPr>
          <w:rFonts w:eastAsia="Roboto"/>
          <w:color w:val="202024"/>
        </w:rPr>
        <w:t>that</w:t>
      </w:r>
      <w:r>
        <w:rPr>
          <w:rFonts w:eastAsia="Roboto"/>
          <w:color w:val="202024"/>
          <w:spacing w:val="7"/>
        </w:rPr>
        <w:t xml:space="preserve"> </w:t>
      </w:r>
      <w:r>
        <w:rPr>
          <w:rFonts w:eastAsia="Roboto"/>
          <w:color w:val="202024"/>
        </w:rPr>
        <w:t>do</w:t>
      </w:r>
      <w:r>
        <w:rPr>
          <w:rFonts w:eastAsia="Roboto"/>
          <w:color w:val="202024"/>
          <w:spacing w:val="7"/>
        </w:rPr>
        <w:t xml:space="preserve"> </w:t>
      </w:r>
      <w:r>
        <w:rPr>
          <w:rFonts w:eastAsia="Roboto"/>
          <w:color w:val="202024"/>
        </w:rPr>
        <w:t>not</w:t>
      </w:r>
      <w:r>
        <w:rPr>
          <w:rFonts w:eastAsia="Roboto"/>
          <w:color w:val="202024"/>
          <w:spacing w:val="8"/>
        </w:rPr>
        <w:t xml:space="preserve"> </w:t>
      </w:r>
      <w:r>
        <w:rPr>
          <w:rFonts w:eastAsia="Roboto"/>
          <w:color w:val="202024"/>
        </w:rPr>
        <w:t>serve</w:t>
      </w:r>
      <w:r>
        <w:rPr>
          <w:rFonts w:eastAsia="Roboto"/>
          <w:color w:val="202024"/>
          <w:spacing w:val="7"/>
        </w:rPr>
        <w:t xml:space="preserve"> </w:t>
      </w:r>
      <w:r>
        <w:rPr>
          <w:rFonts w:eastAsia="Roboto"/>
          <w:color w:val="202024"/>
        </w:rPr>
        <w:t>the</w:t>
      </w:r>
      <w:r>
        <w:rPr>
          <w:rFonts w:eastAsia="Roboto"/>
          <w:color w:val="202024"/>
          <w:spacing w:val="1"/>
        </w:rPr>
        <w:t xml:space="preserve"> </w:t>
      </w:r>
      <w:r>
        <w:rPr>
          <w:rFonts w:eastAsia="Roboto"/>
          <w:color w:val="202024"/>
        </w:rPr>
        <w:t>common</w:t>
      </w:r>
      <w:r>
        <w:rPr>
          <w:rFonts w:eastAsia="Roboto"/>
          <w:color w:val="202024"/>
          <w:spacing w:val="10"/>
        </w:rPr>
        <w:t xml:space="preserve"> </w:t>
      </w:r>
      <w:r>
        <w:rPr>
          <w:rFonts w:eastAsia="Roboto"/>
          <w:color w:val="202024"/>
        </w:rPr>
        <w:t>good</w:t>
      </w:r>
      <w:r>
        <w:rPr>
          <w:rFonts w:eastAsia="Roboto"/>
          <w:color w:val="202024"/>
          <w:spacing w:val="10"/>
        </w:rPr>
        <w:t xml:space="preserve"> </w:t>
      </w:r>
      <w:r>
        <w:rPr>
          <w:rFonts w:eastAsia="Roboto"/>
          <w:color w:val="202024"/>
        </w:rPr>
        <w:t>but</w:t>
      </w:r>
      <w:r>
        <w:rPr>
          <w:rFonts w:eastAsia="Roboto"/>
          <w:color w:val="202024"/>
          <w:spacing w:val="10"/>
        </w:rPr>
        <w:t xml:space="preserve"> </w:t>
      </w:r>
      <w:r>
        <w:rPr>
          <w:rFonts w:eastAsia="Roboto"/>
          <w:color w:val="202024"/>
        </w:rPr>
        <w:t>are</w:t>
      </w:r>
      <w:r>
        <w:rPr>
          <w:rFonts w:eastAsia="Roboto"/>
          <w:color w:val="202024"/>
          <w:spacing w:val="10"/>
        </w:rPr>
        <w:t xml:space="preserve"> </w:t>
      </w:r>
      <w:r>
        <w:rPr>
          <w:rFonts w:eastAsia="Roboto"/>
          <w:color w:val="202024"/>
        </w:rPr>
        <w:t>tailored</w:t>
      </w:r>
      <w:r>
        <w:rPr>
          <w:rFonts w:eastAsia="Roboto"/>
          <w:color w:val="202024"/>
          <w:spacing w:val="10"/>
        </w:rPr>
        <w:t xml:space="preserve"> </w:t>
      </w:r>
      <w:r>
        <w:rPr>
          <w:rFonts w:eastAsia="Roboto"/>
          <w:color w:val="202024"/>
        </w:rPr>
        <w:t>to</w:t>
      </w:r>
      <w:r>
        <w:rPr>
          <w:rFonts w:eastAsia="Roboto"/>
          <w:color w:val="202024"/>
          <w:spacing w:val="10"/>
        </w:rPr>
        <w:t xml:space="preserve"> </w:t>
      </w:r>
      <w:r>
        <w:rPr>
          <w:rFonts w:eastAsia="Roboto"/>
          <w:color w:val="202024"/>
        </w:rPr>
        <w:t>suit</w:t>
      </w:r>
      <w:r>
        <w:rPr>
          <w:rFonts w:eastAsia="Roboto"/>
          <w:color w:val="202024"/>
          <w:spacing w:val="10"/>
        </w:rPr>
        <w:t xml:space="preserve"> </w:t>
      </w:r>
      <w:r>
        <w:rPr>
          <w:rFonts w:eastAsia="Roboto"/>
          <w:color w:val="202024"/>
        </w:rPr>
        <w:t>particular</w:t>
      </w:r>
      <w:r>
        <w:rPr>
          <w:rFonts w:eastAsia="Roboto"/>
          <w:color w:val="202024"/>
          <w:spacing w:val="10"/>
        </w:rPr>
        <w:t xml:space="preserve"> </w:t>
      </w:r>
      <w:r>
        <w:rPr>
          <w:rFonts w:eastAsia="Roboto"/>
          <w:color w:val="202024"/>
        </w:rPr>
        <w:t>interests</w:t>
      </w:r>
      <w:r>
        <w:rPr>
          <w:rFonts w:eastAsia="Roboto"/>
          <w:color w:val="202024"/>
          <w:spacing w:val="10"/>
        </w:rPr>
        <w:t xml:space="preserve"> </w:t>
      </w:r>
      <w:r>
        <w:rPr>
          <w:rFonts w:eastAsia="Roboto"/>
          <w:color w:val="202024"/>
        </w:rPr>
        <w:t>that</w:t>
      </w:r>
      <w:r>
        <w:rPr>
          <w:rFonts w:eastAsia="Roboto"/>
          <w:color w:val="202024"/>
          <w:spacing w:val="10"/>
        </w:rPr>
        <w:t xml:space="preserve"> </w:t>
      </w:r>
      <w:r>
        <w:rPr>
          <w:rFonts w:eastAsia="Roboto"/>
          <w:color w:val="202024"/>
        </w:rPr>
        <w:t>do</w:t>
      </w:r>
      <w:r>
        <w:rPr>
          <w:rFonts w:eastAsia="Roboto"/>
          <w:color w:val="202024"/>
          <w:spacing w:val="10"/>
        </w:rPr>
        <w:t xml:space="preserve"> </w:t>
      </w:r>
      <w:r>
        <w:rPr>
          <w:rFonts w:eastAsia="Roboto"/>
          <w:color w:val="202024"/>
        </w:rPr>
        <w:t>not</w:t>
      </w:r>
      <w:r>
        <w:rPr>
          <w:rFonts w:eastAsia="Roboto"/>
          <w:color w:val="202024"/>
          <w:spacing w:val="10"/>
        </w:rPr>
        <w:t xml:space="preserve"> </w:t>
      </w:r>
      <w:r>
        <w:rPr>
          <w:rFonts w:eastAsia="Roboto"/>
          <w:color w:val="202024"/>
        </w:rPr>
        <w:t>serve</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public</w:t>
      </w:r>
      <w:r>
        <w:rPr>
          <w:rFonts w:eastAsia="Roboto"/>
          <w:color w:val="202024"/>
          <w:spacing w:val="10"/>
        </w:rPr>
        <w:t xml:space="preserve"> </w:t>
      </w:r>
      <w:r>
        <w:rPr>
          <w:rFonts w:eastAsia="Roboto"/>
          <w:color w:val="202024"/>
        </w:rPr>
        <w:t>interest.</w:t>
      </w:r>
    </w:p>
    <w:p w14:paraId="59F6F250">
      <w:pPr>
        <w:widowControl w:val="0"/>
        <w:autoSpaceDE w:val="0"/>
        <w:autoSpaceDN w:val="0"/>
        <w:jc w:val="both"/>
        <w:rPr>
          <w:rFonts w:eastAsia="Roboto"/>
        </w:rPr>
      </w:pPr>
    </w:p>
    <w:p w14:paraId="71BAD2E2">
      <w:pPr>
        <w:widowControl w:val="0"/>
        <w:autoSpaceDE w:val="0"/>
        <w:autoSpaceDN w:val="0"/>
        <w:spacing w:line="285" w:lineRule="auto"/>
        <w:ind w:right="808"/>
        <w:jc w:val="both"/>
        <w:rPr>
          <w:rFonts w:eastAsia="Roboto"/>
        </w:rPr>
      </w:pPr>
      <w:r>
        <w:rPr>
          <w:rFonts w:eastAsia="Roboto"/>
          <w:color w:val="202024"/>
        </w:rPr>
        <w:t>There</w:t>
      </w:r>
      <w:r>
        <w:rPr>
          <w:rFonts w:eastAsia="Roboto"/>
          <w:color w:val="202024"/>
          <w:spacing w:val="11"/>
        </w:rPr>
        <w:t xml:space="preserve"> </w:t>
      </w:r>
      <w:r>
        <w:rPr>
          <w:rFonts w:eastAsia="Roboto"/>
          <w:color w:val="202024"/>
        </w:rPr>
        <w:t>is</w:t>
      </w:r>
      <w:r>
        <w:rPr>
          <w:rFonts w:eastAsia="Roboto"/>
          <w:color w:val="202024"/>
          <w:spacing w:val="11"/>
        </w:rPr>
        <w:t xml:space="preserve"> </w:t>
      </w:r>
      <w:r>
        <w:rPr>
          <w:rFonts w:eastAsia="Roboto"/>
          <w:color w:val="202024"/>
        </w:rPr>
        <w:t>much</w:t>
      </w:r>
      <w:r>
        <w:rPr>
          <w:rFonts w:eastAsia="Roboto"/>
          <w:color w:val="202024"/>
          <w:spacing w:val="12"/>
        </w:rPr>
        <w:t xml:space="preserve"> </w:t>
      </w:r>
      <w:r>
        <w:rPr>
          <w:rFonts w:eastAsia="Roboto"/>
          <w:color w:val="202024"/>
        </w:rPr>
        <w:t>room</w:t>
      </w:r>
      <w:r>
        <w:rPr>
          <w:rFonts w:eastAsia="Roboto"/>
          <w:color w:val="202024"/>
          <w:spacing w:val="11"/>
        </w:rPr>
        <w:t xml:space="preserve"> </w:t>
      </w:r>
      <w:r>
        <w:rPr>
          <w:rFonts w:eastAsia="Roboto"/>
          <w:color w:val="202024"/>
        </w:rPr>
        <w:t>for</w:t>
      </w:r>
      <w:r>
        <w:rPr>
          <w:rFonts w:eastAsia="Roboto"/>
          <w:color w:val="202024"/>
          <w:spacing w:val="11"/>
        </w:rPr>
        <w:t xml:space="preserve"> </w:t>
      </w:r>
      <w:r>
        <w:rPr>
          <w:rFonts w:eastAsia="Roboto"/>
          <w:color w:val="202024"/>
        </w:rPr>
        <w:t>improvement</w:t>
      </w:r>
      <w:r>
        <w:rPr>
          <w:rFonts w:eastAsia="Roboto"/>
          <w:color w:val="202024"/>
          <w:spacing w:val="12"/>
        </w:rPr>
        <w:t xml:space="preserve"> </w:t>
      </w:r>
      <w:r>
        <w:rPr>
          <w:rFonts w:eastAsia="Roboto"/>
          <w:color w:val="202024"/>
        </w:rPr>
        <w:t>in</w:t>
      </w:r>
      <w:r>
        <w:rPr>
          <w:rFonts w:eastAsia="Roboto"/>
          <w:color w:val="202024"/>
          <w:spacing w:val="11"/>
        </w:rPr>
        <w:t xml:space="preserve"> </w:t>
      </w:r>
      <w:r>
        <w:rPr>
          <w:rFonts w:eastAsia="Roboto"/>
          <w:color w:val="202024"/>
        </w:rPr>
        <w:t>taxation</w:t>
      </w:r>
      <w:r>
        <w:rPr>
          <w:rFonts w:eastAsia="Roboto"/>
          <w:color w:val="202024"/>
          <w:spacing w:val="12"/>
        </w:rPr>
        <w:t xml:space="preserve"> </w:t>
      </w:r>
      <w:r>
        <w:rPr>
          <w:rFonts w:eastAsia="Roboto"/>
          <w:color w:val="202024"/>
        </w:rPr>
        <w:t>principles</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policies</w:t>
      </w:r>
      <w:r>
        <w:rPr>
          <w:rFonts w:eastAsia="Roboto"/>
          <w:color w:val="202024"/>
          <w:spacing w:val="12"/>
        </w:rPr>
        <w:t xml:space="preserve"> </w:t>
      </w:r>
      <w:r>
        <w:rPr>
          <w:rFonts w:eastAsia="Roboto"/>
          <w:color w:val="202024"/>
        </w:rPr>
        <w:t>and</w:t>
      </w:r>
      <w:r>
        <w:rPr>
          <w:rFonts w:eastAsia="Roboto"/>
          <w:color w:val="202024"/>
          <w:spacing w:val="11"/>
        </w:rPr>
        <w:t xml:space="preserve"> </w:t>
      </w:r>
      <w:r>
        <w:rPr>
          <w:rFonts w:eastAsia="Roboto"/>
          <w:color w:val="202024"/>
        </w:rPr>
        <w:t>allocation</w:t>
      </w:r>
      <w:r>
        <w:rPr>
          <w:rFonts w:eastAsia="Roboto"/>
          <w:color w:val="202024"/>
          <w:spacing w:val="12"/>
        </w:rPr>
        <w:t xml:space="preserve"> </w:t>
      </w:r>
      <w:r>
        <w:rPr>
          <w:rFonts w:eastAsia="Roboto"/>
          <w:color w:val="202024"/>
        </w:rPr>
        <w:t>of</w:t>
      </w:r>
      <w:r>
        <w:rPr>
          <w:rFonts w:eastAsia="Roboto"/>
          <w:color w:val="202024"/>
          <w:spacing w:val="-50"/>
        </w:rPr>
        <w:t xml:space="preserve"> </w:t>
      </w:r>
      <w:r>
        <w:rPr>
          <w:rFonts w:eastAsia="Roboto"/>
          <w:color w:val="202024"/>
        </w:rPr>
        <w:t>scope</w:t>
      </w:r>
      <w:r>
        <w:rPr>
          <w:rFonts w:eastAsia="Roboto"/>
          <w:color w:val="202024"/>
          <w:spacing w:val="10"/>
        </w:rPr>
        <w:t xml:space="preserve"> </w:t>
      </w:r>
      <w:r>
        <w:rPr>
          <w:rFonts w:eastAsia="Roboto"/>
          <w:color w:val="202024"/>
        </w:rPr>
        <w:t>and</w:t>
      </w:r>
      <w:r>
        <w:rPr>
          <w:rFonts w:eastAsia="Roboto"/>
          <w:color w:val="202024"/>
          <w:spacing w:val="10"/>
        </w:rPr>
        <w:t xml:space="preserve"> </w:t>
      </w:r>
      <w:r>
        <w:rPr>
          <w:rFonts w:eastAsia="Roboto"/>
          <w:color w:val="202024"/>
        </w:rPr>
        <w:t>power</w:t>
      </w:r>
      <w:r>
        <w:rPr>
          <w:rFonts w:eastAsia="Roboto"/>
          <w:color w:val="202024"/>
          <w:spacing w:val="10"/>
        </w:rPr>
        <w:t xml:space="preserve"> </w:t>
      </w:r>
      <w:r>
        <w:rPr>
          <w:rFonts w:eastAsia="Roboto"/>
          <w:color w:val="202024"/>
        </w:rPr>
        <w:t>between</w:t>
      </w:r>
      <w:r>
        <w:rPr>
          <w:rFonts w:eastAsia="Roboto"/>
          <w:color w:val="202024"/>
          <w:spacing w:val="11"/>
        </w:rPr>
        <w:t xml:space="preserve"> </w:t>
      </w:r>
      <w:r>
        <w:rPr>
          <w:rFonts w:eastAsia="Roboto"/>
          <w:color w:val="202024"/>
        </w:rPr>
        <w:t>the</w:t>
      </w:r>
      <w:r>
        <w:rPr>
          <w:rFonts w:eastAsia="Roboto"/>
          <w:color w:val="202024"/>
          <w:spacing w:val="10"/>
        </w:rPr>
        <w:t xml:space="preserve"> </w:t>
      </w:r>
      <w:r>
        <w:rPr>
          <w:rFonts w:eastAsia="Roboto"/>
          <w:color w:val="202024"/>
        </w:rPr>
        <w:t>different</w:t>
      </w:r>
      <w:r>
        <w:rPr>
          <w:rFonts w:eastAsia="Roboto"/>
          <w:color w:val="202024"/>
          <w:spacing w:val="10"/>
        </w:rPr>
        <w:t xml:space="preserve"> </w:t>
      </w:r>
      <w:r>
        <w:rPr>
          <w:rFonts w:eastAsia="Roboto"/>
          <w:color w:val="202024"/>
        </w:rPr>
        <w:t>levels</w:t>
      </w:r>
      <w:r>
        <w:rPr>
          <w:rFonts w:eastAsia="Roboto"/>
          <w:color w:val="202024"/>
          <w:spacing w:val="10"/>
        </w:rPr>
        <w:t xml:space="preserve"> </w:t>
      </w:r>
      <w:r>
        <w:rPr>
          <w:rFonts w:eastAsia="Roboto"/>
          <w:color w:val="202024"/>
        </w:rPr>
        <w:t>of</w:t>
      </w:r>
      <w:r>
        <w:rPr>
          <w:rFonts w:eastAsia="Roboto"/>
          <w:color w:val="202024"/>
          <w:spacing w:val="11"/>
        </w:rPr>
        <w:t xml:space="preserve"> </w:t>
      </w:r>
      <w:r>
        <w:rPr>
          <w:rFonts w:eastAsia="Roboto"/>
          <w:color w:val="202024"/>
        </w:rPr>
        <w:t>government</w:t>
      </w:r>
      <w:r>
        <w:rPr>
          <w:rFonts w:eastAsia="Roboto"/>
          <w:color w:val="202024"/>
          <w:spacing w:val="10"/>
        </w:rPr>
        <w:t xml:space="preserve"> </w:t>
      </w:r>
      <w:r>
        <w:rPr>
          <w:rFonts w:eastAsia="Roboto"/>
          <w:color w:val="202024"/>
        </w:rPr>
        <w:t>and</w:t>
      </w:r>
      <w:r>
        <w:rPr>
          <w:rFonts w:eastAsia="Roboto"/>
          <w:color w:val="202024"/>
          <w:spacing w:val="10"/>
        </w:rPr>
        <w:t xml:space="preserve"> </w:t>
      </w:r>
      <w:r>
        <w:rPr>
          <w:rFonts w:eastAsia="Roboto"/>
          <w:color w:val="202024"/>
        </w:rPr>
        <w:t>taxation</w:t>
      </w:r>
      <w:r>
        <w:rPr>
          <w:rFonts w:eastAsia="Roboto"/>
          <w:color w:val="202024"/>
          <w:spacing w:val="11"/>
        </w:rPr>
        <w:t xml:space="preserve"> </w:t>
      </w:r>
      <w:r>
        <w:rPr>
          <w:rFonts w:eastAsia="Roboto"/>
          <w:color w:val="202024"/>
        </w:rPr>
        <w:t>authorities</w:t>
      </w:r>
    </w:p>
    <w:p w14:paraId="2739108E">
      <w:pPr>
        <w:widowControl w:val="0"/>
        <w:autoSpaceDE w:val="0"/>
        <w:autoSpaceDN w:val="0"/>
        <w:jc w:val="both"/>
        <w:rPr>
          <w:rFonts w:eastAsia="Roboto"/>
        </w:rPr>
      </w:pPr>
    </w:p>
    <w:p w14:paraId="533CD327">
      <w:pPr>
        <w:widowControl w:val="0"/>
        <w:autoSpaceDE w:val="0"/>
        <w:autoSpaceDN w:val="0"/>
        <w:spacing w:before="1" w:line="285" w:lineRule="auto"/>
        <w:ind w:right="272"/>
        <w:jc w:val="both"/>
        <w:rPr>
          <w:rFonts w:eastAsia="Roboto"/>
        </w:rPr>
      </w:pPr>
      <w:r>
        <w:rPr>
          <w:rFonts w:eastAsia="Roboto"/>
          <w:color w:val="202024"/>
        </w:rPr>
        <w:t>The</w:t>
      </w:r>
      <w:r>
        <w:rPr>
          <w:rFonts w:eastAsia="Roboto"/>
          <w:color w:val="202024"/>
          <w:spacing w:val="6"/>
        </w:rPr>
        <w:t xml:space="preserve"> </w:t>
      </w:r>
      <w:r>
        <w:rPr>
          <w:rFonts w:eastAsia="Roboto"/>
          <w:color w:val="202024"/>
        </w:rPr>
        <w:t>National</w:t>
      </w:r>
      <w:r>
        <w:rPr>
          <w:rFonts w:eastAsia="Roboto"/>
          <w:color w:val="202024"/>
          <w:spacing w:val="3"/>
        </w:rPr>
        <w:t xml:space="preserve"> </w:t>
      </w:r>
      <w:r>
        <w:rPr>
          <w:rFonts w:eastAsia="Roboto"/>
          <w:color w:val="202024"/>
        </w:rPr>
        <w:t>Tax</w:t>
      </w:r>
      <w:r>
        <w:rPr>
          <w:rFonts w:eastAsia="Roboto"/>
          <w:color w:val="202024"/>
          <w:spacing w:val="6"/>
        </w:rPr>
        <w:t xml:space="preserve"> </w:t>
      </w:r>
      <w:r>
        <w:rPr>
          <w:rFonts w:eastAsia="Roboto"/>
          <w:color w:val="202024"/>
        </w:rPr>
        <w:t>Policy</w:t>
      </w:r>
      <w:r>
        <w:rPr>
          <w:rFonts w:eastAsia="Roboto"/>
          <w:color w:val="202024"/>
          <w:spacing w:val="7"/>
        </w:rPr>
        <w:t xml:space="preserve"> </w:t>
      </w:r>
      <w:r>
        <w:rPr>
          <w:rFonts w:eastAsia="Roboto"/>
          <w:color w:val="202024"/>
        </w:rPr>
        <w:t>(NTP)</w:t>
      </w:r>
      <w:r>
        <w:rPr>
          <w:rFonts w:eastAsia="Roboto"/>
          <w:color w:val="202024"/>
          <w:spacing w:val="7"/>
        </w:rPr>
        <w:t xml:space="preserve"> </w:t>
      </w:r>
      <w:r>
        <w:rPr>
          <w:rFonts w:eastAsia="Roboto"/>
          <w:color w:val="202024"/>
        </w:rPr>
        <w:t>is</w:t>
      </w:r>
      <w:r>
        <w:rPr>
          <w:rFonts w:eastAsia="Roboto"/>
          <w:color w:val="202024"/>
          <w:spacing w:val="6"/>
        </w:rPr>
        <w:t xml:space="preserve"> </w:t>
      </w:r>
      <w:r>
        <w:rPr>
          <w:rFonts w:eastAsia="Roboto"/>
          <w:color w:val="202024"/>
        </w:rPr>
        <w:t>a</w:t>
      </w:r>
      <w:r>
        <w:rPr>
          <w:rFonts w:eastAsia="Roboto"/>
          <w:color w:val="202024"/>
          <w:spacing w:val="7"/>
        </w:rPr>
        <w:t xml:space="preserve"> </w:t>
      </w:r>
      <w:r>
        <w:rPr>
          <w:rFonts w:eastAsia="Roboto"/>
          <w:color w:val="202024"/>
        </w:rPr>
        <w:t>keystone</w:t>
      </w:r>
      <w:r>
        <w:rPr>
          <w:rFonts w:eastAsia="Roboto"/>
          <w:color w:val="202024"/>
          <w:spacing w:val="7"/>
        </w:rPr>
        <w:t xml:space="preserve"> </w:t>
      </w:r>
      <w:r>
        <w:rPr>
          <w:rFonts w:eastAsia="Roboto"/>
          <w:color w:val="202024"/>
        </w:rPr>
        <w:t>in</w:t>
      </w:r>
      <w:r>
        <w:rPr>
          <w:rFonts w:eastAsia="Roboto"/>
          <w:color w:val="202024"/>
          <w:spacing w:val="6"/>
        </w:rPr>
        <w:t xml:space="preserve"> </w:t>
      </w:r>
      <w:r>
        <w:rPr>
          <w:rFonts w:eastAsia="Roboto"/>
          <w:color w:val="202024"/>
        </w:rPr>
        <w:t>evolving</w:t>
      </w:r>
      <w:r>
        <w:rPr>
          <w:rFonts w:eastAsia="Roboto"/>
          <w:color w:val="202024"/>
          <w:spacing w:val="7"/>
        </w:rPr>
        <w:t xml:space="preserve"> </w:t>
      </w:r>
      <w:r>
        <w:rPr>
          <w:rFonts w:eastAsia="Roboto"/>
          <w:color w:val="202024"/>
        </w:rPr>
        <w:t>a</w:t>
      </w:r>
      <w:r>
        <w:rPr>
          <w:rFonts w:eastAsia="Roboto"/>
          <w:color w:val="202024"/>
          <w:spacing w:val="7"/>
        </w:rPr>
        <w:t xml:space="preserve"> </w:t>
      </w:r>
      <w:r>
        <w:rPr>
          <w:rFonts w:eastAsia="Roboto"/>
          <w:color w:val="202024"/>
        </w:rPr>
        <w:t>tax</w:t>
      </w:r>
      <w:r>
        <w:rPr>
          <w:rFonts w:eastAsia="Roboto"/>
          <w:color w:val="202024"/>
          <w:spacing w:val="6"/>
        </w:rPr>
        <w:t xml:space="preserve"> </w:t>
      </w:r>
      <w:r>
        <w:rPr>
          <w:rFonts w:eastAsia="Roboto"/>
          <w:color w:val="202024"/>
        </w:rPr>
        <w:t>system</w:t>
      </w:r>
      <w:r>
        <w:rPr>
          <w:rFonts w:eastAsia="Roboto"/>
          <w:color w:val="202024"/>
          <w:spacing w:val="7"/>
        </w:rPr>
        <w:t xml:space="preserve"> </w:t>
      </w:r>
      <w:r>
        <w:rPr>
          <w:rFonts w:eastAsia="Roboto"/>
          <w:color w:val="202024"/>
        </w:rPr>
        <w:t>that</w:t>
      </w:r>
      <w:r>
        <w:rPr>
          <w:rFonts w:eastAsia="Roboto"/>
          <w:color w:val="202024"/>
          <w:spacing w:val="7"/>
        </w:rPr>
        <w:t xml:space="preserve"> </w:t>
      </w:r>
      <w:r>
        <w:rPr>
          <w:rFonts w:eastAsia="Roboto"/>
          <w:color w:val="202024"/>
        </w:rPr>
        <w:t>addresses</w:t>
      </w:r>
      <w:r>
        <w:rPr>
          <w:rFonts w:eastAsia="Roboto"/>
          <w:color w:val="202024"/>
          <w:spacing w:val="6"/>
        </w:rPr>
        <w:t xml:space="preserve"> </w:t>
      </w:r>
      <w:r>
        <w:rPr>
          <w:rFonts w:eastAsia="Roboto"/>
          <w:color w:val="202024"/>
        </w:rPr>
        <w:t>the</w:t>
      </w:r>
      <w:r>
        <w:rPr>
          <w:rFonts w:eastAsia="Roboto"/>
          <w:color w:val="202024"/>
          <w:spacing w:val="1"/>
        </w:rPr>
        <w:t xml:space="preserve"> </w:t>
      </w:r>
      <w:r>
        <w:rPr>
          <w:rFonts w:eastAsia="Roboto"/>
          <w:color w:val="202024"/>
        </w:rPr>
        <w:t>challenge</w:t>
      </w:r>
      <w:r>
        <w:rPr>
          <w:rFonts w:eastAsia="Roboto"/>
          <w:color w:val="202024"/>
          <w:spacing w:val="10"/>
        </w:rPr>
        <w:t xml:space="preserve"> </w:t>
      </w:r>
      <w:r>
        <w:rPr>
          <w:rFonts w:eastAsia="Roboto"/>
          <w:color w:val="202024"/>
        </w:rPr>
        <w:t>of</w:t>
      </w:r>
      <w:r>
        <w:rPr>
          <w:rFonts w:eastAsia="Roboto"/>
          <w:color w:val="202024"/>
          <w:spacing w:val="11"/>
        </w:rPr>
        <w:t xml:space="preserve"> </w:t>
      </w:r>
      <w:r>
        <w:rPr>
          <w:rFonts w:eastAsia="Roboto"/>
          <w:color w:val="202024"/>
        </w:rPr>
        <w:t>fiscal</w:t>
      </w:r>
      <w:r>
        <w:rPr>
          <w:rFonts w:eastAsia="Roboto"/>
          <w:color w:val="202024"/>
          <w:spacing w:val="11"/>
        </w:rPr>
        <w:t xml:space="preserve"> </w:t>
      </w:r>
      <w:r>
        <w:rPr>
          <w:rFonts w:eastAsia="Roboto"/>
          <w:color w:val="202024"/>
        </w:rPr>
        <w:t>federalism,</w:t>
      </w:r>
      <w:r>
        <w:rPr>
          <w:rFonts w:eastAsia="Roboto"/>
          <w:color w:val="202024"/>
          <w:spacing w:val="10"/>
        </w:rPr>
        <w:t xml:space="preserve"> </w:t>
      </w:r>
      <w:r>
        <w:rPr>
          <w:rFonts w:eastAsia="Roboto"/>
          <w:color w:val="202024"/>
        </w:rPr>
        <w:t>taxing</w:t>
      </w:r>
      <w:r>
        <w:rPr>
          <w:rFonts w:eastAsia="Roboto"/>
          <w:color w:val="202024"/>
          <w:spacing w:val="11"/>
        </w:rPr>
        <w:t xml:space="preserve"> </w:t>
      </w:r>
      <w:r>
        <w:rPr>
          <w:rFonts w:eastAsia="Roboto"/>
          <w:color w:val="202024"/>
        </w:rPr>
        <w:t>rights</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revenue</w:t>
      </w:r>
      <w:r>
        <w:rPr>
          <w:rFonts w:eastAsia="Roboto"/>
          <w:color w:val="202024"/>
          <w:spacing w:val="10"/>
        </w:rPr>
        <w:t xml:space="preserve"> </w:t>
      </w:r>
      <w:r>
        <w:rPr>
          <w:rFonts w:eastAsia="Roboto"/>
          <w:color w:val="202024"/>
        </w:rPr>
        <w:t>sharing</w:t>
      </w:r>
      <w:r>
        <w:rPr>
          <w:rFonts w:eastAsia="Roboto"/>
          <w:color w:val="202024"/>
          <w:spacing w:val="11"/>
        </w:rPr>
        <w:t xml:space="preserve"> </w:t>
      </w:r>
      <w:r>
        <w:rPr>
          <w:rFonts w:eastAsia="Roboto"/>
          <w:color w:val="202024"/>
        </w:rPr>
        <w:t>among</w:t>
      </w:r>
      <w:r>
        <w:rPr>
          <w:rFonts w:eastAsia="Roboto"/>
          <w:color w:val="202024"/>
          <w:spacing w:val="11"/>
        </w:rPr>
        <w:t xml:space="preserve"> </w:t>
      </w:r>
      <w:r>
        <w:rPr>
          <w:rFonts w:eastAsia="Roboto"/>
          <w:color w:val="202024"/>
        </w:rPr>
        <w:t>other</w:t>
      </w:r>
      <w:r>
        <w:rPr>
          <w:rFonts w:eastAsia="Roboto"/>
          <w:color w:val="202024"/>
          <w:spacing w:val="10"/>
        </w:rPr>
        <w:t xml:space="preserve"> </w:t>
      </w:r>
      <w:r>
        <w:rPr>
          <w:rFonts w:eastAsia="Roboto"/>
          <w:color w:val="202024"/>
        </w:rPr>
        <w:t>fiscal</w:t>
      </w:r>
      <w:r>
        <w:rPr>
          <w:rFonts w:eastAsia="Roboto"/>
          <w:color w:val="202024"/>
          <w:spacing w:val="11"/>
        </w:rPr>
        <w:t xml:space="preserve"> </w:t>
      </w:r>
      <w:r>
        <w:rPr>
          <w:rFonts w:eastAsia="Roboto"/>
          <w:color w:val="202024"/>
        </w:rPr>
        <w:t>related</w:t>
      </w:r>
      <w:r>
        <w:rPr>
          <w:rFonts w:eastAsia="Roboto"/>
          <w:color w:val="202024"/>
          <w:spacing w:val="1"/>
        </w:rPr>
        <w:t xml:space="preserve"> </w:t>
      </w:r>
      <w:r>
        <w:rPr>
          <w:rFonts w:eastAsia="Roboto"/>
          <w:color w:val="202024"/>
        </w:rPr>
        <w:t>issues</w:t>
      </w:r>
      <w:r>
        <w:rPr>
          <w:rFonts w:eastAsia="Roboto"/>
          <w:color w:val="202024"/>
          <w:spacing w:val="9"/>
        </w:rPr>
        <w:t xml:space="preserve"> </w:t>
      </w:r>
      <w:r>
        <w:rPr>
          <w:rFonts w:eastAsia="Roboto"/>
          <w:color w:val="202024"/>
        </w:rPr>
        <w:t>that</w:t>
      </w:r>
      <w:r>
        <w:rPr>
          <w:rFonts w:eastAsia="Roboto"/>
          <w:color w:val="202024"/>
          <w:spacing w:val="9"/>
        </w:rPr>
        <w:t xml:space="preserve"> </w:t>
      </w:r>
      <w:r>
        <w:rPr>
          <w:rFonts w:eastAsia="Roboto"/>
          <w:color w:val="202024"/>
        </w:rPr>
        <w:t>plague</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Nigerian</w:t>
      </w:r>
      <w:r>
        <w:rPr>
          <w:rFonts w:eastAsia="Roboto"/>
          <w:color w:val="202024"/>
          <w:spacing w:val="10"/>
        </w:rPr>
        <w:t xml:space="preserve"> </w:t>
      </w:r>
      <w:r>
        <w:rPr>
          <w:rFonts w:eastAsia="Roboto"/>
          <w:color w:val="202024"/>
        </w:rPr>
        <w:t>economy</w:t>
      </w:r>
      <w:r>
        <w:rPr>
          <w:rFonts w:eastAsia="Roboto"/>
          <w:color w:val="202024"/>
          <w:spacing w:val="9"/>
        </w:rPr>
        <w:t xml:space="preserve"> </w:t>
      </w:r>
      <w:r>
        <w:rPr>
          <w:rFonts w:eastAsia="Roboto"/>
          <w:color w:val="202024"/>
        </w:rPr>
        <w:t>at</w:t>
      </w:r>
      <w:r>
        <w:rPr>
          <w:rFonts w:eastAsia="Roboto"/>
          <w:color w:val="202024"/>
          <w:spacing w:val="10"/>
        </w:rPr>
        <w:t xml:space="preserve"> </w:t>
      </w:r>
      <w:r>
        <w:rPr>
          <w:rFonts w:eastAsia="Roboto"/>
          <w:color w:val="202024"/>
        </w:rPr>
        <w:t>both</w:t>
      </w:r>
      <w:r>
        <w:rPr>
          <w:rFonts w:eastAsia="Roboto"/>
          <w:color w:val="202024"/>
          <w:spacing w:val="9"/>
        </w:rPr>
        <w:t xml:space="preserve"> </w:t>
      </w:r>
      <w:r>
        <w:rPr>
          <w:rFonts w:eastAsia="Roboto"/>
          <w:color w:val="202024"/>
        </w:rPr>
        <w:t>micro</w:t>
      </w:r>
      <w:r>
        <w:rPr>
          <w:rFonts w:eastAsia="Roboto"/>
          <w:color w:val="202024"/>
          <w:spacing w:val="10"/>
        </w:rPr>
        <w:t xml:space="preserve"> </w:t>
      </w:r>
      <w:r>
        <w:rPr>
          <w:rFonts w:eastAsia="Roboto"/>
          <w:color w:val="202024"/>
        </w:rPr>
        <w:t>and</w:t>
      </w:r>
      <w:r>
        <w:rPr>
          <w:rFonts w:eastAsia="Roboto"/>
          <w:color w:val="202024"/>
          <w:spacing w:val="9"/>
        </w:rPr>
        <w:t xml:space="preserve"> </w:t>
      </w:r>
      <w:r>
        <w:rPr>
          <w:rFonts w:eastAsia="Roboto"/>
          <w:color w:val="202024"/>
        </w:rPr>
        <w:t>macro</w:t>
      </w:r>
      <w:r>
        <w:rPr>
          <w:rFonts w:eastAsia="Roboto"/>
          <w:color w:val="202024"/>
          <w:spacing w:val="9"/>
        </w:rPr>
        <w:t xml:space="preserve"> </w:t>
      </w:r>
      <w:r>
        <w:rPr>
          <w:rFonts w:eastAsia="Roboto"/>
          <w:color w:val="202024"/>
        </w:rPr>
        <w:t>levels.</w:t>
      </w:r>
      <w:r>
        <w:rPr>
          <w:rFonts w:eastAsia="Roboto"/>
          <w:color w:val="202024"/>
          <w:spacing w:val="6"/>
        </w:rPr>
        <w:t xml:space="preserve"> </w:t>
      </w:r>
      <w:r>
        <w:rPr>
          <w:rFonts w:eastAsia="Roboto"/>
          <w:color w:val="202024"/>
        </w:rPr>
        <w:t>The</w:t>
      </w:r>
      <w:r>
        <w:rPr>
          <w:rFonts w:eastAsia="Roboto"/>
          <w:color w:val="202024"/>
          <w:spacing w:val="9"/>
        </w:rPr>
        <w:t xml:space="preserve"> </w:t>
      </w:r>
      <w:r>
        <w:rPr>
          <w:rFonts w:eastAsia="Roboto"/>
          <w:color w:val="202024"/>
        </w:rPr>
        <w:t>NTP</w:t>
      </w:r>
      <w:r>
        <w:rPr>
          <w:rFonts w:eastAsia="Roboto"/>
          <w:color w:val="202024"/>
          <w:spacing w:val="10"/>
        </w:rPr>
        <w:t xml:space="preserve"> </w:t>
      </w:r>
      <w:r>
        <w:rPr>
          <w:rFonts w:eastAsia="Roboto"/>
          <w:color w:val="202024"/>
        </w:rPr>
        <w:t>should</w:t>
      </w:r>
      <w:r>
        <w:rPr>
          <w:rFonts w:eastAsia="Roboto"/>
          <w:color w:val="202024"/>
          <w:spacing w:val="9"/>
        </w:rPr>
        <w:t xml:space="preserve"> </w:t>
      </w:r>
      <w:r>
        <w:rPr>
          <w:rFonts w:eastAsia="Roboto"/>
          <w:color w:val="202024"/>
        </w:rPr>
        <w:t>not</w:t>
      </w:r>
    </w:p>
    <w:p w14:paraId="5F7D6884">
      <w:pPr>
        <w:widowControl w:val="0"/>
        <w:autoSpaceDE w:val="0"/>
        <w:autoSpaceDN w:val="0"/>
        <w:spacing w:line="285" w:lineRule="auto"/>
        <w:jc w:val="both"/>
        <w:rPr>
          <w:rFonts w:eastAsia="Roboto"/>
        </w:rPr>
        <w:sectPr>
          <w:headerReference r:id="rId12" w:type="default"/>
          <w:footerReference r:id="rId13" w:type="default"/>
          <w:pgSz w:w="11900" w:h="16840"/>
          <w:pgMar w:top="480" w:right="1280" w:bottom="440" w:left="1040" w:header="269" w:footer="253" w:gutter="0"/>
          <w:cols w:space="720" w:num="1"/>
        </w:sectPr>
      </w:pPr>
    </w:p>
    <w:p w14:paraId="691F78A0">
      <w:pPr>
        <w:widowControl w:val="0"/>
        <w:autoSpaceDE w:val="0"/>
        <w:autoSpaceDN w:val="0"/>
        <w:spacing w:before="85" w:line="285" w:lineRule="auto"/>
        <w:ind w:right="235"/>
        <w:jc w:val="both"/>
        <w:rPr>
          <w:rFonts w:eastAsia="Roboto"/>
          <w:color w:val="202024"/>
        </w:rPr>
      </w:pPr>
      <w:r>
        <mc:AlternateContent>
          <mc:Choice Requires="wpg">
            <w:drawing>
              <wp:anchor distT="0" distB="0" distL="114300" distR="114300" simplePos="0" relativeHeight="251693056" behindDoc="1" locked="0" layoutInCell="1" allowOverlap="1">
                <wp:simplePos x="0" y="0"/>
                <wp:positionH relativeFrom="page">
                  <wp:posOffset>733425</wp:posOffset>
                </wp:positionH>
                <wp:positionV relativeFrom="paragraph">
                  <wp:posOffset>47625</wp:posOffset>
                </wp:positionV>
                <wp:extent cx="6096000" cy="4295775"/>
                <wp:effectExtent l="9525" t="9525" r="0" b="0"/>
                <wp:wrapNone/>
                <wp:docPr id="1314815878" name="Group 312"/>
                <wp:cNvGraphicFramePr/>
                <a:graphic xmlns:a="http://schemas.openxmlformats.org/drawingml/2006/main">
                  <a:graphicData uri="http://schemas.microsoft.com/office/word/2010/wordprocessingGroup">
                    <wpg:wgp>
                      <wpg:cNvGrpSpPr/>
                      <wpg:grpSpPr>
                        <a:xfrm>
                          <a:off x="0" y="0"/>
                          <a:ext cx="6096000" cy="4295775"/>
                          <a:chOff x="1155" y="75"/>
                          <a:chExt cx="9600" cy="6765"/>
                        </a:xfrm>
                        <a:effectLst/>
                      </wpg:grpSpPr>
                      <wps:wsp>
                        <wps:cNvPr id="935741280" name="Freeform 314"/>
                        <wps:cNvSpPr/>
                        <wps:spPr bwMode="auto">
                          <a:xfrm>
                            <a:off x="1154" y="74"/>
                            <a:ext cx="9600" cy="6766"/>
                          </a:xfrm>
                          <a:custGeom>
                            <a:avLst/>
                            <a:gdLst>
                              <a:gd name="T0" fmla="*/ 9600 w 9600"/>
                              <a:gd name="T1" fmla="*/ 75 h 6766"/>
                              <a:gd name="T2" fmla="*/ 9585 w 9600"/>
                              <a:gd name="T3" fmla="*/ 75 h 6766"/>
                              <a:gd name="T4" fmla="*/ 9585 w 9600"/>
                              <a:gd name="T5" fmla="*/ 6720 h 6766"/>
                              <a:gd name="T6" fmla="*/ 9584 w 9600"/>
                              <a:gd name="T7" fmla="*/ 6730 h 6766"/>
                              <a:gd name="T8" fmla="*/ 9561 w 9600"/>
                              <a:gd name="T9" fmla="*/ 6786 h 6766"/>
                              <a:gd name="T10" fmla="*/ 9553 w 9600"/>
                              <a:gd name="T11" fmla="*/ 6795 h 6766"/>
                              <a:gd name="T12" fmla="*/ 9490 w 9600"/>
                              <a:gd name="T13" fmla="*/ 6824 h 6766"/>
                              <a:gd name="T14" fmla="*/ 9480 w 9600"/>
                              <a:gd name="T15" fmla="*/ 6825 h 6766"/>
                              <a:gd name="T16" fmla="*/ 120 w 9600"/>
                              <a:gd name="T17" fmla="*/ 6825 h 6766"/>
                              <a:gd name="T18" fmla="*/ 62 w 9600"/>
                              <a:gd name="T19" fmla="*/ 6807 h 6766"/>
                              <a:gd name="T20" fmla="*/ 47 w 9600"/>
                              <a:gd name="T21" fmla="*/ 6795 h 6766"/>
                              <a:gd name="T22" fmla="*/ 39 w 9600"/>
                              <a:gd name="T23" fmla="*/ 6786 h 6766"/>
                              <a:gd name="T24" fmla="*/ 15 w 9600"/>
                              <a:gd name="T25" fmla="*/ 6730 h 6766"/>
                              <a:gd name="T26" fmla="*/ 15 w 9600"/>
                              <a:gd name="T27" fmla="*/ 6720 h 6766"/>
                              <a:gd name="T28" fmla="*/ 15 w 9600"/>
                              <a:gd name="T29" fmla="*/ 75 h 6766"/>
                              <a:gd name="T30" fmla="*/ 0 w 9600"/>
                              <a:gd name="T31" fmla="*/ 75 h 6766"/>
                              <a:gd name="T32" fmla="*/ 0 w 9600"/>
                              <a:gd name="T33" fmla="*/ 6720 h 6766"/>
                              <a:gd name="T34" fmla="*/ 1 w 9600"/>
                              <a:gd name="T35" fmla="*/ 6731 h 6766"/>
                              <a:gd name="T36" fmla="*/ 27 w 9600"/>
                              <a:gd name="T37" fmla="*/ 6796 h 6766"/>
                              <a:gd name="T38" fmla="*/ 35 w 9600"/>
                              <a:gd name="T39" fmla="*/ 6804 h 6766"/>
                              <a:gd name="T40" fmla="*/ 36 w 9600"/>
                              <a:gd name="T41" fmla="*/ 6805 h 6766"/>
                              <a:gd name="T42" fmla="*/ 44 w 9600"/>
                              <a:gd name="T43" fmla="*/ 6812 h 6766"/>
                              <a:gd name="T44" fmla="*/ 108 w 9600"/>
                              <a:gd name="T45" fmla="*/ 6839 h 6766"/>
                              <a:gd name="T46" fmla="*/ 120 w 9600"/>
                              <a:gd name="T47" fmla="*/ 6840 h 6766"/>
                              <a:gd name="T48" fmla="*/ 9480 w 9600"/>
                              <a:gd name="T49" fmla="*/ 6840 h 6766"/>
                              <a:gd name="T50" fmla="*/ 9547 w 9600"/>
                              <a:gd name="T51" fmla="*/ 6819 h 6766"/>
                              <a:gd name="T52" fmla="*/ 9564 w 9600"/>
                              <a:gd name="T53" fmla="*/ 6805 h 6766"/>
                              <a:gd name="T54" fmla="*/ 9565 w 9600"/>
                              <a:gd name="T55" fmla="*/ 6804 h 6766"/>
                              <a:gd name="T56" fmla="*/ 9598 w 9600"/>
                              <a:gd name="T57" fmla="*/ 6743 h 6766"/>
                              <a:gd name="T58" fmla="*/ 9600 w 9600"/>
                              <a:gd name="T59" fmla="*/ 6720 h 6766"/>
                              <a:gd name="T60" fmla="*/ 9600 w 9600"/>
                              <a:gd name="T61" fmla="*/ 75 h 6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600" h="6766">
                                <a:moveTo>
                                  <a:pt x="9600" y="0"/>
                                </a:moveTo>
                                <a:lnTo>
                                  <a:pt x="9585" y="0"/>
                                </a:lnTo>
                                <a:lnTo>
                                  <a:pt x="9585" y="6645"/>
                                </a:lnTo>
                                <a:lnTo>
                                  <a:pt x="9584" y="6655"/>
                                </a:lnTo>
                                <a:lnTo>
                                  <a:pt x="9561" y="6711"/>
                                </a:lnTo>
                                <a:lnTo>
                                  <a:pt x="9553" y="6720"/>
                                </a:lnTo>
                                <a:lnTo>
                                  <a:pt x="9490" y="6749"/>
                                </a:lnTo>
                                <a:lnTo>
                                  <a:pt x="9480" y="6750"/>
                                </a:lnTo>
                                <a:lnTo>
                                  <a:pt x="120" y="6750"/>
                                </a:lnTo>
                                <a:lnTo>
                                  <a:pt x="62" y="6732"/>
                                </a:lnTo>
                                <a:lnTo>
                                  <a:pt x="47" y="6720"/>
                                </a:lnTo>
                                <a:lnTo>
                                  <a:pt x="39" y="6711"/>
                                </a:lnTo>
                                <a:lnTo>
                                  <a:pt x="15" y="6655"/>
                                </a:lnTo>
                                <a:lnTo>
                                  <a:pt x="15" y="6645"/>
                                </a:lnTo>
                                <a:lnTo>
                                  <a:pt x="15" y="0"/>
                                </a:lnTo>
                                <a:lnTo>
                                  <a:pt x="0" y="0"/>
                                </a:lnTo>
                                <a:lnTo>
                                  <a:pt x="0" y="6645"/>
                                </a:lnTo>
                                <a:lnTo>
                                  <a:pt x="1" y="6656"/>
                                </a:lnTo>
                                <a:lnTo>
                                  <a:pt x="27" y="6721"/>
                                </a:lnTo>
                                <a:lnTo>
                                  <a:pt x="35" y="6729"/>
                                </a:lnTo>
                                <a:lnTo>
                                  <a:pt x="36" y="6730"/>
                                </a:lnTo>
                                <a:lnTo>
                                  <a:pt x="44" y="6737"/>
                                </a:lnTo>
                                <a:lnTo>
                                  <a:pt x="108" y="6764"/>
                                </a:lnTo>
                                <a:lnTo>
                                  <a:pt x="120" y="6765"/>
                                </a:lnTo>
                                <a:lnTo>
                                  <a:pt x="9480" y="6765"/>
                                </a:lnTo>
                                <a:lnTo>
                                  <a:pt x="9547" y="6744"/>
                                </a:lnTo>
                                <a:lnTo>
                                  <a:pt x="9564" y="6730"/>
                                </a:lnTo>
                                <a:lnTo>
                                  <a:pt x="9565" y="6729"/>
                                </a:lnTo>
                                <a:lnTo>
                                  <a:pt x="9598" y="6668"/>
                                </a:lnTo>
                                <a:lnTo>
                                  <a:pt x="9600" y="6645"/>
                                </a:lnTo>
                                <a:lnTo>
                                  <a:pt x="9600" y="0"/>
                                </a:lnTo>
                                <a:close/>
                              </a:path>
                            </a:pathLst>
                          </a:custGeom>
                          <a:solidFill>
                            <a:srgbClr val="D9DBDF"/>
                          </a:solidFill>
                          <a:ln>
                            <a:noFill/>
                          </a:ln>
                          <a:effectLst/>
                        </wps:spPr>
                        <wps:bodyPr rot="0" vert="horz" wrap="square" lIns="91440" tIns="45720" rIns="91440" bIns="45720" anchor="t" anchorCtr="0" upright="1">
                          <a:noAutofit/>
                        </wps:bodyPr>
                      </wps:wsp>
                      <wps:wsp>
                        <wps:cNvPr id="1871132744" name="AutoShape 313"/>
                        <wps:cNvSpPr/>
                        <wps:spPr bwMode="auto">
                          <a:xfrm>
                            <a:off x="1169" y="74"/>
                            <a:ext cx="9390" cy="6750"/>
                          </a:xfrm>
                          <a:custGeom>
                            <a:avLst/>
                            <a:gdLst>
                              <a:gd name="T0" fmla="*/ 9382 w 9390"/>
                              <a:gd name="T1" fmla="*/ 5954 h 6750"/>
                              <a:gd name="T2" fmla="*/ 9360 w 9390"/>
                              <a:gd name="T3" fmla="*/ 5932 h 6750"/>
                              <a:gd name="T4" fmla="*/ 52 w 9390"/>
                              <a:gd name="T5" fmla="*/ 5925 h 6750"/>
                              <a:gd name="T6" fmla="*/ 23 w 9390"/>
                              <a:gd name="T7" fmla="*/ 5936 h 6750"/>
                              <a:gd name="T8" fmla="*/ 2 w 9390"/>
                              <a:gd name="T9" fmla="*/ 5969 h 6750"/>
                              <a:gd name="T10" fmla="*/ 0 w 9390"/>
                              <a:gd name="T11" fmla="*/ 6773 h 6750"/>
                              <a:gd name="T12" fmla="*/ 12 w 9390"/>
                              <a:gd name="T13" fmla="*/ 6801 h 6750"/>
                              <a:gd name="T14" fmla="*/ 44 w 9390"/>
                              <a:gd name="T15" fmla="*/ 6823 h 6750"/>
                              <a:gd name="T16" fmla="*/ 9346 w 9390"/>
                              <a:gd name="T17" fmla="*/ 6823 h 6750"/>
                              <a:gd name="T18" fmla="*/ 9378 w 9390"/>
                              <a:gd name="T19" fmla="*/ 6801 h 6750"/>
                              <a:gd name="T20" fmla="*/ 9390 w 9390"/>
                              <a:gd name="T21" fmla="*/ 6773 h 6750"/>
                              <a:gd name="T22" fmla="*/ 9388 w 9390"/>
                              <a:gd name="T23" fmla="*/ 4709 h 6750"/>
                              <a:gd name="T24" fmla="*/ 9367 w 9390"/>
                              <a:gd name="T25" fmla="*/ 4677 h 6750"/>
                              <a:gd name="T26" fmla="*/ 9338 w 9390"/>
                              <a:gd name="T27" fmla="*/ 4665 h 6750"/>
                              <a:gd name="T28" fmla="*/ 30 w 9390"/>
                              <a:gd name="T29" fmla="*/ 4672 h 6750"/>
                              <a:gd name="T30" fmla="*/ 8 w 9390"/>
                              <a:gd name="T31" fmla="*/ 4694 h 6750"/>
                              <a:gd name="T32" fmla="*/ 0 w 9390"/>
                              <a:gd name="T33" fmla="*/ 5805 h 6750"/>
                              <a:gd name="T34" fmla="*/ 8 w 9390"/>
                              <a:gd name="T35" fmla="*/ 5835 h 6750"/>
                              <a:gd name="T36" fmla="*/ 30 w 9390"/>
                              <a:gd name="T37" fmla="*/ 5857 h 6750"/>
                              <a:gd name="T38" fmla="*/ 9338 w 9390"/>
                              <a:gd name="T39" fmla="*/ 5865 h 6750"/>
                              <a:gd name="T40" fmla="*/ 9367 w 9390"/>
                              <a:gd name="T41" fmla="*/ 5853 h 6750"/>
                              <a:gd name="T42" fmla="*/ 9388 w 9390"/>
                              <a:gd name="T43" fmla="*/ 5820 h 6750"/>
                              <a:gd name="T44" fmla="*/ 9390 w 9390"/>
                              <a:gd name="T45" fmla="*/ 3757 h 6750"/>
                              <a:gd name="T46" fmla="*/ 9378 w 9390"/>
                              <a:gd name="T47" fmla="*/ 3728 h 6750"/>
                              <a:gd name="T48" fmla="*/ 9346 w 9390"/>
                              <a:gd name="T49" fmla="*/ 3706 h 6750"/>
                              <a:gd name="T50" fmla="*/ 44 w 9390"/>
                              <a:gd name="T51" fmla="*/ 3706 h 6750"/>
                              <a:gd name="T52" fmla="*/ 12 w 9390"/>
                              <a:gd name="T53" fmla="*/ 3728 h 6750"/>
                              <a:gd name="T54" fmla="*/ 0 w 9390"/>
                              <a:gd name="T55" fmla="*/ 3757 h 6750"/>
                              <a:gd name="T56" fmla="*/ 2 w 9390"/>
                              <a:gd name="T57" fmla="*/ 4560 h 6750"/>
                              <a:gd name="T58" fmla="*/ 23 w 9390"/>
                              <a:gd name="T59" fmla="*/ 4593 h 6750"/>
                              <a:gd name="T60" fmla="*/ 52 w 9390"/>
                              <a:gd name="T61" fmla="*/ 4605 h 6750"/>
                              <a:gd name="T62" fmla="*/ 9360 w 9390"/>
                              <a:gd name="T63" fmla="*/ 4597 h 6750"/>
                              <a:gd name="T64" fmla="*/ 9382 w 9390"/>
                              <a:gd name="T65" fmla="*/ 4575 h 6750"/>
                              <a:gd name="T66" fmla="*/ 9390 w 9390"/>
                              <a:gd name="T67" fmla="*/ 3757 h 6750"/>
                              <a:gd name="T68" fmla="*/ 9382 w 9390"/>
                              <a:gd name="T69" fmla="*/ 2174 h 6750"/>
                              <a:gd name="T70" fmla="*/ 9360 w 9390"/>
                              <a:gd name="T71" fmla="*/ 2152 h 6750"/>
                              <a:gd name="T72" fmla="*/ 52 w 9390"/>
                              <a:gd name="T73" fmla="*/ 2145 h 6750"/>
                              <a:gd name="T74" fmla="*/ 23 w 9390"/>
                              <a:gd name="T75" fmla="*/ 2156 h 6750"/>
                              <a:gd name="T76" fmla="*/ 2 w 9390"/>
                              <a:gd name="T77" fmla="*/ 2189 h 6750"/>
                              <a:gd name="T78" fmla="*/ 0 w 9390"/>
                              <a:gd name="T79" fmla="*/ 3593 h 6750"/>
                              <a:gd name="T80" fmla="*/ 12 w 9390"/>
                              <a:gd name="T81" fmla="*/ 3621 h 6750"/>
                              <a:gd name="T82" fmla="*/ 44 w 9390"/>
                              <a:gd name="T83" fmla="*/ 3643 h 6750"/>
                              <a:gd name="T84" fmla="*/ 9346 w 9390"/>
                              <a:gd name="T85" fmla="*/ 3643 h 6750"/>
                              <a:gd name="T86" fmla="*/ 9378 w 9390"/>
                              <a:gd name="T87" fmla="*/ 3621 h 6750"/>
                              <a:gd name="T88" fmla="*/ 9390 w 9390"/>
                              <a:gd name="T89" fmla="*/ 3593 h 6750"/>
                              <a:gd name="T90" fmla="*/ 9388 w 9390"/>
                              <a:gd name="T91" fmla="*/ 1529 h 6750"/>
                              <a:gd name="T92" fmla="*/ 9367 w 9390"/>
                              <a:gd name="T93" fmla="*/ 1496 h 6750"/>
                              <a:gd name="T94" fmla="*/ 9338 w 9390"/>
                              <a:gd name="T95" fmla="*/ 1485 h 6750"/>
                              <a:gd name="T96" fmla="*/ 30 w 9390"/>
                              <a:gd name="T97" fmla="*/ 1492 h 6750"/>
                              <a:gd name="T98" fmla="*/ 8 w 9390"/>
                              <a:gd name="T99" fmla="*/ 1514 h 6750"/>
                              <a:gd name="T100" fmla="*/ 0 w 9390"/>
                              <a:gd name="T101" fmla="*/ 2025 h 6750"/>
                              <a:gd name="T102" fmla="*/ 8 w 9390"/>
                              <a:gd name="T103" fmla="*/ 2055 h 6750"/>
                              <a:gd name="T104" fmla="*/ 30 w 9390"/>
                              <a:gd name="T105" fmla="*/ 2077 h 6750"/>
                              <a:gd name="T106" fmla="*/ 9338 w 9390"/>
                              <a:gd name="T107" fmla="*/ 2085 h 6750"/>
                              <a:gd name="T108" fmla="*/ 9367 w 9390"/>
                              <a:gd name="T109" fmla="*/ 2073 h 6750"/>
                              <a:gd name="T110" fmla="*/ 9388 w 9390"/>
                              <a:gd name="T111" fmla="*/ 2040 h 6750"/>
                              <a:gd name="T112" fmla="*/ 9390 w 9390"/>
                              <a:gd name="T113" fmla="*/ 75 h 6750"/>
                              <a:gd name="T114" fmla="*/ 0 w 9390"/>
                              <a:gd name="T115" fmla="*/ 1372 h 6750"/>
                              <a:gd name="T116" fmla="*/ 12 w 9390"/>
                              <a:gd name="T117" fmla="*/ 1401 h 6750"/>
                              <a:gd name="T118" fmla="*/ 44 w 9390"/>
                              <a:gd name="T119" fmla="*/ 1423 h 6750"/>
                              <a:gd name="T120" fmla="*/ 9346 w 9390"/>
                              <a:gd name="T121" fmla="*/ 1423 h 6750"/>
                              <a:gd name="T122" fmla="*/ 9378 w 9390"/>
                              <a:gd name="T123" fmla="*/ 1401 h 6750"/>
                              <a:gd name="T124" fmla="*/ 9390 w 9390"/>
                              <a:gd name="T125" fmla="*/ 1372 h 67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390" h="6750">
                                <a:moveTo>
                                  <a:pt x="9390" y="5902"/>
                                </a:moveTo>
                                <a:lnTo>
                                  <a:pt x="9388" y="5894"/>
                                </a:lnTo>
                                <a:lnTo>
                                  <a:pt x="9382" y="5879"/>
                                </a:lnTo>
                                <a:lnTo>
                                  <a:pt x="9378" y="5873"/>
                                </a:lnTo>
                                <a:lnTo>
                                  <a:pt x="9367" y="5861"/>
                                </a:lnTo>
                                <a:lnTo>
                                  <a:pt x="9360" y="5857"/>
                                </a:lnTo>
                                <a:lnTo>
                                  <a:pt x="9346" y="5851"/>
                                </a:lnTo>
                                <a:lnTo>
                                  <a:pt x="9338" y="5850"/>
                                </a:lnTo>
                                <a:lnTo>
                                  <a:pt x="52" y="5850"/>
                                </a:lnTo>
                                <a:lnTo>
                                  <a:pt x="44" y="5851"/>
                                </a:lnTo>
                                <a:lnTo>
                                  <a:pt x="30" y="5857"/>
                                </a:lnTo>
                                <a:lnTo>
                                  <a:pt x="23" y="5861"/>
                                </a:lnTo>
                                <a:lnTo>
                                  <a:pt x="12" y="5873"/>
                                </a:lnTo>
                                <a:lnTo>
                                  <a:pt x="8" y="5879"/>
                                </a:lnTo>
                                <a:lnTo>
                                  <a:pt x="2" y="5894"/>
                                </a:lnTo>
                                <a:lnTo>
                                  <a:pt x="0" y="5902"/>
                                </a:lnTo>
                                <a:lnTo>
                                  <a:pt x="0" y="6690"/>
                                </a:lnTo>
                                <a:lnTo>
                                  <a:pt x="0" y="6698"/>
                                </a:lnTo>
                                <a:lnTo>
                                  <a:pt x="2" y="6705"/>
                                </a:lnTo>
                                <a:lnTo>
                                  <a:pt x="8" y="6720"/>
                                </a:lnTo>
                                <a:lnTo>
                                  <a:pt x="12" y="6726"/>
                                </a:lnTo>
                                <a:lnTo>
                                  <a:pt x="23" y="6738"/>
                                </a:lnTo>
                                <a:lnTo>
                                  <a:pt x="30" y="6742"/>
                                </a:lnTo>
                                <a:lnTo>
                                  <a:pt x="44" y="6748"/>
                                </a:lnTo>
                                <a:lnTo>
                                  <a:pt x="52" y="6750"/>
                                </a:lnTo>
                                <a:lnTo>
                                  <a:pt x="9338" y="6750"/>
                                </a:lnTo>
                                <a:lnTo>
                                  <a:pt x="9346" y="6748"/>
                                </a:lnTo>
                                <a:lnTo>
                                  <a:pt x="9360" y="6742"/>
                                </a:lnTo>
                                <a:lnTo>
                                  <a:pt x="9367" y="6738"/>
                                </a:lnTo>
                                <a:lnTo>
                                  <a:pt x="9378" y="6726"/>
                                </a:lnTo>
                                <a:lnTo>
                                  <a:pt x="9382" y="6720"/>
                                </a:lnTo>
                                <a:lnTo>
                                  <a:pt x="9388" y="6705"/>
                                </a:lnTo>
                                <a:lnTo>
                                  <a:pt x="9390" y="6698"/>
                                </a:lnTo>
                                <a:lnTo>
                                  <a:pt x="9390" y="5902"/>
                                </a:lnTo>
                                <a:close/>
                                <a:moveTo>
                                  <a:pt x="9390" y="4642"/>
                                </a:moveTo>
                                <a:lnTo>
                                  <a:pt x="9388" y="4634"/>
                                </a:lnTo>
                                <a:lnTo>
                                  <a:pt x="9382" y="4619"/>
                                </a:lnTo>
                                <a:lnTo>
                                  <a:pt x="9378" y="4613"/>
                                </a:lnTo>
                                <a:lnTo>
                                  <a:pt x="9367" y="4602"/>
                                </a:lnTo>
                                <a:lnTo>
                                  <a:pt x="9360" y="4597"/>
                                </a:lnTo>
                                <a:lnTo>
                                  <a:pt x="9346" y="4591"/>
                                </a:lnTo>
                                <a:lnTo>
                                  <a:pt x="9338" y="4590"/>
                                </a:lnTo>
                                <a:lnTo>
                                  <a:pt x="52" y="4590"/>
                                </a:lnTo>
                                <a:lnTo>
                                  <a:pt x="44" y="4591"/>
                                </a:lnTo>
                                <a:lnTo>
                                  <a:pt x="30" y="4597"/>
                                </a:lnTo>
                                <a:lnTo>
                                  <a:pt x="23" y="4602"/>
                                </a:lnTo>
                                <a:lnTo>
                                  <a:pt x="12" y="4613"/>
                                </a:lnTo>
                                <a:lnTo>
                                  <a:pt x="8" y="4619"/>
                                </a:lnTo>
                                <a:lnTo>
                                  <a:pt x="2" y="4634"/>
                                </a:lnTo>
                                <a:lnTo>
                                  <a:pt x="0" y="4642"/>
                                </a:lnTo>
                                <a:lnTo>
                                  <a:pt x="0" y="5730"/>
                                </a:lnTo>
                                <a:lnTo>
                                  <a:pt x="0" y="5738"/>
                                </a:lnTo>
                                <a:lnTo>
                                  <a:pt x="2" y="5745"/>
                                </a:lnTo>
                                <a:lnTo>
                                  <a:pt x="8" y="5760"/>
                                </a:lnTo>
                                <a:lnTo>
                                  <a:pt x="12" y="5766"/>
                                </a:lnTo>
                                <a:lnTo>
                                  <a:pt x="23" y="5778"/>
                                </a:lnTo>
                                <a:lnTo>
                                  <a:pt x="30" y="5782"/>
                                </a:lnTo>
                                <a:lnTo>
                                  <a:pt x="44" y="5788"/>
                                </a:lnTo>
                                <a:lnTo>
                                  <a:pt x="52" y="5790"/>
                                </a:lnTo>
                                <a:lnTo>
                                  <a:pt x="9338" y="5790"/>
                                </a:lnTo>
                                <a:lnTo>
                                  <a:pt x="9346" y="5788"/>
                                </a:lnTo>
                                <a:lnTo>
                                  <a:pt x="9360" y="5782"/>
                                </a:lnTo>
                                <a:lnTo>
                                  <a:pt x="9367" y="5778"/>
                                </a:lnTo>
                                <a:lnTo>
                                  <a:pt x="9378" y="5766"/>
                                </a:lnTo>
                                <a:lnTo>
                                  <a:pt x="9382" y="5760"/>
                                </a:lnTo>
                                <a:lnTo>
                                  <a:pt x="9388" y="5745"/>
                                </a:lnTo>
                                <a:lnTo>
                                  <a:pt x="9390" y="5738"/>
                                </a:lnTo>
                                <a:lnTo>
                                  <a:pt x="9390" y="4642"/>
                                </a:lnTo>
                                <a:close/>
                                <a:moveTo>
                                  <a:pt x="9390" y="3682"/>
                                </a:moveTo>
                                <a:lnTo>
                                  <a:pt x="9388" y="3674"/>
                                </a:lnTo>
                                <a:lnTo>
                                  <a:pt x="9382" y="3659"/>
                                </a:lnTo>
                                <a:lnTo>
                                  <a:pt x="9378" y="3653"/>
                                </a:lnTo>
                                <a:lnTo>
                                  <a:pt x="9367" y="3641"/>
                                </a:lnTo>
                                <a:lnTo>
                                  <a:pt x="9360" y="3637"/>
                                </a:lnTo>
                                <a:lnTo>
                                  <a:pt x="9346" y="3631"/>
                                </a:lnTo>
                                <a:lnTo>
                                  <a:pt x="9338" y="3630"/>
                                </a:lnTo>
                                <a:lnTo>
                                  <a:pt x="52" y="3630"/>
                                </a:lnTo>
                                <a:lnTo>
                                  <a:pt x="44" y="3631"/>
                                </a:lnTo>
                                <a:lnTo>
                                  <a:pt x="30" y="3637"/>
                                </a:lnTo>
                                <a:lnTo>
                                  <a:pt x="23" y="3641"/>
                                </a:lnTo>
                                <a:lnTo>
                                  <a:pt x="12" y="3653"/>
                                </a:lnTo>
                                <a:lnTo>
                                  <a:pt x="8" y="3659"/>
                                </a:lnTo>
                                <a:lnTo>
                                  <a:pt x="2" y="3674"/>
                                </a:lnTo>
                                <a:lnTo>
                                  <a:pt x="0" y="3682"/>
                                </a:lnTo>
                                <a:lnTo>
                                  <a:pt x="0" y="4470"/>
                                </a:lnTo>
                                <a:lnTo>
                                  <a:pt x="0" y="4478"/>
                                </a:lnTo>
                                <a:lnTo>
                                  <a:pt x="2" y="4485"/>
                                </a:lnTo>
                                <a:lnTo>
                                  <a:pt x="8" y="4500"/>
                                </a:lnTo>
                                <a:lnTo>
                                  <a:pt x="12" y="4506"/>
                                </a:lnTo>
                                <a:lnTo>
                                  <a:pt x="23" y="4518"/>
                                </a:lnTo>
                                <a:lnTo>
                                  <a:pt x="30" y="4522"/>
                                </a:lnTo>
                                <a:lnTo>
                                  <a:pt x="44" y="4528"/>
                                </a:lnTo>
                                <a:lnTo>
                                  <a:pt x="52" y="4530"/>
                                </a:lnTo>
                                <a:lnTo>
                                  <a:pt x="9338" y="4530"/>
                                </a:lnTo>
                                <a:lnTo>
                                  <a:pt x="9346" y="4528"/>
                                </a:lnTo>
                                <a:lnTo>
                                  <a:pt x="9360" y="4522"/>
                                </a:lnTo>
                                <a:lnTo>
                                  <a:pt x="9367" y="4518"/>
                                </a:lnTo>
                                <a:lnTo>
                                  <a:pt x="9378" y="4506"/>
                                </a:lnTo>
                                <a:lnTo>
                                  <a:pt x="9382" y="4500"/>
                                </a:lnTo>
                                <a:lnTo>
                                  <a:pt x="9388" y="4485"/>
                                </a:lnTo>
                                <a:lnTo>
                                  <a:pt x="9390" y="4478"/>
                                </a:lnTo>
                                <a:lnTo>
                                  <a:pt x="9390" y="3682"/>
                                </a:lnTo>
                                <a:close/>
                                <a:moveTo>
                                  <a:pt x="9390" y="2122"/>
                                </a:moveTo>
                                <a:lnTo>
                                  <a:pt x="9388" y="2114"/>
                                </a:lnTo>
                                <a:lnTo>
                                  <a:pt x="9382" y="2099"/>
                                </a:lnTo>
                                <a:lnTo>
                                  <a:pt x="9378" y="2093"/>
                                </a:lnTo>
                                <a:lnTo>
                                  <a:pt x="9367" y="2081"/>
                                </a:lnTo>
                                <a:lnTo>
                                  <a:pt x="9360" y="2077"/>
                                </a:lnTo>
                                <a:lnTo>
                                  <a:pt x="9346" y="2071"/>
                                </a:lnTo>
                                <a:lnTo>
                                  <a:pt x="9338" y="2070"/>
                                </a:lnTo>
                                <a:lnTo>
                                  <a:pt x="52" y="2070"/>
                                </a:lnTo>
                                <a:lnTo>
                                  <a:pt x="44" y="2071"/>
                                </a:lnTo>
                                <a:lnTo>
                                  <a:pt x="30" y="2077"/>
                                </a:lnTo>
                                <a:lnTo>
                                  <a:pt x="23" y="2081"/>
                                </a:lnTo>
                                <a:lnTo>
                                  <a:pt x="12" y="2093"/>
                                </a:lnTo>
                                <a:lnTo>
                                  <a:pt x="8" y="2099"/>
                                </a:lnTo>
                                <a:lnTo>
                                  <a:pt x="2" y="2114"/>
                                </a:lnTo>
                                <a:lnTo>
                                  <a:pt x="0" y="2122"/>
                                </a:lnTo>
                                <a:lnTo>
                                  <a:pt x="0" y="3510"/>
                                </a:lnTo>
                                <a:lnTo>
                                  <a:pt x="0" y="3518"/>
                                </a:lnTo>
                                <a:lnTo>
                                  <a:pt x="2" y="3525"/>
                                </a:lnTo>
                                <a:lnTo>
                                  <a:pt x="8" y="3540"/>
                                </a:lnTo>
                                <a:lnTo>
                                  <a:pt x="12" y="3546"/>
                                </a:lnTo>
                                <a:lnTo>
                                  <a:pt x="23" y="3558"/>
                                </a:lnTo>
                                <a:lnTo>
                                  <a:pt x="30" y="3562"/>
                                </a:lnTo>
                                <a:lnTo>
                                  <a:pt x="44" y="3568"/>
                                </a:lnTo>
                                <a:lnTo>
                                  <a:pt x="52" y="3570"/>
                                </a:lnTo>
                                <a:lnTo>
                                  <a:pt x="9338" y="3570"/>
                                </a:lnTo>
                                <a:lnTo>
                                  <a:pt x="9346" y="3568"/>
                                </a:lnTo>
                                <a:lnTo>
                                  <a:pt x="9360" y="3562"/>
                                </a:lnTo>
                                <a:lnTo>
                                  <a:pt x="9367" y="3558"/>
                                </a:lnTo>
                                <a:lnTo>
                                  <a:pt x="9378" y="3546"/>
                                </a:lnTo>
                                <a:lnTo>
                                  <a:pt x="9382" y="3540"/>
                                </a:lnTo>
                                <a:lnTo>
                                  <a:pt x="9388" y="3525"/>
                                </a:lnTo>
                                <a:lnTo>
                                  <a:pt x="9390" y="3518"/>
                                </a:lnTo>
                                <a:lnTo>
                                  <a:pt x="9390" y="2122"/>
                                </a:lnTo>
                                <a:close/>
                                <a:moveTo>
                                  <a:pt x="9390" y="1462"/>
                                </a:moveTo>
                                <a:lnTo>
                                  <a:pt x="9388" y="1454"/>
                                </a:lnTo>
                                <a:lnTo>
                                  <a:pt x="9382" y="1439"/>
                                </a:lnTo>
                                <a:lnTo>
                                  <a:pt x="9378" y="1433"/>
                                </a:lnTo>
                                <a:lnTo>
                                  <a:pt x="9367" y="1421"/>
                                </a:lnTo>
                                <a:lnTo>
                                  <a:pt x="9360" y="1417"/>
                                </a:lnTo>
                                <a:lnTo>
                                  <a:pt x="9346" y="1411"/>
                                </a:lnTo>
                                <a:lnTo>
                                  <a:pt x="9338" y="1410"/>
                                </a:lnTo>
                                <a:lnTo>
                                  <a:pt x="52" y="1410"/>
                                </a:lnTo>
                                <a:lnTo>
                                  <a:pt x="44" y="1411"/>
                                </a:lnTo>
                                <a:lnTo>
                                  <a:pt x="30" y="1417"/>
                                </a:lnTo>
                                <a:lnTo>
                                  <a:pt x="23" y="1421"/>
                                </a:lnTo>
                                <a:lnTo>
                                  <a:pt x="12" y="1433"/>
                                </a:lnTo>
                                <a:lnTo>
                                  <a:pt x="8" y="1439"/>
                                </a:lnTo>
                                <a:lnTo>
                                  <a:pt x="2" y="1454"/>
                                </a:lnTo>
                                <a:lnTo>
                                  <a:pt x="0" y="1462"/>
                                </a:lnTo>
                                <a:lnTo>
                                  <a:pt x="0" y="1950"/>
                                </a:lnTo>
                                <a:lnTo>
                                  <a:pt x="0" y="1957"/>
                                </a:lnTo>
                                <a:lnTo>
                                  <a:pt x="2" y="1965"/>
                                </a:lnTo>
                                <a:lnTo>
                                  <a:pt x="8" y="1980"/>
                                </a:lnTo>
                                <a:lnTo>
                                  <a:pt x="12" y="1986"/>
                                </a:lnTo>
                                <a:lnTo>
                                  <a:pt x="23" y="1998"/>
                                </a:lnTo>
                                <a:lnTo>
                                  <a:pt x="30" y="2002"/>
                                </a:lnTo>
                                <a:lnTo>
                                  <a:pt x="44" y="2008"/>
                                </a:lnTo>
                                <a:lnTo>
                                  <a:pt x="52" y="2010"/>
                                </a:lnTo>
                                <a:lnTo>
                                  <a:pt x="9338" y="2010"/>
                                </a:lnTo>
                                <a:lnTo>
                                  <a:pt x="9346" y="2008"/>
                                </a:lnTo>
                                <a:lnTo>
                                  <a:pt x="9360" y="2002"/>
                                </a:lnTo>
                                <a:lnTo>
                                  <a:pt x="9367" y="1998"/>
                                </a:lnTo>
                                <a:lnTo>
                                  <a:pt x="9378" y="1986"/>
                                </a:lnTo>
                                <a:lnTo>
                                  <a:pt x="9382" y="1980"/>
                                </a:lnTo>
                                <a:lnTo>
                                  <a:pt x="9388" y="1965"/>
                                </a:lnTo>
                                <a:lnTo>
                                  <a:pt x="9390" y="1957"/>
                                </a:lnTo>
                                <a:lnTo>
                                  <a:pt x="9390" y="1462"/>
                                </a:lnTo>
                                <a:close/>
                                <a:moveTo>
                                  <a:pt x="9390" y="0"/>
                                </a:moveTo>
                                <a:lnTo>
                                  <a:pt x="0" y="0"/>
                                </a:lnTo>
                                <a:lnTo>
                                  <a:pt x="0" y="1290"/>
                                </a:lnTo>
                                <a:lnTo>
                                  <a:pt x="0" y="1297"/>
                                </a:lnTo>
                                <a:lnTo>
                                  <a:pt x="2" y="1305"/>
                                </a:lnTo>
                                <a:lnTo>
                                  <a:pt x="8" y="1320"/>
                                </a:lnTo>
                                <a:lnTo>
                                  <a:pt x="12" y="1326"/>
                                </a:lnTo>
                                <a:lnTo>
                                  <a:pt x="23" y="1338"/>
                                </a:lnTo>
                                <a:lnTo>
                                  <a:pt x="30" y="1342"/>
                                </a:lnTo>
                                <a:lnTo>
                                  <a:pt x="44" y="1348"/>
                                </a:lnTo>
                                <a:lnTo>
                                  <a:pt x="52" y="1350"/>
                                </a:lnTo>
                                <a:lnTo>
                                  <a:pt x="9338" y="1350"/>
                                </a:lnTo>
                                <a:lnTo>
                                  <a:pt x="9346" y="1348"/>
                                </a:lnTo>
                                <a:lnTo>
                                  <a:pt x="9360" y="1342"/>
                                </a:lnTo>
                                <a:lnTo>
                                  <a:pt x="9367" y="1338"/>
                                </a:lnTo>
                                <a:lnTo>
                                  <a:pt x="9378" y="1326"/>
                                </a:lnTo>
                                <a:lnTo>
                                  <a:pt x="9382" y="1320"/>
                                </a:lnTo>
                                <a:lnTo>
                                  <a:pt x="9388" y="1305"/>
                                </a:lnTo>
                                <a:lnTo>
                                  <a:pt x="9390" y="1297"/>
                                </a:lnTo>
                                <a:lnTo>
                                  <a:pt x="9390" y="0"/>
                                </a:lnTo>
                                <a:close/>
                              </a:path>
                            </a:pathLst>
                          </a:custGeom>
                          <a:solidFill>
                            <a:srgbClr val="FFFFFF"/>
                          </a:solidFill>
                          <a:ln>
                            <a:noFill/>
                          </a:ln>
                          <a:effectLst/>
                        </wps:spPr>
                        <wps:bodyPr rot="0" vert="horz" wrap="square" lIns="91440" tIns="45720" rIns="91440" bIns="45720" anchor="t" anchorCtr="0" upright="1">
                          <a:noAutofit/>
                        </wps:bodyPr>
                      </wps:wsp>
                    </wpg:wgp>
                  </a:graphicData>
                </a:graphic>
              </wp:anchor>
            </w:drawing>
          </mc:Choice>
          <mc:Fallback>
            <w:pict>
              <v:group id="Group 312" o:spid="_x0000_s1026" o:spt="203" style="position:absolute;left:0pt;margin-left:57.75pt;margin-top:3.75pt;height:338.25pt;width:480pt;mso-position-horizontal-relative:page;z-index:-251623424;mso-width-relative:page;mso-height-relative:page;" coordorigin="1155,75" coordsize="9600,6765" o:gfxdata="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">
                <o:lock v:ext="edit" aspectratio="f"/>
                <v:shape id="Freeform 314" o:spid="_x0000_s1026" o:spt="100" style="position:absolute;left:1154;top:74;height:6766;width:9600;" fillcolor="#D9DBDF" filled="t" stroked="f" coordsize="9600,6766" o:gfxdata="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o3/zFAAAA4gAAAA8AAAAAAAAAAQAgAAAAIgAAAGRycy9kb3ducmV2LnhtbFBLAQIUABQAAAAI&#10;AIdO4kAzLwWeOwAAADkAAAAQAAAAAAAAAAEAIAAAABQBAABkcnMvc2hhcGV4bWwueG1sUEsFBgAA&#10;AAAGAAYAWwEAAL4DAAAAAA==&#10;" path="m9600,0l9585,0,9585,6645,9584,6655,9561,6711,9553,6720,9490,6749,9480,6750,120,6750,62,6732,47,6720,39,6711,15,6655,15,6645,15,0,0,0,0,6645,1,6656,27,6721,35,6729,36,6730,44,6737,108,6764,120,6765,9480,6765,9547,6744,9564,6730,9565,6729,9598,6668,9600,6645,9600,0xe">
                  <v:path o:connectlocs="9600,75;9585,75;9585,6720;9584,6730;9561,6786;9553,6795;9490,6824;9480,6825;120,6825;62,6807;47,6795;39,6786;15,6730;15,6720;15,75;0,75;0,6720;1,6731;27,6796;35,6804;36,6805;44,6812;108,6839;120,6840;9480,6840;9547,6819;9564,6805;9565,6804;9598,6743;9600,6720;9600,75" o:connectangles="0,0,0,0,0,0,0,0,0,0,0,0,0,0,0,0,0,0,0,0,0,0,0,0,0,0,0,0,0,0,0"/>
                  <v:fill on="t" focussize="0,0"/>
                  <v:stroke on="f"/>
                  <v:imagedata o:title=""/>
                  <o:lock v:ext="edit" aspectratio="f"/>
                </v:shape>
                <v:shape id="AutoShape 313" o:spid="_x0000_s1026" o:spt="100" style="position:absolute;left:1169;top:74;height:6750;width:9390;" fillcolor="#FFFFFF" filled="t" stroked="f" coordsize="9390,6750" o:gfxdata="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Pn&#10;pwDCAAAA4wAAAA8AAAAAAAAAAQAgAAAAIgAAAGRycy9kb3ducmV2LnhtbFBLAQIUABQAAAAIAIdO&#10;4kAzLwWeOwAAADkAAAAQAAAAAAAAAAEAIAAAABEBAABkcnMvc2hhcGV4bWwueG1sUEsFBgAAAAAG&#10;AAYAWwEAALsDAAAAAA==&#10;" path="m9390,5902l9388,5894,9382,5879,9378,5873,9367,5861,9360,5857,9346,5851,9338,5850,52,5850,44,5851,30,5857,23,5861,12,5873,8,5879,2,5894,0,5902,0,6690,0,6698,2,6705,8,6720,12,6726,23,6738,30,6742,44,6748,52,6750,9338,6750,9346,6748,9360,6742,9367,6738,9378,6726,9382,6720,9388,6705,9390,6698,9390,5902xm9390,4642l9388,4634,9382,4619,9378,4613,9367,4602,9360,4597,9346,4591,9338,4590,52,4590,44,4591,30,4597,23,4602,12,4613,8,4619,2,4634,0,4642,0,5730,0,5738,2,5745,8,5760,12,5766,23,5778,30,5782,44,5788,52,5790,9338,5790,9346,5788,9360,5782,9367,5778,9378,5766,9382,5760,9388,5745,9390,5738,9390,4642xm9390,3682l9388,3674,9382,3659,9378,3653,9367,3641,9360,3637,9346,3631,9338,3630,52,3630,44,3631,30,3637,23,3641,12,3653,8,3659,2,3674,0,3682,0,4470,0,4478,2,4485,8,4500,12,4506,23,4518,30,4522,44,4528,52,4530,9338,4530,9346,4528,9360,4522,9367,4518,9378,4506,9382,4500,9388,4485,9390,4478,9390,3682xm9390,2122l9388,2114,9382,2099,9378,2093,9367,2081,9360,2077,9346,2071,9338,2070,52,2070,44,2071,30,2077,23,2081,12,2093,8,2099,2,2114,0,2122,0,3510,0,3518,2,3525,8,3540,12,3546,23,3558,30,3562,44,3568,52,3570,9338,3570,9346,3568,9360,3562,9367,3558,9378,3546,9382,3540,9388,3525,9390,3518,9390,2122xm9390,1462l9388,1454,9382,1439,9378,1433,9367,1421,9360,1417,9346,1411,9338,1410,52,1410,44,1411,30,1417,23,1421,12,1433,8,1439,2,1454,0,1462,0,1950,0,1957,2,1965,8,1980,12,1986,23,1998,30,2002,44,2008,52,2010,9338,2010,9346,2008,9360,2002,9367,1998,9378,1986,9382,1980,9388,1965,9390,1957,9390,1462xm9390,0l0,0,0,1290,0,1297,2,1305,8,1320,12,1326,23,1338,30,1342,44,1348,52,1350,9338,1350,9346,1348,9360,1342,9367,1338,9378,1326,9382,1320,9388,1305,9390,1297,9390,0xe">
                  <v:path o:connectlocs="9382,5954;9360,5932;52,5925;23,5936;2,5969;0,6773;12,6801;44,6823;9346,6823;9378,6801;9390,6773;9388,4709;9367,4677;9338,4665;30,4672;8,4694;0,5805;8,5835;30,5857;9338,5865;9367,5853;9388,5820;9390,3757;9378,3728;9346,3706;44,3706;12,3728;0,3757;2,4560;23,4593;52,4605;9360,4597;9382,4575;9390,3757;9382,2174;9360,2152;52,2145;23,2156;2,2189;0,3593;12,3621;44,3643;9346,3643;9378,3621;9390,3593;9388,1529;9367,1496;9338,1485;30,1492;8,1514;0,2025;8,2055;30,2077;9338,2085;9367,2073;9388,2040;9390,75;0,1372;12,1401;44,1423;9346,1423;9378,1401;9390,1372" o:connectangles="0,0,0,0,0,0,0,0,0,0,0,0,0,0,0,0,0,0,0,0,0,0,0,0,0,0,0,0,0,0,0,0,0,0,0,0,0,0,0,0,0,0,0,0,0,0,0,0,0,0,0,0,0,0,0,0,0,0,0,0,0,0,0"/>
                  <v:fill on="t" focussize="0,0"/>
                  <v:stroke on="f"/>
                  <v:imagedata o:title=""/>
                  <o:lock v:ext="edit" aspectratio="f"/>
                </v:shape>
              </v:group>
            </w:pict>
          </mc:Fallback>
        </mc:AlternateContent>
      </w:r>
      <w:r>
        <w:rPr>
          <w:rFonts w:eastAsia="Roboto"/>
          <w:color w:val="202024"/>
        </w:rPr>
        <w:t>become</w:t>
      </w:r>
      <w:r>
        <w:rPr>
          <w:rFonts w:eastAsia="Roboto"/>
          <w:color w:val="202024"/>
          <w:spacing w:val="11"/>
        </w:rPr>
        <w:t xml:space="preserve"> </w:t>
      </w:r>
      <w:r>
        <w:rPr>
          <w:rFonts w:eastAsia="Roboto"/>
          <w:color w:val="202024"/>
        </w:rPr>
        <w:t>a</w:t>
      </w:r>
      <w:r>
        <w:rPr>
          <w:rFonts w:eastAsia="Roboto"/>
          <w:color w:val="202024"/>
          <w:spacing w:val="12"/>
        </w:rPr>
        <w:t xml:space="preserve"> </w:t>
      </w:r>
      <w:r>
        <w:rPr>
          <w:rFonts w:eastAsia="Roboto"/>
          <w:color w:val="202024"/>
        </w:rPr>
        <w:t>redundant</w:t>
      </w:r>
      <w:r>
        <w:rPr>
          <w:rFonts w:eastAsia="Roboto"/>
          <w:color w:val="202024"/>
          <w:spacing w:val="12"/>
        </w:rPr>
        <w:t xml:space="preserve"> </w:t>
      </w:r>
      <w:r>
        <w:rPr>
          <w:rFonts w:eastAsia="Roboto"/>
          <w:color w:val="202024"/>
        </w:rPr>
        <w:t>policy</w:t>
      </w:r>
      <w:r>
        <w:rPr>
          <w:rFonts w:eastAsia="Roboto"/>
          <w:color w:val="202024"/>
          <w:spacing w:val="12"/>
        </w:rPr>
        <w:t xml:space="preserve"> </w:t>
      </w:r>
      <w:r>
        <w:rPr>
          <w:rFonts w:eastAsia="Roboto"/>
          <w:color w:val="202024"/>
        </w:rPr>
        <w:t>document</w:t>
      </w:r>
      <w:r>
        <w:rPr>
          <w:rFonts w:eastAsia="Roboto"/>
          <w:color w:val="202024"/>
          <w:spacing w:val="12"/>
        </w:rPr>
        <w:t xml:space="preserve"> </w:t>
      </w:r>
      <w:r>
        <w:rPr>
          <w:rFonts w:eastAsia="Roboto"/>
          <w:color w:val="202024"/>
        </w:rPr>
        <w:t>or</w:t>
      </w:r>
      <w:r>
        <w:rPr>
          <w:rFonts w:eastAsia="Roboto"/>
          <w:color w:val="202024"/>
          <w:spacing w:val="12"/>
        </w:rPr>
        <w:t xml:space="preserve"> </w:t>
      </w:r>
      <w:r>
        <w:rPr>
          <w:rFonts w:eastAsia="Roboto"/>
          <w:color w:val="202024"/>
        </w:rPr>
        <w:t>reference</w:t>
      </w:r>
      <w:r>
        <w:rPr>
          <w:rFonts w:eastAsia="Roboto"/>
          <w:color w:val="202024"/>
          <w:spacing w:val="12"/>
        </w:rPr>
        <w:t xml:space="preserve"> </w:t>
      </w:r>
      <w:r>
        <w:rPr>
          <w:rFonts w:eastAsia="Roboto"/>
          <w:color w:val="202024"/>
        </w:rPr>
        <w:t>tool</w:t>
      </w:r>
      <w:r>
        <w:rPr>
          <w:rFonts w:eastAsia="Roboto"/>
          <w:color w:val="202024"/>
          <w:spacing w:val="12"/>
        </w:rPr>
        <w:t xml:space="preserve"> </w:t>
      </w:r>
      <w:r>
        <w:rPr>
          <w:rFonts w:eastAsia="Roboto"/>
          <w:color w:val="202024"/>
        </w:rPr>
        <w:t>only</w:t>
      </w:r>
      <w:r>
        <w:rPr>
          <w:rFonts w:eastAsia="Roboto"/>
          <w:color w:val="202024"/>
          <w:spacing w:val="12"/>
        </w:rPr>
        <w:t xml:space="preserve"> </w:t>
      </w:r>
      <w:r>
        <w:rPr>
          <w:rFonts w:eastAsia="Roboto"/>
          <w:color w:val="202024"/>
        </w:rPr>
        <w:t>for</w:t>
      </w:r>
      <w:r>
        <w:rPr>
          <w:rFonts w:eastAsia="Roboto"/>
          <w:color w:val="202024"/>
          <w:spacing w:val="12"/>
        </w:rPr>
        <w:t xml:space="preserve"> </w:t>
      </w:r>
      <w:r>
        <w:rPr>
          <w:rFonts w:eastAsia="Roboto"/>
          <w:color w:val="202024"/>
        </w:rPr>
        <w:t>academics.</w:t>
      </w:r>
      <w:r>
        <w:rPr>
          <w:rFonts w:eastAsia="Roboto"/>
          <w:color w:val="202024"/>
          <w:spacing w:val="8"/>
        </w:rPr>
        <w:t xml:space="preserve"> </w:t>
      </w:r>
      <w:r>
        <w:rPr>
          <w:rFonts w:eastAsia="Roboto"/>
          <w:color w:val="202024"/>
        </w:rPr>
        <w:t>The</w:t>
      </w:r>
      <w:r>
        <w:rPr>
          <w:rFonts w:eastAsia="Roboto"/>
          <w:color w:val="202024"/>
          <w:spacing w:val="12"/>
        </w:rPr>
        <w:t xml:space="preserve"> </w:t>
      </w:r>
      <w:r>
        <w:rPr>
          <w:rFonts w:eastAsia="Roboto"/>
          <w:color w:val="202024"/>
        </w:rPr>
        <w:t>NTP</w:t>
      </w:r>
      <w:r>
        <w:rPr>
          <w:rFonts w:eastAsia="Roboto"/>
          <w:color w:val="202024"/>
          <w:spacing w:val="12"/>
        </w:rPr>
        <w:t xml:space="preserve"> </w:t>
      </w:r>
      <w:r>
        <w:rPr>
          <w:rFonts w:eastAsia="Roboto"/>
          <w:color w:val="202024"/>
        </w:rPr>
        <w:t>should</w:t>
      </w:r>
      <w:r>
        <w:rPr>
          <w:rFonts w:eastAsia="Roboto"/>
          <w:color w:val="202024"/>
          <w:spacing w:val="12"/>
        </w:rPr>
        <w:t xml:space="preserve"> </w:t>
      </w:r>
      <w:r>
        <w:rPr>
          <w:rFonts w:eastAsia="Roboto"/>
          <w:color w:val="202024"/>
        </w:rPr>
        <w:t>be</w:t>
      </w:r>
      <w:r>
        <w:rPr>
          <w:rFonts w:eastAsia="Roboto"/>
          <w:color w:val="202024"/>
          <w:spacing w:val="-50"/>
        </w:rPr>
        <w:t xml:space="preserve"> </w:t>
      </w:r>
      <w:r>
        <w:rPr>
          <w:rFonts w:eastAsia="Roboto"/>
          <w:color w:val="202024"/>
        </w:rPr>
        <w:t>the</w:t>
      </w:r>
      <w:r>
        <w:rPr>
          <w:rFonts w:eastAsia="Roboto"/>
          <w:color w:val="202024"/>
          <w:spacing w:val="8"/>
        </w:rPr>
        <w:t xml:space="preserve"> </w:t>
      </w:r>
      <w:r>
        <w:rPr>
          <w:rFonts w:eastAsia="Roboto"/>
          <w:color w:val="202024"/>
        </w:rPr>
        <w:t>“bible”</w:t>
      </w:r>
      <w:r>
        <w:rPr>
          <w:rFonts w:eastAsia="Roboto"/>
          <w:color w:val="202024"/>
          <w:spacing w:val="9"/>
        </w:rPr>
        <w:t xml:space="preserve"> </w:t>
      </w:r>
      <w:r>
        <w:rPr>
          <w:rFonts w:eastAsia="Roboto"/>
          <w:color w:val="202024"/>
        </w:rPr>
        <w:t>that</w:t>
      </w:r>
      <w:r>
        <w:rPr>
          <w:rFonts w:eastAsia="Roboto"/>
          <w:color w:val="202024"/>
          <w:spacing w:val="9"/>
        </w:rPr>
        <w:t xml:space="preserve"> </w:t>
      </w:r>
      <w:r>
        <w:rPr>
          <w:rFonts w:eastAsia="Roboto"/>
          <w:color w:val="202024"/>
        </w:rPr>
        <w:t>guides</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thinking,</w:t>
      </w:r>
      <w:r>
        <w:rPr>
          <w:rFonts w:eastAsia="Roboto"/>
          <w:color w:val="202024"/>
          <w:spacing w:val="9"/>
        </w:rPr>
        <w:t xml:space="preserve"> </w:t>
      </w:r>
      <w:r>
        <w:rPr>
          <w:rFonts w:eastAsia="Roboto"/>
          <w:color w:val="202024"/>
        </w:rPr>
        <w:t>formulation</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execution</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strategies</w:t>
      </w:r>
      <w:r>
        <w:rPr>
          <w:rFonts w:eastAsia="Roboto"/>
          <w:color w:val="202024"/>
          <w:spacing w:val="9"/>
        </w:rPr>
        <w:t xml:space="preserve"> </w:t>
      </w:r>
      <w:r>
        <w:rPr>
          <w:rFonts w:eastAsia="Roboto"/>
          <w:color w:val="202024"/>
        </w:rPr>
        <w:t>relevant</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taking</w:t>
      </w:r>
      <w:r>
        <w:rPr>
          <w:rFonts w:eastAsia="Roboto"/>
          <w:color w:val="202024"/>
          <w:spacing w:val="1"/>
        </w:rPr>
        <w:t xml:space="preserve"> </w:t>
      </w:r>
      <w:r>
        <w:rPr>
          <w:rFonts w:eastAsia="Roboto"/>
          <w:color w:val="202024"/>
        </w:rPr>
        <w:t>tax</w:t>
      </w:r>
      <w:r>
        <w:rPr>
          <w:rFonts w:eastAsia="Roboto"/>
          <w:color w:val="202024"/>
          <w:spacing w:val="8"/>
        </w:rPr>
        <w:t xml:space="preserve"> </w:t>
      </w:r>
      <w:r>
        <w:rPr>
          <w:rFonts w:eastAsia="Roboto"/>
          <w:color w:val="202024"/>
        </w:rPr>
        <w:t>administration</w:t>
      </w:r>
      <w:r>
        <w:rPr>
          <w:rFonts w:eastAsia="Roboto"/>
          <w:color w:val="202024"/>
          <w:spacing w:val="8"/>
        </w:rPr>
        <w:t xml:space="preserve"> </w:t>
      </w:r>
      <w:r>
        <w:rPr>
          <w:rFonts w:eastAsia="Roboto"/>
          <w:color w:val="202024"/>
        </w:rPr>
        <w:t>at</w:t>
      </w:r>
      <w:r>
        <w:rPr>
          <w:rFonts w:eastAsia="Roboto"/>
          <w:color w:val="202024"/>
          <w:spacing w:val="9"/>
        </w:rPr>
        <w:t xml:space="preserve"> </w:t>
      </w:r>
      <w:r>
        <w:rPr>
          <w:rFonts w:eastAsia="Roboto"/>
          <w:color w:val="202024"/>
        </w:rPr>
        <w:t>all</w:t>
      </w:r>
      <w:r>
        <w:rPr>
          <w:rFonts w:eastAsia="Roboto"/>
          <w:color w:val="202024"/>
          <w:spacing w:val="8"/>
        </w:rPr>
        <w:t xml:space="preserve"> </w:t>
      </w:r>
      <w:r>
        <w:rPr>
          <w:rFonts w:eastAsia="Roboto"/>
          <w:color w:val="202024"/>
        </w:rPr>
        <w:t>levels</w:t>
      </w:r>
      <w:r>
        <w:rPr>
          <w:rFonts w:eastAsia="Roboto"/>
          <w:color w:val="202024"/>
          <w:spacing w:val="8"/>
        </w:rPr>
        <w:t xml:space="preserve"> </w:t>
      </w:r>
      <w:r>
        <w:rPr>
          <w:rFonts w:eastAsia="Roboto"/>
          <w:color w:val="202024"/>
        </w:rPr>
        <w:t>(assessment,</w:t>
      </w:r>
      <w:r>
        <w:rPr>
          <w:rFonts w:eastAsia="Roboto"/>
          <w:color w:val="202024"/>
          <w:spacing w:val="9"/>
        </w:rPr>
        <w:t xml:space="preserve"> </w:t>
      </w:r>
      <w:r>
        <w:rPr>
          <w:rFonts w:eastAsia="Roboto"/>
          <w:color w:val="202024"/>
        </w:rPr>
        <w:t>collection</w:t>
      </w:r>
      <w:r>
        <w:rPr>
          <w:rFonts w:eastAsia="Roboto"/>
          <w:color w:val="202024"/>
          <w:spacing w:val="8"/>
        </w:rPr>
        <w:t xml:space="preserve"> </w:t>
      </w:r>
      <w:r>
        <w:rPr>
          <w:rFonts w:eastAsia="Roboto"/>
          <w:color w:val="202024"/>
        </w:rPr>
        <w:t>etc)</w:t>
      </w:r>
      <w:r>
        <w:rPr>
          <w:rFonts w:eastAsia="Roboto"/>
          <w:color w:val="202024"/>
          <w:spacing w:val="9"/>
        </w:rPr>
        <w:t xml:space="preserve"> </w:t>
      </w:r>
      <w:r>
        <w:rPr>
          <w:rFonts w:eastAsia="Roboto"/>
          <w:color w:val="202024"/>
        </w:rPr>
        <w:t>and</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tax</w:t>
      </w:r>
      <w:r>
        <w:rPr>
          <w:rFonts w:eastAsia="Roboto"/>
          <w:color w:val="202024"/>
          <w:spacing w:val="9"/>
        </w:rPr>
        <w:t xml:space="preserve"> </w:t>
      </w:r>
      <w:r>
        <w:rPr>
          <w:rFonts w:eastAsia="Roboto"/>
          <w:color w:val="202024"/>
        </w:rPr>
        <w:t>system</w:t>
      </w:r>
      <w:r>
        <w:rPr>
          <w:rFonts w:eastAsia="Roboto"/>
          <w:color w:val="202024"/>
          <w:spacing w:val="8"/>
        </w:rPr>
        <w:t xml:space="preserve"> </w:t>
      </w:r>
      <w:r>
        <w:rPr>
          <w:rFonts w:eastAsia="Roboto"/>
          <w:color w:val="202024"/>
        </w:rPr>
        <w:t>at</w:t>
      </w:r>
      <w:r>
        <w:rPr>
          <w:rFonts w:eastAsia="Roboto"/>
          <w:color w:val="202024"/>
          <w:spacing w:val="9"/>
        </w:rPr>
        <w:t xml:space="preserve"> </w:t>
      </w:r>
      <w:r>
        <w:rPr>
          <w:rFonts w:eastAsia="Roboto"/>
          <w:color w:val="202024"/>
        </w:rPr>
        <w:t>large</w:t>
      </w:r>
      <w:r>
        <w:rPr>
          <w:rFonts w:eastAsia="Roboto"/>
          <w:color w:val="202024"/>
          <w:spacing w:val="8"/>
        </w:rPr>
        <w:t xml:space="preserve"> </w:t>
      </w:r>
      <w:r>
        <w:rPr>
          <w:rFonts w:eastAsia="Roboto"/>
          <w:color w:val="202024"/>
        </w:rPr>
        <w:t>to</w:t>
      </w:r>
      <w:r>
        <w:rPr>
          <w:rFonts w:eastAsia="Roboto"/>
          <w:color w:val="202024"/>
          <w:spacing w:val="1"/>
        </w:rPr>
        <w:t xml:space="preserve"> </w:t>
      </w:r>
      <w:r>
        <w:rPr>
          <w:rFonts w:eastAsia="Roboto"/>
          <w:color w:val="202024"/>
        </w:rPr>
        <w:t>optimum</w:t>
      </w:r>
      <w:r>
        <w:rPr>
          <w:rFonts w:eastAsia="Roboto"/>
          <w:color w:val="202024"/>
          <w:spacing w:val="5"/>
        </w:rPr>
        <w:t xml:space="preserve"> </w:t>
      </w:r>
      <w:r>
        <w:rPr>
          <w:rFonts w:eastAsia="Roboto"/>
          <w:color w:val="202024"/>
        </w:rPr>
        <w:t>heights.</w:t>
      </w:r>
    </w:p>
    <w:p w14:paraId="776388CF">
      <w:pPr>
        <w:widowControl w:val="0"/>
        <w:autoSpaceDE w:val="0"/>
        <w:autoSpaceDN w:val="0"/>
        <w:spacing w:before="85" w:line="285" w:lineRule="auto"/>
        <w:ind w:right="235"/>
        <w:jc w:val="both"/>
        <w:rPr>
          <w:rFonts w:eastAsia="Roboto"/>
        </w:rPr>
      </w:pPr>
    </w:p>
    <w:p w14:paraId="4084629D">
      <w:pPr>
        <w:widowControl w:val="0"/>
        <w:autoSpaceDE w:val="0"/>
        <w:autoSpaceDN w:val="0"/>
        <w:jc w:val="both"/>
        <w:rPr>
          <w:rFonts w:eastAsia="Roboto"/>
        </w:rPr>
      </w:pPr>
    </w:p>
    <w:p w14:paraId="31C7ECCA">
      <w:pPr>
        <w:widowControl w:val="0"/>
        <w:autoSpaceDE w:val="0"/>
        <w:autoSpaceDN w:val="0"/>
        <w:jc w:val="both"/>
        <w:rPr>
          <w:rFonts w:eastAsia="Roboto"/>
        </w:rPr>
      </w:pPr>
      <w:r>
        <w:rPr>
          <w:rFonts w:eastAsia="Roboto"/>
          <w:color w:val="202024"/>
        </w:rPr>
        <w:t>I've</w:t>
      </w:r>
      <w:r>
        <w:rPr>
          <w:rFonts w:eastAsia="Roboto"/>
          <w:color w:val="202024"/>
          <w:spacing w:val="9"/>
        </w:rPr>
        <w:t xml:space="preserve"> </w:t>
      </w:r>
      <w:r>
        <w:rPr>
          <w:rFonts w:eastAsia="Roboto"/>
          <w:color w:val="202024"/>
        </w:rPr>
        <w:t>assumed</w:t>
      </w:r>
      <w:r>
        <w:rPr>
          <w:rFonts w:eastAsia="Roboto"/>
          <w:color w:val="202024"/>
          <w:spacing w:val="9"/>
        </w:rPr>
        <w:t xml:space="preserve"> </w:t>
      </w:r>
      <w:r>
        <w:rPr>
          <w:rFonts w:eastAsia="Roboto"/>
          <w:color w:val="202024"/>
        </w:rPr>
        <w:t>that</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questions</w:t>
      </w:r>
      <w:r>
        <w:rPr>
          <w:rFonts w:eastAsia="Roboto"/>
          <w:color w:val="202024"/>
          <w:spacing w:val="10"/>
        </w:rPr>
        <w:t xml:space="preserve"> </w:t>
      </w:r>
      <w:r>
        <w:rPr>
          <w:rFonts w:eastAsia="Roboto"/>
          <w:color w:val="202024"/>
        </w:rPr>
        <w:t>do</w:t>
      </w:r>
      <w:r>
        <w:rPr>
          <w:rFonts w:eastAsia="Roboto"/>
          <w:color w:val="202024"/>
          <w:spacing w:val="9"/>
        </w:rPr>
        <w:t xml:space="preserve"> </w:t>
      </w:r>
      <w:r>
        <w:rPr>
          <w:rFonts w:eastAsia="Roboto"/>
          <w:color w:val="202024"/>
        </w:rPr>
        <w:t>not</w:t>
      </w:r>
      <w:r>
        <w:rPr>
          <w:rFonts w:eastAsia="Roboto"/>
          <w:color w:val="202024"/>
          <w:spacing w:val="10"/>
        </w:rPr>
        <w:t xml:space="preserve"> </w:t>
      </w:r>
      <w:r>
        <w:rPr>
          <w:rFonts w:eastAsia="Roboto"/>
          <w:color w:val="202024"/>
        </w:rPr>
        <w:t>relate</w:t>
      </w:r>
      <w:r>
        <w:rPr>
          <w:rFonts w:eastAsia="Roboto"/>
          <w:color w:val="202024"/>
          <w:spacing w:val="9"/>
        </w:rPr>
        <w:t xml:space="preserve"> </w:t>
      </w:r>
      <w:r>
        <w:rPr>
          <w:rFonts w:eastAsia="Roboto"/>
          <w:color w:val="202024"/>
        </w:rPr>
        <w:t>to</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current</w:t>
      </w:r>
      <w:r>
        <w:rPr>
          <w:rFonts w:eastAsia="Roboto"/>
          <w:color w:val="202024"/>
          <w:spacing w:val="10"/>
        </w:rPr>
        <w:t xml:space="preserve"> </w:t>
      </w:r>
      <w:r>
        <w:rPr>
          <w:rFonts w:eastAsia="Roboto"/>
          <w:color w:val="202024"/>
        </w:rPr>
        <w:t>state</w:t>
      </w:r>
      <w:r>
        <w:rPr>
          <w:rFonts w:eastAsia="Roboto"/>
          <w:color w:val="202024"/>
          <w:spacing w:val="9"/>
        </w:rPr>
        <w:t xml:space="preserve"> </w:t>
      </w:r>
      <w:r>
        <w:rPr>
          <w:rFonts w:eastAsia="Roboto"/>
          <w:color w:val="202024"/>
        </w:rPr>
        <w:t>of</w:t>
      </w:r>
      <w:r>
        <w:rPr>
          <w:rFonts w:eastAsia="Roboto"/>
          <w:color w:val="202024"/>
          <w:spacing w:val="10"/>
        </w:rPr>
        <w:t xml:space="preserve"> </w:t>
      </w:r>
      <w:r>
        <w:rPr>
          <w:rFonts w:eastAsia="Roboto"/>
          <w:color w:val="202024"/>
        </w:rPr>
        <w:t>affairs.</w:t>
      </w:r>
    </w:p>
    <w:p w14:paraId="5DD3CD5C">
      <w:pPr>
        <w:widowControl w:val="0"/>
        <w:autoSpaceDE w:val="0"/>
        <w:autoSpaceDN w:val="0"/>
        <w:jc w:val="both"/>
        <w:rPr>
          <w:rFonts w:eastAsia="Roboto"/>
        </w:rPr>
      </w:pPr>
    </w:p>
    <w:p w14:paraId="217A234E">
      <w:pPr>
        <w:widowControl w:val="0"/>
        <w:autoSpaceDE w:val="0"/>
        <w:autoSpaceDN w:val="0"/>
        <w:spacing w:line="285" w:lineRule="auto"/>
        <w:ind w:right="426"/>
        <w:jc w:val="both"/>
        <w:rPr>
          <w:rFonts w:eastAsia="Roboto"/>
        </w:rPr>
      </w:pPr>
      <w:r>
        <w:rPr>
          <w:rFonts w:eastAsia="Roboto"/>
          <w:color w:val="202024"/>
        </w:rPr>
        <w:t>In</w:t>
      </w:r>
      <w:r>
        <w:rPr>
          <w:rFonts w:eastAsia="Roboto"/>
          <w:color w:val="202024"/>
          <w:spacing w:val="7"/>
        </w:rPr>
        <w:t xml:space="preserve"> </w:t>
      </w:r>
      <w:r>
        <w:rPr>
          <w:rFonts w:eastAsia="Roboto"/>
          <w:color w:val="202024"/>
        </w:rPr>
        <w:t>my</w:t>
      </w:r>
      <w:r>
        <w:rPr>
          <w:rFonts w:eastAsia="Roboto"/>
          <w:color w:val="202024"/>
          <w:spacing w:val="8"/>
        </w:rPr>
        <w:t xml:space="preserve"> </w:t>
      </w:r>
      <w:r>
        <w:rPr>
          <w:rFonts w:eastAsia="Roboto"/>
          <w:color w:val="202024"/>
        </w:rPr>
        <w:t>experience,</w:t>
      </w:r>
      <w:r>
        <w:rPr>
          <w:rFonts w:eastAsia="Roboto"/>
          <w:color w:val="202024"/>
          <w:spacing w:val="7"/>
        </w:rPr>
        <w:t xml:space="preserve"> </w:t>
      </w:r>
      <w:r>
        <w:rPr>
          <w:rFonts w:eastAsia="Roboto"/>
          <w:color w:val="202024"/>
        </w:rPr>
        <w:t>ambiguity</w:t>
      </w:r>
      <w:r>
        <w:rPr>
          <w:rFonts w:eastAsia="Roboto"/>
          <w:color w:val="202024"/>
          <w:spacing w:val="8"/>
        </w:rPr>
        <w:t xml:space="preserve"> </w:t>
      </w:r>
      <w:r>
        <w:rPr>
          <w:rFonts w:eastAsia="Roboto"/>
          <w:color w:val="202024"/>
        </w:rPr>
        <w:t>in</w:t>
      </w:r>
      <w:r>
        <w:rPr>
          <w:rFonts w:eastAsia="Roboto"/>
          <w:color w:val="202024"/>
          <w:spacing w:val="7"/>
        </w:rPr>
        <w:t xml:space="preserve"> </w:t>
      </w:r>
      <w:r>
        <w:rPr>
          <w:rFonts w:eastAsia="Roboto"/>
          <w:color w:val="202024"/>
        </w:rPr>
        <w:t>wordings</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tax</w:t>
      </w:r>
      <w:r>
        <w:rPr>
          <w:rFonts w:eastAsia="Roboto"/>
          <w:color w:val="202024"/>
          <w:spacing w:val="7"/>
        </w:rPr>
        <w:t xml:space="preserve"> </w:t>
      </w:r>
      <w:r>
        <w:rPr>
          <w:rFonts w:eastAsia="Roboto"/>
          <w:color w:val="202024"/>
        </w:rPr>
        <w:t>statutes</w:t>
      </w:r>
      <w:r>
        <w:rPr>
          <w:rFonts w:eastAsia="Roboto"/>
          <w:color w:val="202024"/>
          <w:spacing w:val="8"/>
        </w:rPr>
        <w:t xml:space="preserve"> </w:t>
      </w:r>
      <w:r>
        <w:rPr>
          <w:rFonts w:eastAsia="Roboto"/>
          <w:color w:val="202024"/>
        </w:rPr>
        <w:t>has</w:t>
      </w:r>
      <w:r>
        <w:rPr>
          <w:rFonts w:eastAsia="Roboto"/>
          <w:color w:val="202024"/>
          <w:spacing w:val="7"/>
        </w:rPr>
        <w:t xml:space="preserve"> </w:t>
      </w:r>
      <w:r>
        <w:rPr>
          <w:rFonts w:eastAsia="Roboto"/>
          <w:color w:val="202024"/>
        </w:rPr>
        <w:t>often</w:t>
      </w:r>
      <w:r>
        <w:rPr>
          <w:rFonts w:eastAsia="Roboto"/>
          <w:color w:val="202024"/>
          <w:spacing w:val="8"/>
        </w:rPr>
        <w:t xml:space="preserve"> </w:t>
      </w:r>
      <w:r>
        <w:rPr>
          <w:rFonts w:eastAsia="Roboto"/>
          <w:color w:val="202024"/>
        </w:rPr>
        <w:t>led</w:t>
      </w:r>
      <w:r>
        <w:rPr>
          <w:rFonts w:eastAsia="Roboto"/>
          <w:color w:val="202024"/>
          <w:spacing w:val="7"/>
        </w:rPr>
        <w:t xml:space="preserve"> </w:t>
      </w:r>
      <w:r>
        <w:rPr>
          <w:rFonts w:eastAsia="Roboto"/>
          <w:color w:val="202024"/>
        </w:rPr>
        <w:t>to</w:t>
      </w:r>
      <w:r>
        <w:rPr>
          <w:rFonts w:eastAsia="Roboto"/>
          <w:color w:val="202024"/>
          <w:spacing w:val="8"/>
        </w:rPr>
        <w:t xml:space="preserve"> </w:t>
      </w:r>
      <w:r>
        <w:rPr>
          <w:rFonts w:eastAsia="Roboto"/>
          <w:color w:val="202024"/>
        </w:rPr>
        <w:t>difficult</w:t>
      </w:r>
      <w:r>
        <w:rPr>
          <w:rFonts w:eastAsia="Roboto"/>
          <w:color w:val="202024"/>
          <w:spacing w:val="8"/>
        </w:rPr>
        <w:t xml:space="preserve"> </w:t>
      </w:r>
      <w:r>
        <w:rPr>
          <w:rFonts w:eastAsia="Roboto"/>
          <w:color w:val="202024"/>
        </w:rPr>
        <w:t>tax</w:t>
      </w:r>
      <w:r>
        <w:rPr>
          <w:rFonts w:eastAsia="Roboto"/>
          <w:color w:val="202024"/>
          <w:spacing w:val="1"/>
        </w:rPr>
        <w:t xml:space="preserve"> </w:t>
      </w:r>
      <w:r>
        <w:rPr>
          <w:rFonts w:eastAsia="Roboto"/>
          <w:color w:val="202024"/>
        </w:rPr>
        <w:t>interpretation.</w:t>
      </w:r>
      <w:r>
        <w:rPr>
          <w:rFonts w:eastAsia="Roboto"/>
          <w:color w:val="202024"/>
          <w:spacing w:val="13"/>
        </w:rPr>
        <w:t xml:space="preserve"> </w:t>
      </w:r>
      <w:r>
        <w:rPr>
          <w:rFonts w:eastAsia="Roboto"/>
          <w:color w:val="202024"/>
        </w:rPr>
        <w:t>It</w:t>
      </w:r>
      <w:r>
        <w:rPr>
          <w:rFonts w:eastAsia="Roboto"/>
          <w:color w:val="202024"/>
          <w:spacing w:val="14"/>
        </w:rPr>
        <w:t xml:space="preserve"> </w:t>
      </w:r>
      <w:r>
        <w:rPr>
          <w:rFonts w:eastAsia="Roboto"/>
          <w:color w:val="202024"/>
        </w:rPr>
        <w:t>is</w:t>
      </w:r>
      <w:r>
        <w:rPr>
          <w:rFonts w:eastAsia="Roboto"/>
          <w:color w:val="202024"/>
          <w:spacing w:val="13"/>
        </w:rPr>
        <w:t xml:space="preserve"> </w:t>
      </w:r>
      <w:r>
        <w:rPr>
          <w:rFonts w:eastAsia="Roboto"/>
          <w:color w:val="202024"/>
        </w:rPr>
        <w:t>therefore</w:t>
      </w:r>
      <w:r>
        <w:rPr>
          <w:rFonts w:eastAsia="Roboto"/>
          <w:color w:val="202024"/>
          <w:spacing w:val="14"/>
        </w:rPr>
        <w:t xml:space="preserve"> </w:t>
      </w:r>
      <w:r>
        <w:rPr>
          <w:rFonts w:eastAsia="Roboto"/>
          <w:color w:val="202024"/>
        </w:rPr>
        <w:t>important</w:t>
      </w:r>
      <w:r>
        <w:rPr>
          <w:rFonts w:eastAsia="Roboto"/>
          <w:color w:val="202024"/>
          <w:spacing w:val="13"/>
        </w:rPr>
        <w:t xml:space="preserve"> </w:t>
      </w:r>
      <w:r>
        <w:rPr>
          <w:rFonts w:eastAsia="Roboto"/>
          <w:color w:val="202024"/>
        </w:rPr>
        <w:t>that</w:t>
      </w:r>
      <w:r>
        <w:rPr>
          <w:rFonts w:eastAsia="Roboto"/>
          <w:color w:val="202024"/>
          <w:spacing w:val="14"/>
        </w:rPr>
        <w:t xml:space="preserve"> </w:t>
      </w:r>
      <w:r>
        <w:rPr>
          <w:rFonts w:eastAsia="Roboto"/>
          <w:color w:val="202024"/>
        </w:rPr>
        <w:t>clear</w:t>
      </w:r>
      <w:r>
        <w:rPr>
          <w:rFonts w:eastAsia="Roboto"/>
          <w:color w:val="202024"/>
          <w:spacing w:val="13"/>
        </w:rPr>
        <w:t xml:space="preserve"> </w:t>
      </w:r>
      <w:r>
        <w:rPr>
          <w:rFonts w:eastAsia="Roboto"/>
          <w:color w:val="202024"/>
        </w:rPr>
        <w:t>legislative</w:t>
      </w:r>
      <w:r>
        <w:rPr>
          <w:rFonts w:eastAsia="Roboto"/>
          <w:color w:val="202024"/>
          <w:spacing w:val="14"/>
        </w:rPr>
        <w:t xml:space="preserve"> </w:t>
      </w:r>
      <w:r>
        <w:rPr>
          <w:rFonts w:eastAsia="Roboto"/>
          <w:color w:val="202024"/>
        </w:rPr>
        <w:t>drafting</w:t>
      </w:r>
      <w:r>
        <w:rPr>
          <w:rFonts w:eastAsia="Roboto"/>
          <w:color w:val="202024"/>
          <w:spacing w:val="13"/>
        </w:rPr>
        <w:t xml:space="preserve"> </w:t>
      </w:r>
      <w:r>
        <w:rPr>
          <w:rFonts w:eastAsia="Roboto"/>
          <w:color w:val="202024"/>
        </w:rPr>
        <w:t>is</w:t>
      </w:r>
      <w:r>
        <w:rPr>
          <w:rFonts w:eastAsia="Roboto"/>
          <w:color w:val="202024"/>
          <w:spacing w:val="13"/>
        </w:rPr>
        <w:t xml:space="preserve"> </w:t>
      </w:r>
      <w:r>
        <w:rPr>
          <w:rFonts w:eastAsia="Roboto"/>
          <w:color w:val="202024"/>
        </w:rPr>
        <w:t>adopted</w:t>
      </w:r>
      <w:r>
        <w:rPr>
          <w:rFonts w:eastAsia="Roboto"/>
          <w:color w:val="202024"/>
          <w:spacing w:val="14"/>
        </w:rPr>
        <w:t xml:space="preserve"> </w:t>
      </w:r>
      <w:r>
        <w:rPr>
          <w:rFonts w:eastAsia="Roboto"/>
          <w:color w:val="202024"/>
        </w:rPr>
        <w:t>incorporating</w:t>
      </w:r>
      <w:r>
        <w:rPr>
          <w:rFonts w:eastAsia="Roboto"/>
          <w:color w:val="202024"/>
          <w:spacing w:val="-49"/>
        </w:rPr>
        <w:t xml:space="preserve"> </w:t>
      </w:r>
      <w:r>
        <w:rPr>
          <w:rFonts w:eastAsia="Roboto"/>
          <w:color w:val="202024"/>
        </w:rPr>
        <w:t>simple</w:t>
      </w:r>
      <w:r>
        <w:rPr>
          <w:rFonts w:eastAsia="Roboto"/>
          <w:color w:val="202024"/>
          <w:spacing w:val="4"/>
        </w:rPr>
        <w:t xml:space="preserve"> </w:t>
      </w:r>
      <w:r>
        <w:rPr>
          <w:rFonts w:eastAsia="Roboto"/>
          <w:color w:val="202024"/>
        </w:rPr>
        <w:t>and</w:t>
      </w:r>
      <w:r>
        <w:rPr>
          <w:rFonts w:eastAsia="Roboto"/>
          <w:color w:val="202024"/>
          <w:spacing w:val="4"/>
        </w:rPr>
        <w:t xml:space="preserve"> </w:t>
      </w:r>
      <w:r>
        <w:rPr>
          <w:rFonts w:eastAsia="Roboto"/>
          <w:color w:val="202024"/>
        </w:rPr>
        <w:t>easy-to-understand</w:t>
      </w:r>
      <w:r>
        <w:rPr>
          <w:rFonts w:eastAsia="Roboto"/>
          <w:color w:val="202024"/>
          <w:spacing w:val="5"/>
        </w:rPr>
        <w:t xml:space="preserve"> </w:t>
      </w:r>
      <w:r>
        <w:rPr>
          <w:rFonts w:eastAsia="Roboto"/>
          <w:color w:val="202024"/>
        </w:rPr>
        <w:t>language. This</w:t>
      </w:r>
      <w:r>
        <w:rPr>
          <w:rFonts w:eastAsia="Roboto"/>
          <w:color w:val="202024"/>
          <w:spacing w:val="5"/>
        </w:rPr>
        <w:t xml:space="preserve"> </w:t>
      </w:r>
      <w:r>
        <w:rPr>
          <w:rFonts w:eastAsia="Roboto"/>
          <w:color w:val="202024"/>
        </w:rPr>
        <w:t>makes</w:t>
      </w:r>
      <w:r>
        <w:rPr>
          <w:rFonts w:eastAsia="Roboto"/>
          <w:color w:val="202024"/>
          <w:spacing w:val="4"/>
        </w:rPr>
        <w:t xml:space="preserve"> </w:t>
      </w:r>
      <w:r>
        <w:rPr>
          <w:rFonts w:eastAsia="Roboto"/>
          <w:color w:val="202024"/>
        </w:rPr>
        <w:t>it</w:t>
      </w:r>
      <w:r>
        <w:rPr>
          <w:rFonts w:eastAsia="Roboto"/>
          <w:color w:val="202024"/>
          <w:spacing w:val="4"/>
        </w:rPr>
        <w:t xml:space="preserve"> </w:t>
      </w:r>
      <w:r>
        <w:rPr>
          <w:rFonts w:eastAsia="Roboto"/>
          <w:color w:val="202024"/>
        </w:rPr>
        <w:t>relatively</w:t>
      </w:r>
      <w:r>
        <w:rPr>
          <w:rFonts w:eastAsia="Roboto"/>
          <w:color w:val="202024"/>
          <w:spacing w:val="5"/>
        </w:rPr>
        <w:t xml:space="preserve"> </w:t>
      </w:r>
      <w:r>
        <w:rPr>
          <w:rFonts w:eastAsia="Roboto"/>
          <w:color w:val="202024"/>
        </w:rPr>
        <w:t>easy</w:t>
      </w:r>
      <w:r>
        <w:rPr>
          <w:rFonts w:eastAsia="Roboto"/>
          <w:color w:val="202024"/>
          <w:spacing w:val="4"/>
        </w:rPr>
        <w:t xml:space="preserve"> </w:t>
      </w:r>
      <w:r>
        <w:rPr>
          <w:rFonts w:eastAsia="Roboto"/>
          <w:color w:val="202024"/>
        </w:rPr>
        <w:t>for</w:t>
      </w:r>
      <w:r>
        <w:rPr>
          <w:rFonts w:eastAsia="Roboto"/>
          <w:color w:val="202024"/>
          <w:spacing w:val="5"/>
        </w:rPr>
        <w:t xml:space="preserve"> </w:t>
      </w:r>
      <w:r>
        <w:rPr>
          <w:rFonts w:eastAsia="Roboto"/>
          <w:color w:val="202024"/>
        </w:rPr>
        <w:t>the</w:t>
      </w:r>
      <w:r>
        <w:rPr>
          <w:rFonts w:eastAsia="Roboto"/>
          <w:color w:val="202024"/>
          <w:spacing w:val="4"/>
        </w:rPr>
        <w:t xml:space="preserve"> </w:t>
      </w:r>
      <w:r>
        <w:rPr>
          <w:rFonts w:eastAsia="Roboto"/>
          <w:color w:val="202024"/>
        </w:rPr>
        <w:t>taxpayers</w:t>
      </w:r>
      <w:r>
        <w:rPr>
          <w:rFonts w:eastAsia="Roboto"/>
          <w:color w:val="202024"/>
          <w:spacing w:val="4"/>
        </w:rPr>
        <w:t xml:space="preserve"> </w:t>
      </w:r>
      <w:r>
        <w:rPr>
          <w:rFonts w:eastAsia="Roboto"/>
          <w:color w:val="202024"/>
        </w:rPr>
        <w:t>to</w:t>
      </w:r>
      <w:r>
        <w:rPr>
          <w:rFonts w:eastAsia="Roboto"/>
          <w:color w:val="202024"/>
          <w:spacing w:val="1"/>
        </w:rPr>
        <w:t xml:space="preserve"> </w:t>
      </w:r>
      <w:r>
        <w:rPr>
          <w:rFonts w:eastAsia="Roboto"/>
          <w:color w:val="202024"/>
        </w:rPr>
        <w:t>understand</w:t>
      </w:r>
      <w:r>
        <w:rPr>
          <w:rFonts w:eastAsia="Roboto"/>
          <w:color w:val="202024"/>
          <w:spacing w:val="5"/>
        </w:rPr>
        <w:t xml:space="preserve"> </w:t>
      </w:r>
      <w:r>
        <w:rPr>
          <w:rFonts w:eastAsia="Roboto"/>
          <w:color w:val="202024"/>
        </w:rPr>
        <w:t>and</w:t>
      </w:r>
      <w:r>
        <w:rPr>
          <w:rFonts w:eastAsia="Roboto"/>
          <w:color w:val="202024"/>
          <w:spacing w:val="6"/>
        </w:rPr>
        <w:t xml:space="preserve"> </w:t>
      </w:r>
      <w:r>
        <w:rPr>
          <w:rFonts w:eastAsia="Roboto"/>
          <w:color w:val="202024"/>
        </w:rPr>
        <w:t>interpret</w:t>
      </w:r>
      <w:r>
        <w:rPr>
          <w:rFonts w:eastAsia="Roboto"/>
          <w:color w:val="202024"/>
          <w:spacing w:val="6"/>
        </w:rPr>
        <w:t xml:space="preserve"> </w:t>
      </w:r>
      <w:r>
        <w:rPr>
          <w:rFonts w:eastAsia="Roboto"/>
          <w:color w:val="202024"/>
        </w:rPr>
        <w:t>in</w:t>
      </w:r>
      <w:r>
        <w:rPr>
          <w:rFonts w:eastAsia="Roboto"/>
          <w:color w:val="202024"/>
          <w:spacing w:val="6"/>
        </w:rPr>
        <w:t xml:space="preserve"> </w:t>
      </w:r>
      <w:r>
        <w:rPr>
          <w:rFonts w:eastAsia="Roboto"/>
          <w:color w:val="202024"/>
        </w:rPr>
        <w:t>managing</w:t>
      </w:r>
      <w:r>
        <w:rPr>
          <w:rFonts w:eastAsia="Roboto"/>
          <w:color w:val="202024"/>
          <w:spacing w:val="6"/>
        </w:rPr>
        <w:t xml:space="preserve"> </w:t>
      </w:r>
      <w:r>
        <w:rPr>
          <w:rFonts w:eastAsia="Roboto"/>
          <w:color w:val="202024"/>
        </w:rPr>
        <w:t>their</w:t>
      </w:r>
      <w:r>
        <w:rPr>
          <w:rFonts w:eastAsia="Roboto"/>
          <w:color w:val="202024"/>
          <w:spacing w:val="6"/>
        </w:rPr>
        <w:t xml:space="preserve"> </w:t>
      </w:r>
      <w:r>
        <w:rPr>
          <w:rFonts w:eastAsia="Roboto"/>
          <w:color w:val="202024"/>
        </w:rPr>
        <w:t>individual</w:t>
      </w:r>
      <w:r>
        <w:rPr>
          <w:rFonts w:eastAsia="Roboto"/>
          <w:color w:val="202024"/>
          <w:spacing w:val="5"/>
        </w:rPr>
        <w:t xml:space="preserve"> </w:t>
      </w:r>
      <w:r>
        <w:rPr>
          <w:rFonts w:eastAsia="Roboto"/>
          <w:color w:val="202024"/>
        </w:rPr>
        <w:t>tax</w:t>
      </w:r>
      <w:r>
        <w:rPr>
          <w:rFonts w:eastAsia="Roboto"/>
          <w:color w:val="202024"/>
          <w:spacing w:val="6"/>
        </w:rPr>
        <w:t xml:space="preserve"> </w:t>
      </w:r>
      <w:r>
        <w:rPr>
          <w:rFonts w:eastAsia="Roboto"/>
          <w:color w:val="202024"/>
        </w:rPr>
        <w:t>affairs</w:t>
      </w:r>
    </w:p>
    <w:p w14:paraId="65A93BDA">
      <w:pPr>
        <w:widowControl w:val="0"/>
        <w:autoSpaceDE w:val="0"/>
        <w:autoSpaceDN w:val="0"/>
        <w:jc w:val="both"/>
        <w:rPr>
          <w:rFonts w:eastAsia="Roboto"/>
        </w:rPr>
      </w:pPr>
    </w:p>
    <w:p w14:paraId="286A1634">
      <w:pPr>
        <w:widowControl w:val="0"/>
        <w:autoSpaceDE w:val="0"/>
        <w:autoSpaceDN w:val="0"/>
        <w:spacing w:line="285" w:lineRule="auto"/>
        <w:ind w:right="1162"/>
        <w:jc w:val="both"/>
        <w:rPr>
          <w:rFonts w:eastAsia="Roboto"/>
        </w:rPr>
      </w:pPr>
      <w:r>
        <w:rPr>
          <w:rFonts w:eastAsia="Roboto"/>
          <w:color w:val="202024"/>
        </w:rPr>
        <w:t>All</w:t>
      </w:r>
      <w:r>
        <w:rPr>
          <w:rFonts w:eastAsia="Roboto"/>
          <w:color w:val="202024"/>
          <w:spacing w:val="10"/>
        </w:rPr>
        <w:t xml:space="preserve"> </w:t>
      </w:r>
      <w:r>
        <w:rPr>
          <w:rFonts w:eastAsia="Roboto"/>
          <w:color w:val="202024"/>
        </w:rPr>
        <w:t>the</w:t>
      </w:r>
      <w:r>
        <w:rPr>
          <w:rFonts w:eastAsia="Roboto"/>
          <w:color w:val="202024"/>
          <w:spacing w:val="11"/>
        </w:rPr>
        <w:t xml:space="preserve"> </w:t>
      </w:r>
      <w:r>
        <w:rPr>
          <w:rFonts w:eastAsia="Roboto"/>
          <w:color w:val="202024"/>
        </w:rPr>
        <w:t>above</w:t>
      </w:r>
      <w:r>
        <w:rPr>
          <w:rFonts w:eastAsia="Roboto"/>
          <w:color w:val="202024"/>
          <w:spacing w:val="10"/>
        </w:rPr>
        <w:t xml:space="preserve"> </w:t>
      </w:r>
      <w:r>
        <w:rPr>
          <w:rFonts w:eastAsia="Roboto"/>
          <w:color w:val="202024"/>
        </w:rPr>
        <w:t>parameters</w:t>
      </w:r>
      <w:r>
        <w:rPr>
          <w:rFonts w:eastAsia="Roboto"/>
          <w:color w:val="202024"/>
          <w:spacing w:val="11"/>
        </w:rPr>
        <w:t xml:space="preserve"> </w:t>
      </w:r>
      <w:r>
        <w:rPr>
          <w:rFonts w:eastAsia="Roboto"/>
          <w:color w:val="202024"/>
        </w:rPr>
        <w:t>are</w:t>
      </w:r>
      <w:r>
        <w:rPr>
          <w:rFonts w:eastAsia="Roboto"/>
          <w:color w:val="202024"/>
          <w:spacing w:val="10"/>
        </w:rPr>
        <w:t xml:space="preserve"> </w:t>
      </w:r>
      <w:r>
        <w:rPr>
          <w:rFonts w:eastAsia="Roboto"/>
          <w:color w:val="202024"/>
        </w:rPr>
        <w:t>of</w:t>
      </w:r>
      <w:r>
        <w:rPr>
          <w:rFonts w:eastAsia="Roboto"/>
          <w:color w:val="202024"/>
          <w:spacing w:val="11"/>
        </w:rPr>
        <w:t xml:space="preserve"> </w:t>
      </w:r>
      <w:r>
        <w:rPr>
          <w:rFonts w:eastAsia="Roboto"/>
          <w:color w:val="202024"/>
        </w:rPr>
        <w:t>utmost</w:t>
      </w:r>
      <w:r>
        <w:rPr>
          <w:rFonts w:eastAsia="Roboto"/>
          <w:color w:val="202024"/>
          <w:spacing w:val="10"/>
        </w:rPr>
        <w:t xml:space="preserve"> </w:t>
      </w:r>
      <w:r>
        <w:rPr>
          <w:rFonts w:eastAsia="Roboto"/>
          <w:color w:val="202024"/>
        </w:rPr>
        <w:t>significance</w:t>
      </w:r>
      <w:r>
        <w:rPr>
          <w:rFonts w:eastAsia="Roboto"/>
          <w:color w:val="202024"/>
          <w:spacing w:val="11"/>
        </w:rPr>
        <w:t xml:space="preserve"> </w:t>
      </w:r>
      <w:r>
        <w:rPr>
          <w:rFonts w:eastAsia="Roboto"/>
          <w:color w:val="202024"/>
        </w:rPr>
        <w:t>in</w:t>
      </w:r>
      <w:r>
        <w:rPr>
          <w:rFonts w:eastAsia="Roboto"/>
          <w:color w:val="202024"/>
          <w:spacing w:val="10"/>
        </w:rPr>
        <w:t xml:space="preserve"> </w:t>
      </w:r>
      <w:r>
        <w:rPr>
          <w:rFonts w:eastAsia="Roboto"/>
          <w:color w:val="202024"/>
        </w:rPr>
        <w:t>achieving</w:t>
      </w:r>
      <w:r>
        <w:rPr>
          <w:rFonts w:eastAsia="Roboto"/>
          <w:color w:val="202024"/>
          <w:spacing w:val="11"/>
        </w:rPr>
        <w:t xml:space="preserve"> </w:t>
      </w:r>
      <w:r>
        <w:rPr>
          <w:rFonts w:eastAsia="Roboto"/>
          <w:color w:val="202024"/>
        </w:rPr>
        <w:t>clarity,</w:t>
      </w:r>
      <w:r>
        <w:rPr>
          <w:rFonts w:eastAsia="Roboto"/>
          <w:color w:val="202024"/>
          <w:spacing w:val="10"/>
        </w:rPr>
        <w:t xml:space="preserve"> </w:t>
      </w:r>
      <w:r>
        <w:rPr>
          <w:rFonts w:eastAsia="Roboto"/>
          <w:color w:val="202024"/>
        </w:rPr>
        <w:t>certainty</w:t>
      </w:r>
      <w:r>
        <w:rPr>
          <w:rFonts w:eastAsia="Roboto"/>
          <w:color w:val="202024"/>
          <w:spacing w:val="11"/>
        </w:rPr>
        <w:t xml:space="preserve"> </w:t>
      </w:r>
      <w:r>
        <w:rPr>
          <w:rFonts w:eastAsia="Roboto"/>
          <w:color w:val="202024"/>
        </w:rPr>
        <w:t>and</w:t>
      </w:r>
      <w:r>
        <w:rPr>
          <w:rFonts w:eastAsia="Roboto"/>
          <w:color w:val="202024"/>
          <w:spacing w:val="-50"/>
        </w:rPr>
        <w:t xml:space="preserve"> </w:t>
      </w:r>
      <w:r>
        <w:rPr>
          <w:rFonts w:eastAsia="Roboto"/>
          <w:color w:val="202024"/>
        </w:rPr>
        <w:t>consistency</w:t>
      </w:r>
    </w:p>
    <w:p w14:paraId="08E293F9">
      <w:pPr>
        <w:widowControl w:val="0"/>
        <w:autoSpaceDE w:val="0"/>
        <w:autoSpaceDN w:val="0"/>
        <w:jc w:val="both"/>
        <w:rPr>
          <w:rFonts w:eastAsia="Roboto"/>
        </w:rPr>
      </w:pPr>
    </w:p>
    <w:p w14:paraId="77536B14">
      <w:pPr>
        <w:widowControl w:val="0"/>
        <w:autoSpaceDE w:val="0"/>
        <w:autoSpaceDN w:val="0"/>
        <w:spacing w:line="285" w:lineRule="auto"/>
        <w:jc w:val="both"/>
        <w:rPr>
          <w:rFonts w:eastAsia="Roboto"/>
        </w:rPr>
      </w:pPr>
      <w:r>
        <w:rPr>
          <w:rFonts w:eastAsia="Roboto"/>
          <w:color w:val="202024"/>
        </w:rPr>
        <w:t>The</w:t>
      </w:r>
      <w:r>
        <w:rPr>
          <w:rFonts w:eastAsia="Roboto"/>
          <w:color w:val="202024"/>
          <w:spacing w:val="11"/>
        </w:rPr>
        <w:t xml:space="preserve"> </w:t>
      </w:r>
      <w:r>
        <w:rPr>
          <w:rFonts w:eastAsia="Roboto"/>
          <w:color w:val="202024"/>
        </w:rPr>
        <w:t>impact</w:t>
      </w:r>
      <w:r>
        <w:rPr>
          <w:rFonts w:eastAsia="Roboto"/>
          <w:color w:val="202024"/>
          <w:spacing w:val="11"/>
        </w:rPr>
        <w:t xml:space="preserve"> </w:t>
      </w:r>
      <w:r>
        <w:rPr>
          <w:rFonts w:eastAsia="Roboto"/>
          <w:color w:val="202024"/>
        </w:rPr>
        <w:t>of</w:t>
      </w:r>
      <w:r>
        <w:rPr>
          <w:rFonts w:eastAsia="Roboto"/>
          <w:color w:val="202024"/>
          <w:spacing w:val="11"/>
        </w:rPr>
        <w:t xml:space="preserve"> </w:t>
      </w:r>
      <w:r>
        <w:rPr>
          <w:rFonts w:eastAsia="Roboto"/>
          <w:color w:val="202024"/>
        </w:rPr>
        <w:t>5</w:t>
      </w:r>
      <w:r>
        <w:rPr>
          <w:rFonts w:eastAsia="Roboto"/>
          <w:color w:val="202024"/>
          <w:spacing w:val="11"/>
        </w:rPr>
        <w:t xml:space="preserve"> </w:t>
      </w:r>
      <w:r>
        <w:rPr>
          <w:rFonts w:eastAsia="Roboto"/>
          <w:color w:val="202024"/>
        </w:rPr>
        <w:t>is</w:t>
      </w:r>
      <w:r>
        <w:rPr>
          <w:rFonts w:eastAsia="Roboto"/>
          <w:color w:val="202024"/>
          <w:spacing w:val="11"/>
        </w:rPr>
        <w:t xml:space="preserve"> </w:t>
      </w:r>
      <w:r>
        <w:rPr>
          <w:rFonts w:eastAsia="Roboto"/>
          <w:color w:val="202024"/>
        </w:rPr>
        <w:t>negative.</w:t>
      </w:r>
      <w:r>
        <w:rPr>
          <w:rFonts w:eastAsia="Roboto"/>
          <w:color w:val="202024"/>
          <w:spacing w:val="11"/>
        </w:rPr>
        <w:t xml:space="preserve"> </w:t>
      </w:r>
      <w:r>
        <w:rPr>
          <w:rFonts w:eastAsia="Roboto"/>
          <w:color w:val="202024"/>
        </w:rPr>
        <w:t>Expertise</w:t>
      </w:r>
      <w:r>
        <w:rPr>
          <w:rFonts w:eastAsia="Roboto"/>
          <w:color w:val="202024"/>
          <w:spacing w:val="11"/>
        </w:rPr>
        <w:t xml:space="preserve"> </w:t>
      </w:r>
      <w:r>
        <w:rPr>
          <w:rFonts w:eastAsia="Roboto"/>
          <w:color w:val="202024"/>
        </w:rPr>
        <w:t>on</w:t>
      </w:r>
      <w:r>
        <w:rPr>
          <w:rFonts w:eastAsia="Roboto"/>
          <w:color w:val="202024"/>
          <w:spacing w:val="11"/>
        </w:rPr>
        <w:t xml:space="preserve"> </w:t>
      </w:r>
      <w:r>
        <w:rPr>
          <w:rFonts w:eastAsia="Roboto"/>
          <w:color w:val="202024"/>
        </w:rPr>
        <w:t>taxation</w:t>
      </w:r>
      <w:r>
        <w:rPr>
          <w:rFonts w:eastAsia="Roboto"/>
          <w:color w:val="202024"/>
          <w:spacing w:val="12"/>
        </w:rPr>
        <w:t xml:space="preserve"> </w:t>
      </w:r>
      <w:r>
        <w:rPr>
          <w:rFonts w:eastAsia="Roboto"/>
          <w:color w:val="202024"/>
        </w:rPr>
        <w:t>of</w:t>
      </w:r>
      <w:r>
        <w:rPr>
          <w:rFonts w:eastAsia="Roboto"/>
          <w:color w:val="202024"/>
          <w:spacing w:val="11"/>
        </w:rPr>
        <w:t xml:space="preserve"> </w:t>
      </w:r>
      <w:r>
        <w:rPr>
          <w:rFonts w:eastAsia="Roboto"/>
          <w:color w:val="202024"/>
        </w:rPr>
        <w:t>minerals</w:t>
      </w:r>
      <w:r>
        <w:rPr>
          <w:rFonts w:eastAsia="Roboto"/>
          <w:color w:val="202024"/>
          <w:spacing w:val="11"/>
        </w:rPr>
        <w:t xml:space="preserve"> </w:t>
      </w:r>
      <w:r>
        <w:rPr>
          <w:rFonts w:eastAsia="Roboto"/>
          <w:color w:val="202024"/>
        </w:rPr>
        <w:t>including</w:t>
      </w:r>
      <w:r>
        <w:rPr>
          <w:rFonts w:eastAsia="Roboto"/>
          <w:color w:val="202024"/>
          <w:spacing w:val="11"/>
        </w:rPr>
        <w:t xml:space="preserve"> </w:t>
      </w:r>
      <w:r>
        <w:rPr>
          <w:rFonts w:eastAsia="Roboto"/>
          <w:color w:val="202024"/>
        </w:rPr>
        <w:t>petroleum</w:t>
      </w:r>
      <w:r>
        <w:rPr>
          <w:rFonts w:eastAsia="Roboto"/>
          <w:color w:val="202024"/>
          <w:spacing w:val="11"/>
        </w:rPr>
        <w:t xml:space="preserve"> </w:t>
      </w:r>
      <w:r>
        <w:rPr>
          <w:rFonts w:eastAsia="Roboto"/>
          <w:color w:val="202024"/>
        </w:rPr>
        <w:t>is</w:t>
      </w:r>
      <w:r>
        <w:rPr>
          <w:rFonts w:eastAsia="Roboto"/>
          <w:color w:val="202024"/>
          <w:spacing w:val="11"/>
        </w:rPr>
        <w:t xml:space="preserve"> </w:t>
      </w:r>
      <w:r>
        <w:rPr>
          <w:rFonts w:eastAsia="Roboto"/>
          <w:color w:val="202024"/>
        </w:rPr>
        <w:t>lacking</w:t>
      </w:r>
      <w:r>
        <w:rPr>
          <w:rFonts w:eastAsia="Roboto"/>
          <w:color w:val="202024"/>
          <w:spacing w:val="11"/>
        </w:rPr>
        <w:t xml:space="preserve"> </w:t>
      </w:r>
      <w:r>
        <w:rPr>
          <w:rFonts w:eastAsia="Roboto"/>
          <w:color w:val="202024"/>
        </w:rPr>
        <w:t>in</w:t>
      </w:r>
      <w:r>
        <w:rPr>
          <w:rFonts w:eastAsia="Roboto"/>
          <w:color w:val="202024"/>
          <w:spacing w:val="-49"/>
        </w:rPr>
        <w:t xml:space="preserve"> </w:t>
      </w:r>
      <w:r>
        <w:rPr>
          <w:rFonts w:eastAsia="Roboto"/>
          <w:color w:val="202024"/>
        </w:rPr>
        <w:t>Nigeria</w:t>
      </w:r>
      <w:r>
        <w:rPr>
          <w:rFonts w:eastAsia="Roboto"/>
          <w:color w:val="202024"/>
          <w:spacing w:val="9"/>
        </w:rPr>
        <w:t xml:space="preserve"> </w:t>
      </w:r>
      <w:r>
        <w:rPr>
          <w:rFonts w:eastAsia="Roboto"/>
          <w:color w:val="202024"/>
        </w:rPr>
        <w:t>in</w:t>
      </w:r>
      <w:r>
        <w:rPr>
          <w:rFonts w:eastAsia="Roboto"/>
          <w:color w:val="202024"/>
          <w:spacing w:val="9"/>
        </w:rPr>
        <w:t xml:space="preserve"> </w:t>
      </w:r>
      <w:r>
        <w:rPr>
          <w:rFonts w:eastAsia="Roboto"/>
          <w:color w:val="202024"/>
        </w:rPr>
        <w:t>academia,</w:t>
      </w:r>
      <w:r>
        <w:rPr>
          <w:rFonts w:eastAsia="Roboto"/>
          <w:color w:val="202024"/>
          <w:spacing w:val="9"/>
        </w:rPr>
        <w:t xml:space="preserve"> </w:t>
      </w:r>
      <w:r>
        <w:rPr>
          <w:rFonts w:eastAsia="Roboto"/>
          <w:color w:val="202024"/>
        </w:rPr>
        <w:t>tax</w:t>
      </w:r>
      <w:r>
        <w:rPr>
          <w:rFonts w:eastAsia="Roboto"/>
          <w:color w:val="202024"/>
          <w:spacing w:val="9"/>
        </w:rPr>
        <w:t xml:space="preserve"> </w:t>
      </w:r>
      <w:r>
        <w:rPr>
          <w:rFonts w:eastAsia="Roboto"/>
          <w:color w:val="202024"/>
        </w:rPr>
        <w:t>administration</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practice</w:t>
      </w:r>
      <w:r>
        <w:rPr>
          <w:rFonts w:eastAsia="Roboto"/>
          <w:color w:val="202024"/>
          <w:spacing w:val="9"/>
        </w:rPr>
        <w:t xml:space="preserve"> </w:t>
      </w:r>
      <w:r>
        <w:rPr>
          <w:rFonts w:eastAsia="Roboto"/>
          <w:color w:val="202024"/>
        </w:rPr>
        <w:t>.</w:t>
      </w:r>
      <w:r>
        <w:rPr>
          <w:rFonts w:eastAsia="Roboto"/>
          <w:color w:val="202024"/>
          <w:spacing w:val="4"/>
        </w:rPr>
        <w:t xml:space="preserve"> </w:t>
      </w:r>
      <w:r>
        <w:rPr>
          <w:rFonts w:eastAsia="Roboto"/>
          <w:color w:val="202024"/>
        </w:rPr>
        <w:t>This</w:t>
      </w:r>
      <w:r>
        <w:rPr>
          <w:rFonts w:eastAsia="Roboto"/>
          <w:color w:val="202024"/>
          <w:spacing w:val="9"/>
        </w:rPr>
        <w:t xml:space="preserve"> </w:t>
      </w:r>
      <w:r>
        <w:rPr>
          <w:rFonts w:eastAsia="Roboto"/>
          <w:color w:val="202024"/>
        </w:rPr>
        <w:t>is</w:t>
      </w:r>
      <w:r>
        <w:rPr>
          <w:rFonts w:eastAsia="Roboto"/>
          <w:color w:val="202024"/>
          <w:spacing w:val="9"/>
        </w:rPr>
        <w:t xml:space="preserve"> </w:t>
      </w:r>
      <w:r>
        <w:rPr>
          <w:rFonts w:eastAsia="Roboto"/>
          <w:color w:val="202024"/>
        </w:rPr>
        <w:t>partly</w:t>
      </w:r>
      <w:r>
        <w:rPr>
          <w:rFonts w:eastAsia="Roboto"/>
          <w:color w:val="202024"/>
          <w:spacing w:val="9"/>
        </w:rPr>
        <w:t xml:space="preserve"> </w:t>
      </w:r>
      <w:r>
        <w:rPr>
          <w:rFonts w:eastAsia="Roboto"/>
          <w:color w:val="202024"/>
        </w:rPr>
        <w:t>responsible</w:t>
      </w:r>
      <w:r>
        <w:rPr>
          <w:rFonts w:eastAsia="Roboto"/>
          <w:color w:val="202024"/>
          <w:spacing w:val="9"/>
        </w:rPr>
        <w:t xml:space="preserve"> </w:t>
      </w:r>
      <w:r>
        <w:rPr>
          <w:rFonts w:eastAsia="Roboto"/>
          <w:color w:val="202024"/>
        </w:rPr>
        <w:t>for</w:t>
      </w:r>
      <w:r>
        <w:rPr>
          <w:rFonts w:eastAsia="Roboto"/>
          <w:color w:val="202024"/>
          <w:spacing w:val="9"/>
        </w:rPr>
        <w:t xml:space="preserve"> </w:t>
      </w:r>
      <w:r>
        <w:rPr>
          <w:rFonts w:eastAsia="Roboto"/>
          <w:color w:val="202024"/>
        </w:rPr>
        <w:t>lack</w:t>
      </w:r>
      <w:r>
        <w:rPr>
          <w:rFonts w:eastAsia="Roboto"/>
          <w:color w:val="202024"/>
          <w:spacing w:val="9"/>
        </w:rPr>
        <w:t xml:space="preserve"> </w:t>
      </w:r>
      <w:r>
        <w:rPr>
          <w:rFonts w:eastAsia="Roboto"/>
          <w:color w:val="202024"/>
        </w:rPr>
        <w:t>of</w:t>
      </w:r>
      <w:r>
        <w:rPr>
          <w:rFonts w:eastAsia="Roboto"/>
          <w:color w:val="202024"/>
          <w:spacing w:val="1"/>
        </w:rPr>
        <w:t xml:space="preserve"> </w:t>
      </w:r>
      <w:r>
        <w:rPr>
          <w:rFonts w:eastAsia="Roboto"/>
          <w:color w:val="202024"/>
        </w:rPr>
        <w:t>sustainable</w:t>
      </w:r>
      <w:r>
        <w:rPr>
          <w:rFonts w:eastAsia="Roboto"/>
          <w:color w:val="202024"/>
          <w:spacing w:val="5"/>
        </w:rPr>
        <w:t xml:space="preserve"> </w:t>
      </w:r>
      <w:r>
        <w:rPr>
          <w:rFonts w:eastAsia="Roboto"/>
          <w:color w:val="202024"/>
        </w:rPr>
        <w:t>growth</w:t>
      </w:r>
      <w:r>
        <w:rPr>
          <w:rFonts w:eastAsia="Roboto"/>
          <w:color w:val="202024"/>
          <w:spacing w:val="5"/>
        </w:rPr>
        <w:t xml:space="preserve"> </w:t>
      </w:r>
      <w:r>
        <w:rPr>
          <w:rFonts w:eastAsia="Roboto"/>
          <w:color w:val="202024"/>
        </w:rPr>
        <w:t>in</w:t>
      </w:r>
      <w:r>
        <w:rPr>
          <w:rFonts w:eastAsia="Roboto"/>
          <w:color w:val="202024"/>
          <w:spacing w:val="5"/>
        </w:rPr>
        <w:t xml:space="preserve"> </w:t>
      </w:r>
      <w:r>
        <w:rPr>
          <w:rFonts w:eastAsia="Roboto"/>
          <w:color w:val="202024"/>
        </w:rPr>
        <w:t>the</w:t>
      </w:r>
      <w:r>
        <w:rPr>
          <w:rFonts w:eastAsia="Roboto"/>
          <w:color w:val="202024"/>
          <w:spacing w:val="5"/>
        </w:rPr>
        <w:t xml:space="preserve"> </w:t>
      </w:r>
      <w:r>
        <w:rPr>
          <w:rFonts w:eastAsia="Roboto"/>
          <w:color w:val="202024"/>
        </w:rPr>
        <w:t>sector.</w:t>
      </w:r>
    </w:p>
    <w:p w14:paraId="563FE43D">
      <w:pPr>
        <w:widowControl w:val="0"/>
        <w:autoSpaceDE w:val="0"/>
        <w:autoSpaceDN w:val="0"/>
        <w:jc w:val="both"/>
        <w:rPr>
          <w:rFonts w:eastAsia="Roboto"/>
        </w:rPr>
      </w:pPr>
    </w:p>
    <w:p w14:paraId="6C23C94E">
      <w:pPr>
        <w:widowControl w:val="0"/>
        <w:autoSpaceDE w:val="0"/>
        <w:autoSpaceDN w:val="0"/>
        <w:spacing w:before="1" w:line="285" w:lineRule="auto"/>
        <w:ind w:right="272"/>
        <w:jc w:val="both"/>
        <w:rPr>
          <w:rFonts w:eastAsia="Roboto"/>
        </w:rPr>
      </w:pPr>
      <w:r>
        <w:rPr>
          <w:rFonts w:eastAsia="Roboto"/>
          <w:color w:val="202024"/>
        </w:rPr>
        <w:t>the</w:t>
      </w:r>
      <w:r>
        <w:rPr>
          <w:rFonts w:eastAsia="Roboto"/>
          <w:color w:val="202024"/>
          <w:spacing w:val="9"/>
        </w:rPr>
        <w:t xml:space="preserve"> </w:t>
      </w:r>
      <w:r>
        <w:rPr>
          <w:rFonts w:eastAsia="Roboto"/>
          <w:color w:val="202024"/>
        </w:rPr>
        <w:t>interplay</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interests</w:t>
      </w:r>
      <w:r>
        <w:rPr>
          <w:rFonts w:eastAsia="Roboto"/>
          <w:color w:val="202024"/>
          <w:spacing w:val="9"/>
        </w:rPr>
        <w:t xml:space="preserve"> </w:t>
      </w:r>
      <w:r>
        <w:rPr>
          <w:rFonts w:eastAsia="Roboto"/>
          <w:color w:val="202024"/>
        </w:rPr>
        <w:t>between</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various</w:t>
      </w:r>
      <w:r>
        <w:rPr>
          <w:rFonts w:eastAsia="Roboto"/>
          <w:color w:val="202024"/>
          <w:spacing w:val="9"/>
        </w:rPr>
        <w:t xml:space="preserve"> </w:t>
      </w:r>
      <w:r>
        <w:rPr>
          <w:rFonts w:eastAsia="Roboto"/>
          <w:color w:val="202024"/>
        </w:rPr>
        <w:t>tiers</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government</w:t>
      </w:r>
      <w:r>
        <w:rPr>
          <w:rFonts w:eastAsia="Roboto"/>
          <w:color w:val="202024"/>
          <w:spacing w:val="9"/>
        </w:rPr>
        <w:t xml:space="preserve"> </w:t>
      </w:r>
      <w:r>
        <w:rPr>
          <w:rFonts w:eastAsia="Roboto"/>
          <w:color w:val="202024"/>
        </w:rPr>
        <w:t>is</w:t>
      </w:r>
      <w:r>
        <w:rPr>
          <w:rFonts w:eastAsia="Roboto"/>
          <w:color w:val="202024"/>
          <w:spacing w:val="9"/>
        </w:rPr>
        <w:t xml:space="preserve"> </w:t>
      </w:r>
      <w:r>
        <w:rPr>
          <w:rFonts w:eastAsia="Roboto"/>
          <w:color w:val="202024"/>
        </w:rPr>
        <w:t>a</w:t>
      </w:r>
      <w:r>
        <w:rPr>
          <w:rFonts w:eastAsia="Roboto"/>
          <w:color w:val="202024"/>
          <w:spacing w:val="9"/>
        </w:rPr>
        <w:t xml:space="preserve"> </w:t>
      </w:r>
      <w:r>
        <w:rPr>
          <w:rFonts w:eastAsia="Roboto"/>
          <w:color w:val="202024"/>
        </w:rPr>
        <w:t>big</w:t>
      </w:r>
      <w:r>
        <w:rPr>
          <w:rFonts w:eastAsia="Roboto"/>
          <w:color w:val="202024"/>
          <w:spacing w:val="9"/>
        </w:rPr>
        <w:t xml:space="preserve"> </w:t>
      </w:r>
      <w:r>
        <w:rPr>
          <w:rFonts w:eastAsia="Roboto"/>
          <w:color w:val="202024"/>
        </w:rPr>
        <w:t>issue</w:t>
      </w:r>
      <w:r>
        <w:rPr>
          <w:rFonts w:eastAsia="Roboto"/>
          <w:color w:val="202024"/>
          <w:spacing w:val="9"/>
        </w:rPr>
        <w:t xml:space="preserve"> </w:t>
      </w:r>
      <w:r>
        <w:rPr>
          <w:rFonts w:eastAsia="Roboto"/>
          <w:color w:val="202024"/>
        </w:rPr>
        <w:t>in</w:t>
      </w:r>
      <w:r>
        <w:rPr>
          <w:rFonts w:eastAsia="Roboto"/>
          <w:color w:val="202024"/>
          <w:spacing w:val="9"/>
        </w:rPr>
        <w:t xml:space="preserve"> </w:t>
      </w:r>
      <w:r>
        <w:rPr>
          <w:rFonts w:eastAsia="Roboto"/>
          <w:color w:val="202024"/>
        </w:rPr>
        <w:t>tax</w:t>
      </w:r>
      <w:r>
        <w:rPr>
          <w:rFonts w:eastAsia="Roboto"/>
          <w:color w:val="202024"/>
          <w:spacing w:val="9"/>
        </w:rPr>
        <w:t xml:space="preserve"> </w:t>
      </w:r>
      <w:r>
        <w:rPr>
          <w:rFonts w:eastAsia="Roboto"/>
          <w:color w:val="202024"/>
        </w:rPr>
        <w:t>policy</w:t>
      </w:r>
      <w:r>
        <w:rPr>
          <w:rFonts w:eastAsia="Roboto"/>
          <w:color w:val="202024"/>
          <w:spacing w:val="-49"/>
        </w:rPr>
        <w:t xml:space="preserve"> </w:t>
      </w:r>
      <w:r>
        <w:rPr>
          <w:rFonts w:eastAsia="Roboto"/>
          <w:color w:val="202024"/>
        </w:rPr>
        <w:t>and</w:t>
      </w:r>
      <w:r>
        <w:rPr>
          <w:rFonts w:eastAsia="Roboto"/>
          <w:color w:val="202024"/>
          <w:spacing w:val="5"/>
        </w:rPr>
        <w:t xml:space="preserve"> </w:t>
      </w:r>
      <w:r>
        <w:rPr>
          <w:rFonts w:eastAsia="Roboto"/>
          <w:color w:val="202024"/>
        </w:rPr>
        <w:t>fiscal</w:t>
      </w:r>
      <w:r>
        <w:rPr>
          <w:rFonts w:eastAsia="Roboto"/>
          <w:color w:val="202024"/>
          <w:spacing w:val="5"/>
        </w:rPr>
        <w:t xml:space="preserve"> </w:t>
      </w:r>
      <w:r>
        <w:rPr>
          <w:rFonts w:eastAsia="Roboto"/>
          <w:color w:val="202024"/>
        </w:rPr>
        <w:t>formulations</w:t>
      </w:r>
    </w:p>
    <w:p w14:paraId="33EEAAAD">
      <w:pPr>
        <w:widowControl w:val="0"/>
        <w:autoSpaceDE w:val="0"/>
        <w:autoSpaceDN w:val="0"/>
        <w:spacing w:before="1"/>
        <w:jc w:val="both"/>
        <w:rPr>
          <w:rFonts w:eastAsia="Roboto"/>
        </w:rPr>
      </w:pPr>
    </w:p>
    <w:p w14:paraId="661673B4">
      <w:pPr>
        <w:widowControl w:val="0"/>
        <w:autoSpaceDE w:val="0"/>
        <w:autoSpaceDN w:val="0"/>
        <w:jc w:val="both"/>
        <w:rPr>
          <w:rFonts w:eastAsia="Roboto"/>
        </w:rPr>
      </w:pPr>
      <w:r>
        <w:rPr>
          <w:rFonts w:eastAsia="Roboto"/>
          <w:color w:val="ABABAB"/>
          <w:w w:val="95"/>
        </w:rPr>
        <w:t>Constitutional</w:t>
      </w:r>
      <w:r>
        <w:rPr>
          <w:rFonts w:eastAsia="Roboto"/>
          <w:color w:val="ABABAB"/>
          <w:spacing w:val="31"/>
          <w:w w:val="95"/>
        </w:rPr>
        <w:t xml:space="preserve"> </w:t>
      </w:r>
      <w:r>
        <w:rPr>
          <w:rFonts w:eastAsia="Roboto"/>
          <w:color w:val="ABABAB"/>
          <w:w w:val="95"/>
        </w:rPr>
        <w:t>and</w:t>
      </w:r>
      <w:r>
        <w:rPr>
          <w:rFonts w:eastAsia="Roboto"/>
          <w:color w:val="ABABAB"/>
          <w:spacing w:val="31"/>
          <w:w w:val="95"/>
        </w:rPr>
        <w:t xml:space="preserve"> </w:t>
      </w:r>
      <w:r>
        <w:rPr>
          <w:rFonts w:eastAsia="Roboto"/>
          <w:color w:val="ABABAB"/>
          <w:w w:val="95"/>
        </w:rPr>
        <w:t>Statutory</w:t>
      </w:r>
      <w:r>
        <w:rPr>
          <w:rFonts w:eastAsia="Roboto"/>
          <w:color w:val="ABABAB"/>
          <w:spacing w:val="32"/>
          <w:w w:val="95"/>
        </w:rPr>
        <w:t xml:space="preserve"> </w:t>
      </w:r>
      <w:r>
        <w:rPr>
          <w:rFonts w:eastAsia="Roboto"/>
          <w:color w:val="ABABAB"/>
          <w:w w:val="95"/>
        </w:rPr>
        <w:t>Framework</w:t>
      </w:r>
      <w:r>
        <w:rPr>
          <w:rFonts w:eastAsia="Roboto"/>
          <w:color w:val="ABABAB"/>
          <w:spacing w:val="31"/>
          <w:w w:val="95"/>
        </w:rPr>
        <w:t xml:space="preserve"> </w:t>
      </w:r>
      <w:r>
        <w:rPr>
          <w:rFonts w:eastAsia="Roboto"/>
          <w:color w:val="ABABAB"/>
          <w:w w:val="95"/>
        </w:rPr>
        <w:t>and</w:t>
      </w:r>
      <w:r>
        <w:rPr>
          <w:rFonts w:eastAsia="Roboto"/>
          <w:color w:val="ABABAB"/>
          <w:spacing w:val="32"/>
          <w:w w:val="95"/>
        </w:rPr>
        <w:t xml:space="preserve"> </w:t>
      </w:r>
      <w:r>
        <w:rPr>
          <w:rFonts w:eastAsia="Roboto"/>
          <w:color w:val="ABABAB"/>
          <w:w w:val="95"/>
        </w:rPr>
        <w:t>Regulations</w:t>
      </w:r>
    </w:p>
    <w:p w14:paraId="0661BDD3">
      <w:pPr>
        <w:widowControl w:val="0"/>
        <w:autoSpaceDE w:val="0"/>
        <w:autoSpaceDN w:val="0"/>
        <w:rPr>
          <w:rFonts w:ascii="Roboto" w:hAnsi="Roboto" w:eastAsia="Roboto" w:cs="Roboto"/>
          <w:sz w:val="20"/>
          <w:szCs w:val="21"/>
        </w:rPr>
      </w:pPr>
    </w:p>
    <w:p w14:paraId="6EBBFDAC">
      <w:pPr>
        <w:widowControl w:val="0"/>
        <w:autoSpaceDE w:val="0"/>
        <w:autoSpaceDN w:val="0"/>
        <w:rPr>
          <w:rFonts w:ascii="Roboto" w:hAnsi="Roboto" w:eastAsia="Roboto" w:cs="Roboto"/>
          <w:sz w:val="20"/>
          <w:szCs w:val="21"/>
        </w:rPr>
      </w:pPr>
      <w:r>
        <mc:AlternateContent>
          <mc:Choice Requires="wpg">
            <w:drawing>
              <wp:anchor distT="0" distB="0" distL="114300" distR="114300" simplePos="0" relativeHeight="251694080" behindDoc="1" locked="0" layoutInCell="1" allowOverlap="1">
                <wp:simplePos x="0" y="0"/>
                <wp:positionH relativeFrom="page">
                  <wp:posOffset>255905</wp:posOffset>
                </wp:positionH>
                <wp:positionV relativeFrom="paragraph">
                  <wp:posOffset>147955</wp:posOffset>
                </wp:positionV>
                <wp:extent cx="6096000" cy="6298565"/>
                <wp:effectExtent l="0" t="0" r="0" b="0"/>
                <wp:wrapNone/>
                <wp:docPr id="1037052449" name="Group 84"/>
                <wp:cNvGraphicFramePr/>
                <a:graphic xmlns:a="http://schemas.openxmlformats.org/drawingml/2006/main">
                  <a:graphicData uri="http://schemas.microsoft.com/office/word/2010/wordprocessingGroup">
                    <wpg:wgp>
                      <wpg:cNvGrpSpPr/>
                      <wpg:grpSpPr>
                        <a:xfrm>
                          <a:off x="0" y="0"/>
                          <a:ext cx="6096000" cy="6298565"/>
                          <a:chOff x="1154" y="-3511"/>
                          <a:chExt cx="9600" cy="9919"/>
                        </a:xfrm>
                        <a:effectLst/>
                      </wpg:grpSpPr>
                      <wps:wsp>
                        <wps:cNvPr id="1685226831" name="Freeform 311"/>
                        <wps:cNvSpPr/>
                        <wps:spPr bwMode="auto">
                          <a:xfrm>
                            <a:off x="1154" y="513"/>
                            <a:ext cx="9600" cy="5895"/>
                          </a:xfrm>
                          <a:custGeom>
                            <a:avLst/>
                            <a:gdLst>
                              <a:gd name="T0" fmla="+- 0 10755 1155"/>
                              <a:gd name="T1" fmla="*/ T0 w 9600"/>
                              <a:gd name="T2" fmla="+- 0 513 513"/>
                              <a:gd name="T3" fmla="*/ 513 h 5895"/>
                              <a:gd name="T4" fmla="+- 0 10740 1155"/>
                              <a:gd name="T5" fmla="*/ T4 w 9600"/>
                              <a:gd name="T6" fmla="+- 0 513 513"/>
                              <a:gd name="T7" fmla="*/ 513 h 5895"/>
                              <a:gd name="T8" fmla="+- 0 10740 1155"/>
                              <a:gd name="T9" fmla="*/ T8 w 9600"/>
                              <a:gd name="T10" fmla="+- 0 6288 513"/>
                              <a:gd name="T11" fmla="*/ 6288 h 5895"/>
                              <a:gd name="T12" fmla="+- 0 10739 1155"/>
                              <a:gd name="T13" fmla="*/ T12 w 9600"/>
                              <a:gd name="T14" fmla="+- 0 6298 513"/>
                              <a:gd name="T15" fmla="*/ 6298 h 5895"/>
                              <a:gd name="T16" fmla="+- 0 10716 1155"/>
                              <a:gd name="T17" fmla="*/ T16 w 9600"/>
                              <a:gd name="T18" fmla="+- 0 6355 513"/>
                              <a:gd name="T19" fmla="*/ 6355 h 5895"/>
                              <a:gd name="T20" fmla="+- 0 10708 1155"/>
                              <a:gd name="T21" fmla="*/ T20 w 9600"/>
                              <a:gd name="T22" fmla="+- 0 6363 513"/>
                              <a:gd name="T23" fmla="*/ 6363 h 5895"/>
                              <a:gd name="T24" fmla="+- 0 10645 1155"/>
                              <a:gd name="T25" fmla="*/ T24 w 9600"/>
                              <a:gd name="T26" fmla="+- 0 6393 513"/>
                              <a:gd name="T27" fmla="*/ 6393 h 5895"/>
                              <a:gd name="T28" fmla="+- 0 10635 1155"/>
                              <a:gd name="T29" fmla="*/ T28 w 9600"/>
                              <a:gd name="T30" fmla="+- 0 6393 513"/>
                              <a:gd name="T31" fmla="*/ 6393 h 5895"/>
                              <a:gd name="T32" fmla="+- 0 1275 1155"/>
                              <a:gd name="T33" fmla="*/ T32 w 9600"/>
                              <a:gd name="T34" fmla="+- 0 6393 513"/>
                              <a:gd name="T35" fmla="*/ 6393 h 5895"/>
                              <a:gd name="T36" fmla="+- 0 1217 1155"/>
                              <a:gd name="T37" fmla="*/ T36 w 9600"/>
                              <a:gd name="T38" fmla="+- 0 6375 513"/>
                              <a:gd name="T39" fmla="*/ 6375 h 5895"/>
                              <a:gd name="T40" fmla="+- 0 1202 1155"/>
                              <a:gd name="T41" fmla="*/ T40 w 9600"/>
                              <a:gd name="T42" fmla="+- 0 6363 513"/>
                              <a:gd name="T43" fmla="*/ 6363 h 5895"/>
                              <a:gd name="T44" fmla="+- 0 1194 1155"/>
                              <a:gd name="T45" fmla="*/ T44 w 9600"/>
                              <a:gd name="T46" fmla="+- 0 6355 513"/>
                              <a:gd name="T47" fmla="*/ 6355 h 5895"/>
                              <a:gd name="T48" fmla="+- 0 1170 1155"/>
                              <a:gd name="T49" fmla="*/ T48 w 9600"/>
                              <a:gd name="T50" fmla="+- 0 6298 513"/>
                              <a:gd name="T51" fmla="*/ 6298 h 5895"/>
                              <a:gd name="T52" fmla="+- 0 1170 1155"/>
                              <a:gd name="T53" fmla="*/ T52 w 9600"/>
                              <a:gd name="T54" fmla="+- 0 6288 513"/>
                              <a:gd name="T55" fmla="*/ 6288 h 5895"/>
                              <a:gd name="T56" fmla="+- 0 1170 1155"/>
                              <a:gd name="T57" fmla="*/ T56 w 9600"/>
                              <a:gd name="T58" fmla="+- 0 513 513"/>
                              <a:gd name="T59" fmla="*/ 513 h 5895"/>
                              <a:gd name="T60" fmla="+- 0 1155 1155"/>
                              <a:gd name="T61" fmla="*/ T60 w 9600"/>
                              <a:gd name="T62" fmla="+- 0 513 513"/>
                              <a:gd name="T63" fmla="*/ 513 h 5895"/>
                              <a:gd name="T64" fmla="+- 0 1155 1155"/>
                              <a:gd name="T65" fmla="*/ T64 w 9600"/>
                              <a:gd name="T66" fmla="+- 0 6288 513"/>
                              <a:gd name="T67" fmla="*/ 6288 h 5895"/>
                              <a:gd name="T68" fmla="+- 0 1156 1155"/>
                              <a:gd name="T69" fmla="*/ T68 w 9600"/>
                              <a:gd name="T70" fmla="+- 0 6300 513"/>
                              <a:gd name="T71" fmla="*/ 6300 h 5895"/>
                              <a:gd name="T72" fmla="+- 0 1182 1155"/>
                              <a:gd name="T73" fmla="*/ T72 w 9600"/>
                              <a:gd name="T74" fmla="+- 0 6364 513"/>
                              <a:gd name="T75" fmla="*/ 6364 h 5895"/>
                              <a:gd name="T76" fmla="+- 0 1190 1155"/>
                              <a:gd name="T77" fmla="*/ T76 w 9600"/>
                              <a:gd name="T78" fmla="+- 0 6373 513"/>
                              <a:gd name="T79" fmla="*/ 6373 h 5895"/>
                              <a:gd name="T80" fmla="+- 0 1191 1155"/>
                              <a:gd name="T81" fmla="*/ T80 w 9600"/>
                              <a:gd name="T82" fmla="+- 0 6374 513"/>
                              <a:gd name="T83" fmla="*/ 6374 h 5895"/>
                              <a:gd name="T84" fmla="+- 0 1199 1155"/>
                              <a:gd name="T85" fmla="*/ T84 w 9600"/>
                              <a:gd name="T86" fmla="+- 0 6381 513"/>
                              <a:gd name="T87" fmla="*/ 6381 h 5895"/>
                              <a:gd name="T88" fmla="+- 0 1263 1155"/>
                              <a:gd name="T89" fmla="*/ T88 w 9600"/>
                              <a:gd name="T90" fmla="+- 0 6407 513"/>
                              <a:gd name="T91" fmla="*/ 6407 h 5895"/>
                              <a:gd name="T92" fmla="+- 0 1275 1155"/>
                              <a:gd name="T93" fmla="*/ T92 w 9600"/>
                              <a:gd name="T94" fmla="+- 0 6408 513"/>
                              <a:gd name="T95" fmla="*/ 6408 h 5895"/>
                              <a:gd name="T96" fmla="+- 0 10635 1155"/>
                              <a:gd name="T97" fmla="*/ T96 w 9600"/>
                              <a:gd name="T98" fmla="+- 0 6408 513"/>
                              <a:gd name="T99" fmla="*/ 6408 h 5895"/>
                              <a:gd name="T100" fmla="+- 0 10702 1155"/>
                              <a:gd name="T101" fmla="*/ T100 w 9600"/>
                              <a:gd name="T102" fmla="+- 0 6388 513"/>
                              <a:gd name="T103" fmla="*/ 6388 h 5895"/>
                              <a:gd name="T104" fmla="+- 0 10719 1155"/>
                              <a:gd name="T105" fmla="*/ T104 w 9600"/>
                              <a:gd name="T106" fmla="+- 0 6374 513"/>
                              <a:gd name="T107" fmla="*/ 6374 h 5895"/>
                              <a:gd name="T108" fmla="+- 0 10720 1155"/>
                              <a:gd name="T109" fmla="*/ T108 w 9600"/>
                              <a:gd name="T110" fmla="+- 0 6373 513"/>
                              <a:gd name="T111" fmla="*/ 6373 h 5895"/>
                              <a:gd name="T112" fmla="+- 0 10753 1155"/>
                              <a:gd name="T113" fmla="*/ T112 w 9600"/>
                              <a:gd name="T114" fmla="+- 0 6311 513"/>
                              <a:gd name="T115" fmla="*/ 6311 h 5895"/>
                              <a:gd name="T116" fmla="+- 0 10755 1155"/>
                              <a:gd name="T117" fmla="*/ T116 w 9600"/>
                              <a:gd name="T118" fmla="+- 0 6288 513"/>
                              <a:gd name="T119" fmla="*/ 6288 h 5895"/>
                              <a:gd name="T120" fmla="+- 0 10755 1155"/>
                              <a:gd name="T121" fmla="*/ T120 w 9600"/>
                              <a:gd name="T122" fmla="+- 0 513 513"/>
                              <a:gd name="T123" fmla="*/ 513 h 5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600" h="5895">
                                <a:moveTo>
                                  <a:pt x="9600" y="0"/>
                                </a:moveTo>
                                <a:lnTo>
                                  <a:pt x="9585" y="0"/>
                                </a:lnTo>
                                <a:lnTo>
                                  <a:pt x="9585" y="5775"/>
                                </a:lnTo>
                                <a:lnTo>
                                  <a:pt x="9584" y="5785"/>
                                </a:lnTo>
                                <a:lnTo>
                                  <a:pt x="9561" y="5842"/>
                                </a:lnTo>
                                <a:lnTo>
                                  <a:pt x="9553" y="5850"/>
                                </a:lnTo>
                                <a:lnTo>
                                  <a:pt x="9490" y="5880"/>
                                </a:lnTo>
                                <a:lnTo>
                                  <a:pt x="9480" y="5880"/>
                                </a:lnTo>
                                <a:lnTo>
                                  <a:pt x="120" y="5880"/>
                                </a:lnTo>
                                <a:lnTo>
                                  <a:pt x="62" y="5862"/>
                                </a:lnTo>
                                <a:lnTo>
                                  <a:pt x="47" y="5850"/>
                                </a:lnTo>
                                <a:lnTo>
                                  <a:pt x="39" y="5842"/>
                                </a:lnTo>
                                <a:lnTo>
                                  <a:pt x="15" y="5785"/>
                                </a:lnTo>
                                <a:lnTo>
                                  <a:pt x="15" y="5775"/>
                                </a:lnTo>
                                <a:lnTo>
                                  <a:pt x="15" y="0"/>
                                </a:lnTo>
                                <a:lnTo>
                                  <a:pt x="0" y="0"/>
                                </a:lnTo>
                                <a:lnTo>
                                  <a:pt x="0" y="5775"/>
                                </a:lnTo>
                                <a:lnTo>
                                  <a:pt x="1" y="5787"/>
                                </a:lnTo>
                                <a:lnTo>
                                  <a:pt x="27" y="5851"/>
                                </a:lnTo>
                                <a:lnTo>
                                  <a:pt x="35" y="5860"/>
                                </a:lnTo>
                                <a:lnTo>
                                  <a:pt x="36" y="5861"/>
                                </a:lnTo>
                                <a:lnTo>
                                  <a:pt x="44" y="5868"/>
                                </a:lnTo>
                                <a:lnTo>
                                  <a:pt x="108" y="5894"/>
                                </a:lnTo>
                                <a:lnTo>
                                  <a:pt x="120" y="5895"/>
                                </a:lnTo>
                                <a:lnTo>
                                  <a:pt x="9480" y="5895"/>
                                </a:lnTo>
                                <a:lnTo>
                                  <a:pt x="9547" y="5875"/>
                                </a:lnTo>
                                <a:lnTo>
                                  <a:pt x="9564" y="5861"/>
                                </a:lnTo>
                                <a:lnTo>
                                  <a:pt x="9565" y="5860"/>
                                </a:lnTo>
                                <a:lnTo>
                                  <a:pt x="9598" y="5798"/>
                                </a:lnTo>
                                <a:lnTo>
                                  <a:pt x="9600" y="5775"/>
                                </a:lnTo>
                                <a:lnTo>
                                  <a:pt x="9600" y="0"/>
                                </a:lnTo>
                                <a:close/>
                              </a:path>
                            </a:pathLst>
                          </a:custGeom>
                          <a:solidFill>
                            <a:srgbClr val="D9DBDF"/>
                          </a:solidFill>
                          <a:ln>
                            <a:noFill/>
                          </a:ln>
                          <a:effectLst/>
                        </wps:spPr>
                        <wps:bodyPr rot="0" vert="horz" wrap="square" lIns="91440" tIns="45720" rIns="91440" bIns="45720" anchor="t" anchorCtr="0" upright="1">
                          <a:noAutofit/>
                        </wps:bodyPr>
                      </wps:wsp>
                      <pic:pic xmlns:pic="http://schemas.openxmlformats.org/drawingml/2006/picture">
                        <pic:nvPicPr>
                          <pic:cNvPr id="148024868" name="Picture 310"/>
                          <pic:cNvPicPr>
                            <a:picLocks noChangeAspect="1" noChangeArrowheads="1"/>
                          </pic:cNvPicPr>
                        </pic:nvPicPr>
                        <pic:blipFill>
                          <a:blip r:embed="rId110"/>
                          <a:srcRect/>
                          <a:stretch>
                            <a:fillRect/>
                          </a:stretch>
                        </pic:blipFill>
                        <pic:spPr>
                          <a:xfrm>
                            <a:off x="9525" y="633"/>
                            <a:ext cx="255" cy="300"/>
                          </a:xfrm>
                          <a:prstGeom prst="rect">
                            <a:avLst/>
                          </a:prstGeom>
                          <a:noFill/>
                          <a:ln>
                            <a:noFill/>
                          </a:ln>
                          <a:effectLst/>
                        </pic:spPr>
                      </pic:pic>
                      <wps:wsp>
                        <wps:cNvPr id="1463624083" name="Rectangle 309"/>
                        <wps:cNvSpPr>
                          <a:spLocks noChangeArrowheads="1"/>
                        </wps:cNvSpPr>
                        <wps:spPr bwMode="auto">
                          <a:xfrm>
                            <a:off x="1170" y="2793"/>
                            <a:ext cx="9030" cy="3600"/>
                          </a:xfrm>
                          <a:prstGeom prst="rect">
                            <a:avLst/>
                          </a:prstGeom>
                          <a:solidFill>
                            <a:srgbClr val="FFFFFF"/>
                          </a:solidFill>
                          <a:ln>
                            <a:noFill/>
                          </a:ln>
                          <a:effectLst/>
                        </wps:spPr>
                        <wps:bodyPr rot="0" vert="horz" wrap="square" lIns="91440" tIns="45720" rIns="91440" bIns="45720" anchor="t" anchorCtr="0" upright="1">
                          <a:noAutofit/>
                        </wps:bodyPr>
                      </wps:wsp>
                      <wps:wsp>
                        <wps:cNvPr id="1424249463" name="Text Box 308"/>
                        <wps:cNvSpPr txBox="1">
                          <a:spLocks noChangeArrowheads="1"/>
                        </wps:cNvSpPr>
                        <wps:spPr bwMode="auto">
                          <a:xfrm>
                            <a:off x="1831" y="-3511"/>
                            <a:ext cx="7949" cy="1752"/>
                          </a:xfrm>
                          <a:prstGeom prst="rect">
                            <a:avLst/>
                          </a:prstGeom>
                          <a:noFill/>
                          <a:ln>
                            <a:noFill/>
                          </a:ln>
                          <a:effectLst/>
                        </wps:spPr>
                        <wps:txbx>
                          <w:txbxContent>
                            <w:p w14:paraId="50D1E97D">
                              <w:pPr>
                                <w:spacing w:line="300" w:lineRule="auto"/>
                                <w:ind w:right="18"/>
                                <w:jc w:val="both"/>
                              </w:pPr>
                              <w:r>
                                <w:rPr>
                                  <w:color w:val="202024"/>
                                </w:rPr>
                                <w:t>6.</w:t>
                              </w:r>
                              <w:r>
                                <w:rPr>
                                  <w:color w:val="202024"/>
                                  <w:spacing w:val="7"/>
                                </w:rPr>
                                <w:t xml:space="preserve"> </w:t>
                              </w:r>
                              <w:r>
                                <w:rPr>
                                  <w:color w:val="202024"/>
                                </w:rPr>
                                <w:t>In</w:t>
                              </w:r>
                              <w:r>
                                <w:rPr>
                                  <w:color w:val="202024"/>
                                  <w:spacing w:val="7"/>
                                </w:rPr>
                                <w:t xml:space="preserve"> </w:t>
                              </w:r>
                              <w:r>
                                <w:rPr>
                                  <w:color w:val="202024"/>
                                </w:rPr>
                                <w:t>your</w:t>
                              </w:r>
                              <w:r>
                                <w:rPr>
                                  <w:color w:val="202024"/>
                                  <w:spacing w:val="7"/>
                                </w:rPr>
                                <w:t xml:space="preserve"> </w:t>
                              </w:r>
                              <w:r>
                                <w:rPr>
                                  <w:color w:val="202024"/>
                                </w:rPr>
                                <w:t>view,</w:t>
                              </w:r>
                              <w:r>
                                <w:rPr>
                                  <w:color w:val="202024"/>
                                  <w:spacing w:val="7"/>
                                </w:rPr>
                                <w:t xml:space="preserve"> </w:t>
                              </w:r>
                              <w:r>
                                <w:rPr>
                                  <w:color w:val="202024"/>
                                </w:rPr>
                                <w:t>to</w:t>
                              </w:r>
                              <w:r>
                                <w:rPr>
                                  <w:color w:val="202024"/>
                                  <w:spacing w:val="7"/>
                                </w:rPr>
                                <w:t xml:space="preserve"> </w:t>
                              </w:r>
                              <w:r>
                                <w:rPr>
                                  <w:color w:val="202024"/>
                                </w:rPr>
                                <w:t>what</w:t>
                              </w:r>
                              <w:r>
                                <w:rPr>
                                  <w:color w:val="202024"/>
                                  <w:spacing w:val="7"/>
                                </w:rPr>
                                <w:t xml:space="preserve"> </w:t>
                              </w:r>
                              <w:r>
                                <w:rPr>
                                  <w:color w:val="202024"/>
                                </w:rPr>
                                <w:t>extent</w:t>
                              </w:r>
                              <w:r>
                                <w:rPr>
                                  <w:color w:val="202024"/>
                                  <w:spacing w:val="7"/>
                                </w:rPr>
                                <w:t xml:space="preserve"> </w:t>
                              </w:r>
                              <w:r>
                                <w:rPr>
                                  <w:color w:val="202024"/>
                                </w:rPr>
                                <w:t>does</w:t>
                              </w:r>
                              <w:r>
                                <w:rPr>
                                  <w:color w:val="202024"/>
                                  <w:spacing w:val="7"/>
                                </w:rPr>
                                <w:t xml:space="preserve"> </w:t>
                              </w:r>
                              <w:r>
                                <w:rPr>
                                  <w:color w:val="202024"/>
                                </w:rPr>
                                <w:t>the</w:t>
                              </w:r>
                              <w:r>
                                <w:rPr>
                                  <w:color w:val="202024"/>
                                  <w:spacing w:val="7"/>
                                </w:rPr>
                                <w:t xml:space="preserve"> </w:t>
                              </w:r>
                              <w:r>
                                <w:rPr>
                                  <w:color w:val="202024"/>
                                </w:rPr>
                                <w:t>ownership</w:t>
                              </w:r>
                              <w:r>
                                <w:rPr>
                                  <w:color w:val="202024"/>
                                  <w:spacing w:val="7"/>
                                </w:rPr>
                                <w:t xml:space="preserve"> </w:t>
                              </w:r>
                              <w:r>
                                <w:rPr>
                                  <w:color w:val="202024"/>
                                </w:rPr>
                                <w:t>structure</w:t>
                              </w:r>
                              <w:r>
                                <w:rPr>
                                  <w:color w:val="202024"/>
                                  <w:spacing w:val="7"/>
                                </w:rPr>
                                <w:t xml:space="preserve"> </w:t>
                              </w:r>
                              <w:r>
                                <w:rPr>
                                  <w:color w:val="202024"/>
                                </w:rPr>
                                <w:t>of</w:t>
                              </w:r>
                              <w:r>
                                <w:rPr>
                                  <w:color w:val="202024"/>
                                  <w:spacing w:val="7"/>
                                </w:rPr>
                                <w:t xml:space="preserve"> </w:t>
                              </w:r>
                              <w:r>
                                <w:rPr>
                                  <w:color w:val="202024"/>
                                </w:rPr>
                                <w:t>petroleum</w:t>
                              </w:r>
                              <w:r>
                                <w:rPr>
                                  <w:color w:val="202024"/>
                                  <w:spacing w:val="-56"/>
                                </w:rPr>
                                <w:t xml:space="preserve"> </w:t>
                              </w:r>
                              <w:r>
                                <w:rPr>
                                  <w:color w:val="202024"/>
                                </w:rPr>
                                <w:t>resources</w:t>
                              </w:r>
                              <w:r>
                                <w:rPr>
                                  <w:color w:val="202024"/>
                                  <w:spacing w:val="9"/>
                                </w:rPr>
                                <w:t xml:space="preserve"> </w:t>
                              </w:r>
                              <w:r>
                                <w:rPr>
                                  <w:color w:val="202024"/>
                                </w:rPr>
                                <w:t>and</w:t>
                              </w:r>
                              <w:r>
                                <w:rPr>
                                  <w:color w:val="202024"/>
                                  <w:spacing w:val="10"/>
                                </w:rPr>
                                <w:t xml:space="preserve"> </w:t>
                              </w:r>
                              <w:r>
                                <w:rPr>
                                  <w:color w:val="202024"/>
                                </w:rPr>
                                <w:t>the</w:t>
                              </w:r>
                              <w:r>
                                <w:rPr>
                                  <w:color w:val="202024"/>
                                  <w:spacing w:val="10"/>
                                </w:rPr>
                                <w:t xml:space="preserve"> </w:t>
                              </w:r>
                              <w:r>
                                <w:rPr>
                                  <w:color w:val="202024"/>
                                </w:rPr>
                                <w:t>allocation</w:t>
                              </w:r>
                              <w:r>
                                <w:rPr>
                                  <w:color w:val="202024"/>
                                  <w:spacing w:val="9"/>
                                </w:rPr>
                                <w:t xml:space="preserve"> </w:t>
                              </w:r>
                              <w:r>
                                <w:rPr>
                                  <w:color w:val="202024"/>
                                </w:rPr>
                                <w:t>of</w:t>
                              </w:r>
                              <w:r>
                                <w:rPr>
                                  <w:color w:val="202024"/>
                                  <w:spacing w:val="10"/>
                                </w:rPr>
                                <w:t xml:space="preserve"> </w:t>
                              </w:r>
                              <w:r>
                                <w:rPr>
                                  <w:color w:val="202024"/>
                                </w:rPr>
                                <w:t>fiscal</w:t>
                              </w:r>
                              <w:r>
                                <w:rPr>
                                  <w:color w:val="202024"/>
                                  <w:spacing w:val="10"/>
                                </w:rPr>
                                <w:t xml:space="preserve"> </w:t>
                              </w:r>
                              <w:r>
                                <w:rPr>
                                  <w:color w:val="202024"/>
                                </w:rPr>
                                <w:t>and</w:t>
                              </w:r>
                              <w:r>
                                <w:rPr>
                                  <w:color w:val="202024"/>
                                  <w:spacing w:val="9"/>
                                </w:rPr>
                                <w:t xml:space="preserve"> </w:t>
                              </w:r>
                              <w:r>
                                <w:rPr>
                                  <w:color w:val="202024"/>
                                </w:rPr>
                                <w:t>taxing</w:t>
                              </w:r>
                              <w:r>
                                <w:rPr>
                                  <w:color w:val="202024"/>
                                  <w:spacing w:val="10"/>
                                </w:rPr>
                                <w:t xml:space="preserve"> </w:t>
                              </w:r>
                              <w:r>
                                <w:rPr>
                                  <w:color w:val="202024"/>
                                </w:rPr>
                                <w:t>powers</w:t>
                              </w:r>
                              <w:r>
                                <w:rPr>
                                  <w:color w:val="202024"/>
                                  <w:spacing w:val="10"/>
                                </w:rPr>
                                <w:t xml:space="preserve"> </w:t>
                              </w:r>
                              <w:r>
                                <w:rPr>
                                  <w:color w:val="202024"/>
                                </w:rPr>
                                <w:t>under</w:t>
                              </w:r>
                              <w:r>
                                <w:rPr>
                                  <w:color w:val="202024"/>
                                  <w:spacing w:val="10"/>
                                </w:rPr>
                                <w:t xml:space="preserve"> </w:t>
                              </w:r>
                              <w:r>
                                <w:rPr>
                                  <w:color w:val="202024"/>
                                </w:rPr>
                                <w:t>the</w:t>
                              </w:r>
                              <w:r>
                                <w:rPr>
                                  <w:color w:val="202024"/>
                                  <w:spacing w:val="9"/>
                                </w:rPr>
                                <w:t xml:space="preserve"> </w:t>
                              </w:r>
                              <w:r>
                                <w:rPr>
                                  <w:color w:val="202024"/>
                                </w:rPr>
                                <w:t>1999</w:t>
                              </w:r>
                              <w:r>
                                <w:rPr>
                                  <w:color w:val="202024"/>
                                  <w:spacing w:val="1"/>
                                </w:rPr>
                                <w:t xml:space="preserve"> </w:t>
                              </w:r>
                              <w:r>
                                <w:rPr>
                                  <w:color w:val="202024"/>
                                </w:rPr>
                                <w:t>Nigerian</w:t>
                              </w:r>
                              <w:r>
                                <w:rPr>
                                  <w:color w:val="202024"/>
                                  <w:spacing w:val="11"/>
                                </w:rPr>
                                <w:t xml:space="preserve"> </w:t>
                              </w:r>
                              <w:r>
                                <w:rPr>
                                  <w:color w:val="202024"/>
                                </w:rPr>
                                <w:t>Constitution</w:t>
                              </w:r>
                              <w:r>
                                <w:rPr>
                                  <w:color w:val="202024"/>
                                  <w:spacing w:val="11"/>
                                </w:rPr>
                                <w:t xml:space="preserve"> </w:t>
                              </w:r>
                              <w:r>
                                <w:rPr>
                                  <w:color w:val="202024"/>
                                </w:rPr>
                                <w:t>affect</w:t>
                              </w:r>
                              <w:r>
                                <w:rPr>
                                  <w:color w:val="202024"/>
                                  <w:spacing w:val="11"/>
                                </w:rPr>
                                <w:t xml:space="preserve"> </w:t>
                              </w:r>
                              <w:r>
                                <w:rPr>
                                  <w:color w:val="202024"/>
                                </w:rPr>
                                <w:t>clarity,</w:t>
                              </w:r>
                              <w:r>
                                <w:rPr>
                                  <w:color w:val="202024"/>
                                  <w:spacing w:val="11"/>
                                </w:rPr>
                                <w:t xml:space="preserve"> </w:t>
                              </w:r>
                              <w:r>
                                <w:rPr>
                                  <w:color w:val="202024"/>
                                </w:rPr>
                                <w:t>certainty</w:t>
                              </w:r>
                              <w:r>
                                <w:rPr>
                                  <w:color w:val="202024"/>
                                  <w:spacing w:val="11"/>
                                </w:rPr>
                                <w:t xml:space="preserve"> </w:t>
                              </w:r>
                              <w:r>
                                <w:rPr>
                                  <w:color w:val="202024"/>
                                </w:rPr>
                                <w:t>and</w:t>
                              </w:r>
                              <w:r>
                                <w:rPr>
                                  <w:color w:val="202024"/>
                                  <w:spacing w:val="11"/>
                                </w:rPr>
                                <w:t xml:space="preserve"> </w:t>
                              </w:r>
                              <w:r>
                                <w:rPr>
                                  <w:color w:val="202024"/>
                                </w:rPr>
                                <w:t>consistent</w:t>
                              </w:r>
                              <w:r>
                                <w:rPr>
                                  <w:color w:val="202024"/>
                                  <w:spacing w:val="1"/>
                                </w:rPr>
                                <w:t xml:space="preserve"> </w:t>
                              </w:r>
                              <w:r>
                                <w:rPr>
                                  <w:color w:val="202024"/>
                                </w:rPr>
                                <w:t>interpretation</w:t>
                              </w:r>
                              <w:r>
                                <w:rPr>
                                  <w:color w:val="202024"/>
                                  <w:spacing w:val="7"/>
                                </w:rPr>
                                <w:t xml:space="preserve"> </w:t>
                              </w:r>
                              <w:r>
                                <w:rPr>
                                  <w:color w:val="202024"/>
                                </w:rPr>
                                <w:t>and</w:t>
                              </w:r>
                              <w:r>
                                <w:rPr>
                                  <w:color w:val="202024"/>
                                  <w:spacing w:val="7"/>
                                </w:rPr>
                                <w:t xml:space="preserve"> </w:t>
                              </w:r>
                              <w:r>
                                <w:rPr>
                                  <w:color w:val="202024"/>
                                </w:rPr>
                                <w:t>administration</w:t>
                              </w:r>
                              <w:r>
                                <w:rPr>
                                  <w:color w:val="202024"/>
                                  <w:spacing w:val="7"/>
                                </w:rPr>
                                <w:t xml:space="preserve"> </w:t>
                              </w:r>
                              <w:r>
                                <w:rPr>
                                  <w:color w:val="202024"/>
                                </w:rPr>
                                <w:t>of</w:t>
                              </w:r>
                              <w:r>
                                <w:rPr>
                                  <w:color w:val="202024"/>
                                  <w:spacing w:val="7"/>
                                </w:rPr>
                                <w:t xml:space="preserve"> </w:t>
                              </w:r>
                              <w:r>
                                <w:rPr>
                                  <w:color w:val="202024"/>
                                </w:rPr>
                                <w:t>upstream</w:t>
                              </w:r>
                              <w:r>
                                <w:rPr>
                                  <w:color w:val="202024"/>
                                  <w:spacing w:val="8"/>
                                </w:rPr>
                                <w:t xml:space="preserve"> </w:t>
                              </w:r>
                              <w:r>
                                <w:rPr>
                                  <w:color w:val="202024"/>
                                </w:rPr>
                                <w:t>oil</w:t>
                              </w:r>
                              <w:r>
                                <w:rPr>
                                  <w:color w:val="202024"/>
                                  <w:spacing w:val="7"/>
                                </w:rPr>
                                <w:t xml:space="preserve"> </w:t>
                              </w:r>
                              <w:r>
                                <w:rPr>
                                  <w:color w:val="202024"/>
                                </w:rPr>
                                <w:t>and</w:t>
                              </w:r>
                              <w:r>
                                <w:rPr>
                                  <w:color w:val="202024"/>
                                  <w:spacing w:val="7"/>
                                </w:rPr>
                                <w:t xml:space="preserve"> </w:t>
                              </w:r>
                              <w:r>
                                <w:rPr>
                                  <w:color w:val="202024"/>
                                </w:rPr>
                                <w:t>gas</w:t>
                              </w:r>
                              <w:r>
                                <w:rPr>
                                  <w:color w:val="202024"/>
                                  <w:spacing w:val="7"/>
                                </w:rPr>
                                <w:t xml:space="preserve"> </w:t>
                              </w:r>
                              <w:r>
                                <w:rPr>
                                  <w:color w:val="202024"/>
                                </w:rPr>
                                <w:t>taxation.</w:t>
                              </w:r>
                            </w:p>
                            <w:p w14:paraId="1FF737A1">
                              <w:pPr>
                                <w:spacing w:before="96" w:line="215" w:lineRule="exact"/>
                                <w:rPr>
                                  <w:sz w:val="18"/>
                                </w:rPr>
                              </w:pPr>
                              <w:r>
                                <w:rPr>
                                  <w:color w:val="202024"/>
                                  <w:sz w:val="18"/>
                                </w:rPr>
                                <w:t>76</w:t>
                              </w:r>
                              <w:r>
                                <w:rPr>
                                  <w:color w:val="202024"/>
                                  <w:spacing w:val="20"/>
                                  <w:sz w:val="18"/>
                                </w:rPr>
                                <w:t xml:space="preserve"> </w:t>
                              </w:r>
                              <w:r>
                                <w:rPr>
                                  <w:color w:val="202024"/>
                                  <w:sz w:val="18"/>
                                </w:rPr>
                                <w:t>responses</w:t>
                              </w:r>
                            </w:p>
                          </w:txbxContent>
                        </wps:txbx>
                        <wps:bodyPr rot="0" vert="horz" wrap="square" lIns="0" tIns="0" rIns="0" bIns="0" anchor="t" anchorCtr="0" upright="1">
                          <a:noAutofit/>
                        </wps:bodyPr>
                      </wps:wsp>
                      <wps:wsp>
                        <wps:cNvPr id="256538289" name="Text Box 307"/>
                        <wps:cNvSpPr txBox="1">
                          <a:spLocks noChangeArrowheads="1"/>
                        </wps:cNvSpPr>
                        <wps:spPr bwMode="auto">
                          <a:xfrm>
                            <a:off x="9958" y="704"/>
                            <a:ext cx="550" cy="200"/>
                          </a:xfrm>
                          <a:prstGeom prst="rect">
                            <a:avLst/>
                          </a:prstGeom>
                          <a:noFill/>
                          <a:ln>
                            <a:noFill/>
                          </a:ln>
                          <a:effectLst/>
                        </wps:spPr>
                        <wps:txbx>
                          <w:txbxContent>
                            <w:p w14:paraId="17120EF4">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987422508" name="Text Box 306"/>
                        <wps:cNvSpPr txBox="1">
                          <a:spLocks noChangeArrowheads="1"/>
                        </wps:cNvSpPr>
                        <wps:spPr bwMode="auto">
                          <a:xfrm>
                            <a:off x="1689" y="2850"/>
                            <a:ext cx="221" cy="202"/>
                          </a:xfrm>
                          <a:prstGeom prst="rect">
                            <a:avLst/>
                          </a:prstGeom>
                          <a:noFill/>
                          <a:ln>
                            <a:noFill/>
                          </a:ln>
                          <a:effectLst/>
                        </wps:spPr>
                        <wps:txbx>
                          <w:txbxContent>
                            <w:p w14:paraId="319D2B09">
                              <w:pPr>
                                <w:spacing w:line="201" w:lineRule="exact"/>
                                <w:rPr>
                                  <w:rFonts w:ascii="Arial MT"/>
                                  <w:sz w:val="18"/>
                                </w:rPr>
                              </w:pPr>
                              <w:r>
                                <w:rPr>
                                  <w:rFonts w:ascii="Arial MT"/>
                                  <w:color w:val="444444"/>
                                  <w:sz w:val="18"/>
                                </w:rPr>
                                <w:t>30</w:t>
                              </w:r>
                            </w:p>
                          </w:txbxContent>
                        </wps:txbx>
                        <wps:bodyPr rot="0" vert="horz" wrap="square" lIns="0" tIns="0" rIns="0" bIns="0" anchor="t" anchorCtr="0" upright="1">
                          <a:noAutofit/>
                        </wps:bodyPr>
                      </wps:wsp>
                      <wps:wsp>
                        <wps:cNvPr id="375273457" name="Text Box 305"/>
                        <wps:cNvSpPr txBox="1">
                          <a:spLocks noChangeArrowheads="1"/>
                        </wps:cNvSpPr>
                        <wps:spPr bwMode="auto">
                          <a:xfrm>
                            <a:off x="1689" y="3745"/>
                            <a:ext cx="221" cy="202"/>
                          </a:xfrm>
                          <a:prstGeom prst="rect">
                            <a:avLst/>
                          </a:prstGeom>
                          <a:noFill/>
                          <a:ln>
                            <a:noFill/>
                          </a:ln>
                          <a:effectLst/>
                        </wps:spPr>
                        <wps:txbx>
                          <w:txbxContent>
                            <w:p w14:paraId="19B57318">
                              <w:pPr>
                                <w:spacing w:line="201" w:lineRule="exact"/>
                                <w:rPr>
                                  <w:rFonts w:ascii="Arial MT"/>
                                  <w:sz w:val="18"/>
                                </w:rPr>
                              </w:pPr>
                              <w:r>
                                <w:rPr>
                                  <w:rFonts w:ascii="Arial MT"/>
                                  <w:color w:val="444444"/>
                                  <w:sz w:val="18"/>
                                </w:rPr>
                                <w:t>20</w:t>
                              </w:r>
                            </w:p>
                          </w:txbxContent>
                        </wps:txbx>
                        <wps:bodyPr rot="0" vert="horz" wrap="square" lIns="0" tIns="0" rIns="0" bIns="0" anchor="t" anchorCtr="0" upright="1">
                          <a:noAutofit/>
                        </wps:bodyPr>
                      </wps:wsp>
                      <wps:wsp>
                        <wps:cNvPr id="1307946679" name="Text Box 304"/>
                        <wps:cNvSpPr txBox="1">
                          <a:spLocks noChangeArrowheads="1"/>
                        </wps:cNvSpPr>
                        <wps:spPr bwMode="auto">
                          <a:xfrm>
                            <a:off x="1689" y="4640"/>
                            <a:ext cx="221" cy="202"/>
                          </a:xfrm>
                          <a:prstGeom prst="rect">
                            <a:avLst/>
                          </a:prstGeom>
                          <a:noFill/>
                          <a:ln>
                            <a:noFill/>
                          </a:ln>
                          <a:effectLst/>
                        </wps:spPr>
                        <wps:txbx>
                          <w:txbxContent>
                            <w:p w14:paraId="4D3EBB7E">
                              <w:pPr>
                                <w:spacing w:line="201" w:lineRule="exact"/>
                                <w:rPr>
                                  <w:rFonts w:ascii="Arial MT"/>
                                  <w:sz w:val="18"/>
                                </w:rPr>
                              </w:pPr>
                              <w:r>
                                <w:rPr>
                                  <w:rFonts w:ascii="Arial MT"/>
                                  <w:color w:val="444444"/>
                                  <w:sz w:val="18"/>
                                </w:rPr>
                                <w:t>10</w:t>
                              </w:r>
                            </w:p>
                          </w:txbxContent>
                        </wps:txbx>
                        <wps:bodyPr rot="0" vert="horz" wrap="square" lIns="0" tIns="0" rIns="0" bIns="0" anchor="t" anchorCtr="0" upright="1">
                          <a:noAutofit/>
                        </wps:bodyPr>
                      </wps:wsp>
                      <wps:wsp>
                        <wps:cNvPr id="1801396661" name="Text Box 303"/>
                        <wps:cNvSpPr txBox="1">
                          <a:spLocks noChangeArrowheads="1"/>
                        </wps:cNvSpPr>
                        <wps:spPr bwMode="auto">
                          <a:xfrm>
                            <a:off x="1789" y="5535"/>
                            <a:ext cx="121" cy="202"/>
                          </a:xfrm>
                          <a:prstGeom prst="rect">
                            <a:avLst/>
                          </a:prstGeom>
                          <a:noFill/>
                          <a:ln>
                            <a:noFill/>
                          </a:ln>
                          <a:effectLst/>
                        </wps:spPr>
                        <wps:txbx>
                          <w:txbxContent>
                            <w:p w14:paraId="25E86447">
                              <w:pPr>
                                <w:spacing w:line="201" w:lineRule="exact"/>
                                <w:rPr>
                                  <w:rFonts w:ascii="Arial MT"/>
                                  <w:sz w:val="18"/>
                                </w:rPr>
                              </w:pPr>
                              <w:r>
                                <w:rPr>
                                  <w:rFonts w:ascii="Arial MT"/>
                                  <w:color w:val="444444"/>
                                  <w:sz w:val="18"/>
                                </w:rPr>
                                <w:t>0</w:t>
                              </w:r>
                            </w:p>
                          </w:txbxContent>
                        </wps:txbx>
                        <wps:bodyPr rot="0" vert="horz" wrap="square" lIns="0" tIns="0" rIns="0" bIns="0" anchor="t" anchorCtr="0" upright="1">
                          <a:noAutofit/>
                        </wps:bodyPr>
                      </wps:wsp>
                      <wps:wsp>
                        <wps:cNvPr id="1081636324" name="Text Box 302"/>
                        <wps:cNvSpPr txBox="1">
                          <a:spLocks noChangeArrowheads="1"/>
                        </wps:cNvSpPr>
                        <wps:spPr bwMode="auto">
                          <a:xfrm>
                            <a:off x="2838" y="5737"/>
                            <a:ext cx="121" cy="202"/>
                          </a:xfrm>
                          <a:prstGeom prst="rect">
                            <a:avLst/>
                          </a:prstGeom>
                          <a:noFill/>
                          <a:ln>
                            <a:noFill/>
                          </a:ln>
                          <a:effectLst/>
                        </wps:spPr>
                        <wps:txbx>
                          <w:txbxContent>
                            <w:p w14:paraId="602A09A9">
                              <w:pPr>
                                <w:spacing w:line="201" w:lineRule="exact"/>
                                <w:rPr>
                                  <w:rFonts w:ascii="Arial MT"/>
                                  <w:sz w:val="18"/>
                                </w:rPr>
                              </w:pPr>
                              <w:r>
                                <w:rPr>
                                  <w:rFonts w:ascii="Arial MT"/>
                                  <w:color w:val="212121"/>
                                  <w:sz w:val="18"/>
                                </w:rPr>
                                <w:t>1</w:t>
                              </w:r>
                            </w:p>
                          </w:txbxContent>
                        </wps:txbx>
                        <wps:bodyPr rot="0" vert="horz" wrap="square" lIns="0" tIns="0" rIns="0" bIns="0" anchor="t" anchorCtr="0" upright="1">
                          <a:noAutofit/>
                        </wps:bodyPr>
                      </wps:wsp>
                      <wps:wsp>
                        <wps:cNvPr id="1813136752" name="Text Box 301"/>
                        <wps:cNvSpPr txBox="1">
                          <a:spLocks noChangeArrowheads="1"/>
                        </wps:cNvSpPr>
                        <wps:spPr bwMode="auto">
                          <a:xfrm>
                            <a:off x="4461" y="5737"/>
                            <a:ext cx="121" cy="202"/>
                          </a:xfrm>
                          <a:prstGeom prst="rect">
                            <a:avLst/>
                          </a:prstGeom>
                          <a:noFill/>
                          <a:ln>
                            <a:noFill/>
                          </a:ln>
                          <a:effectLst/>
                        </wps:spPr>
                        <wps:txbx>
                          <w:txbxContent>
                            <w:p w14:paraId="65BADD46">
                              <w:pPr>
                                <w:spacing w:line="201" w:lineRule="exact"/>
                                <w:rPr>
                                  <w:rFonts w:ascii="Arial MT"/>
                                  <w:sz w:val="18"/>
                                </w:rPr>
                              </w:pPr>
                              <w:r>
                                <w:rPr>
                                  <w:rFonts w:ascii="Arial MT"/>
                                  <w:color w:val="212121"/>
                                  <w:sz w:val="18"/>
                                </w:rPr>
                                <w:t>2</w:t>
                              </w:r>
                            </w:p>
                          </w:txbxContent>
                        </wps:txbx>
                        <wps:bodyPr rot="0" vert="horz" wrap="square" lIns="0" tIns="0" rIns="0" bIns="0" anchor="t" anchorCtr="0" upright="1">
                          <a:noAutofit/>
                        </wps:bodyPr>
                      </wps:wsp>
                      <wps:wsp>
                        <wps:cNvPr id="1516723145" name="Text Box 300"/>
                        <wps:cNvSpPr txBox="1">
                          <a:spLocks noChangeArrowheads="1"/>
                        </wps:cNvSpPr>
                        <wps:spPr bwMode="auto">
                          <a:xfrm>
                            <a:off x="6084" y="5737"/>
                            <a:ext cx="121" cy="202"/>
                          </a:xfrm>
                          <a:prstGeom prst="rect">
                            <a:avLst/>
                          </a:prstGeom>
                          <a:noFill/>
                          <a:ln>
                            <a:noFill/>
                          </a:ln>
                          <a:effectLst/>
                        </wps:spPr>
                        <wps:txbx>
                          <w:txbxContent>
                            <w:p w14:paraId="24A3A2FA">
                              <w:pPr>
                                <w:spacing w:line="201" w:lineRule="exact"/>
                                <w:rPr>
                                  <w:rFonts w:ascii="Arial MT"/>
                                  <w:sz w:val="18"/>
                                </w:rPr>
                              </w:pPr>
                              <w:r>
                                <w:rPr>
                                  <w:rFonts w:ascii="Arial MT"/>
                                  <w:color w:val="212121"/>
                                  <w:sz w:val="18"/>
                                </w:rPr>
                                <w:t>3</w:t>
                              </w:r>
                            </w:p>
                          </w:txbxContent>
                        </wps:txbx>
                        <wps:bodyPr rot="0" vert="horz" wrap="square" lIns="0" tIns="0" rIns="0" bIns="0" anchor="t" anchorCtr="0" upright="1">
                          <a:noAutofit/>
                        </wps:bodyPr>
                      </wps:wsp>
                      <wps:wsp>
                        <wps:cNvPr id="720984278" name="Text Box 299"/>
                        <wps:cNvSpPr txBox="1">
                          <a:spLocks noChangeArrowheads="1"/>
                        </wps:cNvSpPr>
                        <wps:spPr bwMode="auto">
                          <a:xfrm>
                            <a:off x="7707" y="5737"/>
                            <a:ext cx="121" cy="202"/>
                          </a:xfrm>
                          <a:prstGeom prst="rect">
                            <a:avLst/>
                          </a:prstGeom>
                          <a:noFill/>
                          <a:ln>
                            <a:noFill/>
                          </a:ln>
                          <a:effectLst/>
                        </wps:spPr>
                        <wps:txbx>
                          <w:txbxContent>
                            <w:p w14:paraId="6333C027">
                              <w:pPr>
                                <w:spacing w:line="201" w:lineRule="exact"/>
                                <w:rPr>
                                  <w:rFonts w:ascii="Arial MT"/>
                                  <w:sz w:val="18"/>
                                </w:rPr>
                              </w:pPr>
                              <w:r>
                                <w:rPr>
                                  <w:rFonts w:ascii="Arial MT"/>
                                  <w:color w:val="212121"/>
                                  <w:sz w:val="18"/>
                                </w:rPr>
                                <w:t>4</w:t>
                              </w:r>
                            </w:p>
                          </w:txbxContent>
                        </wps:txbx>
                        <wps:bodyPr rot="0" vert="horz" wrap="square" lIns="0" tIns="0" rIns="0" bIns="0" anchor="t" anchorCtr="0" upright="1">
                          <a:noAutofit/>
                        </wps:bodyPr>
                      </wps:wsp>
                      <wps:wsp>
                        <wps:cNvPr id="716649909" name="Text Box 298"/>
                        <wps:cNvSpPr txBox="1">
                          <a:spLocks noChangeArrowheads="1"/>
                        </wps:cNvSpPr>
                        <wps:spPr bwMode="auto">
                          <a:xfrm>
                            <a:off x="9330" y="5737"/>
                            <a:ext cx="121" cy="202"/>
                          </a:xfrm>
                          <a:prstGeom prst="rect">
                            <a:avLst/>
                          </a:prstGeom>
                          <a:noFill/>
                          <a:ln>
                            <a:noFill/>
                          </a:ln>
                          <a:effectLst/>
                        </wps:spPr>
                        <wps:txbx>
                          <w:txbxContent>
                            <w:p w14:paraId="14685191">
                              <w:pPr>
                                <w:spacing w:line="201" w:lineRule="exact"/>
                                <w:rPr>
                                  <w:rFonts w:ascii="Arial MT"/>
                                  <w:sz w:val="18"/>
                                </w:rPr>
                              </w:pPr>
                              <w:r>
                                <w:rPr>
                                  <w:rFonts w:ascii="Arial MT"/>
                                  <w:color w:val="212121"/>
                                  <w:sz w:val="18"/>
                                </w:rPr>
                                <w:t>5</w:t>
                              </w:r>
                            </w:p>
                          </w:txbxContent>
                        </wps:txbx>
                        <wps:bodyPr rot="0" vert="horz" wrap="square" lIns="0" tIns="0" rIns="0" bIns="0" anchor="t" anchorCtr="0" upright="1">
                          <a:noAutofit/>
                        </wps:bodyPr>
                      </wps:wsp>
                    </wpg:wgp>
                  </a:graphicData>
                </a:graphic>
              </wp:anchor>
            </w:drawing>
          </mc:Choice>
          <mc:Fallback>
            <w:pict>
              <v:group id="Group 84" o:spid="_x0000_s1026" o:spt="203" style="position:absolute;left:0pt;margin-left:20.15pt;margin-top:11.65pt;height:495.95pt;width:480pt;mso-position-horizontal-relative:page;z-index:-251622400;mso-width-relative:page;mso-height-relative:page;" coordorigin="1154,-3511" coordsize="9600,9919" o:gfxdata="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">
                <o:lock v:ext="edit" aspectratio="f"/>
                <v:shape id="Freeform 311" o:spid="_x0000_s1026" o:spt="100" style="position:absolute;left:1154;top:513;height:5895;width:9600;" fillcolor="#D9DBDF" filled="t" stroked="f" coordsize="9600,5895" o:gfxdata="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pxTL4A&#10;AADjAAAADwAAAAAAAAABACAAAAAiAAAAZHJzL2Rvd25yZXYueG1sUEsBAhQAFAAAAAgAh07iQDMv&#10;BZ47AAAAOQAAABAAAAAAAAAAAQAgAAAADQEAAGRycy9zaGFwZXhtbC54bWxQSwUGAAAAAAYABgBb&#10;AQAAtwMAAAAA&#10;" path="m9600,0l9585,0,9585,5775,9584,5785,9561,5842,9553,5850,9490,5880,9480,5880,120,5880,62,5862,47,5850,39,5842,15,5785,15,5775,15,0,0,0,0,5775,1,5787,27,5851,35,5860,36,5861,44,5868,108,5894,120,5895,9480,5895,9547,5875,9564,5861,9565,5860,9598,5798,9600,5775,9600,0xe">
                  <v:path o:connectlocs="9600,513;9585,513;9585,6288;9584,6298;9561,6355;9553,6363;9490,6393;9480,6393;120,6393;62,6375;47,6363;39,6355;15,6298;15,6288;15,513;0,513;0,6288;1,6300;27,6364;35,6373;36,6374;44,6381;108,6407;120,6408;9480,6408;9547,6388;9564,6374;9565,6373;9598,6311;9600,6288;9600,513" o:connectangles="0,0,0,0,0,0,0,0,0,0,0,0,0,0,0,0,0,0,0,0,0,0,0,0,0,0,0,0,0,0,0"/>
                  <v:fill on="t" focussize="0,0"/>
                  <v:stroke on="f"/>
                  <v:imagedata o:title=""/>
                  <o:lock v:ext="edit" aspectratio="f"/>
                </v:shape>
                <v:shape id="Picture 310" o:spid="_x0000_s1026" o:spt="75" type="#_x0000_t75" style="position:absolute;left:9525;top:633;height:300;width:255;" filled="f" o:preferrelative="t" stroked="f" coordsize="21600,21600" o:gfxdata="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MVHLwwAAAOIAAAAPAAAAAAAAAAEAIAAAACIAAABkcnMvZG93bnJldi54bWxQSwECFAAUAAAACACH&#10;TuJAMy8FnjsAAAA5AAAAEAAAAAAAAAABACAAAAASAQAAZHJzL3NoYXBleG1sLnhtbFBLBQYAAAAA&#10;BgAGAFsBAAC8AwAAAAA=&#10;">
                  <v:fill on="f" focussize="0,0"/>
                  <v:stroke on="f"/>
                  <v:imagedata r:id="rId110" o:title=""/>
                  <o:lock v:ext="edit" aspectratio="t"/>
                </v:shape>
                <v:rect id="Rectangle 309" o:spid="_x0000_s1026" o:spt="1" style="position:absolute;left:1170;top:2793;height:3600;width:9030;" fillcolor="#FFFFFF" filled="t" stroked="f" coordsize="21600,21600" o:gfxdata="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6klg&#10;wAAAAOMAAAAPAAAAAAAAAAEAIAAAACIAAABkcnMvZG93bnJldi54bWxQSwECFAAUAAAACACHTuJA&#10;My8FnjsAAAA5AAAAEAAAAAAAAAABACAAAAAPAQAAZHJzL3NoYXBleG1sLnhtbFBLBQYAAAAABgAG&#10;AFsBAAC5AwAAAAA=&#10;">
                  <v:fill on="t" focussize="0,0"/>
                  <v:stroke on="f"/>
                  <v:imagedata o:title=""/>
                  <o:lock v:ext="edit" aspectratio="f"/>
                </v:rect>
                <v:shape id="Text Box 308" o:spid="_x0000_s1026" o:spt="202" type="#_x0000_t202" style="position:absolute;left:1831;top:-3511;height:1752;width:7949;" filled="f" stroked="f" coordsize="21600,21600" o:gfxdata="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CXaM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50D1E97D">
                        <w:pPr>
                          <w:spacing w:line="300" w:lineRule="auto"/>
                          <w:ind w:right="18"/>
                          <w:jc w:val="both"/>
                        </w:pPr>
                        <w:r>
                          <w:rPr>
                            <w:color w:val="202024"/>
                          </w:rPr>
                          <w:t>6.</w:t>
                        </w:r>
                        <w:r>
                          <w:rPr>
                            <w:color w:val="202024"/>
                            <w:spacing w:val="7"/>
                          </w:rPr>
                          <w:t xml:space="preserve"> </w:t>
                        </w:r>
                        <w:r>
                          <w:rPr>
                            <w:color w:val="202024"/>
                          </w:rPr>
                          <w:t>In</w:t>
                        </w:r>
                        <w:r>
                          <w:rPr>
                            <w:color w:val="202024"/>
                            <w:spacing w:val="7"/>
                          </w:rPr>
                          <w:t xml:space="preserve"> </w:t>
                        </w:r>
                        <w:r>
                          <w:rPr>
                            <w:color w:val="202024"/>
                          </w:rPr>
                          <w:t>your</w:t>
                        </w:r>
                        <w:r>
                          <w:rPr>
                            <w:color w:val="202024"/>
                            <w:spacing w:val="7"/>
                          </w:rPr>
                          <w:t xml:space="preserve"> </w:t>
                        </w:r>
                        <w:r>
                          <w:rPr>
                            <w:color w:val="202024"/>
                          </w:rPr>
                          <w:t>view,</w:t>
                        </w:r>
                        <w:r>
                          <w:rPr>
                            <w:color w:val="202024"/>
                            <w:spacing w:val="7"/>
                          </w:rPr>
                          <w:t xml:space="preserve"> </w:t>
                        </w:r>
                        <w:r>
                          <w:rPr>
                            <w:color w:val="202024"/>
                          </w:rPr>
                          <w:t>to</w:t>
                        </w:r>
                        <w:r>
                          <w:rPr>
                            <w:color w:val="202024"/>
                            <w:spacing w:val="7"/>
                          </w:rPr>
                          <w:t xml:space="preserve"> </w:t>
                        </w:r>
                        <w:r>
                          <w:rPr>
                            <w:color w:val="202024"/>
                          </w:rPr>
                          <w:t>what</w:t>
                        </w:r>
                        <w:r>
                          <w:rPr>
                            <w:color w:val="202024"/>
                            <w:spacing w:val="7"/>
                          </w:rPr>
                          <w:t xml:space="preserve"> </w:t>
                        </w:r>
                        <w:r>
                          <w:rPr>
                            <w:color w:val="202024"/>
                          </w:rPr>
                          <w:t>extent</w:t>
                        </w:r>
                        <w:r>
                          <w:rPr>
                            <w:color w:val="202024"/>
                            <w:spacing w:val="7"/>
                          </w:rPr>
                          <w:t xml:space="preserve"> </w:t>
                        </w:r>
                        <w:r>
                          <w:rPr>
                            <w:color w:val="202024"/>
                          </w:rPr>
                          <w:t>does</w:t>
                        </w:r>
                        <w:r>
                          <w:rPr>
                            <w:color w:val="202024"/>
                            <w:spacing w:val="7"/>
                          </w:rPr>
                          <w:t xml:space="preserve"> </w:t>
                        </w:r>
                        <w:r>
                          <w:rPr>
                            <w:color w:val="202024"/>
                          </w:rPr>
                          <w:t>the</w:t>
                        </w:r>
                        <w:r>
                          <w:rPr>
                            <w:color w:val="202024"/>
                            <w:spacing w:val="7"/>
                          </w:rPr>
                          <w:t xml:space="preserve"> </w:t>
                        </w:r>
                        <w:r>
                          <w:rPr>
                            <w:color w:val="202024"/>
                          </w:rPr>
                          <w:t>ownership</w:t>
                        </w:r>
                        <w:r>
                          <w:rPr>
                            <w:color w:val="202024"/>
                            <w:spacing w:val="7"/>
                          </w:rPr>
                          <w:t xml:space="preserve"> </w:t>
                        </w:r>
                        <w:r>
                          <w:rPr>
                            <w:color w:val="202024"/>
                          </w:rPr>
                          <w:t>structure</w:t>
                        </w:r>
                        <w:r>
                          <w:rPr>
                            <w:color w:val="202024"/>
                            <w:spacing w:val="7"/>
                          </w:rPr>
                          <w:t xml:space="preserve"> </w:t>
                        </w:r>
                        <w:r>
                          <w:rPr>
                            <w:color w:val="202024"/>
                          </w:rPr>
                          <w:t>of</w:t>
                        </w:r>
                        <w:r>
                          <w:rPr>
                            <w:color w:val="202024"/>
                            <w:spacing w:val="7"/>
                          </w:rPr>
                          <w:t xml:space="preserve"> </w:t>
                        </w:r>
                        <w:r>
                          <w:rPr>
                            <w:color w:val="202024"/>
                          </w:rPr>
                          <w:t>petroleum</w:t>
                        </w:r>
                        <w:r>
                          <w:rPr>
                            <w:color w:val="202024"/>
                            <w:spacing w:val="-56"/>
                          </w:rPr>
                          <w:t xml:space="preserve"> </w:t>
                        </w:r>
                        <w:r>
                          <w:rPr>
                            <w:color w:val="202024"/>
                          </w:rPr>
                          <w:t>resources</w:t>
                        </w:r>
                        <w:r>
                          <w:rPr>
                            <w:color w:val="202024"/>
                            <w:spacing w:val="9"/>
                          </w:rPr>
                          <w:t xml:space="preserve"> </w:t>
                        </w:r>
                        <w:r>
                          <w:rPr>
                            <w:color w:val="202024"/>
                          </w:rPr>
                          <w:t>and</w:t>
                        </w:r>
                        <w:r>
                          <w:rPr>
                            <w:color w:val="202024"/>
                            <w:spacing w:val="10"/>
                          </w:rPr>
                          <w:t xml:space="preserve"> </w:t>
                        </w:r>
                        <w:r>
                          <w:rPr>
                            <w:color w:val="202024"/>
                          </w:rPr>
                          <w:t>the</w:t>
                        </w:r>
                        <w:r>
                          <w:rPr>
                            <w:color w:val="202024"/>
                            <w:spacing w:val="10"/>
                          </w:rPr>
                          <w:t xml:space="preserve"> </w:t>
                        </w:r>
                        <w:r>
                          <w:rPr>
                            <w:color w:val="202024"/>
                          </w:rPr>
                          <w:t>allocation</w:t>
                        </w:r>
                        <w:r>
                          <w:rPr>
                            <w:color w:val="202024"/>
                            <w:spacing w:val="9"/>
                          </w:rPr>
                          <w:t xml:space="preserve"> </w:t>
                        </w:r>
                        <w:r>
                          <w:rPr>
                            <w:color w:val="202024"/>
                          </w:rPr>
                          <w:t>of</w:t>
                        </w:r>
                        <w:r>
                          <w:rPr>
                            <w:color w:val="202024"/>
                            <w:spacing w:val="10"/>
                          </w:rPr>
                          <w:t xml:space="preserve"> </w:t>
                        </w:r>
                        <w:r>
                          <w:rPr>
                            <w:color w:val="202024"/>
                          </w:rPr>
                          <w:t>fiscal</w:t>
                        </w:r>
                        <w:r>
                          <w:rPr>
                            <w:color w:val="202024"/>
                            <w:spacing w:val="10"/>
                          </w:rPr>
                          <w:t xml:space="preserve"> </w:t>
                        </w:r>
                        <w:r>
                          <w:rPr>
                            <w:color w:val="202024"/>
                          </w:rPr>
                          <w:t>and</w:t>
                        </w:r>
                        <w:r>
                          <w:rPr>
                            <w:color w:val="202024"/>
                            <w:spacing w:val="9"/>
                          </w:rPr>
                          <w:t xml:space="preserve"> </w:t>
                        </w:r>
                        <w:r>
                          <w:rPr>
                            <w:color w:val="202024"/>
                          </w:rPr>
                          <w:t>taxing</w:t>
                        </w:r>
                        <w:r>
                          <w:rPr>
                            <w:color w:val="202024"/>
                            <w:spacing w:val="10"/>
                          </w:rPr>
                          <w:t xml:space="preserve"> </w:t>
                        </w:r>
                        <w:r>
                          <w:rPr>
                            <w:color w:val="202024"/>
                          </w:rPr>
                          <w:t>powers</w:t>
                        </w:r>
                        <w:r>
                          <w:rPr>
                            <w:color w:val="202024"/>
                            <w:spacing w:val="10"/>
                          </w:rPr>
                          <w:t xml:space="preserve"> </w:t>
                        </w:r>
                        <w:r>
                          <w:rPr>
                            <w:color w:val="202024"/>
                          </w:rPr>
                          <w:t>under</w:t>
                        </w:r>
                        <w:r>
                          <w:rPr>
                            <w:color w:val="202024"/>
                            <w:spacing w:val="10"/>
                          </w:rPr>
                          <w:t xml:space="preserve"> </w:t>
                        </w:r>
                        <w:r>
                          <w:rPr>
                            <w:color w:val="202024"/>
                          </w:rPr>
                          <w:t>the</w:t>
                        </w:r>
                        <w:r>
                          <w:rPr>
                            <w:color w:val="202024"/>
                            <w:spacing w:val="9"/>
                          </w:rPr>
                          <w:t xml:space="preserve"> </w:t>
                        </w:r>
                        <w:r>
                          <w:rPr>
                            <w:color w:val="202024"/>
                          </w:rPr>
                          <w:t>1999</w:t>
                        </w:r>
                        <w:r>
                          <w:rPr>
                            <w:color w:val="202024"/>
                            <w:spacing w:val="1"/>
                          </w:rPr>
                          <w:t xml:space="preserve"> </w:t>
                        </w:r>
                        <w:r>
                          <w:rPr>
                            <w:color w:val="202024"/>
                          </w:rPr>
                          <w:t>Nigerian</w:t>
                        </w:r>
                        <w:r>
                          <w:rPr>
                            <w:color w:val="202024"/>
                            <w:spacing w:val="11"/>
                          </w:rPr>
                          <w:t xml:space="preserve"> </w:t>
                        </w:r>
                        <w:r>
                          <w:rPr>
                            <w:color w:val="202024"/>
                          </w:rPr>
                          <w:t>Constitution</w:t>
                        </w:r>
                        <w:r>
                          <w:rPr>
                            <w:color w:val="202024"/>
                            <w:spacing w:val="11"/>
                          </w:rPr>
                          <w:t xml:space="preserve"> </w:t>
                        </w:r>
                        <w:r>
                          <w:rPr>
                            <w:color w:val="202024"/>
                          </w:rPr>
                          <w:t>affect</w:t>
                        </w:r>
                        <w:r>
                          <w:rPr>
                            <w:color w:val="202024"/>
                            <w:spacing w:val="11"/>
                          </w:rPr>
                          <w:t xml:space="preserve"> </w:t>
                        </w:r>
                        <w:r>
                          <w:rPr>
                            <w:color w:val="202024"/>
                          </w:rPr>
                          <w:t>clarity,</w:t>
                        </w:r>
                        <w:r>
                          <w:rPr>
                            <w:color w:val="202024"/>
                            <w:spacing w:val="11"/>
                          </w:rPr>
                          <w:t xml:space="preserve"> </w:t>
                        </w:r>
                        <w:r>
                          <w:rPr>
                            <w:color w:val="202024"/>
                          </w:rPr>
                          <w:t>certainty</w:t>
                        </w:r>
                        <w:r>
                          <w:rPr>
                            <w:color w:val="202024"/>
                            <w:spacing w:val="11"/>
                          </w:rPr>
                          <w:t xml:space="preserve"> </w:t>
                        </w:r>
                        <w:r>
                          <w:rPr>
                            <w:color w:val="202024"/>
                          </w:rPr>
                          <w:t>and</w:t>
                        </w:r>
                        <w:r>
                          <w:rPr>
                            <w:color w:val="202024"/>
                            <w:spacing w:val="11"/>
                          </w:rPr>
                          <w:t xml:space="preserve"> </w:t>
                        </w:r>
                        <w:r>
                          <w:rPr>
                            <w:color w:val="202024"/>
                          </w:rPr>
                          <w:t>consistent</w:t>
                        </w:r>
                        <w:r>
                          <w:rPr>
                            <w:color w:val="202024"/>
                            <w:spacing w:val="1"/>
                          </w:rPr>
                          <w:t xml:space="preserve"> </w:t>
                        </w:r>
                        <w:r>
                          <w:rPr>
                            <w:color w:val="202024"/>
                          </w:rPr>
                          <w:t>interpretation</w:t>
                        </w:r>
                        <w:r>
                          <w:rPr>
                            <w:color w:val="202024"/>
                            <w:spacing w:val="7"/>
                          </w:rPr>
                          <w:t xml:space="preserve"> </w:t>
                        </w:r>
                        <w:r>
                          <w:rPr>
                            <w:color w:val="202024"/>
                          </w:rPr>
                          <w:t>and</w:t>
                        </w:r>
                        <w:r>
                          <w:rPr>
                            <w:color w:val="202024"/>
                            <w:spacing w:val="7"/>
                          </w:rPr>
                          <w:t xml:space="preserve"> </w:t>
                        </w:r>
                        <w:r>
                          <w:rPr>
                            <w:color w:val="202024"/>
                          </w:rPr>
                          <w:t>administration</w:t>
                        </w:r>
                        <w:r>
                          <w:rPr>
                            <w:color w:val="202024"/>
                            <w:spacing w:val="7"/>
                          </w:rPr>
                          <w:t xml:space="preserve"> </w:t>
                        </w:r>
                        <w:r>
                          <w:rPr>
                            <w:color w:val="202024"/>
                          </w:rPr>
                          <w:t>of</w:t>
                        </w:r>
                        <w:r>
                          <w:rPr>
                            <w:color w:val="202024"/>
                            <w:spacing w:val="7"/>
                          </w:rPr>
                          <w:t xml:space="preserve"> </w:t>
                        </w:r>
                        <w:r>
                          <w:rPr>
                            <w:color w:val="202024"/>
                          </w:rPr>
                          <w:t>upstream</w:t>
                        </w:r>
                        <w:r>
                          <w:rPr>
                            <w:color w:val="202024"/>
                            <w:spacing w:val="8"/>
                          </w:rPr>
                          <w:t xml:space="preserve"> </w:t>
                        </w:r>
                        <w:r>
                          <w:rPr>
                            <w:color w:val="202024"/>
                          </w:rPr>
                          <w:t>oil</w:t>
                        </w:r>
                        <w:r>
                          <w:rPr>
                            <w:color w:val="202024"/>
                            <w:spacing w:val="7"/>
                          </w:rPr>
                          <w:t xml:space="preserve"> </w:t>
                        </w:r>
                        <w:r>
                          <w:rPr>
                            <w:color w:val="202024"/>
                          </w:rPr>
                          <w:t>and</w:t>
                        </w:r>
                        <w:r>
                          <w:rPr>
                            <w:color w:val="202024"/>
                            <w:spacing w:val="7"/>
                          </w:rPr>
                          <w:t xml:space="preserve"> </w:t>
                        </w:r>
                        <w:r>
                          <w:rPr>
                            <w:color w:val="202024"/>
                          </w:rPr>
                          <w:t>gas</w:t>
                        </w:r>
                        <w:r>
                          <w:rPr>
                            <w:color w:val="202024"/>
                            <w:spacing w:val="7"/>
                          </w:rPr>
                          <w:t xml:space="preserve"> </w:t>
                        </w:r>
                        <w:r>
                          <w:rPr>
                            <w:color w:val="202024"/>
                          </w:rPr>
                          <w:t>taxation.</w:t>
                        </w:r>
                      </w:p>
                      <w:p w14:paraId="1FF737A1">
                        <w:pPr>
                          <w:spacing w:before="96" w:line="215" w:lineRule="exact"/>
                          <w:rPr>
                            <w:sz w:val="18"/>
                          </w:rPr>
                        </w:pPr>
                        <w:r>
                          <w:rPr>
                            <w:color w:val="202024"/>
                            <w:sz w:val="18"/>
                          </w:rPr>
                          <w:t>76</w:t>
                        </w:r>
                        <w:r>
                          <w:rPr>
                            <w:color w:val="202024"/>
                            <w:spacing w:val="20"/>
                            <w:sz w:val="18"/>
                          </w:rPr>
                          <w:t xml:space="preserve"> </w:t>
                        </w:r>
                        <w:r>
                          <w:rPr>
                            <w:color w:val="202024"/>
                            <w:sz w:val="18"/>
                          </w:rPr>
                          <w:t>responses</w:t>
                        </w:r>
                      </w:p>
                    </w:txbxContent>
                  </v:textbox>
                </v:shape>
                <v:shape id="Text Box 307" o:spid="_x0000_s1026" o:spt="202" type="#_x0000_t202" style="position:absolute;left:9958;top:704;height:200;width:550;" filled="f" stroked="f" coordsize="21600,21600" o:gfxdata="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NkDW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7120EF4">
                        <w:pPr>
                          <w:spacing w:line="199" w:lineRule="exact"/>
                          <w:rPr>
                            <w:rFonts w:ascii="Lucida Sans Unicode"/>
                            <w:sz w:val="20"/>
                          </w:rPr>
                        </w:pPr>
                        <w:r>
                          <w:rPr>
                            <w:rFonts w:ascii="Lucida Sans Unicode"/>
                            <w:color w:val="1A73E7"/>
                            <w:w w:val="105"/>
                            <w:sz w:val="20"/>
                          </w:rPr>
                          <w:t>Copy</w:t>
                        </w:r>
                      </w:p>
                    </w:txbxContent>
                  </v:textbox>
                </v:shape>
                <v:shape id="Text Box 306" o:spid="_x0000_s1026" o:spt="202" type="#_x0000_t202" style="position:absolute;left:1689;top:2850;height:202;width:221;" filled="f" stroked="f" coordsize="21600,21600" o:gfxdata="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ai&#10;WM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19D2B09">
                        <w:pPr>
                          <w:spacing w:line="201" w:lineRule="exact"/>
                          <w:rPr>
                            <w:rFonts w:ascii="Arial MT"/>
                            <w:sz w:val="18"/>
                          </w:rPr>
                        </w:pPr>
                        <w:r>
                          <w:rPr>
                            <w:rFonts w:ascii="Arial MT"/>
                            <w:color w:val="444444"/>
                            <w:sz w:val="18"/>
                          </w:rPr>
                          <w:t>30</w:t>
                        </w:r>
                      </w:p>
                    </w:txbxContent>
                  </v:textbox>
                </v:shape>
                <v:shape id="Text Box 305" o:spid="_x0000_s1026" o:spt="202" type="#_x0000_t202" style="position:absolute;left:1689;top:3745;height:202;width:221;" filled="f" stroked="f" coordsize="21600,21600" o:gfxdata="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FX3t/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19B57318">
                        <w:pPr>
                          <w:spacing w:line="201" w:lineRule="exact"/>
                          <w:rPr>
                            <w:rFonts w:ascii="Arial MT"/>
                            <w:sz w:val="18"/>
                          </w:rPr>
                        </w:pPr>
                        <w:r>
                          <w:rPr>
                            <w:rFonts w:ascii="Arial MT"/>
                            <w:color w:val="444444"/>
                            <w:sz w:val="18"/>
                          </w:rPr>
                          <w:t>20</w:t>
                        </w:r>
                      </w:p>
                    </w:txbxContent>
                  </v:textbox>
                </v:shape>
                <v:shape id="Text Box 304" o:spid="_x0000_s1026" o:spt="202" type="#_x0000_t202" style="position:absolute;left:1689;top:4640;height:202;width:221;" filled="f" stroked="f" coordsize="21600,21600" o:gfxdata="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v&#10;LC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D3EBB7E">
                        <w:pPr>
                          <w:spacing w:line="201" w:lineRule="exact"/>
                          <w:rPr>
                            <w:rFonts w:ascii="Arial MT"/>
                            <w:sz w:val="18"/>
                          </w:rPr>
                        </w:pPr>
                        <w:r>
                          <w:rPr>
                            <w:rFonts w:ascii="Arial MT"/>
                            <w:color w:val="444444"/>
                            <w:sz w:val="18"/>
                          </w:rPr>
                          <w:t>10</w:t>
                        </w:r>
                      </w:p>
                    </w:txbxContent>
                  </v:textbox>
                </v:shape>
                <v:shape id="Text Box 303" o:spid="_x0000_s1026" o:spt="202" type="#_x0000_t202" style="position:absolute;left:1789;top:5535;height:202;width:121;" filled="f" stroked="f" coordsize="21600,21600" o:gfxdata="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bre&#10;/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5E86447">
                        <w:pPr>
                          <w:spacing w:line="201" w:lineRule="exact"/>
                          <w:rPr>
                            <w:rFonts w:ascii="Arial MT"/>
                            <w:sz w:val="18"/>
                          </w:rPr>
                        </w:pPr>
                        <w:r>
                          <w:rPr>
                            <w:rFonts w:ascii="Arial MT"/>
                            <w:color w:val="444444"/>
                            <w:sz w:val="18"/>
                          </w:rPr>
                          <w:t>0</w:t>
                        </w:r>
                      </w:p>
                    </w:txbxContent>
                  </v:textbox>
                </v:shape>
                <v:shape id="Text Box 302" o:spid="_x0000_s1026" o:spt="202" type="#_x0000_t202" style="position:absolute;left:2838;top:5737;height:202;width:121;" filled="f" stroked="f" coordsize="21600,21600" o:gfxdata="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VU&#10;ALT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02A09A9">
                        <w:pPr>
                          <w:spacing w:line="201" w:lineRule="exact"/>
                          <w:rPr>
                            <w:rFonts w:ascii="Arial MT"/>
                            <w:sz w:val="18"/>
                          </w:rPr>
                        </w:pPr>
                        <w:r>
                          <w:rPr>
                            <w:rFonts w:ascii="Arial MT"/>
                            <w:color w:val="212121"/>
                            <w:sz w:val="18"/>
                          </w:rPr>
                          <w:t>1</w:t>
                        </w:r>
                      </w:p>
                    </w:txbxContent>
                  </v:textbox>
                </v:shape>
                <v:shape id="Text Box 301" o:spid="_x0000_s1026" o:spt="202" type="#_x0000_t202" style="position:absolute;left:4461;top:5737;height:202;width:121;" filled="f" stroked="f" coordsize="21600,21600" o:gfxdata="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Ek&#10;PFn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5BADD46">
                        <w:pPr>
                          <w:spacing w:line="201" w:lineRule="exact"/>
                          <w:rPr>
                            <w:rFonts w:ascii="Arial MT"/>
                            <w:sz w:val="18"/>
                          </w:rPr>
                        </w:pPr>
                        <w:r>
                          <w:rPr>
                            <w:rFonts w:ascii="Arial MT"/>
                            <w:color w:val="212121"/>
                            <w:sz w:val="18"/>
                          </w:rPr>
                          <w:t>2</w:t>
                        </w:r>
                      </w:p>
                    </w:txbxContent>
                  </v:textbox>
                </v:shape>
                <v:shape id="Text Box 300" o:spid="_x0000_s1026" o:spt="202" type="#_x0000_t202" style="position:absolute;left:6084;top:5737;height:202;width:121;" filled="f" stroked="f" coordsize="21600,21600" o:gfxdata="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Wg&#10;gG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4A3A2FA">
                        <w:pPr>
                          <w:spacing w:line="201" w:lineRule="exact"/>
                          <w:rPr>
                            <w:rFonts w:ascii="Arial MT"/>
                            <w:sz w:val="18"/>
                          </w:rPr>
                        </w:pPr>
                        <w:r>
                          <w:rPr>
                            <w:rFonts w:ascii="Arial MT"/>
                            <w:color w:val="212121"/>
                            <w:sz w:val="18"/>
                          </w:rPr>
                          <w:t>3</w:t>
                        </w:r>
                      </w:p>
                    </w:txbxContent>
                  </v:textbox>
                </v:shape>
                <v:shape id="Text Box 299" o:spid="_x0000_s1026" o:spt="202" type="#_x0000_t202" style="position:absolute;left:7707;top:5737;height:202;width:121;" filled="f" stroked="f" coordsize="21600,21600" o:gfxdata="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00o&#10;Ac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333C027">
                        <w:pPr>
                          <w:spacing w:line="201" w:lineRule="exact"/>
                          <w:rPr>
                            <w:rFonts w:ascii="Arial MT"/>
                            <w:sz w:val="18"/>
                          </w:rPr>
                        </w:pPr>
                        <w:r>
                          <w:rPr>
                            <w:rFonts w:ascii="Arial MT"/>
                            <w:color w:val="212121"/>
                            <w:sz w:val="18"/>
                          </w:rPr>
                          <w:t>4</w:t>
                        </w:r>
                      </w:p>
                    </w:txbxContent>
                  </v:textbox>
                </v:shape>
                <v:shape id="Text Box 298" o:spid="_x0000_s1026" o:spt="202" type="#_x0000_t202" style="position:absolute;left:9330;top:5737;height:202;width:121;" filled="f" stroked="f" coordsize="21600,21600" o:gfxdata="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JRCm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4685191">
                        <w:pPr>
                          <w:spacing w:line="201" w:lineRule="exact"/>
                          <w:rPr>
                            <w:rFonts w:ascii="Arial MT"/>
                            <w:sz w:val="18"/>
                          </w:rPr>
                        </w:pPr>
                        <w:r>
                          <w:rPr>
                            <w:rFonts w:ascii="Arial MT"/>
                            <w:color w:val="212121"/>
                            <w:sz w:val="18"/>
                          </w:rPr>
                          <w:t>5</w:t>
                        </w:r>
                      </w:p>
                    </w:txbxContent>
                  </v:textbox>
                </v:shape>
              </v:group>
            </w:pict>
          </mc:Fallback>
        </mc:AlternateContent>
      </w:r>
    </w:p>
    <w:p w14:paraId="3CFFAE43">
      <w:pPr>
        <w:widowControl w:val="0"/>
        <w:autoSpaceDE w:val="0"/>
        <w:autoSpaceDN w:val="0"/>
        <w:rPr>
          <w:rFonts w:ascii="Roboto" w:hAnsi="Roboto" w:eastAsia="Roboto" w:cs="Roboto"/>
          <w:sz w:val="20"/>
          <w:szCs w:val="21"/>
        </w:rPr>
      </w:pPr>
    </w:p>
    <w:p w14:paraId="37CD2711">
      <w:pPr>
        <w:widowControl w:val="0"/>
        <w:autoSpaceDE w:val="0"/>
        <w:autoSpaceDN w:val="0"/>
        <w:rPr>
          <w:rFonts w:ascii="Roboto" w:hAnsi="Roboto" w:eastAsia="Roboto" w:cs="Roboto"/>
          <w:sz w:val="20"/>
          <w:szCs w:val="21"/>
        </w:rPr>
      </w:pPr>
    </w:p>
    <w:p w14:paraId="54609223">
      <w:pPr>
        <w:widowControl w:val="0"/>
        <w:autoSpaceDE w:val="0"/>
        <w:autoSpaceDN w:val="0"/>
        <w:rPr>
          <w:rFonts w:ascii="Roboto" w:hAnsi="Roboto" w:eastAsia="Roboto" w:cs="Roboto"/>
          <w:sz w:val="20"/>
          <w:szCs w:val="21"/>
        </w:rPr>
      </w:pPr>
    </w:p>
    <w:p w14:paraId="17D33630">
      <w:pPr>
        <w:widowControl w:val="0"/>
        <w:autoSpaceDE w:val="0"/>
        <w:autoSpaceDN w:val="0"/>
        <w:rPr>
          <w:rFonts w:ascii="Roboto" w:hAnsi="Roboto" w:eastAsia="Roboto" w:cs="Roboto"/>
          <w:sz w:val="20"/>
          <w:szCs w:val="21"/>
        </w:rPr>
      </w:pPr>
    </w:p>
    <w:p w14:paraId="1CD29160">
      <w:pPr>
        <w:widowControl w:val="0"/>
        <w:autoSpaceDE w:val="0"/>
        <w:autoSpaceDN w:val="0"/>
        <w:rPr>
          <w:rFonts w:ascii="Roboto" w:hAnsi="Roboto" w:eastAsia="Roboto" w:cs="Roboto"/>
          <w:sz w:val="20"/>
          <w:szCs w:val="21"/>
        </w:rPr>
      </w:pPr>
    </w:p>
    <w:p w14:paraId="551FE3B8">
      <w:pPr>
        <w:widowControl w:val="0"/>
        <w:autoSpaceDE w:val="0"/>
        <w:autoSpaceDN w:val="0"/>
        <w:rPr>
          <w:rFonts w:ascii="Roboto" w:hAnsi="Roboto" w:eastAsia="Roboto" w:cs="Roboto"/>
          <w:sz w:val="20"/>
          <w:szCs w:val="21"/>
        </w:rPr>
      </w:pPr>
    </w:p>
    <w:p w14:paraId="436FED80">
      <w:pPr>
        <w:widowControl w:val="0"/>
        <w:autoSpaceDE w:val="0"/>
        <w:autoSpaceDN w:val="0"/>
        <w:rPr>
          <w:rFonts w:ascii="Roboto" w:hAnsi="Roboto" w:eastAsia="Roboto" w:cs="Roboto"/>
          <w:sz w:val="20"/>
          <w:szCs w:val="21"/>
        </w:rPr>
      </w:pPr>
    </w:p>
    <w:p w14:paraId="37F7114E">
      <w:pPr>
        <w:widowControl w:val="0"/>
        <w:autoSpaceDE w:val="0"/>
        <w:autoSpaceDN w:val="0"/>
        <w:rPr>
          <w:rFonts w:ascii="Roboto" w:hAnsi="Roboto" w:eastAsia="Roboto" w:cs="Roboto"/>
          <w:sz w:val="20"/>
          <w:szCs w:val="21"/>
        </w:rPr>
      </w:pPr>
    </w:p>
    <w:p w14:paraId="1C5FB3F5">
      <w:pPr>
        <w:widowControl w:val="0"/>
        <w:autoSpaceDE w:val="0"/>
        <w:autoSpaceDN w:val="0"/>
        <w:spacing w:before="7"/>
        <w:rPr>
          <w:rFonts w:ascii="Roboto" w:hAnsi="Roboto" w:eastAsia="Roboto" w:cs="Roboto"/>
          <w:sz w:val="20"/>
          <w:szCs w:val="21"/>
        </w:rPr>
      </w:pPr>
    </w:p>
    <w:tbl>
      <w:tblPr>
        <w:tblStyle w:val="13"/>
        <w:tblW w:w="0" w:type="auto"/>
        <w:tblInd w:w="1037" w:type="dxa"/>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Layout w:type="fixed"/>
        <w:tblCellMar>
          <w:top w:w="0" w:type="dxa"/>
          <w:left w:w="0" w:type="dxa"/>
          <w:bottom w:w="0" w:type="dxa"/>
          <w:right w:w="0" w:type="dxa"/>
        </w:tblCellMar>
      </w:tblPr>
      <w:tblGrid>
        <w:gridCol w:w="1935"/>
        <w:gridCol w:w="1005"/>
        <w:gridCol w:w="630"/>
        <w:gridCol w:w="990"/>
        <w:gridCol w:w="630"/>
        <w:gridCol w:w="1005"/>
        <w:gridCol w:w="615"/>
        <w:gridCol w:w="1005"/>
        <w:gridCol w:w="315"/>
      </w:tblGrid>
      <w:tr w14:paraId="6447C891">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23" w:hRule="atLeast"/>
        </w:trPr>
        <w:tc>
          <w:tcPr>
            <w:tcW w:w="5190" w:type="dxa"/>
            <w:gridSpan w:val="5"/>
            <w:tcBorders>
              <w:left w:val="single" w:color="EDEDED" w:sz="6" w:space="0"/>
              <w:bottom w:val="single" w:color="F7F7F7" w:sz="6" w:space="0"/>
              <w:right w:val="nil"/>
            </w:tcBorders>
          </w:tcPr>
          <w:p w14:paraId="1E877095">
            <w:pPr>
              <w:widowControl w:val="0"/>
              <w:autoSpaceDE w:val="0"/>
              <w:autoSpaceDN w:val="0"/>
              <w:rPr>
                <w:rFonts w:eastAsia="Times New Roman"/>
                <w:sz w:val="20"/>
                <w:u w:color="000000"/>
              </w:rPr>
            </w:pPr>
          </w:p>
        </w:tc>
        <w:tc>
          <w:tcPr>
            <w:tcW w:w="1005" w:type="dxa"/>
            <w:vMerge w:val="restart"/>
            <w:tcBorders>
              <w:left w:val="nil"/>
              <w:bottom w:val="single" w:color="333333" w:sz="12" w:space="0"/>
              <w:right w:val="nil"/>
            </w:tcBorders>
            <w:shd w:val="clear" w:color="auto" w:fill="663AB6"/>
          </w:tcPr>
          <w:p w14:paraId="4CF6CEE8">
            <w:pPr>
              <w:widowControl w:val="0"/>
              <w:autoSpaceDE w:val="0"/>
              <w:autoSpaceDN w:val="0"/>
              <w:spacing w:before="10"/>
              <w:rPr>
                <w:rFonts w:ascii="Arial MT" w:eastAsia="Times New Roman"/>
                <w:sz w:val="18"/>
                <w:u w:color="000000"/>
              </w:rPr>
            </w:pPr>
            <w:r>
              <w:rPr>
                <w:rFonts w:ascii="Arial MT" w:eastAsia="Times New Roman"/>
                <w:color w:val="FFFFFF"/>
                <w:sz w:val="18"/>
                <w:szCs w:val="22"/>
                <w:u w:color="000000"/>
              </w:rPr>
              <w:t>30 (39.5%)</w:t>
            </w:r>
          </w:p>
        </w:tc>
        <w:tc>
          <w:tcPr>
            <w:tcW w:w="1935" w:type="dxa"/>
            <w:gridSpan w:val="3"/>
            <w:tcBorders>
              <w:left w:val="nil"/>
              <w:bottom w:val="single" w:color="F7F7F7" w:sz="6" w:space="0"/>
              <w:right w:val="single" w:color="EDEDED" w:sz="6" w:space="0"/>
            </w:tcBorders>
          </w:tcPr>
          <w:p w14:paraId="336C7EC3">
            <w:pPr>
              <w:widowControl w:val="0"/>
              <w:autoSpaceDE w:val="0"/>
              <w:autoSpaceDN w:val="0"/>
              <w:rPr>
                <w:rFonts w:eastAsia="Times New Roman"/>
                <w:sz w:val="20"/>
                <w:u w:color="000000"/>
              </w:rPr>
            </w:pPr>
          </w:p>
        </w:tc>
      </w:tr>
      <w:tr w14:paraId="12D5566C">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5190" w:type="dxa"/>
            <w:gridSpan w:val="5"/>
            <w:tcBorders>
              <w:top w:val="single" w:color="F7F7F7" w:sz="6" w:space="0"/>
              <w:left w:val="single" w:color="EDEDED" w:sz="6" w:space="0"/>
              <w:bottom w:val="single" w:color="EDEDED" w:sz="6" w:space="0"/>
              <w:right w:val="nil"/>
            </w:tcBorders>
          </w:tcPr>
          <w:p w14:paraId="30E658B0">
            <w:pPr>
              <w:widowControl w:val="0"/>
              <w:autoSpaceDE w:val="0"/>
              <w:autoSpaceDN w:val="0"/>
              <w:rPr>
                <w:rFonts w:eastAsia="Times New Roman"/>
                <w:sz w:val="20"/>
                <w:u w:color="000000"/>
              </w:rPr>
            </w:pPr>
          </w:p>
        </w:tc>
        <w:tc>
          <w:tcPr>
            <w:tcW w:w="1005" w:type="dxa"/>
            <w:vMerge w:val="continue"/>
            <w:tcBorders>
              <w:top w:val="nil"/>
              <w:left w:val="nil"/>
              <w:bottom w:val="single" w:color="333333" w:sz="12" w:space="0"/>
              <w:right w:val="nil"/>
            </w:tcBorders>
            <w:shd w:val="clear" w:color="auto" w:fill="663AB6"/>
          </w:tcPr>
          <w:p w14:paraId="0FE53500">
            <w:pPr>
              <w:widowControl w:val="0"/>
              <w:autoSpaceDE w:val="0"/>
              <w:autoSpaceDN w:val="0"/>
              <w:rPr>
                <w:rFonts w:ascii="Roboto" w:hAnsi="Roboto" w:eastAsia="Roboto" w:cs="Roboto"/>
                <w:sz w:val="2"/>
                <w:szCs w:val="2"/>
              </w:rPr>
            </w:pPr>
          </w:p>
        </w:tc>
        <w:tc>
          <w:tcPr>
            <w:tcW w:w="1935" w:type="dxa"/>
            <w:gridSpan w:val="3"/>
            <w:tcBorders>
              <w:top w:val="single" w:color="F7F7F7" w:sz="6" w:space="0"/>
              <w:left w:val="nil"/>
              <w:bottom w:val="single" w:color="EDEDED" w:sz="6" w:space="0"/>
              <w:right w:val="single" w:color="EDEDED" w:sz="6" w:space="0"/>
            </w:tcBorders>
          </w:tcPr>
          <w:p w14:paraId="672F0B67">
            <w:pPr>
              <w:widowControl w:val="0"/>
              <w:autoSpaceDE w:val="0"/>
              <w:autoSpaceDN w:val="0"/>
              <w:rPr>
                <w:rFonts w:eastAsia="Times New Roman"/>
                <w:sz w:val="20"/>
                <w:u w:color="000000"/>
              </w:rPr>
            </w:pPr>
          </w:p>
        </w:tc>
      </w:tr>
      <w:tr w14:paraId="4DF893E2">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157" w:hRule="atLeast"/>
        </w:trPr>
        <w:tc>
          <w:tcPr>
            <w:tcW w:w="5190" w:type="dxa"/>
            <w:gridSpan w:val="5"/>
            <w:tcBorders>
              <w:top w:val="single" w:color="EDEDED" w:sz="6" w:space="0"/>
              <w:left w:val="single" w:color="EDEDED" w:sz="6" w:space="0"/>
              <w:bottom w:val="nil"/>
              <w:right w:val="nil"/>
            </w:tcBorders>
          </w:tcPr>
          <w:p w14:paraId="1D612535">
            <w:pPr>
              <w:widowControl w:val="0"/>
              <w:autoSpaceDE w:val="0"/>
              <w:autoSpaceDN w:val="0"/>
              <w:rPr>
                <w:rFonts w:eastAsia="Times New Roman"/>
                <w:sz w:val="10"/>
                <w:u w:color="000000"/>
              </w:rPr>
            </w:pPr>
          </w:p>
        </w:tc>
        <w:tc>
          <w:tcPr>
            <w:tcW w:w="1005" w:type="dxa"/>
            <w:vMerge w:val="continue"/>
            <w:tcBorders>
              <w:top w:val="nil"/>
              <w:left w:val="nil"/>
              <w:bottom w:val="single" w:color="333333" w:sz="12" w:space="0"/>
              <w:right w:val="nil"/>
            </w:tcBorders>
            <w:shd w:val="clear" w:color="auto" w:fill="663AB6"/>
          </w:tcPr>
          <w:p w14:paraId="32DD3008">
            <w:pPr>
              <w:widowControl w:val="0"/>
              <w:autoSpaceDE w:val="0"/>
              <w:autoSpaceDN w:val="0"/>
              <w:rPr>
                <w:rFonts w:ascii="Roboto" w:hAnsi="Roboto" w:eastAsia="Roboto" w:cs="Roboto"/>
                <w:sz w:val="2"/>
                <w:szCs w:val="2"/>
              </w:rPr>
            </w:pPr>
          </w:p>
        </w:tc>
        <w:tc>
          <w:tcPr>
            <w:tcW w:w="615" w:type="dxa"/>
            <w:vMerge w:val="restart"/>
            <w:tcBorders>
              <w:top w:val="single" w:color="EDEDED" w:sz="6" w:space="0"/>
              <w:left w:val="nil"/>
              <w:bottom w:val="single" w:color="F7F7F7" w:sz="6" w:space="0"/>
              <w:right w:val="nil"/>
            </w:tcBorders>
          </w:tcPr>
          <w:p w14:paraId="6A886B36">
            <w:pPr>
              <w:widowControl w:val="0"/>
              <w:autoSpaceDE w:val="0"/>
              <w:autoSpaceDN w:val="0"/>
              <w:rPr>
                <w:rFonts w:eastAsia="Times New Roman"/>
                <w:sz w:val="20"/>
                <w:u w:color="000000"/>
              </w:rPr>
            </w:pPr>
          </w:p>
        </w:tc>
        <w:tc>
          <w:tcPr>
            <w:tcW w:w="1005" w:type="dxa"/>
            <w:vMerge w:val="restart"/>
            <w:tcBorders>
              <w:top w:val="single" w:color="EDEDED" w:sz="6" w:space="0"/>
              <w:left w:val="nil"/>
              <w:bottom w:val="single" w:color="333333" w:sz="12" w:space="0"/>
              <w:right w:val="nil"/>
            </w:tcBorders>
            <w:shd w:val="clear" w:color="auto" w:fill="663AB6"/>
          </w:tcPr>
          <w:p w14:paraId="0E85DB53">
            <w:pPr>
              <w:widowControl w:val="0"/>
              <w:autoSpaceDE w:val="0"/>
              <w:autoSpaceDN w:val="0"/>
              <w:spacing w:before="6"/>
              <w:rPr>
                <w:rFonts w:ascii="Arial MT" w:eastAsia="Times New Roman"/>
                <w:sz w:val="18"/>
                <w:u w:color="000000"/>
              </w:rPr>
            </w:pPr>
            <w:r>
              <w:rPr>
                <w:rFonts w:ascii="Arial MT" w:eastAsia="Times New Roman"/>
                <w:color w:val="FFFFFF"/>
                <w:sz w:val="18"/>
                <w:szCs w:val="22"/>
                <w:u w:color="000000"/>
              </w:rPr>
              <w:t>20 (26.3%)</w:t>
            </w:r>
          </w:p>
        </w:tc>
        <w:tc>
          <w:tcPr>
            <w:tcW w:w="315" w:type="dxa"/>
            <w:vMerge w:val="restart"/>
            <w:tcBorders>
              <w:top w:val="single" w:color="EDEDED" w:sz="6" w:space="0"/>
              <w:left w:val="nil"/>
              <w:bottom w:val="single" w:color="F7F7F7" w:sz="6" w:space="0"/>
              <w:right w:val="single" w:color="EDEDED" w:sz="6" w:space="0"/>
            </w:tcBorders>
          </w:tcPr>
          <w:p w14:paraId="403BB76C">
            <w:pPr>
              <w:widowControl w:val="0"/>
              <w:autoSpaceDE w:val="0"/>
              <w:autoSpaceDN w:val="0"/>
              <w:rPr>
                <w:rFonts w:eastAsia="Times New Roman"/>
                <w:sz w:val="20"/>
                <w:u w:color="000000"/>
              </w:rPr>
            </w:pPr>
          </w:p>
        </w:tc>
      </w:tr>
      <w:tr w14:paraId="798AE41E">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232" w:hRule="atLeast"/>
        </w:trPr>
        <w:tc>
          <w:tcPr>
            <w:tcW w:w="3570" w:type="dxa"/>
            <w:gridSpan w:val="3"/>
            <w:tcBorders>
              <w:top w:val="nil"/>
              <w:left w:val="single" w:color="EDEDED" w:sz="6" w:space="0"/>
              <w:bottom w:val="single" w:color="F7F7F7" w:sz="6" w:space="0"/>
              <w:right w:val="nil"/>
            </w:tcBorders>
          </w:tcPr>
          <w:p w14:paraId="544E2349">
            <w:pPr>
              <w:widowControl w:val="0"/>
              <w:autoSpaceDE w:val="0"/>
              <w:autoSpaceDN w:val="0"/>
              <w:rPr>
                <w:rFonts w:eastAsia="Times New Roman"/>
                <w:sz w:val="16"/>
                <w:u w:color="000000"/>
              </w:rPr>
            </w:pPr>
          </w:p>
        </w:tc>
        <w:tc>
          <w:tcPr>
            <w:tcW w:w="990" w:type="dxa"/>
            <w:vMerge w:val="restart"/>
            <w:tcBorders>
              <w:top w:val="nil"/>
              <w:left w:val="nil"/>
              <w:bottom w:val="single" w:color="333333" w:sz="12" w:space="0"/>
              <w:right w:val="nil"/>
            </w:tcBorders>
            <w:shd w:val="clear" w:color="auto" w:fill="663AB6"/>
          </w:tcPr>
          <w:p w14:paraId="54AC8DB9">
            <w:pPr>
              <w:widowControl w:val="0"/>
              <w:autoSpaceDE w:val="0"/>
              <w:autoSpaceDN w:val="0"/>
              <w:spacing w:line="206" w:lineRule="exact"/>
              <w:rPr>
                <w:rFonts w:ascii="Arial MT" w:eastAsia="Times New Roman"/>
                <w:sz w:val="18"/>
                <w:u w:color="000000"/>
              </w:rPr>
            </w:pPr>
            <w:r>
              <w:rPr>
                <w:rFonts w:ascii="Arial MT" w:eastAsia="Times New Roman"/>
                <w:color w:val="FFFFFF"/>
                <w:sz w:val="18"/>
                <w:szCs w:val="22"/>
                <w:u w:color="000000"/>
              </w:rPr>
              <w:t>18 (23.7%)</w:t>
            </w:r>
          </w:p>
        </w:tc>
        <w:tc>
          <w:tcPr>
            <w:tcW w:w="630" w:type="dxa"/>
            <w:tcBorders>
              <w:top w:val="nil"/>
              <w:left w:val="nil"/>
              <w:bottom w:val="single" w:color="F7F7F7" w:sz="6" w:space="0"/>
              <w:right w:val="nil"/>
            </w:tcBorders>
          </w:tcPr>
          <w:p w14:paraId="7AC5C2C0">
            <w:pPr>
              <w:widowControl w:val="0"/>
              <w:autoSpaceDE w:val="0"/>
              <w:autoSpaceDN w:val="0"/>
              <w:rPr>
                <w:rFonts w:eastAsia="Times New Roman"/>
                <w:sz w:val="16"/>
                <w:u w:color="000000"/>
              </w:rPr>
            </w:pPr>
          </w:p>
        </w:tc>
        <w:tc>
          <w:tcPr>
            <w:tcW w:w="1005" w:type="dxa"/>
            <w:vMerge w:val="continue"/>
            <w:tcBorders>
              <w:top w:val="nil"/>
              <w:left w:val="nil"/>
              <w:bottom w:val="single" w:color="333333" w:sz="12" w:space="0"/>
              <w:right w:val="nil"/>
            </w:tcBorders>
            <w:shd w:val="clear" w:color="auto" w:fill="663AB6"/>
          </w:tcPr>
          <w:p w14:paraId="0FCD4A12">
            <w:pPr>
              <w:widowControl w:val="0"/>
              <w:autoSpaceDE w:val="0"/>
              <w:autoSpaceDN w:val="0"/>
              <w:rPr>
                <w:rFonts w:ascii="Roboto" w:hAnsi="Roboto" w:eastAsia="Roboto" w:cs="Roboto"/>
                <w:sz w:val="2"/>
                <w:szCs w:val="2"/>
              </w:rPr>
            </w:pPr>
          </w:p>
        </w:tc>
        <w:tc>
          <w:tcPr>
            <w:tcW w:w="615" w:type="dxa"/>
            <w:vMerge w:val="continue"/>
            <w:tcBorders>
              <w:top w:val="nil"/>
              <w:left w:val="nil"/>
              <w:bottom w:val="single" w:color="F7F7F7" w:sz="6" w:space="0"/>
              <w:right w:val="nil"/>
            </w:tcBorders>
          </w:tcPr>
          <w:p w14:paraId="519F5401">
            <w:pPr>
              <w:widowControl w:val="0"/>
              <w:autoSpaceDE w:val="0"/>
              <w:autoSpaceDN w:val="0"/>
              <w:rPr>
                <w:rFonts w:ascii="Roboto" w:hAnsi="Roboto" w:eastAsia="Roboto" w:cs="Roboto"/>
                <w:sz w:val="2"/>
                <w:szCs w:val="2"/>
              </w:rPr>
            </w:pPr>
          </w:p>
        </w:tc>
        <w:tc>
          <w:tcPr>
            <w:tcW w:w="1005" w:type="dxa"/>
            <w:vMerge w:val="continue"/>
            <w:tcBorders>
              <w:top w:val="nil"/>
              <w:left w:val="nil"/>
              <w:bottom w:val="single" w:color="333333" w:sz="12" w:space="0"/>
              <w:right w:val="nil"/>
            </w:tcBorders>
            <w:shd w:val="clear" w:color="auto" w:fill="663AB6"/>
          </w:tcPr>
          <w:p w14:paraId="68667E6E">
            <w:pPr>
              <w:widowControl w:val="0"/>
              <w:autoSpaceDE w:val="0"/>
              <w:autoSpaceDN w:val="0"/>
              <w:rPr>
                <w:rFonts w:ascii="Roboto" w:hAnsi="Roboto" w:eastAsia="Roboto" w:cs="Roboto"/>
                <w:sz w:val="2"/>
                <w:szCs w:val="2"/>
              </w:rPr>
            </w:pPr>
          </w:p>
        </w:tc>
        <w:tc>
          <w:tcPr>
            <w:tcW w:w="315" w:type="dxa"/>
            <w:vMerge w:val="continue"/>
            <w:tcBorders>
              <w:top w:val="nil"/>
              <w:left w:val="nil"/>
              <w:bottom w:val="single" w:color="F7F7F7" w:sz="6" w:space="0"/>
              <w:right w:val="single" w:color="EDEDED" w:sz="6" w:space="0"/>
            </w:tcBorders>
          </w:tcPr>
          <w:p w14:paraId="3F0D3A85">
            <w:pPr>
              <w:widowControl w:val="0"/>
              <w:autoSpaceDE w:val="0"/>
              <w:autoSpaceDN w:val="0"/>
              <w:rPr>
                <w:rFonts w:ascii="Roboto" w:hAnsi="Roboto" w:eastAsia="Roboto" w:cs="Roboto"/>
                <w:sz w:val="2"/>
                <w:szCs w:val="2"/>
              </w:rPr>
            </w:pPr>
          </w:p>
        </w:tc>
      </w:tr>
      <w:tr w14:paraId="59AFDAD8">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04" w:hRule="atLeast"/>
        </w:trPr>
        <w:tc>
          <w:tcPr>
            <w:tcW w:w="3570" w:type="dxa"/>
            <w:gridSpan w:val="3"/>
            <w:tcBorders>
              <w:top w:val="single" w:color="F7F7F7" w:sz="6" w:space="0"/>
              <w:left w:val="single" w:color="EDEDED" w:sz="6" w:space="0"/>
              <w:bottom w:val="single" w:color="EDEDED" w:sz="6" w:space="0"/>
              <w:right w:val="nil"/>
            </w:tcBorders>
          </w:tcPr>
          <w:p w14:paraId="605E5100">
            <w:pPr>
              <w:widowControl w:val="0"/>
              <w:autoSpaceDE w:val="0"/>
              <w:autoSpaceDN w:val="0"/>
              <w:rPr>
                <w:rFonts w:eastAsia="Times New Roman"/>
                <w:sz w:val="20"/>
                <w:u w:color="000000"/>
              </w:rPr>
            </w:pPr>
          </w:p>
        </w:tc>
        <w:tc>
          <w:tcPr>
            <w:tcW w:w="990" w:type="dxa"/>
            <w:vMerge w:val="continue"/>
            <w:tcBorders>
              <w:top w:val="nil"/>
              <w:left w:val="nil"/>
              <w:bottom w:val="single" w:color="333333" w:sz="12" w:space="0"/>
              <w:right w:val="nil"/>
            </w:tcBorders>
            <w:shd w:val="clear" w:color="auto" w:fill="663AB6"/>
          </w:tcPr>
          <w:p w14:paraId="1D5661D1">
            <w:pPr>
              <w:widowControl w:val="0"/>
              <w:autoSpaceDE w:val="0"/>
              <w:autoSpaceDN w:val="0"/>
              <w:rPr>
                <w:rFonts w:ascii="Roboto" w:hAnsi="Roboto" w:eastAsia="Roboto" w:cs="Roboto"/>
                <w:sz w:val="2"/>
                <w:szCs w:val="2"/>
              </w:rPr>
            </w:pPr>
          </w:p>
        </w:tc>
        <w:tc>
          <w:tcPr>
            <w:tcW w:w="630" w:type="dxa"/>
            <w:tcBorders>
              <w:top w:val="single" w:color="F7F7F7" w:sz="6" w:space="0"/>
              <w:left w:val="nil"/>
              <w:bottom w:val="single" w:color="EDEDED" w:sz="6" w:space="0"/>
              <w:right w:val="nil"/>
            </w:tcBorders>
          </w:tcPr>
          <w:p w14:paraId="15F34939">
            <w:pPr>
              <w:widowControl w:val="0"/>
              <w:autoSpaceDE w:val="0"/>
              <w:autoSpaceDN w:val="0"/>
              <w:rPr>
                <w:rFonts w:eastAsia="Times New Roman"/>
                <w:sz w:val="20"/>
                <w:u w:color="000000"/>
              </w:rPr>
            </w:pPr>
          </w:p>
        </w:tc>
        <w:tc>
          <w:tcPr>
            <w:tcW w:w="1005" w:type="dxa"/>
            <w:vMerge w:val="continue"/>
            <w:tcBorders>
              <w:top w:val="nil"/>
              <w:left w:val="nil"/>
              <w:bottom w:val="single" w:color="333333" w:sz="12" w:space="0"/>
              <w:right w:val="nil"/>
            </w:tcBorders>
            <w:shd w:val="clear" w:color="auto" w:fill="663AB6"/>
          </w:tcPr>
          <w:p w14:paraId="314CCF53">
            <w:pPr>
              <w:widowControl w:val="0"/>
              <w:autoSpaceDE w:val="0"/>
              <w:autoSpaceDN w:val="0"/>
              <w:rPr>
                <w:rFonts w:ascii="Roboto" w:hAnsi="Roboto" w:eastAsia="Roboto" w:cs="Roboto"/>
                <w:sz w:val="2"/>
                <w:szCs w:val="2"/>
              </w:rPr>
            </w:pPr>
          </w:p>
        </w:tc>
        <w:tc>
          <w:tcPr>
            <w:tcW w:w="615" w:type="dxa"/>
            <w:tcBorders>
              <w:top w:val="single" w:color="F7F7F7" w:sz="6" w:space="0"/>
              <w:left w:val="nil"/>
              <w:bottom w:val="single" w:color="EDEDED" w:sz="6" w:space="0"/>
              <w:right w:val="nil"/>
            </w:tcBorders>
          </w:tcPr>
          <w:p w14:paraId="6ABA5ECB">
            <w:pPr>
              <w:widowControl w:val="0"/>
              <w:autoSpaceDE w:val="0"/>
              <w:autoSpaceDN w:val="0"/>
              <w:rPr>
                <w:rFonts w:eastAsia="Times New Roman"/>
                <w:sz w:val="20"/>
                <w:u w:color="000000"/>
              </w:rPr>
            </w:pPr>
          </w:p>
        </w:tc>
        <w:tc>
          <w:tcPr>
            <w:tcW w:w="1005" w:type="dxa"/>
            <w:vMerge w:val="continue"/>
            <w:tcBorders>
              <w:top w:val="nil"/>
              <w:left w:val="nil"/>
              <w:bottom w:val="single" w:color="333333" w:sz="12" w:space="0"/>
              <w:right w:val="nil"/>
            </w:tcBorders>
            <w:shd w:val="clear" w:color="auto" w:fill="663AB6"/>
          </w:tcPr>
          <w:p w14:paraId="0AD38211">
            <w:pPr>
              <w:widowControl w:val="0"/>
              <w:autoSpaceDE w:val="0"/>
              <w:autoSpaceDN w:val="0"/>
              <w:rPr>
                <w:rFonts w:ascii="Roboto" w:hAnsi="Roboto" w:eastAsia="Roboto" w:cs="Roboto"/>
                <w:sz w:val="2"/>
                <w:szCs w:val="2"/>
              </w:rPr>
            </w:pPr>
          </w:p>
        </w:tc>
        <w:tc>
          <w:tcPr>
            <w:tcW w:w="315" w:type="dxa"/>
            <w:tcBorders>
              <w:top w:val="single" w:color="F7F7F7" w:sz="6" w:space="0"/>
              <w:left w:val="nil"/>
              <w:bottom w:val="single" w:color="EDEDED" w:sz="6" w:space="0"/>
              <w:right w:val="single" w:color="EDEDED" w:sz="6" w:space="0"/>
            </w:tcBorders>
          </w:tcPr>
          <w:p w14:paraId="6F31845D">
            <w:pPr>
              <w:widowControl w:val="0"/>
              <w:autoSpaceDE w:val="0"/>
              <w:autoSpaceDN w:val="0"/>
              <w:rPr>
                <w:rFonts w:eastAsia="Times New Roman"/>
                <w:sz w:val="20"/>
                <w:u w:color="000000"/>
              </w:rPr>
            </w:pPr>
          </w:p>
        </w:tc>
      </w:tr>
      <w:tr w14:paraId="52C5C820">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3570" w:type="dxa"/>
            <w:gridSpan w:val="3"/>
            <w:tcBorders>
              <w:top w:val="single" w:color="EDEDED" w:sz="6" w:space="0"/>
              <w:left w:val="single" w:color="EDEDED" w:sz="6" w:space="0"/>
              <w:bottom w:val="single" w:color="F7F7F7" w:sz="6" w:space="0"/>
              <w:right w:val="nil"/>
            </w:tcBorders>
          </w:tcPr>
          <w:p w14:paraId="4A6B826F">
            <w:pPr>
              <w:widowControl w:val="0"/>
              <w:autoSpaceDE w:val="0"/>
              <w:autoSpaceDN w:val="0"/>
              <w:rPr>
                <w:rFonts w:eastAsia="Times New Roman"/>
                <w:sz w:val="20"/>
                <w:u w:color="000000"/>
              </w:rPr>
            </w:pPr>
          </w:p>
        </w:tc>
        <w:tc>
          <w:tcPr>
            <w:tcW w:w="990" w:type="dxa"/>
            <w:vMerge w:val="continue"/>
            <w:tcBorders>
              <w:top w:val="nil"/>
              <w:left w:val="nil"/>
              <w:bottom w:val="single" w:color="333333" w:sz="12" w:space="0"/>
              <w:right w:val="nil"/>
            </w:tcBorders>
            <w:shd w:val="clear" w:color="auto" w:fill="663AB6"/>
          </w:tcPr>
          <w:p w14:paraId="1977C0BB">
            <w:pPr>
              <w:widowControl w:val="0"/>
              <w:autoSpaceDE w:val="0"/>
              <w:autoSpaceDN w:val="0"/>
              <w:rPr>
                <w:rFonts w:ascii="Roboto" w:hAnsi="Roboto" w:eastAsia="Roboto" w:cs="Roboto"/>
                <w:sz w:val="2"/>
                <w:szCs w:val="2"/>
              </w:rPr>
            </w:pPr>
          </w:p>
        </w:tc>
        <w:tc>
          <w:tcPr>
            <w:tcW w:w="630" w:type="dxa"/>
            <w:tcBorders>
              <w:top w:val="single" w:color="EDEDED" w:sz="6" w:space="0"/>
              <w:left w:val="nil"/>
              <w:bottom w:val="single" w:color="F7F7F7" w:sz="6" w:space="0"/>
              <w:right w:val="nil"/>
            </w:tcBorders>
          </w:tcPr>
          <w:p w14:paraId="222988B2">
            <w:pPr>
              <w:widowControl w:val="0"/>
              <w:autoSpaceDE w:val="0"/>
              <w:autoSpaceDN w:val="0"/>
              <w:rPr>
                <w:rFonts w:eastAsia="Times New Roman"/>
                <w:sz w:val="20"/>
                <w:u w:color="000000"/>
              </w:rPr>
            </w:pPr>
          </w:p>
        </w:tc>
        <w:tc>
          <w:tcPr>
            <w:tcW w:w="1005" w:type="dxa"/>
            <w:vMerge w:val="continue"/>
            <w:tcBorders>
              <w:top w:val="nil"/>
              <w:left w:val="nil"/>
              <w:bottom w:val="single" w:color="333333" w:sz="12" w:space="0"/>
              <w:right w:val="nil"/>
            </w:tcBorders>
            <w:shd w:val="clear" w:color="auto" w:fill="663AB6"/>
          </w:tcPr>
          <w:p w14:paraId="2E6DE86F">
            <w:pPr>
              <w:widowControl w:val="0"/>
              <w:autoSpaceDE w:val="0"/>
              <w:autoSpaceDN w:val="0"/>
              <w:rPr>
                <w:rFonts w:ascii="Roboto" w:hAnsi="Roboto" w:eastAsia="Roboto" w:cs="Roboto"/>
                <w:sz w:val="2"/>
                <w:szCs w:val="2"/>
              </w:rPr>
            </w:pPr>
          </w:p>
        </w:tc>
        <w:tc>
          <w:tcPr>
            <w:tcW w:w="615" w:type="dxa"/>
            <w:tcBorders>
              <w:top w:val="single" w:color="EDEDED" w:sz="6" w:space="0"/>
              <w:left w:val="nil"/>
              <w:bottom w:val="single" w:color="F7F7F7" w:sz="6" w:space="0"/>
              <w:right w:val="nil"/>
            </w:tcBorders>
          </w:tcPr>
          <w:p w14:paraId="497AC703">
            <w:pPr>
              <w:widowControl w:val="0"/>
              <w:autoSpaceDE w:val="0"/>
              <w:autoSpaceDN w:val="0"/>
              <w:rPr>
                <w:rFonts w:eastAsia="Times New Roman"/>
                <w:sz w:val="20"/>
                <w:u w:color="000000"/>
              </w:rPr>
            </w:pPr>
          </w:p>
        </w:tc>
        <w:tc>
          <w:tcPr>
            <w:tcW w:w="1005" w:type="dxa"/>
            <w:vMerge w:val="continue"/>
            <w:tcBorders>
              <w:top w:val="nil"/>
              <w:left w:val="nil"/>
              <w:bottom w:val="single" w:color="333333" w:sz="12" w:space="0"/>
              <w:right w:val="nil"/>
            </w:tcBorders>
            <w:shd w:val="clear" w:color="auto" w:fill="663AB6"/>
          </w:tcPr>
          <w:p w14:paraId="06318C05">
            <w:pPr>
              <w:widowControl w:val="0"/>
              <w:autoSpaceDE w:val="0"/>
              <w:autoSpaceDN w:val="0"/>
              <w:rPr>
                <w:rFonts w:ascii="Roboto" w:hAnsi="Roboto" w:eastAsia="Roboto" w:cs="Roboto"/>
                <w:sz w:val="2"/>
                <w:szCs w:val="2"/>
              </w:rPr>
            </w:pPr>
          </w:p>
        </w:tc>
        <w:tc>
          <w:tcPr>
            <w:tcW w:w="315" w:type="dxa"/>
            <w:tcBorders>
              <w:top w:val="single" w:color="EDEDED" w:sz="6" w:space="0"/>
              <w:left w:val="nil"/>
              <w:bottom w:val="single" w:color="F7F7F7" w:sz="6" w:space="0"/>
              <w:right w:val="single" w:color="EDEDED" w:sz="6" w:space="0"/>
            </w:tcBorders>
          </w:tcPr>
          <w:p w14:paraId="35D54BB2">
            <w:pPr>
              <w:widowControl w:val="0"/>
              <w:autoSpaceDE w:val="0"/>
              <w:autoSpaceDN w:val="0"/>
              <w:rPr>
                <w:rFonts w:eastAsia="Times New Roman"/>
                <w:sz w:val="20"/>
                <w:u w:color="000000"/>
              </w:rPr>
            </w:pPr>
          </w:p>
        </w:tc>
      </w:tr>
      <w:tr w14:paraId="33609FF9">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23" w:hRule="atLeast"/>
        </w:trPr>
        <w:tc>
          <w:tcPr>
            <w:tcW w:w="1935" w:type="dxa"/>
            <w:tcBorders>
              <w:top w:val="single" w:color="F7F7F7" w:sz="6" w:space="0"/>
              <w:left w:val="single" w:color="EDEDED" w:sz="6" w:space="0"/>
              <w:bottom w:val="single" w:color="333333" w:sz="12" w:space="0"/>
              <w:right w:val="nil"/>
            </w:tcBorders>
          </w:tcPr>
          <w:p w14:paraId="089B5303">
            <w:pPr>
              <w:widowControl w:val="0"/>
              <w:autoSpaceDE w:val="0"/>
              <w:autoSpaceDN w:val="0"/>
              <w:spacing w:before="6"/>
              <w:rPr>
                <w:rFonts w:ascii="Roboto" w:eastAsia="Times New Roman"/>
                <w:sz w:val="15"/>
                <w:u w:color="000000"/>
              </w:rPr>
            </w:pPr>
          </w:p>
          <w:p w14:paraId="49CC5655">
            <w:pPr>
              <w:widowControl w:val="0"/>
              <w:autoSpaceDE w:val="0"/>
              <w:autoSpaceDN w:val="0"/>
              <w:rPr>
                <w:rFonts w:ascii="Arial MT" w:eastAsia="Times New Roman"/>
                <w:sz w:val="18"/>
                <w:u w:color="000000"/>
              </w:rPr>
            </w:pPr>
            <w:r>
              <w:rPr>
                <w:rFonts w:eastAsia="Times New Roman"/>
                <w:color w:val="FFFFFF"/>
                <w:sz w:val="18"/>
                <w:szCs w:val="22"/>
                <w:u w:color="000000"/>
                <w:shd w:val="clear" w:color="auto" w:fill="663AB6"/>
              </w:rPr>
              <w:t xml:space="preserve">  </w:t>
            </w:r>
            <w:r>
              <w:rPr>
                <w:rFonts w:eastAsia="Times New Roman"/>
                <w:color w:val="FFFFFF"/>
                <w:spacing w:val="19"/>
                <w:sz w:val="18"/>
                <w:szCs w:val="22"/>
                <w:u w:color="000000"/>
                <w:shd w:val="clear" w:color="auto" w:fill="663AB6"/>
              </w:rPr>
              <w:t xml:space="preserve"> </w:t>
            </w:r>
            <w:r>
              <w:rPr>
                <w:rFonts w:ascii="Arial MT" w:eastAsia="Times New Roman"/>
                <w:color w:val="FFFFFF"/>
                <w:sz w:val="18"/>
                <w:szCs w:val="22"/>
                <w:u w:color="000000"/>
                <w:shd w:val="clear" w:color="auto" w:fill="663AB6"/>
              </w:rPr>
              <w:t>3 (3.9%)</w:t>
            </w:r>
            <w:r>
              <w:rPr>
                <w:rFonts w:ascii="Arial MT" w:eastAsia="Times New Roman"/>
                <w:color w:val="FFFFFF"/>
                <w:spacing w:val="20"/>
                <w:sz w:val="18"/>
                <w:szCs w:val="22"/>
                <w:u w:color="000000"/>
                <w:shd w:val="clear" w:color="auto" w:fill="663AB6"/>
              </w:rPr>
              <w:t xml:space="preserve"> </w:t>
            </w:r>
          </w:p>
        </w:tc>
        <w:tc>
          <w:tcPr>
            <w:tcW w:w="1005" w:type="dxa"/>
            <w:tcBorders>
              <w:top w:val="single" w:color="F7F7F7" w:sz="6" w:space="0"/>
              <w:left w:val="nil"/>
              <w:bottom w:val="single" w:color="333333" w:sz="12" w:space="0"/>
              <w:right w:val="nil"/>
            </w:tcBorders>
            <w:shd w:val="clear" w:color="auto" w:fill="663AB6"/>
          </w:tcPr>
          <w:p w14:paraId="3F18D638">
            <w:pPr>
              <w:widowControl w:val="0"/>
              <w:autoSpaceDE w:val="0"/>
              <w:autoSpaceDN w:val="0"/>
              <w:spacing w:before="6"/>
              <w:rPr>
                <w:rFonts w:ascii="Arial MT" w:eastAsia="Times New Roman"/>
                <w:sz w:val="18"/>
                <w:u w:color="000000"/>
              </w:rPr>
            </w:pPr>
            <w:r>
              <w:rPr>
                <w:rFonts w:ascii="Arial MT" w:eastAsia="Times New Roman"/>
                <w:color w:val="FFFFFF"/>
                <w:sz w:val="18"/>
                <w:szCs w:val="22"/>
                <w:u w:color="000000"/>
              </w:rPr>
              <w:t>5 (6.6%)</w:t>
            </w:r>
          </w:p>
        </w:tc>
        <w:tc>
          <w:tcPr>
            <w:tcW w:w="630" w:type="dxa"/>
            <w:tcBorders>
              <w:top w:val="single" w:color="F7F7F7" w:sz="6" w:space="0"/>
              <w:left w:val="nil"/>
              <w:bottom w:val="single" w:color="333333" w:sz="12" w:space="0"/>
              <w:right w:val="nil"/>
            </w:tcBorders>
          </w:tcPr>
          <w:p w14:paraId="36DEE5EE">
            <w:pPr>
              <w:widowControl w:val="0"/>
              <w:autoSpaceDE w:val="0"/>
              <w:autoSpaceDN w:val="0"/>
              <w:rPr>
                <w:rFonts w:eastAsia="Times New Roman"/>
                <w:sz w:val="20"/>
                <w:u w:color="000000"/>
              </w:rPr>
            </w:pPr>
          </w:p>
        </w:tc>
        <w:tc>
          <w:tcPr>
            <w:tcW w:w="990" w:type="dxa"/>
            <w:vMerge w:val="continue"/>
            <w:tcBorders>
              <w:top w:val="nil"/>
              <w:left w:val="nil"/>
              <w:bottom w:val="single" w:color="333333" w:sz="12" w:space="0"/>
              <w:right w:val="nil"/>
            </w:tcBorders>
            <w:shd w:val="clear" w:color="auto" w:fill="663AB6"/>
          </w:tcPr>
          <w:p w14:paraId="2027AF28">
            <w:pPr>
              <w:widowControl w:val="0"/>
              <w:autoSpaceDE w:val="0"/>
              <w:autoSpaceDN w:val="0"/>
              <w:rPr>
                <w:rFonts w:ascii="Roboto" w:hAnsi="Roboto" w:eastAsia="Roboto" w:cs="Roboto"/>
                <w:sz w:val="2"/>
                <w:szCs w:val="2"/>
              </w:rPr>
            </w:pPr>
          </w:p>
        </w:tc>
        <w:tc>
          <w:tcPr>
            <w:tcW w:w="630" w:type="dxa"/>
            <w:tcBorders>
              <w:top w:val="single" w:color="F7F7F7" w:sz="6" w:space="0"/>
              <w:left w:val="nil"/>
              <w:bottom w:val="single" w:color="333333" w:sz="12" w:space="0"/>
              <w:right w:val="nil"/>
            </w:tcBorders>
          </w:tcPr>
          <w:p w14:paraId="2D776740">
            <w:pPr>
              <w:widowControl w:val="0"/>
              <w:autoSpaceDE w:val="0"/>
              <w:autoSpaceDN w:val="0"/>
              <w:rPr>
                <w:rFonts w:eastAsia="Times New Roman"/>
                <w:sz w:val="20"/>
                <w:u w:color="000000"/>
              </w:rPr>
            </w:pPr>
          </w:p>
        </w:tc>
        <w:tc>
          <w:tcPr>
            <w:tcW w:w="1005" w:type="dxa"/>
            <w:vMerge w:val="continue"/>
            <w:tcBorders>
              <w:top w:val="nil"/>
              <w:left w:val="nil"/>
              <w:bottom w:val="single" w:color="333333" w:sz="12" w:space="0"/>
              <w:right w:val="nil"/>
            </w:tcBorders>
            <w:shd w:val="clear" w:color="auto" w:fill="663AB6"/>
          </w:tcPr>
          <w:p w14:paraId="58C0D44C">
            <w:pPr>
              <w:widowControl w:val="0"/>
              <w:autoSpaceDE w:val="0"/>
              <w:autoSpaceDN w:val="0"/>
              <w:rPr>
                <w:rFonts w:ascii="Roboto" w:hAnsi="Roboto" w:eastAsia="Roboto" w:cs="Roboto"/>
                <w:sz w:val="2"/>
                <w:szCs w:val="2"/>
              </w:rPr>
            </w:pPr>
          </w:p>
        </w:tc>
        <w:tc>
          <w:tcPr>
            <w:tcW w:w="615" w:type="dxa"/>
            <w:tcBorders>
              <w:top w:val="single" w:color="F7F7F7" w:sz="6" w:space="0"/>
              <w:left w:val="nil"/>
              <w:bottom w:val="single" w:color="333333" w:sz="12" w:space="0"/>
              <w:right w:val="nil"/>
            </w:tcBorders>
          </w:tcPr>
          <w:p w14:paraId="789D3D79">
            <w:pPr>
              <w:widowControl w:val="0"/>
              <w:autoSpaceDE w:val="0"/>
              <w:autoSpaceDN w:val="0"/>
              <w:rPr>
                <w:rFonts w:eastAsia="Times New Roman"/>
                <w:sz w:val="20"/>
                <w:u w:color="000000"/>
              </w:rPr>
            </w:pPr>
          </w:p>
        </w:tc>
        <w:tc>
          <w:tcPr>
            <w:tcW w:w="1005" w:type="dxa"/>
            <w:vMerge w:val="continue"/>
            <w:tcBorders>
              <w:top w:val="nil"/>
              <w:left w:val="nil"/>
              <w:bottom w:val="single" w:color="333333" w:sz="12" w:space="0"/>
              <w:right w:val="nil"/>
            </w:tcBorders>
            <w:shd w:val="clear" w:color="auto" w:fill="663AB6"/>
          </w:tcPr>
          <w:p w14:paraId="434C514E">
            <w:pPr>
              <w:widowControl w:val="0"/>
              <w:autoSpaceDE w:val="0"/>
              <w:autoSpaceDN w:val="0"/>
              <w:rPr>
                <w:rFonts w:ascii="Roboto" w:hAnsi="Roboto" w:eastAsia="Roboto" w:cs="Roboto"/>
                <w:sz w:val="2"/>
                <w:szCs w:val="2"/>
              </w:rPr>
            </w:pPr>
          </w:p>
        </w:tc>
        <w:tc>
          <w:tcPr>
            <w:tcW w:w="315" w:type="dxa"/>
            <w:tcBorders>
              <w:top w:val="single" w:color="F7F7F7" w:sz="6" w:space="0"/>
              <w:left w:val="nil"/>
              <w:bottom w:val="single" w:color="333333" w:sz="12" w:space="0"/>
              <w:right w:val="single" w:color="EDEDED" w:sz="6" w:space="0"/>
            </w:tcBorders>
          </w:tcPr>
          <w:p w14:paraId="61D7EB09">
            <w:pPr>
              <w:widowControl w:val="0"/>
              <w:autoSpaceDE w:val="0"/>
              <w:autoSpaceDN w:val="0"/>
              <w:rPr>
                <w:rFonts w:eastAsia="Times New Roman"/>
                <w:sz w:val="20"/>
                <w:u w:color="000000"/>
              </w:rPr>
            </w:pPr>
          </w:p>
        </w:tc>
      </w:tr>
    </w:tbl>
    <w:p w14:paraId="1CE5D5EC">
      <w:pPr>
        <w:widowControl w:val="0"/>
        <w:autoSpaceDE w:val="0"/>
        <w:autoSpaceDN w:val="0"/>
        <w:rPr>
          <w:rFonts w:ascii="Roboto" w:hAnsi="Roboto" w:eastAsia="Roboto" w:cs="Roboto"/>
          <w:sz w:val="20"/>
          <w:szCs w:val="22"/>
        </w:rPr>
        <w:sectPr>
          <w:headerReference r:id="rId14" w:type="default"/>
          <w:footerReference r:id="rId15" w:type="default"/>
          <w:pgSz w:w="11900" w:h="16840"/>
          <w:pgMar w:top="480" w:right="1280" w:bottom="1680" w:left="1040" w:header="269" w:footer="1490" w:gutter="0"/>
          <w:cols w:space="720" w:num="1"/>
        </w:sectPr>
      </w:pPr>
    </w:p>
    <w:p w14:paraId="384C76A2">
      <w:pPr>
        <w:widowControl w:val="0"/>
        <w:autoSpaceDE w:val="0"/>
        <w:autoSpaceDN w:val="0"/>
        <w:spacing w:before="10"/>
        <w:rPr>
          <w:rFonts w:ascii="Roboto" w:hAnsi="Roboto" w:eastAsia="Roboto" w:cs="Roboto"/>
          <w:sz w:val="11"/>
          <w:szCs w:val="21"/>
        </w:rPr>
      </w:pPr>
    </w:p>
    <w:p w14:paraId="686FEBA8">
      <w:pPr>
        <w:widowControl w:val="0"/>
        <w:autoSpaceDE w:val="0"/>
        <w:autoSpaceDN w:val="0"/>
        <w:rPr>
          <w:rFonts w:ascii="Roboto" w:hAnsi="Roboto" w:eastAsia="Roboto" w:cs="Roboto"/>
          <w:sz w:val="11"/>
          <w:szCs w:val="22"/>
        </w:rPr>
        <w:sectPr>
          <w:pgSz w:w="11900" w:h="16840"/>
          <w:pgMar w:top="480" w:right="1280" w:bottom="1680" w:left="1040" w:header="269" w:footer="1490" w:gutter="0"/>
          <w:cols w:space="720" w:num="1"/>
        </w:sectPr>
      </w:pPr>
    </w:p>
    <w:p w14:paraId="28B07ED3">
      <w:pPr>
        <w:widowControl w:val="0"/>
        <w:numPr>
          <w:ilvl w:val="0"/>
          <w:numId w:val="45"/>
        </w:numPr>
        <w:tabs>
          <w:tab w:val="left" w:pos="452"/>
        </w:tabs>
        <w:autoSpaceDE w:val="0"/>
        <w:autoSpaceDN w:val="0"/>
        <w:spacing w:before="94" w:line="300" w:lineRule="auto"/>
        <w:ind w:right="38" w:firstLine="0"/>
        <w:jc w:val="both"/>
        <w:rPr>
          <w:rFonts w:eastAsia="Roboto"/>
          <w:szCs w:val="22"/>
        </w:rPr>
      </w:pPr>
      <w:r>
        <mc:AlternateContent>
          <mc:Choice Requires="wpg">
            <w:drawing>
              <wp:anchor distT="0" distB="0" distL="114300" distR="114300" simplePos="0" relativeHeight="251695104" behindDoc="1" locked="0" layoutInCell="1" allowOverlap="1">
                <wp:simplePos x="0" y="0"/>
                <wp:positionH relativeFrom="page">
                  <wp:posOffset>733425</wp:posOffset>
                </wp:positionH>
                <wp:positionV relativeFrom="paragraph">
                  <wp:posOffset>-43180</wp:posOffset>
                </wp:positionV>
                <wp:extent cx="6096000" cy="7534275"/>
                <wp:effectExtent l="9525" t="8890" r="0" b="635"/>
                <wp:wrapNone/>
                <wp:docPr id="135097886" name="Group 279"/>
                <wp:cNvGraphicFramePr/>
                <a:graphic xmlns:a="http://schemas.openxmlformats.org/drawingml/2006/main">
                  <a:graphicData uri="http://schemas.microsoft.com/office/word/2010/wordprocessingGroup">
                    <wpg:wgp>
                      <wpg:cNvGrpSpPr/>
                      <wpg:grpSpPr>
                        <a:xfrm>
                          <a:off x="0" y="0"/>
                          <a:ext cx="6096000" cy="7534275"/>
                          <a:chOff x="1155" y="-68"/>
                          <a:chExt cx="9600" cy="11865"/>
                        </a:xfrm>
                        <a:effectLst/>
                      </wpg:grpSpPr>
                      <wps:wsp>
                        <wps:cNvPr id="1510879648" name="AutoShape 296"/>
                        <wps:cNvSpPr/>
                        <wps:spPr bwMode="auto">
                          <a:xfrm>
                            <a:off x="1162" y="-61"/>
                            <a:ext cx="9585" cy="11850"/>
                          </a:xfrm>
                          <a:custGeom>
                            <a:avLst/>
                            <a:gdLst>
                              <a:gd name="T0" fmla="*/ 1 w 9585"/>
                              <a:gd name="T1" fmla="*/ 37 h 11850"/>
                              <a:gd name="T2" fmla="*/ 9 w 9585"/>
                              <a:gd name="T3" fmla="*/ 9 h 11850"/>
                              <a:gd name="T4" fmla="*/ 24 w 9585"/>
                              <a:gd name="T5" fmla="*/ -17 h 11850"/>
                              <a:gd name="T6" fmla="*/ 44 w 9585"/>
                              <a:gd name="T7" fmla="*/ -37 h 11850"/>
                              <a:gd name="T8" fmla="*/ 70 w 9585"/>
                              <a:gd name="T9" fmla="*/ -52 h 11850"/>
                              <a:gd name="T10" fmla="*/ 98 w 9585"/>
                              <a:gd name="T11" fmla="*/ -60 h 11850"/>
                              <a:gd name="T12" fmla="*/ 9480 w 9585"/>
                              <a:gd name="T13" fmla="*/ -60 h 11850"/>
                              <a:gd name="T14" fmla="*/ 9509 w 9585"/>
                              <a:gd name="T15" fmla="*/ -55 h 11850"/>
                              <a:gd name="T16" fmla="*/ 9535 w 9585"/>
                              <a:gd name="T17" fmla="*/ -42 h 11850"/>
                              <a:gd name="T18" fmla="*/ 9558 w 9585"/>
                              <a:gd name="T19" fmla="*/ -22 h 11850"/>
                              <a:gd name="T20" fmla="*/ 9574 w 9585"/>
                              <a:gd name="T21" fmla="*/ 2 h 11850"/>
                              <a:gd name="T22" fmla="*/ 9583 w 9585"/>
                              <a:gd name="T23" fmla="*/ 30 h 11850"/>
                              <a:gd name="T24" fmla="*/ 9585 w 9585"/>
                              <a:gd name="T25" fmla="*/ 5767 h 11850"/>
                              <a:gd name="T26" fmla="*/ 9582 w 9585"/>
                              <a:gd name="T27" fmla="*/ 5796 h 11850"/>
                              <a:gd name="T28" fmla="*/ 9571 w 9585"/>
                              <a:gd name="T29" fmla="*/ 5823 h 11850"/>
                              <a:gd name="T30" fmla="*/ 9553 w 9585"/>
                              <a:gd name="T31" fmla="*/ 5847 h 11850"/>
                              <a:gd name="T32" fmla="*/ 9529 w 9585"/>
                              <a:gd name="T33" fmla="*/ 5865 h 11850"/>
                              <a:gd name="T34" fmla="*/ 9502 w 9585"/>
                              <a:gd name="T35" fmla="*/ 5876 h 11850"/>
                              <a:gd name="T36" fmla="*/ 9473 w 9585"/>
                              <a:gd name="T37" fmla="*/ 5880 h 11850"/>
                              <a:gd name="T38" fmla="*/ 91 w 9585"/>
                              <a:gd name="T39" fmla="*/ 5877 h 11850"/>
                              <a:gd name="T40" fmla="*/ 63 w 9585"/>
                              <a:gd name="T41" fmla="*/ 5868 h 11850"/>
                              <a:gd name="T42" fmla="*/ 39 w 9585"/>
                              <a:gd name="T43" fmla="*/ 5852 h 11850"/>
                              <a:gd name="T44" fmla="*/ 19 w 9585"/>
                              <a:gd name="T45" fmla="*/ 5830 h 11850"/>
                              <a:gd name="T46" fmla="*/ 6 w 9585"/>
                              <a:gd name="T47" fmla="*/ 5803 h 11850"/>
                              <a:gd name="T48" fmla="*/ 0 w 9585"/>
                              <a:gd name="T49" fmla="*/ 5774 h 11850"/>
                              <a:gd name="T50" fmla="*/ 0 w 9585"/>
                              <a:gd name="T51" fmla="*/ 6000 h 11850"/>
                              <a:gd name="T52" fmla="*/ 6 w 9585"/>
                              <a:gd name="T53" fmla="*/ 5971 h 11850"/>
                              <a:gd name="T54" fmla="*/ 19 w 9585"/>
                              <a:gd name="T55" fmla="*/ 5945 h 11850"/>
                              <a:gd name="T56" fmla="*/ 39 w 9585"/>
                              <a:gd name="T57" fmla="*/ 5922 h 11850"/>
                              <a:gd name="T58" fmla="*/ 63 w 9585"/>
                              <a:gd name="T59" fmla="*/ 5906 h 11850"/>
                              <a:gd name="T60" fmla="*/ 91 w 9585"/>
                              <a:gd name="T61" fmla="*/ 5897 h 11850"/>
                              <a:gd name="T62" fmla="*/ 9473 w 9585"/>
                              <a:gd name="T63" fmla="*/ 5895 h 11850"/>
                              <a:gd name="T64" fmla="*/ 9502 w 9585"/>
                              <a:gd name="T65" fmla="*/ 5898 h 11850"/>
                              <a:gd name="T66" fmla="*/ 9529 w 9585"/>
                              <a:gd name="T67" fmla="*/ 5909 h 11850"/>
                              <a:gd name="T68" fmla="*/ 9553 w 9585"/>
                              <a:gd name="T69" fmla="*/ 5927 h 11850"/>
                              <a:gd name="T70" fmla="*/ 9571 w 9585"/>
                              <a:gd name="T71" fmla="*/ 5951 h 11850"/>
                              <a:gd name="T72" fmla="*/ 9582 w 9585"/>
                              <a:gd name="T73" fmla="*/ 5978 h 11850"/>
                              <a:gd name="T74" fmla="*/ 9585 w 9585"/>
                              <a:gd name="T75" fmla="*/ 6007 h 11850"/>
                              <a:gd name="T76" fmla="*/ 9583 w 9585"/>
                              <a:gd name="T77" fmla="*/ 11699 h 11850"/>
                              <a:gd name="T78" fmla="*/ 9574 w 9585"/>
                              <a:gd name="T79" fmla="*/ 11727 h 11850"/>
                              <a:gd name="T80" fmla="*/ 9558 w 9585"/>
                              <a:gd name="T81" fmla="*/ 11751 h 11850"/>
                              <a:gd name="T82" fmla="*/ 9535 w 9585"/>
                              <a:gd name="T83" fmla="*/ 11771 h 11850"/>
                              <a:gd name="T84" fmla="*/ 9509 w 9585"/>
                              <a:gd name="T85" fmla="*/ 11784 h 11850"/>
                              <a:gd name="T86" fmla="*/ 9480 w 9585"/>
                              <a:gd name="T87" fmla="*/ 11790 h 11850"/>
                              <a:gd name="T88" fmla="*/ 98 w 9585"/>
                              <a:gd name="T89" fmla="*/ 11789 h 11850"/>
                              <a:gd name="T90" fmla="*/ 70 w 9585"/>
                              <a:gd name="T91" fmla="*/ 11781 h 11850"/>
                              <a:gd name="T92" fmla="*/ 44 w 9585"/>
                              <a:gd name="T93" fmla="*/ 11766 h 11850"/>
                              <a:gd name="T94" fmla="*/ 24 w 9585"/>
                              <a:gd name="T95" fmla="*/ 11746 h 11850"/>
                              <a:gd name="T96" fmla="*/ 9 w 9585"/>
                              <a:gd name="T97" fmla="*/ 11720 h 11850"/>
                              <a:gd name="T98" fmla="*/ 1 w 9585"/>
                              <a:gd name="T99" fmla="*/ 11692 h 1185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585" h="11850">
                                <a:moveTo>
                                  <a:pt x="0" y="5827"/>
                                </a:moveTo>
                                <a:lnTo>
                                  <a:pt x="0" y="112"/>
                                </a:lnTo>
                                <a:lnTo>
                                  <a:pt x="0" y="105"/>
                                </a:lnTo>
                                <a:lnTo>
                                  <a:pt x="1" y="97"/>
                                </a:lnTo>
                                <a:lnTo>
                                  <a:pt x="3" y="90"/>
                                </a:lnTo>
                                <a:lnTo>
                                  <a:pt x="4" y="83"/>
                                </a:lnTo>
                                <a:lnTo>
                                  <a:pt x="6" y="76"/>
                                </a:lnTo>
                                <a:lnTo>
                                  <a:pt x="9" y="69"/>
                                </a:lnTo>
                                <a:lnTo>
                                  <a:pt x="12" y="62"/>
                                </a:lnTo>
                                <a:lnTo>
                                  <a:pt x="15" y="56"/>
                                </a:lnTo>
                                <a:lnTo>
                                  <a:pt x="19" y="50"/>
                                </a:lnTo>
                                <a:lnTo>
                                  <a:pt x="24" y="43"/>
                                </a:lnTo>
                                <a:lnTo>
                                  <a:pt x="28" y="38"/>
                                </a:lnTo>
                                <a:lnTo>
                                  <a:pt x="33" y="32"/>
                                </a:lnTo>
                                <a:lnTo>
                                  <a:pt x="39" y="27"/>
                                </a:lnTo>
                                <a:lnTo>
                                  <a:pt x="44" y="23"/>
                                </a:lnTo>
                                <a:lnTo>
                                  <a:pt x="50" y="18"/>
                                </a:lnTo>
                                <a:lnTo>
                                  <a:pt x="57" y="14"/>
                                </a:lnTo>
                                <a:lnTo>
                                  <a:pt x="63" y="11"/>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8"/>
                                </a:lnTo>
                                <a:lnTo>
                                  <a:pt x="9542" y="23"/>
                                </a:lnTo>
                                <a:lnTo>
                                  <a:pt x="9547" y="27"/>
                                </a:lnTo>
                                <a:lnTo>
                                  <a:pt x="9553" y="32"/>
                                </a:lnTo>
                                <a:lnTo>
                                  <a:pt x="9558" y="38"/>
                                </a:lnTo>
                                <a:lnTo>
                                  <a:pt x="9562" y="43"/>
                                </a:lnTo>
                                <a:lnTo>
                                  <a:pt x="9567" y="50"/>
                                </a:lnTo>
                                <a:lnTo>
                                  <a:pt x="9571" y="56"/>
                                </a:lnTo>
                                <a:lnTo>
                                  <a:pt x="9574" y="62"/>
                                </a:lnTo>
                                <a:lnTo>
                                  <a:pt x="9577" y="69"/>
                                </a:lnTo>
                                <a:lnTo>
                                  <a:pt x="9580" y="76"/>
                                </a:lnTo>
                                <a:lnTo>
                                  <a:pt x="9582" y="83"/>
                                </a:lnTo>
                                <a:lnTo>
                                  <a:pt x="9583" y="90"/>
                                </a:lnTo>
                                <a:lnTo>
                                  <a:pt x="9585" y="97"/>
                                </a:lnTo>
                                <a:lnTo>
                                  <a:pt x="9585" y="105"/>
                                </a:lnTo>
                                <a:lnTo>
                                  <a:pt x="9585" y="112"/>
                                </a:lnTo>
                                <a:lnTo>
                                  <a:pt x="9585" y="5827"/>
                                </a:lnTo>
                                <a:lnTo>
                                  <a:pt x="9585" y="5834"/>
                                </a:lnTo>
                                <a:lnTo>
                                  <a:pt x="9585" y="5842"/>
                                </a:lnTo>
                                <a:lnTo>
                                  <a:pt x="9583" y="5849"/>
                                </a:lnTo>
                                <a:lnTo>
                                  <a:pt x="9582" y="5856"/>
                                </a:lnTo>
                                <a:lnTo>
                                  <a:pt x="9580" y="5863"/>
                                </a:lnTo>
                                <a:lnTo>
                                  <a:pt x="9577" y="5870"/>
                                </a:lnTo>
                                <a:lnTo>
                                  <a:pt x="9574" y="5877"/>
                                </a:lnTo>
                                <a:lnTo>
                                  <a:pt x="9571" y="5883"/>
                                </a:lnTo>
                                <a:lnTo>
                                  <a:pt x="9567" y="5890"/>
                                </a:lnTo>
                                <a:lnTo>
                                  <a:pt x="9562" y="5896"/>
                                </a:lnTo>
                                <a:lnTo>
                                  <a:pt x="9558" y="5901"/>
                                </a:lnTo>
                                <a:lnTo>
                                  <a:pt x="9553" y="5907"/>
                                </a:lnTo>
                                <a:lnTo>
                                  <a:pt x="9547" y="5912"/>
                                </a:lnTo>
                                <a:lnTo>
                                  <a:pt x="9542" y="5916"/>
                                </a:lnTo>
                                <a:lnTo>
                                  <a:pt x="9535" y="5921"/>
                                </a:lnTo>
                                <a:lnTo>
                                  <a:pt x="9529" y="5925"/>
                                </a:lnTo>
                                <a:lnTo>
                                  <a:pt x="9523" y="5928"/>
                                </a:lnTo>
                                <a:lnTo>
                                  <a:pt x="9516" y="5931"/>
                                </a:lnTo>
                                <a:lnTo>
                                  <a:pt x="9509" y="5934"/>
                                </a:lnTo>
                                <a:lnTo>
                                  <a:pt x="9502" y="5936"/>
                                </a:lnTo>
                                <a:lnTo>
                                  <a:pt x="9495" y="5937"/>
                                </a:lnTo>
                                <a:lnTo>
                                  <a:pt x="9488" y="5939"/>
                                </a:lnTo>
                                <a:lnTo>
                                  <a:pt x="9480" y="5940"/>
                                </a:lnTo>
                                <a:lnTo>
                                  <a:pt x="9473" y="5940"/>
                                </a:lnTo>
                                <a:lnTo>
                                  <a:pt x="113" y="5940"/>
                                </a:lnTo>
                                <a:lnTo>
                                  <a:pt x="106" y="5940"/>
                                </a:lnTo>
                                <a:lnTo>
                                  <a:pt x="98" y="5939"/>
                                </a:lnTo>
                                <a:lnTo>
                                  <a:pt x="91" y="5937"/>
                                </a:lnTo>
                                <a:lnTo>
                                  <a:pt x="84" y="5936"/>
                                </a:lnTo>
                                <a:lnTo>
                                  <a:pt x="77" y="5934"/>
                                </a:lnTo>
                                <a:lnTo>
                                  <a:pt x="70" y="5931"/>
                                </a:lnTo>
                                <a:lnTo>
                                  <a:pt x="63" y="5928"/>
                                </a:lnTo>
                                <a:lnTo>
                                  <a:pt x="57" y="5925"/>
                                </a:lnTo>
                                <a:lnTo>
                                  <a:pt x="50" y="5921"/>
                                </a:lnTo>
                                <a:lnTo>
                                  <a:pt x="44" y="5916"/>
                                </a:lnTo>
                                <a:lnTo>
                                  <a:pt x="39" y="5912"/>
                                </a:lnTo>
                                <a:lnTo>
                                  <a:pt x="33" y="5907"/>
                                </a:lnTo>
                                <a:lnTo>
                                  <a:pt x="28" y="5901"/>
                                </a:lnTo>
                                <a:lnTo>
                                  <a:pt x="24" y="5896"/>
                                </a:lnTo>
                                <a:lnTo>
                                  <a:pt x="19" y="5890"/>
                                </a:lnTo>
                                <a:lnTo>
                                  <a:pt x="15" y="5883"/>
                                </a:lnTo>
                                <a:lnTo>
                                  <a:pt x="12" y="5877"/>
                                </a:lnTo>
                                <a:lnTo>
                                  <a:pt x="9" y="5870"/>
                                </a:lnTo>
                                <a:lnTo>
                                  <a:pt x="6" y="5863"/>
                                </a:lnTo>
                                <a:lnTo>
                                  <a:pt x="4" y="5856"/>
                                </a:lnTo>
                                <a:lnTo>
                                  <a:pt x="3" y="5849"/>
                                </a:lnTo>
                                <a:lnTo>
                                  <a:pt x="1" y="5842"/>
                                </a:lnTo>
                                <a:lnTo>
                                  <a:pt x="0" y="5834"/>
                                </a:lnTo>
                                <a:lnTo>
                                  <a:pt x="0" y="5827"/>
                                </a:lnTo>
                                <a:close/>
                                <a:moveTo>
                                  <a:pt x="0" y="11737"/>
                                </a:moveTo>
                                <a:lnTo>
                                  <a:pt x="0" y="6067"/>
                                </a:lnTo>
                                <a:lnTo>
                                  <a:pt x="0" y="6060"/>
                                </a:lnTo>
                                <a:lnTo>
                                  <a:pt x="1" y="6052"/>
                                </a:lnTo>
                                <a:lnTo>
                                  <a:pt x="3" y="6045"/>
                                </a:lnTo>
                                <a:lnTo>
                                  <a:pt x="4" y="6038"/>
                                </a:lnTo>
                                <a:lnTo>
                                  <a:pt x="6" y="6031"/>
                                </a:lnTo>
                                <a:lnTo>
                                  <a:pt x="9" y="6024"/>
                                </a:lnTo>
                                <a:lnTo>
                                  <a:pt x="12" y="6017"/>
                                </a:lnTo>
                                <a:lnTo>
                                  <a:pt x="15" y="6011"/>
                                </a:lnTo>
                                <a:lnTo>
                                  <a:pt x="19" y="6005"/>
                                </a:lnTo>
                                <a:lnTo>
                                  <a:pt x="24" y="5998"/>
                                </a:lnTo>
                                <a:lnTo>
                                  <a:pt x="28" y="5993"/>
                                </a:lnTo>
                                <a:lnTo>
                                  <a:pt x="33" y="5987"/>
                                </a:lnTo>
                                <a:lnTo>
                                  <a:pt x="39" y="5982"/>
                                </a:lnTo>
                                <a:lnTo>
                                  <a:pt x="44" y="5978"/>
                                </a:lnTo>
                                <a:lnTo>
                                  <a:pt x="50" y="5973"/>
                                </a:lnTo>
                                <a:lnTo>
                                  <a:pt x="57" y="5969"/>
                                </a:lnTo>
                                <a:lnTo>
                                  <a:pt x="63" y="5966"/>
                                </a:lnTo>
                                <a:lnTo>
                                  <a:pt x="70" y="5963"/>
                                </a:lnTo>
                                <a:lnTo>
                                  <a:pt x="77" y="5960"/>
                                </a:lnTo>
                                <a:lnTo>
                                  <a:pt x="84" y="5958"/>
                                </a:lnTo>
                                <a:lnTo>
                                  <a:pt x="91" y="5957"/>
                                </a:lnTo>
                                <a:lnTo>
                                  <a:pt x="98" y="5955"/>
                                </a:lnTo>
                                <a:lnTo>
                                  <a:pt x="106" y="5955"/>
                                </a:lnTo>
                                <a:lnTo>
                                  <a:pt x="113" y="5955"/>
                                </a:lnTo>
                                <a:lnTo>
                                  <a:pt x="9473" y="5955"/>
                                </a:lnTo>
                                <a:lnTo>
                                  <a:pt x="9480" y="5955"/>
                                </a:lnTo>
                                <a:lnTo>
                                  <a:pt x="9488" y="5955"/>
                                </a:lnTo>
                                <a:lnTo>
                                  <a:pt x="9495" y="5957"/>
                                </a:lnTo>
                                <a:lnTo>
                                  <a:pt x="9502" y="5958"/>
                                </a:lnTo>
                                <a:lnTo>
                                  <a:pt x="9509" y="5960"/>
                                </a:lnTo>
                                <a:lnTo>
                                  <a:pt x="9516" y="5963"/>
                                </a:lnTo>
                                <a:lnTo>
                                  <a:pt x="9523" y="5966"/>
                                </a:lnTo>
                                <a:lnTo>
                                  <a:pt x="9529" y="5969"/>
                                </a:lnTo>
                                <a:lnTo>
                                  <a:pt x="9535" y="5973"/>
                                </a:lnTo>
                                <a:lnTo>
                                  <a:pt x="9542" y="5978"/>
                                </a:lnTo>
                                <a:lnTo>
                                  <a:pt x="9547" y="5982"/>
                                </a:lnTo>
                                <a:lnTo>
                                  <a:pt x="9553" y="5987"/>
                                </a:lnTo>
                                <a:lnTo>
                                  <a:pt x="9558" y="5993"/>
                                </a:lnTo>
                                <a:lnTo>
                                  <a:pt x="9562" y="5998"/>
                                </a:lnTo>
                                <a:lnTo>
                                  <a:pt x="9567" y="6005"/>
                                </a:lnTo>
                                <a:lnTo>
                                  <a:pt x="9571" y="6011"/>
                                </a:lnTo>
                                <a:lnTo>
                                  <a:pt x="9574" y="6017"/>
                                </a:lnTo>
                                <a:lnTo>
                                  <a:pt x="9577" y="6024"/>
                                </a:lnTo>
                                <a:lnTo>
                                  <a:pt x="9580" y="6031"/>
                                </a:lnTo>
                                <a:lnTo>
                                  <a:pt x="9582" y="6038"/>
                                </a:lnTo>
                                <a:lnTo>
                                  <a:pt x="9583" y="6045"/>
                                </a:lnTo>
                                <a:lnTo>
                                  <a:pt x="9585" y="6052"/>
                                </a:lnTo>
                                <a:lnTo>
                                  <a:pt x="9585" y="6060"/>
                                </a:lnTo>
                                <a:lnTo>
                                  <a:pt x="9585" y="6067"/>
                                </a:lnTo>
                                <a:lnTo>
                                  <a:pt x="9585" y="11737"/>
                                </a:lnTo>
                                <a:lnTo>
                                  <a:pt x="9585" y="11744"/>
                                </a:lnTo>
                                <a:lnTo>
                                  <a:pt x="9585" y="11752"/>
                                </a:lnTo>
                                <a:lnTo>
                                  <a:pt x="9583" y="11759"/>
                                </a:lnTo>
                                <a:lnTo>
                                  <a:pt x="9582" y="11766"/>
                                </a:lnTo>
                                <a:lnTo>
                                  <a:pt x="9580" y="11773"/>
                                </a:lnTo>
                                <a:lnTo>
                                  <a:pt x="9577" y="11780"/>
                                </a:lnTo>
                                <a:lnTo>
                                  <a:pt x="9574" y="11787"/>
                                </a:lnTo>
                                <a:lnTo>
                                  <a:pt x="9571" y="11793"/>
                                </a:lnTo>
                                <a:lnTo>
                                  <a:pt x="9567" y="11800"/>
                                </a:lnTo>
                                <a:lnTo>
                                  <a:pt x="9562" y="11806"/>
                                </a:lnTo>
                                <a:lnTo>
                                  <a:pt x="9558" y="11811"/>
                                </a:lnTo>
                                <a:lnTo>
                                  <a:pt x="9553" y="11817"/>
                                </a:lnTo>
                                <a:lnTo>
                                  <a:pt x="9547" y="11822"/>
                                </a:lnTo>
                                <a:lnTo>
                                  <a:pt x="9542" y="11826"/>
                                </a:lnTo>
                                <a:lnTo>
                                  <a:pt x="9535" y="11831"/>
                                </a:lnTo>
                                <a:lnTo>
                                  <a:pt x="9529" y="11835"/>
                                </a:lnTo>
                                <a:lnTo>
                                  <a:pt x="9523" y="11838"/>
                                </a:lnTo>
                                <a:lnTo>
                                  <a:pt x="9516" y="11841"/>
                                </a:lnTo>
                                <a:lnTo>
                                  <a:pt x="9509" y="11844"/>
                                </a:lnTo>
                                <a:lnTo>
                                  <a:pt x="9502" y="11846"/>
                                </a:lnTo>
                                <a:lnTo>
                                  <a:pt x="9495" y="11847"/>
                                </a:lnTo>
                                <a:lnTo>
                                  <a:pt x="9488" y="11849"/>
                                </a:lnTo>
                                <a:lnTo>
                                  <a:pt x="9480" y="11850"/>
                                </a:lnTo>
                                <a:lnTo>
                                  <a:pt x="9473" y="11850"/>
                                </a:lnTo>
                                <a:lnTo>
                                  <a:pt x="113" y="11850"/>
                                </a:lnTo>
                                <a:lnTo>
                                  <a:pt x="106" y="11850"/>
                                </a:lnTo>
                                <a:lnTo>
                                  <a:pt x="98" y="11849"/>
                                </a:lnTo>
                                <a:lnTo>
                                  <a:pt x="91" y="11847"/>
                                </a:lnTo>
                                <a:lnTo>
                                  <a:pt x="84" y="11846"/>
                                </a:lnTo>
                                <a:lnTo>
                                  <a:pt x="77" y="11844"/>
                                </a:lnTo>
                                <a:lnTo>
                                  <a:pt x="70" y="11841"/>
                                </a:lnTo>
                                <a:lnTo>
                                  <a:pt x="63" y="11838"/>
                                </a:lnTo>
                                <a:lnTo>
                                  <a:pt x="57" y="11835"/>
                                </a:lnTo>
                                <a:lnTo>
                                  <a:pt x="50" y="11831"/>
                                </a:lnTo>
                                <a:lnTo>
                                  <a:pt x="44" y="11826"/>
                                </a:lnTo>
                                <a:lnTo>
                                  <a:pt x="39" y="11822"/>
                                </a:lnTo>
                                <a:lnTo>
                                  <a:pt x="33" y="11817"/>
                                </a:lnTo>
                                <a:lnTo>
                                  <a:pt x="28" y="11811"/>
                                </a:lnTo>
                                <a:lnTo>
                                  <a:pt x="24" y="11806"/>
                                </a:lnTo>
                                <a:lnTo>
                                  <a:pt x="19" y="11800"/>
                                </a:lnTo>
                                <a:lnTo>
                                  <a:pt x="15" y="11793"/>
                                </a:lnTo>
                                <a:lnTo>
                                  <a:pt x="12" y="11787"/>
                                </a:lnTo>
                                <a:lnTo>
                                  <a:pt x="9" y="11780"/>
                                </a:lnTo>
                                <a:lnTo>
                                  <a:pt x="6" y="11773"/>
                                </a:lnTo>
                                <a:lnTo>
                                  <a:pt x="4" y="11766"/>
                                </a:lnTo>
                                <a:lnTo>
                                  <a:pt x="3" y="11759"/>
                                </a:lnTo>
                                <a:lnTo>
                                  <a:pt x="1" y="11752"/>
                                </a:lnTo>
                                <a:lnTo>
                                  <a:pt x="0" y="11744"/>
                                </a:lnTo>
                                <a:lnTo>
                                  <a:pt x="0" y="11737"/>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799319572" name="Picture 2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7"/>
                            <a:ext cx="255" cy="300"/>
                          </a:xfrm>
                          <a:prstGeom prst="rect">
                            <a:avLst/>
                          </a:prstGeom>
                          <a:noFill/>
                          <a:ln>
                            <a:noFill/>
                          </a:ln>
                          <a:effectLst/>
                        </pic:spPr>
                      </pic:pic>
                      <wps:wsp>
                        <wps:cNvPr id="1741748392" name="Rectangle 294"/>
                        <wps:cNvSpPr>
                          <a:spLocks noChangeArrowheads="1"/>
                        </wps:cNvSpPr>
                        <wps:spPr bwMode="auto">
                          <a:xfrm>
                            <a:off x="2070" y="2422"/>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519902352" name="AutoShape 293"/>
                        <wps:cNvSpPr/>
                        <wps:spPr bwMode="auto">
                          <a:xfrm>
                            <a:off x="2069" y="2422"/>
                            <a:ext cx="8130" cy="2700"/>
                          </a:xfrm>
                          <a:custGeom>
                            <a:avLst/>
                            <a:gdLst>
                              <a:gd name="T0" fmla="*/ 5190 w 8130"/>
                              <a:gd name="T1" fmla="*/ 4432 h 2700"/>
                              <a:gd name="T2" fmla="*/ 0 w 8130"/>
                              <a:gd name="T3" fmla="*/ 4432 h 2700"/>
                              <a:gd name="T4" fmla="*/ 0 w 8130"/>
                              <a:gd name="T5" fmla="*/ 4447 h 2700"/>
                              <a:gd name="T6" fmla="*/ 5190 w 8130"/>
                              <a:gd name="T7" fmla="*/ 4447 h 2700"/>
                              <a:gd name="T8" fmla="*/ 5190 w 8130"/>
                              <a:gd name="T9" fmla="*/ 4432 h 2700"/>
                              <a:gd name="T10" fmla="*/ 5190 w 8130"/>
                              <a:gd name="T11" fmla="*/ 3772 h 2700"/>
                              <a:gd name="T12" fmla="*/ 0 w 8130"/>
                              <a:gd name="T13" fmla="*/ 3772 h 2700"/>
                              <a:gd name="T14" fmla="*/ 0 w 8130"/>
                              <a:gd name="T15" fmla="*/ 3787 h 2700"/>
                              <a:gd name="T16" fmla="*/ 5190 w 8130"/>
                              <a:gd name="T17" fmla="*/ 3787 h 2700"/>
                              <a:gd name="T18" fmla="*/ 5190 w 8130"/>
                              <a:gd name="T19" fmla="*/ 3772 h 2700"/>
                              <a:gd name="T20" fmla="*/ 5190 w 8130"/>
                              <a:gd name="T21" fmla="*/ 3097 h 2700"/>
                              <a:gd name="T22" fmla="*/ 0 w 8130"/>
                              <a:gd name="T23" fmla="*/ 3097 h 2700"/>
                              <a:gd name="T24" fmla="*/ 0 w 8130"/>
                              <a:gd name="T25" fmla="*/ 3112 h 2700"/>
                              <a:gd name="T26" fmla="*/ 5190 w 8130"/>
                              <a:gd name="T27" fmla="*/ 3112 h 2700"/>
                              <a:gd name="T28" fmla="*/ 5190 w 8130"/>
                              <a:gd name="T29" fmla="*/ 3097 h 2700"/>
                              <a:gd name="T30" fmla="*/ 6810 w 8130"/>
                              <a:gd name="T31" fmla="*/ 4432 h 2700"/>
                              <a:gd name="T32" fmla="*/ 6195 w 8130"/>
                              <a:gd name="T33" fmla="*/ 4432 h 2700"/>
                              <a:gd name="T34" fmla="*/ 6195 w 8130"/>
                              <a:gd name="T35" fmla="*/ 4447 h 2700"/>
                              <a:gd name="T36" fmla="*/ 6810 w 8130"/>
                              <a:gd name="T37" fmla="*/ 4447 h 2700"/>
                              <a:gd name="T38" fmla="*/ 6810 w 8130"/>
                              <a:gd name="T39" fmla="*/ 4432 h 2700"/>
                              <a:gd name="T40" fmla="*/ 6810 w 8130"/>
                              <a:gd name="T41" fmla="*/ 3772 h 2700"/>
                              <a:gd name="T42" fmla="*/ 6195 w 8130"/>
                              <a:gd name="T43" fmla="*/ 3772 h 2700"/>
                              <a:gd name="T44" fmla="*/ 6195 w 8130"/>
                              <a:gd name="T45" fmla="*/ 3787 h 2700"/>
                              <a:gd name="T46" fmla="*/ 6810 w 8130"/>
                              <a:gd name="T47" fmla="*/ 3787 h 2700"/>
                              <a:gd name="T48" fmla="*/ 6810 w 8130"/>
                              <a:gd name="T49" fmla="*/ 3772 h 2700"/>
                              <a:gd name="T50" fmla="*/ 6810 w 8130"/>
                              <a:gd name="T51" fmla="*/ 3097 h 2700"/>
                              <a:gd name="T52" fmla="*/ 6195 w 8130"/>
                              <a:gd name="T53" fmla="*/ 3097 h 2700"/>
                              <a:gd name="T54" fmla="*/ 6195 w 8130"/>
                              <a:gd name="T55" fmla="*/ 3112 h 2700"/>
                              <a:gd name="T56" fmla="*/ 6810 w 8130"/>
                              <a:gd name="T57" fmla="*/ 3112 h 2700"/>
                              <a:gd name="T58" fmla="*/ 6810 w 8130"/>
                              <a:gd name="T59" fmla="*/ 3097 h 2700"/>
                              <a:gd name="T60" fmla="*/ 8130 w 8130"/>
                              <a:gd name="T61" fmla="*/ 5107 h 2700"/>
                              <a:gd name="T62" fmla="*/ 0 w 8130"/>
                              <a:gd name="T63" fmla="*/ 5107 h 2700"/>
                              <a:gd name="T64" fmla="*/ 0 w 8130"/>
                              <a:gd name="T65" fmla="*/ 5122 h 2700"/>
                              <a:gd name="T66" fmla="*/ 8130 w 8130"/>
                              <a:gd name="T67" fmla="*/ 5122 h 2700"/>
                              <a:gd name="T68" fmla="*/ 8130 w 8130"/>
                              <a:gd name="T69" fmla="*/ 5107 h 2700"/>
                              <a:gd name="T70" fmla="*/ 8130 w 8130"/>
                              <a:gd name="T71" fmla="*/ 4432 h 2700"/>
                              <a:gd name="T72" fmla="*/ 7815 w 8130"/>
                              <a:gd name="T73" fmla="*/ 4432 h 2700"/>
                              <a:gd name="T74" fmla="*/ 7815 w 8130"/>
                              <a:gd name="T75" fmla="*/ 4447 h 2700"/>
                              <a:gd name="T76" fmla="*/ 8130 w 8130"/>
                              <a:gd name="T77" fmla="*/ 4447 h 2700"/>
                              <a:gd name="T78" fmla="*/ 8130 w 8130"/>
                              <a:gd name="T79" fmla="*/ 4432 h 2700"/>
                              <a:gd name="T80" fmla="*/ 8130 w 8130"/>
                              <a:gd name="T81" fmla="*/ 3772 h 2700"/>
                              <a:gd name="T82" fmla="*/ 7815 w 8130"/>
                              <a:gd name="T83" fmla="*/ 3772 h 2700"/>
                              <a:gd name="T84" fmla="*/ 7815 w 8130"/>
                              <a:gd name="T85" fmla="*/ 3787 h 2700"/>
                              <a:gd name="T86" fmla="*/ 8130 w 8130"/>
                              <a:gd name="T87" fmla="*/ 3787 h 2700"/>
                              <a:gd name="T88" fmla="*/ 8130 w 8130"/>
                              <a:gd name="T89" fmla="*/ 3772 h 2700"/>
                              <a:gd name="T90" fmla="*/ 8130 w 8130"/>
                              <a:gd name="T91" fmla="*/ 3097 h 2700"/>
                              <a:gd name="T92" fmla="*/ 7815 w 8130"/>
                              <a:gd name="T93" fmla="*/ 3097 h 2700"/>
                              <a:gd name="T94" fmla="*/ 7815 w 8130"/>
                              <a:gd name="T95" fmla="*/ 3112 h 2700"/>
                              <a:gd name="T96" fmla="*/ 8130 w 8130"/>
                              <a:gd name="T97" fmla="*/ 3112 h 2700"/>
                              <a:gd name="T98" fmla="*/ 8130 w 8130"/>
                              <a:gd name="T99" fmla="*/ 3097 h 2700"/>
                              <a:gd name="T100" fmla="*/ 8130 w 8130"/>
                              <a:gd name="T101" fmla="*/ 2422 h 2700"/>
                              <a:gd name="T102" fmla="*/ 0 w 8130"/>
                              <a:gd name="T103" fmla="*/ 2422 h 2700"/>
                              <a:gd name="T104" fmla="*/ 0 w 8130"/>
                              <a:gd name="T105" fmla="*/ 2437 h 2700"/>
                              <a:gd name="T106" fmla="*/ 8130 w 8130"/>
                              <a:gd name="T107" fmla="*/ 2437 h 2700"/>
                              <a:gd name="T108" fmla="*/ 8130 w 8130"/>
                              <a:gd name="T109" fmla="*/ 2422 h 27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700">
                                <a:moveTo>
                                  <a:pt x="5190" y="2010"/>
                                </a:moveTo>
                                <a:lnTo>
                                  <a:pt x="0" y="2010"/>
                                </a:lnTo>
                                <a:lnTo>
                                  <a:pt x="0" y="2025"/>
                                </a:lnTo>
                                <a:lnTo>
                                  <a:pt x="5190" y="2025"/>
                                </a:lnTo>
                                <a:lnTo>
                                  <a:pt x="5190" y="2010"/>
                                </a:lnTo>
                                <a:close/>
                                <a:moveTo>
                                  <a:pt x="5190" y="1350"/>
                                </a:moveTo>
                                <a:lnTo>
                                  <a:pt x="0" y="1350"/>
                                </a:lnTo>
                                <a:lnTo>
                                  <a:pt x="0" y="1365"/>
                                </a:lnTo>
                                <a:lnTo>
                                  <a:pt x="5190" y="1365"/>
                                </a:lnTo>
                                <a:lnTo>
                                  <a:pt x="5190" y="1350"/>
                                </a:lnTo>
                                <a:close/>
                                <a:moveTo>
                                  <a:pt x="5190" y="675"/>
                                </a:moveTo>
                                <a:lnTo>
                                  <a:pt x="0" y="675"/>
                                </a:lnTo>
                                <a:lnTo>
                                  <a:pt x="0" y="690"/>
                                </a:lnTo>
                                <a:lnTo>
                                  <a:pt x="5190" y="690"/>
                                </a:lnTo>
                                <a:lnTo>
                                  <a:pt x="5190" y="675"/>
                                </a:lnTo>
                                <a:close/>
                                <a:moveTo>
                                  <a:pt x="6810" y="2010"/>
                                </a:moveTo>
                                <a:lnTo>
                                  <a:pt x="6195" y="2010"/>
                                </a:lnTo>
                                <a:lnTo>
                                  <a:pt x="6195" y="2025"/>
                                </a:lnTo>
                                <a:lnTo>
                                  <a:pt x="6810" y="2025"/>
                                </a:lnTo>
                                <a:lnTo>
                                  <a:pt x="6810" y="2010"/>
                                </a:lnTo>
                                <a:close/>
                                <a:moveTo>
                                  <a:pt x="6810" y="1350"/>
                                </a:moveTo>
                                <a:lnTo>
                                  <a:pt x="6195" y="1350"/>
                                </a:lnTo>
                                <a:lnTo>
                                  <a:pt x="6195" y="1365"/>
                                </a:lnTo>
                                <a:lnTo>
                                  <a:pt x="6810" y="1365"/>
                                </a:lnTo>
                                <a:lnTo>
                                  <a:pt x="6810" y="1350"/>
                                </a:lnTo>
                                <a:close/>
                                <a:moveTo>
                                  <a:pt x="6810" y="675"/>
                                </a:moveTo>
                                <a:lnTo>
                                  <a:pt x="6195" y="675"/>
                                </a:lnTo>
                                <a:lnTo>
                                  <a:pt x="6195"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249393810" name="AutoShape 292"/>
                        <wps:cNvSpPr/>
                        <wps:spPr bwMode="auto">
                          <a:xfrm>
                            <a:off x="2069" y="2752"/>
                            <a:ext cx="8130" cy="2040"/>
                          </a:xfrm>
                          <a:custGeom>
                            <a:avLst/>
                            <a:gdLst>
                              <a:gd name="T0" fmla="*/ 3570 w 8130"/>
                              <a:gd name="T1" fmla="*/ 4777 h 2040"/>
                              <a:gd name="T2" fmla="*/ 0 w 8130"/>
                              <a:gd name="T3" fmla="*/ 4777 h 2040"/>
                              <a:gd name="T4" fmla="*/ 0 w 8130"/>
                              <a:gd name="T5" fmla="*/ 4792 h 2040"/>
                              <a:gd name="T6" fmla="*/ 3570 w 8130"/>
                              <a:gd name="T7" fmla="*/ 4792 h 2040"/>
                              <a:gd name="T8" fmla="*/ 3570 w 8130"/>
                              <a:gd name="T9" fmla="*/ 4777 h 2040"/>
                              <a:gd name="T10" fmla="*/ 5190 w 8130"/>
                              <a:gd name="T11" fmla="*/ 4777 h 2040"/>
                              <a:gd name="T12" fmla="*/ 4560 w 8130"/>
                              <a:gd name="T13" fmla="*/ 4777 h 2040"/>
                              <a:gd name="T14" fmla="*/ 4560 w 8130"/>
                              <a:gd name="T15" fmla="*/ 4792 h 2040"/>
                              <a:gd name="T16" fmla="*/ 5190 w 8130"/>
                              <a:gd name="T17" fmla="*/ 4792 h 2040"/>
                              <a:gd name="T18" fmla="*/ 5190 w 8130"/>
                              <a:gd name="T19" fmla="*/ 4777 h 2040"/>
                              <a:gd name="T20" fmla="*/ 5190 w 8130"/>
                              <a:gd name="T21" fmla="*/ 4102 h 2040"/>
                              <a:gd name="T22" fmla="*/ 0 w 8130"/>
                              <a:gd name="T23" fmla="*/ 4102 h 2040"/>
                              <a:gd name="T24" fmla="*/ 0 w 8130"/>
                              <a:gd name="T25" fmla="*/ 4117 h 2040"/>
                              <a:gd name="T26" fmla="*/ 5190 w 8130"/>
                              <a:gd name="T27" fmla="*/ 4117 h 2040"/>
                              <a:gd name="T28" fmla="*/ 5190 w 8130"/>
                              <a:gd name="T29" fmla="*/ 4102 h 2040"/>
                              <a:gd name="T30" fmla="*/ 5190 w 8130"/>
                              <a:gd name="T31" fmla="*/ 3427 h 2040"/>
                              <a:gd name="T32" fmla="*/ 0 w 8130"/>
                              <a:gd name="T33" fmla="*/ 3427 h 2040"/>
                              <a:gd name="T34" fmla="*/ 0 w 8130"/>
                              <a:gd name="T35" fmla="*/ 3442 h 2040"/>
                              <a:gd name="T36" fmla="*/ 5190 w 8130"/>
                              <a:gd name="T37" fmla="*/ 3442 h 2040"/>
                              <a:gd name="T38" fmla="*/ 5190 w 8130"/>
                              <a:gd name="T39" fmla="*/ 3427 h 2040"/>
                              <a:gd name="T40" fmla="*/ 6810 w 8130"/>
                              <a:gd name="T41" fmla="*/ 4777 h 2040"/>
                              <a:gd name="T42" fmla="*/ 6195 w 8130"/>
                              <a:gd name="T43" fmla="*/ 4777 h 2040"/>
                              <a:gd name="T44" fmla="*/ 6195 w 8130"/>
                              <a:gd name="T45" fmla="*/ 4792 h 2040"/>
                              <a:gd name="T46" fmla="*/ 6810 w 8130"/>
                              <a:gd name="T47" fmla="*/ 4792 h 2040"/>
                              <a:gd name="T48" fmla="*/ 6810 w 8130"/>
                              <a:gd name="T49" fmla="*/ 4777 h 2040"/>
                              <a:gd name="T50" fmla="*/ 6810 w 8130"/>
                              <a:gd name="T51" fmla="*/ 4102 h 2040"/>
                              <a:gd name="T52" fmla="*/ 6195 w 8130"/>
                              <a:gd name="T53" fmla="*/ 4102 h 2040"/>
                              <a:gd name="T54" fmla="*/ 6195 w 8130"/>
                              <a:gd name="T55" fmla="*/ 4117 h 2040"/>
                              <a:gd name="T56" fmla="*/ 6810 w 8130"/>
                              <a:gd name="T57" fmla="*/ 4117 h 2040"/>
                              <a:gd name="T58" fmla="*/ 6810 w 8130"/>
                              <a:gd name="T59" fmla="*/ 4102 h 2040"/>
                              <a:gd name="T60" fmla="*/ 6810 w 8130"/>
                              <a:gd name="T61" fmla="*/ 3427 h 2040"/>
                              <a:gd name="T62" fmla="*/ 6195 w 8130"/>
                              <a:gd name="T63" fmla="*/ 3427 h 2040"/>
                              <a:gd name="T64" fmla="*/ 6195 w 8130"/>
                              <a:gd name="T65" fmla="*/ 3442 h 2040"/>
                              <a:gd name="T66" fmla="*/ 6810 w 8130"/>
                              <a:gd name="T67" fmla="*/ 3442 h 2040"/>
                              <a:gd name="T68" fmla="*/ 6810 w 8130"/>
                              <a:gd name="T69" fmla="*/ 3427 h 2040"/>
                              <a:gd name="T70" fmla="*/ 8130 w 8130"/>
                              <a:gd name="T71" fmla="*/ 4777 h 2040"/>
                              <a:gd name="T72" fmla="*/ 7815 w 8130"/>
                              <a:gd name="T73" fmla="*/ 4777 h 2040"/>
                              <a:gd name="T74" fmla="*/ 7815 w 8130"/>
                              <a:gd name="T75" fmla="*/ 4792 h 2040"/>
                              <a:gd name="T76" fmla="*/ 8130 w 8130"/>
                              <a:gd name="T77" fmla="*/ 4792 h 2040"/>
                              <a:gd name="T78" fmla="*/ 8130 w 8130"/>
                              <a:gd name="T79" fmla="*/ 4777 h 2040"/>
                              <a:gd name="T80" fmla="*/ 8130 w 8130"/>
                              <a:gd name="T81" fmla="*/ 4102 h 2040"/>
                              <a:gd name="T82" fmla="*/ 7815 w 8130"/>
                              <a:gd name="T83" fmla="*/ 4102 h 2040"/>
                              <a:gd name="T84" fmla="*/ 7815 w 8130"/>
                              <a:gd name="T85" fmla="*/ 4117 h 2040"/>
                              <a:gd name="T86" fmla="*/ 8130 w 8130"/>
                              <a:gd name="T87" fmla="*/ 4117 h 2040"/>
                              <a:gd name="T88" fmla="*/ 8130 w 8130"/>
                              <a:gd name="T89" fmla="*/ 4102 h 2040"/>
                              <a:gd name="T90" fmla="*/ 8130 w 8130"/>
                              <a:gd name="T91" fmla="*/ 3427 h 2040"/>
                              <a:gd name="T92" fmla="*/ 7815 w 8130"/>
                              <a:gd name="T93" fmla="*/ 3427 h 2040"/>
                              <a:gd name="T94" fmla="*/ 7815 w 8130"/>
                              <a:gd name="T95" fmla="*/ 3442 h 2040"/>
                              <a:gd name="T96" fmla="*/ 8130 w 8130"/>
                              <a:gd name="T97" fmla="*/ 3442 h 2040"/>
                              <a:gd name="T98" fmla="*/ 8130 w 8130"/>
                              <a:gd name="T99" fmla="*/ 3427 h 2040"/>
                              <a:gd name="T100" fmla="*/ 8130 w 8130"/>
                              <a:gd name="T101" fmla="*/ 2752 h 2040"/>
                              <a:gd name="T102" fmla="*/ 0 w 8130"/>
                              <a:gd name="T103" fmla="*/ 2752 h 2040"/>
                              <a:gd name="T104" fmla="*/ 0 w 8130"/>
                              <a:gd name="T105" fmla="*/ 2767 h 2040"/>
                              <a:gd name="T106" fmla="*/ 8130 w 8130"/>
                              <a:gd name="T107" fmla="*/ 2767 h 2040"/>
                              <a:gd name="T108" fmla="*/ 8130 w 8130"/>
                              <a:gd name="T109" fmla="*/ 2752 h 204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040">
                                <a:moveTo>
                                  <a:pt x="3570" y="2025"/>
                                </a:moveTo>
                                <a:lnTo>
                                  <a:pt x="0" y="2025"/>
                                </a:lnTo>
                                <a:lnTo>
                                  <a:pt x="0" y="2040"/>
                                </a:lnTo>
                                <a:lnTo>
                                  <a:pt x="3570" y="2040"/>
                                </a:lnTo>
                                <a:lnTo>
                                  <a:pt x="3570" y="2025"/>
                                </a:lnTo>
                                <a:close/>
                                <a:moveTo>
                                  <a:pt x="5190" y="2025"/>
                                </a:moveTo>
                                <a:lnTo>
                                  <a:pt x="4560" y="2025"/>
                                </a:lnTo>
                                <a:lnTo>
                                  <a:pt x="4560" y="2040"/>
                                </a:lnTo>
                                <a:lnTo>
                                  <a:pt x="5190" y="2040"/>
                                </a:lnTo>
                                <a:lnTo>
                                  <a:pt x="5190" y="2025"/>
                                </a:lnTo>
                                <a:close/>
                                <a:moveTo>
                                  <a:pt x="5190" y="1350"/>
                                </a:moveTo>
                                <a:lnTo>
                                  <a:pt x="0" y="1350"/>
                                </a:lnTo>
                                <a:lnTo>
                                  <a:pt x="0" y="1365"/>
                                </a:lnTo>
                                <a:lnTo>
                                  <a:pt x="5190" y="1365"/>
                                </a:lnTo>
                                <a:lnTo>
                                  <a:pt x="5190" y="1350"/>
                                </a:lnTo>
                                <a:close/>
                                <a:moveTo>
                                  <a:pt x="5190" y="675"/>
                                </a:moveTo>
                                <a:lnTo>
                                  <a:pt x="0" y="675"/>
                                </a:lnTo>
                                <a:lnTo>
                                  <a:pt x="0" y="690"/>
                                </a:lnTo>
                                <a:lnTo>
                                  <a:pt x="5190" y="690"/>
                                </a:lnTo>
                                <a:lnTo>
                                  <a:pt x="5190" y="675"/>
                                </a:lnTo>
                                <a:close/>
                                <a:moveTo>
                                  <a:pt x="6810" y="2025"/>
                                </a:moveTo>
                                <a:lnTo>
                                  <a:pt x="6195" y="2025"/>
                                </a:lnTo>
                                <a:lnTo>
                                  <a:pt x="6195" y="2040"/>
                                </a:lnTo>
                                <a:lnTo>
                                  <a:pt x="6810" y="2040"/>
                                </a:lnTo>
                                <a:lnTo>
                                  <a:pt x="6810" y="2025"/>
                                </a:lnTo>
                                <a:close/>
                                <a:moveTo>
                                  <a:pt x="6810" y="1350"/>
                                </a:moveTo>
                                <a:lnTo>
                                  <a:pt x="6195" y="1350"/>
                                </a:lnTo>
                                <a:lnTo>
                                  <a:pt x="6195" y="1365"/>
                                </a:lnTo>
                                <a:lnTo>
                                  <a:pt x="6810" y="1365"/>
                                </a:lnTo>
                                <a:lnTo>
                                  <a:pt x="6810" y="1350"/>
                                </a:lnTo>
                                <a:close/>
                                <a:moveTo>
                                  <a:pt x="6810" y="675"/>
                                </a:moveTo>
                                <a:lnTo>
                                  <a:pt x="6195" y="675"/>
                                </a:lnTo>
                                <a:lnTo>
                                  <a:pt x="6195" y="690"/>
                                </a:lnTo>
                                <a:lnTo>
                                  <a:pt x="6810" y="690"/>
                                </a:lnTo>
                                <a:lnTo>
                                  <a:pt x="6810" y="675"/>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2062421766" name="AutoShape 291"/>
                        <wps:cNvSpPr/>
                        <wps:spPr bwMode="auto">
                          <a:xfrm>
                            <a:off x="2384" y="4927"/>
                            <a:ext cx="2625" cy="188"/>
                          </a:xfrm>
                          <a:custGeom>
                            <a:avLst/>
                            <a:gdLst>
                              <a:gd name="T0" fmla="*/ 1005 w 2625"/>
                              <a:gd name="T1" fmla="*/ 5061 h 188"/>
                              <a:gd name="T2" fmla="*/ 0 w 2625"/>
                              <a:gd name="T3" fmla="*/ 5061 h 188"/>
                              <a:gd name="T4" fmla="*/ 0 w 2625"/>
                              <a:gd name="T5" fmla="*/ 5115 h 188"/>
                              <a:gd name="T6" fmla="*/ 1005 w 2625"/>
                              <a:gd name="T7" fmla="*/ 5115 h 188"/>
                              <a:gd name="T8" fmla="*/ 1005 w 2625"/>
                              <a:gd name="T9" fmla="*/ 5061 h 188"/>
                              <a:gd name="T10" fmla="*/ 2625 w 2625"/>
                              <a:gd name="T11" fmla="*/ 4927 h 188"/>
                              <a:gd name="T12" fmla="*/ 1620 w 2625"/>
                              <a:gd name="T13" fmla="*/ 4927 h 188"/>
                              <a:gd name="T14" fmla="*/ 1620 w 2625"/>
                              <a:gd name="T15" fmla="*/ 5107 h 188"/>
                              <a:gd name="T16" fmla="*/ 2625 w 2625"/>
                              <a:gd name="T17" fmla="*/ 5107 h 188"/>
                              <a:gd name="T18" fmla="*/ 2625 w 2625"/>
                              <a:gd name="T19" fmla="*/ 4927 h 1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25" h="188">
                                <a:moveTo>
                                  <a:pt x="1005" y="134"/>
                                </a:moveTo>
                                <a:lnTo>
                                  <a:pt x="0" y="134"/>
                                </a:lnTo>
                                <a:lnTo>
                                  <a:pt x="0" y="188"/>
                                </a:lnTo>
                                <a:lnTo>
                                  <a:pt x="1005" y="188"/>
                                </a:lnTo>
                                <a:lnTo>
                                  <a:pt x="1005" y="134"/>
                                </a:lnTo>
                                <a:close/>
                                <a:moveTo>
                                  <a:pt x="2625" y="0"/>
                                </a:moveTo>
                                <a:lnTo>
                                  <a:pt x="1620" y="0"/>
                                </a:lnTo>
                                <a:lnTo>
                                  <a:pt x="1620" y="180"/>
                                </a:lnTo>
                                <a:lnTo>
                                  <a:pt x="2625" y="180"/>
                                </a:lnTo>
                                <a:lnTo>
                                  <a:pt x="2625" y="0"/>
                                </a:lnTo>
                                <a:close/>
                              </a:path>
                            </a:pathLst>
                          </a:custGeom>
                          <a:solidFill>
                            <a:srgbClr val="663AB6"/>
                          </a:solidFill>
                          <a:ln>
                            <a:noFill/>
                          </a:ln>
                          <a:effectLst/>
                        </wps:spPr>
                        <wps:bodyPr rot="0" vert="horz" wrap="square" lIns="91440" tIns="45720" rIns="91440" bIns="45720" anchor="t" anchorCtr="0" upright="1">
                          <a:noAutofit/>
                        </wps:bodyPr>
                      </wps:wsp>
                      <wps:wsp>
                        <wps:cNvPr id="556693663" name="Rectangle 290"/>
                        <wps:cNvSpPr>
                          <a:spLocks noChangeArrowheads="1"/>
                        </wps:cNvSpPr>
                        <wps:spPr bwMode="auto">
                          <a:xfrm>
                            <a:off x="2070" y="5107"/>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638054380" name="AutoShape 289"/>
                        <wps:cNvSpPr/>
                        <wps:spPr bwMode="auto">
                          <a:xfrm>
                            <a:off x="2879" y="4747"/>
                            <a:ext cx="1635" cy="314"/>
                          </a:xfrm>
                          <a:custGeom>
                            <a:avLst/>
                            <a:gdLst>
                              <a:gd name="T0" fmla="*/ 15 w 1635"/>
                              <a:gd name="T1" fmla="*/ 4881 h 314"/>
                              <a:gd name="T2" fmla="*/ 0 w 1635"/>
                              <a:gd name="T3" fmla="*/ 4881 h 314"/>
                              <a:gd name="T4" fmla="*/ 0 w 1635"/>
                              <a:gd name="T5" fmla="*/ 5061 h 314"/>
                              <a:gd name="T6" fmla="*/ 15 w 1635"/>
                              <a:gd name="T7" fmla="*/ 5061 h 314"/>
                              <a:gd name="T8" fmla="*/ 15 w 1635"/>
                              <a:gd name="T9" fmla="*/ 4881 h 314"/>
                              <a:gd name="T10" fmla="*/ 1635 w 1635"/>
                              <a:gd name="T11" fmla="*/ 4747 h 314"/>
                              <a:gd name="T12" fmla="*/ 1620 w 1635"/>
                              <a:gd name="T13" fmla="*/ 4747 h 314"/>
                              <a:gd name="T14" fmla="*/ 1620 w 1635"/>
                              <a:gd name="T15" fmla="*/ 4927 h 314"/>
                              <a:gd name="T16" fmla="*/ 1635 w 1635"/>
                              <a:gd name="T17" fmla="*/ 4927 h 314"/>
                              <a:gd name="T18" fmla="*/ 1635 w 1635"/>
                              <a:gd name="T19" fmla="*/ 4747 h 3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5" h="314">
                                <a:moveTo>
                                  <a:pt x="15" y="134"/>
                                </a:moveTo>
                                <a:lnTo>
                                  <a:pt x="0" y="134"/>
                                </a:lnTo>
                                <a:lnTo>
                                  <a:pt x="0" y="314"/>
                                </a:lnTo>
                                <a:lnTo>
                                  <a:pt x="15" y="314"/>
                                </a:lnTo>
                                <a:lnTo>
                                  <a:pt x="15" y="134"/>
                                </a:lnTo>
                                <a:close/>
                                <a:moveTo>
                                  <a:pt x="1635" y="0"/>
                                </a:moveTo>
                                <a:lnTo>
                                  <a:pt x="1620" y="0"/>
                                </a:lnTo>
                                <a:lnTo>
                                  <a:pt x="1620" y="180"/>
                                </a:lnTo>
                                <a:lnTo>
                                  <a:pt x="1635" y="180"/>
                                </a:lnTo>
                                <a:lnTo>
                                  <a:pt x="1635" y="0"/>
                                </a:lnTo>
                                <a:close/>
                              </a:path>
                            </a:pathLst>
                          </a:custGeom>
                          <a:solidFill>
                            <a:srgbClr val="999999"/>
                          </a:solidFill>
                          <a:ln>
                            <a:noFill/>
                          </a:ln>
                          <a:effectLst/>
                        </wps:spPr>
                        <wps:bodyPr rot="0" vert="horz" wrap="square" lIns="91440" tIns="45720" rIns="91440" bIns="45720" anchor="t" anchorCtr="0" upright="1">
                          <a:noAutofit/>
                        </wps:bodyPr>
                      </wps:wsp>
                      <wps:wsp>
                        <wps:cNvPr id="1307482416" name="AutoShape 288"/>
                        <wps:cNvSpPr/>
                        <wps:spPr bwMode="auto">
                          <a:xfrm>
                            <a:off x="2559" y="4588"/>
                            <a:ext cx="2200" cy="303"/>
                          </a:xfrm>
                          <a:custGeom>
                            <a:avLst/>
                            <a:gdLst>
                              <a:gd name="T0" fmla="*/ 0 w 2200"/>
                              <a:gd name="T1" fmla="*/ 4772 h 303"/>
                              <a:gd name="T2" fmla="*/ 48 w 2200"/>
                              <a:gd name="T3" fmla="*/ 4854 h 303"/>
                              <a:gd name="T4" fmla="*/ 142 w 2200"/>
                              <a:gd name="T5" fmla="*/ 4807 h 303"/>
                              <a:gd name="T6" fmla="*/ 184 w 2200"/>
                              <a:gd name="T7" fmla="*/ 4723 h 303"/>
                              <a:gd name="T8" fmla="*/ 158 w 2200"/>
                              <a:gd name="T9" fmla="*/ 4807 h 303"/>
                              <a:gd name="T10" fmla="*/ 238 w 2200"/>
                              <a:gd name="T11" fmla="*/ 4757 h 303"/>
                              <a:gd name="T12" fmla="*/ 234 w 2200"/>
                              <a:gd name="T13" fmla="*/ 4742 h 303"/>
                              <a:gd name="T14" fmla="*/ 325 w 2200"/>
                              <a:gd name="T15" fmla="*/ 4854 h 303"/>
                              <a:gd name="T16" fmla="*/ 389 w 2200"/>
                              <a:gd name="T17" fmla="*/ 4843 h 303"/>
                              <a:gd name="T18" fmla="*/ 409 w 2200"/>
                              <a:gd name="T19" fmla="*/ 4798 h 303"/>
                              <a:gd name="T20" fmla="*/ 383 w 2200"/>
                              <a:gd name="T21" fmla="*/ 4779 h 303"/>
                              <a:gd name="T22" fmla="*/ 408 w 2200"/>
                              <a:gd name="T23" fmla="*/ 4747 h 303"/>
                              <a:gd name="T24" fmla="*/ 367 w 2200"/>
                              <a:gd name="T25" fmla="*/ 4753 h 303"/>
                              <a:gd name="T26" fmla="*/ 396 w 2200"/>
                              <a:gd name="T27" fmla="*/ 4724 h 303"/>
                              <a:gd name="T28" fmla="*/ 426 w 2200"/>
                              <a:gd name="T29" fmla="*/ 4763 h 303"/>
                              <a:gd name="T30" fmla="*/ 431 w 2200"/>
                              <a:gd name="T31" fmla="*/ 4800 h 303"/>
                              <a:gd name="T32" fmla="*/ 378 w 2200"/>
                              <a:gd name="T33" fmla="*/ 4856 h 303"/>
                              <a:gd name="T34" fmla="*/ 458 w 2200"/>
                              <a:gd name="T35" fmla="*/ 4732 h 303"/>
                              <a:gd name="T36" fmla="*/ 507 w 2200"/>
                              <a:gd name="T37" fmla="*/ 4757 h 303"/>
                              <a:gd name="T38" fmla="*/ 459 w 2200"/>
                              <a:gd name="T39" fmla="*/ 4782 h 303"/>
                              <a:gd name="T40" fmla="*/ 465 w 2200"/>
                              <a:gd name="T41" fmla="*/ 4748 h 303"/>
                              <a:gd name="T42" fmla="*/ 486 w 2200"/>
                              <a:gd name="T43" fmla="*/ 4778 h 303"/>
                              <a:gd name="T44" fmla="*/ 483 w 2200"/>
                              <a:gd name="T45" fmla="*/ 4734 h 303"/>
                              <a:gd name="T46" fmla="*/ 537 w 2200"/>
                              <a:gd name="T47" fmla="*/ 4806 h 303"/>
                              <a:gd name="T48" fmla="*/ 590 w 2200"/>
                              <a:gd name="T49" fmla="*/ 4813 h 303"/>
                              <a:gd name="T50" fmla="*/ 548 w 2200"/>
                              <a:gd name="T51" fmla="*/ 4856 h 303"/>
                              <a:gd name="T52" fmla="*/ 550 w 2200"/>
                              <a:gd name="T53" fmla="*/ 4810 h 303"/>
                              <a:gd name="T54" fmla="*/ 566 w 2200"/>
                              <a:gd name="T55" fmla="*/ 4848 h 303"/>
                              <a:gd name="T56" fmla="*/ 570 w 2200"/>
                              <a:gd name="T57" fmla="*/ 4803 h 303"/>
                              <a:gd name="T58" fmla="*/ 638 w 2200"/>
                              <a:gd name="T59" fmla="*/ 4796 h 303"/>
                              <a:gd name="T60" fmla="*/ 623 w 2200"/>
                              <a:gd name="T61" fmla="*/ 4723 h 303"/>
                              <a:gd name="T62" fmla="*/ 654 w 2200"/>
                              <a:gd name="T63" fmla="*/ 4819 h 303"/>
                              <a:gd name="T64" fmla="*/ 1699 w 2200"/>
                              <a:gd name="T65" fmla="*/ 4684 h 303"/>
                              <a:gd name="T66" fmla="*/ 1743 w 2200"/>
                              <a:gd name="T67" fmla="*/ 4701 h 303"/>
                              <a:gd name="T68" fmla="*/ 1726 w 2200"/>
                              <a:gd name="T69" fmla="*/ 4657 h 303"/>
                              <a:gd name="T70" fmla="*/ 1732 w 2200"/>
                              <a:gd name="T71" fmla="*/ 4643 h 303"/>
                              <a:gd name="T72" fmla="*/ 1730 w 2200"/>
                              <a:gd name="T73" fmla="*/ 4603 h 303"/>
                              <a:gd name="T74" fmla="*/ 1687 w 2200"/>
                              <a:gd name="T75" fmla="*/ 4613 h 303"/>
                              <a:gd name="T76" fmla="*/ 1749 w 2200"/>
                              <a:gd name="T77" fmla="*/ 4598 h 303"/>
                              <a:gd name="T78" fmla="*/ 1754 w 2200"/>
                              <a:gd name="T79" fmla="*/ 4644 h 303"/>
                              <a:gd name="T80" fmla="*/ 1768 w 2200"/>
                              <a:gd name="T81" fmla="*/ 4693 h 303"/>
                              <a:gd name="T82" fmla="*/ 1689 w 2200"/>
                              <a:gd name="T83" fmla="*/ 4705 h 303"/>
                              <a:gd name="T84" fmla="*/ 1839 w 2200"/>
                              <a:gd name="T85" fmla="*/ 4697 h 303"/>
                              <a:gd name="T86" fmla="*/ 1860 w 2200"/>
                              <a:gd name="T87" fmla="*/ 4600 h 303"/>
                              <a:gd name="T88" fmla="*/ 1854 w 2200"/>
                              <a:gd name="T89" fmla="*/ 4651 h 303"/>
                              <a:gd name="T90" fmla="*/ 1944 w 2200"/>
                              <a:gd name="T91" fmla="*/ 4689 h 303"/>
                              <a:gd name="T92" fmla="*/ 1960 w 2200"/>
                              <a:gd name="T93" fmla="*/ 4720 h 303"/>
                              <a:gd name="T94" fmla="*/ 2003 w 2200"/>
                              <a:gd name="T95" fmla="*/ 4598 h 303"/>
                              <a:gd name="T96" fmla="*/ 2052 w 2200"/>
                              <a:gd name="T97" fmla="*/ 4623 h 303"/>
                              <a:gd name="T98" fmla="*/ 2004 w 2200"/>
                              <a:gd name="T99" fmla="*/ 4648 h 303"/>
                              <a:gd name="T100" fmla="*/ 2010 w 2200"/>
                              <a:gd name="T101" fmla="*/ 4614 h 303"/>
                              <a:gd name="T102" fmla="*/ 2031 w 2200"/>
                              <a:gd name="T103" fmla="*/ 4644 h 303"/>
                              <a:gd name="T104" fmla="*/ 2028 w 2200"/>
                              <a:gd name="T105" fmla="*/ 4600 h 303"/>
                              <a:gd name="T106" fmla="*/ 2082 w 2200"/>
                              <a:gd name="T107" fmla="*/ 4673 h 303"/>
                              <a:gd name="T108" fmla="*/ 2135 w 2200"/>
                              <a:gd name="T109" fmla="*/ 4679 h 303"/>
                              <a:gd name="T110" fmla="*/ 2093 w 2200"/>
                              <a:gd name="T111" fmla="*/ 4722 h 303"/>
                              <a:gd name="T112" fmla="*/ 2095 w 2200"/>
                              <a:gd name="T113" fmla="*/ 4676 h 303"/>
                              <a:gd name="T114" fmla="*/ 2111 w 2200"/>
                              <a:gd name="T115" fmla="*/ 4714 h 303"/>
                              <a:gd name="T116" fmla="*/ 2115 w 2200"/>
                              <a:gd name="T117" fmla="*/ 4669 h 303"/>
                              <a:gd name="T118" fmla="*/ 2183 w 2200"/>
                              <a:gd name="T119" fmla="*/ 4662 h 303"/>
                              <a:gd name="T120" fmla="*/ 2168 w 2200"/>
                              <a:gd name="T121" fmla="*/ 4589 h 303"/>
                              <a:gd name="T122" fmla="*/ 2199 w 2200"/>
                              <a:gd name="T123" fmla="*/ 4685 h 30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00" h="303">
                                <a:moveTo>
                                  <a:pt x="48" y="265"/>
                                </a:moveTo>
                                <a:lnTo>
                                  <a:pt x="32" y="265"/>
                                </a:lnTo>
                                <a:lnTo>
                                  <a:pt x="32" y="164"/>
                                </a:lnTo>
                                <a:lnTo>
                                  <a:pt x="28" y="168"/>
                                </a:lnTo>
                                <a:lnTo>
                                  <a:pt x="23" y="171"/>
                                </a:lnTo>
                                <a:lnTo>
                                  <a:pt x="17" y="175"/>
                                </a:lnTo>
                                <a:lnTo>
                                  <a:pt x="11" y="178"/>
                                </a:lnTo>
                                <a:lnTo>
                                  <a:pt x="5" y="181"/>
                                </a:lnTo>
                                <a:lnTo>
                                  <a:pt x="0" y="183"/>
                                </a:lnTo>
                                <a:lnTo>
                                  <a:pt x="0" y="168"/>
                                </a:lnTo>
                                <a:lnTo>
                                  <a:pt x="9" y="163"/>
                                </a:lnTo>
                                <a:lnTo>
                                  <a:pt x="17" y="158"/>
                                </a:lnTo>
                                <a:lnTo>
                                  <a:pt x="23" y="153"/>
                                </a:lnTo>
                                <a:lnTo>
                                  <a:pt x="30" y="147"/>
                                </a:lnTo>
                                <a:lnTo>
                                  <a:pt x="35" y="141"/>
                                </a:lnTo>
                                <a:lnTo>
                                  <a:pt x="38" y="135"/>
                                </a:lnTo>
                                <a:lnTo>
                                  <a:pt x="48" y="135"/>
                                </a:lnTo>
                                <a:lnTo>
                                  <a:pt x="48" y="265"/>
                                </a:lnTo>
                                <a:close/>
                                <a:moveTo>
                                  <a:pt x="173" y="303"/>
                                </a:moveTo>
                                <a:lnTo>
                                  <a:pt x="167" y="294"/>
                                </a:lnTo>
                                <a:lnTo>
                                  <a:pt x="161" y="285"/>
                                </a:lnTo>
                                <a:lnTo>
                                  <a:pt x="156" y="275"/>
                                </a:lnTo>
                                <a:lnTo>
                                  <a:pt x="151" y="264"/>
                                </a:lnTo>
                                <a:lnTo>
                                  <a:pt x="147" y="253"/>
                                </a:lnTo>
                                <a:lnTo>
                                  <a:pt x="144" y="241"/>
                                </a:lnTo>
                                <a:lnTo>
                                  <a:pt x="142" y="230"/>
                                </a:lnTo>
                                <a:lnTo>
                                  <a:pt x="142" y="218"/>
                                </a:lnTo>
                                <a:lnTo>
                                  <a:pt x="142" y="208"/>
                                </a:lnTo>
                                <a:lnTo>
                                  <a:pt x="143" y="198"/>
                                </a:lnTo>
                                <a:lnTo>
                                  <a:pt x="146" y="188"/>
                                </a:lnTo>
                                <a:lnTo>
                                  <a:pt x="148" y="178"/>
                                </a:lnTo>
                                <a:lnTo>
                                  <a:pt x="153" y="167"/>
                                </a:lnTo>
                                <a:lnTo>
                                  <a:pt x="159" y="156"/>
                                </a:lnTo>
                                <a:lnTo>
                                  <a:pt x="165" y="145"/>
                                </a:lnTo>
                                <a:lnTo>
                                  <a:pt x="173" y="134"/>
                                </a:lnTo>
                                <a:lnTo>
                                  <a:pt x="184" y="134"/>
                                </a:lnTo>
                                <a:lnTo>
                                  <a:pt x="177" y="146"/>
                                </a:lnTo>
                                <a:lnTo>
                                  <a:pt x="172" y="155"/>
                                </a:lnTo>
                                <a:lnTo>
                                  <a:pt x="170" y="160"/>
                                </a:lnTo>
                                <a:lnTo>
                                  <a:pt x="167" y="168"/>
                                </a:lnTo>
                                <a:lnTo>
                                  <a:pt x="164" y="176"/>
                                </a:lnTo>
                                <a:lnTo>
                                  <a:pt x="162" y="185"/>
                                </a:lnTo>
                                <a:lnTo>
                                  <a:pt x="159" y="196"/>
                                </a:lnTo>
                                <a:lnTo>
                                  <a:pt x="158" y="207"/>
                                </a:lnTo>
                                <a:lnTo>
                                  <a:pt x="158" y="218"/>
                                </a:lnTo>
                                <a:lnTo>
                                  <a:pt x="160" y="239"/>
                                </a:lnTo>
                                <a:lnTo>
                                  <a:pt x="165" y="260"/>
                                </a:lnTo>
                                <a:lnTo>
                                  <a:pt x="173" y="281"/>
                                </a:lnTo>
                                <a:lnTo>
                                  <a:pt x="184" y="303"/>
                                </a:lnTo>
                                <a:lnTo>
                                  <a:pt x="173" y="303"/>
                                </a:lnTo>
                                <a:close/>
                                <a:moveTo>
                                  <a:pt x="258" y="265"/>
                                </a:moveTo>
                                <a:lnTo>
                                  <a:pt x="242" y="265"/>
                                </a:lnTo>
                                <a:lnTo>
                                  <a:pt x="242" y="164"/>
                                </a:lnTo>
                                <a:lnTo>
                                  <a:pt x="238" y="168"/>
                                </a:lnTo>
                                <a:lnTo>
                                  <a:pt x="233" y="171"/>
                                </a:lnTo>
                                <a:lnTo>
                                  <a:pt x="227" y="175"/>
                                </a:lnTo>
                                <a:lnTo>
                                  <a:pt x="221" y="178"/>
                                </a:lnTo>
                                <a:lnTo>
                                  <a:pt x="215" y="181"/>
                                </a:lnTo>
                                <a:lnTo>
                                  <a:pt x="210" y="183"/>
                                </a:lnTo>
                                <a:lnTo>
                                  <a:pt x="210" y="168"/>
                                </a:lnTo>
                                <a:lnTo>
                                  <a:pt x="219" y="163"/>
                                </a:lnTo>
                                <a:lnTo>
                                  <a:pt x="227" y="158"/>
                                </a:lnTo>
                                <a:lnTo>
                                  <a:pt x="234" y="153"/>
                                </a:lnTo>
                                <a:lnTo>
                                  <a:pt x="240" y="147"/>
                                </a:lnTo>
                                <a:lnTo>
                                  <a:pt x="245" y="141"/>
                                </a:lnTo>
                                <a:lnTo>
                                  <a:pt x="248" y="135"/>
                                </a:lnTo>
                                <a:lnTo>
                                  <a:pt x="258" y="135"/>
                                </a:lnTo>
                                <a:lnTo>
                                  <a:pt x="258" y="265"/>
                                </a:lnTo>
                                <a:close/>
                                <a:moveTo>
                                  <a:pt x="307" y="265"/>
                                </a:moveTo>
                                <a:lnTo>
                                  <a:pt x="307" y="247"/>
                                </a:lnTo>
                                <a:lnTo>
                                  <a:pt x="325" y="247"/>
                                </a:lnTo>
                                <a:lnTo>
                                  <a:pt x="325" y="265"/>
                                </a:lnTo>
                                <a:lnTo>
                                  <a:pt x="307" y="265"/>
                                </a:lnTo>
                                <a:close/>
                                <a:moveTo>
                                  <a:pt x="348" y="231"/>
                                </a:moveTo>
                                <a:lnTo>
                                  <a:pt x="364" y="229"/>
                                </a:lnTo>
                                <a:lnTo>
                                  <a:pt x="366" y="238"/>
                                </a:lnTo>
                                <a:lnTo>
                                  <a:pt x="369" y="244"/>
                                </a:lnTo>
                                <a:lnTo>
                                  <a:pt x="374" y="248"/>
                                </a:lnTo>
                                <a:lnTo>
                                  <a:pt x="378" y="252"/>
                                </a:lnTo>
                                <a:lnTo>
                                  <a:pt x="383" y="254"/>
                                </a:lnTo>
                                <a:lnTo>
                                  <a:pt x="389" y="254"/>
                                </a:lnTo>
                                <a:lnTo>
                                  <a:pt x="397" y="254"/>
                                </a:lnTo>
                                <a:lnTo>
                                  <a:pt x="403" y="251"/>
                                </a:lnTo>
                                <a:lnTo>
                                  <a:pt x="408" y="246"/>
                                </a:lnTo>
                                <a:lnTo>
                                  <a:pt x="413" y="241"/>
                                </a:lnTo>
                                <a:lnTo>
                                  <a:pt x="416" y="235"/>
                                </a:lnTo>
                                <a:lnTo>
                                  <a:pt x="416" y="227"/>
                                </a:lnTo>
                                <a:lnTo>
                                  <a:pt x="416" y="220"/>
                                </a:lnTo>
                                <a:lnTo>
                                  <a:pt x="414" y="214"/>
                                </a:lnTo>
                                <a:lnTo>
                                  <a:pt x="409" y="209"/>
                                </a:lnTo>
                                <a:lnTo>
                                  <a:pt x="404" y="204"/>
                                </a:lnTo>
                                <a:lnTo>
                                  <a:pt x="398" y="202"/>
                                </a:lnTo>
                                <a:lnTo>
                                  <a:pt x="391" y="202"/>
                                </a:lnTo>
                                <a:lnTo>
                                  <a:pt x="388" y="202"/>
                                </a:lnTo>
                                <a:lnTo>
                                  <a:pt x="384" y="203"/>
                                </a:lnTo>
                                <a:lnTo>
                                  <a:pt x="380" y="204"/>
                                </a:lnTo>
                                <a:lnTo>
                                  <a:pt x="381" y="190"/>
                                </a:lnTo>
                                <a:lnTo>
                                  <a:pt x="382" y="190"/>
                                </a:lnTo>
                                <a:lnTo>
                                  <a:pt x="383" y="190"/>
                                </a:lnTo>
                                <a:lnTo>
                                  <a:pt x="384" y="190"/>
                                </a:lnTo>
                                <a:lnTo>
                                  <a:pt x="391" y="190"/>
                                </a:lnTo>
                                <a:lnTo>
                                  <a:pt x="397" y="188"/>
                                </a:lnTo>
                                <a:lnTo>
                                  <a:pt x="402" y="185"/>
                                </a:lnTo>
                                <a:lnTo>
                                  <a:pt x="408" y="181"/>
                                </a:lnTo>
                                <a:lnTo>
                                  <a:pt x="410" y="176"/>
                                </a:lnTo>
                                <a:lnTo>
                                  <a:pt x="410" y="168"/>
                                </a:lnTo>
                                <a:lnTo>
                                  <a:pt x="410" y="163"/>
                                </a:lnTo>
                                <a:lnTo>
                                  <a:pt x="408" y="158"/>
                                </a:lnTo>
                                <a:lnTo>
                                  <a:pt x="404" y="154"/>
                                </a:lnTo>
                                <a:lnTo>
                                  <a:pt x="400" y="150"/>
                                </a:lnTo>
                                <a:lnTo>
                                  <a:pt x="395" y="148"/>
                                </a:lnTo>
                                <a:lnTo>
                                  <a:pt x="389" y="148"/>
                                </a:lnTo>
                                <a:lnTo>
                                  <a:pt x="383" y="148"/>
                                </a:lnTo>
                                <a:lnTo>
                                  <a:pt x="378" y="150"/>
                                </a:lnTo>
                                <a:lnTo>
                                  <a:pt x="374" y="154"/>
                                </a:lnTo>
                                <a:lnTo>
                                  <a:pt x="370" y="158"/>
                                </a:lnTo>
                                <a:lnTo>
                                  <a:pt x="367" y="164"/>
                                </a:lnTo>
                                <a:lnTo>
                                  <a:pt x="366" y="172"/>
                                </a:lnTo>
                                <a:lnTo>
                                  <a:pt x="350" y="169"/>
                                </a:lnTo>
                                <a:lnTo>
                                  <a:pt x="352" y="158"/>
                                </a:lnTo>
                                <a:lnTo>
                                  <a:pt x="356" y="150"/>
                                </a:lnTo>
                                <a:lnTo>
                                  <a:pt x="363" y="144"/>
                                </a:lnTo>
                                <a:lnTo>
                                  <a:pt x="370" y="138"/>
                                </a:lnTo>
                                <a:lnTo>
                                  <a:pt x="379" y="135"/>
                                </a:lnTo>
                                <a:lnTo>
                                  <a:pt x="389" y="135"/>
                                </a:lnTo>
                                <a:lnTo>
                                  <a:pt x="396" y="135"/>
                                </a:lnTo>
                                <a:lnTo>
                                  <a:pt x="402" y="137"/>
                                </a:lnTo>
                                <a:lnTo>
                                  <a:pt x="408" y="140"/>
                                </a:lnTo>
                                <a:lnTo>
                                  <a:pt x="414" y="143"/>
                                </a:lnTo>
                                <a:lnTo>
                                  <a:pt x="419" y="147"/>
                                </a:lnTo>
                                <a:lnTo>
                                  <a:pt x="422" y="152"/>
                                </a:lnTo>
                                <a:lnTo>
                                  <a:pt x="425" y="157"/>
                                </a:lnTo>
                                <a:lnTo>
                                  <a:pt x="426" y="163"/>
                                </a:lnTo>
                                <a:lnTo>
                                  <a:pt x="426" y="169"/>
                                </a:lnTo>
                                <a:lnTo>
                                  <a:pt x="426" y="174"/>
                                </a:lnTo>
                                <a:lnTo>
                                  <a:pt x="425" y="179"/>
                                </a:lnTo>
                                <a:lnTo>
                                  <a:pt x="422" y="184"/>
                                </a:lnTo>
                                <a:lnTo>
                                  <a:pt x="419" y="189"/>
                                </a:lnTo>
                                <a:lnTo>
                                  <a:pt x="415" y="192"/>
                                </a:lnTo>
                                <a:lnTo>
                                  <a:pt x="409" y="195"/>
                                </a:lnTo>
                                <a:lnTo>
                                  <a:pt x="416" y="197"/>
                                </a:lnTo>
                                <a:lnTo>
                                  <a:pt x="422" y="200"/>
                                </a:lnTo>
                                <a:lnTo>
                                  <a:pt x="426" y="206"/>
                                </a:lnTo>
                                <a:lnTo>
                                  <a:pt x="431" y="211"/>
                                </a:lnTo>
                                <a:lnTo>
                                  <a:pt x="433" y="218"/>
                                </a:lnTo>
                                <a:lnTo>
                                  <a:pt x="433" y="227"/>
                                </a:lnTo>
                                <a:lnTo>
                                  <a:pt x="433" y="238"/>
                                </a:lnTo>
                                <a:lnTo>
                                  <a:pt x="429" y="247"/>
                                </a:lnTo>
                                <a:lnTo>
                                  <a:pt x="420" y="255"/>
                                </a:lnTo>
                                <a:lnTo>
                                  <a:pt x="412" y="263"/>
                                </a:lnTo>
                                <a:lnTo>
                                  <a:pt x="402" y="267"/>
                                </a:lnTo>
                                <a:lnTo>
                                  <a:pt x="389" y="267"/>
                                </a:lnTo>
                                <a:lnTo>
                                  <a:pt x="378" y="267"/>
                                </a:lnTo>
                                <a:lnTo>
                                  <a:pt x="369" y="264"/>
                                </a:lnTo>
                                <a:lnTo>
                                  <a:pt x="361" y="257"/>
                                </a:lnTo>
                                <a:lnTo>
                                  <a:pt x="354" y="250"/>
                                </a:lnTo>
                                <a:lnTo>
                                  <a:pt x="349" y="241"/>
                                </a:lnTo>
                                <a:lnTo>
                                  <a:pt x="348" y="231"/>
                                </a:lnTo>
                                <a:close/>
                                <a:moveTo>
                                  <a:pt x="451" y="167"/>
                                </a:moveTo>
                                <a:lnTo>
                                  <a:pt x="451" y="158"/>
                                </a:lnTo>
                                <a:lnTo>
                                  <a:pt x="454" y="150"/>
                                </a:lnTo>
                                <a:lnTo>
                                  <a:pt x="458" y="143"/>
                                </a:lnTo>
                                <a:lnTo>
                                  <a:pt x="463" y="137"/>
                                </a:lnTo>
                                <a:lnTo>
                                  <a:pt x="470" y="134"/>
                                </a:lnTo>
                                <a:lnTo>
                                  <a:pt x="478" y="134"/>
                                </a:lnTo>
                                <a:lnTo>
                                  <a:pt x="487" y="134"/>
                                </a:lnTo>
                                <a:lnTo>
                                  <a:pt x="493" y="137"/>
                                </a:lnTo>
                                <a:lnTo>
                                  <a:pt x="499" y="142"/>
                                </a:lnTo>
                                <a:lnTo>
                                  <a:pt x="504" y="148"/>
                                </a:lnTo>
                                <a:lnTo>
                                  <a:pt x="507" y="157"/>
                                </a:lnTo>
                                <a:lnTo>
                                  <a:pt x="507" y="168"/>
                                </a:lnTo>
                                <a:lnTo>
                                  <a:pt x="507" y="179"/>
                                </a:lnTo>
                                <a:lnTo>
                                  <a:pt x="504" y="187"/>
                                </a:lnTo>
                                <a:lnTo>
                                  <a:pt x="498" y="193"/>
                                </a:lnTo>
                                <a:lnTo>
                                  <a:pt x="493" y="199"/>
                                </a:lnTo>
                                <a:lnTo>
                                  <a:pt x="487" y="202"/>
                                </a:lnTo>
                                <a:lnTo>
                                  <a:pt x="479" y="202"/>
                                </a:lnTo>
                                <a:lnTo>
                                  <a:pt x="471" y="202"/>
                                </a:lnTo>
                                <a:lnTo>
                                  <a:pt x="464" y="199"/>
                                </a:lnTo>
                                <a:lnTo>
                                  <a:pt x="459" y="193"/>
                                </a:lnTo>
                                <a:lnTo>
                                  <a:pt x="454" y="187"/>
                                </a:lnTo>
                                <a:lnTo>
                                  <a:pt x="451" y="178"/>
                                </a:lnTo>
                                <a:lnTo>
                                  <a:pt x="451" y="167"/>
                                </a:lnTo>
                                <a:close/>
                                <a:moveTo>
                                  <a:pt x="479" y="145"/>
                                </a:moveTo>
                                <a:lnTo>
                                  <a:pt x="475" y="145"/>
                                </a:lnTo>
                                <a:lnTo>
                                  <a:pt x="472" y="146"/>
                                </a:lnTo>
                                <a:lnTo>
                                  <a:pt x="469" y="150"/>
                                </a:lnTo>
                                <a:lnTo>
                                  <a:pt x="467" y="153"/>
                                </a:lnTo>
                                <a:lnTo>
                                  <a:pt x="465" y="159"/>
                                </a:lnTo>
                                <a:lnTo>
                                  <a:pt x="465" y="168"/>
                                </a:lnTo>
                                <a:lnTo>
                                  <a:pt x="465" y="177"/>
                                </a:lnTo>
                                <a:lnTo>
                                  <a:pt x="467" y="182"/>
                                </a:lnTo>
                                <a:lnTo>
                                  <a:pt x="469" y="186"/>
                                </a:lnTo>
                                <a:lnTo>
                                  <a:pt x="472" y="189"/>
                                </a:lnTo>
                                <a:lnTo>
                                  <a:pt x="475" y="191"/>
                                </a:lnTo>
                                <a:lnTo>
                                  <a:pt x="479" y="191"/>
                                </a:lnTo>
                                <a:lnTo>
                                  <a:pt x="483" y="191"/>
                                </a:lnTo>
                                <a:lnTo>
                                  <a:pt x="486" y="189"/>
                                </a:lnTo>
                                <a:lnTo>
                                  <a:pt x="489" y="186"/>
                                </a:lnTo>
                                <a:lnTo>
                                  <a:pt x="491" y="182"/>
                                </a:lnTo>
                                <a:lnTo>
                                  <a:pt x="493" y="176"/>
                                </a:lnTo>
                                <a:lnTo>
                                  <a:pt x="493" y="167"/>
                                </a:lnTo>
                                <a:lnTo>
                                  <a:pt x="493" y="159"/>
                                </a:lnTo>
                                <a:lnTo>
                                  <a:pt x="491" y="153"/>
                                </a:lnTo>
                                <a:lnTo>
                                  <a:pt x="489" y="150"/>
                                </a:lnTo>
                                <a:lnTo>
                                  <a:pt x="486" y="146"/>
                                </a:lnTo>
                                <a:lnTo>
                                  <a:pt x="483" y="145"/>
                                </a:lnTo>
                                <a:lnTo>
                                  <a:pt x="479" y="145"/>
                                </a:lnTo>
                                <a:close/>
                                <a:moveTo>
                                  <a:pt x="479" y="269"/>
                                </a:moveTo>
                                <a:lnTo>
                                  <a:pt x="550" y="134"/>
                                </a:lnTo>
                                <a:lnTo>
                                  <a:pt x="562" y="134"/>
                                </a:lnTo>
                                <a:lnTo>
                                  <a:pt x="492" y="269"/>
                                </a:lnTo>
                                <a:lnTo>
                                  <a:pt x="479" y="269"/>
                                </a:lnTo>
                                <a:close/>
                                <a:moveTo>
                                  <a:pt x="535" y="234"/>
                                </a:moveTo>
                                <a:lnTo>
                                  <a:pt x="535" y="225"/>
                                </a:lnTo>
                                <a:lnTo>
                                  <a:pt x="537" y="217"/>
                                </a:lnTo>
                                <a:lnTo>
                                  <a:pt x="542" y="211"/>
                                </a:lnTo>
                                <a:lnTo>
                                  <a:pt x="546" y="205"/>
                                </a:lnTo>
                                <a:lnTo>
                                  <a:pt x="553" y="201"/>
                                </a:lnTo>
                                <a:lnTo>
                                  <a:pt x="562" y="201"/>
                                </a:lnTo>
                                <a:lnTo>
                                  <a:pt x="570" y="201"/>
                                </a:lnTo>
                                <a:lnTo>
                                  <a:pt x="577" y="204"/>
                                </a:lnTo>
                                <a:lnTo>
                                  <a:pt x="582" y="210"/>
                                </a:lnTo>
                                <a:lnTo>
                                  <a:pt x="587" y="216"/>
                                </a:lnTo>
                                <a:lnTo>
                                  <a:pt x="590" y="224"/>
                                </a:lnTo>
                                <a:lnTo>
                                  <a:pt x="590" y="235"/>
                                </a:lnTo>
                                <a:lnTo>
                                  <a:pt x="590" y="246"/>
                                </a:lnTo>
                                <a:lnTo>
                                  <a:pt x="587" y="255"/>
                                </a:lnTo>
                                <a:lnTo>
                                  <a:pt x="582" y="261"/>
                                </a:lnTo>
                                <a:lnTo>
                                  <a:pt x="577" y="266"/>
                                </a:lnTo>
                                <a:lnTo>
                                  <a:pt x="570" y="269"/>
                                </a:lnTo>
                                <a:lnTo>
                                  <a:pt x="562" y="269"/>
                                </a:lnTo>
                                <a:lnTo>
                                  <a:pt x="554" y="269"/>
                                </a:lnTo>
                                <a:lnTo>
                                  <a:pt x="548" y="267"/>
                                </a:lnTo>
                                <a:lnTo>
                                  <a:pt x="543" y="261"/>
                                </a:lnTo>
                                <a:lnTo>
                                  <a:pt x="537" y="255"/>
                                </a:lnTo>
                                <a:lnTo>
                                  <a:pt x="535" y="246"/>
                                </a:lnTo>
                                <a:lnTo>
                                  <a:pt x="535" y="234"/>
                                </a:lnTo>
                                <a:close/>
                                <a:moveTo>
                                  <a:pt x="562" y="212"/>
                                </a:moveTo>
                                <a:lnTo>
                                  <a:pt x="558" y="212"/>
                                </a:lnTo>
                                <a:lnTo>
                                  <a:pt x="555" y="214"/>
                                </a:lnTo>
                                <a:lnTo>
                                  <a:pt x="552" y="217"/>
                                </a:lnTo>
                                <a:lnTo>
                                  <a:pt x="550" y="221"/>
                                </a:lnTo>
                                <a:lnTo>
                                  <a:pt x="549" y="227"/>
                                </a:lnTo>
                                <a:lnTo>
                                  <a:pt x="549" y="236"/>
                                </a:lnTo>
                                <a:lnTo>
                                  <a:pt x="549" y="244"/>
                                </a:lnTo>
                                <a:lnTo>
                                  <a:pt x="550" y="250"/>
                                </a:lnTo>
                                <a:lnTo>
                                  <a:pt x="553" y="253"/>
                                </a:lnTo>
                                <a:lnTo>
                                  <a:pt x="555" y="257"/>
                                </a:lnTo>
                                <a:lnTo>
                                  <a:pt x="558" y="259"/>
                                </a:lnTo>
                                <a:lnTo>
                                  <a:pt x="562" y="259"/>
                                </a:lnTo>
                                <a:lnTo>
                                  <a:pt x="566" y="259"/>
                                </a:lnTo>
                                <a:lnTo>
                                  <a:pt x="570" y="257"/>
                                </a:lnTo>
                                <a:lnTo>
                                  <a:pt x="572" y="253"/>
                                </a:lnTo>
                                <a:lnTo>
                                  <a:pt x="575" y="250"/>
                                </a:lnTo>
                                <a:lnTo>
                                  <a:pt x="576" y="244"/>
                                </a:lnTo>
                                <a:lnTo>
                                  <a:pt x="576" y="235"/>
                                </a:lnTo>
                                <a:lnTo>
                                  <a:pt x="576" y="226"/>
                                </a:lnTo>
                                <a:lnTo>
                                  <a:pt x="575" y="221"/>
                                </a:lnTo>
                                <a:lnTo>
                                  <a:pt x="572" y="217"/>
                                </a:lnTo>
                                <a:lnTo>
                                  <a:pt x="570" y="214"/>
                                </a:lnTo>
                                <a:lnTo>
                                  <a:pt x="566" y="212"/>
                                </a:lnTo>
                                <a:lnTo>
                                  <a:pt x="562" y="212"/>
                                </a:lnTo>
                                <a:close/>
                                <a:moveTo>
                                  <a:pt x="623" y="303"/>
                                </a:moveTo>
                                <a:lnTo>
                                  <a:pt x="612" y="303"/>
                                </a:lnTo>
                                <a:lnTo>
                                  <a:pt x="623" y="281"/>
                                </a:lnTo>
                                <a:lnTo>
                                  <a:pt x="632" y="260"/>
                                </a:lnTo>
                                <a:lnTo>
                                  <a:pt x="637" y="239"/>
                                </a:lnTo>
                                <a:lnTo>
                                  <a:pt x="638" y="218"/>
                                </a:lnTo>
                                <a:lnTo>
                                  <a:pt x="638" y="207"/>
                                </a:lnTo>
                                <a:lnTo>
                                  <a:pt x="637" y="196"/>
                                </a:lnTo>
                                <a:lnTo>
                                  <a:pt x="634" y="185"/>
                                </a:lnTo>
                                <a:lnTo>
                                  <a:pt x="632" y="177"/>
                                </a:lnTo>
                                <a:lnTo>
                                  <a:pt x="630" y="168"/>
                                </a:lnTo>
                                <a:lnTo>
                                  <a:pt x="626" y="160"/>
                                </a:lnTo>
                                <a:lnTo>
                                  <a:pt x="624" y="155"/>
                                </a:lnTo>
                                <a:lnTo>
                                  <a:pt x="619" y="146"/>
                                </a:lnTo>
                                <a:lnTo>
                                  <a:pt x="612" y="134"/>
                                </a:lnTo>
                                <a:lnTo>
                                  <a:pt x="623" y="134"/>
                                </a:lnTo>
                                <a:lnTo>
                                  <a:pt x="631" y="145"/>
                                </a:lnTo>
                                <a:lnTo>
                                  <a:pt x="638" y="156"/>
                                </a:lnTo>
                                <a:lnTo>
                                  <a:pt x="643" y="167"/>
                                </a:lnTo>
                                <a:lnTo>
                                  <a:pt x="648" y="178"/>
                                </a:lnTo>
                                <a:lnTo>
                                  <a:pt x="651" y="188"/>
                                </a:lnTo>
                                <a:lnTo>
                                  <a:pt x="653" y="198"/>
                                </a:lnTo>
                                <a:lnTo>
                                  <a:pt x="654" y="208"/>
                                </a:lnTo>
                                <a:lnTo>
                                  <a:pt x="654" y="218"/>
                                </a:lnTo>
                                <a:lnTo>
                                  <a:pt x="654" y="230"/>
                                </a:lnTo>
                                <a:lnTo>
                                  <a:pt x="652" y="241"/>
                                </a:lnTo>
                                <a:lnTo>
                                  <a:pt x="649" y="253"/>
                                </a:lnTo>
                                <a:lnTo>
                                  <a:pt x="645" y="264"/>
                                </a:lnTo>
                                <a:lnTo>
                                  <a:pt x="641" y="275"/>
                                </a:lnTo>
                                <a:lnTo>
                                  <a:pt x="635" y="285"/>
                                </a:lnTo>
                                <a:lnTo>
                                  <a:pt x="630" y="294"/>
                                </a:lnTo>
                                <a:lnTo>
                                  <a:pt x="623" y="303"/>
                                </a:lnTo>
                                <a:close/>
                                <a:moveTo>
                                  <a:pt x="1683" y="97"/>
                                </a:moveTo>
                                <a:lnTo>
                                  <a:pt x="1699" y="95"/>
                                </a:lnTo>
                                <a:lnTo>
                                  <a:pt x="1701" y="104"/>
                                </a:lnTo>
                                <a:lnTo>
                                  <a:pt x="1704" y="110"/>
                                </a:lnTo>
                                <a:lnTo>
                                  <a:pt x="1709" y="114"/>
                                </a:lnTo>
                                <a:lnTo>
                                  <a:pt x="1713" y="118"/>
                                </a:lnTo>
                                <a:lnTo>
                                  <a:pt x="1718" y="120"/>
                                </a:lnTo>
                                <a:lnTo>
                                  <a:pt x="1725" y="120"/>
                                </a:lnTo>
                                <a:lnTo>
                                  <a:pt x="1732" y="120"/>
                                </a:lnTo>
                                <a:lnTo>
                                  <a:pt x="1738" y="117"/>
                                </a:lnTo>
                                <a:lnTo>
                                  <a:pt x="1743" y="112"/>
                                </a:lnTo>
                                <a:lnTo>
                                  <a:pt x="1749" y="107"/>
                                </a:lnTo>
                                <a:lnTo>
                                  <a:pt x="1751" y="101"/>
                                </a:lnTo>
                                <a:lnTo>
                                  <a:pt x="1751" y="93"/>
                                </a:lnTo>
                                <a:lnTo>
                                  <a:pt x="1751" y="86"/>
                                </a:lnTo>
                                <a:lnTo>
                                  <a:pt x="1749" y="80"/>
                                </a:lnTo>
                                <a:lnTo>
                                  <a:pt x="1744" y="75"/>
                                </a:lnTo>
                                <a:lnTo>
                                  <a:pt x="1739" y="70"/>
                                </a:lnTo>
                                <a:lnTo>
                                  <a:pt x="1733" y="68"/>
                                </a:lnTo>
                                <a:lnTo>
                                  <a:pt x="1726" y="68"/>
                                </a:lnTo>
                                <a:lnTo>
                                  <a:pt x="1723" y="68"/>
                                </a:lnTo>
                                <a:lnTo>
                                  <a:pt x="1719" y="69"/>
                                </a:lnTo>
                                <a:lnTo>
                                  <a:pt x="1715" y="70"/>
                                </a:lnTo>
                                <a:lnTo>
                                  <a:pt x="1716" y="56"/>
                                </a:lnTo>
                                <a:lnTo>
                                  <a:pt x="1717" y="56"/>
                                </a:lnTo>
                                <a:lnTo>
                                  <a:pt x="1718" y="56"/>
                                </a:lnTo>
                                <a:lnTo>
                                  <a:pt x="1719" y="56"/>
                                </a:lnTo>
                                <a:lnTo>
                                  <a:pt x="1726" y="56"/>
                                </a:lnTo>
                                <a:lnTo>
                                  <a:pt x="1732" y="54"/>
                                </a:lnTo>
                                <a:lnTo>
                                  <a:pt x="1737" y="51"/>
                                </a:lnTo>
                                <a:lnTo>
                                  <a:pt x="1743" y="47"/>
                                </a:lnTo>
                                <a:lnTo>
                                  <a:pt x="1745" y="42"/>
                                </a:lnTo>
                                <a:lnTo>
                                  <a:pt x="1745" y="35"/>
                                </a:lnTo>
                                <a:lnTo>
                                  <a:pt x="1745" y="29"/>
                                </a:lnTo>
                                <a:lnTo>
                                  <a:pt x="1743" y="24"/>
                                </a:lnTo>
                                <a:lnTo>
                                  <a:pt x="1739" y="20"/>
                                </a:lnTo>
                                <a:lnTo>
                                  <a:pt x="1735" y="16"/>
                                </a:lnTo>
                                <a:lnTo>
                                  <a:pt x="1730" y="14"/>
                                </a:lnTo>
                                <a:lnTo>
                                  <a:pt x="1724" y="14"/>
                                </a:lnTo>
                                <a:lnTo>
                                  <a:pt x="1718" y="14"/>
                                </a:lnTo>
                                <a:lnTo>
                                  <a:pt x="1713" y="16"/>
                                </a:lnTo>
                                <a:lnTo>
                                  <a:pt x="1709" y="20"/>
                                </a:lnTo>
                                <a:lnTo>
                                  <a:pt x="1705" y="24"/>
                                </a:lnTo>
                                <a:lnTo>
                                  <a:pt x="1702" y="30"/>
                                </a:lnTo>
                                <a:lnTo>
                                  <a:pt x="1701" y="38"/>
                                </a:lnTo>
                                <a:lnTo>
                                  <a:pt x="1685" y="35"/>
                                </a:lnTo>
                                <a:lnTo>
                                  <a:pt x="1687" y="24"/>
                                </a:lnTo>
                                <a:lnTo>
                                  <a:pt x="1691" y="16"/>
                                </a:lnTo>
                                <a:lnTo>
                                  <a:pt x="1698" y="10"/>
                                </a:lnTo>
                                <a:lnTo>
                                  <a:pt x="1705" y="4"/>
                                </a:lnTo>
                                <a:lnTo>
                                  <a:pt x="1714" y="1"/>
                                </a:lnTo>
                                <a:lnTo>
                                  <a:pt x="1724" y="1"/>
                                </a:lnTo>
                                <a:lnTo>
                                  <a:pt x="1731" y="1"/>
                                </a:lnTo>
                                <a:lnTo>
                                  <a:pt x="1737" y="3"/>
                                </a:lnTo>
                                <a:lnTo>
                                  <a:pt x="1743" y="6"/>
                                </a:lnTo>
                                <a:lnTo>
                                  <a:pt x="1749" y="9"/>
                                </a:lnTo>
                                <a:lnTo>
                                  <a:pt x="1754" y="13"/>
                                </a:lnTo>
                                <a:lnTo>
                                  <a:pt x="1757" y="18"/>
                                </a:lnTo>
                                <a:lnTo>
                                  <a:pt x="1760" y="24"/>
                                </a:lnTo>
                                <a:lnTo>
                                  <a:pt x="1762" y="29"/>
                                </a:lnTo>
                                <a:lnTo>
                                  <a:pt x="1762" y="35"/>
                                </a:lnTo>
                                <a:lnTo>
                                  <a:pt x="1762" y="41"/>
                                </a:lnTo>
                                <a:lnTo>
                                  <a:pt x="1760" y="46"/>
                                </a:lnTo>
                                <a:lnTo>
                                  <a:pt x="1757" y="50"/>
                                </a:lnTo>
                                <a:lnTo>
                                  <a:pt x="1754" y="55"/>
                                </a:lnTo>
                                <a:lnTo>
                                  <a:pt x="1750" y="58"/>
                                </a:lnTo>
                                <a:lnTo>
                                  <a:pt x="1744" y="61"/>
                                </a:lnTo>
                                <a:lnTo>
                                  <a:pt x="1751" y="63"/>
                                </a:lnTo>
                                <a:lnTo>
                                  <a:pt x="1757" y="66"/>
                                </a:lnTo>
                                <a:lnTo>
                                  <a:pt x="1762" y="72"/>
                                </a:lnTo>
                                <a:lnTo>
                                  <a:pt x="1766" y="78"/>
                                </a:lnTo>
                                <a:lnTo>
                                  <a:pt x="1768" y="84"/>
                                </a:lnTo>
                                <a:lnTo>
                                  <a:pt x="1768" y="93"/>
                                </a:lnTo>
                                <a:lnTo>
                                  <a:pt x="1768" y="104"/>
                                </a:lnTo>
                                <a:lnTo>
                                  <a:pt x="1764" y="114"/>
                                </a:lnTo>
                                <a:lnTo>
                                  <a:pt x="1756" y="121"/>
                                </a:lnTo>
                                <a:lnTo>
                                  <a:pt x="1747" y="129"/>
                                </a:lnTo>
                                <a:lnTo>
                                  <a:pt x="1737" y="133"/>
                                </a:lnTo>
                                <a:lnTo>
                                  <a:pt x="1724" y="133"/>
                                </a:lnTo>
                                <a:lnTo>
                                  <a:pt x="1713" y="133"/>
                                </a:lnTo>
                                <a:lnTo>
                                  <a:pt x="1704" y="130"/>
                                </a:lnTo>
                                <a:lnTo>
                                  <a:pt x="1696" y="123"/>
                                </a:lnTo>
                                <a:lnTo>
                                  <a:pt x="1689" y="116"/>
                                </a:lnTo>
                                <a:lnTo>
                                  <a:pt x="1685" y="108"/>
                                </a:lnTo>
                                <a:lnTo>
                                  <a:pt x="1683" y="97"/>
                                </a:lnTo>
                                <a:close/>
                                <a:moveTo>
                                  <a:pt x="1868" y="169"/>
                                </a:moveTo>
                                <a:lnTo>
                                  <a:pt x="1862" y="160"/>
                                </a:lnTo>
                                <a:lnTo>
                                  <a:pt x="1856" y="151"/>
                                </a:lnTo>
                                <a:lnTo>
                                  <a:pt x="1851" y="141"/>
                                </a:lnTo>
                                <a:lnTo>
                                  <a:pt x="1846" y="130"/>
                                </a:lnTo>
                                <a:lnTo>
                                  <a:pt x="1842" y="119"/>
                                </a:lnTo>
                                <a:lnTo>
                                  <a:pt x="1839" y="108"/>
                                </a:lnTo>
                                <a:lnTo>
                                  <a:pt x="1838" y="96"/>
                                </a:lnTo>
                                <a:lnTo>
                                  <a:pt x="1837" y="84"/>
                                </a:lnTo>
                                <a:lnTo>
                                  <a:pt x="1837" y="74"/>
                                </a:lnTo>
                                <a:lnTo>
                                  <a:pt x="1839" y="64"/>
                                </a:lnTo>
                                <a:lnTo>
                                  <a:pt x="1841" y="54"/>
                                </a:lnTo>
                                <a:lnTo>
                                  <a:pt x="1844" y="44"/>
                                </a:lnTo>
                                <a:lnTo>
                                  <a:pt x="1848" y="33"/>
                                </a:lnTo>
                                <a:lnTo>
                                  <a:pt x="1854" y="22"/>
                                </a:lnTo>
                                <a:lnTo>
                                  <a:pt x="1860" y="11"/>
                                </a:lnTo>
                                <a:lnTo>
                                  <a:pt x="1868" y="0"/>
                                </a:lnTo>
                                <a:lnTo>
                                  <a:pt x="1879" y="0"/>
                                </a:lnTo>
                                <a:lnTo>
                                  <a:pt x="1872" y="12"/>
                                </a:lnTo>
                                <a:lnTo>
                                  <a:pt x="1868" y="21"/>
                                </a:lnTo>
                                <a:lnTo>
                                  <a:pt x="1865" y="26"/>
                                </a:lnTo>
                                <a:lnTo>
                                  <a:pt x="1862" y="34"/>
                                </a:lnTo>
                                <a:lnTo>
                                  <a:pt x="1859" y="42"/>
                                </a:lnTo>
                                <a:lnTo>
                                  <a:pt x="1857" y="51"/>
                                </a:lnTo>
                                <a:lnTo>
                                  <a:pt x="1854" y="62"/>
                                </a:lnTo>
                                <a:lnTo>
                                  <a:pt x="1853" y="73"/>
                                </a:lnTo>
                                <a:lnTo>
                                  <a:pt x="1853" y="84"/>
                                </a:lnTo>
                                <a:lnTo>
                                  <a:pt x="1855" y="105"/>
                                </a:lnTo>
                                <a:lnTo>
                                  <a:pt x="1860" y="127"/>
                                </a:lnTo>
                                <a:lnTo>
                                  <a:pt x="1868" y="148"/>
                                </a:lnTo>
                                <a:lnTo>
                                  <a:pt x="1879" y="169"/>
                                </a:lnTo>
                                <a:lnTo>
                                  <a:pt x="1868" y="169"/>
                                </a:lnTo>
                                <a:close/>
                                <a:moveTo>
                                  <a:pt x="1944" y="131"/>
                                </a:moveTo>
                                <a:lnTo>
                                  <a:pt x="1944" y="100"/>
                                </a:lnTo>
                                <a:lnTo>
                                  <a:pt x="1888" y="100"/>
                                </a:lnTo>
                                <a:lnTo>
                                  <a:pt x="1888" y="86"/>
                                </a:lnTo>
                                <a:lnTo>
                                  <a:pt x="1947" y="2"/>
                                </a:lnTo>
                                <a:lnTo>
                                  <a:pt x="1960" y="2"/>
                                </a:lnTo>
                                <a:lnTo>
                                  <a:pt x="1960" y="86"/>
                                </a:lnTo>
                                <a:lnTo>
                                  <a:pt x="1977" y="86"/>
                                </a:lnTo>
                                <a:lnTo>
                                  <a:pt x="1977" y="100"/>
                                </a:lnTo>
                                <a:lnTo>
                                  <a:pt x="1960" y="100"/>
                                </a:lnTo>
                                <a:lnTo>
                                  <a:pt x="1960" y="131"/>
                                </a:lnTo>
                                <a:lnTo>
                                  <a:pt x="1944" y="131"/>
                                </a:lnTo>
                                <a:close/>
                                <a:moveTo>
                                  <a:pt x="1944" y="86"/>
                                </a:moveTo>
                                <a:lnTo>
                                  <a:pt x="1944" y="27"/>
                                </a:lnTo>
                                <a:lnTo>
                                  <a:pt x="1904" y="86"/>
                                </a:lnTo>
                                <a:lnTo>
                                  <a:pt x="1944" y="86"/>
                                </a:lnTo>
                                <a:close/>
                                <a:moveTo>
                                  <a:pt x="1997" y="33"/>
                                </a:moveTo>
                                <a:lnTo>
                                  <a:pt x="1997" y="24"/>
                                </a:lnTo>
                                <a:lnTo>
                                  <a:pt x="1999" y="16"/>
                                </a:lnTo>
                                <a:lnTo>
                                  <a:pt x="2003" y="9"/>
                                </a:lnTo>
                                <a:lnTo>
                                  <a:pt x="2008" y="3"/>
                                </a:lnTo>
                                <a:lnTo>
                                  <a:pt x="2015" y="0"/>
                                </a:lnTo>
                                <a:lnTo>
                                  <a:pt x="2024" y="0"/>
                                </a:lnTo>
                                <a:lnTo>
                                  <a:pt x="2032" y="0"/>
                                </a:lnTo>
                                <a:lnTo>
                                  <a:pt x="2038" y="3"/>
                                </a:lnTo>
                                <a:lnTo>
                                  <a:pt x="2044" y="8"/>
                                </a:lnTo>
                                <a:lnTo>
                                  <a:pt x="2049" y="14"/>
                                </a:lnTo>
                                <a:lnTo>
                                  <a:pt x="2052" y="23"/>
                                </a:lnTo>
                                <a:lnTo>
                                  <a:pt x="2052" y="34"/>
                                </a:lnTo>
                                <a:lnTo>
                                  <a:pt x="2052" y="45"/>
                                </a:lnTo>
                                <a:lnTo>
                                  <a:pt x="2049" y="53"/>
                                </a:lnTo>
                                <a:lnTo>
                                  <a:pt x="2044" y="59"/>
                                </a:lnTo>
                                <a:lnTo>
                                  <a:pt x="2038" y="65"/>
                                </a:lnTo>
                                <a:lnTo>
                                  <a:pt x="2032" y="68"/>
                                </a:lnTo>
                                <a:lnTo>
                                  <a:pt x="2024" y="68"/>
                                </a:lnTo>
                                <a:lnTo>
                                  <a:pt x="2016" y="68"/>
                                </a:lnTo>
                                <a:lnTo>
                                  <a:pt x="2010" y="65"/>
                                </a:lnTo>
                                <a:lnTo>
                                  <a:pt x="2004" y="59"/>
                                </a:lnTo>
                                <a:lnTo>
                                  <a:pt x="1999" y="53"/>
                                </a:lnTo>
                                <a:lnTo>
                                  <a:pt x="1997" y="45"/>
                                </a:lnTo>
                                <a:lnTo>
                                  <a:pt x="1997" y="33"/>
                                </a:lnTo>
                                <a:close/>
                                <a:moveTo>
                                  <a:pt x="2024" y="11"/>
                                </a:moveTo>
                                <a:lnTo>
                                  <a:pt x="2020" y="11"/>
                                </a:lnTo>
                                <a:lnTo>
                                  <a:pt x="2017" y="12"/>
                                </a:lnTo>
                                <a:lnTo>
                                  <a:pt x="2014" y="16"/>
                                </a:lnTo>
                                <a:lnTo>
                                  <a:pt x="2012" y="19"/>
                                </a:lnTo>
                                <a:lnTo>
                                  <a:pt x="2010" y="25"/>
                                </a:lnTo>
                                <a:lnTo>
                                  <a:pt x="2010" y="35"/>
                                </a:lnTo>
                                <a:lnTo>
                                  <a:pt x="2010" y="43"/>
                                </a:lnTo>
                                <a:lnTo>
                                  <a:pt x="2012" y="49"/>
                                </a:lnTo>
                                <a:lnTo>
                                  <a:pt x="2014" y="52"/>
                                </a:lnTo>
                                <a:lnTo>
                                  <a:pt x="2017" y="55"/>
                                </a:lnTo>
                                <a:lnTo>
                                  <a:pt x="2020" y="57"/>
                                </a:lnTo>
                                <a:lnTo>
                                  <a:pt x="2024" y="57"/>
                                </a:lnTo>
                                <a:lnTo>
                                  <a:pt x="2028" y="57"/>
                                </a:lnTo>
                                <a:lnTo>
                                  <a:pt x="2031" y="55"/>
                                </a:lnTo>
                                <a:lnTo>
                                  <a:pt x="2034" y="52"/>
                                </a:lnTo>
                                <a:lnTo>
                                  <a:pt x="2037" y="49"/>
                                </a:lnTo>
                                <a:lnTo>
                                  <a:pt x="2038" y="42"/>
                                </a:lnTo>
                                <a:lnTo>
                                  <a:pt x="2038" y="33"/>
                                </a:lnTo>
                                <a:lnTo>
                                  <a:pt x="2038" y="25"/>
                                </a:lnTo>
                                <a:lnTo>
                                  <a:pt x="2037" y="19"/>
                                </a:lnTo>
                                <a:lnTo>
                                  <a:pt x="2034" y="16"/>
                                </a:lnTo>
                                <a:lnTo>
                                  <a:pt x="2031" y="12"/>
                                </a:lnTo>
                                <a:lnTo>
                                  <a:pt x="2028" y="11"/>
                                </a:lnTo>
                                <a:lnTo>
                                  <a:pt x="2024" y="11"/>
                                </a:lnTo>
                                <a:close/>
                                <a:moveTo>
                                  <a:pt x="2024" y="136"/>
                                </a:moveTo>
                                <a:lnTo>
                                  <a:pt x="2095" y="0"/>
                                </a:lnTo>
                                <a:lnTo>
                                  <a:pt x="2107" y="0"/>
                                </a:lnTo>
                                <a:lnTo>
                                  <a:pt x="2037" y="136"/>
                                </a:lnTo>
                                <a:lnTo>
                                  <a:pt x="2024" y="136"/>
                                </a:lnTo>
                                <a:close/>
                                <a:moveTo>
                                  <a:pt x="2080" y="101"/>
                                </a:moveTo>
                                <a:lnTo>
                                  <a:pt x="2080" y="91"/>
                                </a:lnTo>
                                <a:lnTo>
                                  <a:pt x="2082" y="84"/>
                                </a:lnTo>
                                <a:lnTo>
                                  <a:pt x="2087" y="77"/>
                                </a:lnTo>
                                <a:lnTo>
                                  <a:pt x="2091" y="71"/>
                                </a:lnTo>
                                <a:lnTo>
                                  <a:pt x="2098" y="67"/>
                                </a:lnTo>
                                <a:lnTo>
                                  <a:pt x="2107" y="67"/>
                                </a:lnTo>
                                <a:lnTo>
                                  <a:pt x="2115" y="67"/>
                                </a:lnTo>
                                <a:lnTo>
                                  <a:pt x="2122" y="70"/>
                                </a:lnTo>
                                <a:lnTo>
                                  <a:pt x="2127" y="76"/>
                                </a:lnTo>
                                <a:lnTo>
                                  <a:pt x="2132" y="82"/>
                                </a:lnTo>
                                <a:lnTo>
                                  <a:pt x="2135" y="90"/>
                                </a:lnTo>
                                <a:lnTo>
                                  <a:pt x="2135" y="102"/>
                                </a:lnTo>
                                <a:lnTo>
                                  <a:pt x="2135" y="112"/>
                                </a:lnTo>
                                <a:lnTo>
                                  <a:pt x="2132" y="121"/>
                                </a:lnTo>
                                <a:lnTo>
                                  <a:pt x="2127" y="127"/>
                                </a:lnTo>
                                <a:lnTo>
                                  <a:pt x="2122" y="133"/>
                                </a:lnTo>
                                <a:lnTo>
                                  <a:pt x="2115" y="136"/>
                                </a:lnTo>
                                <a:lnTo>
                                  <a:pt x="2107" y="136"/>
                                </a:lnTo>
                                <a:lnTo>
                                  <a:pt x="2099" y="136"/>
                                </a:lnTo>
                                <a:lnTo>
                                  <a:pt x="2093" y="133"/>
                                </a:lnTo>
                                <a:lnTo>
                                  <a:pt x="2088" y="127"/>
                                </a:lnTo>
                                <a:lnTo>
                                  <a:pt x="2082" y="121"/>
                                </a:lnTo>
                                <a:lnTo>
                                  <a:pt x="2080" y="112"/>
                                </a:lnTo>
                                <a:lnTo>
                                  <a:pt x="2080" y="101"/>
                                </a:lnTo>
                                <a:close/>
                                <a:moveTo>
                                  <a:pt x="2107" y="78"/>
                                </a:moveTo>
                                <a:lnTo>
                                  <a:pt x="2103" y="78"/>
                                </a:lnTo>
                                <a:lnTo>
                                  <a:pt x="2100" y="80"/>
                                </a:lnTo>
                                <a:lnTo>
                                  <a:pt x="2098" y="83"/>
                                </a:lnTo>
                                <a:lnTo>
                                  <a:pt x="2095" y="87"/>
                                </a:lnTo>
                                <a:lnTo>
                                  <a:pt x="2094" y="93"/>
                                </a:lnTo>
                                <a:lnTo>
                                  <a:pt x="2094" y="102"/>
                                </a:lnTo>
                                <a:lnTo>
                                  <a:pt x="2094" y="110"/>
                                </a:lnTo>
                                <a:lnTo>
                                  <a:pt x="2095" y="116"/>
                                </a:lnTo>
                                <a:lnTo>
                                  <a:pt x="2098" y="120"/>
                                </a:lnTo>
                                <a:lnTo>
                                  <a:pt x="2100" y="123"/>
                                </a:lnTo>
                                <a:lnTo>
                                  <a:pt x="2104" y="125"/>
                                </a:lnTo>
                                <a:lnTo>
                                  <a:pt x="2107" y="125"/>
                                </a:lnTo>
                                <a:lnTo>
                                  <a:pt x="2111" y="125"/>
                                </a:lnTo>
                                <a:lnTo>
                                  <a:pt x="2115" y="123"/>
                                </a:lnTo>
                                <a:lnTo>
                                  <a:pt x="2117" y="120"/>
                                </a:lnTo>
                                <a:lnTo>
                                  <a:pt x="2120" y="116"/>
                                </a:lnTo>
                                <a:lnTo>
                                  <a:pt x="2121" y="110"/>
                                </a:lnTo>
                                <a:lnTo>
                                  <a:pt x="2121" y="101"/>
                                </a:lnTo>
                                <a:lnTo>
                                  <a:pt x="2121" y="93"/>
                                </a:lnTo>
                                <a:lnTo>
                                  <a:pt x="2120" y="87"/>
                                </a:lnTo>
                                <a:lnTo>
                                  <a:pt x="2117" y="83"/>
                                </a:lnTo>
                                <a:lnTo>
                                  <a:pt x="2115" y="80"/>
                                </a:lnTo>
                                <a:lnTo>
                                  <a:pt x="2111" y="78"/>
                                </a:lnTo>
                                <a:lnTo>
                                  <a:pt x="2107" y="78"/>
                                </a:lnTo>
                                <a:close/>
                                <a:moveTo>
                                  <a:pt x="2168" y="169"/>
                                </a:moveTo>
                                <a:lnTo>
                                  <a:pt x="2157" y="169"/>
                                </a:lnTo>
                                <a:lnTo>
                                  <a:pt x="2169" y="148"/>
                                </a:lnTo>
                                <a:lnTo>
                                  <a:pt x="2177" y="127"/>
                                </a:lnTo>
                                <a:lnTo>
                                  <a:pt x="2182" y="105"/>
                                </a:lnTo>
                                <a:lnTo>
                                  <a:pt x="2183" y="84"/>
                                </a:lnTo>
                                <a:lnTo>
                                  <a:pt x="2183" y="73"/>
                                </a:lnTo>
                                <a:lnTo>
                                  <a:pt x="2182" y="62"/>
                                </a:lnTo>
                                <a:lnTo>
                                  <a:pt x="2180" y="51"/>
                                </a:lnTo>
                                <a:lnTo>
                                  <a:pt x="2178" y="43"/>
                                </a:lnTo>
                                <a:lnTo>
                                  <a:pt x="2175" y="34"/>
                                </a:lnTo>
                                <a:lnTo>
                                  <a:pt x="2171" y="26"/>
                                </a:lnTo>
                                <a:lnTo>
                                  <a:pt x="2169" y="21"/>
                                </a:lnTo>
                                <a:lnTo>
                                  <a:pt x="2164" y="12"/>
                                </a:lnTo>
                                <a:lnTo>
                                  <a:pt x="2157" y="0"/>
                                </a:lnTo>
                                <a:lnTo>
                                  <a:pt x="2168" y="0"/>
                                </a:lnTo>
                                <a:lnTo>
                                  <a:pt x="2176" y="11"/>
                                </a:lnTo>
                                <a:lnTo>
                                  <a:pt x="2183" y="22"/>
                                </a:lnTo>
                                <a:lnTo>
                                  <a:pt x="2188" y="33"/>
                                </a:lnTo>
                                <a:lnTo>
                                  <a:pt x="2193" y="44"/>
                                </a:lnTo>
                                <a:lnTo>
                                  <a:pt x="2196" y="54"/>
                                </a:lnTo>
                                <a:lnTo>
                                  <a:pt x="2198" y="64"/>
                                </a:lnTo>
                                <a:lnTo>
                                  <a:pt x="2199" y="74"/>
                                </a:lnTo>
                                <a:lnTo>
                                  <a:pt x="2200" y="84"/>
                                </a:lnTo>
                                <a:lnTo>
                                  <a:pt x="2199" y="96"/>
                                </a:lnTo>
                                <a:lnTo>
                                  <a:pt x="2197" y="108"/>
                                </a:lnTo>
                                <a:lnTo>
                                  <a:pt x="2194" y="119"/>
                                </a:lnTo>
                                <a:lnTo>
                                  <a:pt x="2190" y="130"/>
                                </a:lnTo>
                                <a:lnTo>
                                  <a:pt x="2186" y="141"/>
                                </a:lnTo>
                                <a:lnTo>
                                  <a:pt x="2180" y="151"/>
                                </a:lnTo>
                                <a:lnTo>
                                  <a:pt x="2175" y="160"/>
                                </a:lnTo>
                                <a:lnTo>
                                  <a:pt x="2168" y="169"/>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1967061741" name="Picture 2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022"/>
                            <a:ext cx="255" cy="300"/>
                          </a:xfrm>
                          <a:prstGeom prst="rect">
                            <a:avLst/>
                          </a:prstGeom>
                          <a:noFill/>
                          <a:ln>
                            <a:noFill/>
                          </a:ln>
                          <a:effectLst/>
                        </pic:spPr>
                      </pic:pic>
                      <wps:wsp>
                        <wps:cNvPr id="118994007" name="Rectangle 286"/>
                        <wps:cNvSpPr>
                          <a:spLocks noChangeArrowheads="1"/>
                        </wps:cNvSpPr>
                        <wps:spPr bwMode="auto">
                          <a:xfrm>
                            <a:off x="2070" y="8332"/>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411535489" name="AutoShape 285"/>
                        <wps:cNvSpPr/>
                        <wps:spPr bwMode="auto">
                          <a:xfrm>
                            <a:off x="2069" y="8332"/>
                            <a:ext cx="8130" cy="2700"/>
                          </a:xfrm>
                          <a:custGeom>
                            <a:avLst/>
                            <a:gdLst>
                              <a:gd name="T0" fmla="*/ 3570 w 8130"/>
                              <a:gd name="T1" fmla="*/ 10342 h 2700"/>
                              <a:gd name="T2" fmla="*/ 0 w 8130"/>
                              <a:gd name="T3" fmla="*/ 10342 h 2700"/>
                              <a:gd name="T4" fmla="*/ 0 w 8130"/>
                              <a:gd name="T5" fmla="*/ 10357 h 2700"/>
                              <a:gd name="T6" fmla="*/ 3570 w 8130"/>
                              <a:gd name="T7" fmla="*/ 10357 h 2700"/>
                              <a:gd name="T8" fmla="*/ 3570 w 8130"/>
                              <a:gd name="T9" fmla="*/ 10342 h 2700"/>
                              <a:gd name="T10" fmla="*/ 5190 w 8130"/>
                              <a:gd name="T11" fmla="*/ 10342 h 2700"/>
                              <a:gd name="T12" fmla="*/ 4560 w 8130"/>
                              <a:gd name="T13" fmla="*/ 10342 h 2700"/>
                              <a:gd name="T14" fmla="*/ 4560 w 8130"/>
                              <a:gd name="T15" fmla="*/ 10357 h 2700"/>
                              <a:gd name="T16" fmla="*/ 5190 w 8130"/>
                              <a:gd name="T17" fmla="*/ 10357 h 2700"/>
                              <a:gd name="T18" fmla="*/ 5190 w 8130"/>
                              <a:gd name="T19" fmla="*/ 10342 h 2700"/>
                              <a:gd name="T20" fmla="*/ 5190 w 8130"/>
                              <a:gd name="T21" fmla="*/ 9682 h 2700"/>
                              <a:gd name="T22" fmla="*/ 0 w 8130"/>
                              <a:gd name="T23" fmla="*/ 9682 h 2700"/>
                              <a:gd name="T24" fmla="*/ 0 w 8130"/>
                              <a:gd name="T25" fmla="*/ 9697 h 2700"/>
                              <a:gd name="T26" fmla="*/ 5190 w 8130"/>
                              <a:gd name="T27" fmla="*/ 9697 h 2700"/>
                              <a:gd name="T28" fmla="*/ 5190 w 8130"/>
                              <a:gd name="T29" fmla="*/ 9682 h 2700"/>
                              <a:gd name="T30" fmla="*/ 6810 w 8130"/>
                              <a:gd name="T31" fmla="*/ 10342 h 2700"/>
                              <a:gd name="T32" fmla="*/ 6195 w 8130"/>
                              <a:gd name="T33" fmla="*/ 10342 h 2700"/>
                              <a:gd name="T34" fmla="*/ 6195 w 8130"/>
                              <a:gd name="T35" fmla="*/ 10357 h 2700"/>
                              <a:gd name="T36" fmla="*/ 6810 w 8130"/>
                              <a:gd name="T37" fmla="*/ 10357 h 2700"/>
                              <a:gd name="T38" fmla="*/ 6810 w 8130"/>
                              <a:gd name="T39" fmla="*/ 10342 h 2700"/>
                              <a:gd name="T40" fmla="*/ 6810 w 8130"/>
                              <a:gd name="T41" fmla="*/ 9682 h 2700"/>
                              <a:gd name="T42" fmla="*/ 6195 w 8130"/>
                              <a:gd name="T43" fmla="*/ 9682 h 2700"/>
                              <a:gd name="T44" fmla="*/ 6195 w 8130"/>
                              <a:gd name="T45" fmla="*/ 9697 h 2700"/>
                              <a:gd name="T46" fmla="*/ 6810 w 8130"/>
                              <a:gd name="T47" fmla="*/ 9697 h 2700"/>
                              <a:gd name="T48" fmla="*/ 6810 w 8130"/>
                              <a:gd name="T49" fmla="*/ 9682 h 2700"/>
                              <a:gd name="T50" fmla="*/ 6810 w 8130"/>
                              <a:gd name="T51" fmla="*/ 9007 h 2700"/>
                              <a:gd name="T52" fmla="*/ 0 w 8130"/>
                              <a:gd name="T53" fmla="*/ 9007 h 2700"/>
                              <a:gd name="T54" fmla="*/ 0 w 8130"/>
                              <a:gd name="T55" fmla="*/ 9022 h 2700"/>
                              <a:gd name="T56" fmla="*/ 6810 w 8130"/>
                              <a:gd name="T57" fmla="*/ 9022 h 2700"/>
                              <a:gd name="T58" fmla="*/ 6810 w 8130"/>
                              <a:gd name="T59" fmla="*/ 9007 h 2700"/>
                              <a:gd name="T60" fmla="*/ 8130 w 8130"/>
                              <a:gd name="T61" fmla="*/ 11017 h 2700"/>
                              <a:gd name="T62" fmla="*/ 0 w 8130"/>
                              <a:gd name="T63" fmla="*/ 11017 h 2700"/>
                              <a:gd name="T64" fmla="*/ 0 w 8130"/>
                              <a:gd name="T65" fmla="*/ 11032 h 2700"/>
                              <a:gd name="T66" fmla="*/ 8130 w 8130"/>
                              <a:gd name="T67" fmla="*/ 11032 h 2700"/>
                              <a:gd name="T68" fmla="*/ 8130 w 8130"/>
                              <a:gd name="T69" fmla="*/ 11017 h 2700"/>
                              <a:gd name="T70" fmla="*/ 8130 w 8130"/>
                              <a:gd name="T71" fmla="*/ 10342 h 2700"/>
                              <a:gd name="T72" fmla="*/ 7815 w 8130"/>
                              <a:gd name="T73" fmla="*/ 10342 h 2700"/>
                              <a:gd name="T74" fmla="*/ 7815 w 8130"/>
                              <a:gd name="T75" fmla="*/ 10357 h 2700"/>
                              <a:gd name="T76" fmla="*/ 8130 w 8130"/>
                              <a:gd name="T77" fmla="*/ 10357 h 2700"/>
                              <a:gd name="T78" fmla="*/ 8130 w 8130"/>
                              <a:gd name="T79" fmla="*/ 10342 h 2700"/>
                              <a:gd name="T80" fmla="*/ 8130 w 8130"/>
                              <a:gd name="T81" fmla="*/ 9682 h 2700"/>
                              <a:gd name="T82" fmla="*/ 7815 w 8130"/>
                              <a:gd name="T83" fmla="*/ 9682 h 2700"/>
                              <a:gd name="T84" fmla="*/ 7815 w 8130"/>
                              <a:gd name="T85" fmla="*/ 9697 h 2700"/>
                              <a:gd name="T86" fmla="*/ 8130 w 8130"/>
                              <a:gd name="T87" fmla="*/ 9697 h 2700"/>
                              <a:gd name="T88" fmla="*/ 8130 w 8130"/>
                              <a:gd name="T89" fmla="*/ 9682 h 2700"/>
                              <a:gd name="T90" fmla="*/ 8130 w 8130"/>
                              <a:gd name="T91" fmla="*/ 9007 h 2700"/>
                              <a:gd name="T92" fmla="*/ 7815 w 8130"/>
                              <a:gd name="T93" fmla="*/ 9007 h 2700"/>
                              <a:gd name="T94" fmla="*/ 7815 w 8130"/>
                              <a:gd name="T95" fmla="*/ 9022 h 2700"/>
                              <a:gd name="T96" fmla="*/ 8130 w 8130"/>
                              <a:gd name="T97" fmla="*/ 9022 h 2700"/>
                              <a:gd name="T98" fmla="*/ 8130 w 8130"/>
                              <a:gd name="T99" fmla="*/ 9007 h 2700"/>
                              <a:gd name="T100" fmla="*/ 8130 w 8130"/>
                              <a:gd name="T101" fmla="*/ 8332 h 2700"/>
                              <a:gd name="T102" fmla="*/ 0 w 8130"/>
                              <a:gd name="T103" fmla="*/ 8332 h 2700"/>
                              <a:gd name="T104" fmla="*/ 0 w 8130"/>
                              <a:gd name="T105" fmla="*/ 8347 h 2700"/>
                              <a:gd name="T106" fmla="*/ 8130 w 8130"/>
                              <a:gd name="T107" fmla="*/ 8347 h 2700"/>
                              <a:gd name="T108" fmla="*/ 8130 w 8130"/>
                              <a:gd name="T109" fmla="*/ 8332 h 27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700">
                                <a:moveTo>
                                  <a:pt x="3570" y="2010"/>
                                </a:moveTo>
                                <a:lnTo>
                                  <a:pt x="0" y="2010"/>
                                </a:lnTo>
                                <a:lnTo>
                                  <a:pt x="0" y="2025"/>
                                </a:lnTo>
                                <a:lnTo>
                                  <a:pt x="3570" y="2025"/>
                                </a:lnTo>
                                <a:lnTo>
                                  <a:pt x="3570" y="2010"/>
                                </a:lnTo>
                                <a:close/>
                                <a:moveTo>
                                  <a:pt x="5190" y="2010"/>
                                </a:moveTo>
                                <a:lnTo>
                                  <a:pt x="4560" y="2010"/>
                                </a:lnTo>
                                <a:lnTo>
                                  <a:pt x="4560" y="2025"/>
                                </a:lnTo>
                                <a:lnTo>
                                  <a:pt x="5190" y="2025"/>
                                </a:lnTo>
                                <a:lnTo>
                                  <a:pt x="5190" y="2010"/>
                                </a:lnTo>
                                <a:close/>
                                <a:moveTo>
                                  <a:pt x="5190" y="1350"/>
                                </a:moveTo>
                                <a:lnTo>
                                  <a:pt x="0" y="1350"/>
                                </a:lnTo>
                                <a:lnTo>
                                  <a:pt x="0" y="1365"/>
                                </a:lnTo>
                                <a:lnTo>
                                  <a:pt x="5190" y="1365"/>
                                </a:lnTo>
                                <a:lnTo>
                                  <a:pt x="5190" y="1350"/>
                                </a:lnTo>
                                <a:close/>
                                <a:moveTo>
                                  <a:pt x="6810" y="2010"/>
                                </a:moveTo>
                                <a:lnTo>
                                  <a:pt x="6195" y="2010"/>
                                </a:lnTo>
                                <a:lnTo>
                                  <a:pt x="6195" y="2025"/>
                                </a:lnTo>
                                <a:lnTo>
                                  <a:pt x="6810" y="2025"/>
                                </a:lnTo>
                                <a:lnTo>
                                  <a:pt x="6810" y="2010"/>
                                </a:lnTo>
                                <a:close/>
                                <a:moveTo>
                                  <a:pt x="6810" y="1350"/>
                                </a:moveTo>
                                <a:lnTo>
                                  <a:pt x="6195" y="1350"/>
                                </a:lnTo>
                                <a:lnTo>
                                  <a:pt x="6195" y="1365"/>
                                </a:lnTo>
                                <a:lnTo>
                                  <a:pt x="6810" y="1365"/>
                                </a:lnTo>
                                <a:lnTo>
                                  <a:pt x="6810" y="1350"/>
                                </a:lnTo>
                                <a:close/>
                                <a:moveTo>
                                  <a:pt x="6810" y="675"/>
                                </a:moveTo>
                                <a:lnTo>
                                  <a:pt x="0" y="675"/>
                                </a:lnTo>
                                <a:lnTo>
                                  <a:pt x="0"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888257567" name="AutoShape 284"/>
                        <wps:cNvSpPr/>
                        <wps:spPr bwMode="auto">
                          <a:xfrm>
                            <a:off x="2069" y="8662"/>
                            <a:ext cx="8130" cy="2040"/>
                          </a:xfrm>
                          <a:custGeom>
                            <a:avLst/>
                            <a:gdLst>
                              <a:gd name="T0" fmla="*/ 3570 w 8130"/>
                              <a:gd name="T1" fmla="*/ 10687 h 2040"/>
                              <a:gd name="T2" fmla="*/ 0 w 8130"/>
                              <a:gd name="T3" fmla="*/ 10687 h 2040"/>
                              <a:gd name="T4" fmla="*/ 0 w 8130"/>
                              <a:gd name="T5" fmla="*/ 10702 h 2040"/>
                              <a:gd name="T6" fmla="*/ 3570 w 8130"/>
                              <a:gd name="T7" fmla="*/ 10702 h 2040"/>
                              <a:gd name="T8" fmla="*/ 3570 w 8130"/>
                              <a:gd name="T9" fmla="*/ 10687 h 2040"/>
                              <a:gd name="T10" fmla="*/ 5190 w 8130"/>
                              <a:gd name="T11" fmla="*/ 10687 h 2040"/>
                              <a:gd name="T12" fmla="*/ 4560 w 8130"/>
                              <a:gd name="T13" fmla="*/ 10687 h 2040"/>
                              <a:gd name="T14" fmla="*/ 4560 w 8130"/>
                              <a:gd name="T15" fmla="*/ 10702 h 2040"/>
                              <a:gd name="T16" fmla="*/ 5190 w 8130"/>
                              <a:gd name="T17" fmla="*/ 10702 h 2040"/>
                              <a:gd name="T18" fmla="*/ 5190 w 8130"/>
                              <a:gd name="T19" fmla="*/ 10687 h 2040"/>
                              <a:gd name="T20" fmla="*/ 5190 w 8130"/>
                              <a:gd name="T21" fmla="*/ 10012 h 2040"/>
                              <a:gd name="T22" fmla="*/ 0 w 8130"/>
                              <a:gd name="T23" fmla="*/ 10012 h 2040"/>
                              <a:gd name="T24" fmla="*/ 0 w 8130"/>
                              <a:gd name="T25" fmla="*/ 10027 h 2040"/>
                              <a:gd name="T26" fmla="*/ 5190 w 8130"/>
                              <a:gd name="T27" fmla="*/ 10027 h 2040"/>
                              <a:gd name="T28" fmla="*/ 5190 w 8130"/>
                              <a:gd name="T29" fmla="*/ 10012 h 2040"/>
                              <a:gd name="T30" fmla="*/ 6810 w 8130"/>
                              <a:gd name="T31" fmla="*/ 10687 h 2040"/>
                              <a:gd name="T32" fmla="*/ 6195 w 8130"/>
                              <a:gd name="T33" fmla="*/ 10687 h 2040"/>
                              <a:gd name="T34" fmla="*/ 6195 w 8130"/>
                              <a:gd name="T35" fmla="*/ 10702 h 2040"/>
                              <a:gd name="T36" fmla="*/ 6810 w 8130"/>
                              <a:gd name="T37" fmla="*/ 10702 h 2040"/>
                              <a:gd name="T38" fmla="*/ 6810 w 8130"/>
                              <a:gd name="T39" fmla="*/ 10687 h 2040"/>
                              <a:gd name="T40" fmla="*/ 6810 w 8130"/>
                              <a:gd name="T41" fmla="*/ 10012 h 2040"/>
                              <a:gd name="T42" fmla="*/ 6195 w 8130"/>
                              <a:gd name="T43" fmla="*/ 10012 h 2040"/>
                              <a:gd name="T44" fmla="*/ 6195 w 8130"/>
                              <a:gd name="T45" fmla="*/ 10027 h 2040"/>
                              <a:gd name="T46" fmla="*/ 6810 w 8130"/>
                              <a:gd name="T47" fmla="*/ 10027 h 2040"/>
                              <a:gd name="T48" fmla="*/ 6810 w 8130"/>
                              <a:gd name="T49" fmla="*/ 10012 h 2040"/>
                              <a:gd name="T50" fmla="*/ 6810 w 8130"/>
                              <a:gd name="T51" fmla="*/ 9337 h 2040"/>
                              <a:gd name="T52" fmla="*/ 0 w 8130"/>
                              <a:gd name="T53" fmla="*/ 9337 h 2040"/>
                              <a:gd name="T54" fmla="*/ 0 w 8130"/>
                              <a:gd name="T55" fmla="*/ 9352 h 2040"/>
                              <a:gd name="T56" fmla="*/ 6810 w 8130"/>
                              <a:gd name="T57" fmla="*/ 9352 h 2040"/>
                              <a:gd name="T58" fmla="*/ 6810 w 8130"/>
                              <a:gd name="T59" fmla="*/ 9337 h 2040"/>
                              <a:gd name="T60" fmla="*/ 6810 w 8130"/>
                              <a:gd name="T61" fmla="*/ 8662 h 2040"/>
                              <a:gd name="T62" fmla="*/ 0 w 8130"/>
                              <a:gd name="T63" fmla="*/ 8662 h 2040"/>
                              <a:gd name="T64" fmla="*/ 0 w 8130"/>
                              <a:gd name="T65" fmla="*/ 8677 h 2040"/>
                              <a:gd name="T66" fmla="*/ 6810 w 8130"/>
                              <a:gd name="T67" fmla="*/ 8677 h 2040"/>
                              <a:gd name="T68" fmla="*/ 6810 w 8130"/>
                              <a:gd name="T69" fmla="*/ 8662 h 2040"/>
                              <a:gd name="T70" fmla="*/ 8130 w 8130"/>
                              <a:gd name="T71" fmla="*/ 10687 h 2040"/>
                              <a:gd name="T72" fmla="*/ 7815 w 8130"/>
                              <a:gd name="T73" fmla="*/ 10687 h 2040"/>
                              <a:gd name="T74" fmla="*/ 7815 w 8130"/>
                              <a:gd name="T75" fmla="*/ 10702 h 2040"/>
                              <a:gd name="T76" fmla="*/ 8130 w 8130"/>
                              <a:gd name="T77" fmla="*/ 10702 h 2040"/>
                              <a:gd name="T78" fmla="*/ 8130 w 8130"/>
                              <a:gd name="T79" fmla="*/ 10687 h 2040"/>
                              <a:gd name="T80" fmla="*/ 8130 w 8130"/>
                              <a:gd name="T81" fmla="*/ 10012 h 2040"/>
                              <a:gd name="T82" fmla="*/ 7815 w 8130"/>
                              <a:gd name="T83" fmla="*/ 10012 h 2040"/>
                              <a:gd name="T84" fmla="*/ 7815 w 8130"/>
                              <a:gd name="T85" fmla="*/ 10027 h 2040"/>
                              <a:gd name="T86" fmla="*/ 8130 w 8130"/>
                              <a:gd name="T87" fmla="*/ 10027 h 2040"/>
                              <a:gd name="T88" fmla="*/ 8130 w 8130"/>
                              <a:gd name="T89" fmla="*/ 10012 h 2040"/>
                              <a:gd name="T90" fmla="*/ 8130 w 8130"/>
                              <a:gd name="T91" fmla="*/ 9337 h 2040"/>
                              <a:gd name="T92" fmla="*/ 7815 w 8130"/>
                              <a:gd name="T93" fmla="*/ 9337 h 2040"/>
                              <a:gd name="T94" fmla="*/ 7815 w 8130"/>
                              <a:gd name="T95" fmla="*/ 9352 h 2040"/>
                              <a:gd name="T96" fmla="*/ 8130 w 8130"/>
                              <a:gd name="T97" fmla="*/ 9352 h 2040"/>
                              <a:gd name="T98" fmla="*/ 8130 w 8130"/>
                              <a:gd name="T99" fmla="*/ 9337 h 2040"/>
                              <a:gd name="T100" fmla="*/ 8130 w 8130"/>
                              <a:gd name="T101" fmla="*/ 8662 h 2040"/>
                              <a:gd name="T102" fmla="*/ 7815 w 8130"/>
                              <a:gd name="T103" fmla="*/ 8662 h 2040"/>
                              <a:gd name="T104" fmla="*/ 7815 w 8130"/>
                              <a:gd name="T105" fmla="*/ 8677 h 2040"/>
                              <a:gd name="T106" fmla="*/ 8130 w 8130"/>
                              <a:gd name="T107" fmla="*/ 8677 h 2040"/>
                              <a:gd name="T108" fmla="*/ 8130 w 8130"/>
                              <a:gd name="T109" fmla="*/ 8662 h 204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040">
                                <a:moveTo>
                                  <a:pt x="3570" y="2025"/>
                                </a:moveTo>
                                <a:lnTo>
                                  <a:pt x="0" y="2025"/>
                                </a:lnTo>
                                <a:lnTo>
                                  <a:pt x="0" y="2040"/>
                                </a:lnTo>
                                <a:lnTo>
                                  <a:pt x="3570" y="2040"/>
                                </a:lnTo>
                                <a:lnTo>
                                  <a:pt x="3570" y="2025"/>
                                </a:lnTo>
                                <a:close/>
                                <a:moveTo>
                                  <a:pt x="5190" y="2025"/>
                                </a:moveTo>
                                <a:lnTo>
                                  <a:pt x="4560" y="2025"/>
                                </a:lnTo>
                                <a:lnTo>
                                  <a:pt x="4560" y="2040"/>
                                </a:lnTo>
                                <a:lnTo>
                                  <a:pt x="5190" y="2040"/>
                                </a:lnTo>
                                <a:lnTo>
                                  <a:pt x="5190" y="2025"/>
                                </a:lnTo>
                                <a:close/>
                                <a:moveTo>
                                  <a:pt x="5190" y="1350"/>
                                </a:moveTo>
                                <a:lnTo>
                                  <a:pt x="0" y="1350"/>
                                </a:lnTo>
                                <a:lnTo>
                                  <a:pt x="0" y="1365"/>
                                </a:lnTo>
                                <a:lnTo>
                                  <a:pt x="5190" y="1365"/>
                                </a:lnTo>
                                <a:lnTo>
                                  <a:pt x="5190" y="1350"/>
                                </a:lnTo>
                                <a:close/>
                                <a:moveTo>
                                  <a:pt x="6810" y="2025"/>
                                </a:moveTo>
                                <a:lnTo>
                                  <a:pt x="6195" y="2025"/>
                                </a:lnTo>
                                <a:lnTo>
                                  <a:pt x="6195" y="2040"/>
                                </a:lnTo>
                                <a:lnTo>
                                  <a:pt x="6810" y="2040"/>
                                </a:lnTo>
                                <a:lnTo>
                                  <a:pt x="6810" y="2025"/>
                                </a:lnTo>
                                <a:close/>
                                <a:moveTo>
                                  <a:pt x="6810" y="1350"/>
                                </a:moveTo>
                                <a:lnTo>
                                  <a:pt x="6195" y="1350"/>
                                </a:lnTo>
                                <a:lnTo>
                                  <a:pt x="6195" y="1365"/>
                                </a:lnTo>
                                <a:lnTo>
                                  <a:pt x="6810" y="1365"/>
                                </a:lnTo>
                                <a:lnTo>
                                  <a:pt x="6810" y="1350"/>
                                </a:lnTo>
                                <a:close/>
                                <a:moveTo>
                                  <a:pt x="6810" y="675"/>
                                </a:moveTo>
                                <a:lnTo>
                                  <a:pt x="0" y="675"/>
                                </a:lnTo>
                                <a:lnTo>
                                  <a:pt x="0" y="690"/>
                                </a:lnTo>
                                <a:lnTo>
                                  <a:pt x="6810" y="690"/>
                                </a:lnTo>
                                <a:lnTo>
                                  <a:pt x="6810" y="675"/>
                                </a:lnTo>
                                <a:close/>
                                <a:moveTo>
                                  <a:pt x="6810" y="0"/>
                                </a:moveTo>
                                <a:lnTo>
                                  <a:pt x="0" y="0"/>
                                </a:lnTo>
                                <a:lnTo>
                                  <a:pt x="0" y="15"/>
                                </a:lnTo>
                                <a:lnTo>
                                  <a:pt x="6810" y="15"/>
                                </a:lnTo>
                                <a:lnTo>
                                  <a:pt x="6810" y="0"/>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7815" y="0"/>
                                </a:lnTo>
                                <a:lnTo>
                                  <a:pt x="7815"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495874855" name="AutoShape 283"/>
                        <wps:cNvSpPr/>
                        <wps:spPr bwMode="auto">
                          <a:xfrm>
                            <a:off x="2384" y="10970"/>
                            <a:ext cx="2625" cy="54"/>
                          </a:xfrm>
                          <a:custGeom>
                            <a:avLst/>
                            <a:gdLst>
                              <a:gd name="T0" fmla="*/ 1005 w 2625"/>
                              <a:gd name="T1" fmla="*/ 11017 h 54"/>
                              <a:gd name="T2" fmla="*/ 0 w 2625"/>
                              <a:gd name="T3" fmla="*/ 11017 h 54"/>
                              <a:gd name="T4" fmla="*/ 0 w 2625"/>
                              <a:gd name="T5" fmla="*/ 11025 h 54"/>
                              <a:gd name="T6" fmla="*/ 1005 w 2625"/>
                              <a:gd name="T7" fmla="*/ 11025 h 54"/>
                              <a:gd name="T8" fmla="*/ 1005 w 2625"/>
                              <a:gd name="T9" fmla="*/ 11017 h 54"/>
                              <a:gd name="T10" fmla="*/ 2625 w 2625"/>
                              <a:gd name="T11" fmla="*/ 10971 h 54"/>
                              <a:gd name="T12" fmla="*/ 1620 w 2625"/>
                              <a:gd name="T13" fmla="*/ 10971 h 54"/>
                              <a:gd name="T14" fmla="*/ 1620 w 2625"/>
                              <a:gd name="T15" fmla="*/ 11025 h 54"/>
                              <a:gd name="T16" fmla="*/ 2625 w 2625"/>
                              <a:gd name="T17" fmla="*/ 11025 h 54"/>
                              <a:gd name="T18" fmla="*/ 2625 w 2625"/>
                              <a:gd name="T19" fmla="*/ 10971 h 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25" h="54">
                                <a:moveTo>
                                  <a:pt x="1005" y="46"/>
                                </a:moveTo>
                                <a:lnTo>
                                  <a:pt x="0" y="46"/>
                                </a:lnTo>
                                <a:lnTo>
                                  <a:pt x="0" y="54"/>
                                </a:lnTo>
                                <a:lnTo>
                                  <a:pt x="1005" y="54"/>
                                </a:lnTo>
                                <a:lnTo>
                                  <a:pt x="1005" y="46"/>
                                </a:lnTo>
                                <a:close/>
                                <a:moveTo>
                                  <a:pt x="2625" y="0"/>
                                </a:moveTo>
                                <a:lnTo>
                                  <a:pt x="1620" y="0"/>
                                </a:lnTo>
                                <a:lnTo>
                                  <a:pt x="1620" y="54"/>
                                </a:lnTo>
                                <a:lnTo>
                                  <a:pt x="2625" y="54"/>
                                </a:lnTo>
                                <a:lnTo>
                                  <a:pt x="2625" y="0"/>
                                </a:lnTo>
                                <a:close/>
                              </a:path>
                            </a:pathLst>
                          </a:custGeom>
                          <a:solidFill>
                            <a:srgbClr val="663AB6"/>
                          </a:solidFill>
                          <a:ln>
                            <a:noFill/>
                          </a:ln>
                          <a:effectLst/>
                        </wps:spPr>
                        <wps:bodyPr rot="0" vert="horz" wrap="square" lIns="91440" tIns="45720" rIns="91440" bIns="45720" anchor="t" anchorCtr="0" upright="1">
                          <a:noAutofit/>
                        </wps:bodyPr>
                      </wps:wsp>
                      <wps:wsp>
                        <wps:cNvPr id="619563790" name="Rectangle 282"/>
                        <wps:cNvSpPr>
                          <a:spLocks noChangeArrowheads="1"/>
                        </wps:cNvSpPr>
                        <wps:spPr bwMode="auto">
                          <a:xfrm>
                            <a:off x="2070" y="11017"/>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504194940" name="AutoShape 281"/>
                        <wps:cNvSpPr/>
                        <wps:spPr bwMode="auto">
                          <a:xfrm>
                            <a:off x="2879" y="10790"/>
                            <a:ext cx="1635" cy="227"/>
                          </a:xfrm>
                          <a:custGeom>
                            <a:avLst/>
                            <a:gdLst>
                              <a:gd name="T0" fmla="*/ 15 w 1635"/>
                              <a:gd name="T1" fmla="*/ 10837 h 227"/>
                              <a:gd name="T2" fmla="*/ 0 w 1635"/>
                              <a:gd name="T3" fmla="*/ 10837 h 227"/>
                              <a:gd name="T4" fmla="*/ 0 w 1635"/>
                              <a:gd name="T5" fmla="*/ 11017 h 227"/>
                              <a:gd name="T6" fmla="*/ 15 w 1635"/>
                              <a:gd name="T7" fmla="*/ 11017 h 227"/>
                              <a:gd name="T8" fmla="*/ 15 w 1635"/>
                              <a:gd name="T9" fmla="*/ 10837 h 227"/>
                              <a:gd name="T10" fmla="*/ 1635 w 1635"/>
                              <a:gd name="T11" fmla="*/ 10791 h 227"/>
                              <a:gd name="T12" fmla="*/ 1620 w 1635"/>
                              <a:gd name="T13" fmla="*/ 10791 h 227"/>
                              <a:gd name="T14" fmla="*/ 1620 w 1635"/>
                              <a:gd name="T15" fmla="*/ 10971 h 227"/>
                              <a:gd name="T16" fmla="*/ 1635 w 1635"/>
                              <a:gd name="T17" fmla="*/ 10971 h 227"/>
                              <a:gd name="T18" fmla="*/ 1635 w 1635"/>
                              <a:gd name="T19" fmla="*/ 10791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5" h="227">
                                <a:moveTo>
                                  <a:pt x="15" y="46"/>
                                </a:moveTo>
                                <a:lnTo>
                                  <a:pt x="0" y="46"/>
                                </a:lnTo>
                                <a:lnTo>
                                  <a:pt x="0" y="226"/>
                                </a:lnTo>
                                <a:lnTo>
                                  <a:pt x="15" y="226"/>
                                </a:lnTo>
                                <a:lnTo>
                                  <a:pt x="15" y="46"/>
                                </a:lnTo>
                                <a:close/>
                                <a:moveTo>
                                  <a:pt x="1635" y="0"/>
                                </a:moveTo>
                                <a:lnTo>
                                  <a:pt x="1620" y="0"/>
                                </a:lnTo>
                                <a:lnTo>
                                  <a:pt x="1620" y="180"/>
                                </a:lnTo>
                                <a:lnTo>
                                  <a:pt x="1635" y="180"/>
                                </a:lnTo>
                                <a:lnTo>
                                  <a:pt x="1635" y="0"/>
                                </a:lnTo>
                                <a:close/>
                              </a:path>
                            </a:pathLst>
                          </a:custGeom>
                          <a:solidFill>
                            <a:srgbClr val="999999"/>
                          </a:solidFill>
                          <a:ln>
                            <a:noFill/>
                          </a:ln>
                          <a:effectLst/>
                        </wps:spPr>
                        <wps:bodyPr rot="0" vert="horz" wrap="square" lIns="91440" tIns="45720" rIns="91440" bIns="45720" anchor="t" anchorCtr="0" upright="1">
                          <a:noAutofit/>
                        </wps:bodyPr>
                      </wps:wsp>
                      <wps:wsp>
                        <wps:cNvPr id="328762372" name="AutoShape 280"/>
                        <wps:cNvSpPr/>
                        <wps:spPr bwMode="auto">
                          <a:xfrm>
                            <a:off x="2622" y="10632"/>
                            <a:ext cx="2212" cy="216"/>
                          </a:xfrm>
                          <a:custGeom>
                            <a:avLst/>
                            <a:gdLst>
                              <a:gd name="T0" fmla="*/ 42 w 2212"/>
                              <a:gd name="T1" fmla="*/ 10680 h 216"/>
                              <a:gd name="T2" fmla="*/ 83 w 2212"/>
                              <a:gd name="T3" fmla="*/ 10723 h 216"/>
                              <a:gd name="T4" fmla="*/ 52 w 2212"/>
                              <a:gd name="T5" fmla="*/ 10812 h 216"/>
                              <a:gd name="T6" fmla="*/ 17 w 2212"/>
                              <a:gd name="T7" fmla="*/ 10761 h 216"/>
                              <a:gd name="T8" fmla="*/ 64 w 2212"/>
                              <a:gd name="T9" fmla="*/ 10782 h 216"/>
                              <a:gd name="T10" fmla="*/ 42 w 2212"/>
                              <a:gd name="T11" fmla="*/ 10694 h 216"/>
                              <a:gd name="T12" fmla="*/ 173 w 2212"/>
                              <a:gd name="T13" fmla="*/ 10830 h 216"/>
                              <a:gd name="T14" fmla="*/ 161 w 2212"/>
                              <a:gd name="T15" fmla="*/ 10723 h 216"/>
                              <a:gd name="T16" fmla="*/ 176 w 2212"/>
                              <a:gd name="T17" fmla="*/ 10721 h 216"/>
                              <a:gd name="T18" fmla="*/ 210 w 2212"/>
                              <a:gd name="T19" fmla="*/ 10746 h 216"/>
                              <a:gd name="T20" fmla="*/ 259 w 2212"/>
                              <a:gd name="T21" fmla="*/ 10680 h 216"/>
                              <a:gd name="T22" fmla="*/ 294 w 2212"/>
                              <a:gd name="T23" fmla="*/ 10734 h 216"/>
                              <a:gd name="T24" fmla="*/ 252 w 2212"/>
                              <a:gd name="T25" fmla="*/ 10812 h 216"/>
                              <a:gd name="T26" fmla="*/ 229 w 2212"/>
                              <a:gd name="T27" fmla="*/ 10773 h 216"/>
                              <a:gd name="T28" fmla="*/ 276 w 2212"/>
                              <a:gd name="T29" fmla="*/ 10773 h 216"/>
                              <a:gd name="T30" fmla="*/ 245 w 2212"/>
                              <a:gd name="T31" fmla="*/ 10694 h 216"/>
                              <a:gd name="T32" fmla="*/ 320 w 2212"/>
                              <a:gd name="T33" fmla="*/ 10688 h 216"/>
                              <a:gd name="T34" fmla="*/ 369 w 2212"/>
                              <a:gd name="T35" fmla="*/ 10724 h 216"/>
                              <a:gd name="T36" fmla="*/ 314 w 2212"/>
                              <a:gd name="T37" fmla="*/ 10724 h 216"/>
                              <a:gd name="T38" fmla="*/ 329 w 2212"/>
                              <a:gd name="T39" fmla="*/ 10728 h 216"/>
                              <a:gd name="T40" fmla="*/ 355 w 2212"/>
                              <a:gd name="T41" fmla="*/ 10712 h 216"/>
                              <a:gd name="T42" fmla="*/ 354 w 2212"/>
                              <a:gd name="T43" fmla="*/ 10815 h 216"/>
                              <a:gd name="T44" fmla="*/ 439 w 2212"/>
                              <a:gd name="T45" fmla="*/ 10749 h 216"/>
                              <a:gd name="T46" fmla="*/ 424 w 2212"/>
                              <a:gd name="T47" fmla="*/ 10815 h 216"/>
                              <a:gd name="T48" fmla="*/ 415 w 2212"/>
                              <a:gd name="T49" fmla="*/ 10762 h 216"/>
                              <a:gd name="T50" fmla="*/ 428 w 2212"/>
                              <a:gd name="T51" fmla="*/ 10804 h 216"/>
                              <a:gd name="T52" fmla="*/ 428 w 2212"/>
                              <a:gd name="T53" fmla="*/ 10757 h 216"/>
                              <a:gd name="T54" fmla="*/ 497 w 2212"/>
                              <a:gd name="T55" fmla="*/ 10730 h 216"/>
                              <a:gd name="T56" fmla="*/ 505 w 2212"/>
                              <a:gd name="T57" fmla="*/ 10712 h 216"/>
                              <a:gd name="T58" fmla="*/ 503 w 2212"/>
                              <a:gd name="T59" fmla="*/ 10820 h 216"/>
                              <a:gd name="T60" fmla="*/ 1568 w 2212"/>
                              <a:gd name="T61" fmla="*/ 10677 h 216"/>
                              <a:gd name="T62" fmla="*/ 1605 w 2212"/>
                              <a:gd name="T63" fmla="*/ 10634 h 216"/>
                              <a:gd name="T64" fmla="*/ 1699 w 2212"/>
                              <a:gd name="T65" fmla="*/ 10717 h 216"/>
                              <a:gd name="T66" fmla="*/ 1734 w 2212"/>
                              <a:gd name="T67" fmla="*/ 10645 h 216"/>
                              <a:gd name="T68" fmla="*/ 1722 w 2212"/>
                              <a:gd name="T69" fmla="*/ 10759 h 216"/>
                              <a:gd name="T70" fmla="*/ 1778 w 2212"/>
                              <a:gd name="T71" fmla="*/ 10677 h 216"/>
                              <a:gd name="T72" fmla="*/ 1815 w 2212"/>
                              <a:gd name="T73" fmla="*/ 10634 h 216"/>
                              <a:gd name="T74" fmla="*/ 1926 w 2212"/>
                              <a:gd name="T75" fmla="*/ 10743 h 216"/>
                              <a:gd name="T76" fmla="*/ 1973 w 2212"/>
                              <a:gd name="T77" fmla="*/ 10726 h 216"/>
                              <a:gd name="T78" fmla="*/ 1938 w 2212"/>
                              <a:gd name="T79" fmla="*/ 10689 h 216"/>
                              <a:gd name="T80" fmla="*/ 1967 w 2212"/>
                              <a:gd name="T81" fmla="*/ 10662 h 216"/>
                              <a:gd name="T82" fmla="*/ 1924 w 2212"/>
                              <a:gd name="T83" fmla="*/ 10663 h 216"/>
                              <a:gd name="T84" fmla="*/ 1959 w 2212"/>
                              <a:gd name="T85" fmla="*/ 10636 h 216"/>
                              <a:gd name="T86" fmla="*/ 1979 w 2212"/>
                              <a:gd name="T87" fmla="*/ 10683 h 216"/>
                              <a:gd name="T88" fmla="*/ 1990 w 2212"/>
                              <a:gd name="T89" fmla="*/ 10737 h 216"/>
                              <a:gd name="T90" fmla="*/ 1906 w 2212"/>
                              <a:gd name="T91" fmla="*/ 10740 h 216"/>
                              <a:gd name="T92" fmla="*/ 2050 w 2212"/>
                              <a:gd name="T93" fmla="*/ 10636 h 216"/>
                              <a:gd name="T94" fmla="*/ 2036 w 2212"/>
                              <a:gd name="T95" fmla="*/ 10701 h 216"/>
                              <a:gd name="T96" fmla="*/ 2026 w 2212"/>
                              <a:gd name="T97" fmla="*/ 10649 h 216"/>
                              <a:gd name="T98" fmla="*/ 2040 w 2212"/>
                              <a:gd name="T99" fmla="*/ 10690 h 216"/>
                              <a:gd name="T100" fmla="*/ 2040 w 2212"/>
                              <a:gd name="T101" fmla="*/ 10644 h 216"/>
                              <a:gd name="T102" fmla="*/ 2099 w 2212"/>
                              <a:gd name="T103" fmla="*/ 10710 h 216"/>
                              <a:gd name="T104" fmla="*/ 2147 w 2212"/>
                              <a:gd name="T105" fmla="*/ 10745 h 216"/>
                              <a:gd name="T106" fmla="*/ 2092 w 2212"/>
                              <a:gd name="T107" fmla="*/ 10745 h 216"/>
                              <a:gd name="T108" fmla="*/ 2107 w 2212"/>
                              <a:gd name="T109" fmla="*/ 10749 h 216"/>
                              <a:gd name="T110" fmla="*/ 2133 w 2212"/>
                              <a:gd name="T111" fmla="*/ 10734 h 216"/>
                              <a:gd name="T112" fmla="*/ 2189 w 2212"/>
                              <a:gd name="T113" fmla="*/ 10759 h 216"/>
                              <a:gd name="T114" fmla="*/ 2176 w 2212"/>
                              <a:gd name="T115" fmla="*/ 10645 h 216"/>
                              <a:gd name="T116" fmla="*/ 2211 w 2212"/>
                              <a:gd name="T117" fmla="*/ 10717 h 21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12" h="216">
                                <a:moveTo>
                                  <a:pt x="0" y="113"/>
                                </a:moveTo>
                                <a:lnTo>
                                  <a:pt x="0" y="98"/>
                                </a:lnTo>
                                <a:lnTo>
                                  <a:pt x="2" y="86"/>
                                </a:lnTo>
                                <a:lnTo>
                                  <a:pt x="5" y="77"/>
                                </a:lnTo>
                                <a:lnTo>
                                  <a:pt x="8" y="67"/>
                                </a:lnTo>
                                <a:lnTo>
                                  <a:pt x="13" y="60"/>
                                </a:lnTo>
                                <a:lnTo>
                                  <a:pt x="19" y="55"/>
                                </a:lnTo>
                                <a:lnTo>
                                  <a:pt x="25" y="50"/>
                                </a:lnTo>
                                <a:lnTo>
                                  <a:pt x="33" y="47"/>
                                </a:lnTo>
                                <a:lnTo>
                                  <a:pt x="42" y="47"/>
                                </a:lnTo>
                                <a:lnTo>
                                  <a:pt x="49" y="47"/>
                                </a:lnTo>
                                <a:lnTo>
                                  <a:pt x="55" y="49"/>
                                </a:lnTo>
                                <a:lnTo>
                                  <a:pt x="61" y="52"/>
                                </a:lnTo>
                                <a:lnTo>
                                  <a:pt x="66" y="54"/>
                                </a:lnTo>
                                <a:lnTo>
                                  <a:pt x="70" y="58"/>
                                </a:lnTo>
                                <a:lnTo>
                                  <a:pt x="74" y="64"/>
                                </a:lnTo>
                                <a:lnTo>
                                  <a:pt x="77" y="69"/>
                                </a:lnTo>
                                <a:lnTo>
                                  <a:pt x="80" y="75"/>
                                </a:lnTo>
                                <a:lnTo>
                                  <a:pt x="82" y="83"/>
                                </a:lnTo>
                                <a:lnTo>
                                  <a:pt x="83" y="90"/>
                                </a:lnTo>
                                <a:lnTo>
                                  <a:pt x="84" y="101"/>
                                </a:lnTo>
                                <a:lnTo>
                                  <a:pt x="84" y="113"/>
                                </a:lnTo>
                                <a:lnTo>
                                  <a:pt x="84" y="128"/>
                                </a:lnTo>
                                <a:lnTo>
                                  <a:pt x="83" y="141"/>
                                </a:lnTo>
                                <a:lnTo>
                                  <a:pt x="80" y="150"/>
                                </a:lnTo>
                                <a:lnTo>
                                  <a:pt x="77" y="159"/>
                                </a:lnTo>
                                <a:lnTo>
                                  <a:pt x="72" y="166"/>
                                </a:lnTo>
                                <a:lnTo>
                                  <a:pt x="66" y="171"/>
                                </a:lnTo>
                                <a:lnTo>
                                  <a:pt x="60" y="177"/>
                                </a:lnTo>
                                <a:lnTo>
                                  <a:pt x="52" y="179"/>
                                </a:lnTo>
                                <a:lnTo>
                                  <a:pt x="42" y="179"/>
                                </a:lnTo>
                                <a:lnTo>
                                  <a:pt x="30" y="179"/>
                                </a:lnTo>
                                <a:lnTo>
                                  <a:pt x="20" y="175"/>
                                </a:lnTo>
                                <a:lnTo>
                                  <a:pt x="13" y="166"/>
                                </a:lnTo>
                                <a:lnTo>
                                  <a:pt x="8" y="156"/>
                                </a:lnTo>
                                <a:lnTo>
                                  <a:pt x="4" y="145"/>
                                </a:lnTo>
                                <a:lnTo>
                                  <a:pt x="1" y="130"/>
                                </a:lnTo>
                                <a:lnTo>
                                  <a:pt x="0" y="113"/>
                                </a:lnTo>
                                <a:close/>
                                <a:moveTo>
                                  <a:pt x="17" y="113"/>
                                </a:moveTo>
                                <a:lnTo>
                                  <a:pt x="17" y="128"/>
                                </a:lnTo>
                                <a:lnTo>
                                  <a:pt x="19" y="140"/>
                                </a:lnTo>
                                <a:lnTo>
                                  <a:pt x="21" y="149"/>
                                </a:lnTo>
                                <a:lnTo>
                                  <a:pt x="24" y="156"/>
                                </a:lnTo>
                                <a:lnTo>
                                  <a:pt x="29" y="163"/>
                                </a:lnTo>
                                <a:lnTo>
                                  <a:pt x="35" y="166"/>
                                </a:lnTo>
                                <a:lnTo>
                                  <a:pt x="42" y="166"/>
                                </a:lnTo>
                                <a:lnTo>
                                  <a:pt x="50" y="166"/>
                                </a:lnTo>
                                <a:lnTo>
                                  <a:pt x="56" y="163"/>
                                </a:lnTo>
                                <a:lnTo>
                                  <a:pt x="61" y="156"/>
                                </a:lnTo>
                                <a:lnTo>
                                  <a:pt x="64" y="149"/>
                                </a:lnTo>
                                <a:lnTo>
                                  <a:pt x="66" y="140"/>
                                </a:lnTo>
                                <a:lnTo>
                                  <a:pt x="68" y="128"/>
                                </a:lnTo>
                                <a:lnTo>
                                  <a:pt x="68" y="113"/>
                                </a:lnTo>
                                <a:lnTo>
                                  <a:pt x="68" y="99"/>
                                </a:lnTo>
                                <a:lnTo>
                                  <a:pt x="66" y="87"/>
                                </a:lnTo>
                                <a:lnTo>
                                  <a:pt x="64" y="78"/>
                                </a:lnTo>
                                <a:lnTo>
                                  <a:pt x="61" y="71"/>
                                </a:lnTo>
                                <a:lnTo>
                                  <a:pt x="56" y="64"/>
                                </a:lnTo>
                                <a:lnTo>
                                  <a:pt x="50" y="61"/>
                                </a:lnTo>
                                <a:lnTo>
                                  <a:pt x="42" y="61"/>
                                </a:lnTo>
                                <a:lnTo>
                                  <a:pt x="35" y="61"/>
                                </a:lnTo>
                                <a:lnTo>
                                  <a:pt x="29" y="64"/>
                                </a:lnTo>
                                <a:lnTo>
                                  <a:pt x="25" y="70"/>
                                </a:lnTo>
                                <a:lnTo>
                                  <a:pt x="21" y="77"/>
                                </a:lnTo>
                                <a:lnTo>
                                  <a:pt x="19" y="87"/>
                                </a:lnTo>
                                <a:lnTo>
                                  <a:pt x="17" y="99"/>
                                </a:lnTo>
                                <a:lnTo>
                                  <a:pt x="17" y="113"/>
                                </a:lnTo>
                                <a:close/>
                                <a:moveTo>
                                  <a:pt x="185" y="215"/>
                                </a:moveTo>
                                <a:lnTo>
                                  <a:pt x="179" y="206"/>
                                </a:lnTo>
                                <a:lnTo>
                                  <a:pt x="173" y="197"/>
                                </a:lnTo>
                                <a:lnTo>
                                  <a:pt x="168" y="187"/>
                                </a:lnTo>
                                <a:lnTo>
                                  <a:pt x="163" y="176"/>
                                </a:lnTo>
                                <a:lnTo>
                                  <a:pt x="159" y="165"/>
                                </a:lnTo>
                                <a:lnTo>
                                  <a:pt x="156" y="154"/>
                                </a:lnTo>
                                <a:lnTo>
                                  <a:pt x="155" y="142"/>
                                </a:lnTo>
                                <a:lnTo>
                                  <a:pt x="154" y="130"/>
                                </a:lnTo>
                                <a:lnTo>
                                  <a:pt x="154" y="120"/>
                                </a:lnTo>
                                <a:lnTo>
                                  <a:pt x="156" y="110"/>
                                </a:lnTo>
                                <a:lnTo>
                                  <a:pt x="158" y="100"/>
                                </a:lnTo>
                                <a:lnTo>
                                  <a:pt x="161" y="90"/>
                                </a:lnTo>
                                <a:lnTo>
                                  <a:pt x="165" y="79"/>
                                </a:lnTo>
                                <a:lnTo>
                                  <a:pt x="171" y="68"/>
                                </a:lnTo>
                                <a:lnTo>
                                  <a:pt x="177" y="57"/>
                                </a:lnTo>
                                <a:lnTo>
                                  <a:pt x="185" y="46"/>
                                </a:lnTo>
                                <a:lnTo>
                                  <a:pt x="196" y="46"/>
                                </a:lnTo>
                                <a:lnTo>
                                  <a:pt x="189" y="58"/>
                                </a:lnTo>
                                <a:lnTo>
                                  <a:pt x="185" y="67"/>
                                </a:lnTo>
                                <a:lnTo>
                                  <a:pt x="182" y="72"/>
                                </a:lnTo>
                                <a:lnTo>
                                  <a:pt x="179" y="80"/>
                                </a:lnTo>
                                <a:lnTo>
                                  <a:pt x="176" y="88"/>
                                </a:lnTo>
                                <a:lnTo>
                                  <a:pt x="174" y="97"/>
                                </a:lnTo>
                                <a:lnTo>
                                  <a:pt x="171" y="108"/>
                                </a:lnTo>
                                <a:lnTo>
                                  <a:pt x="170" y="119"/>
                                </a:lnTo>
                                <a:lnTo>
                                  <a:pt x="170" y="130"/>
                                </a:lnTo>
                                <a:lnTo>
                                  <a:pt x="172" y="151"/>
                                </a:lnTo>
                                <a:lnTo>
                                  <a:pt x="177" y="173"/>
                                </a:lnTo>
                                <a:lnTo>
                                  <a:pt x="185" y="194"/>
                                </a:lnTo>
                                <a:lnTo>
                                  <a:pt x="196" y="215"/>
                                </a:lnTo>
                                <a:lnTo>
                                  <a:pt x="185" y="215"/>
                                </a:lnTo>
                                <a:close/>
                                <a:moveTo>
                                  <a:pt x="210" y="113"/>
                                </a:moveTo>
                                <a:lnTo>
                                  <a:pt x="210" y="98"/>
                                </a:lnTo>
                                <a:lnTo>
                                  <a:pt x="212" y="86"/>
                                </a:lnTo>
                                <a:lnTo>
                                  <a:pt x="215" y="77"/>
                                </a:lnTo>
                                <a:lnTo>
                                  <a:pt x="218" y="67"/>
                                </a:lnTo>
                                <a:lnTo>
                                  <a:pt x="223" y="60"/>
                                </a:lnTo>
                                <a:lnTo>
                                  <a:pt x="229" y="55"/>
                                </a:lnTo>
                                <a:lnTo>
                                  <a:pt x="235" y="50"/>
                                </a:lnTo>
                                <a:lnTo>
                                  <a:pt x="243" y="47"/>
                                </a:lnTo>
                                <a:lnTo>
                                  <a:pt x="252" y="47"/>
                                </a:lnTo>
                                <a:lnTo>
                                  <a:pt x="259" y="47"/>
                                </a:lnTo>
                                <a:lnTo>
                                  <a:pt x="265" y="49"/>
                                </a:lnTo>
                                <a:lnTo>
                                  <a:pt x="271" y="52"/>
                                </a:lnTo>
                                <a:lnTo>
                                  <a:pt x="276" y="54"/>
                                </a:lnTo>
                                <a:lnTo>
                                  <a:pt x="280" y="58"/>
                                </a:lnTo>
                                <a:lnTo>
                                  <a:pt x="284" y="64"/>
                                </a:lnTo>
                                <a:lnTo>
                                  <a:pt x="287" y="69"/>
                                </a:lnTo>
                                <a:lnTo>
                                  <a:pt x="290" y="75"/>
                                </a:lnTo>
                                <a:lnTo>
                                  <a:pt x="292" y="83"/>
                                </a:lnTo>
                                <a:lnTo>
                                  <a:pt x="294" y="90"/>
                                </a:lnTo>
                                <a:lnTo>
                                  <a:pt x="294" y="101"/>
                                </a:lnTo>
                                <a:lnTo>
                                  <a:pt x="294" y="113"/>
                                </a:lnTo>
                                <a:lnTo>
                                  <a:pt x="294" y="128"/>
                                </a:lnTo>
                                <a:lnTo>
                                  <a:pt x="293" y="141"/>
                                </a:lnTo>
                                <a:lnTo>
                                  <a:pt x="290" y="150"/>
                                </a:lnTo>
                                <a:lnTo>
                                  <a:pt x="287" y="159"/>
                                </a:lnTo>
                                <a:lnTo>
                                  <a:pt x="282" y="166"/>
                                </a:lnTo>
                                <a:lnTo>
                                  <a:pt x="276" y="171"/>
                                </a:lnTo>
                                <a:lnTo>
                                  <a:pt x="270" y="177"/>
                                </a:lnTo>
                                <a:lnTo>
                                  <a:pt x="262" y="179"/>
                                </a:lnTo>
                                <a:lnTo>
                                  <a:pt x="252" y="179"/>
                                </a:lnTo>
                                <a:lnTo>
                                  <a:pt x="240" y="179"/>
                                </a:lnTo>
                                <a:lnTo>
                                  <a:pt x="230" y="175"/>
                                </a:lnTo>
                                <a:lnTo>
                                  <a:pt x="223" y="166"/>
                                </a:lnTo>
                                <a:lnTo>
                                  <a:pt x="218" y="156"/>
                                </a:lnTo>
                                <a:lnTo>
                                  <a:pt x="214" y="145"/>
                                </a:lnTo>
                                <a:lnTo>
                                  <a:pt x="211" y="130"/>
                                </a:lnTo>
                                <a:lnTo>
                                  <a:pt x="210" y="113"/>
                                </a:lnTo>
                                <a:close/>
                                <a:moveTo>
                                  <a:pt x="227" y="113"/>
                                </a:moveTo>
                                <a:lnTo>
                                  <a:pt x="227" y="128"/>
                                </a:lnTo>
                                <a:lnTo>
                                  <a:pt x="229" y="140"/>
                                </a:lnTo>
                                <a:lnTo>
                                  <a:pt x="231" y="149"/>
                                </a:lnTo>
                                <a:lnTo>
                                  <a:pt x="234" y="156"/>
                                </a:lnTo>
                                <a:lnTo>
                                  <a:pt x="239" y="163"/>
                                </a:lnTo>
                                <a:lnTo>
                                  <a:pt x="245" y="166"/>
                                </a:lnTo>
                                <a:lnTo>
                                  <a:pt x="252" y="166"/>
                                </a:lnTo>
                                <a:lnTo>
                                  <a:pt x="260" y="166"/>
                                </a:lnTo>
                                <a:lnTo>
                                  <a:pt x="266" y="163"/>
                                </a:lnTo>
                                <a:lnTo>
                                  <a:pt x="271" y="156"/>
                                </a:lnTo>
                                <a:lnTo>
                                  <a:pt x="274" y="149"/>
                                </a:lnTo>
                                <a:lnTo>
                                  <a:pt x="276" y="140"/>
                                </a:lnTo>
                                <a:lnTo>
                                  <a:pt x="278" y="128"/>
                                </a:lnTo>
                                <a:lnTo>
                                  <a:pt x="278" y="113"/>
                                </a:lnTo>
                                <a:lnTo>
                                  <a:pt x="278" y="99"/>
                                </a:lnTo>
                                <a:lnTo>
                                  <a:pt x="276" y="87"/>
                                </a:lnTo>
                                <a:lnTo>
                                  <a:pt x="274" y="78"/>
                                </a:lnTo>
                                <a:lnTo>
                                  <a:pt x="271" y="71"/>
                                </a:lnTo>
                                <a:lnTo>
                                  <a:pt x="266" y="64"/>
                                </a:lnTo>
                                <a:lnTo>
                                  <a:pt x="260" y="61"/>
                                </a:lnTo>
                                <a:lnTo>
                                  <a:pt x="252" y="61"/>
                                </a:lnTo>
                                <a:lnTo>
                                  <a:pt x="245" y="61"/>
                                </a:lnTo>
                                <a:lnTo>
                                  <a:pt x="239" y="64"/>
                                </a:lnTo>
                                <a:lnTo>
                                  <a:pt x="235" y="70"/>
                                </a:lnTo>
                                <a:lnTo>
                                  <a:pt x="231" y="77"/>
                                </a:lnTo>
                                <a:lnTo>
                                  <a:pt x="229" y="87"/>
                                </a:lnTo>
                                <a:lnTo>
                                  <a:pt x="227" y="99"/>
                                </a:lnTo>
                                <a:lnTo>
                                  <a:pt x="227" y="113"/>
                                </a:lnTo>
                                <a:close/>
                                <a:moveTo>
                                  <a:pt x="314" y="79"/>
                                </a:moveTo>
                                <a:lnTo>
                                  <a:pt x="314" y="70"/>
                                </a:lnTo>
                                <a:lnTo>
                                  <a:pt x="316" y="62"/>
                                </a:lnTo>
                                <a:lnTo>
                                  <a:pt x="320" y="55"/>
                                </a:lnTo>
                                <a:lnTo>
                                  <a:pt x="325" y="49"/>
                                </a:lnTo>
                                <a:lnTo>
                                  <a:pt x="332" y="46"/>
                                </a:lnTo>
                                <a:lnTo>
                                  <a:pt x="341" y="46"/>
                                </a:lnTo>
                                <a:lnTo>
                                  <a:pt x="349" y="46"/>
                                </a:lnTo>
                                <a:lnTo>
                                  <a:pt x="355" y="49"/>
                                </a:lnTo>
                                <a:lnTo>
                                  <a:pt x="361" y="54"/>
                                </a:lnTo>
                                <a:lnTo>
                                  <a:pt x="366" y="60"/>
                                </a:lnTo>
                                <a:lnTo>
                                  <a:pt x="369" y="69"/>
                                </a:lnTo>
                                <a:lnTo>
                                  <a:pt x="369" y="80"/>
                                </a:lnTo>
                                <a:lnTo>
                                  <a:pt x="369" y="91"/>
                                </a:lnTo>
                                <a:lnTo>
                                  <a:pt x="366" y="99"/>
                                </a:lnTo>
                                <a:lnTo>
                                  <a:pt x="361" y="105"/>
                                </a:lnTo>
                                <a:lnTo>
                                  <a:pt x="355" y="111"/>
                                </a:lnTo>
                                <a:lnTo>
                                  <a:pt x="349" y="114"/>
                                </a:lnTo>
                                <a:lnTo>
                                  <a:pt x="341" y="114"/>
                                </a:lnTo>
                                <a:lnTo>
                                  <a:pt x="333" y="114"/>
                                </a:lnTo>
                                <a:lnTo>
                                  <a:pt x="327" y="111"/>
                                </a:lnTo>
                                <a:lnTo>
                                  <a:pt x="321" y="105"/>
                                </a:lnTo>
                                <a:lnTo>
                                  <a:pt x="316" y="99"/>
                                </a:lnTo>
                                <a:lnTo>
                                  <a:pt x="314" y="91"/>
                                </a:lnTo>
                                <a:lnTo>
                                  <a:pt x="314" y="79"/>
                                </a:lnTo>
                                <a:close/>
                                <a:moveTo>
                                  <a:pt x="341" y="57"/>
                                </a:moveTo>
                                <a:lnTo>
                                  <a:pt x="337" y="57"/>
                                </a:lnTo>
                                <a:lnTo>
                                  <a:pt x="334" y="58"/>
                                </a:lnTo>
                                <a:lnTo>
                                  <a:pt x="331" y="62"/>
                                </a:lnTo>
                                <a:lnTo>
                                  <a:pt x="329" y="65"/>
                                </a:lnTo>
                                <a:lnTo>
                                  <a:pt x="327" y="71"/>
                                </a:lnTo>
                                <a:lnTo>
                                  <a:pt x="327" y="81"/>
                                </a:lnTo>
                                <a:lnTo>
                                  <a:pt x="327" y="89"/>
                                </a:lnTo>
                                <a:lnTo>
                                  <a:pt x="329" y="95"/>
                                </a:lnTo>
                                <a:lnTo>
                                  <a:pt x="331" y="98"/>
                                </a:lnTo>
                                <a:lnTo>
                                  <a:pt x="334" y="101"/>
                                </a:lnTo>
                                <a:lnTo>
                                  <a:pt x="337" y="103"/>
                                </a:lnTo>
                                <a:lnTo>
                                  <a:pt x="341" y="103"/>
                                </a:lnTo>
                                <a:lnTo>
                                  <a:pt x="345" y="103"/>
                                </a:lnTo>
                                <a:lnTo>
                                  <a:pt x="348" y="101"/>
                                </a:lnTo>
                                <a:lnTo>
                                  <a:pt x="351" y="98"/>
                                </a:lnTo>
                                <a:lnTo>
                                  <a:pt x="354" y="95"/>
                                </a:lnTo>
                                <a:lnTo>
                                  <a:pt x="355" y="88"/>
                                </a:lnTo>
                                <a:lnTo>
                                  <a:pt x="355" y="79"/>
                                </a:lnTo>
                                <a:lnTo>
                                  <a:pt x="355" y="71"/>
                                </a:lnTo>
                                <a:lnTo>
                                  <a:pt x="354" y="65"/>
                                </a:lnTo>
                                <a:lnTo>
                                  <a:pt x="351" y="62"/>
                                </a:lnTo>
                                <a:lnTo>
                                  <a:pt x="348" y="58"/>
                                </a:lnTo>
                                <a:lnTo>
                                  <a:pt x="345" y="57"/>
                                </a:lnTo>
                                <a:lnTo>
                                  <a:pt x="341" y="57"/>
                                </a:lnTo>
                                <a:close/>
                                <a:moveTo>
                                  <a:pt x="341" y="182"/>
                                </a:moveTo>
                                <a:lnTo>
                                  <a:pt x="412" y="46"/>
                                </a:lnTo>
                                <a:lnTo>
                                  <a:pt x="424" y="46"/>
                                </a:lnTo>
                                <a:lnTo>
                                  <a:pt x="354" y="182"/>
                                </a:lnTo>
                                <a:lnTo>
                                  <a:pt x="341" y="182"/>
                                </a:lnTo>
                                <a:close/>
                                <a:moveTo>
                                  <a:pt x="397" y="147"/>
                                </a:moveTo>
                                <a:lnTo>
                                  <a:pt x="397" y="137"/>
                                </a:lnTo>
                                <a:lnTo>
                                  <a:pt x="399" y="130"/>
                                </a:lnTo>
                                <a:lnTo>
                                  <a:pt x="404" y="123"/>
                                </a:lnTo>
                                <a:lnTo>
                                  <a:pt x="408" y="117"/>
                                </a:lnTo>
                                <a:lnTo>
                                  <a:pt x="415" y="113"/>
                                </a:lnTo>
                                <a:lnTo>
                                  <a:pt x="424" y="113"/>
                                </a:lnTo>
                                <a:lnTo>
                                  <a:pt x="432" y="113"/>
                                </a:lnTo>
                                <a:lnTo>
                                  <a:pt x="439" y="116"/>
                                </a:lnTo>
                                <a:lnTo>
                                  <a:pt x="444" y="122"/>
                                </a:lnTo>
                                <a:lnTo>
                                  <a:pt x="449" y="128"/>
                                </a:lnTo>
                                <a:lnTo>
                                  <a:pt x="452" y="136"/>
                                </a:lnTo>
                                <a:lnTo>
                                  <a:pt x="452" y="148"/>
                                </a:lnTo>
                                <a:lnTo>
                                  <a:pt x="452" y="158"/>
                                </a:lnTo>
                                <a:lnTo>
                                  <a:pt x="449" y="167"/>
                                </a:lnTo>
                                <a:lnTo>
                                  <a:pt x="444" y="173"/>
                                </a:lnTo>
                                <a:lnTo>
                                  <a:pt x="439" y="179"/>
                                </a:lnTo>
                                <a:lnTo>
                                  <a:pt x="432" y="182"/>
                                </a:lnTo>
                                <a:lnTo>
                                  <a:pt x="424" y="182"/>
                                </a:lnTo>
                                <a:lnTo>
                                  <a:pt x="416" y="182"/>
                                </a:lnTo>
                                <a:lnTo>
                                  <a:pt x="410" y="179"/>
                                </a:lnTo>
                                <a:lnTo>
                                  <a:pt x="405" y="173"/>
                                </a:lnTo>
                                <a:lnTo>
                                  <a:pt x="399" y="167"/>
                                </a:lnTo>
                                <a:lnTo>
                                  <a:pt x="397" y="158"/>
                                </a:lnTo>
                                <a:lnTo>
                                  <a:pt x="397" y="147"/>
                                </a:lnTo>
                                <a:close/>
                                <a:moveTo>
                                  <a:pt x="424" y="124"/>
                                </a:moveTo>
                                <a:lnTo>
                                  <a:pt x="420" y="124"/>
                                </a:lnTo>
                                <a:lnTo>
                                  <a:pt x="417" y="126"/>
                                </a:lnTo>
                                <a:lnTo>
                                  <a:pt x="415" y="129"/>
                                </a:lnTo>
                                <a:lnTo>
                                  <a:pt x="412" y="133"/>
                                </a:lnTo>
                                <a:lnTo>
                                  <a:pt x="411" y="139"/>
                                </a:lnTo>
                                <a:lnTo>
                                  <a:pt x="411" y="148"/>
                                </a:lnTo>
                                <a:lnTo>
                                  <a:pt x="411" y="156"/>
                                </a:lnTo>
                                <a:lnTo>
                                  <a:pt x="412" y="162"/>
                                </a:lnTo>
                                <a:lnTo>
                                  <a:pt x="415" y="166"/>
                                </a:lnTo>
                                <a:lnTo>
                                  <a:pt x="417" y="169"/>
                                </a:lnTo>
                                <a:lnTo>
                                  <a:pt x="421" y="171"/>
                                </a:lnTo>
                                <a:lnTo>
                                  <a:pt x="424" y="171"/>
                                </a:lnTo>
                                <a:lnTo>
                                  <a:pt x="428" y="171"/>
                                </a:lnTo>
                                <a:lnTo>
                                  <a:pt x="432" y="169"/>
                                </a:lnTo>
                                <a:lnTo>
                                  <a:pt x="434" y="166"/>
                                </a:lnTo>
                                <a:lnTo>
                                  <a:pt x="437" y="162"/>
                                </a:lnTo>
                                <a:lnTo>
                                  <a:pt x="438" y="156"/>
                                </a:lnTo>
                                <a:lnTo>
                                  <a:pt x="438" y="147"/>
                                </a:lnTo>
                                <a:lnTo>
                                  <a:pt x="438" y="139"/>
                                </a:lnTo>
                                <a:lnTo>
                                  <a:pt x="437" y="133"/>
                                </a:lnTo>
                                <a:lnTo>
                                  <a:pt x="434" y="129"/>
                                </a:lnTo>
                                <a:lnTo>
                                  <a:pt x="432" y="126"/>
                                </a:lnTo>
                                <a:lnTo>
                                  <a:pt x="428" y="124"/>
                                </a:lnTo>
                                <a:lnTo>
                                  <a:pt x="424" y="124"/>
                                </a:lnTo>
                                <a:close/>
                                <a:moveTo>
                                  <a:pt x="485" y="215"/>
                                </a:moveTo>
                                <a:lnTo>
                                  <a:pt x="474" y="215"/>
                                </a:lnTo>
                                <a:lnTo>
                                  <a:pt x="486" y="194"/>
                                </a:lnTo>
                                <a:lnTo>
                                  <a:pt x="494" y="173"/>
                                </a:lnTo>
                                <a:lnTo>
                                  <a:pt x="499" y="151"/>
                                </a:lnTo>
                                <a:lnTo>
                                  <a:pt x="500" y="130"/>
                                </a:lnTo>
                                <a:lnTo>
                                  <a:pt x="500" y="119"/>
                                </a:lnTo>
                                <a:lnTo>
                                  <a:pt x="499" y="108"/>
                                </a:lnTo>
                                <a:lnTo>
                                  <a:pt x="497" y="97"/>
                                </a:lnTo>
                                <a:lnTo>
                                  <a:pt x="495" y="89"/>
                                </a:lnTo>
                                <a:lnTo>
                                  <a:pt x="492" y="80"/>
                                </a:lnTo>
                                <a:lnTo>
                                  <a:pt x="488" y="72"/>
                                </a:lnTo>
                                <a:lnTo>
                                  <a:pt x="486" y="67"/>
                                </a:lnTo>
                                <a:lnTo>
                                  <a:pt x="481" y="58"/>
                                </a:lnTo>
                                <a:lnTo>
                                  <a:pt x="474" y="46"/>
                                </a:lnTo>
                                <a:lnTo>
                                  <a:pt x="485" y="46"/>
                                </a:lnTo>
                                <a:lnTo>
                                  <a:pt x="493" y="57"/>
                                </a:lnTo>
                                <a:lnTo>
                                  <a:pt x="500" y="68"/>
                                </a:lnTo>
                                <a:lnTo>
                                  <a:pt x="505" y="79"/>
                                </a:lnTo>
                                <a:lnTo>
                                  <a:pt x="510" y="90"/>
                                </a:lnTo>
                                <a:lnTo>
                                  <a:pt x="513" y="100"/>
                                </a:lnTo>
                                <a:lnTo>
                                  <a:pt x="515" y="110"/>
                                </a:lnTo>
                                <a:lnTo>
                                  <a:pt x="516" y="120"/>
                                </a:lnTo>
                                <a:lnTo>
                                  <a:pt x="517" y="130"/>
                                </a:lnTo>
                                <a:lnTo>
                                  <a:pt x="516" y="142"/>
                                </a:lnTo>
                                <a:lnTo>
                                  <a:pt x="514" y="154"/>
                                </a:lnTo>
                                <a:lnTo>
                                  <a:pt x="511" y="165"/>
                                </a:lnTo>
                                <a:lnTo>
                                  <a:pt x="507" y="176"/>
                                </a:lnTo>
                                <a:lnTo>
                                  <a:pt x="503" y="187"/>
                                </a:lnTo>
                                <a:lnTo>
                                  <a:pt x="497" y="197"/>
                                </a:lnTo>
                                <a:lnTo>
                                  <a:pt x="492" y="206"/>
                                </a:lnTo>
                                <a:lnTo>
                                  <a:pt x="485" y="215"/>
                                </a:lnTo>
                                <a:close/>
                                <a:moveTo>
                                  <a:pt x="1605" y="131"/>
                                </a:moveTo>
                                <a:lnTo>
                                  <a:pt x="1589" y="131"/>
                                </a:lnTo>
                                <a:lnTo>
                                  <a:pt x="1589" y="30"/>
                                </a:lnTo>
                                <a:lnTo>
                                  <a:pt x="1585" y="34"/>
                                </a:lnTo>
                                <a:lnTo>
                                  <a:pt x="1580" y="37"/>
                                </a:lnTo>
                                <a:lnTo>
                                  <a:pt x="1574" y="41"/>
                                </a:lnTo>
                                <a:lnTo>
                                  <a:pt x="1568" y="44"/>
                                </a:lnTo>
                                <a:lnTo>
                                  <a:pt x="1562" y="47"/>
                                </a:lnTo>
                                <a:lnTo>
                                  <a:pt x="1557" y="49"/>
                                </a:lnTo>
                                <a:lnTo>
                                  <a:pt x="1557" y="34"/>
                                </a:lnTo>
                                <a:lnTo>
                                  <a:pt x="1566" y="29"/>
                                </a:lnTo>
                                <a:lnTo>
                                  <a:pt x="1574" y="24"/>
                                </a:lnTo>
                                <a:lnTo>
                                  <a:pt x="1580" y="19"/>
                                </a:lnTo>
                                <a:lnTo>
                                  <a:pt x="1587" y="13"/>
                                </a:lnTo>
                                <a:lnTo>
                                  <a:pt x="1592" y="7"/>
                                </a:lnTo>
                                <a:lnTo>
                                  <a:pt x="1595" y="1"/>
                                </a:lnTo>
                                <a:lnTo>
                                  <a:pt x="1605" y="1"/>
                                </a:lnTo>
                                <a:lnTo>
                                  <a:pt x="1605" y="131"/>
                                </a:lnTo>
                                <a:close/>
                                <a:moveTo>
                                  <a:pt x="1730" y="169"/>
                                </a:moveTo>
                                <a:lnTo>
                                  <a:pt x="1724" y="160"/>
                                </a:lnTo>
                                <a:lnTo>
                                  <a:pt x="1718" y="151"/>
                                </a:lnTo>
                                <a:lnTo>
                                  <a:pt x="1713" y="141"/>
                                </a:lnTo>
                                <a:lnTo>
                                  <a:pt x="1708" y="130"/>
                                </a:lnTo>
                                <a:lnTo>
                                  <a:pt x="1704" y="119"/>
                                </a:lnTo>
                                <a:lnTo>
                                  <a:pt x="1701" y="107"/>
                                </a:lnTo>
                                <a:lnTo>
                                  <a:pt x="1699" y="96"/>
                                </a:lnTo>
                                <a:lnTo>
                                  <a:pt x="1699" y="84"/>
                                </a:lnTo>
                                <a:lnTo>
                                  <a:pt x="1699" y="74"/>
                                </a:lnTo>
                                <a:lnTo>
                                  <a:pt x="1700" y="64"/>
                                </a:lnTo>
                                <a:lnTo>
                                  <a:pt x="1703" y="54"/>
                                </a:lnTo>
                                <a:lnTo>
                                  <a:pt x="1705" y="44"/>
                                </a:lnTo>
                                <a:lnTo>
                                  <a:pt x="1710" y="33"/>
                                </a:lnTo>
                                <a:lnTo>
                                  <a:pt x="1716" y="22"/>
                                </a:lnTo>
                                <a:lnTo>
                                  <a:pt x="1722" y="11"/>
                                </a:lnTo>
                                <a:lnTo>
                                  <a:pt x="1730" y="0"/>
                                </a:lnTo>
                                <a:lnTo>
                                  <a:pt x="1741" y="0"/>
                                </a:lnTo>
                                <a:lnTo>
                                  <a:pt x="1734" y="12"/>
                                </a:lnTo>
                                <a:lnTo>
                                  <a:pt x="1729" y="21"/>
                                </a:lnTo>
                                <a:lnTo>
                                  <a:pt x="1727" y="26"/>
                                </a:lnTo>
                                <a:lnTo>
                                  <a:pt x="1724" y="34"/>
                                </a:lnTo>
                                <a:lnTo>
                                  <a:pt x="1721" y="42"/>
                                </a:lnTo>
                                <a:lnTo>
                                  <a:pt x="1719" y="51"/>
                                </a:lnTo>
                                <a:lnTo>
                                  <a:pt x="1716" y="62"/>
                                </a:lnTo>
                                <a:lnTo>
                                  <a:pt x="1715" y="73"/>
                                </a:lnTo>
                                <a:lnTo>
                                  <a:pt x="1715" y="84"/>
                                </a:lnTo>
                                <a:lnTo>
                                  <a:pt x="1717" y="105"/>
                                </a:lnTo>
                                <a:lnTo>
                                  <a:pt x="1722" y="126"/>
                                </a:lnTo>
                                <a:lnTo>
                                  <a:pt x="1730" y="147"/>
                                </a:lnTo>
                                <a:lnTo>
                                  <a:pt x="1741" y="169"/>
                                </a:lnTo>
                                <a:lnTo>
                                  <a:pt x="1730" y="169"/>
                                </a:lnTo>
                                <a:close/>
                                <a:moveTo>
                                  <a:pt x="1815" y="131"/>
                                </a:moveTo>
                                <a:lnTo>
                                  <a:pt x="1799" y="131"/>
                                </a:lnTo>
                                <a:lnTo>
                                  <a:pt x="1799" y="30"/>
                                </a:lnTo>
                                <a:lnTo>
                                  <a:pt x="1795" y="34"/>
                                </a:lnTo>
                                <a:lnTo>
                                  <a:pt x="1790" y="37"/>
                                </a:lnTo>
                                <a:lnTo>
                                  <a:pt x="1784" y="41"/>
                                </a:lnTo>
                                <a:lnTo>
                                  <a:pt x="1778" y="44"/>
                                </a:lnTo>
                                <a:lnTo>
                                  <a:pt x="1772" y="47"/>
                                </a:lnTo>
                                <a:lnTo>
                                  <a:pt x="1767" y="49"/>
                                </a:lnTo>
                                <a:lnTo>
                                  <a:pt x="1767" y="34"/>
                                </a:lnTo>
                                <a:lnTo>
                                  <a:pt x="1776" y="29"/>
                                </a:lnTo>
                                <a:lnTo>
                                  <a:pt x="1784" y="24"/>
                                </a:lnTo>
                                <a:lnTo>
                                  <a:pt x="1791" y="19"/>
                                </a:lnTo>
                                <a:lnTo>
                                  <a:pt x="1797" y="13"/>
                                </a:lnTo>
                                <a:lnTo>
                                  <a:pt x="1802" y="7"/>
                                </a:lnTo>
                                <a:lnTo>
                                  <a:pt x="1805" y="1"/>
                                </a:lnTo>
                                <a:lnTo>
                                  <a:pt x="1815" y="1"/>
                                </a:lnTo>
                                <a:lnTo>
                                  <a:pt x="1815" y="131"/>
                                </a:lnTo>
                                <a:close/>
                                <a:moveTo>
                                  <a:pt x="1864" y="131"/>
                                </a:moveTo>
                                <a:lnTo>
                                  <a:pt x="1864" y="113"/>
                                </a:lnTo>
                                <a:lnTo>
                                  <a:pt x="1882" y="113"/>
                                </a:lnTo>
                                <a:lnTo>
                                  <a:pt x="1882" y="131"/>
                                </a:lnTo>
                                <a:lnTo>
                                  <a:pt x="1864" y="131"/>
                                </a:lnTo>
                                <a:close/>
                                <a:moveTo>
                                  <a:pt x="1905" y="97"/>
                                </a:moveTo>
                                <a:lnTo>
                                  <a:pt x="1921" y="95"/>
                                </a:lnTo>
                                <a:lnTo>
                                  <a:pt x="1923" y="104"/>
                                </a:lnTo>
                                <a:lnTo>
                                  <a:pt x="1926" y="110"/>
                                </a:lnTo>
                                <a:lnTo>
                                  <a:pt x="1931" y="114"/>
                                </a:lnTo>
                                <a:lnTo>
                                  <a:pt x="1935" y="118"/>
                                </a:lnTo>
                                <a:lnTo>
                                  <a:pt x="1940" y="120"/>
                                </a:lnTo>
                                <a:lnTo>
                                  <a:pt x="1946" y="120"/>
                                </a:lnTo>
                                <a:lnTo>
                                  <a:pt x="1954" y="120"/>
                                </a:lnTo>
                                <a:lnTo>
                                  <a:pt x="1960" y="117"/>
                                </a:lnTo>
                                <a:lnTo>
                                  <a:pt x="1965" y="112"/>
                                </a:lnTo>
                                <a:lnTo>
                                  <a:pt x="1970" y="107"/>
                                </a:lnTo>
                                <a:lnTo>
                                  <a:pt x="1973" y="101"/>
                                </a:lnTo>
                                <a:lnTo>
                                  <a:pt x="1973" y="93"/>
                                </a:lnTo>
                                <a:lnTo>
                                  <a:pt x="1973" y="86"/>
                                </a:lnTo>
                                <a:lnTo>
                                  <a:pt x="1971" y="80"/>
                                </a:lnTo>
                                <a:lnTo>
                                  <a:pt x="1966" y="75"/>
                                </a:lnTo>
                                <a:lnTo>
                                  <a:pt x="1961" y="70"/>
                                </a:lnTo>
                                <a:lnTo>
                                  <a:pt x="1955" y="68"/>
                                </a:lnTo>
                                <a:lnTo>
                                  <a:pt x="1948" y="68"/>
                                </a:lnTo>
                                <a:lnTo>
                                  <a:pt x="1945" y="68"/>
                                </a:lnTo>
                                <a:lnTo>
                                  <a:pt x="1941" y="69"/>
                                </a:lnTo>
                                <a:lnTo>
                                  <a:pt x="1937" y="70"/>
                                </a:lnTo>
                                <a:lnTo>
                                  <a:pt x="1938" y="56"/>
                                </a:lnTo>
                                <a:lnTo>
                                  <a:pt x="1939" y="56"/>
                                </a:lnTo>
                                <a:lnTo>
                                  <a:pt x="1940" y="56"/>
                                </a:lnTo>
                                <a:lnTo>
                                  <a:pt x="1941" y="56"/>
                                </a:lnTo>
                                <a:lnTo>
                                  <a:pt x="1948" y="56"/>
                                </a:lnTo>
                                <a:lnTo>
                                  <a:pt x="1954" y="54"/>
                                </a:lnTo>
                                <a:lnTo>
                                  <a:pt x="1959" y="51"/>
                                </a:lnTo>
                                <a:lnTo>
                                  <a:pt x="1965" y="47"/>
                                </a:lnTo>
                                <a:lnTo>
                                  <a:pt x="1967" y="42"/>
                                </a:lnTo>
                                <a:lnTo>
                                  <a:pt x="1967" y="34"/>
                                </a:lnTo>
                                <a:lnTo>
                                  <a:pt x="1967" y="29"/>
                                </a:lnTo>
                                <a:lnTo>
                                  <a:pt x="1965" y="24"/>
                                </a:lnTo>
                                <a:lnTo>
                                  <a:pt x="1961" y="20"/>
                                </a:lnTo>
                                <a:lnTo>
                                  <a:pt x="1957" y="16"/>
                                </a:lnTo>
                                <a:lnTo>
                                  <a:pt x="1952" y="14"/>
                                </a:lnTo>
                                <a:lnTo>
                                  <a:pt x="1946" y="14"/>
                                </a:lnTo>
                                <a:lnTo>
                                  <a:pt x="1940" y="14"/>
                                </a:lnTo>
                                <a:lnTo>
                                  <a:pt x="1935" y="16"/>
                                </a:lnTo>
                                <a:lnTo>
                                  <a:pt x="1931" y="20"/>
                                </a:lnTo>
                                <a:lnTo>
                                  <a:pt x="1927" y="24"/>
                                </a:lnTo>
                                <a:lnTo>
                                  <a:pt x="1924" y="30"/>
                                </a:lnTo>
                                <a:lnTo>
                                  <a:pt x="1923" y="38"/>
                                </a:lnTo>
                                <a:lnTo>
                                  <a:pt x="1907" y="35"/>
                                </a:lnTo>
                                <a:lnTo>
                                  <a:pt x="1909" y="24"/>
                                </a:lnTo>
                                <a:lnTo>
                                  <a:pt x="1913" y="16"/>
                                </a:lnTo>
                                <a:lnTo>
                                  <a:pt x="1920" y="10"/>
                                </a:lnTo>
                                <a:lnTo>
                                  <a:pt x="1927" y="4"/>
                                </a:lnTo>
                                <a:lnTo>
                                  <a:pt x="1936" y="1"/>
                                </a:lnTo>
                                <a:lnTo>
                                  <a:pt x="1946" y="1"/>
                                </a:lnTo>
                                <a:lnTo>
                                  <a:pt x="1953" y="1"/>
                                </a:lnTo>
                                <a:lnTo>
                                  <a:pt x="1959" y="3"/>
                                </a:lnTo>
                                <a:lnTo>
                                  <a:pt x="1965" y="6"/>
                                </a:lnTo>
                                <a:lnTo>
                                  <a:pt x="1971" y="9"/>
                                </a:lnTo>
                                <a:lnTo>
                                  <a:pt x="1976" y="13"/>
                                </a:lnTo>
                                <a:lnTo>
                                  <a:pt x="1979" y="18"/>
                                </a:lnTo>
                                <a:lnTo>
                                  <a:pt x="1982" y="23"/>
                                </a:lnTo>
                                <a:lnTo>
                                  <a:pt x="1983" y="29"/>
                                </a:lnTo>
                                <a:lnTo>
                                  <a:pt x="1983" y="35"/>
                                </a:lnTo>
                                <a:lnTo>
                                  <a:pt x="1983" y="40"/>
                                </a:lnTo>
                                <a:lnTo>
                                  <a:pt x="1982" y="45"/>
                                </a:lnTo>
                                <a:lnTo>
                                  <a:pt x="1979" y="50"/>
                                </a:lnTo>
                                <a:lnTo>
                                  <a:pt x="1976" y="55"/>
                                </a:lnTo>
                                <a:lnTo>
                                  <a:pt x="1972" y="58"/>
                                </a:lnTo>
                                <a:lnTo>
                                  <a:pt x="1966" y="61"/>
                                </a:lnTo>
                                <a:lnTo>
                                  <a:pt x="1973" y="63"/>
                                </a:lnTo>
                                <a:lnTo>
                                  <a:pt x="1979" y="66"/>
                                </a:lnTo>
                                <a:lnTo>
                                  <a:pt x="1983" y="72"/>
                                </a:lnTo>
                                <a:lnTo>
                                  <a:pt x="1988" y="77"/>
                                </a:lnTo>
                                <a:lnTo>
                                  <a:pt x="1990" y="84"/>
                                </a:lnTo>
                                <a:lnTo>
                                  <a:pt x="1990" y="93"/>
                                </a:lnTo>
                                <a:lnTo>
                                  <a:pt x="1990" y="104"/>
                                </a:lnTo>
                                <a:lnTo>
                                  <a:pt x="1986" y="113"/>
                                </a:lnTo>
                                <a:lnTo>
                                  <a:pt x="1977" y="121"/>
                                </a:lnTo>
                                <a:lnTo>
                                  <a:pt x="1969" y="129"/>
                                </a:lnTo>
                                <a:lnTo>
                                  <a:pt x="1959" y="133"/>
                                </a:lnTo>
                                <a:lnTo>
                                  <a:pt x="1946" y="133"/>
                                </a:lnTo>
                                <a:lnTo>
                                  <a:pt x="1935" y="133"/>
                                </a:lnTo>
                                <a:lnTo>
                                  <a:pt x="1926" y="130"/>
                                </a:lnTo>
                                <a:lnTo>
                                  <a:pt x="1918" y="123"/>
                                </a:lnTo>
                                <a:lnTo>
                                  <a:pt x="1911" y="116"/>
                                </a:lnTo>
                                <a:lnTo>
                                  <a:pt x="1906" y="107"/>
                                </a:lnTo>
                                <a:lnTo>
                                  <a:pt x="1905" y="97"/>
                                </a:lnTo>
                                <a:close/>
                                <a:moveTo>
                                  <a:pt x="2008" y="33"/>
                                </a:moveTo>
                                <a:lnTo>
                                  <a:pt x="2008" y="24"/>
                                </a:lnTo>
                                <a:lnTo>
                                  <a:pt x="2011" y="16"/>
                                </a:lnTo>
                                <a:lnTo>
                                  <a:pt x="2015" y="9"/>
                                </a:lnTo>
                                <a:lnTo>
                                  <a:pt x="2020" y="3"/>
                                </a:lnTo>
                                <a:lnTo>
                                  <a:pt x="2027" y="0"/>
                                </a:lnTo>
                                <a:lnTo>
                                  <a:pt x="2035" y="0"/>
                                </a:lnTo>
                                <a:lnTo>
                                  <a:pt x="2044" y="0"/>
                                </a:lnTo>
                                <a:lnTo>
                                  <a:pt x="2050" y="3"/>
                                </a:lnTo>
                                <a:lnTo>
                                  <a:pt x="2056" y="8"/>
                                </a:lnTo>
                                <a:lnTo>
                                  <a:pt x="2061" y="14"/>
                                </a:lnTo>
                                <a:lnTo>
                                  <a:pt x="2064" y="23"/>
                                </a:lnTo>
                                <a:lnTo>
                                  <a:pt x="2064" y="34"/>
                                </a:lnTo>
                                <a:lnTo>
                                  <a:pt x="2064" y="45"/>
                                </a:lnTo>
                                <a:lnTo>
                                  <a:pt x="2061" y="53"/>
                                </a:lnTo>
                                <a:lnTo>
                                  <a:pt x="2055" y="59"/>
                                </a:lnTo>
                                <a:lnTo>
                                  <a:pt x="2050" y="65"/>
                                </a:lnTo>
                                <a:lnTo>
                                  <a:pt x="2044" y="68"/>
                                </a:lnTo>
                                <a:lnTo>
                                  <a:pt x="2036" y="68"/>
                                </a:lnTo>
                                <a:lnTo>
                                  <a:pt x="2028" y="68"/>
                                </a:lnTo>
                                <a:lnTo>
                                  <a:pt x="2021" y="65"/>
                                </a:lnTo>
                                <a:lnTo>
                                  <a:pt x="2016" y="59"/>
                                </a:lnTo>
                                <a:lnTo>
                                  <a:pt x="2011" y="53"/>
                                </a:lnTo>
                                <a:lnTo>
                                  <a:pt x="2008" y="44"/>
                                </a:lnTo>
                                <a:lnTo>
                                  <a:pt x="2008" y="33"/>
                                </a:lnTo>
                                <a:close/>
                                <a:moveTo>
                                  <a:pt x="2036" y="11"/>
                                </a:moveTo>
                                <a:lnTo>
                                  <a:pt x="2032" y="11"/>
                                </a:lnTo>
                                <a:lnTo>
                                  <a:pt x="2029" y="12"/>
                                </a:lnTo>
                                <a:lnTo>
                                  <a:pt x="2026" y="16"/>
                                </a:lnTo>
                                <a:lnTo>
                                  <a:pt x="2024" y="19"/>
                                </a:lnTo>
                                <a:lnTo>
                                  <a:pt x="2022" y="25"/>
                                </a:lnTo>
                                <a:lnTo>
                                  <a:pt x="2022" y="34"/>
                                </a:lnTo>
                                <a:lnTo>
                                  <a:pt x="2022" y="43"/>
                                </a:lnTo>
                                <a:lnTo>
                                  <a:pt x="2024" y="48"/>
                                </a:lnTo>
                                <a:lnTo>
                                  <a:pt x="2026" y="52"/>
                                </a:lnTo>
                                <a:lnTo>
                                  <a:pt x="2029" y="55"/>
                                </a:lnTo>
                                <a:lnTo>
                                  <a:pt x="2032" y="57"/>
                                </a:lnTo>
                                <a:lnTo>
                                  <a:pt x="2036" y="57"/>
                                </a:lnTo>
                                <a:lnTo>
                                  <a:pt x="2040" y="57"/>
                                </a:lnTo>
                                <a:lnTo>
                                  <a:pt x="2043" y="55"/>
                                </a:lnTo>
                                <a:lnTo>
                                  <a:pt x="2046" y="52"/>
                                </a:lnTo>
                                <a:lnTo>
                                  <a:pt x="2048" y="48"/>
                                </a:lnTo>
                                <a:lnTo>
                                  <a:pt x="2050" y="42"/>
                                </a:lnTo>
                                <a:lnTo>
                                  <a:pt x="2050" y="33"/>
                                </a:lnTo>
                                <a:lnTo>
                                  <a:pt x="2050" y="25"/>
                                </a:lnTo>
                                <a:lnTo>
                                  <a:pt x="2048" y="19"/>
                                </a:lnTo>
                                <a:lnTo>
                                  <a:pt x="2046" y="16"/>
                                </a:lnTo>
                                <a:lnTo>
                                  <a:pt x="2043" y="12"/>
                                </a:lnTo>
                                <a:lnTo>
                                  <a:pt x="2040" y="11"/>
                                </a:lnTo>
                                <a:lnTo>
                                  <a:pt x="2036" y="11"/>
                                </a:lnTo>
                                <a:close/>
                                <a:moveTo>
                                  <a:pt x="2036" y="135"/>
                                </a:moveTo>
                                <a:lnTo>
                                  <a:pt x="2107" y="0"/>
                                </a:lnTo>
                                <a:lnTo>
                                  <a:pt x="2119" y="0"/>
                                </a:lnTo>
                                <a:lnTo>
                                  <a:pt x="2049" y="135"/>
                                </a:lnTo>
                                <a:lnTo>
                                  <a:pt x="2036" y="135"/>
                                </a:lnTo>
                                <a:close/>
                                <a:moveTo>
                                  <a:pt x="2092" y="100"/>
                                </a:moveTo>
                                <a:lnTo>
                                  <a:pt x="2092" y="91"/>
                                </a:lnTo>
                                <a:lnTo>
                                  <a:pt x="2094" y="83"/>
                                </a:lnTo>
                                <a:lnTo>
                                  <a:pt x="2099" y="77"/>
                                </a:lnTo>
                                <a:lnTo>
                                  <a:pt x="2103" y="71"/>
                                </a:lnTo>
                                <a:lnTo>
                                  <a:pt x="2110" y="67"/>
                                </a:lnTo>
                                <a:lnTo>
                                  <a:pt x="2119" y="67"/>
                                </a:lnTo>
                                <a:lnTo>
                                  <a:pt x="2127" y="67"/>
                                </a:lnTo>
                                <a:lnTo>
                                  <a:pt x="2134" y="70"/>
                                </a:lnTo>
                                <a:lnTo>
                                  <a:pt x="2139" y="76"/>
                                </a:lnTo>
                                <a:lnTo>
                                  <a:pt x="2144" y="82"/>
                                </a:lnTo>
                                <a:lnTo>
                                  <a:pt x="2147" y="90"/>
                                </a:lnTo>
                                <a:lnTo>
                                  <a:pt x="2147" y="101"/>
                                </a:lnTo>
                                <a:lnTo>
                                  <a:pt x="2147" y="112"/>
                                </a:lnTo>
                                <a:lnTo>
                                  <a:pt x="2144" y="121"/>
                                </a:lnTo>
                                <a:lnTo>
                                  <a:pt x="2139" y="127"/>
                                </a:lnTo>
                                <a:lnTo>
                                  <a:pt x="2134" y="132"/>
                                </a:lnTo>
                                <a:lnTo>
                                  <a:pt x="2127" y="135"/>
                                </a:lnTo>
                                <a:lnTo>
                                  <a:pt x="2119" y="135"/>
                                </a:lnTo>
                                <a:lnTo>
                                  <a:pt x="2111" y="135"/>
                                </a:lnTo>
                                <a:lnTo>
                                  <a:pt x="2105" y="133"/>
                                </a:lnTo>
                                <a:lnTo>
                                  <a:pt x="2100" y="127"/>
                                </a:lnTo>
                                <a:lnTo>
                                  <a:pt x="2094" y="121"/>
                                </a:lnTo>
                                <a:lnTo>
                                  <a:pt x="2092" y="112"/>
                                </a:lnTo>
                                <a:lnTo>
                                  <a:pt x="2092" y="100"/>
                                </a:lnTo>
                                <a:close/>
                                <a:moveTo>
                                  <a:pt x="2119" y="78"/>
                                </a:moveTo>
                                <a:lnTo>
                                  <a:pt x="2115" y="78"/>
                                </a:lnTo>
                                <a:lnTo>
                                  <a:pt x="2112" y="80"/>
                                </a:lnTo>
                                <a:lnTo>
                                  <a:pt x="2109" y="83"/>
                                </a:lnTo>
                                <a:lnTo>
                                  <a:pt x="2107" y="87"/>
                                </a:lnTo>
                                <a:lnTo>
                                  <a:pt x="2106" y="93"/>
                                </a:lnTo>
                                <a:lnTo>
                                  <a:pt x="2106" y="102"/>
                                </a:lnTo>
                                <a:lnTo>
                                  <a:pt x="2106" y="110"/>
                                </a:lnTo>
                                <a:lnTo>
                                  <a:pt x="2107" y="116"/>
                                </a:lnTo>
                                <a:lnTo>
                                  <a:pt x="2110" y="119"/>
                                </a:lnTo>
                                <a:lnTo>
                                  <a:pt x="2112" y="123"/>
                                </a:lnTo>
                                <a:lnTo>
                                  <a:pt x="2115" y="125"/>
                                </a:lnTo>
                                <a:lnTo>
                                  <a:pt x="2119" y="125"/>
                                </a:lnTo>
                                <a:lnTo>
                                  <a:pt x="2123" y="125"/>
                                </a:lnTo>
                                <a:lnTo>
                                  <a:pt x="2127" y="123"/>
                                </a:lnTo>
                                <a:lnTo>
                                  <a:pt x="2129" y="119"/>
                                </a:lnTo>
                                <a:lnTo>
                                  <a:pt x="2132" y="116"/>
                                </a:lnTo>
                                <a:lnTo>
                                  <a:pt x="2133" y="110"/>
                                </a:lnTo>
                                <a:lnTo>
                                  <a:pt x="2133" y="101"/>
                                </a:lnTo>
                                <a:lnTo>
                                  <a:pt x="2133" y="92"/>
                                </a:lnTo>
                                <a:lnTo>
                                  <a:pt x="2132" y="87"/>
                                </a:lnTo>
                                <a:lnTo>
                                  <a:pt x="2129" y="83"/>
                                </a:lnTo>
                                <a:lnTo>
                                  <a:pt x="2127" y="80"/>
                                </a:lnTo>
                                <a:lnTo>
                                  <a:pt x="2123" y="78"/>
                                </a:lnTo>
                                <a:lnTo>
                                  <a:pt x="2119" y="78"/>
                                </a:lnTo>
                                <a:close/>
                                <a:moveTo>
                                  <a:pt x="2180" y="169"/>
                                </a:moveTo>
                                <a:lnTo>
                                  <a:pt x="2169" y="169"/>
                                </a:lnTo>
                                <a:lnTo>
                                  <a:pt x="2180" y="147"/>
                                </a:lnTo>
                                <a:lnTo>
                                  <a:pt x="2189" y="126"/>
                                </a:lnTo>
                                <a:lnTo>
                                  <a:pt x="2194" y="105"/>
                                </a:lnTo>
                                <a:lnTo>
                                  <a:pt x="2195" y="84"/>
                                </a:lnTo>
                                <a:lnTo>
                                  <a:pt x="2195" y="73"/>
                                </a:lnTo>
                                <a:lnTo>
                                  <a:pt x="2194" y="62"/>
                                </a:lnTo>
                                <a:lnTo>
                                  <a:pt x="2191" y="51"/>
                                </a:lnTo>
                                <a:lnTo>
                                  <a:pt x="2189" y="43"/>
                                </a:lnTo>
                                <a:lnTo>
                                  <a:pt x="2187" y="34"/>
                                </a:lnTo>
                                <a:lnTo>
                                  <a:pt x="2183" y="26"/>
                                </a:lnTo>
                                <a:lnTo>
                                  <a:pt x="2181" y="21"/>
                                </a:lnTo>
                                <a:lnTo>
                                  <a:pt x="2176" y="12"/>
                                </a:lnTo>
                                <a:lnTo>
                                  <a:pt x="2169" y="0"/>
                                </a:lnTo>
                                <a:lnTo>
                                  <a:pt x="2180" y="0"/>
                                </a:lnTo>
                                <a:lnTo>
                                  <a:pt x="2188" y="11"/>
                                </a:lnTo>
                                <a:lnTo>
                                  <a:pt x="2195" y="22"/>
                                </a:lnTo>
                                <a:lnTo>
                                  <a:pt x="2200" y="33"/>
                                </a:lnTo>
                                <a:lnTo>
                                  <a:pt x="2205" y="44"/>
                                </a:lnTo>
                                <a:lnTo>
                                  <a:pt x="2208" y="54"/>
                                </a:lnTo>
                                <a:lnTo>
                                  <a:pt x="2210" y="64"/>
                                </a:lnTo>
                                <a:lnTo>
                                  <a:pt x="2211" y="74"/>
                                </a:lnTo>
                                <a:lnTo>
                                  <a:pt x="2211" y="84"/>
                                </a:lnTo>
                                <a:lnTo>
                                  <a:pt x="2211" y="96"/>
                                </a:lnTo>
                                <a:lnTo>
                                  <a:pt x="2209" y="107"/>
                                </a:lnTo>
                                <a:lnTo>
                                  <a:pt x="2206" y="119"/>
                                </a:lnTo>
                                <a:lnTo>
                                  <a:pt x="2202" y="130"/>
                                </a:lnTo>
                                <a:lnTo>
                                  <a:pt x="2198" y="141"/>
                                </a:lnTo>
                                <a:lnTo>
                                  <a:pt x="2192" y="151"/>
                                </a:lnTo>
                                <a:lnTo>
                                  <a:pt x="2187" y="160"/>
                                </a:lnTo>
                                <a:lnTo>
                                  <a:pt x="2180" y="169"/>
                                </a:lnTo>
                                <a:close/>
                              </a:path>
                            </a:pathLst>
                          </a:custGeom>
                          <a:noFill/>
                          <a:ln w="28575">
                            <a:solidFill>
                              <a:srgbClr val="FFFFFF"/>
                            </a:solidFill>
                            <a:round/>
                          </a:ln>
                          <a:effectLst/>
                        </wps:spPr>
                        <wps:bodyPr rot="0" vert="horz" wrap="square" lIns="91440" tIns="45720" rIns="91440" bIns="45720" anchor="t" anchorCtr="0" upright="1">
                          <a:noAutofit/>
                        </wps:bodyPr>
                      </wps:wsp>
                    </wpg:wgp>
                  </a:graphicData>
                </a:graphic>
              </wp:anchor>
            </w:drawing>
          </mc:Choice>
          <mc:Fallback>
            <w:pict>
              <v:group id="Group 279" o:spid="_x0000_s1026" o:spt="203" style="position:absolute;left:0pt;margin-left:57.75pt;margin-top:-3.4pt;height:593.25pt;width:480pt;mso-position-horizontal-relative:page;z-index:-251621376;mso-width-relative:page;mso-height-relative:page;" coordorigin="1155,-68" coordsize="9600,11865" o:gfxdata="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">
                <o:lock v:ext="edit" aspectratio="f"/>
                <v:shape id="AutoShape 296" o:spid="_x0000_s1026" o:spt="100" style="position:absolute;left:1162;top:-61;height:11850;width:9585;" filled="f" stroked="t" coordsize="9585,11850" o:gfxdata="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sixf+xgAAAOMAAAAPAAAAAAAAAAEAIAAAACIAAABkcnMvZG93bnJldi54bWxQSwECFAAUAAAA&#10;CACHTuJAMy8FnjsAAAA5AAAAEAAAAAAAAAABACAAAAAVAQAAZHJzL3NoYXBleG1sLnhtbFBLBQYA&#10;AAAABgAGAFsBAAC/AwAAAAA=&#10;" path="m0,5827l0,112,0,105,1,97,3,90,4,83,6,76,9,69,12,62,15,56,19,50,24,43,28,38,33,32,39,27,44,23,50,18,57,14,63,11,70,8,77,5,84,3,91,2,98,0,106,0,113,0,9473,0,9480,0,9488,0,9495,2,9502,3,9509,5,9516,8,9523,11,9529,14,9535,18,9542,23,9547,27,9553,32,9558,38,9562,43,9567,50,9571,56,9574,62,9577,69,9580,76,9582,83,9583,90,9585,97,9585,105,9585,112,9585,5827,9585,5834,9585,5842,9583,5849,9582,5856,9580,5863,9577,5870,9574,5877,9571,5883,9567,5890,9562,5896,9558,5901,9553,5907,9547,5912,9542,5916,9535,5921,9529,5925,9523,5928,9516,5931,9509,5934,9502,5936,9495,5937,9488,5939,9480,5940,9473,5940,113,5940,106,5940,98,5939,91,5937,84,5936,77,5934,70,5931,63,5928,57,5925,50,5921,44,5916,39,5912,33,5907,28,5901,24,5896,19,5890,15,5883,12,5877,9,5870,6,5863,4,5856,3,5849,1,5842,0,5834,0,5827xm0,11737l0,6067,0,6060,1,6052,3,6045,4,6038,6,6031,9,6024,12,6017,15,6011,19,6005,24,5998,28,5993,33,5987,39,5982,44,5978,50,5973,57,5969,63,5966,70,5963,77,5960,84,5958,91,5957,98,5955,106,5955,113,5955,9473,5955,9480,5955,9488,5955,9495,5957,9502,5958,9509,5960,9516,5963,9523,5966,9529,5969,9535,5973,9542,5978,9547,5982,9553,5987,9558,5993,9562,5998,9567,6005,9571,6011,9574,6017,9577,6024,9580,6031,9582,6038,9583,6045,9585,6052,9585,6060,9585,6067,9585,11737,9585,11744,9585,11752,9583,11759,9582,11766,9580,11773,9577,11780,9574,11787,9571,11793,9567,11800,9562,11806,9558,11811,9553,11817,9547,11822,9542,11826,9535,11831,9529,11835,9523,11838,9516,11841,9509,11844,9502,11846,9495,11847,9488,11849,9480,11850,9473,11850,113,11850,106,11850,98,11849,91,11847,84,11846,77,11844,70,11841,63,11838,57,11835,50,11831,44,11826,39,11822,33,11817,28,11811,24,11806,19,11800,15,11793,12,11787,9,11780,6,11773,4,11766,3,11759,1,11752,0,11744,0,11737xe">
                  <v:path o:connectlocs="1,37;9,9;24,-17;44,-37;70,-52;98,-60;9480,-60;9509,-55;9535,-42;9558,-22;9574,2;9583,30;9585,5767;9582,5796;9571,5823;9553,5847;9529,5865;9502,5876;9473,5880;91,5877;63,5868;39,5852;19,5830;6,5803;0,5774;0,6000;6,5971;19,5945;39,5922;63,5906;91,5897;9473,5895;9502,5898;9529,5909;9553,5927;9571,5951;9582,5978;9585,6007;9583,11699;9574,11727;9558,11751;9535,11771;9509,11784;9480,11790;98,11789;70,11781;44,11766;24,11746;9,11720;1,11692" o:connectangles="0,0,0,0,0,0,0,0,0,0,0,0,0,0,0,0,0,0,0,0,0,0,0,0,0,0,0,0,0,0,0,0,0,0,0,0,0,0,0,0,0,0,0,0,0,0,0,0,0,0"/>
                  <v:fill on="f" focussize="0,0"/>
                  <v:stroke color="#D9DBDF" joinstyle="round"/>
                  <v:imagedata o:title=""/>
                  <o:lock v:ext="edit" aspectratio="f"/>
                </v:shape>
                <v:shape id="Picture 295" o:spid="_x0000_s1026" o:spt="75" type="#_x0000_t75" style="position:absolute;left:9525;top:67;height:300;width:255;" filled="f" o:preferrelative="t" stroked="f" coordsize="21600,21600" o:gfxdata="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wVYMkccAAADiAAAADwAAAAAAAAABACAAAAAiAAAAZHJzL2Rvd25yZXYueG1sUEsBAhQAFAAA&#10;AAgAh07iQDMvBZ47AAAAOQAAABAAAAAAAAAAAQAgAAAAFgEAAGRycy9zaGFwZXhtbC54bWxQSwUG&#10;AAAAAAYABgBbAQAAwAMAAAAA&#10;">
                  <v:fill on="f" focussize="0,0"/>
                  <v:stroke on="f"/>
                  <v:imagedata r:id="rId110" o:title=""/>
                  <o:lock v:ext="edit" aspectratio="t"/>
                </v:shape>
                <v:rect id="Rectangle 294" o:spid="_x0000_s1026" o:spt="1" style="position:absolute;left:2070;top:2422;height:2700;width:8130;" filled="f" stroked="t" coordsize="21600,21600" o:gfxdata="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gSXfMQAAADjAAAADwAAAAAAAAABACAAAAAiAAAAZHJzL2Rvd25yZXYueG1sUEsBAhQAFAAAAAgA&#10;h07iQDMvBZ47AAAAOQAAABAAAAAAAAAAAQAgAAAAEwEAAGRycy9zaGFwZXhtbC54bWxQSwUGAAAA&#10;AAYABgBbAQAAvQMAAAAA&#10;">
                  <v:fill on="f" focussize="0,0"/>
                  <v:stroke color="#EDEDED" miterlimit="8" joinstyle="miter"/>
                  <v:imagedata o:title=""/>
                  <o:lock v:ext="edit" aspectratio="f"/>
                </v:rect>
                <v:shape id="AutoShape 293" o:spid="_x0000_s1026" o:spt="100" style="position:absolute;left:2069;top:2422;height:2700;width:8130;" fillcolor="#EDEDED" filled="t" stroked="f" coordsize="8130,2700" o:gfxdata="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v9&#10;iCzCAAAA4wAAAA8AAAAAAAAAAQAgAAAAIgAAAGRycy9kb3ducmV2LnhtbFBLAQIUABQAAAAIAIdO&#10;4kAzLwWeOwAAADkAAAAQAAAAAAAAAAEAIAAAABEBAABkcnMvc2hhcGV4bWwueG1sUEsFBgAAAAAG&#10;AAYAWwEAALsDAAAAAA==&#10;" path="m5190,2010l0,2010,0,2025,5190,2025,5190,2010xm5190,1350l0,1350,0,1365,5190,1365,5190,1350xm5190,675l0,675,0,690,5190,690,5190,675xm6810,2010l6195,2010,6195,2025,6810,2025,6810,2010xm6810,1350l6195,1350,6195,1365,6810,1365,6810,1350xm6810,675l6195,675,6195,690,6810,690,6810,675xm8130,2685l0,2685,0,2700,8130,2700,8130,2685xm8130,2010l7815,2010,7815,2025,8130,2025,8130,2010xm8130,1350l7815,1350,7815,1365,8130,1365,8130,1350xm8130,675l7815,675,7815,690,8130,690,8130,675xm8130,0l0,0,0,15,8130,15,8130,0xe">
                  <v:path o:connectlocs="5190,4432;0,4432;0,4447;5190,4447;5190,4432;5190,3772;0,3772;0,3787;5190,3787;5190,3772;5190,3097;0,3097;0,3112;5190,3112;5190,3097;6810,4432;6195,4432;6195,4447;6810,4447;6810,4432;6810,3772;6195,3772;6195,3787;6810,3787;6810,3772;6810,3097;6195,3097;6195,3112;6810,3112;6810,3097;8130,5107;0,5107;0,5122;8130,5122;8130,5107;8130,4432;7815,4432;7815,4447;8130,4447;8130,4432;8130,3772;7815,3772;7815,3787;8130,3787;8130,3772;8130,3097;7815,3097;7815,3112;8130,3112;8130,3097;8130,2422;0,2422;0,2437;8130,2437;8130,2422" o:connectangles="0,0,0,0,0,0,0,0,0,0,0,0,0,0,0,0,0,0,0,0,0,0,0,0,0,0,0,0,0,0,0,0,0,0,0,0,0,0,0,0,0,0,0,0,0,0,0,0,0,0,0,0,0,0,0"/>
                  <v:fill on="t" focussize="0,0"/>
                  <v:stroke on="f"/>
                  <v:imagedata o:title=""/>
                  <o:lock v:ext="edit" aspectratio="f"/>
                </v:shape>
                <v:shape id="AutoShape 292" o:spid="_x0000_s1026" o:spt="100" style="position:absolute;left:2069;top:2752;height:2040;width:8130;" fillcolor="#F7F7F7" filled="t" stroked="f" coordsize="8130,2040" o:gfxdata="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A&#10;93bCAAAA4gAAAA8AAAAAAAAAAQAgAAAAIgAAAGRycy9kb3ducmV2LnhtbFBLAQIUABQAAAAIAIdO&#10;4kAzLwWeOwAAADkAAAAQAAAAAAAAAAEAIAAAABEBAABkcnMvc2hhcGV4bWwueG1sUEsFBgAAAAAG&#10;AAYAWwEAALsDAAAAAA==&#10;" path="m3570,2025l0,2025,0,2040,3570,2040,3570,2025xm5190,2025l4560,2025,4560,2040,5190,2040,5190,2025xm5190,1350l0,1350,0,1365,5190,1365,5190,1350xm5190,675l0,675,0,690,5190,690,5190,675xm6810,2025l6195,2025,6195,2040,6810,2040,6810,2025xm6810,1350l6195,1350,6195,1365,6810,1365,6810,1350xm6810,675l6195,675,6195,690,6810,690,6810,675xm8130,2025l7815,2025,7815,2040,8130,2040,8130,2025xm8130,1350l7815,1350,7815,1365,8130,1365,8130,1350xm8130,675l7815,675,7815,690,8130,690,8130,675xm8130,0l0,0,0,15,8130,15,8130,0xe">
                  <v:path o:connectlocs="3570,4777;0,4777;0,4792;3570,4792;3570,4777;5190,4777;4560,4777;4560,4792;5190,4792;5190,4777;5190,4102;0,4102;0,4117;5190,4117;5190,4102;5190,3427;0,3427;0,3442;5190,3442;5190,3427;6810,4777;6195,4777;6195,4792;6810,4792;6810,4777;6810,4102;6195,4102;6195,4117;6810,4117;6810,4102;6810,3427;6195,3427;6195,3442;6810,3442;6810,3427;8130,4777;7815,4777;7815,4792;8130,4792;8130,4777;8130,4102;7815,4102;7815,4117;8130,4117;8130,4102;8130,3427;7815,3427;7815,3442;8130,3442;8130,3427;8130,2752;0,2752;0,2767;8130,2767;8130,2752" o:connectangles="0,0,0,0,0,0,0,0,0,0,0,0,0,0,0,0,0,0,0,0,0,0,0,0,0,0,0,0,0,0,0,0,0,0,0,0,0,0,0,0,0,0,0,0,0,0,0,0,0,0,0,0,0,0,0"/>
                  <v:fill on="t" focussize="0,0"/>
                  <v:stroke on="f"/>
                  <v:imagedata o:title=""/>
                  <o:lock v:ext="edit" aspectratio="f"/>
                </v:shape>
                <v:shape id="AutoShape 291" o:spid="_x0000_s1026" o:spt="100" style="position:absolute;left:2384;top:4927;height:188;width:2625;" fillcolor="#663AB6" filled="t" stroked="f" coordsize="2625,188" o:gfxdata="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5D3aMQAAADjAAAADwAAAAAAAAABACAAAAAiAAAAZHJzL2Rvd25yZXYueG1sUEsBAhQAFAAAAAgA&#10;h07iQDMvBZ47AAAAOQAAABAAAAAAAAAAAQAgAAAAEwEAAGRycy9zaGFwZXhtbC54bWxQSwUGAAAA&#10;AAYABgBbAQAAvQMAAAAA&#10;" path="m1005,134l0,134,0,188,1005,188,1005,134xm2625,0l1620,0,1620,180,2625,180,2625,0xe">
                  <v:path o:connectlocs="1005,5061;0,5061;0,5115;1005,5115;1005,5061;2625,4927;1620,4927;1620,5107;2625,5107;2625,4927" o:connectangles="0,0,0,0,0,0,0,0,0,0"/>
                  <v:fill on="t" focussize="0,0"/>
                  <v:stroke on="f"/>
                  <v:imagedata o:title=""/>
                  <o:lock v:ext="edit" aspectratio="f"/>
                </v:shape>
                <v:rect id="Rectangle 290" o:spid="_x0000_s1026" o:spt="1" style="position:absolute;left:2070;top:5107;height:15;width:8130;" fillcolor="#333333" filled="t" stroked="f" coordsize="21600,21600" o:gfxdata="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B6qjcQAAADiAAAADwAAAAAAAAABACAAAAAiAAAAZHJzL2Rvd25yZXYueG1sUEsBAhQAFAAAAAgA&#10;h07iQDMvBZ47AAAAOQAAABAAAAAAAAAAAQAgAAAAEwEAAGRycy9zaGFwZXhtbC54bWxQSwUGAAAA&#10;AAYABgBbAQAAvQMAAAAA&#10;">
                  <v:fill on="t" focussize="0,0"/>
                  <v:stroke on="f"/>
                  <v:imagedata o:title=""/>
                  <o:lock v:ext="edit" aspectratio="f"/>
                </v:rect>
                <v:shape id="AutoShape 289" o:spid="_x0000_s1026" o:spt="100" style="position:absolute;left:2879;top:4747;height:314;width:1635;" fillcolor="#999999" filled="t" stroked="f" coordsize="1635,314" o:gfxdata="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4h&#10;wAAAAOIAAAAPAAAAAAAAAAEAIAAAACIAAABkcnMvZG93bnJldi54bWxQSwECFAAUAAAACACHTuJA&#10;My8FnjsAAAA5AAAAEAAAAAAAAAABACAAAAAPAQAAZHJzL3NoYXBleG1sLnhtbFBLBQYAAAAABgAG&#10;AFsBAAC5AwAAAAA=&#10;" path="m15,134l0,134,0,314,15,314,15,134xm1635,0l1620,0,1620,180,1635,180,1635,0xe">
                  <v:path o:connectlocs="15,4881;0,4881;0,5061;15,5061;15,4881;1635,4747;1620,4747;1620,4927;1635,4927;1635,4747" o:connectangles="0,0,0,0,0,0,0,0,0,0"/>
                  <v:fill on="t" focussize="0,0"/>
                  <v:stroke on="f"/>
                  <v:imagedata o:title=""/>
                  <o:lock v:ext="edit" aspectratio="f"/>
                </v:shape>
                <v:shape id="AutoShape 288" o:spid="_x0000_s1026" o:spt="100" style="position:absolute;left:2559;top:4588;height:303;width:2200;" filled="f" stroked="t" coordsize="2200,303" o:gfxdata="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j/VnwwAAAOMAAAAPAAAAAAAAAAEAIAAAACIAAABkcnMvZG93bnJldi54bWxQSwECFAAUAAAACACH&#10;TuJAMy8FnjsAAAA5AAAAEAAAAAAAAAABACAAAAASAQAAZHJzL3NoYXBleG1sLnhtbFBLBQYAAAAA&#10;BgAGAFsBAAC8AwAAAAA=&#10;" path="m48,265l32,265,32,164,28,168,23,171,17,175,11,178,5,181,0,183,0,168,9,163,17,158,23,153,30,147,35,141,38,135,48,135,48,265xm173,303l167,294,161,285,156,275,151,264,147,253,144,241,142,230,142,218,142,208,143,198,146,188,148,178,153,167,159,156,165,145,173,134,184,134,177,146,172,155,170,160,167,168,164,176,162,185,159,196,158,207,158,218,160,239,165,260,173,281,184,303,173,303xm258,265l242,265,242,164,238,168,233,171,227,175,221,178,215,181,210,183,210,168,219,163,227,158,234,153,240,147,245,141,248,135,258,135,258,265xm307,265l307,247,325,247,325,265,307,265xm348,231l364,229,366,238,369,244,374,248,378,252,383,254,389,254,397,254,403,251,408,246,413,241,416,235,416,227,416,220,414,214,409,209,404,204,398,202,391,202,388,202,384,203,380,204,381,190,382,190,383,190,384,190,391,190,397,188,402,185,408,181,410,176,410,168,410,163,408,158,404,154,400,150,395,148,389,148,383,148,378,150,374,154,370,158,367,164,366,172,350,169,352,158,356,150,363,144,370,138,379,135,389,135,396,135,402,137,408,140,414,143,419,147,422,152,425,157,426,163,426,169,426,174,425,179,422,184,419,189,415,192,409,195,416,197,422,200,426,206,431,211,433,218,433,227,433,238,429,247,420,255,412,263,402,267,389,267,378,267,369,264,361,257,354,250,349,241,348,231xm451,167l451,158,454,150,458,143,463,137,470,134,478,134,487,134,493,137,499,142,504,148,507,157,507,168,507,179,504,187,498,193,493,199,487,202,479,202,471,202,464,199,459,193,454,187,451,178,451,167xm479,145l475,145,472,146,469,150,467,153,465,159,465,168,465,177,467,182,469,186,472,189,475,191,479,191,483,191,486,189,489,186,491,182,493,176,493,167,493,159,491,153,489,150,486,146,483,145,479,145xm479,269l550,134,562,134,492,269,479,269xm535,234l535,225,537,217,542,211,546,205,553,201,562,201,570,201,577,204,582,210,587,216,590,224,590,235,590,246,587,255,582,261,577,266,570,269,562,269,554,269,548,267,543,261,537,255,535,246,535,234xm562,212l558,212,555,214,552,217,550,221,549,227,549,236,549,244,550,250,553,253,555,257,558,259,562,259,566,259,570,257,572,253,575,250,576,244,576,235,576,226,575,221,572,217,570,214,566,212,562,212xm623,303l612,303,623,281,632,260,637,239,638,218,638,207,637,196,634,185,632,177,630,168,626,160,624,155,619,146,612,134,623,134,631,145,638,156,643,167,648,178,651,188,653,198,654,208,654,218,654,230,652,241,649,253,645,264,641,275,635,285,630,294,623,303xm1683,97l1699,95,1701,104,1704,110,1709,114,1713,118,1718,120,1725,120,1732,120,1738,117,1743,112,1749,107,1751,101,1751,93,1751,86,1749,80,1744,75,1739,70,1733,68,1726,68,1723,68,1719,69,1715,70,1716,56,1717,56,1718,56,1719,56,1726,56,1732,54,1737,51,1743,47,1745,42,1745,35,1745,29,1743,24,1739,20,1735,16,1730,14,1724,14,1718,14,1713,16,1709,20,1705,24,1702,30,1701,38,1685,35,1687,24,1691,16,1698,10,1705,4,1714,1,1724,1,1731,1,1737,3,1743,6,1749,9,1754,13,1757,18,1760,24,1762,29,1762,35,1762,41,1760,46,1757,50,1754,55,1750,58,1744,61,1751,63,1757,66,1762,72,1766,78,1768,84,1768,93,1768,104,1764,114,1756,121,1747,129,1737,133,1724,133,1713,133,1704,130,1696,123,1689,116,1685,108,1683,97xm1868,169l1862,160,1856,151,1851,141,1846,130,1842,119,1839,108,1838,96,1837,84,1837,74,1839,64,1841,54,1844,44,1848,33,1854,22,1860,11,1868,0,1879,0,1872,12,1868,21,1865,26,1862,34,1859,42,1857,51,1854,62,1853,73,1853,84,1855,105,1860,127,1868,148,1879,169,1868,169xm1944,131l1944,100,1888,100,1888,86,1947,2,1960,2,1960,86,1977,86,1977,100,1960,100,1960,131,1944,131xm1944,86l1944,27,1904,86,1944,86xm1997,33l1997,24,1999,16,2003,9,2008,3,2015,0,2024,0,2032,0,2038,3,2044,8,2049,14,2052,23,2052,34,2052,45,2049,53,2044,59,2038,65,2032,68,2024,68,2016,68,2010,65,2004,59,1999,53,1997,45,1997,33xm2024,11l2020,11,2017,12,2014,16,2012,19,2010,25,2010,35,2010,43,2012,49,2014,52,2017,55,2020,57,2024,57,2028,57,2031,55,2034,52,2037,49,2038,42,2038,33,2038,25,2037,19,2034,16,2031,12,2028,11,2024,11xm2024,136l2095,0,2107,0,2037,136,2024,136xm2080,101l2080,91,2082,84,2087,77,2091,71,2098,67,2107,67,2115,67,2122,70,2127,76,2132,82,2135,90,2135,102,2135,112,2132,121,2127,127,2122,133,2115,136,2107,136,2099,136,2093,133,2088,127,2082,121,2080,112,2080,101xm2107,78l2103,78,2100,80,2098,83,2095,87,2094,93,2094,102,2094,110,2095,116,2098,120,2100,123,2104,125,2107,125,2111,125,2115,123,2117,120,2120,116,2121,110,2121,101,2121,93,2120,87,2117,83,2115,80,2111,78,2107,78xm2168,169l2157,169,2169,148,2177,127,2182,105,2183,84,2183,73,2182,62,2180,51,2178,43,2175,34,2171,26,2169,21,2164,12,2157,0,2168,0,2176,11,2183,22,2188,33,2193,44,2196,54,2198,64,2199,74,2200,84,2199,96,2197,108,2194,119,2190,130,2186,141,2180,151,2175,160,2168,169xe">
                  <v:path o:connectlocs="0,4772;48,4854;142,4807;184,4723;158,4807;238,4757;234,4742;325,4854;389,4843;409,4798;383,4779;408,4747;367,4753;396,4724;426,4763;431,4800;378,4856;458,4732;507,4757;459,4782;465,4748;486,4778;483,4734;537,4806;590,4813;548,4856;550,4810;566,4848;570,4803;638,4796;623,4723;654,4819;1699,4684;1743,4701;1726,4657;1732,4643;1730,4603;1687,4613;1749,4598;1754,4644;1768,4693;1689,4705;1839,4697;1860,4600;1854,4651;1944,4689;1960,4720;2003,4598;2052,4623;2004,4648;2010,4614;2031,4644;2028,4600;2082,4673;2135,4679;2093,4722;2095,4676;2111,4714;2115,4669;2183,4662;2168,4589;2199,4685" o:connectangles="0,0,0,0,0,0,0,0,0,0,0,0,0,0,0,0,0,0,0,0,0,0,0,0,0,0,0,0,0,0,0,0,0,0,0,0,0,0,0,0,0,0,0,0,0,0,0,0,0,0,0,0,0,0,0,0,0,0,0,0,0,0"/>
                  <v:fill on="f" focussize="0,0"/>
                  <v:stroke weight="2.25pt" color="#FFFFFF" joinstyle="round"/>
                  <v:imagedata o:title=""/>
                  <o:lock v:ext="edit" aspectratio="f"/>
                </v:shape>
                <v:shape id="Picture 287" o:spid="_x0000_s1026" o:spt="75" type="#_x0000_t75" style="position:absolute;left:9525;top:6022;height:300;width:255;" filled="f" o:preferrelative="t" stroked="f" coordsize="21600,21600" o:gfxdata="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XizaMQAAADjAAAADwAAAAAAAAABACAAAAAiAAAAZHJzL2Rvd25yZXYueG1sUEsBAhQAFAAAAAgA&#10;h07iQDMvBZ47AAAAOQAAABAAAAAAAAAAAQAgAAAAEwEAAGRycy9zaGFwZXhtbC54bWxQSwUGAAAA&#10;AAYABgBbAQAAvQMAAAAA&#10;">
                  <v:fill on="f" focussize="0,0"/>
                  <v:stroke on="f"/>
                  <v:imagedata r:id="rId110" o:title=""/>
                  <o:lock v:ext="edit" aspectratio="t"/>
                </v:shape>
                <v:rect id="Rectangle 286" o:spid="_x0000_s1026" o:spt="1" style="position:absolute;left:2070;top:8332;height:2700;width:8130;" filled="f" stroked="t" coordsize="21600,21600" o:gfxdata="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P4A&#10;wAAAAOIAAAAPAAAAAAAAAAEAIAAAACIAAABkcnMvZG93bnJldi54bWxQSwECFAAUAAAACACHTuJA&#10;My8FnjsAAAA5AAAAEAAAAAAAAAABACAAAAAPAQAAZHJzL3NoYXBleG1sLnhtbFBLBQYAAAAABgAG&#10;AFsBAAC5AwAAAAA=&#10;">
                  <v:fill on="f" focussize="0,0"/>
                  <v:stroke color="#EDEDED" miterlimit="8" joinstyle="miter"/>
                  <v:imagedata o:title=""/>
                  <o:lock v:ext="edit" aspectratio="f"/>
                </v:rect>
                <v:shape id="AutoShape 285" o:spid="_x0000_s1026" o:spt="100" style="position:absolute;left:2069;top:8332;height:2700;width:8130;" fillcolor="#EDEDED" filled="t" stroked="f" coordsize="8130,2700" o:gfxdata="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V&#10;HCrCAAAA4wAAAA8AAAAAAAAAAQAgAAAAIgAAAGRycy9kb3ducmV2LnhtbFBLAQIUABQAAAAIAIdO&#10;4kAzLwWeOwAAADkAAAAQAAAAAAAAAAEAIAAAABEBAABkcnMvc2hhcGV4bWwueG1sUEsFBgAAAAAG&#10;AAYAWwEAALsDAAAAAA==&#10;" path="m3570,2010l0,2010,0,2025,3570,2025,3570,2010xm5190,2010l4560,2010,4560,2025,5190,2025,5190,2010xm5190,1350l0,1350,0,1365,5190,1365,5190,1350xm6810,2010l6195,2010,6195,2025,6810,2025,6810,2010xm6810,1350l6195,1350,6195,1365,6810,1365,6810,1350xm6810,675l0,675,0,690,6810,690,6810,675xm8130,2685l0,2685,0,2700,8130,2700,8130,2685xm8130,2010l7815,2010,7815,2025,8130,2025,8130,2010xm8130,1350l7815,1350,7815,1365,8130,1365,8130,1350xm8130,675l7815,675,7815,690,8130,690,8130,675xm8130,0l0,0,0,15,8130,15,8130,0xe">
                  <v:path o:connectlocs="3570,10342;0,10342;0,10357;3570,10357;3570,10342;5190,10342;4560,10342;4560,10357;5190,10357;5190,10342;5190,9682;0,9682;0,9697;5190,9697;5190,9682;6810,10342;6195,10342;6195,10357;6810,10357;6810,10342;6810,9682;6195,9682;6195,9697;6810,9697;6810,9682;6810,9007;0,9007;0,9022;6810,9022;6810,9007;8130,11017;0,11017;0,11032;8130,11032;8130,11017;8130,10342;7815,10342;7815,10357;8130,10357;8130,10342;8130,9682;7815,9682;7815,9697;8130,9697;8130,9682;8130,9007;7815,9007;7815,9022;8130,9022;8130,9007;8130,8332;0,8332;0,8347;8130,8347;8130,8332" o:connectangles="0,0,0,0,0,0,0,0,0,0,0,0,0,0,0,0,0,0,0,0,0,0,0,0,0,0,0,0,0,0,0,0,0,0,0,0,0,0,0,0,0,0,0,0,0,0,0,0,0,0,0,0,0,0,0"/>
                  <v:fill on="t" focussize="0,0"/>
                  <v:stroke on="f"/>
                  <v:imagedata o:title=""/>
                  <o:lock v:ext="edit" aspectratio="f"/>
                </v:shape>
                <v:shape id="AutoShape 284" o:spid="_x0000_s1026" o:spt="100" style="position:absolute;left:2069;top:8662;height:2040;width:8130;" fillcolor="#F7F7F7" filled="t" stroked="f" coordsize="8130,2040" o:gfxdata="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8k&#10;kDrCAAAA4gAAAA8AAAAAAAAAAQAgAAAAIgAAAGRycy9kb3ducmV2LnhtbFBLAQIUABQAAAAIAIdO&#10;4kAzLwWeOwAAADkAAAAQAAAAAAAAAAEAIAAAABEBAABkcnMvc2hhcGV4bWwueG1sUEsFBgAAAAAG&#10;AAYAWwEAALsDAAAAAA==&#10;" path="m3570,2025l0,2025,0,2040,3570,2040,3570,2025xm5190,2025l4560,2025,4560,2040,5190,2040,5190,2025xm5190,1350l0,1350,0,1365,5190,1365,5190,1350xm6810,2025l6195,2025,6195,2040,6810,2040,6810,2025xm6810,1350l6195,1350,6195,1365,6810,1365,6810,1350xm6810,675l0,675,0,690,6810,690,6810,675xm6810,0l0,0,0,15,6810,15,6810,0xm8130,2025l7815,2025,7815,2040,8130,2040,8130,2025xm8130,1350l7815,1350,7815,1365,8130,1365,8130,1350xm8130,675l7815,675,7815,690,8130,690,8130,675xm8130,0l7815,0,7815,15,8130,15,8130,0xe">
                  <v:path o:connectlocs="3570,10687;0,10687;0,10702;3570,10702;3570,10687;5190,10687;4560,10687;4560,10702;5190,10702;5190,10687;5190,10012;0,10012;0,10027;5190,10027;5190,10012;6810,10687;6195,10687;6195,10702;6810,10702;6810,10687;6810,10012;6195,10012;6195,10027;6810,10027;6810,10012;6810,9337;0,9337;0,9352;6810,9352;6810,9337;6810,8662;0,8662;0,8677;6810,8677;6810,8662;8130,10687;7815,10687;7815,10702;8130,10702;8130,10687;8130,10012;7815,10012;7815,10027;8130,10027;8130,10012;8130,9337;7815,9337;7815,9352;8130,9352;8130,9337;8130,8662;7815,8662;7815,8677;8130,8677;8130,8662" o:connectangles="0,0,0,0,0,0,0,0,0,0,0,0,0,0,0,0,0,0,0,0,0,0,0,0,0,0,0,0,0,0,0,0,0,0,0,0,0,0,0,0,0,0,0,0,0,0,0,0,0,0,0,0,0,0,0"/>
                  <v:fill on="t" focussize="0,0"/>
                  <v:stroke on="f"/>
                  <v:imagedata o:title=""/>
                  <o:lock v:ext="edit" aspectratio="f"/>
                </v:shape>
                <v:shape id="AutoShape 283" o:spid="_x0000_s1026" o:spt="100" style="position:absolute;left:2384;top:10970;height:54;width:2625;" fillcolor="#663AB6" filled="t" stroked="f" coordsize="2625,54" o:gfxdata="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As/a3FAAAA4gAAAA8AAAAAAAAAAQAgAAAAIgAAAGRycy9kb3ducmV2LnhtbFBLAQIUABQAAAAI&#10;AIdO4kAzLwWeOwAAADkAAAAQAAAAAAAAAAEAIAAAABQBAABkcnMvc2hhcGV4bWwueG1sUEsFBgAA&#10;AAAGAAYAWwEAAL4DAAAAAA==&#10;" path="m1005,46l0,46,0,54,1005,54,1005,46xm2625,0l1620,0,1620,54,2625,54,2625,0xe">
                  <v:path o:connectlocs="1005,11017;0,11017;0,11025;1005,11025;1005,11017;2625,10971;1620,10971;1620,11025;2625,11025;2625,10971" o:connectangles="0,0,0,0,0,0,0,0,0,0"/>
                  <v:fill on="t" focussize="0,0"/>
                  <v:stroke on="f"/>
                  <v:imagedata o:title=""/>
                  <o:lock v:ext="edit" aspectratio="f"/>
                </v:shape>
                <v:rect id="Rectangle 282" o:spid="_x0000_s1026" o:spt="1" style="position:absolute;left:2070;top:11017;height:15;width:8130;" fillcolor="#333333" filled="t" stroked="f" coordsize="21600,21600" o:gfxdata="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kg&#10;hS3CAAAA4gAAAA8AAAAAAAAAAQAgAAAAIgAAAGRycy9kb3ducmV2LnhtbFBLAQIUABQAAAAIAIdO&#10;4kAzLwWeOwAAADkAAAAQAAAAAAAAAAEAIAAAABEBAABkcnMvc2hhcGV4bWwueG1sUEsFBgAAAAAG&#10;AAYAWwEAALsDAAAAAA==&#10;">
                  <v:fill on="t" focussize="0,0"/>
                  <v:stroke on="f"/>
                  <v:imagedata o:title=""/>
                  <o:lock v:ext="edit" aspectratio="f"/>
                </v:rect>
                <v:shape id="AutoShape 281" o:spid="_x0000_s1026" o:spt="100" style="position:absolute;left:2879;top:10790;height:227;width:1635;" fillcolor="#999999" filled="t" stroked="f" coordsize="1635,227" o:gfxdata="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2T&#10;NEPCAAAA4gAAAA8AAAAAAAAAAQAgAAAAIgAAAGRycy9kb3ducmV2LnhtbFBLAQIUABQAAAAIAIdO&#10;4kAzLwWeOwAAADkAAAAQAAAAAAAAAAEAIAAAABEBAABkcnMvc2hhcGV4bWwueG1sUEsFBgAAAAAG&#10;AAYAWwEAALsDAAAAAA==&#10;" path="m15,46l0,46,0,226,15,226,15,46xm1635,0l1620,0,1620,180,1635,180,1635,0xe">
                  <v:path o:connectlocs="15,10837;0,10837;0,11017;15,11017;15,10837;1635,10791;1620,10791;1620,10971;1635,10971;1635,10791" o:connectangles="0,0,0,0,0,0,0,0,0,0"/>
                  <v:fill on="t" focussize="0,0"/>
                  <v:stroke on="f"/>
                  <v:imagedata o:title=""/>
                  <o:lock v:ext="edit" aspectratio="f"/>
                </v:shape>
                <v:shape id="AutoShape 280" o:spid="_x0000_s1026" o:spt="100" style="position:absolute;left:2622;top:10632;height:216;width:2212;" filled="f" stroked="t" coordsize="2212,216" o:gfxdata="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Ef&#10;7oPCAAAA4gAAAA8AAAAAAAAAAQAgAAAAIgAAAGRycy9kb3ducmV2LnhtbFBLAQIUABQAAAAIAIdO&#10;4kAzLwWeOwAAADkAAAAQAAAAAAAAAAEAIAAAABEBAABkcnMvc2hhcGV4bWwueG1sUEsFBgAAAAAG&#10;AAYAWwEAALsDAAAAAA==&#10;" path="m0,113l0,98,2,86,5,77,8,67,13,60,19,55,25,50,33,47,42,47,49,47,55,49,61,52,66,54,70,58,74,64,77,69,80,75,82,83,83,90,84,101,84,113,84,128,83,141,80,150,77,159,72,166,66,171,60,177,52,179,42,179,30,179,20,175,13,166,8,156,4,145,1,130,0,113xm17,113l17,128,19,140,21,149,24,156,29,163,35,166,42,166,50,166,56,163,61,156,64,149,66,140,68,128,68,113,68,99,66,87,64,78,61,71,56,64,50,61,42,61,35,61,29,64,25,70,21,77,19,87,17,99,17,113xm185,215l179,206,173,197,168,187,163,176,159,165,156,154,155,142,154,130,154,120,156,110,158,100,161,90,165,79,171,68,177,57,185,46,196,46,189,58,185,67,182,72,179,80,176,88,174,97,171,108,170,119,170,130,172,151,177,173,185,194,196,215,185,215xm210,113l210,98,212,86,215,77,218,67,223,60,229,55,235,50,243,47,252,47,259,47,265,49,271,52,276,54,280,58,284,64,287,69,290,75,292,83,294,90,294,101,294,113,294,128,293,141,290,150,287,159,282,166,276,171,270,177,262,179,252,179,240,179,230,175,223,166,218,156,214,145,211,130,210,113xm227,113l227,128,229,140,231,149,234,156,239,163,245,166,252,166,260,166,266,163,271,156,274,149,276,140,278,128,278,113,278,99,276,87,274,78,271,71,266,64,260,61,252,61,245,61,239,64,235,70,231,77,229,87,227,99,227,113xm314,79l314,70,316,62,320,55,325,49,332,46,341,46,349,46,355,49,361,54,366,60,369,69,369,80,369,91,366,99,361,105,355,111,349,114,341,114,333,114,327,111,321,105,316,99,314,91,314,79xm341,57l337,57,334,58,331,62,329,65,327,71,327,81,327,89,329,95,331,98,334,101,337,103,341,103,345,103,348,101,351,98,354,95,355,88,355,79,355,71,354,65,351,62,348,58,345,57,341,57xm341,182l412,46,424,46,354,182,341,182xm397,147l397,137,399,130,404,123,408,117,415,113,424,113,432,113,439,116,444,122,449,128,452,136,452,148,452,158,449,167,444,173,439,179,432,182,424,182,416,182,410,179,405,173,399,167,397,158,397,147xm424,124l420,124,417,126,415,129,412,133,411,139,411,148,411,156,412,162,415,166,417,169,421,171,424,171,428,171,432,169,434,166,437,162,438,156,438,147,438,139,437,133,434,129,432,126,428,124,424,124xm485,215l474,215,486,194,494,173,499,151,500,130,500,119,499,108,497,97,495,89,492,80,488,72,486,67,481,58,474,46,485,46,493,57,500,68,505,79,510,90,513,100,515,110,516,120,517,130,516,142,514,154,511,165,507,176,503,187,497,197,492,206,485,215xm1605,131l1589,131,1589,30,1585,34,1580,37,1574,41,1568,44,1562,47,1557,49,1557,34,1566,29,1574,24,1580,19,1587,13,1592,7,1595,1,1605,1,1605,131xm1730,169l1724,160,1718,151,1713,141,1708,130,1704,119,1701,107,1699,96,1699,84,1699,74,1700,64,1703,54,1705,44,1710,33,1716,22,1722,11,1730,0,1741,0,1734,12,1729,21,1727,26,1724,34,1721,42,1719,51,1716,62,1715,73,1715,84,1717,105,1722,126,1730,147,1741,169,1730,169xm1815,131l1799,131,1799,30,1795,34,1790,37,1784,41,1778,44,1772,47,1767,49,1767,34,1776,29,1784,24,1791,19,1797,13,1802,7,1805,1,1815,1,1815,131xm1864,131l1864,113,1882,113,1882,131,1864,131xm1905,97l1921,95,1923,104,1926,110,1931,114,1935,118,1940,120,1946,120,1954,120,1960,117,1965,112,1970,107,1973,101,1973,93,1973,86,1971,80,1966,75,1961,70,1955,68,1948,68,1945,68,1941,69,1937,70,1938,56,1939,56,1940,56,1941,56,1948,56,1954,54,1959,51,1965,47,1967,42,1967,34,1967,29,1965,24,1961,20,1957,16,1952,14,1946,14,1940,14,1935,16,1931,20,1927,24,1924,30,1923,38,1907,35,1909,24,1913,16,1920,10,1927,4,1936,1,1946,1,1953,1,1959,3,1965,6,1971,9,1976,13,1979,18,1982,23,1983,29,1983,35,1983,40,1982,45,1979,50,1976,55,1972,58,1966,61,1973,63,1979,66,1983,72,1988,77,1990,84,1990,93,1990,104,1986,113,1977,121,1969,129,1959,133,1946,133,1935,133,1926,130,1918,123,1911,116,1906,107,1905,97xm2008,33l2008,24,2011,16,2015,9,2020,3,2027,0,2035,0,2044,0,2050,3,2056,8,2061,14,2064,23,2064,34,2064,45,2061,53,2055,59,2050,65,2044,68,2036,68,2028,68,2021,65,2016,59,2011,53,2008,44,2008,33xm2036,11l2032,11,2029,12,2026,16,2024,19,2022,25,2022,34,2022,43,2024,48,2026,52,2029,55,2032,57,2036,57,2040,57,2043,55,2046,52,2048,48,2050,42,2050,33,2050,25,2048,19,2046,16,2043,12,2040,11,2036,11xm2036,135l2107,0,2119,0,2049,135,2036,135xm2092,100l2092,91,2094,83,2099,77,2103,71,2110,67,2119,67,2127,67,2134,70,2139,76,2144,82,2147,90,2147,101,2147,112,2144,121,2139,127,2134,132,2127,135,2119,135,2111,135,2105,133,2100,127,2094,121,2092,112,2092,100xm2119,78l2115,78,2112,80,2109,83,2107,87,2106,93,2106,102,2106,110,2107,116,2110,119,2112,123,2115,125,2119,125,2123,125,2127,123,2129,119,2132,116,2133,110,2133,101,2133,92,2132,87,2129,83,2127,80,2123,78,2119,78xm2180,169l2169,169,2180,147,2189,126,2194,105,2195,84,2195,73,2194,62,2191,51,2189,43,2187,34,2183,26,2181,21,2176,12,2169,0,2180,0,2188,11,2195,22,2200,33,2205,44,2208,54,2210,64,2211,74,2211,84,2211,96,2209,107,2206,119,2202,130,2198,141,2192,151,2187,160,2180,169xe">
                  <v:path o:connectlocs="42,10680;83,10723;52,10812;17,10761;64,10782;42,10694;173,10830;161,10723;176,10721;210,10746;259,10680;294,10734;252,10812;229,10773;276,10773;245,10694;320,10688;369,10724;314,10724;329,10728;355,10712;354,10815;439,10749;424,10815;415,10762;428,10804;428,10757;497,10730;505,10712;503,10820;1568,10677;1605,10634;1699,10717;1734,10645;1722,10759;1778,10677;1815,10634;1926,10743;1973,10726;1938,10689;1967,10662;1924,10663;1959,10636;1979,10683;1990,10737;1906,10740;2050,10636;2036,10701;2026,10649;2040,10690;2040,10644;2099,10710;2147,10745;2092,10745;2107,10749;2133,10734;2189,10759;2176,10645;2211,10717" o:connectangles="0,0,0,0,0,0,0,0,0,0,0,0,0,0,0,0,0,0,0,0,0,0,0,0,0,0,0,0,0,0,0,0,0,0,0,0,0,0,0,0,0,0,0,0,0,0,0,0,0,0,0,0,0,0,0,0,0,0,0"/>
                  <v:fill on="f" focussize="0,0"/>
                  <v:stroke weight="2.25pt" color="#FFFFFF" joinstyle="round"/>
                  <v:imagedata o:title=""/>
                  <o:lock v:ext="edit" aspectratio="f"/>
                </v:shape>
              </v:group>
            </w:pict>
          </mc:Fallback>
        </mc:AlternateContent>
      </w:r>
      <w:r>
        <w:rPr>
          <w:rFonts w:eastAsia="Roboto"/>
          <w:color w:val="202024"/>
          <w:szCs w:val="22"/>
        </w:rPr>
        <w:t>In</w:t>
      </w:r>
      <w:r>
        <w:rPr>
          <w:rFonts w:eastAsia="Roboto"/>
          <w:color w:val="202024"/>
          <w:spacing w:val="8"/>
          <w:szCs w:val="22"/>
        </w:rPr>
        <w:t xml:space="preserve"> </w:t>
      </w:r>
      <w:r>
        <w:rPr>
          <w:rFonts w:eastAsia="Roboto"/>
          <w:color w:val="202024"/>
          <w:szCs w:val="22"/>
        </w:rPr>
        <w:t>your</w:t>
      </w:r>
      <w:r>
        <w:rPr>
          <w:rFonts w:eastAsia="Roboto"/>
          <w:color w:val="202024"/>
          <w:spacing w:val="9"/>
          <w:szCs w:val="22"/>
        </w:rPr>
        <w:t xml:space="preserve"> </w:t>
      </w:r>
      <w:r>
        <w:rPr>
          <w:rFonts w:eastAsia="Roboto"/>
          <w:color w:val="202024"/>
          <w:szCs w:val="22"/>
        </w:rPr>
        <w:t>opinion,</w:t>
      </w:r>
      <w:r>
        <w:rPr>
          <w:rFonts w:eastAsia="Roboto"/>
          <w:color w:val="202024"/>
          <w:spacing w:val="8"/>
          <w:szCs w:val="22"/>
        </w:rPr>
        <w:t xml:space="preserve"> </w:t>
      </w:r>
      <w:r>
        <w:rPr>
          <w:rFonts w:eastAsia="Roboto"/>
          <w:color w:val="202024"/>
          <w:szCs w:val="22"/>
        </w:rPr>
        <w:t>to</w:t>
      </w:r>
      <w:r>
        <w:rPr>
          <w:rFonts w:eastAsia="Roboto"/>
          <w:color w:val="202024"/>
          <w:spacing w:val="9"/>
          <w:szCs w:val="22"/>
        </w:rPr>
        <w:t xml:space="preserve"> </w:t>
      </w:r>
      <w:r>
        <w:rPr>
          <w:rFonts w:eastAsia="Roboto"/>
          <w:color w:val="202024"/>
          <w:szCs w:val="22"/>
        </w:rPr>
        <w:t>what</w:t>
      </w:r>
      <w:r>
        <w:rPr>
          <w:rFonts w:eastAsia="Roboto"/>
          <w:color w:val="202024"/>
          <w:spacing w:val="9"/>
          <w:szCs w:val="22"/>
        </w:rPr>
        <w:t xml:space="preserve"> </w:t>
      </w:r>
      <w:r>
        <w:rPr>
          <w:rFonts w:eastAsia="Roboto"/>
          <w:color w:val="202024"/>
          <w:szCs w:val="22"/>
        </w:rPr>
        <w:t>extent</w:t>
      </w:r>
      <w:r>
        <w:rPr>
          <w:rFonts w:eastAsia="Roboto"/>
          <w:color w:val="202024"/>
          <w:spacing w:val="8"/>
          <w:szCs w:val="22"/>
        </w:rPr>
        <w:t xml:space="preserve"> </w:t>
      </w:r>
      <w:r>
        <w:rPr>
          <w:rFonts w:eastAsia="Roboto"/>
          <w:color w:val="202024"/>
          <w:szCs w:val="22"/>
        </w:rPr>
        <w:t>does</w:t>
      </w:r>
      <w:r>
        <w:rPr>
          <w:rFonts w:eastAsia="Roboto"/>
          <w:color w:val="202024"/>
          <w:spacing w:val="9"/>
          <w:szCs w:val="22"/>
        </w:rPr>
        <w:t xml:space="preserve"> </w:t>
      </w:r>
      <w:r>
        <w:rPr>
          <w:rFonts w:eastAsia="Roboto"/>
          <w:color w:val="202024"/>
          <w:szCs w:val="22"/>
        </w:rPr>
        <w:t>the</w:t>
      </w:r>
      <w:r>
        <w:rPr>
          <w:rFonts w:eastAsia="Roboto"/>
          <w:color w:val="202024"/>
          <w:spacing w:val="9"/>
          <w:szCs w:val="22"/>
        </w:rPr>
        <w:t xml:space="preserve"> </w:t>
      </w:r>
      <w:r>
        <w:rPr>
          <w:rFonts w:eastAsia="Roboto"/>
          <w:color w:val="202024"/>
          <w:szCs w:val="22"/>
        </w:rPr>
        <w:t>existence</w:t>
      </w:r>
      <w:r>
        <w:rPr>
          <w:rFonts w:eastAsia="Roboto"/>
          <w:color w:val="202024"/>
          <w:spacing w:val="8"/>
          <w:szCs w:val="22"/>
        </w:rPr>
        <w:t xml:space="preserve"> </w:t>
      </w:r>
      <w:r>
        <w:rPr>
          <w:rFonts w:eastAsia="Roboto"/>
          <w:color w:val="202024"/>
          <w:szCs w:val="22"/>
        </w:rPr>
        <w:t>and</w:t>
      </w:r>
      <w:r>
        <w:rPr>
          <w:rFonts w:eastAsia="Roboto"/>
          <w:color w:val="202024"/>
          <w:spacing w:val="9"/>
          <w:szCs w:val="22"/>
        </w:rPr>
        <w:t xml:space="preserve"> </w:t>
      </w:r>
      <w:r>
        <w:rPr>
          <w:rFonts w:eastAsia="Roboto"/>
          <w:color w:val="202024"/>
          <w:szCs w:val="22"/>
        </w:rPr>
        <w:t>interaction</w:t>
      </w:r>
      <w:r>
        <w:rPr>
          <w:rFonts w:eastAsia="Roboto"/>
          <w:color w:val="202024"/>
          <w:spacing w:val="8"/>
          <w:szCs w:val="22"/>
        </w:rPr>
        <w:t xml:space="preserve"> </w:t>
      </w:r>
      <w:r>
        <w:rPr>
          <w:rFonts w:eastAsia="Roboto"/>
          <w:color w:val="202024"/>
          <w:szCs w:val="22"/>
        </w:rPr>
        <w:t>of</w:t>
      </w:r>
      <w:r>
        <w:rPr>
          <w:rFonts w:eastAsia="Roboto"/>
          <w:color w:val="202024"/>
          <w:spacing w:val="-56"/>
          <w:szCs w:val="22"/>
        </w:rPr>
        <w:t xml:space="preserve"> </w:t>
      </w:r>
      <w:r>
        <w:rPr>
          <w:rFonts w:eastAsia="Roboto"/>
          <w:color w:val="202024"/>
          <w:szCs w:val="22"/>
        </w:rPr>
        <w:t>fiscal</w:t>
      </w:r>
      <w:r>
        <w:rPr>
          <w:rFonts w:eastAsia="Roboto"/>
          <w:color w:val="202024"/>
          <w:spacing w:val="8"/>
          <w:szCs w:val="22"/>
        </w:rPr>
        <w:t xml:space="preserve"> </w:t>
      </w:r>
      <w:r>
        <w:rPr>
          <w:rFonts w:eastAsia="Roboto"/>
          <w:color w:val="202024"/>
          <w:szCs w:val="22"/>
        </w:rPr>
        <w:t>regimes,</w:t>
      </w:r>
      <w:r>
        <w:rPr>
          <w:rFonts w:eastAsia="Roboto"/>
          <w:color w:val="202024"/>
          <w:spacing w:val="8"/>
          <w:szCs w:val="22"/>
        </w:rPr>
        <w:t xml:space="preserve"> </w:t>
      </w:r>
      <w:r>
        <w:rPr>
          <w:rFonts w:eastAsia="Roboto"/>
          <w:color w:val="202024"/>
          <w:szCs w:val="22"/>
        </w:rPr>
        <w:t>taxing</w:t>
      </w:r>
      <w:r>
        <w:rPr>
          <w:rFonts w:eastAsia="Roboto"/>
          <w:color w:val="202024"/>
          <w:spacing w:val="8"/>
          <w:szCs w:val="22"/>
        </w:rPr>
        <w:t xml:space="preserve"> </w:t>
      </w:r>
      <w:r>
        <w:rPr>
          <w:rFonts w:eastAsia="Roboto"/>
          <w:color w:val="202024"/>
          <w:szCs w:val="22"/>
        </w:rPr>
        <w:t>legislation,</w:t>
      </w:r>
      <w:r>
        <w:rPr>
          <w:rFonts w:eastAsia="Roboto"/>
          <w:color w:val="202024"/>
          <w:spacing w:val="8"/>
          <w:szCs w:val="22"/>
        </w:rPr>
        <w:t xml:space="preserve"> </w:t>
      </w:r>
      <w:r>
        <w:rPr>
          <w:rFonts w:eastAsia="Roboto"/>
          <w:color w:val="202024"/>
          <w:szCs w:val="22"/>
        </w:rPr>
        <w:t>extra</w:t>
      </w:r>
      <w:r>
        <w:rPr>
          <w:rFonts w:eastAsia="Roboto"/>
          <w:color w:val="202024"/>
          <w:spacing w:val="8"/>
          <w:szCs w:val="22"/>
        </w:rPr>
        <w:t xml:space="preserve"> </w:t>
      </w:r>
      <w:r>
        <w:rPr>
          <w:rFonts w:eastAsia="Roboto"/>
          <w:color w:val="202024"/>
          <w:szCs w:val="22"/>
        </w:rPr>
        <w:t>statutory</w:t>
      </w:r>
      <w:r>
        <w:rPr>
          <w:rFonts w:eastAsia="Roboto"/>
          <w:color w:val="202024"/>
          <w:spacing w:val="8"/>
          <w:szCs w:val="22"/>
        </w:rPr>
        <w:t xml:space="preserve"> </w:t>
      </w:r>
      <w:r>
        <w:rPr>
          <w:rFonts w:eastAsia="Roboto"/>
          <w:color w:val="202024"/>
          <w:szCs w:val="22"/>
        </w:rPr>
        <w:t>agreements</w:t>
      </w:r>
      <w:r>
        <w:rPr>
          <w:rFonts w:eastAsia="Roboto"/>
          <w:color w:val="202024"/>
          <w:spacing w:val="8"/>
          <w:szCs w:val="22"/>
        </w:rPr>
        <w:t xml:space="preserve"> </w:t>
      </w:r>
      <w:r>
        <w:rPr>
          <w:rFonts w:eastAsia="Roboto"/>
          <w:color w:val="202024"/>
          <w:szCs w:val="22"/>
        </w:rPr>
        <w:t>and</w:t>
      </w:r>
      <w:r>
        <w:rPr>
          <w:rFonts w:eastAsia="Roboto"/>
          <w:color w:val="202024"/>
          <w:spacing w:val="1"/>
          <w:szCs w:val="22"/>
        </w:rPr>
        <w:t xml:space="preserve"> </w:t>
      </w:r>
      <w:r>
        <w:rPr>
          <w:rFonts w:eastAsia="Roboto"/>
          <w:color w:val="202024"/>
          <w:szCs w:val="22"/>
        </w:rPr>
        <w:t>directives</w:t>
      </w:r>
      <w:r>
        <w:rPr>
          <w:rFonts w:eastAsia="Roboto"/>
          <w:color w:val="202024"/>
          <w:spacing w:val="7"/>
          <w:szCs w:val="22"/>
        </w:rPr>
        <w:t xml:space="preserve"> </w:t>
      </w:r>
      <w:r>
        <w:rPr>
          <w:rFonts w:eastAsia="Roboto"/>
          <w:color w:val="202024"/>
          <w:szCs w:val="22"/>
        </w:rPr>
        <w:t>in</w:t>
      </w:r>
      <w:r>
        <w:rPr>
          <w:rFonts w:eastAsia="Roboto"/>
          <w:color w:val="202024"/>
          <w:spacing w:val="7"/>
          <w:szCs w:val="22"/>
        </w:rPr>
        <w:t xml:space="preserve"> </w:t>
      </w:r>
      <w:r>
        <w:rPr>
          <w:rFonts w:eastAsia="Roboto"/>
          <w:color w:val="202024"/>
          <w:szCs w:val="22"/>
        </w:rPr>
        <w:t>the</w:t>
      </w:r>
      <w:r>
        <w:rPr>
          <w:rFonts w:eastAsia="Roboto"/>
          <w:color w:val="202024"/>
          <w:spacing w:val="8"/>
          <w:szCs w:val="22"/>
        </w:rPr>
        <w:t xml:space="preserve"> </w:t>
      </w:r>
      <w:r>
        <w:rPr>
          <w:rFonts w:eastAsia="Roboto"/>
          <w:color w:val="202024"/>
          <w:szCs w:val="22"/>
        </w:rPr>
        <w:t>Upstream</w:t>
      </w:r>
      <w:r>
        <w:rPr>
          <w:rFonts w:eastAsia="Roboto"/>
          <w:color w:val="202024"/>
          <w:spacing w:val="7"/>
          <w:szCs w:val="22"/>
        </w:rPr>
        <w:t xml:space="preserve"> </w:t>
      </w:r>
      <w:r>
        <w:rPr>
          <w:rFonts w:eastAsia="Roboto"/>
          <w:color w:val="202024"/>
          <w:szCs w:val="22"/>
        </w:rPr>
        <w:t>oil</w:t>
      </w:r>
      <w:r>
        <w:rPr>
          <w:rFonts w:eastAsia="Roboto"/>
          <w:color w:val="202024"/>
          <w:spacing w:val="8"/>
          <w:szCs w:val="22"/>
        </w:rPr>
        <w:t xml:space="preserve"> </w:t>
      </w:r>
      <w:r>
        <w:rPr>
          <w:rFonts w:eastAsia="Roboto"/>
          <w:color w:val="202024"/>
          <w:szCs w:val="22"/>
        </w:rPr>
        <w:t>and</w:t>
      </w:r>
      <w:r>
        <w:rPr>
          <w:rFonts w:eastAsia="Roboto"/>
          <w:color w:val="202024"/>
          <w:spacing w:val="7"/>
          <w:szCs w:val="22"/>
        </w:rPr>
        <w:t xml:space="preserve"> </w:t>
      </w:r>
      <w:r>
        <w:rPr>
          <w:rFonts w:eastAsia="Roboto"/>
          <w:color w:val="202024"/>
          <w:szCs w:val="22"/>
        </w:rPr>
        <w:t>gas</w:t>
      </w:r>
      <w:r>
        <w:rPr>
          <w:rFonts w:eastAsia="Roboto"/>
          <w:color w:val="202024"/>
          <w:spacing w:val="8"/>
          <w:szCs w:val="22"/>
        </w:rPr>
        <w:t xml:space="preserve"> </w:t>
      </w:r>
      <w:r>
        <w:rPr>
          <w:rFonts w:eastAsia="Roboto"/>
          <w:color w:val="202024"/>
          <w:szCs w:val="22"/>
        </w:rPr>
        <w:t>tax</w:t>
      </w:r>
      <w:r>
        <w:rPr>
          <w:rFonts w:eastAsia="Roboto"/>
          <w:color w:val="202024"/>
          <w:spacing w:val="7"/>
          <w:szCs w:val="22"/>
        </w:rPr>
        <w:t xml:space="preserve"> </w:t>
      </w:r>
      <w:r>
        <w:rPr>
          <w:rFonts w:eastAsia="Roboto"/>
          <w:color w:val="202024"/>
          <w:szCs w:val="22"/>
        </w:rPr>
        <w:t>system</w:t>
      </w:r>
      <w:r>
        <w:rPr>
          <w:rFonts w:eastAsia="Roboto"/>
          <w:color w:val="202024"/>
          <w:spacing w:val="8"/>
          <w:szCs w:val="22"/>
        </w:rPr>
        <w:t xml:space="preserve"> </w:t>
      </w:r>
      <w:r>
        <w:rPr>
          <w:rFonts w:eastAsia="Roboto"/>
          <w:color w:val="202024"/>
          <w:szCs w:val="22"/>
        </w:rPr>
        <w:t>impact</w:t>
      </w:r>
      <w:r>
        <w:rPr>
          <w:rFonts w:eastAsia="Roboto"/>
          <w:color w:val="202024"/>
          <w:spacing w:val="7"/>
          <w:szCs w:val="22"/>
        </w:rPr>
        <w:t xml:space="preserve"> </w:t>
      </w:r>
      <w:r>
        <w:rPr>
          <w:rFonts w:eastAsia="Roboto"/>
          <w:color w:val="202024"/>
          <w:szCs w:val="22"/>
        </w:rPr>
        <w:t>and</w:t>
      </w:r>
      <w:r>
        <w:rPr>
          <w:rFonts w:eastAsia="Roboto"/>
          <w:color w:val="202024"/>
          <w:spacing w:val="8"/>
          <w:szCs w:val="22"/>
        </w:rPr>
        <w:t xml:space="preserve"> </w:t>
      </w:r>
      <w:r>
        <w:rPr>
          <w:rFonts w:eastAsia="Roboto"/>
          <w:color w:val="202024"/>
          <w:szCs w:val="22"/>
        </w:rPr>
        <w:t>affect</w:t>
      </w:r>
      <w:r>
        <w:rPr>
          <w:rFonts w:eastAsia="Roboto"/>
          <w:color w:val="202024"/>
          <w:spacing w:val="1"/>
          <w:szCs w:val="22"/>
        </w:rPr>
        <w:t xml:space="preserve"> </w:t>
      </w:r>
      <w:r>
        <w:rPr>
          <w:rFonts w:eastAsia="Roboto"/>
          <w:color w:val="202024"/>
          <w:szCs w:val="22"/>
        </w:rPr>
        <w:t>clarity,</w:t>
      </w:r>
      <w:r>
        <w:rPr>
          <w:rFonts w:eastAsia="Roboto"/>
          <w:color w:val="202024"/>
          <w:spacing w:val="7"/>
          <w:szCs w:val="22"/>
        </w:rPr>
        <w:t xml:space="preserve"> </w:t>
      </w:r>
      <w:r>
        <w:rPr>
          <w:rFonts w:eastAsia="Roboto"/>
          <w:color w:val="202024"/>
          <w:szCs w:val="22"/>
        </w:rPr>
        <w:t>certainty</w:t>
      </w:r>
      <w:r>
        <w:rPr>
          <w:rFonts w:eastAsia="Roboto"/>
          <w:color w:val="202024"/>
          <w:spacing w:val="8"/>
          <w:szCs w:val="22"/>
        </w:rPr>
        <w:t xml:space="preserve"> </w:t>
      </w:r>
      <w:r>
        <w:rPr>
          <w:rFonts w:eastAsia="Roboto"/>
          <w:color w:val="202024"/>
          <w:szCs w:val="22"/>
        </w:rPr>
        <w:t>and</w:t>
      </w:r>
      <w:r>
        <w:rPr>
          <w:rFonts w:eastAsia="Roboto"/>
          <w:color w:val="202024"/>
          <w:spacing w:val="7"/>
          <w:szCs w:val="22"/>
        </w:rPr>
        <w:t xml:space="preserve"> </w:t>
      </w:r>
      <w:r>
        <w:rPr>
          <w:rFonts w:eastAsia="Roboto"/>
          <w:color w:val="202024"/>
          <w:szCs w:val="22"/>
        </w:rPr>
        <w:t>consistent</w:t>
      </w:r>
      <w:r>
        <w:rPr>
          <w:rFonts w:eastAsia="Roboto"/>
          <w:color w:val="202024"/>
          <w:spacing w:val="8"/>
          <w:szCs w:val="22"/>
        </w:rPr>
        <w:t xml:space="preserve"> </w:t>
      </w:r>
      <w:r>
        <w:rPr>
          <w:rFonts w:eastAsia="Roboto"/>
          <w:color w:val="202024"/>
          <w:szCs w:val="22"/>
        </w:rPr>
        <w:t>interpretation</w:t>
      </w:r>
      <w:r>
        <w:rPr>
          <w:rFonts w:eastAsia="Roboto"/>
          <w:color w:val="202024"/>
          <w:spacing w:val="7"/>
          <w:szCs w:val="22"/>
        </w:rPr>
        <w:t xml:space="preserve"> </w:t>
      </w:r>
      <w:r>
        <w:rPr>
          <w:rFonts w:eastAsia="Roboto"/>
          <w:color w:val="202024"/>
          <w:szCs w:val="22"/>
        </w:rPr>
        <w:t>and</w:t>
      </w:r>
      <w:r>
        <w:rPr>
          <w:rFonts w:eastAsia="Roboto"/>
          <w:color w:val="202024"/>
          <w:spacing w:val="8"/>
          <w:szCs w:val="22"/>
        </w:rPr>
        <w:t xml:space="preserve"> </w:t>
      </w:r>
      <w:r>
        <w:rPr>
          <w:rFonts w:eastAsia="Roboto"/>
          <w:color w:val="202024"/>
          <w:szCs w:val="22"/>
        </w:rPr>
        <w:t>understanding</w:t>
      </w:r>
      <w:r>
        <w:rPr>
          <w:rFonts w:eastAsia="Roboto"/>
          <w:color w:val="202024"/>
          <w:spacing w:val="7"/>
          <w:szCs w:val="22"/>
        </w:rPr>
        <w:t xml:space="preserve"> </w:t>
      </w:r>
      <w:r>
        <w:rPr>
          <w:rFonts w:eastAsia="Roboto"/>
          <w:color w:val="202024"/>
          <w:szCs w:val="22"/>
        </w:rPr>
        <w:t>of</w:t>
      </w:r>
      <w:r>
        <w:rPr>
          <w:rFonts w:eastAsia="Roboto"/>
          <w:color w:val="202024"/>
          <w:spacing w:val="1"/>
          <w:szCs w:val="22"/>
        </w:rPr>
        <w:t xml:space="preserve"> </w:t>
      </w:r>
      <w:r>
        <w:rPr>
          <w:rFonts w:eastAsia="Roboto"/>
          <w:color w:val="202024"/>
          <w:szCs w:val="22"/>
        </w:rPr>
        <w:t>upstream</w:t>
      </w:r>
      <w:r>
        <w:rPr>
          <w:rFonts w:eastAsia="Roboto"/>
          <w:color w:val="202024"/>
          <w:spacing w:val="5"/>
          <w:szCs w:val="22"/>
        </w:rPr>
        <w:t xml:space="preserve"> </w:t>
      </w:r>
      <w:r>
        <w:rPr>
          <w:rFonts w:eastAsia="Roboto"/>
          <w:color w:val="202024"/>
          <w:szCs w:val="22"/>
        </w:rPr>
        <w:t>oil</w:t>
      </w:r>
      <w:r>
        <w:rPr>
          <w:rFonts w:eastAsia="Roboto"/>
          <w:color w:val="202024"/>
          <w:spacing w:val="5"/>
          <w:szCs w:val="22"/>
        </w:rPr>
        <w:t xml:space="preserve"> </w:t>
      </w:r>
      <w:r>
        <w:rPr>
          <w:rFonts w:eastAsia="Roboto"/>
          <w:color w:val="202024"/>
          <w:szCs w:val="22"/>
        </w:rPr>
        <w:t>and</w:t>
      </w:r>
      <w:r>
        <w:rPr>
          <w:rFonts w:eastAsia="Roboto"/>
          <w:color w:val="202024"/>
          <w:spacing w:val="5"/>
          <w:szCs w:val="22"/>
        </w:rPr>
        <w:t xml:space="preserve"> </w:t>
      </w:r>
      <w:r>
        <w:rPr>
          <w:rFonts w:eastAsia="Roboto"/>
          <w:color w:val="202024"/>
          <w:szCs w:val="22"/>
        </w:rPr>
        <w:t>gas</w:t>
      </w:r>
      <w:r>
        <w:rPr>
          <w:rFonts w:eastAsia="Roboto"/>
          <w:color w:val="202024"/>
          <w:spacing w:val="5"/>
          <w:szCs w:val="22"/>
        </w:rPr>
        <w:t xml:space="preserve"> </w:t>
      </w:r>
      <w:r>
        <w:rPr>
          <w:rFonts w:eastAsia="Roboto"/>
          <w:color w:val="202024"/>
          <w:szCs w:val="22"/>
        </w:rPr>
        <w:t>taxation?</w:t>
      </w:r>
    </w:p>
    <w:p w14:paraId="15FE229F">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5182E98E">
      <w:pPr>
        <w:widowControl w:val="0"/>
        <w:autoSpaceDE w:val="0"/>
        <w:autoSpaceDN w:val="0"/>
        <w:spacing w:before="112"/>
        <w:rPr>
          <w:rFonts w:ascii="Arial MT" w:hAnsi="Roboto" w:eastAsia="Roboto" w:cs="Roboto"/>
          <w:sz w:val="18"/>
          <w:szCs w:val="22"/>
        </w:rPr>
      </w:pPr>
      <w:r>
        <w:rPr>
          <w:rFonts w:ascii="Arial MT" w:hAnsi="Roboto" w:eastAsia="Roboto" w:cs="Roboto"/>
          <w:color w:val="444444"/>
          <w:sz w:val="18"/>
          <w:szCs w:val="22"/>
        </w:rPr>
        <w:t>40</w:t>
      </w:r>
    </w:p>
    <w:p w14:paraId="2646C47B">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03EC58A3">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7876" w:space="920"/>
            <w:col w:w="784"/>
          </w:cols>
        </w:sectPr>
      </w:pPr>
    </w:p>
    <w:p w14:paraId="1D11104D">
      <w:pPr>
        <w:widowControl w:val="0"/>
        <w:autoSpaceDE w:val="0"/>
        <w:autoSpaceDN w:val="0"/>
        <w:spacing w:before="1"/>
        <w:rPr>
          <w:rFonts w:ascii="Lucida Sans Unicode" w:hAnsi="Roboto" w:eastAsia="Roboto" w:cs="Roboto"/>
          <w:szCs w:val="21"/>
        </w:rPr>
      </w:pPr>
    </w:p>
    <w:p w14:paraId="32AB1E75">
      <w:pPr>
        <w:widowControl w:val="0"/>
        <w:autoSpaceDE w:val="0"/>
        <w:autoSpaceDN w:val="0"/>
        <w:spacing w:before="94"/>
        <w:rPr>
          <w:rFonts w:ascii="Arial MT" w:hAnsi="Roboto" w:eastAsia="Roboto" w:cs="Roboto"/>
          <w:sz w:val="18"/>
          <w:szCs w:val="22"/>
        </w:rPr>
      </w:pPr>
      <w:r>
        <mc:AlternateContent>
          <mc:Choice Requires="wps">
            <w:drawing>
              <wp:anchor distT="0" distB="0" distL="114300" distR="114300" simplePos="0" relativeHeight="251696128" behindDoc="0" locked="0" layoutInCell="1" allowOverlap="1">
                <wp:simplePos x="0" y="0"/>
                <wp:positionH relativeFrom="page">
                  <wp:posOffset>4610100</wp:posOffset>
                </wp:positionH>
                <wp:positionV relativeFrom="paragraph">
                  <wp:posOffset>86360</wp:posOffset>
                </wp:positionV>
                <wp:extent cx="638175" cy="1314450"/>
                <wp:effectExtent l="0" t="0" r="0" b="0"/>
                <wp:wrapNone/>
                <wp:docPr id="521470717" name="Text Box 83"/>
                <wp:cNvGraphicFramePr/>
                <a:graphic xmlns:a="http://schemas.openxmlformats.org/drawingml/2006/main">
                  <a:graphicData uri="http://schemas.microsoft.com/office/word/2010/wordprocessingShape">
                    <wps:wsp>
                      <wps:cNvSpPr txBox="1">
                        <a:spLocks noChangeArrowheads="1"/>
                      </wps:cNvSpPr>
                      <wps:spPr bwMode="auto">
                        <a:xfrm>
                          <a:off x="0" y="0"/>
                          <a:ext cx="638175" cy="1314450"/>
                        </a:xfrm>
                        <a:prstGeom prst="rect">
                          <a:avLst/>
                        </a:prstGeom>
                        <a:solidFill>
                          <a:srgbClr val="663AB6"/>
                        </a:solidFill>
                        <a:ln>
                          <a:noFill/>
                        </a:ln>
                        <a:effectLst/>
                      </wps:spPr>
                      <wps:txbx>
                        <w:txbxContent>
                          <w:p w14:paraId="0E26DB9E">
                            <w:pPr>
                              <w:spacing w:before="14"/>
                              <w:rPr>
                                <w:rFonts w:ascii="Arial MT"/>
                                <w:sz w:val="18"/>
                              </w:rPr>
                            </w:pPr>
                            <w:r>
                              <w:rPr>
                                <w:rFonts w:ascii="Arial MT"/>
                                <w:color w:val="FFFFFF"/>
                                <w:sz w:val="18"/>
                              </w:rPr>
                              <w:t>31 (41.3%)</w:t>
                            </w:r>
                          </w:p>
                        </w:txbxContent>
                      </wps:txbx>
                      <wps:bodyPr rot="0" vert="horz" wrap="square" lIns="0" tIns="0" rIns="0" bIns="0" anchor="t" anchorCtr="0" upright="1">
                        <a:noAutofit/>
                      </wps:bodyPr>
                    </wps:wsp>
                  </a:graphicData>
                </a:graphic>
              </wp:anchor>
            </w:drawing>
          </mc:Choice>
          <mc:Fallback>
            <w:pict>
              <v:shape id="Text Box 83" o:spid="_x0000_s1026" o:spt="202" type="#_x0000_t202" style="position:absolute;left:0pt;margin-left:363pt;margin-top:6.8pt;height:103.5pt;width:50.25pt;mso-position-horizontal-relative:page;z-index:251696128;mso-width-relative:page;mso-height-relative:page;" fillcolor="#663AB6" filled="t" stroked="f" coordsize="21600,21600" o:gfxdata="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ol9TfX&#10;AAAACgEAAA8AAAAAAAAAAQAgAAAAIgAAAGRycy9kb3ducmV2LnhtbFBLAQIUABQAAAAIAIdO4kAR&#10;V9Y1IQIAAEQEAAAOAAAAAAAAAAEAIAAAACYBAABkcnMvZTJvRG9jLnhtbFBLBQYAAAAABgAGAFkB&#10;AAC5BQAAAAA=&#10;">
                <v:fill on="t" focussize="0,0"/>
                <v:stroke on="f"/>
                <v:imagedata o:title=""/>
                <o:lock v:ext="edit" aspectratio="f"/>
                <v:textbox inset="0mm,0mm,0mm,0mm">
                  <w:txbxContent>
                    <w:p w14:paraId="0E26DB9E">
                      <w:pPr>
                        <w:spacing w:before="14"/>
                        <w:rPr>
                          <w:rFonts w:ascii="Arial MT"/>
                          <w:sz w:val="18"/>
                        </w:rPr>
                      </w:pPr>
                      <w:r>
                        <w:rPr>
                          <w:rFonts w:ascii="Arial MT"/>
                          <w:color w:val="FFFFFF"/>
                          <w:sz w:val="18"/>
                        </w:rPr>
                        <w:t>31 (41.3%)</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page">
                  <wp:posOffset>5638800</wp:posOffset>
                </wp:positionH>
                <wp:positionV relativeFrom="paragraph">
                  <wp:posOffset>635</wp:posOffset>
                </wp:positionV>
                <wp:extent cx="638175" cy="1400175"/>
                <wp:effectExtent l="0" t="0" r="0" b="0"/>
                <wp:wrapNone/>
                <wp:docPr id="907281748" name="Text Box 82"/>
                <wp:cNvGraphicFramePr/>
                <a:graphic xmlns:a="http://schemas.openxmlformats.org/drawingml/2006/main">
                  <a:graphicData uri="http://schemas.microsoft.com/office/word/2010/wordprocessingShape">
                    <wps:wsp>
                      <wps:cNvSpPr txBox="1">
                        <a:spLocks noChangeArrowheads="1"/>
                      </wps:cNvSpPr>
                      <wps:spPr bwMode="auto">
                        <a:xfrm>
                          <a:off x="0" y="0"/>
                          <a:ext cx="638175" cy="1400175"/>
                        </a:xfrm>
                        <a:prstGeom prst="rect">
                          <a:avLst/>
                        </a:prstGeom>
                        <a:solidFill>
                          <a:srgbClr val="663AB6"/>
                        </a:solidFill>
                        <a:ln>
                          <a:noFill/>
                        </a:ln>
                        <a:effectLst/>
                      </wps:spPr>
                      <wps:txbx>
                        <w:txbxContent>
                          <w:p w14:paraId="0D2CD4B1">
                            <w:pPr>
                              <w:spacing w:before="14"/>
                              <w:rPr>
                                <w:rFonts w:ascii="Arial MT"/>
                                <w:sz w:val="18"/>
                              </w:rPr>
                            </w:pPr>
                            <w:r>
                              <w:rPr>
                                <w:rFonts w:ascii="Arial MT"/>
                                <w:color w:val="FFFFFF"/>
                                <w:sz w:val="18"/>
                              </w:rPr>
                              <w:t>33 (44%)</w:t>
                            </w:r>
                          </w:p>
                        </w:txbxContent>
                      </wps:txbx>
                      <wps:bodyPr rot="0" vert="horz" wrap="square" lIns="0" tIns="0" rIns="0" bIns="0" anchor="t" anchorCtr="0" upright="1">
                        <a:noAutofit/>
                      </wps:bodyPr>
                    </wps:wsp>
                  </a:graphicData>
                </a:graphic>
              </wp:anchor>
            </w:drawing>
          </mc:Choice>
          <mc:Fallback>
            <w:pict>
              <v:shape id="Text Box 82" o:spid="_x0000_s1026" o:spt="202" type="#_x0000_t202" style="position:absolute;left:0pt;margin-left:444pt;margin-top:0.05pt;height:110.25pt;width:50.25pt;mso-position-horizontal-relative:page;z-index:251697152;mso-width-relative:page;mso-height-relative:page;" fillcolor="#663AB6" filled="t" stroked="f" coordsize="21600,21600" o:gfxdata="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oKwo1QAAAAgB&#10;AAAPAAAAAAAAAAEAIAAAACIAAABkcnMvZG93bnJldi54bWxQSwECFAAUAAAACACHTuJAY1xgHB4C&#10;AABEBAAADgAAAAAAAAABACAAAAAkAQAAZHJzL2Uyb0RvYy54bWxQSwUGAAAAAAYABgBZAQAAtAUA&#10;AAAA&#10;">
                <v:fill on="t" focussize="0,0"/>
                <v:stroke on="f"/>
                <v:imagedata o:title=""/>
                <o:lock v:ext="edit" aspectratio="f"/>
                <v:textbox inset="0mm,0mm,0mm,0mm">
                  <w:txbxContent>
                    <w:p w14:paraId="0D2CD4B1">
                      <w:pPr>
                        <w:spacing w:before="14"/>
                        <w:rPr>
                          <w:rFonts w:ascii="Arial MT"/>
                          <w:sz w:val="18"/>
                        </w:rPr>
                      </w:pPr>
                      <w:r>
                        <w:rPr>
                          <w:rFonts w:ascii="Arial MT"/>
                          <w:color w:val="FFFFFF"/>
                          <w:sz w:val="18"/>
                        </w:rPr>
                        <w:t>33 (44%)</w:t>
                      </w:r>
                    </w:p>
                  </w:txbxContent>
                </v:textbox>
              </v:shape>
            </w:pict>
          </mc:Fallback>
        </mc:AlternateContent>
      </w:r>
      <w:r>
        <w:rPr>
          <w:rFonts w:ascii="Arial MT" w:hAnsi="Roboto" w:eastAsia="Roboto" w:cs="Roboto"/>
          <w:color w:val="444444"/>
          <w:sz w:val="18"/>
          <w:szCs w:val="22"/>
        </w:rPr>
        <w:t>30</w:t>
      </w:r>
    </w:p>
    <w:p w14:paraId="69BC4917">
      <w:pPr>
        <w:widowControl w:val="0"/>
        <w:autoSpaceDE w:val="0"/>
        <w:autoSpaceDN w:val="0"/>
        <w:rPr>
          <w:rFonts w:ascii="Arial MT" w:hAnsi="Roboto" w:eastAsia="Roboto" w:cs="Roboto"/>
          <w:sz w:val="20"/>
          <w:szCs w:val="21"/>
        </w:rPr>
      </w:pPr>
    </w:p>
    <w:p w14:paraId="774CE858">
      <w:pPr>
        <w:widowControl w:val="0"/>
        <w:autoSpaceDE w:val="0"/>
        <w:autoSpaceDN w:val="0"/>
        <w:spacing w:before="4"/>
        <w:rPr>
          <w:rFonts w:ascii="Arial MT" w:hAnsi="Roboto" w:eastAsia="Roboto" w:cs="Roboto"/>
          <w:sz w:val="20"/>
          <w:szCs w:val="21"/>
        </w:rPr>
      </w:pPr>
    </w:p>
    <w:p w14:paraId="5C7A74DF">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60E2876B">
      <w:pPr>
        <w:widowControl w:val="0"/>
        <w:autoSpaceDE w:val="0"/>
        <w:autoSpaceDN w:val="0"/>
        <w:rPr>
          <w:rFonts w:ascii="Arial MT" w:hAnsi="Roboto" w:eastAsia="Roboto" w:cs="Roboto"/>
          <w:sz w:val="20"/>
          <w:szCs w:val="21"/>
        </w:rPr>
      </w:pPr>
    </w:p>
    <w:p w14:paraId="6D72101A">
      <w:pPr>
        <w:widowControl w:val="0"/>
        <w:autoSpaceDE w:val="0"/>
        <w:autoSpaceDN w:val="0"/>
        <w:rPr>
          <w:rFonts w:ascii="Arial MT" w:hAnsi="Roboto" w:eastAsia="Roboto" w:cs="Roboto"/>
          <w:sz w:val="20"/>
          <w:szCs w:val="22"/>
        </w:rPr>
        <w:sectPr>
          <w:type w:val="continuous"/>
          <w:pgSz w:w="11900" w:h="16840"/>
          <w:pgMar w:top="480" w:right="1280" w:bottom="1680" w:left="1040" w:header="720" w:footer="720" w:gutter="0"/>
          <w:cols w:space="720" w:num="1"/>
        </w:sectPr>
      </w:pPr>
    </w:p>
    <w:p w14:paraId="4BE0956E">
      <w:pPr>
        <w:widowControl w:val="0"/>
        <w:autoSpaceDE w:val="0"/>
        <w:autoSpaceDN w:val="0"/>
        <w:spacing w:before="5"/>
        <w:rPr>
          <w:rFonts w:ascii="Arial MT" w:hAnsi="Roboto" w:eastAsia="Roboto" w:cs="Roboto"/>
          <w:sz w:val="20"/>
          <w:szCs w:val="21"/>
        </w:rPr>
      </w:pPr>
    </w:p>
    <w:p w14:paraId="01D16AAA">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10</w:t>
      </w:r>
    </w:p>
    <w:p w14:paraId="59F5BD18">
      <w:pPr>
        <w:widowControl w:val="0"/>
        <w:autoSpaceDE w:val="0"/>
        <w:autoSpaceDN w:val="0"/>
        <w:spacing w:before="140"/>
        <w:ind w:right="38"/>
        <w:jc w:val="right"/>
        <w:rPr>
          <w:rFonts w:ascii="Arial MT" w:hAnsi="Roboto" w:eastAsia="Roboto" w:cs="Roboto"/>
          <w:sz w:val="18"/>
          <w:szCs w:val="22"/>
        </w:rPr>
      </w:pPr>
      <w:r>
        <w:rPr>
          <w:rFonts w:ascii="Arial MT" w:hAnsi="Roboto" w:eastAsia="Roboto" w:cs="Roboto"/>
          <w:color w:val="202024"/>
          <w:sz w:val="18"/>
          <w:szCs w:val="22"/>
        </w:rPr>
        <w:t>1 (1.3%)</w:t>
      </w:r>
    </w:p>
    <w:p w14:paraId="43642A8C">
      <w:pPr>
        <w:widowControl w:val="0"/>
        <w:autoSpaceDE w:val="0"/>
        <w:autoSpaceDN w:val="0"/>
        <w:spacing w:before="117"/>
        <w:rPr>
          <w:rFonts w:ascii="Arial MT" w:hAnsi="Roboto" w:eastAsia="Roboto" w:cs="Roboto"/>
          <w:sz w:val="18"/>
          <w:szCs w:val="22"/>
        </w:rPr>
      </w:pPr>
      <w:r>
        <w:rPr>
          <w:rFonts w:ascii="Arial MT" w:hAnsi="Roboto" w:eastAsia="Roboto" w:cs="Roboto"/>
          <w:color w:val="444444"/>
          <w:sz w:val="18"/>
          <w:szCs w:val="22"/>
        </w:rPr>
        <w:t>0</w:t>
      </w:r>
    </w:p>
    <w:p w14:paraId="74C10BC2">
      <w:pPr>
        <w:widowControl w:val="0"/>
        <w:autoSpaceDE w:val="0"/>
        <w:autoSpaceDN w:val="0"/>
        <w:rPr>
          <w:rFonts w:ascii="Arial MT" w:hAnsi="Roboto" w:eastAsia="Roboto" w:cs="Roboto"/>
          <w:sz w:val="20"/>
          <w:szCs w:val="21"/>
        </w:rPr>
      </w:pPr>
      <w:r>
        <w:rPr>
          <w:rFonts w:ascii="Roboto" w:hAnsi="Roboto" w:eastAsia="Roboto" w:cs="Roboto"/>
          <w:sz w:val="21"/>
          <w:szCs w:val="21"/>
        </w:rPr>
        <w:br w:type="column"/>
      </w:r>
    </w:p>
    <w:p w14:paraId="2CECF595">
      <w:pPr>
        <w:widowControl w:val="0"/>
        <w:autoSpaceDE w:val="0"/>
        <w:autoSpaceDN w:val="0"/>
        <w:rPr>
          <w:rFonts w:ascii="Arial MT" w:hAnsi="Roboto" w:eastAsia="Roboto" w:cs="Roboto"/>
          <w:sz w:val="19"/>
          <w:szCs w:val="21"/>
        </w:rPr>
      </w:pPr>
    </w:p>
    <w:p w14:paraId="19962262">
      <w:pPr>
        <w:widowControl w:val="0"/>
        <w:autoSpaceDE w:val="0"/>
        <w:autoSpaceDN w:val="0"/>
        <w:rPr>
          <w:rFonts w:ascii="Arial MT" w:hAnsi="Roboto" w:eastAsia="Roboto" w:cs="Roboto"/>
          <w:sz w:val="18"/>
          <w:szCs w:val="22"/>
        </w:rPr>
      </w:pPr>
      <w:r>
        <w:rPr>
          <w:rFonts w:ascii="Arial MT" w:hAnsi="Roboto" w:eastAsia="Roboto" w:cs="Roboto"/>
          <w:sz w:val="18"/>
          <w:szCs w:val="22"/>
        </w:rPr>
        <w:t>3 (4%)</w:t>
      </w:r>
    </w:p>
    <w:p w14:paraId="2FB1C77E">
      <w:pPr>
        <w:widowControl w:val="0"/>
        <w:autoSpaceDE w:val="0"/>
        <w:autoSpaceDN w:val="0"/>
        <w:rPr>
          <w:rFonts w:ascii="Arial MT" w:hAnsi="Roboto" w:eastAsia="Roboto" w:cs="Roboto"/>
          <w:sz w:val="18"/>
          <w:szCs w:val="22"/>
        </w:rPr>
        <w:sectPr>
          <w:type w:val="continuous"/>
          <w:pgSz w:w="11900" w:h="16840"/>
          <w:pgMar w:top="480" w:right="1280" w:bottom="1680" w:left="1040" w:header="720" w:footer="720" w:gutter="0"/>
          <w:cols w:equalWidth="0" w:num="2">
            <w:col w:w="2220" w:space="325"/>
            <w:col w:w="7035"/>
          </w:cols>
        </w:sectPr>
      </w:pPr>
    </w:p>
    <w:p w14:paraId="523F07F6">
      <w:pPr>
        <w:widowControl w:val="0"/>
        <w:tabs>
          <w:tab w:val="left" w:pos="3421"/>
          <w:tab w:val="left" w:pos="5044"/>
          <w:tab w:val="left" w:pos="6667"/>
          <w:tab w:val="left" w:pos="8290"/>
        </w:tabs>
        <w:autoSpaceDE w:val="0"/>
        <w:autoSpaceDN w:val="0"/>
        <w:spacing w:line="203" w:lineRule="exact"/>
        <w:rPr>
          <w:rFonts w:ascii="Arial MT" w:hAnsi="Roboto" w:eastAsia="Roboto" w:cs="Roboto"/>
          <w:sz w:val="18"/>
          <w:szCs w:val="22"/>
        </w:rPr>
      </w:pPr>
      <w:r>
        <mc:AlternateContent>
          <mc:Choice Requires="wps">
            <w:drawing>
              <wp:anchor distT="0" distB="0" distL="114300" distR="114300" simplePos="0" relativeHeight="251698176" behindDoc="0" locked="0" layoutInCell="1" allowOverlap="1">
                <wp:simplePos x="0" y="0"/>
                <wp:positionH relativeFrom="page">
                  <wp:posOffset>3581400</wp:posOffset>
                </wp:positionH>
                <wp:positionV relativeFrom="paragraph">
                  <wp:posOffset>-354330</wp:posOffset>
                </wp:positionV>
                <wp:extent cx="628650" cy="285750"/>
                <wp:effectExtent l="0" t="0" r="0" b="0"/>
                <wp:wrapNone/>
                <wp:docPr id="1231882670" name="Text Box 81"/>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solidFill>
                          <a:srgbClr val="663AB6"/>
                        </a:solidFill>
                        <a:ln>
                          <a:noFill/>
                        </a:ln>
                        <a:effectLst/>
                      </wps:spPr>
                      <wps:txbx>
                        <w:txbxContent>
                          <w:p w14:paraId="69220B2E">
                            <w:pPr>
                              <w:spacing w:before="14"/>
                              <w:rPr>
                                <w:rFonts w:ascii="Arial MT"/>
                                <w:sz w:val="18"/>
                              </w:rPr>
                            </w:pPr>
                            <w:r>
                              <w:rPr>
                                <w:rFonts w:ascii="Arial MT"/>
                                <w:color w:val="FFFFFF"/>
                                <w:sz w:val="18"/>
                              </w:rPr>
                              <w:t>7 (9.3%)</w:t>
                            </w:r>
                          </w:p>
                        </w:txbxContent>
                      </wps:txbx>
                      <wps:bodyPr rot="0" vert="horz" wrap="square" lIns="0" tIns="0" rIns="0" bIns="0" anchor="t" anchorCtr="0" upright="1">
                        <a:noAutofit/>
                      </wps:bodyPr>
                    </wps:wsp>
                  </a:graphicData>
                </a:graphic>
              </wp:anchor>
            </w:drawing>
          </mc:Choice>
          <mc:Fallback>
            <w:pict>
              <v:shape id="Text Box 81" o:spid="_x0000_s1026" o:spt="202" type="#_x0000_t202" style="position:absolute;left:0pt;margin-left:282pt;margin-top:-27.9pt;height:22.5pt;width:49.5pt;mso-position-horizontal-relative:page;z-index:251698176;mso-width-relative:page;mso-height-relative:page;" fillcolor="#663AB6" filled="t" stroked="f" coordsize="21600,21600" o:gfxdata="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lodrfXAAAA&#10;CwEAAA8AAAAAAAAAAQAgAAAAIgAAAGRycy9kb3ducmV2LnhtbFBLAQIUABQAAAAIAIdO4kB/9oZ9&#10;HgIAAEQEAAAOAAAAAAAAAAEAIAAAACYBAABkcnMvZTJvRG9jLnhtbFBLBQYAAAAABgAGAFkBAAC2&#10;BQAAAAA=&#10;">
                <v:fill on="t" focussize="0,0"/>
                <v:stroke on="f"/>
                <v:imagedata o:title=""/>
                <o:lock v:ext="edit" aspectratio="f"/>
                <v:textbox inset="0mm,0mm,0mm,0mm">
                  <w:txbxContent>
                    <w:p w14:paraId="69220B2E">
                      <w:pPr>
                        <w:spacing w:before="14"/>
                        <w:rPr>
                          <w:rFonts w:ascii="Arial MT"/>
                          <w:sz w:val="18"/>
                        </w:rPr>
                      </w:pPr>
                      <w:r>
                        <w:rPr>
                          <w:rFonts w:ascii="Arial MT"/>
                          <w:color w:val="FFFFFF"/>
                          <w:sz w:val="18"/>
                        </w:rPr>
                        <w:t>7 (9.3%)</w:t>
                      </w:r>
                    </w:p>
                  </w:txbxContent>
                </v:textbox>
              </v:shape>
            </w:pict>
          </mc:Fallback>
        </mc:AlternateContent>
      </w: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57214461">
      <w:pPr>
        <w:widowControl w:val="0"/>
        <w:autoSpaceDE w:val="0"/>
        <w:autoSpaceDN w:val="0"/>
        <w:rPr>
          <w:rFonts w:ascii="Arial MT" w:hAnsi="Roboto" w:eastAsia="Roboto" w:cs="Roboto"/>
          <w:sz w:val="20"/>
          <w:szCs w:val="21"/>
        </w:rPr>
      </w:pPr>
    </w:p>
    <w:p w14:paraId="3249192D">
      <w:pPr>
        <w:widowControl w:val="0"/>
        <w:autoSpaceDE w:val="0"/>
        <w:autoSpaceDN w:val="0"/>
        <w:spacing w:before="7"/>
        <w:rPr>
          <w:rFonts w:ascii="Arial MT" w:hAnsi="Roboto" w:eastAsia="Roboto" w:cs="Roboto"/>
          <w:sz w:val="26"/>
          <w:szCs w:val="21"/>
        </w:rPr>
      </w:pPr>
    </w:p>
    <w:p w14:paraId="3957A851">
      <w:pPr>
        <w:widowControl w:val="0"/>
        <w:autoSpaceDE w:val="0"/>
        <w:autoSpaceDN w:val="0"/>
        <w:rPr>
          <w:rFonts w:ascii="Arial MT" w:hAnsi="Roboto" w:eastAsia="Roboto" w:cs="Roboto"/>
          <w:sz w:val="26"/>
          <w:szCs w:val="22"/>
        </w:rPr>
        <w:sectPr>
          <w:type w:val="continuous"/>
          <w:pgSz w:w="11900" w:h="16840"/>
          <w:pgMar w:top="480" w:right="1280" w:bottom="1680" w:left="1040" w:header="720" w:footer="720" w:gutter="0"/>
          <w:cols w:space="720" w:num="1"/>
        </w:sectPr>
      </w:pPr>
    </w:p>
    <w:p w14:paraId="72E10483">
      <w:pPr>
        <w:widowControl w:val="0"/>
        <w:numPr>
          <w:ilvl w:val="0"/>
          <w:numId w:val="45"/>
        </w:numPr>
        <w:tabs>
          <w:tab w:val="left" w:pos="389"/>
        </w:tabs>
        <w:autoSpaceDE w:val="0"/>
        <w:autoSpaceDN w:val="0"/>
        <w:spacing w:before="95" w:line="300" w:lineRule="auto"/>
        <w:ind w:right="38" w:firstLine="0"/>
        <w:outlineLvl w:val="0"/>
        <w:rPr>
          <w:rFonts w:ascii="Roboto" w:hAnsi="Roboto" w:eastAsia="Roboto" w:cs="Roboto"/>
        </w:rPr>
      </w:pPr>
      <w:r>
        <w:rPr>
          <w:rFonts w:ascii="Roboto" w:hAnsi="Roboto" w:eastAsia="Roboto" w:cs="Roboto"/>
          <w:color w:val="202024"/>
        </w:rPr>
        <w:t>In</w:t>
      </w:r>
      <w:r>
        <w:rPr>
          <w:rFonts w:ascii="Roboto" w:hAnsi="Roboto" w:eastAsia="Roboto" w:cs="Roboto"/>
          <w:color w:val="202024"/>
          <w:spacing w:val="7"/>
        </w:rPr>
        <w:t xml:space="preserve"> </w:t>
      </w:r>
      <w:r>
        <w:rPr>
          <w:rFonts w:ascii="Roboto" w:hAnsi="Roboto" w:eastAsia="Roboto" w:cs="Roboto"/>
          <w:color w:val="202024"/>
        </w:rPr>
        <w:t>your</w:t>
      </w:r>
      <w:r>
        <w:rPr>
          <w:rFonts w:ascii="Roboto" w:hAnsi="Roboto" w:eastAsia="Roboto" w:cs="Roboto"/>
          <w:color w:val="202024"/>
          <w:spacing w:val="7"/>
        </w:rPr>
        <w:t xml:space="preserve"> </w:t>
      </w:r>
      <w:r>
        <w:rPr>
          <w:rFonts w:ascii="Roboto" w:hAnsi="Roboto" w:eastAsia="Roboto" w:cs="Roboto"/>
          <w:color w:val="202024"/>
        </w:rPr>
        <w:t>opinion</w:t>
      </w:r>
      <w:r>
        <w:rPr>
          <w:rFonts w:ascii="Roboto" w:hAnsi="Roboto" w:eastAsia="Roboto" w:cs="Roboto"/>
          <w:color w:val="202024"/>
          <w:spacing w:val="7"/>
        </w:rPr>
        <w:t xml:space="preserve"> </w:t>
      </w:r>
      <w:r>
        <w:rPr>
          <w:rFonts w:ascii="Roboto" w:hAnsi="Roboto" w:eastAsia="Roboto" w:cs="Roboto"/>
          <w:color w:val="202024"/>
        </w:rPr>
        <w:t>how</w:t>
      </w:r>
      <w:r>
        <w:rPr>
          <w:rFonts w:ascii="Roboto" w:hAnsi="Roboto" w:eastAsia="Roboto" w:cs="Roboto"/>
          <w:color w:val="202024"/>
          <w:spacing w:val="8"/>
        </w:rPr>
        <w:t xml:space="preserve"> </w:t>
      </w:r>
      <w:r>
        <w:rPr>
          <w:rFonts w:ascii="Roboto" w:hAnsi="Roboto" w:eastAsia="Roboto" w:cs="Roboto"/>
          <w:color w:val="202024"/>
        </w:rPr>
        <w:t>important</w:t>
      </w:r>
      <w:r>
        <w:rPr>
          <w:rFonts w:ascii="Roboto" w:hAnsi="Roboto" w:eastAsia="Roboto" w:cs="Roboto"/>
          <w:color w:val="202024"/>
          <w:spacing w:val="7"/>
        </w:rPr>
        <w:t xml:space="preserve"> </w:t>
      </w:r>
      <w:r>
        <w:rPr>
          <w:rFonts w:ascii="Roboto" w:hAnsi="Roboto" w:eastAsia="Roboto" w:cs="Roboto"/>
          <w:color w:val="202024"/>
        </w:rPr>
        <w:t>is</w:t>
      </w:r>
      <w:r>
        <w:rPr>
          <w:rFonts w:ascii="Roboto" w:hAnsi="Roboto" w:eastAsia="Roboto" w:cs="Roboto"/>
          <w:color w:val="202024"/>
          <w:spacing w:val="7"/>
        </w:rPr>
        <w:t xml:space="preserve"> </w:t>
      </w:r>
      <w:r>
        <w:rPr>
          <w:rFonts w:ascii="Roboto" w:hAnsi="Roboto" w:eastAsia="Roboto" w:cs="Roboto"/>
          <w:color w:val="202024"/>
        </w:rPr>
        <w:t>the</w:t>
      </w:r>
      <w:r>
        <w:rPr>
          <w:rFonts w:ascii="Roboto" w:hAnsi="Roboto" w:eastAsia="Roboto" w:cs="Roboto"/>
          <w:color w:val="202024"/>
          <w:spacing w:val="7"/>
        </w:rPr>
        <w:t xml:space="preserve"> </w:t>
      </w:r>
      <w:r>
        <w:rPr>
          <w:rFonts w:ascii="Roboto" w:hAnsi="Roboto" w:eastAsia="Roboto" w:cs="Roboto"/>
          <w:color w:val="202024"/>
        </w:rPr>
        <w:t>age</w:t>
      </w:r>
      <w:r>
        <w:rPr>
          <w:rFonts w:ascii="Roboto" w:hAnsi="Roboto" w:eastAsia="Roboto" w:cs="Roboto"/>
          <w:color w:val="202024"/>
          <w:spacing w:val="8"/>
        </w:rPr>
        <w:t xml:space="preserve"> </w:t>
      </w:r>
      <w:r>
        <w:rPr>
          <w:rFonts w:ascii="Roboto" w:hAnsi="Roboto" w:eastAsia="Roboto" w:cs="Roboto"/>
          <w:color w:val="202024"/>
        </w:rPr>
        <w:t>of</w:t>
      </w:r>
      <w:r>
        <w:rPr>
          <w:rFonts w:ascii="Roboto" w:hAnsi="Roboto" w:eastAsia="Roboto" w:cs="Roboto"/>
          <w:color w:val="202024"/>
          <w:spacing w:val="7"/>
        </w:rPr>
        <w:t xml:space="preserve"> </w:t>
      </w:r>
      <w:r>
        <w:rPr>
          <w:rFonts w:ascii="Roboto" w:hAnsi="Roboto" w:eastAsia="Roboto" w:cs="Roboto"/>
          <w:color w:val="202024"/>
        </w:rPr>
        <w:t>the</w:t>
      </w:r>
      <w:r>
        <w:rPr>
          <w:rFonts w:ascii="Roboto" w:hAnsi="Roboto" w:eastAsia="Roboto" w:cs="Roboto"/>
          <w:color w:val="202024"/>
          <w:spacing w:val="7"/>
        </w:rPr>
        <w:t xml:space="preserve"> </w:t>
      </w:r>
      <w:r>
        <w:rPr>
          <w:rFonts w:ascii="Roboto" w:hAnsi="Roboto" w:eastAsia="Roboto" w:cs="Roboto"/>
          <w:color w:val="202024"/>
        </w:rPr>
        <w:t>various</w:t>
      </w:r>
      <w:r>
        <w:rPr>
          <w:rFonts w:ascii="Roboto" w:hAnsi="Roboto" w:eastAsia="Roboto" w:cs="Roboto"/>
          <w:color w:val="202024"/>
          <w:spacing w:val="7"/>
        </w:rPr>
        <w:t xml:space="preserve"> </w:t>
      </w:r>
      <w:r>
        <w:rPr>
          <w:rFonts w:ascii="Roboto" w:hAnsi="Roboto" w:eastAsia="Roboto" w:cs="Roboto"/>
          <w:color w:val="202024"/>
        </w:rPr>
        <w:t>petroleum</w:t>
      </w:r>
      <w:r>
        <w:rPr>
          <w:rFonts w:ascii="Roboto" w:hAnsi="Roboto" w:eastAsia="Roboto" w:cs="Roboto"/>
          <w:color w:val="202024"/>
          <w:spacing w:val="1"/>
        </w:rPr>
        <w:t xml:space="preserve"> </w:t>
      </w:r>
      <w:r>
        <w:rPr>
          <w:rFonts w:ascii="Roboto" w:hAnsi="Roboto" w:eastAsia="Roboto" w:cs="Roboto"/>
          <w:color w:val="202024"/>
        </w:rPr>
        <w:t>taxing</w:t>
      </w:r>
      <w:r>
        <w:rPr>
          <w:rFonts w:ascii="Roboto" w:hAnsi="Roboto" w:eastAsia="Roboto" w:cs="Roboto"/>
          <w:color w:val="202024"/>
          <w:spacing w:val="7"/>
        </w:rPr>
        <w:t xml:space="preserve"> </w:t>
      </w:r>
      <w:r>
        <w:rPr>
          <w:rFonts w:ascii="Roboto" w:hAnsi="Roboto" w:eastAsia="Roboto" w:cs="Roboto"/>
          <w:color w:val="202024"/>
        </w:rPr>
        <w:t>statutes,</w:t>
      </w:r>
      <w:r>
        <w:rPr>
          <w:rFonts w:ascii="Roboto" w:hAnsi="Roboto" w:eastAsia="Roboto" w:cs="Roboto"/>
          <w:color w:val="202024"/>
          <w:spacing w:val="7"/>
        </w:rPr>
        <w:t xml:space="preserve"> </w:t>
      </w:r>
      <w:r>
        <w:rPr>
          <w:rFonts w:ascii="Roboto" w:hAnsi="Roboto" w:eastAsia="Roboto" w:cs="Roboto"/>
          <w:color w:val="202024"/>
        </w:rPr>
        <w:t>and</w:t>
      </w:r>
      <w:r>
        <w:rPr>
          <w:rFonts w:ascii="Roboto" w:hAnsi="Roboto" w:eastAsia="Roboto" w:cs="Roboto"/>
          <w:color w:val="202024"/>
          <w:spacing w:val="7"/>
        </w:rPr>
        <w:t xml:space="preserve"> </w:t>
      </w:r>
      <w:r>
        <w:rPr>
          <w:rFonts w:ascii="Roboto" w:hAnsi="Roboto" w:eastAsia="Roboto" w:cs="Roboto"/>
          <w:color w:val="202024"/>
        </w:rPr>
        <w:t>the</w:t>
      </w:r>
      <w:r>
        <w:rPr>
          <w:rFonts w:ascii="Roboto" w:hAnsi="Roboto" w:eastAsia="Roboto" w:cs="Roboto"/>
          <w:color w:val="202024"/>
          <w:spacing w:val="7"/>
        </w:rPr>
        <w:t xml:space="preserve"> </w:t>
      </w:r>
      <w:r>
        <w:rPr>
          <w:rFonts w:ascii="Roboto" w:hAnsi="Roboto" w:eastAsia="Roboto" w:cs="Roboto"/>
          <w:color w:val="202024"/>
        </w:rPr>
        <w:t>infrequent</w:t>
      </w:r>
      <w:r>
        <w:rPr>
          <w:rFonts w:ascii="Roboto" w:hAnsi="Roboto" w:eastAsia="Roboto" w:cs="Roboto"/>
          <w:color w:val="202024"/>
          <w:spacing w:val="7"/>
        </w:rPr>
        <w:t xml:space="preserve"> </w:t>
      </w:r>
      <w:r>
        <w:rPr>
          <w:rFonts w:ascii="Roboto" w:hAnsi="Roboto" w:eastAsia="Roboto" w:cs="Roboto"/>
          <w:color w:val="202024"/>
        </w:rPr>
        <w:t>or</w:t>
      </w:r>
      <w:r>
        <w:rPr>
          <w:rFonts w:ascii="Roboto" w:hAnsi="Roboto" w:eastAsia="Roboto" w:cs="Roboto"/>
          <w:color w:val="202024"/>
          <w:spacing w:val="7"/>
        </w:rPr>
        <w:t xml:space="preserve"> </w:t>
      </w:r>
      <w:r>
        <w:rPr>
          <w:rFonts w:ascii="Roboto" w:hAnsi="Roboto" w:eastAsia="Roboto" w:cs="Roboto"/>
          <w:color w:val="202024"/>
        </w:rPr>
        <w:t>delayed</w:t>
      </w:r>
      <w:r>
        <w:rPr>
          <w:rFonts w:ascii="Roboto" w:hAnsi="Roboto" w:eastAsia="Roboto" w:cs="Roboto"/>
          <w:color w:val="202024"/>
          <w:spacing w:val="7"/>
        </w:rPr>
        <w:t xml:space="preserve"> </w:t>
      </w:r>
      <w:r>
        <w:rPr>
          <w:rFonts w:ascii="Roboto" w:hAnsi="Roboto" w:eastAsia="Roboto" w:cs="Roboto"/>
          <w:color w:val="202024"/>
        </w:rPr>
        <w:t>tax</w:t>
      </w:r>
      <w:r>
        <w:rPr>
          <w:rFonts w:ascii="Roboto" w:hAnsi="Roboto" w:eastAsia="Roboto" w:cs="Roboto"/>
          <w:color w:val="202024"/>
          <w:spacing w:val="7"/>
        </w:rPr>
        <w:t xml:space="preserve"> </w:t>
      </w:r>
      <w:r>
        <w:rPr>
          <w:rFonts w:ascii="Roboto" w:hAnsi="Roboto" w:eastAsia="Roboto" w:cs="Roboto"/>
          <w:color w:val="202024"/>
        </w:rPr>
        <w:t>policy</w:t>
      </w:r>
      <w:r>
        <w:rPr>
          <w:rFonts w:ascii="Roboto" w:hAnsi="Roboto" w:eastAsia="Roboto" w:cs="Roboto"/>
          <w:color w:val="202024"/>
          <w:spacing w:val="7"/>
        </w:rPr>
        <w:t xml:space="preserve"> </w:t>
      </w:r>
      <w:r>
        <w:rPr>
          <w:rFonts w:ascii="Roboto" w:hAnsi="Roboto" w:eastAsia="Roboto" w:cs="Roboto"/>
          <w:color w:val="202024"/>
        </w:rPr>
        <w:t>and</w:t>
      </w:r>
      <w:r>
        <w:rPr>
          <w:rFonts w:ascii="Roboto" w:hAnsi="Roboto" w:eastAsia="Roboto" w:cs="Roboto"/>
          <w:color w:val="202024"/>
          <w:spacing w:val="7"/>
        </w:rPr>
        <w:t xml:space="preserve"> </w:t>
      </w:r>
      <w:r>
        <w:rPr>
          <w:rFonts w:ascii="Roboto" w:hAnsi="Roboto" w:eastAsia="Roboto" w:cs="Roboto"/>
          <w:color w:val="202024"/>
        </w:rPr>
        <w:t>tax</w:t>
      </w:r>
      <w:r>
        <w:rPr>
          <w:rFonts w:ascii="Roboto" w:hAnsi="Roboto" w:eastAsia="Roboto" w:cs="Roboto"/>
          <w:color w:val="202024"/>
          <w:spacing w:val="7"/>
        </w:rPr>
        <w:t xml:space="preserve"> </w:t>
      </w:r>
      <w:r>
        <w:rPr>
          <w:rFonts w:ascii="Roboto" w:hAnsi="Roboto" w:eastAsia="Roboto" w:cs="Roboto"/>
          <w:color w:val="202024"/>
        </w:rPr>
        <w:t>law</w:t>
      </w:r>
      <w:r>
        <w:rPr>
          <w:rFonts w:ascii="Roboto" w:hAnsi="Roboto" w:eastAsia="Roboto" w:cs="Roboto"/>
          <w:color w:val="202024"/>
          <w:spacing w:val="1"/>
        </w:rPr>
        <w:t xml:space="preserve"> </w:t>
      </w:r>
      <w:r>
        <w:rPr>
          <w:rFonts w:ascii="Roboto" w:hAnsi="Roboto" w:eastAsia="Roboto" w:cs="Roboto"/>
          <w:color w:val="202024"/>
        </w:rPr>
        <w:t>reform</w:t>
      </w:r>
      <w:r>
        <w:rPr>
          <w:rFonts w:ascii="Roboto" w:hAnsi="Roboto" w:eastAsia="Roboto" w:cs="Roboto"/>
          <w:color w:val="202024"/>
          <w:spacing w:val="8"/>
        </w:rPr>
        <w:t xml:space="preserve"> </w:t>
      </w:r>
      <w:r>
        <w:rPr>
          <w:rFonts w:ascii="Roboto" w:hAnsi="Roboto" w:eastAsia="Roboto" w:cs="Roboto"/>
          <w:color w:val="202024"/>
        </w:rPr>
        <w:t>in</w:t>
      </w:r>
      <w:r>
        <w:rPr>
          <w:rFonts w:ascii="Roboto" w:hAnsi="Roboto" w:eastAsia="Roboto" w:cs="Roboto"/>
          <w:color w:val="202024"/>
          <w:spacing w:val="9"/>
        </w:rPr>
        <w:t xml:space="preserve"> </w:t>
      </w:r>
      <w:r>
        <w:rPr>
          <w:rFonts w:ascii="Roboto" w:hAnsi="Roboto" w:eastAsia="Roboto" w:cs="Roboto"/>
          <w:color w:val="202024"/>
        </w:rPr>
        <w:t>achieving</w:t>
      </w:r>
      <w:r>
        <w:rPr>
          <w:rFonts w:ascii="Roboto" w:hAnsi="Roboto" w:eastAsia="Roboto" w:cs="Roboto"/>
          <w:color w:val="202024"/>
          <w:spacing w:val="8"/>
        </w:rPr>
        <w:t xml:space="preserve"> </w:t>
      </w:r>
      <w:r>
        <w:rPr>
          <w:rFonts w:ascii="Roboto" w:hAnsi="Roboto" w:eastAsia="Roboto" w:cs="Roboto"/>
          <w:color w:val="202024"/>
        </w:rPr>
        <w:t>clarity,</w:t>
      </w:r>
      <w:r>
        <w:rPr>
          <w:rFonts w:ascii="Roboto" w:hAnsi="Roboto" w:eastAsia="Roboto" w:cs="Roboto"/>
          <w:color w:val="202024"/>
          <w:spacing w:val="9"/>
        </w:rPr>
        <w:t xml:space="preserve"> </w:t>
      </w:r>
      <w:r>
        <w:rPr>
          <w:rFonts w:ascii="Roboto" w:hAnsi="Roboto" w:eastAsia="Roboto" w:cs="Roboto"/>
          <w:color w:val="202024"/>
        </w:rPr>
        <w:t>certainty</w:t>
      </w:r>
      <w:r>
        <w:rPr>
          <w:rFonts w:ascii="Roboto" w:hAnsi="Roboto" w:eastAsia="Roboto" w:cs="Roboto"/>
          <w:color w:val="202024"/>
          <w:spacing w:val="8"/>
        </w:rPr>
        <w:t xml:space="preserve"> </w:t>
      </w:r>
      <w:r>
        <w:rPr>
          <w:rFonts w:ascii="Roboto" w:hAnsi="Roboto" w:eastAsia="Roboto" w:cs="Roboto"/>
          <w:color w:val="202024"/>
        </w:rPr>
        <w:t>and</w:t>
      </w:r>
      <w:r>
        <w:rPr>
          <w:rFonts w:ascii="Roboto" w:hAnsi="Roboto" w:eastAsia="Roboto" w:cs="Roboto"/>
          <w:color w:val="202024"/>
          <w:spacing w:val="9"/>
        </w:rPr>
        <w:t xml:space="preserve"> </w:t>
      </w:r>
      <w:r>
        <w:rPr>
          <w:rFonts w:ascii="Roboto" w:hAnsi="Roboto" w:eastAsia="Roboto" w:cs="Roboto"/>
          <w:color w:val="202024"/>
        </w:rPr>
        <w:t>consistent</w:t>
      </w:r>
      <w:r>
        <w:rPr>
          <w:rFonts w:ascii="Roboto" w:hAnsi="Roboto" w:eastAsia="Roboto" w:cs="Roboto"/>
          <w:color w:val="202024"/>
          <w:spacing w:val="8"/>
        </w:rPr>
        <w:t xml:space="preserve"> </w:t>
      </w:r>
      <w:r>
        <w:rPr>
          <w:rFonts w:ascii="Roboto" w:hAnsi="Roboto" w:eastAsia="Roboto" w:cs="Roboto"/>
          <w:color w:val="202024"/>
        </w:rPr>
        <w:t>understanding</w:t>
      </w:r>
      <w:r>
        <w:rPr>
          <w:rFonts w:ascii="Roboto" w:hAnsi="Roboto" w:eastAsia="Roboto" w:cs="Roboto"/>
          <w:color w:val="202024"/>
          <w:spacing w:val="9"/>
        </w:rPr>
        <w:t xml:space="preserve"> </w:t>
      </w:r>
      <w:r>
        <w:rPr>
          <w:rFonts w:ascii="Roboto" w:hAnsi="Roboto" w:eastAsia="Roboto" w:cs="Roboto"/>
          <w:color w:val="202024"/>
        </w:rPr>
        <w:t>of</w:t>
      </w:r>
      <w:r>
        <w:rPr>
          <w:rFonts w:ascii="Roboto" w:hAnsi="Roboto" w:eastAsia="Roboto" w:cs="Roboto"/>
          <w:color w:val="202024"/>
          <w:spacing w:val="1"/>
        </w:rPr>
        <w:t xml:space="preserve"> </w:t>
      </w:r>
      <w:r>
        <w:rPr>
          <w:rFonts w:ascii="Roboto" w:hAnsi="Roboto" w:eastAsia="Roboto" w:cs="Roboto"/>
          <w:color w:val="202024"/>
        </w:rPr>
        <w:t>upstream</w:t>
      </w:r>
      <w:r>
        <w:rPr>
          <w:rFonts w:ascii="Roboto" w:hAnsi="Roboto" w:eastAsia="Roboto" w:cs="Roboto"/>
          <w:color w:val="202024"/>
          <w:spacing w:val="9"/>
        </w:rPr>
        <w:t xml:space="preserve"> </w:t>
      </w:r>
      <w:r>
        <w:rPr>
          <w:rFonts w:ascii="Roboto" w:hAnsi="Roboto" w:eastAsia="Roboto" w:cs="Roboto"/>
          <w:color w:val="202024"/>
        </w:rPr>
        <w:t>oil</w:t>
      </w:r>
      <w:r>
        <w:rPr>
          <w:rFonts w:ascii="Roboto" w:hAnsi="Roboto" w:eastAsia="Roboto" w:cs="Roboto"/>
          <w:color w:val="202024"/>
          <w:spacing w:val="10"/>
        </w:rPr>
        <w:t xml:space="preserve"> </w:t>
      </w:r>
      <w:r>
        <w:rPr>
          <w:rFonts w:ascii="Roboto" w:hAnsi="Roboto" w:eastAsia="Roboto" w:cs="Roboto"/>
          <w:color w:val="202024"/>
        </w:rPr>
        <w:t>and</w:t>
      </w:r>
      <w:r>
        <w:rPr>
          <w:rFonts w:ascii="Roboto" w:hAnsi="Roboto" w:eastAsia="Roboto" w:cs="Roboto"/>
          <w:color w:val="202024"/>
          <w:spacing w:val="10"/>
        </w:rPr>
        <w:t xml:space="preserve"> </w:t>
      </w:r>
      <w:r>
        <w:rPr>
          <w:rFonts w:ascii="Roboto" w:hAnsi="Roboto" w:eastAsia="Roboto" w:cs="Roboto"/>
          <w:color w:val="202024"/>
        </w:rPr>
        <w:t>gas</w:t>
      </w:r>
      <w:r>
        <w:rPr>
          <w:rFonts w:ascii="Roboto" w:hAnsi="Roboto" w:eastAsia="Roboto" w:cs="Roboto"/>
          <w:color w:val="202024"/>
          <w:spacing w:val="10"/>
        </w:rPr>
        <w:t xml:space="preserve"> </w:t>
      </w:r>
      <w:r>
        <w:rPr>
          <w:rFonts w:ascii="Roboto" w:hAnsi="Roboto" w:eastAsia="Roboto" w:cs="Roboto"/>
          <w:color w:val="202024"/>
        </w:rPr>
        <w:t>tax</w:t>
      </w:r>
      <w:r>
        <w:rPr>
          <w:rFonts w:ascii="Roboto" w:hAnsi="Roboto" w:eastAsia="Roboto" w:cs="Roboto"/>
          <w:color w:val="202024"/>
          <w:spacing w:val="10"/>
        </w:rPr>
        <w:t xml:space="preserve"> </w:t>
      </w:r>
      <w:r>
        <w:rPr>
          <w:rFonts w:ascii="Roboto" w:hAnsi="Roboto" w:eastAsia="Roboto" w:cs="Roboto"/>
          <w:color w:val="202024"/>
        </w:rPr>
        <w:t>legislation</w:t>
      </w:r>
      <w:r>
        <w:rPr>
          <w:rFonts w:ascii="Roboto" w:hAnsi="Roboto" w:eastAsia="Roboto" w:cs="Roboto"/>
          <w:color w:val="202024"/>
          <w:spacing w:val="10"/>
        </w:rPr>
        <w:t xml:space="preserve"> </w:t>
      </w:r>
      <w:r>
        <w:rPr>
          <w:rFonts w:ascii="Roboto" w:hAnsi="Roboto" w:eastAsia="Roboto" w:cs="Roboto"/>
          <w:color w:val="202024"/>
        </w:rPr>
        <w:t>interpretation</w:t>
      </w:r>
      <w:r>
        <w:rPr>
          <w:rFonts w:ascii="Roboto" w:hAnsi="Roboto" w:eastAsia="Roboto" w:cs="Roboto"/>
          <w:color w:val="202024"/>
          <w:spacing w:val="10"/>
        </w:rPr>
        <w:t xml:space="preserve"> </w:t>
      </w:r>
      <w:r>
        <w:rPr>
          <w:rFonts w:ascii="Roboto" w:hAnsi="Roboto" w:eastAsia="Roboto" w:cs="Roboto"/>
          <w:color w:val="202024"/>
        </w:rPr>
        <w:t>and</w:t>
      </w:r>
      <w:r>
        <w:rPr>
          <w:rFonts w:ascii="Roboto" w:hAnsi="Roboto" w:eastAsia="Roboto" w:cs="Roboto"/>
          <w:color w:val="202024"/>
          <w:spacing w:val="10"/>
        </w:rPr>
        <w:t xml:space="preserve"> </w:t>
      </w:r>
      <w:r>
        <w:rPr>
          <w:rFonts w:ascii="Roboto" w:hAnsi="Roboto" w:eastAsia="Roboto" w:cs="Roboto"/>
          <w:color w:val="202024"/>
        </w:rPr>
        <w:t>administration.</w:t>
      </w:r>
    </w:p>
    <w:p w14:paraId="3D7714AB">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1C60C05C">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46C053E7">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7765" w:space="1032"/>
            <w:col w:w="783"/>
          </w:cols>
        </w:sectPr>
      </w:pPr>
    </w:p>
    <w:p w14:paraId="5B5F8D86">
      <w:pPr>
        <w:widowControl w:val="0"/>
        <w:autoSpaceDE w:val="0"/>
        <w:autoSpaceDN w:val="0"/>
        <w:spacing w:before="9"/>
        <w:rPr>
          <w:rFonts w:ascii="Lucida Sans Unicode" w:hAnsi="Roboto" w:eastAsia="Roboto" w:cs="Roboto"/>
          <w:sz w:val="21"/>
          <w:szCs w:val="21"/>
        </w:rPr>
      </w:pPr>
    </w:p>
    <w:p w14:paraId="7BC527E4">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40</w:t>
      </w:r>
    </w:p>
    <w:p w14:paraId="55984A57">
      <w:pPr>
        <w:widowControl w:val="0"/>
        <w:autoSpaceDE w:val="0"/>
        <w:autoSpaceDN w:val="0"/>
        <w:rPr>
          <w:rFonts w:ascii="Arial MT" w:hAnsi="Roboto" w:eastAsia="Roboto" w:cs="Roboto"/>
          <w:sz w:val="20"/>
          <w:szCs w:val="21"/>
        </w:rPr>
      </w:pPr>
    </w:p>
    <w:p w14:paraId="4E68D6D4">
      <w:pPr>
        <w:widowControl w:val="0"/>
        <w:autoSpaceDE w:val="0"/>
        <w:autoSpaceDN w:val="0"/>
        <w:spacing w:before="4"/>
        <w:rPr>
          <w:rFonts w:ascii="Arial MT" w:hAnsi="Roboto" w:eastAsia="Roboto" w:cs="Roboto"/>
          <w:sz w:val="20"/>
          <w:szCs w:val="21"/>
        </w:rPr>
      </w:pPr>
    </w:p>
    <w:p w14:paraId="27065A16">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699200" behindDoc="0" locked="0" layoutInCell="1" allowOverlap="1">
                <wp:simplePos x="0" y="0"/>
                <wp:positionH relativeFrom="page">
                  <wp:posOffset>5638800</wp:posOffset>
                </wp:positionH>
                <wp:positionV relativeFrom="paragraph">
                  <wp:posOffset>-148590</wp:posOffset>
                </wp:positionV>
                <wp:extent cx="638175" cy="1490980"/>
                <wp:effectExtent l="0" t="0" r="0" b="0"/>
                <wp:wrapNone/>
                <wp:docPr id="824932283" name="Text Box 80"/>
                <wp:cNvGraphicFramePr/>
                <a:graphic xmlns:a="http://schemas.openxmlformats.org/drawingml/2006/main">
                  <a:graphicData uri="http://schemas.microsoft.com/office/word/2010/wordprocessingShape">
                    <wps:wsp>
                      <wps:cNvSpPr txBox="1">
                        <a:spLocks noChangeArrowheads="1"/>
                      </wps:cNvSpPr>
                      <wps:spPr bwMode="auto">
                        <a:xfrm>
                          <a:off x="0" y="0"/>
                          <a:ext cx="638175" cy="1490980"/>
                        </a:xfrm>
                        <a:prstGeom prst="rect">
                          <a:avLst/>
                        </a:prstGeom>
                        <a:solidFill>
                          <a:srgbClr val="663AB6"/>
                        </a:solidFill>
                        <a:ln>
                          <a:noFill/>
                        </a:ln>
                        <a:effectLst/>
                      </wps:spPr>
                      <wps:txbx>
                        <w:txbxContent>
                          <w:p w14:paraId="467BFC68">
                            <w:pPr>
                              <w:spacing w:line="168" w:lineRule="exact"/>
                              <w:rPr>
                                <w:rFonts w:ascii="Arial MT"/>
                                <w:sz w:val="18"/>
                              </w:rPr>
                            </w:pPr>
                            <w:r>
                              <w:rPr>
                                <w:rFonts w:ascii="Arial MT"/>
                                <w:color w:val="FFFFFF"/>
                                <w:sz w:val="18"/>
                              </w:rPr>
                              <w:t>36 (48%)</w:t>
                            </w:r>
                          </w:p>
                        </w:txbxContent>
                      </wps:txbx>
                      <wps:bodyPr rot="0" vert="horz" wrap="square" lIns="0" tIns="0" rIns="0" bIns="0" anchor="t" anchorCtr="0" upright="1">
                        <a:noAutofit/>
                      </wps:bodyPr>
                    </wps:wsp>
                  </a:graphicData>
                </a:graphic>
              </wp:anchor>
            </w:drawing>
          </mc:Choice>
          <mc:Fallback>
            <w:pict>
              <v:shape id="Text Box 80" o:spid="_x0000_s1026" o:spt="202" type="#_x0000_t202" style="position:absolute;left:0pt;margin-left:444pt;margin-top:-11.7pt;height:117.4pt;width:50.25pt;mso-position-horizontal-relative:page;z-index:251699200;mso-width-relative:page;mso-height-relative:page;" fillcolor="#663AB6" filled="t" stroked="f" coordsize="21600,21600" o:gfxdata="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c/34&#10;2QAAAAsBAAAPAAAAAAAAAAEAIAAAACIAAABkcnMvZG93bnJldi54bWxQSwECFAAUAAAACACHTuJA&#10;X2VvQCACAABEBAAADgAAAAAAAAABACAAAAAoAQAAZHJzL2Uyb0RvYy54bWxQSwUGAAAAAAYABgBZ&#10;AQAAugUAAAAA&#10;">
                <v:fill on="t" focussize="0,0"/>
                <v:stroke on="f"/>
                <v:imagedata o:title=""/>
                <o:lock v:ext="edit" aspectratio="f"/>
                <v:textbox inset="0mm,0mm,0mm,0mm">
                  <w:txbxContent>
                    <w:p w14:paraId="467BFC68">
                      <w:pPr>
                        <w:spacing w:line="168" w:lineRule="exact"/>
                        <w:rPr>
                          <w:rFonts w:ascii="Arial MT"/>
                          <w:sz w:val="18"/>
                        </w:rPr>
                      </w:pPr>
                      <w:r>
                        <w:rPr>
                          <w:rFonts w:ascii="Arial MT"/>
                          <w:color w:val="FFFFFF"/>
                          <w:sz w:val="18"/>
                        </w:rPr>
                        <w:t>36 (48%)</w:t>
                      </w:r>
                    </w:p>
                  </w:txbxContent>
                </v:textbox>
              </v:shape>
            </w:pict>
          </mc:Fallback>
        </mc:AlternateContent>
      </w:r>
      <w:r>
        <w:rPr>
          <w:rFonts w:ascii="Arial MT" w:hAnsi="Roboto" w:eastAsia="Roboto" w:cs="Roboto"/>
          <w:color w:val="444444"/>
          <w:sz w:val="18"/>
          <w:szCs w:val="22"/>
        </w:rPr>
        <w:t>30</w:t>
      </w:r>
    </w:p>
    <w:p w14:paraId="39BAB404">
      <w:pPr>
        <w:widowControl w:val="0"/>
        <w:autoSpaceDE w:val="0"/>
        <w:autoSpaceDN w:val="0"/>
        <w:rPr>
          <w:rFonts w:ascii="Arial MT" w:hAnsi="Roboto" w:eastAsia="Roboto" w:cs="Roboto"/>
          <w:sz w:val="20"/>
          <w:szCs w:val="21"/>
        </w:rPr>
      </w:pPr>
    </w:p>
    <w:p w14:paraId="4A98D5DE">
      <w:pPr>
        <w:widowControl w:val="0"/>
        <w:autoSpaceDE w:val="0"/>
        <w:autoSpaceDN w:val="0"/>
        <w:spacing w:before="4"/>
        <w:rPr>
          <w:rFonts w:ascii="Arial MT" w:hAnsi="Roboto" w:eastAsia="Roboto" w:cs="Roboto"/>
          <w:sz w:val="20"/>
          <w:szCs w:val="21"/>
        </w:rPr>
      </w:pPr>
    </w:p>
    <w:p w14:paraId="64518C60">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00224" behindDoc="0" locked="0" layoutInCell="1" allowOverlap="1">
                <wp:simplePos x="0" y="0"/>
                <wp:positionH relativeFrom="page">
                  <wp:posOffset>4610100</wp:posOffset>
                </wp:positionH>
                <wp:positionV relativeFrom="paragraph">
                  <wp:posOffset>-94615</wp:posOffset>
                </wp:positionV>
                <wp:extent cx="638175" cy="1009650"/>
                <wp:effectExtent l="0" t="0" r="0" b="0"/>
                <wp:wrapNone/>
                <wp:docPr id="378088492" name="Text Box 79"/>
                <wp:cNvGraphicFramePr/>
                <a:graphic xmlns:a="http://schemas.openxmlformats.org/drawingml/2006/main">
                  <a:graphicData uri="http://schemas.microsoft.com/office/word/2010/wordprocessingShape">
                    <wps:wsp>
                      <wps:cNvSpPr txBox="1">
                        <a:spLocks noChangeArrowheads="1"/>
                      </wps:cNvSpPr>
                      <wps:spPr bwMode="auto">
                        <a:xfrm>
                          <a:off x="0" y="0"/>
                          <a:ext cx="638175" cy="1009650"/>
                        </a:xfrm>
                        <a:prstGeom prst="rect">
                          <a:avLst/>
                        </a:prstGeom>
                        <a:solidFill>
                          <a:srgbClr val="663AB6"/>
                        </a:solidFill>
                        <a:ln>
                          <a:noFill/>
                        </a:ln>
                        <a:effectLst/>
                      </wps:spPr>
                      <wps:txbx>
                        <w:txbxContent>
                          <w:p w14:paraId="0F0D6ED2">
                            <w:pPr>
                              <w:spacing w:before="14"/>
                              <w:rPr>
                                <w:rFonts w:ascii="Arial MT"/>
                                <w:sz w:val="18"/>
                              </w:rPr>
                            </w:pPr>
                            <w:r>
                              <w:rPr>
                                <w:rFonts w:ascii="Arial MT"/>
                                <w:color w:val="FFFFFF"/>
                                <w:sz w:val="18"/>
                              </w:rPr>
                              <w:t>24 (32%)</w:t>
                            </w:r>
                          </w:p>
                        </w:txbxContent>
                      </wps:txbx>
                      <wps:bodyPr rot="0" vert="horz" wrap="square" lIns="0" tIns="0" rIns="0" bIns="0" anchor="t" anchorCtr="0" upright="1">
                        <a:noAutofit/>
                      </wps:bodyPr>
                    </wps:wsp>
                  </a:graphicData>
                </a:graphic>
              </wp:anchor>
            </w:drawing>
          </mc:Choice>
          <mc:Fallback>
            <w:pict>
              <v:shape id="Text Box 79" o:spid="_x0000_s1026" o:spt="202" type="#_x0000_t202" style="position:absolute;left:0pt;margin-left:363pt;margin-top:-7.45pt;height:79.5pt;width:50.25pt;mso-position-horizontal-relative:page;z-index:251700224;mso-width-relative:page;mso-height-relative:page;" fillcolor="#663AB6" filled="t" stroked="f" coordsize="21600,21600" o:gfxdata="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lPQ&#10;eNgAAAALAQAADwAAAAAAAAABACAAAAAiAAAAZHJzL2Rvd25yZXYueG1sUEsBAhQAFAAAAAgAh07i&#10;QIFupaAiAgAARAQAAA4AAAAAAAAAAQAgAAAAJwEAAGRycy9lMm9Eb2MueG1sUEsFBgAAAAAGAAYA&#10;WQEAALsFAAAAAA==&#10;">
                <v:fill on="t" focussize="0,0"/>
                <v:stroke on="f"/>
                <v:imagedata o:title=""/>
                <o:lock v:ext="edit" aspectratio="f"/>
                <v:textbox inset="0mm,0mm,0mm,0mm">
                  <w:txbxContent>
                    <w:p w14:paraId="0F0D6ED2">
                      <w:pPr>
                        <w:spacing w:before="14"/>
                        <w:rPr>
                          <w:rFonts w:ascii="Arial MT"/>
                          <w:sz w:val="18"/>
                        </w:rPr>
                      </w:pPr>
                      <w:r>
                        <w:rPr>
                          <w:rFonts w:ascii="Arial MT"/>
                          <w:color w:val="FFFFFF"/>
                          <w:sz w:val="18"/>
                        </w:rPr>
                        <w:t>24 (32%)</w:t>
                      </w:r>
                    </w:p>
                  </w:txbxContent>
                </v:textbox>
              </v:shape>
            </w:pict>
          </mc:Fallback>
        </mc:AlternateContent>
      </w:r>
      <w:r>
        <w:rPr>
          <w:rFonts w:ascii="Arial MT" w:hAnsi="Roboto" w:eastAsia="Roboto" w:cs="Roboto"/>
          <w:color w:val="444444"/>
          <w:sz w:val="18"/>
          <w:szCs w:val="22"/>
        </w:rPr>
        <w:t>20</w:t>
      </w:r>
    </w:p>
    <w:p w14:paraId="278319D7">
      <w:pPr>
        <w:widowControl w:val="0"/>
        <w:autoSpaceDE w:val="0"/>
        <w:autoSpaceDN w:val="0"/>
        <w:rPr>
          <w:rFonts w:ascii="Arial MT" w:hAnsi="Roboto" w:eastAsia="Roboto" w:cs="Roboto"/>
          <w:sz w:val="20"/>
          <w:szCs w:val="21"/>
        </w:rPr>
      </w:pPr>
    </w:p>
    <w:p w14:paraId="6B831436">
      <w:pPr>
        <w:widowControl w:val="0"/>
        <w:autoSpaceDE w:val="0"/>
        <w:autoSpaceDN w:val="0"/>
        <w:rPr>
          <w:rFonts w:ascii="Arial MT" w:hAnsi="Roboto" w:eastAsia="Roboto" w:cs="Roboto"/>
          <w:sz w:val="20"/>
          <w:szCs w:val="22"/>
        </w:rPr>
        <w:sectPr>
          <w:type w:val="continuous"/>
          <w:pgSz w:w="11900" w:h="16840"/>
          <w:pgMar w:top="480" w:right="1280" w:bottom="1680" w:left="1040" w:header="720" w:footer="720" w:gutter="0"/>
          <w:cols w:space="720" w:num="1"/>
        </w:sectPr>
      </w:pPr>
    </w:p>
    <w:p w14:paraId="1EAB43EB">
      <w:pPr>
        <w:widowControl w:val="0"/>
        <w:autoSpaceDE w:val="0"/>
        <w:autoSpaceDN w:val="0"/>
        <w:spacing w:before="4"/>
        <w:rPr>
          <w:rFonts w:ascii="Arial MT" w:hAnsi="Roboto" w:eastAsia="Roboto" w:cs="Roboto"/>
          <w:sz w:val="20"/>
          <w:szCs w:val="21"/>
        </w:rPr>
      </w:pPr>
    </w:p>
    <w:p w14:paraId="2B596238">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10</w:t>
      </w:r>
    </w:p>
    <w:p w14:paraId="1F19BBA3">
      <w:pPr>
        <w:widowControl w:val="0"/>
        <w:autoSpaceDE w:val="0"/>
        <w:autoSpaceDN w:val="0"/>
        <w:spacing w:before="3"/>
        <w:rPr>
          <w:rFonts w:ascii="Arial MT" w:hAnsi="Roboto" w:eastAsia="Roboto" w:cs="Roboto"/>
          <w:sz w:val="16"/>
          <w:szCs w:val="21"/>
        </w:rPr>
      </w:pPr>
    </w:p>
    <w:p w14:paraId="39402605">
      <w:pPr>
        <w:widowControl w:val="0"/>
        <w:autoSpaceDE w:val="0"/>
        <w:autoSpaceDN w:val="0"/>
        <w:ind w:right="20"/>
        <w:jc w:val="center"/>
        <w:rPr>
          <w:rFonts w:ascii="Arial MT" w:hAnsi="Roboto" w:eastAsia="Roboto" w:cs="Roboto"/>
          <w:sz w:val="18"/>
          <w:szCs w:val="22"/>
        </w:rPr>
      </w:pPr>
      <w:r>
        <w:rPr>
          <w:rFonts w:ascii="Arial MT" w:hAnsi="Roboto" w:eastAsia="Roboto" w:cs="Roboto"/>
          <w:color w:val="202024"/>
          <w:sz w:val="18"/>
          <w:szCs w:val="22"/>
        </w:rPr>
        <w:t>0 (0%)</w:t>
      </w:r>
    </w:p>
    <w:p w14:paraId="6CFF646E">
      <w:pPr>
        <w:widowControl w:val="0"/>
        <w:autoSpaceDE w:val="0"/>
        <w:autoSpaceDN w:val="0"/>
        <w:spacing w:before="71"/>
        <w:rPr>
          <w:rFonts w:ascii="Arial MT" w:hAnsi="Roboto" w:eastAsia="Roboto" w:cs="Roboto"/>
          <w:sz w:val="18"/>
          <w:szCs w:val="22"/>
        </w:rPr>
      </w:pPr>
      <w:r>
        <w:rPr>
          <w:rFonts w:ascii="Arial MT" w:hAnsi="Roboto" w:eastAsia="Roboto" w:cs="Roboto"/>
          <w:color w:val="444444"/>
          <w:sz w:val="18"/>
          <w:szCs w:val="22"/>
        </w:rPr>
        <w:t>0</w:t>
      </w:r>
    </w:p>
    <w:p w14:paraId="1CBCCF44">
      <w:pPr>
        <w:widowControl w:val="0"/>
        <w:autoSpaceDE w:val="0"/>
        <w:autoSpaceDN w:val="0"/>
        <w:rPr>
          <w:rFonts w:ascii="Arial MT" w:hAnsi="Roboto" w:eastAsia="Roboto" w:cs="Roboto"/>
          <w:sz w:val="20"/>
          <w:szCs w:val="21"/>
        </w:rPr>
      </w:pPr>
      <w:r>
        <w:rPr>
          <w:rFonts w:ascii="Roboto" w:hAnsi="Roboto" w:eastAsia="Roboto" w:cs="Roboto"/>
          <w:sz w:val="21"/>
          <w:szCs w:val="21"/>
        </w:rPr>
        <w:br w:type="column"/>
      </w:r>
    </w:p>
    <w:p w14:paraId="12682E8F">
      <w:pPr>
        <w:widowControl w:val="0"/>
        <w:autoSpaceDE w:val="0"/>
        <w:autoSpaceDN w:val="0"/>
        <w:rPr>
          <w:rFonts w:ascii="Arial MT" w:hAnsi="Roboto" w:eastAsia="Roboto" w:cs="Roboto"/>
          <w:sz w:val="20"/>
          <w:szCs w:val="21"/>
        </w:rPr>
      </w:pPr>
    </w:p>
    <w:p w14:paraId="41CEE909">
      <w:pPr>
        <w:widowControl w:val="0"/>
        <w:autoSpaceDE w:val="0"/>
        <w:autoSpaceDN w:val="0"/>
        <w:spacing w:before="122"/>
        <w:rPr>
          <w:rFonts w:ascii="Arial MT" w:hAnsi="Roboto" w:eastAsia="Roboto" w:cs="Roboto"/>
          <w:sz w:val="18"/>
          <w:szCs w:val="22"/>
        </w:rPr>
      </w:pPr>
      <w:r>
        <w:rPr>
          <w:rFonts w:ascii="Arial MT" w:hAnsi="Roboto" w:eastAsia="Roboto" w:cs="Roboto"/>
          <w:sz w:val="18"/>
          <w:szCs w:val="22"/>
        </w:rPr>
        <w:t xml:space="preserve">1 </w:t>
      </w:r>
      <w:r>
        <w:rPr>
          <w:rFonts w:ascii="Arial MT" w:hAnsi="Roboto" w:eastAsia="Roboto" w:cs="Roboto"/>
          <w:color w:val="202024"/>
          <w:sz w:val="18"/>
          <w:szCs w:val="22"/>
        </w:rPr>
        <w:t>(1.3%)</w:t>
      </w:r>
    </w:p>
    <w:p w14:paraId="39CEC3E1">
      <w:pPr>
        <w:widowControl w:val="0"/>
        <w:autoSpaceDE w:val="0"/>
        <w:autoSpaceDN w:val="0"/>
        <w:rPr>
          <w:rFonts w:ascii="Arial MT" w:hAnsi="Roboto" w:eastAsia="Roboto" w:cs="Roboto"/>
          <w:sz w:val="18"/>
          <w:szCs w:val="22"/>
        </w:rPr>
        <w:sectPr>
          <w:type w:val="continuous"/>
          <w:pgSz w:w="11900" w:h="16840"/>
          <w:pgMar w:top="480" w:right="1280" w:bottom="1680" w:left="1040" w:header="720" w:footer="720" w:gutter="0"/>
          <w:cols w:equalWidth="0" w:num="2">
            <w:col w:w="2146" w:space="325"/>
            <w:col w:w="7109"/>
          </w:cols>
        </w:sectPr>
      </w:pPr>
    </w:p>
    <w:p w14:paraId="4C3D5EC3">
      <w:pPr>
        <w:widowControl w:val="0"/>
        <w:tabs>
          <w:tab w:val="left" w:pos="3421"/>
          <w:tab w:val="left" w:pos="5044"/>
          <w:tab w:val="left" w:pos="6667"/>
          <w:tab w:val="left" w:pos="8290"/>
        </w:tabs>
        <w:autoSpaceDE w:val="0"/>
        <w:autoSpaceDN w:val="0"/>
        <w:spacing w:line="202" w:lineRule="exact"/>
        <w:rPr>
          <w:rFonts w:ascii="Arial MT" w:hAnsi="Roboto" w:eastAsia="Roboto" w:cs="Roboto"/>
          <w:sz w:val="18"/>
          <w:szCs w:val="22"/>
        </w:rPr>
      </w:pPr>
      <w:r>
        <mc:AlternateContent>
          <mc:Choice Requires="wps">
            <w:drawing>
              <wp:anchor distT="0" distB="0" distL="114300" distR="114300" simplePos="0" relativeHeight="251701248" behindDoc="0" locked="0" layoutInCell="1" allowOverlap="1">
                <wp:simplePos x="0" y="0"/>
                <wp:positionH relativeFrom="page">
                  <wp:posOffset>3581400</wp:posOffset>
                </wp:positionH>
                <wp:positionV relativeFrom="paragraph">
                  <wp:posOffset>-659765</wp:posOffset>
                </wp:positionV>
                <wp:extent cx="628650" cy="590550"/>
                <wp:effectExtent l="0" t="0" r="0" b="0"/>
                <wp:wrapNone/>
                <wp:docPr id="505218699" name="Text Box 78"/>
                <wp:cNvGraphicFramePr/>
                <a:graphic xmlns:a="http://schemas.openxmlformats.org/drawingml/2006/main">
                  <a:graphicData uri="http://schemas.microsoft.com/office/word/2010/wordprocessingShape">
                    <wps:wsp>
                      <wps:cNvSpPr txBox="1">
                        <a:spLocks noChangeArrowheads="1"/>
                      </wps:cNvSpPr>
                      <wps:spPr bwMode="auto">
                        <a:xfrm>
                          <a:off x="0" y="0"/>
                          <a:ext cx="628650" cy="590550"/>
                        </a:xfrm>
                        <a:prstGeom prst="rect">
                          <a:avLst/>
                        </a:prstGeom>
                        <a:solidFill>
                          <a:srgbClr val="663AB6"/>
                        </a:solidFill>
                        <a:ln>
                          <a:noFill/>
                        </a:ln>
                        <a:effectLst/>
                      </wps:spPr>
                      <wps:txbx>
                        <w:txbxContent>
                          <w:p w14:paraId="55C97457">
                            <w:pPr>
                              <w:spacing w:before="14"/>
                              <w:rPr>
                                <w:rFonts w:ascii="Arial MT"/>
                                <w:sz w:val="18"/>
                              </w:rPr>
                            </w:pPr>
                            <w:r>
                              <w:rPr>
                                <w:rFonts w:ascii="Arial MT"/>
                                <w:color w:val="FFFFFF"/>
                                <w:sz w:val="18"/>
                              </w:rPr>
                              <w:t>14 (18.7%)</w:t>
                            </w:r>
                          </w:p>
                        </w:txbxContent>
                      </wps:txbx>
                      <wps:bodyPr rot="0" vert="horz" wrap="square" lIns="0" tIns="0" rIns="0" bIns="0" anchor="t" anchorCtr="0" upright="1">
                        <a:noAutofit/>
                      </wps:bodyPr>
                    </wps:wsp>
                  </a:graphicData>
                </a:graphic>
              </wp:anchor>
            </w:drawing>
          </mc:Choice>
          <mc:Fallback>
            <w:pict>
              <v:shape id="Text Box 78" o:spid="_x0000_s1026" o:spt="202" type="#_x0000_t202" style="position:absolute;left:0pt;margin-left:282pt;margin-top:-51.95pt;height:46.5pt;width:49.5pt;mso-position-horizontal-relative:page;z-index:251701248;mso-width-relative:page;mso-height-relative:page;" fillcolor="#663AB6" filled="t" stroked="f" coordsize="21600,21600" o:gfxdata="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JGMvYAAAA&#10;DAEAAA8AAAAAAAAAAQAgAAAAIgAAAGRycy9kb3ducmV2LnhtbFBLAQIUABQAAAAIAIdO4kAeeCsl&#10;HQIAAEMEAAAOAAAAAAAAAAEAIAAAACcBAABkcnMvZTJvRG9jLnhtbFBLBQYAAAAABgAGAFkBAAC2&#10;BQAAAAA=&#10;">
                <v:fill on="t" focussize="0,0"/>
                <v:stroke on="f"/>
                <v:imagedata o:title=""/>
                <o:lock v:ext="edit" aspectratio="f"/>
                <v:textbox inset="0mm,0mm,0mm,0mm">
                  <w:txbxContent>
                    <w:p w14:paraId="55C97457">
                      <w:pPr>
                        <w:spacing w:before="14"/>
                        <w:rPr>
                          <w:rFonts w:ascii="Arial MT"/>
                          <w:sz w:val="18"/>
                        </w:rPr>
                      </w:pPr>
                      <w:r>
                        <w:rPr>
                          <w:rFonts w:ascii="Arial MT"/>
                          <w:color w:val="FFFFFF"/>
                          <w:sz w:val="18"/>
                        </w:rPr>
                        <w:t>14 (18.7%)</w:t>
                      </w:r>
                    </w:p>
                  </w:txbxContent>
                </v:textbox>
              </v:shape>
            </w:pict>
          </mc:Fallback>
        </mc:AlternateContent>
      </w: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69693860">
      <w:pPr>
        <w:widowControl w:val="0"/>
        <w:autoSpaceDE w:val="0"/>
        <w:autoSpaceDN w:val="0"/>
        <w:spacing w:line="202" w:lineRule="exact"/>
        <w:rPr>
          <w:rFonts w:ascii="Arial MT" w:hAnsi="Roboto" w:eastAsia="Roboto" w:cs="Roboto"/>
          <w:sz w:val="18"/>
          <w:szCs w:val="22"/>
        </w:rPr>
        <w:sectPr>
          <w:type w:val="continuous"/>
          <w:pgSz w:w="11900" w:h="16840"/>
          <w:pgMar w:top="480" w:right="1280" w:bottom="1680" w:left="1040" w:header="720" w:footer="720" w:gutter="0"/>
          <w:cols w:space="720" w:num="1"/>
        </w:sectPr>
      </w:pPr>
    </w:p>
    <w:p w14:paraId="04A4BD67">
      <w:pPr>
        <w:widowControl w:val="0"/>
        <w:autoSpaceDE w:val="0"/>
        <w:autoSpaceDN w:val="0"/>
        <w:spacing w:before="4"/>
        <w:rPr>
          <w:rFonts w:ascii="Arial MT" w:hAnsi="Roboto" w:eastAsia="Roboto" w:cs="Roboto"/>
          <w:sz w:val="17"/>
          <w:szCs w:val="21"/>
        </w:rPr>
      </w:pPr>
      <w:r>
        <mc:AlternateContent>
          <mc:Choice Requires="wpg">
            <w:drawing>
              <wp:anchor distT="0" distB="0" distL="114300" distR="114300" simplePos="0" relativeHeight="251702272" behindDoc="0" locked="0" layoutInCell="1" allowOverlap="1">
                <wp:simplePos x="0" y="0"/>
                <wp:positionH relativeFrom="page">
                  <wp:posOffset>733425</wp:posOffset>
                </wp:positionH>
                <wp:positionV relativeFrom="page">
                  <wp:posOffset>352425</wp:posOffset>
                </wp:positionV>
                <wp:extent cx="6096000" cy="3752850"/>
                <wp:effectExtent l="9525" t="9525" r="0" b="0"/>
                <wp:wrapNone/>
                <wp:docPr id="1642318214" name="Group 247"/>
                <wp:cNvGraphicFramePr/>
                <a:graphic xmlns:a="http://schemas.openxmlformats.org/drawingml/2006/main">
                  <a:graphicData uri="http://schemas.microsoft.com/office/word/2010/wordprocessingGroup">
                    <wpg:wgp>
                      <wpg:cNvGrpSpPr/>
                      <wpg:grpSpPr>
                        <a:xfrm>
                          <a:off x="0" y="0"/>
                          <a:ext cx="6096000" cy="3752850"/>
                          <a:chOff x="1155" y="555"/>
                          <a:chExt cx="9600" cy="5910"/>
                        </a:xfrm>
                        <a:effectLst/>
                      </wpg:grpSpPr>
                      <wps:wsp>
                        <wps:cNvPr id="1401768164" name="Freeform 272"/>
                        <wps:cNvSpPr/>
                        <wps:spPr bwMode="auto">
                          <a:xfrm>
                            <a:off x="1162" y="562"/>
                            <a:ext cx="9585" cy="5895"/>
                          </a:xfrm>
                          <a:custGeom>
                            <a:avLst/>
                            <a:gdLst>
                              <a:gd name="T0" fmla="*/ 0 w 9585"/>
                              <a:gd name="T1" fmla="*/ 675 h 5895"/>
                              <a:gd name="T2" fmla="*/ 1 w 9585"/>
                              <a:gd name="T3" fmla="*/ 660 h 5895"/>
                              <a:gd name="T4" fmla="*/ 4 w 9585"/>
                              <a:gd name="T5" fmla="*/ 646 h 5895"/>
                              <a:gd name="T6" fmla="*/ 9 w 9585"/>
                              <a:gd name="T7" fmla="*/ 632 h 5895"/>
                              <a:gd name="T8" fmla="*/ 15 w 9585"/>
                              <a:gd name="T9" fmla="*/ 619 h 5895"/>
                              <a:gd name="T10" fmla="*/ 24 w 9585"/>
                              <a:gd name="T11" fmla="*/ 606 h 5895"/>
                              <a:gd name="T12" fmla="*/ 33 w 9585"/>
                              <a:gd name="T13" fmla="*/ 595 h 5895"/>
                              <a:gd name="T14" fmla="*/ 44 w 9585"/>
                              <a:gd name="T15" fmla="*/ 586 h 5895"/>
                              <a:gd name="T16" fmla="*/ 57 w 9585"/>
                              <a:gd name="T17" fmla="*/ 577 h 5895"/>
                              <a:gd name="T18" fmla="*/ 98 w 9585"/>
                              <a:gd name="T19" fmla="*/ 563 h 5895"/>
                              <a:gd name="T20" fmla="*/ 113 w 9585"/>
                              <a:gd name="T21" fmla="*/ 562 h 5895"/>
                              <a:gd name="T22" fmla="*/ 9480 w 9585"/>
                              <a:gd name="T23" fmla="*/ 562 h 5895"/>
                              <a:gd name="T24" fmla="*/ 9495 w 9585"/>
                              <a:gd name="T25" fmla="*/ 565 h 5895"/>
                              <a:gd name="T26" fmla="*/ 9509 w 9585"/>
                              <a:gd name="T27" fmla="*/ 568 h 5895"/>
                              <a:gd name="T28" fmla="*/ 9523 w 9585"/>
                              <a:gd name="T29" fmla="*/ 574 h 5895"/>
                              <a:gd name="T30" fmla="*/ 9535 w 9585"/>
                              <a:gd name="T31" fmla="*/ 581 h 5895"/>
                              <a:gd name="T32" fmla="*/ 9547 w 9585"/>
                              <a:gd name="T33" fmla="*/ 590 h 5895"/>
                              <a:gd name="T34" fmla="*/ 9558 w 9585"/>
                              <a:gd name="T35" fmla="*/ 601 h 5895"/>
                              <a:gd name="T36" fmla="*/ 9567 w 9585"/>
                              <a:gd name="T37" fmla="*/ 612 h 5895"/>
                              <a:gd name="T38" fmla="*/ 9583 w 9585"/>
                              <a:gd name="T39" fmla="*/ 653 h 5895"/>
                              <a:gd name="T40" fmla="*/ 9585 w 9585"/>
                              <a:gd name="T41" fmla="*/ 668 h 5895"/>
                              <a:gd name="T42" fmla="*/ 9585 w 9585"/>
                              <a:gd name="T43" fmla="*/ 6345 h 5895"/>
                              <a:gd name="T44" fmla="*/ 9585 w 9585"/>
                              <a:gd name="T45" fmla="*/ 6360 h 5895"/>
                              <a:gd name="T46" fmla="*/ 9582 w 9585"/>
                              <a:gd name="T47" fmla="*/ 6374 h 5895"/>
                              <a:gd name="T48" fmla="*/ 9577 w 9585"/>
                              <a:gd name="T49" fmla="*/ 6388 h 5895"/>
                              <a:gd name="T50" fmla="*/ 9571 w 9585"/>
                              <a:gd name="T51" fmla="*/ 6401 h 5895"/>
                              <a:gd name="T52" fmla="*/ 9562 w 9585"/>
                              <a:gd name="T53" fmla="*/ 6414 h 5895"/>
                              <a:gd name="T54" fmla="*/ 9553 w 9585"/>
                              <a:gd name="T55" fmla="*/ 6425 h 5895"/>
                              <a:gd name="T56" fmla="*/ 9542 w 9585"/>
                              <a:gd name="T57" fmla="*/ 6434 h 5895"/>
                              <a:gd name="T58" fmla="*/ 9529 w 9585"/>
                              <a:gd name="T59" fmla="*/ 6443 h 5895"/>
                              <a:gd name="T60" fmla="*/ 9516 w 9585"/>
                              <a:gd name="T61" fmla="*/ 6449 h 5895"/>
                              <a:gd name="T62" fmla="*/ 9502 w 9585"/>
                              <a:gd name="T63" fmla="*/ 6454 h 5895"/>
                              <a:gd name="T64" fmla="*/ 9488 w 9585"/>
                              <a:gd name="T65" fmla="*/ 6457 h 5895"/>
                              <a:gd name="T66" fmla="*/ 9473 w 9585"/>
                              <a:gd name="T67" fmla="*/ 6457 h 5895"/>
                              <a:gd name="T68" fmla="*/ 70 w 9585"/>
                              <a:gd name="T69" fmla="*/ 6449 h 5895"/>
                              <a:gd name="T70" fmla="*/ 57 w 9585"/>
                              <a:gd name="T71" fmla="*/ 6443 h 5895"/>
                              <a:gd name="T72" fmla="*/ 44 w 9585"/>
                              <a:gd name="T73" fmla="*/ 6434 h 5895"/>
                              <a:gd name="T74" fmla="*/ 33 w 9585"/>
                              <a:gd name="T75" fmla="*/ 6425 h 5895"/>
                              <a:gd name="T76" fmla="*/ 9 w 9585"/>
                              <a:gd name="T77" fmla="*/ 6388 h 5895"/>
                              <a:gd name="T78" fmla="*/ 4 w 9585"/>
                              <a:gd name="T79" fmla="*/ 6374 h 5895"/>
                              <a:gd name="T80" fmla="*/ 1 w 9585"/>
                              <a:gd name="T81" fmla="*/ 6360 h 5895"/>
                              <a:gd name="T82" fmla="*/ 0 w 9585"/>
                              <a:gd name="T83" fmla="*/ 6345 h 589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9585" h="5895">
                                <a:moveTo>
                                  <a:pt x="0" y="5783"/>
                                </a:moveTo>
                                <a:lnTo>
                                  <a:pt x="0" y="113"/>
                                </a:lnTo>
                                <a:lnTo>
                                  <a:pt x="0" y="106"/>
                                </a:lnTo>
                                <a:lnTo>
                                  <a:pt x="1" y="98"/>
                                </a:lnTo>
                                <a:lnTo>
                                  <a:pt x="3" y="91"/>
                                </a:lnTo>
                                <a:lnTo>
                                  <a:pt x="4" y="84"/>
                                </a:lnTo>
                                <a:lnTo>
                                  <a:pt x="6" y="77"/>
                                </a:lnTo>
                                <a:lnTo>
                                  <a:pt x="9" y="70"/>
                                </a:lnTo>
                                <a:lnTo>
                                  <a:pt x="12" y="63"/>
                                </a:lnTo>
                                <a:lnTo>
                                  <a:pt x="15" y="57"/>
                                </a:lnTo>
                                <a:lnTo>
                                  <a:pt x="19" y="50"/>
                                </a:lnTo>
                                <a:lnTo>
                                  <a:pt x="24" y="44"/>
                                </a:lnTo>
                                <a:lnTo>
                                  <a:pt x="28" y="39"/>
                                </a:lnTo>
                                <a:lnTo>
                                  <a:pt x="33" y="33"/>
                                </a:lnTo>
                                <a:lnTo>
                                  <a:pt x="39" y="28"/>
                                </a:lnTo>
                                <a:lnTo>
                                  <a:pt x="44" y="24"/>
                                </a:lnTo>
                                <a:lnTo>
                                  <a:pt x="50" y="19"/>
                                </a:lnTo>
                                <a:lnTo>
                                  <a:pt x="57" y="15"/>
                                </a:lnTo>
                                <a:lnTo>
                                  <a:pt x="91" y="3"/>
                                </a:lnTo>
                                <a:lnTo>
                                  <a:pt x="98" y="1"/>
                                </a:lnTo>
                                <a:lnTo>
                                  <a:pt x="106" y="0"/>
                                </a:lnTo>
                                <a:lnTo>
                                  <a:pt x="113" y="0"/>
                                </a:lnTo>
                                <a:lnTo>
                                  <a:pt x="9473" y="0"/>
                                </a:lnTo>
                                <a:lnTo>
                                  <a:pt x="9480" y="0"/>
                                </a:lnTo>
                                <a:lnTo>
                                  <a:pt x="9488" y="1"/>
                                </a:lnTo>
                                <a:lnTo>
                                  <a:pt x="9495" y="3"/>
                                </a:lnTo>
                                <a:lnTo>
                                  <a:pt x="9502" y="4"/>
                                </a:lnTo>
                                <a:lnTo>
                                  <a:pt x="9509" y="6"/>
                                </a:lnTo>
                                <a:lnTo>
                                  <a:pt x="9516" y="9"/>
                                </a:lnTo>
                                <a:lnTo>
                                  <a:pt x="9523" y="12"/>
                                </a:lnTo>
                                <a:lnTo>
                                  <a:pt x="9529" y="15"/>
                                </a:lnTo>
                                <a:lnTo>
                                  <a:pt x="9535" y="19"/>
                                </a:lnTo>
                                <a:lnTo>
                                  <a:pt x="9542" y="24"/>
                                </a:lnTo>
                                <a:lnTo>
                                  <a:pt x="9547" y="28"/>
                                </a:lnTo>
                                <a:lnTo>
                                  <a:pt x="9553" y="33"/>
                                </a:lnTo>
                                <a:lnTo>
                                  <a:pt x="9558" y="39"/>
                                </a:lnTo>
                                <a:lnTo>
                                  <a:pt x="9562" y="44"/>
                                </a:lnTo>
                                <a:lnTo>
                                  <a:pt x="9567" y="50"/>
                                </a:lnTo>
                                <a:lnTo>
                                  <a:pt x="9571" y="57"/>
                                </a:lnTo>
                                <a:lnTo>
                                  <a:pt x="9583" y="91"/>
                                </a:lnTo>
                                <a:lnTo>
                                  <a:pt x="9585" y="98"/>
                                </a:lnTo>
                                <a:lnTo>
                                  <a:pt x="9585" y="106"/>
                                </a:lnTo>
                                <a:lnTo>
                                  <a:pt x="9585" y="113"/>
                                </a:lnTo>
                                <a:lnTo>
                                  <a:pt x="9585" y="5783"/>
                                </a:lnTo>
                                <a:lnTo>
                                  <a:pt x="9585" y="5790"/>
                                </a:lnTo>
                                <a:lnTo>
                                  <a:pt x="9585" y="5798"/>
                                </a:lnTo>
                                <a:lnTo>
                                  <a:pt x="9583" y="5805"/>
                                </a:lnTo>
                                <a:lnTo>
                                  <a:pt x="9582" y="5812"/>
                                </a:lnTo>
                                <a:lnTo>
                                  <a:pt x="9580" y="5819"/>
                                </a:lnTo>
                                <a:lnTo>
                                  <a:pt x="9577" y="5826"/>
                                </a:lnTo>
                                <a:lnTo>
                                  <a:pt x="9574" y="5833"/>
                                </a:lnTo>
                                <a:lnTo>
                                  <a:pt x="9571" y="5839"/>
                                </a:lnTo>
                                <a:lnTo>
                                  <a:pt x="9567" y="5845"/>
                                </a:lnTo>
                                <a:lnTo>
                                  <a:pt x="9562" y="5852"/>
                                </a:lnTo>
                                <a:lnTo>
                                  <a:pt x="9558" y="5857"/>
                                </a:lnTo>
                                <a:lnTo>
                                  <a:pt x="9553" y="5863"/>
                                </a:lnTo>
                                <a:lnTo>
                                  <a:pt x="9547" y="5868"/>
                                </a:lnTo>
                                <a:lnTo>
                                  <a:pt x="9542" y="5872"/>
                                </a:lnTo>
                                <a:lnTo>
                                  <a:pt x="9535" y="5877"/>
                                </a:lnTo>
                                <a:lnTo>
                                  <a:pt x="9529" y="5881"/>
                                </a:lnTo>
                                <a:lnTo>
                                  <a:pt x="9523" y="5884"/>
                                </a:lnTo>
                                <a:lnTo>
                                  <a:pt x="9516" y="5887"/>
                                </a:lnTo>
                                <a:lnTo>
                                  <a:pt x="9509" y="5890"/>
                                </a:lnTo>
                                <a:lnTo>
                                  <a:pt x="9502" y="5892"/>
                                </a:lnTo>
                                <a:lnTo>
                                  <a:pt x="9495" y="5893"/>
                                </a:lnTo>
                                <a:lnTo>
                                  <a:pt x="9488" y="5895"/>
                                </a:lnTo>
                                <a:lnTo>
                                  <a:pt x="9480" y="5895"/>
                                </a:lnTo>
                                <a:lnTo>
                                  <a:pt x="9473" y="5895"/>
                                </a:lnTo>
                                <a:lnTo>
                                  <a:pt x="113" y="5895"/>
                                </a:lnTo>
                                <a:lnTo>
                                  <a:pt x="70" y="5887"/>
                                </a:lnTo>
                                <a:lnTo>
                                  <a:pt x="63" y="5884"/>
                                </a:lnTo>
                                <a:lnTo>
                                  <a:pt x="57" y="5881"/>
                                </a:lnTo>
                                <a:lnTo>
                                  <a:pt x="50" y="5877"/>
                                </a:lnTo>
                                <a:lnTo>
                                  <a:pt x="44" y="5872"/>
                                </a:lnTo>
                                <a:lnTo>
                                  <a:pt x="39" y="5868"/>
                                </a:lnTo>
                                <a:lnTo>
                                  <a:pt x="33" y="5863"/>
                                </a:lnTo>
                                <a:lnTo>
                                  <a:pt x="28" y="5857"/>
                                </a:lnTo>
                                <a:lnTo>
                                  <a:pt x="9" y="5826"/>
                                </a:lnTo>
                                <a:lnTo>
                                  <a:pt x="6" y="5819"/>
                                </a:lnTo>
                                <a:lnTo>
                                  <a:pt x="4" y="5812"/>
                                </a:lnTo>
                                <a:lnTo>
                                  <a:pt x="3" y="5805"/>
                                </a:lnTo>
                                <a:lnTo>
                                  <a:pt x="1" y="5798"/>
                                </a:lnTo>
                                <a:lnTo>
                                  <a:pt x="0" y="5790"/>
                                </a:lnTo>
                                <a:lnTo>
                                  <a:pt x="0" y="5783"/>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1457555488" name="Picture 27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90"/>
                            <a:ext cx="255" cy="300"/>
                          </a:xfrm>
                          <a:prstGeom prst="rect">
                            <a:avLst/>
                          </a:prstGeom>
                          <a:noFill/>
                          <a:ln>
                            <a:noFill/>
                          </a:ln>
                          <a:effectLst/>
                        </pic:spPr>
                      </pic:pic>
                      <wps:wsp>
                        <wps:cNvPr id="7281370" name="Rectangle 270"/>
                        <wps:cNvSpPr>
                          <a:spLocks noChangeArrowheads="1"/>
                        </wps:cNvSpPr>
                        <wps:spPr bwMode="auto">
                          <a:xfrm>
                            <a:off x="2070" y="3000"/>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237854322" name="AutoShape 269"/>
                        <wps:cNvSpPr/>
                        <wps:spPr bwMode="auto">
                          <a:xfrm>
                            <a:off x="2069" y="3000"/>
                            <a:ext cx="8130" cy="2700"/>
                          </a:xfrm>
                          <a:custGeom>
                            <a:avLst/>
                            <a:gdLst>
                              <a:gd name="T0" fmla="*/ 3570 w 8130"/>
                              <a:gd name="T1" fmla="*/ 4785 h 2700"/>
                              <a:gd name="T2" fmla="*/ 0 w 8130"/>
                              <a:gd name="T3" fmla="*/ 4785 h 2700"/>
                              <a:gd name="T4" fmla="*/ 0 w 8130"/>
                              <a:gd name="T5" fmla="*/ 4800 h 2700"/>
                              <a:gd name="T6" fmla="*/ 3570 w 8130"/>
                              <a:gd name="T7" fmla="*/ 4800 h 2700"/>
                              <a:gd name="T8" fmla="*/ 3570 w 8130"/>
                              <a:gd name="T9" fmla="*/ 4785 h 2700"/>
                              <a:gd name="T10" fmla="*/ 5190 w 8130"/>
                              <a:gd name="T11" fmla="*/ 4785 h 2700"/>
                              <a:gd name="T12" fmla="*/ 4560 w 8130"/>
                              <a:gd name="T13" fmla="*/ 4785 h 2700"/>
                              <a:gd name="T14" fmla="*/ 4560 w 8130"/>
                              <a:gd name="T15" fmla="*/ 4800 h 2700"/>
                              <a:gd name="T16" fmla="*/ 5190 w 8130"/>
                              <a:gd name="T17" fmla="*/ 4800 h 2700"/>
                              <a:gd name="T18" fmla="*/ 5190 w 8130"/>
                              <a:gd name="T19" fmla="*/ 4785 h 2700"/>
                              <a:gd name="T20" fmla="*/ 5190 w 8130"/>
                              <a:gd name="T21" fmla="*/ 3900 h 2700"/>
                              <a:gd name="T22" fmla="*/ 0 w 8130"/>
                              <a:gd name="T23" fmla="*/ 3900 h 2700"/>
                              <a:gd name="T24" fmla="*/ 0 w 8130"/>
                              <a:gd name="T25" fmla="*/ 3915 h 2700"/>
                              <a:gd name="T26" fmla="*/ 5190 w 8130"/>
                              <a:gd name="T27" fmla="*/ 3915 h 2700"/>
                              <a:gd name="T28" fmla="*/ 5190 w 8130"/>
                              <a:gd name="T29" fmla="*/ 3900 h 2700"/>
                              <a:gd name="T30" fmla="*/ 6810 w 8130"/>
                              <a:gd name="T31" fmla="*/ 4785 h 2700"/>
                              <a:gd name="T32" fmla="*/ 6195 w 8130"/>
                              <a:gd name="T33" fmla="*/ 4785 h 2700"/>
                              <a:gd name="T34" fmla="*/ 6195 w 8130"/>
                              <a:gd name="T35" fmla="*/ 4800 h 2700"/>
                              <a:gd name="T36" fmla="*/ 6810 w 8130"/>
                              <a:gd name="T37" fmla="*/ 4800 h 2700"/>
                              <a:gd name="T38" fmla="*/ 6810 w 8130"/>
                              <a:gd name="T39" fmla="*/ 4785 h 2700"/>
                              <a:gd name="T40" fmla="*/ 6810 w 8130"/>
                              <a:gd name="T41" fmla="*/ 3900 h 2700"/>
                              <a:gd name="T42" fmla="*/ 6195 w 8130"/>
                              <a:gd name="T43" fmla="*/ 3900 h 2700"/>
                              <a:gd name="T44" fmla="*/ 6195 w 8130"/>
                              <a:gd name="T45" fmla="*/ 3915 h 2700"/>
                              <a:gd name="T46" fmla="*/ 6810 w 8130"/>
                              <a:gd name="T47" fmla="*/ 3915 h 2700"/>
                              <a:gd name="T48" fmla="*/ 6810 w 8130"/>
                              <a:gd name="T49" fmla="*/ 3900 h 2700"/>
                              <a:gd name="T50" fmla="*/ 8130 w 8130"/>
                              <a:gd name="T51" fmla="*/ 5685 h 2700"/>
                              <a:gd name="T52" fmla="*/ 0 w 8130"/>
                              <a:gd name="T53" fmla="*/ 5685 h 2700"/>
                              <a:gd name="T54" fmla="*/ 0 w 8130"/>
                              <a:gd name="T55" fmla="*/ 5700 h 2700"/>
                              <a:gd name="T56" fmla="*/ 8130 w 8130"/>
                              <a:gd name="T57" fmla="*/ 5700 h 2700"/>
                              <a:gd name="T58" fmla="*/ 8130 w 8130"/>
                              <a:gd name="T59" fmla="*/ 5685 h 2700"/>
                              <a:gd name="T60" fmla="*/ 8130 w 8130"/>
                              <a:gd name="T61" fmla="*/ 4785 h 2700"/>
                              <a:gd name="T62" fmla="*/ 7815 w 8130"/>
                              <a:gd name="T63" fmla="*/ 4785 h 2700"/>
                              <a:gd name="T64" fmla="*/ 7815 w 8130"/>
                              <a:gd name="T65" fmla="*/ 4800 h 2700"/>
                              <a:gd name="T66" fmla="*/ 8130 w 8130"/>
                              <a:gd name="T67" fmla="*/ 4800 h 2700"/>
                              <a:gd name="T68" fmla="*/ 8130 w 8130"/>
                              <a:gd name="T69" fmla="*/ 4785 h 2700"/>
                              <a:gd name="T70" fmla="*/ 8130 w 8130"/>
                              <a:gd name="T71" fmla="*/ 3900 h 2700"/>
                              <a:gd name="T72" fmla="*/ 7815 w 8130"/>
                              <a:gd name="T73" fmla="*/ 3900 h 2700"/>
                              <a:gd name="T74" fmla="*/ 7815 w 8130"/>
                              <a:gd name="T75" fmla="*/ 3915 h 2700"/>
                              <a:gd name="T76" fmla="*/ 8130 w 8130"/>
                              <a:gd name="T77" fmla="*/ 3915 h 2700"/>
                              <a:gd name="T78" fmla="*/ 8130 w 8130"/>
                              <a:gd name="T79" fmla="*/ 3900 h 2700"/>
                              <a:gd name="T80" fmla="*/ 8130 w 8130"/>
                              <a:gd name="T81" fmla="*/ 3000 h 2700"/>
                              <a:gd name="T82" fmla="*/ 0 w 8130"/>
                              <a:gd name="T83" fmla="*/ 3000 h 2700"/>
                              <a:gd name="T84" fmla="*/ 0 w 8130"/>
                              <a:gd name="T85" fmla="*/ 3015 h 2700"/>
                              <a:gd name="T86" fmla="*/ 8130 w 8130"/>
                              <a:gd name="T87" fmla="*/ 3015 h 2700"/>
                              <a:gd name="T88" fmla="*/ 8130 w 8130"/>
                              <a:gd name="T89" fmla="*/ 3000 h 27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130" h="2700">
                                <a:moveTo>
                                  <a:pt x="3570" y="1785"/>
                                </a:moveTo>
                                <a:lnTo>
                                  <a:pt x="0" y="1785"/>
                                </a:lnTo>
                                <a:lnTo>
                                  <a:pt x="0" y="1800"/>
                                </a:lnTo>
                                <a:lnTo>
                                  <a:pt x="3570" y="1800"/>
                                </a:lnTo>
                                <a:lnTo>
                                  <a:pt x="3570" y="1785"/>
                                </a:lnTo>
                                <a:close/>
                                <a:moveTo>
                                  <a:pt x="5190" y="1785"/>
                                </a:moveTo>
                                <a:lnTo>
                                  <a:pt x="4560" y="1785"/>
                                </a:lnTo>
                                <a:lnTo>
                                  <a:pt x="4560" y="1800"/>
                                </a:lnTo>
                                <a:lnTo>
                                  <a:pt x="5190" y="1800"/>
                                </a:lnTo>
                                <a:lnTo>
                                  <a:pt x="5190" y="1785"/>
                                </a:lnTo>
                                <a:close/>
                                <a:moveTo>
                                  <a:pt x="5190" y="900"/>
                                </a:moveTo>
                                <a:lnTo>
                                  <a:pt x="0" y="900"/>
                                </a:lnTo>
                                <a:lnTo>
                                  <a:pt x="0" y="915"/>
                                </a:lnTo>
                                <a:lnTo>
                                  <a:pt x="5190" y="915"/>
                                </a:lnTo>
                                <a:lnTo>
                                  <a:pt x="5190" y="900"/>
                                </a:lnTo>
                                <a:close/>
                                <a:moveTo>
                                  <a:pt x="6810" y="1785"/>
                                </a:moveTo>
                                <a:lnTo>
                                  <a:pt x="6195" y="1785"/>
                                </a:lnTo>
                                <a:lnTo>
                                  <a:pt x="6195" y="1800"/>
                                </a:lnTo>
                                <a:lnTo>
                                  <a:pt x="6810" y="1800"/>
                                </a:lnTo>
                                <a:lnTo>
                                  <a:pt x="6810" y="1785"/>
                                </a:lnTo>
                                <a:close/>
                                <a:moveTo>
                                  <a:pt x="6810" y="900"/>
                                </a:moveTo>
                                <a:lnTo>
                                  <a:pt x="6195" y="900"/>
                                </a:lnTo>
                                <a:lnTo>
                                  <a:pt x="6195" y="915"/>
                                </a:lnTo>
                                <a:lnTo>
                                  <a:pt x="6810" y="915"/>
                                </a:lnTo>
                                <a:lnTo>
                                  <a:pt x="6810" y="900"/>
                                </a:lnTo>
                                <a:close/>
                                <a:moveTo>
                                  <a:pt x="8130" y="2685"/>
                                </a:moveTo>
                                <a:lnTo>
                                  <a:pt x="0" y="2685"/>
                                </a:lnTo>
                                <a:lnTo>
                                  <a:pt x="0" y="2700"/>
                                </a:lnTo>
                                <a:lnTo>
                                  <a:pt x="8130" y="2700"/>
                                </a:lnTo>
                                <a:lnTo>
                                  <a:pt x="8130" y="2685"/>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954237163" name="AutoShape 268"/>
                        <wps:cNvSpPr/>
                        <wps:spPr bwMode="auto">
                          <a:xfrm>
                            <a:off x="2069" y="3450"/>
                            <a:ext cx="8130" cy="1800"/>
                          </a:xfrm>
                          <a:custGeom>
                            <a:avLst/>
                            <a:gdLst>
                              <a:gd name="T0" fmla="*/ 1935 w 8130"/>
                              <a:gd name="T1" fmla="*/ 5235 h 1800"/>
                              <a:gd name="T2" fmla="*/ 0 w 8130"/>
                              <a:gd name="T3" fmla="*/ 5235 h 1800"/>
                              <a:gd name="T4" fmla="*/ 0 w 8130"/>
                              <a:gd name="T5" fmla="*/ 5250 h 1800"/>
                              <a:gd name="T6" fmla="*/ 1935 w 8130"/>
                              <a:gd name="T7" fmla="*/ 5250 h 1800"/>
                              <a:gd name="T8" fmla="*/ 1935 w 8130"/>
                              <a:gd name="T9" fmla="*/ 5235 h 1800"/>
                              <a:gd name="T10" fmla="*/ 3570 w 8130"/>
                              <a:gd name="T11" fmla="*/ 5235 h 1800"/>
                              <a:gd name="T12" fmla="*/ 2940 w 8130"/>
                              <a:gd name="T13" fmla="*/ 5235 h 1800"/>
                              <a:gd name="T14" fmla="*/ 2940 w 8130"/>
                              <a:gd name="T15" fmla="*/ 5250 h 1800"/>
                              <a:gd name="T16" fmla="*/ 3570 w 8130"/>
                              <a:gd name="T17" fmla="*/ 5250 h 1800"/>
                              <a:gd name="T18" fmla="*/ 3570 w 8130"/>
                              <a:gd name="T19" fmla="*/ 5235 h 1800"/>
                              <a:gd name="T20" fmla="*/ 3570 w 8130"/>
                              <a:gd name="T21" fmla="*/ 4350 h 1800"/>
                              <a:gd name="T22" fmla="*/ 0 w 8130"/>
                              <a:gd name="T23" fmla="*/ 4350 h 1800"/>
                              <a:gd name="T24" fmla="*/ 0 w 8130"/>
                              <a:gd name="T25" fmla="*/ 4365 h 1800"/>
                              <a:gd name="T26" fmla="*/ 3570 w 8130"/>
                              <a:gd name="T27" fmla="*/ 4365 h 1800"/>
                              <a:gd name="T28" fmla="*/ 3570 w 8130"/>
                              <a:gd name="T29" fmla="*/ 4350 h 1800"/>
                              <a:gd name="T30" fmla="*/ 5190 w 8130"/>
                              <a:gd name="T31" fmla="*/ 5235 h 1800"/>
                              <a:gd name="T32" fmla="*/ 4560 w 8130"/>
                              <a:gd name="T33" fmla="*/ 5235 h 1800"/>
                              <a:gd name="T34" fmla="*/ 4560 w 8130"/>
                              <a:gd name="T35" fmla="*/ 5250 h 1800"/>
                              <a:gd name="T36" fmla="*/ 5190 w 8130"/>
                              <a:gd name="T37" fmla="*/ 5250 h 1800"/>
                              <a:gd name="T38" fmla="*/ 5190 w 8130"/>
                              <a:gd name="T39" fmla="*/ 5235 h 1800"/>
                              <a:gd name="T40" fmla="*/ 5190 w 8130"/>
                              <a:gd name="T41" fmla="*/ 4350 h 1800"/>
                              <a:gd name="T42" fmla="*/ 4560 w 8130"/>
                              <a:gd name="T43" fmla="*/ 4350 h 1800"/>
                              <a:gd name="T44" fmla="*/ 4560 w 8130"/>
                              <a:gd name="T45" fmla="*/ 4365 h 1800"/>
                              <a:gd name="T46" fmla="*/ 5190 w 8130"/>
                              <a:gd name="T47" fmla="*/ 4365 h 1800"/>
                              <a:gd name="T48" fmla="*/ 5190 w 8130"/>
                              <a:gd name="T49" fmla="*/ 4350 h 1800"/>
                              <a:gd name="T50" fmla="*/ 5190 w 8130"/>
                              <a:gd name="T51" fmla="*/ 3450 h 1800"/>
                              <a:gd name="T52" fmla="*/ 0 w 8130"/>
                              <a:gd name="T53" fmla="*/ 3450 h 1800"/>
                              <a:gd name="T54" fmla="*/ 0 w 8130"/>
                              <a:gd name="T55" fmla="*/ 3465 h 1800"/>
                              <a:gd name="T56" fmla="*/ 5190 w 8130"/>
                              <a:gd name="T57" fmla="*/ 3465 h 1800"/>
                              <a:gd name="T58" fmla="*/ 5190 w 8130"/>
                              <a:gd name="T59" fmla="*/ 3450 h 1800"/>
                              <a:gd name="T60" fmla="*/ 6810 w 8130"/>
                              <a:gd name="T61" fmla="*/ 5235 h 1800"/>
                              <a:gd name="T62" fmla="*/ 6195 w 8130"/>
                              <a:gd name="T63" fmla="*/ 5235 h 1800"/>
                              <a:gd name="T64" fmla="*/ 6195 w 8130"/>
                              <a:gd name="T65" fmla="*/ 5250 h 1800"/>
                              <a:gd name="T66" fmla="*/ 6810 w 8130"/>
                              <a:gd name="T67" fmla="*/ 5250 h 1800"/>
                              <a:gd name="T68" fmla="*/ 6810 w 8130"/>
                              <a:gd name="T69" fmla="*/ 5235 h 1800"/>
                              <a:gd name="T70" fmla="*/ 6810 w 8130"/>
                              <a:gd name="T71" fmla="*/ 4350 h 1800"/>
                              <a:gd name="T72" fmla="*/ 6195 w 8130"/>
                              <a:gd name="T73" fmla="*/ 4350 h 1800"/>
                              <a:gd name="T74" fmla="*/ 6195 w 8130"/>
                              <a:gd name="T75" fmla="*/ 4365 h 1800"/>
                              <a:gd name="T76" fmla="*/ 6810 w 8130"/>
                              <a:gd name="T77" fmla="*/ 4365 h 1800"/>
                              <a:gd name="T78" fmla="*/ 6810 w 8130"/>
                              <a:gd name="T79" fmla="*/ 4350 h 1800"/>
                              <a:gd name="T80" fmla="*/ 8130 w 8130"/>
                              <a:gd name="T81" fmla="*/ 5235 h 1800"/>
                              <a:gd name="T82" fmla="*/ 7815 w 8130"/>
                              <a:gd name="T83" fmla="*/ 5235 h 1800"/>
                              <a:gd name="T84" fmla="*/ 7815 w 8130"/>
                              <a:gd name="T85" fmla="*/ 5250 h 1800"/>
                              <a:gd name="T86" fmla="*/ 8130 w 8130"/>
                              <a:gd name="T87" fmla="*/ 5250 h 1800"/>
                              <a:gd name="T88" fmla="*/ 8130 w 8130"/>
                              <a:gd name="T89" fmla="*/ 5235 h 1800"/>
                              <a:gd name="T90" fmla="*/ 8130 w 8130"/>
                              <a:gd name="T91" fmla="*/ 4350 h 1800"/>
                              <a:gd name="T92" fmla="*/ 7815 w 8130"/>
                              <a:gd name="T93" fmla="*/ 4350 h 1800"/>
                              <a:gd name="T94" fmla="*/ 7815 w 8130"/>
                              <a:gd name="T95" fmla="*/ 4365 h 1800"/>
                              <a:gd name="T96" fmla="*/ 8130 w 8130"/>
                              <a:gd name="T97" fmla="*/ 4365 h 1800"/>
                              <a:gd name="T98" fmla="*/ 8130 w 8130"/>
                              <a:gd name="T99" fmla="*/ 4350 h 1800"/>
                              <a:gd name="T100" fmla="*/ 8130 w 8130"/>
                              <a:gd name="T101" fmla="*/ 3450 h 1800"/>
                              <a:gd name="T102" fmla="*/ 6195 w 8130"/>
                              <a:gd name="T103" fmla="*/ 3450 h 1800"/>
                              <a:gd name="T104" fmla="*/ 6195 w 8130"/>
                              <a:gd name="T105" fmla="*/ 3465 h 1800"/>
                              <a:gd name="T106" fmla="*/ 8130 w 8130"/>
                              <a:gd name="T107" fmla="*/ 3465 h 1800"/>
                              <a:gd name="T108" fmla="*/ 8130 w 8130"/>
                              <a:gd name="T109" fmla="*/ 3450 h 18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1800">
                                <a:moveTo>
                                  <a:pt x="1935" y="1785"/>
                                </a:moveTo>
                                <a:lnTo>
                                  <a:pt x="0" y="1785"/>
                                </a:lnTo>
                                <a:lnTo>
                                  <a:pt x="0" y="1800"/>
                                </a:lnTo>
                                <a:lnTo>
                                  <a:pt x="1935" y="1800"/>
                                </a:lnTo>
                                <a:lnTo>
                                  <a:pt x="1935" y="1785"/>
                                </a:lnTo>
                                <a:close/>
                                <a:moveTo>
                                  <a:pt x="3570" y="1785"/>
                                </a:moveTo>
                                <a:lnTo>
                                  <a:pt x="2940" y="1785"/>
                                </a:lnTo>
                                <a:lnTo>
                                  <a:pt x="2940" y="1800"/>
                                </a:lnTo>
                                <a:lnTo>
                                  <a:pt x="3570" y="1800"/>
                                </a:lnTo>
                                <a:lnTo>
                                  <a:pt x="3570" y="1785"/>
                                </a:lnTo>
                                <a:close/>
                                <a:moveTo>
                                  <a:pt x="3570" y="900"/>
                                </a:moveTo>
                                <a:lnTo>
                                  <a:pt x="0" y="900"/>
                                </a:lnTo>
                                <a:lnTo>
                                  <a:pt x="0" y="915"/>
                                </a:lnTo>
                                <a:lnTo>
                                  <a:pt x="3570" y="915"/>
                                </a:lnTo>
                                <a:lnTo>
                                  <a:pt x="3570" y="900"/>
                                </a:lnTo>
                                <a:close/>
                                <a:moveTo>
                                  <a:pt x="5190" y="1785"/>
                                </a:moveTo>
                                <a:lnTo>
                                  <a:pt x="4560" y="1785"/>
                                </a:lnTo>
                                <a:lnTo>
                                  <a:pt x="4560" y="1800"/>
                                </a:lnTo>
                                <a:lnTo>
                                  <a:pt x="5190" y="1800"/>
                                </a:lnTo>
                                <a:lnTo>
                                  <a:pt x="5190" y="1785"/>
                                </a:lnTo>
                                <a:close/>
                                <a:moveTo>
                                  <a:pt x="5190" y="900"/>
                                </a:moveTo>
                                <a:lnTo>
                                  <a:pt x="4560" y="900"/>
                                </a:lnTo>
                                <a:lnTo>
                                  <a:pt x="4560" y="915"/>
                                </a:lnTo>
                                <a:lnTo>
                                  <a:pt x="5190" y="915"/>
                                </a:lnTo>
                                <a:lnTo>
                                  <a:pt x="5190" y="900"/>
                                </a:lnTo>
                                <a:close/>
                                <a:moveTo>
                                  <a:pt x="5190" y="0"/>
                                </a:moveTo>
                                <a:lnTo>
                                  <a:pt x="0" y="0"/>
                                </a:lnTo>
                                <a:lnTo>
                                  <a:pt x="0" y="15"/>
                                </a:lnTo>
                                <a:lnTo>
                                  <a:pt x="5190" y="15"/>
                                </a:lnTo>
                                <a:lnTo>
                                  <a:pt x="5190" y="0"/>
                                </a:lnTo>
                                <a:close/>
                                <a:moveTo>
                                  <a:pt x="6810" y="1785"/>
                                </a:moveTo>
                                <a:lnTo>
                                  <a:pt x="6195" y="1785"/>
                                </a:lnTo>
                                <a:lnTo>
                                  <a:pt x="6195" y="1800"/>
                                </a:lnTo>
                                <a:lnTo>
                                  <a:pt x="6810" y="1800"/>
                                </a:lnTo>
                                <a:lnTo>
                                  <a:pt x="6810" y="1785"/>
                                </a:lnTo>
                                <a:close/>
                                <a:moveTo>
                                  <a:pt x="6810" y="900"/>
                                </a:moveTo>
                                <a:lnTo>
                                  <a:pt x="6195" y="900"/>
                                </a:lnTo>
                                <a:lnTo>
                                  <a:pt x="6195" y="915"/>
                                </a:lnTo>
                                <a:lnTo>
                                  <a:pt x="6810" y="915"/>
                                </a:lnTo>
                                <a:lnTo>
                                  <a:pt x="6810" y="900"/>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6195" y="0"/>
                                </a:lnTo>
                                <a:lnTo>
                                  <a:pt x="6195"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164734328" name="Rectangle 267"/>
                        <wps:cNvSpPr>
                          <a:spLocks noChangeArrowheads="1"/>
                        </wps:cNvSpPr>
                        <wps:spPr bwMode="auto">
                          <a:xfrm>
                            <a:off x="2385" y="5685"/>
                            <a:ext cx="1005" cy="8"/>
                          </a:xfrm>
                          <a:prstGeom prst="rect">
                            <a:avLst/>
                          </a:prstGeom>
                          <a:solidFill>
                            <a:srgbClr val="663AB6"/>
                          </a:solidFill>
                          <a:ln>
                            <a:noFill/>
                          </a:ln>
                          <a:effectLst/>
                        </wps:spPr>
                        <wps:bodyPr rot="0" vert="horz" wrap="square" lIns="91440" tIns="45720" rIns="91440" bIns="45720" anchor="t" anchorCtr="0" upright="1">
                          <a:noAutofit/>
                        </wps:bodyPr>
                      </wps:wsp>
                      <wps:wsp>
                        <wps:cNvPr id="2135400410" name="Rectangle 266"/>
                        <wps:cNvSpPr>
                          <a:spLocks noChangeArrowheads="1"/>
                        </wps:cNvSpPr>
                        <wps:spPr bwMode="auto">
                          <a:xfrm>
                            <a:off x="2070" y="5685"/>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252554429" name="Rectangle 265"/>
                        <wps:cNvSpPr>
                          <a:spLocks noChangeArrowheads="1"/>
                        </wps:cNvSpPr>
                        <wps:spPr bwMode="auto">
                          <a:xfrm>
                            <a:off x="2880" y="5505"/>
                            <a:ext cx="15" cy="180"/>
                          </a:xfrm>
                          <a:prstGeom prst="rect">
                            <a:avLst/>
                          </a:prstGeom>
                          <a:solidFill>
                            <a:srgbClr val="999999"/>
                          </a:solidFill>
                          <a:ln>
                            <a:noFill/>
                          </a:ln>
                          <a:effectLst/>
                        </wps:spPr>
                        <wps:bodyPr rot="0" vert="horz" wrap="square" lIns="91440" tIns="45720" rIns="91440" bIns="45720" anchor="t" anchorCtr="0" upright="1">
                          <a:noAutofit/>
                        </wps:bodyPr>
                      </wps:wsp>
                      <wps:wsp>
                        <wps:cNvPr id="309172576" name="AutoShape 264"/>
                        <wps:cNvSpPr/>
                        <wps:spPr bwMode="auto">
                          <a:xfrm>
                            <a:off x="2622" y="5346"/>
                            <a:ext cx="517" cy="169"/>
                          </a:xfrm>
                          <a:custGeom>
                            <a:avLst/>
                            <a:gdLst>
                              <a:gd name="T0" fmla="*/ 8 w 517"/>
                              <a:gd name="T1" fmla="*/ 5368 h 169"/>
                              <a:gd name="T2" fmla="*/ 42 w 517"/>
                              <a:gd name="T3" fmla="*/ 5348 h 169"/>
                              <a:gd name="T4" fmla="*/ 70 w 517"/>
                              <a:gd name="T5" fmla="*/ 5359 h 169"/>
                              <a:gd name="T6" fmla="*/ 83 w 517"/>
                              <a:gd name="T7" fmla="*/ 5391 h 169"/>
                              <a:gd name="T8" fmla="*/ 80 w 517"/>
                              <a:gd name="T9" fmla="*/ 5451 h 169"/>
                              <a:gd name="T10" fmla="*/ 52 w 517"/>
                              <a:gd name="T11" fmla="*/ 5480 h 169"/>
                              <a:gd name="T12" fmla="*/ 8 w 517"/>
                              <a:gd name="T13" fmla="*/ 5457 h 169"/>
                              <a:gd name="T14" fmla="*/ 17 w 517"/>
                              <a:gd name="T15" fmla="*/ 5429 h 169"/>
                              <a:gd name="T16" fmla="*/ 35 w 517"/>
                              <a:gd name="T17" fmla="*/ 5467 h 169"/>
                              <a:gd name="T18" fmla="*/ 64 w 517"/>
                              <a:gd name="T19" fmla="*/ 5450 h 169"/>
                              <a:gd name="T20" fmla="*/ 66 w 517"/>
                              <a:gd name="T21" fmla="*/ 5388 h 169"/>
                              <a:gd name="T22" fmla="*/ 42 w 517"/>
                              <a:gd name="T23" fmla="*/ 5362 h 169"/>
                              <a:gd name="T24" fmla="*/ 19 w 517"/>
                              <a:gd name="T25" fmla="*/ 5388 h 169"/>
                              <a:gd name="T26" fmla="*/ 173 w 517"/>
                              <a:gd name="T27" fmla="*/ 5498 h 169"/>
                              <a:gd name="T28" fmla="*/ 155 w 517"/>
                              <a:gd name="T29" fmla="*/ 5443 h 169"/>
                              <a:gd name="T30" fmla="*/ 161 w 517"/>
                              <a:gd name="T31" fmla="*/ 5391 h 169"/>
                              <a:gd name="T32" fmla="*/ 196 w 517"/>
                              <a:gd name="T33" fmla="*/ 5347 h 169"/>
                              <a:gd name="T34" fmla="*/ 176 w 517"/>
                              <a:gd name="T35" fmla="*/ 5389 h 169"/>
                              <a:gd name="T36" fmla="*/ 172 w 517"/>
                              <a:gd name="T37" fmla="*/ 5452 h 169"/>
                              <a:gd name="T38" fmla="*/ 210 w 517"/>
                              <a:gd name="T39" fmla="*/ 5414 h 169"/>
                              <a:gd name="T40" fmla="*/ 223 w 517"/>
                              <a:gd name="T41" fmla="*/ 5361 h 169"/>
                              <a:gd name="T42" fmla="*/ 259 w 517"/>
                              <a:gd name="T43" fmla="*/ 5348 h 169"/>
                              <a:gd name="T44" fmla="*/ 284 w 517"/>
                              <a:gd name="T45" fmla="*/ 5365 h 169"/>
                              <a:gd name="T46" fmla="*/ 294 w 517"/>
                              <a:gd name="T47" fmla="*/ 5401 h 169"/>
                              <a:gd name="T48" fmla="*/ 287 w 517"/>
                              <a:gd name="T49" fmla="*/ 5460 h 169"/>
                              <a:gd name="T50" fmla="*/ 252 w 517"/>
                              <a:gd name="T51" fmla="*/ 5480 h 169"/>
                              <a:gd name="T52" fmla="*/ 214 w 517"/>
                              <a:gd name="T53" fmla="*/ 5446 h 169"/>
                              <a:gd name="T54" fmla="*/ 229 w 517"/>
                              <a:gd name="T55" fmla="*/ 5441 h 169"/>
                              <a:gd name="T56" fmla="*/ 252 w 517"/>
                              <a:gd name="T57" fmla="*/ 5467 h 169"/>
                              <a:gd name="T58" fmla="*/ 276 w 517"/>
                              <a:gd name="T59" fmla="*/ 5441 h 169"/>
                              <a:gd name="T60" fmla="*/ 274 w 517"/>
                              <a:gd name="T61" fmla="*/ 5379 h 169"/>
                              <a:gd name="T62" fmla="*/ 245 w 517"/>
                              <a:gd name="T63" fmla="*/ 5362 h 169"/>
                              <a:gd name="T64" fmla="*/ 227 w 517"/>
                              <a:gd name="T65" fmla="*/ 5400 h 169"/>
                              <a:gd name="T66" fmla="*/ 320 w 517"/>
                              <a:gd name="T67" fmla="*/ 5356 h 169"/>
                              <a:gd name="T68" fmla="*/ 355 w 517"/>
                              <a:gd name="T69" fmla="*/ 5350 h 169"/>
                              <a:gd name="T70" fmla="*/ 369 w 517"/>
                              <a:gd name="T71" fmla="*/ 5392 h 169"/>
                              <a:gd name="T72" fmla="*/ 341 w 517"/>
                              <a:gd name="T73" fmla="*/ 5415 h 169"/>
                              <a:gd name="T74" fmla="*/ 314 w 517"/>
                              <a:gd name="T75" fmla="*/ 5392 h 169"/>
                              <a:gd name="T76" fmla="*/ 331 w 517"/>
                              <a:gd name="T77" fmla="*/ 5363 h 169"/>
                              <a:gd name="T78" fmla="*/ 329 w 517"/>
                              <a:gd name="T79" fmla="*/ 5396 h 169"/>
                              <a:gd name="T80" fmla="*/ 345 w 517"/>
                              <a:gd name="T81" fmla="*/ 5404 h 169"/>
                              <a:gd name="T82" fmla="*/ 355 w 517"/>
                              <a:gd name="T83" fmla="*/ 5380 h 169"/>
                              <a:gd name="T84" fmla="*/ 345 w 517"/>
                              <a:gd name="T85" fmla="*/ 5358 h 169"/>
                              <a:gd name="T86" fmla="*/ 354 w 517"/>
                              <a:gd name="T87" fmla="*/ 5483 h 169"/>
                              <a:gd name="T88" fmla="*/ 404 w 517"/>
                              <a:gd name="T89" fmla="*/ 5424 h 169"/>
                              <a:gd name="T90" fmla="*/ 439 w 517"/>
                              <a:gd name="T91" fmla="*/ 5417 h 169"/>
                              <a:gd name="T92" fmla="*/ 452 w 517"/>
                              <a:gd name="T93" fmla="*/ 5459 h 169"/>
                              <a:gd name="T94" fmla="*/ 424 w 517"/>
                              <a:gd name="T95" fmla="*/ 5483 h 169"/>
                              <a:gd name="T96" fmla="*/ 397 w 517"/>
                              <a:gd name="T97" fmla="*/ 5459 h 169"/>
                              <a:gd name="T98" fmla="*/ 415 w 517"/>
                              <a:gd name="T99" fmla="*/ 5430 h 169"/>
                              <a:gd name="T100" fmla="*/ 412 w 517"/>
                              <a:gd name="T101" fmla="*/ 5463 h 169"/>
                              <a:gd name="T102" fmla="*/ 428 w 517"/>
                              <a:gd name="T103" fmla="*/ 5472 h 169"/>
                              <a:gd name="T104" fmla="*/ 438 w 517"/>
                              <a:gd name="T105" fmla="*/ 5448 h 169"/>
                              <a:gd name="T106" fmla="*/ 428 w 517"/>
                              <a:gd name="T107" fmla="*/ 5425 h 169"/>
                              <a:gd name="T108" fmla="*/ 494 w 517"/>
                              <a:gd name="T109" fmla="*/ 5473 h 169"/>
                              <a:gd name="T110" fmla="*/ 497 w 517"/>
                              <a:gd name="T111" fmla="*/ 5398 h 169"/>
                              <a:gd name="T112" fmla="*/ 481 w 517"/>
                              <a:gd name="T113" fmla="*/ 5359 h 169"/>
                              <a:gd name="T114" fmla="*/ 505 w 517"/>
                              <a:gd name="T115" fmla="*/ 5380 h 169"/>
                              <a:gd name="T116" fmla="*/ 517 w 517"/>
                              <a:gd name="T117" fmla="*/ 5431 h 169"/>
                              <a:gd name="T118" fmla="*/ 503 w 517"/>
                              <a:gd name="T119" fmla="*/ 5488 h 16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17" h="169">
                                <a:moveTo>
                                  <a:pt x="0" y="67"/>
                                </a:moveTo>
                                <a:lnTo>
                                  <a:pt x="0" y="52"/>
                                </a:lnTo>
                                <a:lnTo>
                                  <a:pt x="2" y="40"/>
                                </a:lnTo>
                                <a:lnTo>
                                  <a:pt x="5" y="30"/>
                                </a:lnTo>
                                <a:lnTo>
                                  <a:pt x="8" y="21"/>
                                </a:lnTo>
                                <a:lnTo>
                                  <a:pt x="13" y="14"/>
                                </a:lnTo>
                                <a:lnTo>
                                  <a:pt x="19" y="9"/>
                                </a:lnTo>
                                <a:lnTo>
                                  <a:pt x="25" y="4"/>
                                </a:lnTo>
                                <a:lnTo>
                                  <a:pt x="33" y="1"/>
                                </a:lnTo>
                                <a:lnTo>
                                  <a:pt x="42" y="1"/>
                                </a:lnTo>
                                <a:lnTo>
                                  <a:pt x="49" y="1"/>
                                </a:lnTo>
                                <a:lnTo>
                                  <a:pt x="55" y="3"/>
                                </a:lnTo>
                                <a:lnTo>
                                  <a:pt x="61" y="6"/>
                                </a:lnTo>
                                <a:lnTo>
                                  <a:pt x="66" y="8"/>
                                </a:lnTo>
                                <a:lnTo>
                                  <a:pt x="70" y="12"/>
                                </a:lnTo>
                                <a:lnTo>
                                  <a:pt x="74" y="18"/>
                                </a:lnTo>
                                <a:lnTo>
                                  <a:pt x="77" y="23"/>
                                </a:lnTo>
                                <a:lnTo>
                                  <a:pt x="80" y="29"/>
                                </a:lnTo>
                                <a:lnTo>
                                  <a:pt x="82" y="37"/>
                                </a:lnTo>
                                <a:lnTo>
                                  <a:pt x="83" y="44"/>
                                </a:lnTo>
                                <a:lnTo>
                                  <a:pt x="84" y="54"/>
                                </a:lnTo>
                                <a:lnTo>
                                  <a:pt x="84" y="67"/>
                                </a:lnTo>
                                <a:lnTo>
                                  <a:pt x="84" y="82"/>
                                </a:lnTo>
                                <a:lnTo>
                                  <a:pt x="83" y="95"/>
                                </a:lnTo>
                                <a:lnTo>
                                  <a:pt x="80" y="104"/>
                                </a:lnTo>
                                <a:lnTo>
                                  <a:pt x="77" y="113"/>
                                </a:lnTo>
                                <a:lnTo>
                                  <a:pt x="72" y="120"/>
                                </a:lnTo>
                                <a:lnTo>
                                  <a:pt x="66" y="125"/>
                                </a:lnTo>
                                <a:lnTo>
                                  <a:pt x="60" y="130"/>
                                </a:lnTo>
                                <a:lnTo>
                                  <a:pt x="52" y="133"/>
                                </a:lnTo>
                                <a:lnTo>
                                  <a:pt x="42" y="133"/>
                                </a:lnTo>
                                <a:lnTo>
                                  <a:pt x="30" y="133"/>
                                </a:lnTo>
                                <a:lnTo>
                                  <a:pt x="20" y="129"/>
                                </a:lnTo>
                                <a:lnTo>
                                  <a:pt x="13" y="120"/>
                                </a:lnTo>
                                <a:lnTo>
                                  <a:pt x="8" y="110"/>
                                </a:lnTo>
                                <a:lnTo>
                                  <a:pt x="4" y="99"/>
                                </a:lnTo>
                                <a:lnTo>
                                  <a:pt x="1" y="84"/>
                                </a:lnTo>
                                <a:lnTo>
                                  <a:pt x="0" y="67"/>
                                </a:lnTo>
                                <a:close/>
                                <a:moveTo>
                                  <a:pt x="17" y="67"/>
                                </a:moveTo>
                                <a:lnTo>
                                  <a:pt x="17" y="82"/>
                                </a:lnTo>
                                <a:lnTo>
                                  <a:pt x="19" y="94"/>
                                </a:lnTo>
                                <a:lnTo>
                                  <a:pt x="21" y="103"/>
                                </a:lnTo>
                                <a:lnTo>
                                  <a:pt x="24" y="109"/>
                                </a:lnTo>
                                <a:lnTo>
                                  <a:pt x="29" y="117"/>
                                </a:lnTo>
                                <a:lnTo>
                                  <a:pt x="35" y="120"/>
                                </a:lnTo>
                                <a:lnTo>
                                  <a:pt x="42" y="120"/>
                                </a:lnTo>
                                <a:lnTo>
                                  <a:pt x="50" y="120"/>
                                </a:lnTo>
                                <a:lnTo>
                                  <a:pt x="56" y="116"/>
                                </a:lnTo>
                                <a:lnTo>
                                  <a:pt x="61" y="109"/>
                                </a:lnTo>
                                <a:lnTo>
                                  <a:pt x="64" y="103"/>
                                </a:lnTo>
                                <a:lnTo>
                                  <a:pt x="66" y="94"/>
                                </a:lnTo>
                                <a:lnTo>
                                  <a:pt x="68" y="82"/>
                                </a:lnTo>
                                <a:lnTo>
                                  <a:pt x="68" y="67"/>
                                </a:lnTo>
                                <a:lnTo>
                                  <a:pt x="68" y="53"/>
                                </a:lnTo>
                                <a:lnTo>
                                  <a:pt x="66" y="41"/>
                                </a:lnTo>
                                <a:lnTo>
                                  <a:pt x="64" y="32"/>
                                </a:lnTo>
                                <a:lnTo>
                                  <a:pt x="61" y="25"/>
                                </a:lnTo>
                                <a:lnTo>
                                  <a:pt x="56" y="18"/>
                                </a:lnTo>
                                <a:lnTo>
                                  <a:pt x="50" y="15"/>
                                </a:lnTo>
                                <a:lnTo>
                                  <a:pt x="42" y="15"/>
                                </a:lnTo>
                                <a:lnTo>
                                  <a:pt x="35" y="15"/>
                                </a:lnTo>
                                <a:lnTo>
                                  <a:pt x="29" y="18"/>
                                </a:lnTo>
                                <a:lnTo>
                                  <a:pt x="25" y="24"/>
                                </a:lnTo>
                                <a:lnTo>
                                  <a:pt x="21" y="31"/>
                                </a:lnTo>
                                <a:lnTo>
                                  <a:pt x="19" y="41"/>
                                </a:lnTo>
                                <a:lnTo>
                                  <a:pt x="17" y="53"/>
                                </a:lnTo>
                                <a:lnTo>
                                  <a:pt x="17" y="67"/>
                                </a:lnTo>
                                <a:close/>
                                <a:moveTo>
                                  <a:pt x="185" y="169"/>
                                </a:moveTo>
                                <a:lnTo>
                                  <a:pt x="179" y="160"/>
                                </a:lnTo>
                                <a:lnTo>
                                  <a:pt x="173" y="151"/>
                                </a:lnTo>
                                <a:lnTo>
                                  <a:pt x="168" y="141"/>
                                </a:lnTo>
                                <a:lnTo>
                                  <a:pt x="163" y="130"/>
                                </a:lnTo>
                                <a:lnTo>
                                  <a:pt x="159" y="119"/>
                                </a:lnTo>
                                <a:lnTo>
                                  <a:pt x="156" y="107"/>
                                </a:lnTo>
                                <a:lnTo>
                                  <a:pt x="155" y="96"/>
                                </a:lnTo>
                                <a:lnTo>
                                  <a:pt x="154" y="84"/>
                                </a:lnTo>
                                <a:lnTo>
                                  <a:pt x="154" y="74"/>
                                </a:lnTo>
                                <a:lnTo>
                                  <a:pt x="156" y="64"/>
                                </a:lnTo>
                                <a:lnTo>
                                  <a:pt x="158" y="54"/>
                                </a:lnTo>
                                <a:lnTo>
                                  <a:pt x="161" y="44"/>
                                </a:lnTo>
                                <a:lnTo>
                                  <a:pt x="165" y="33"/>
                                </a:lnTo>
                                <a:lnTo>
                                  <a:pt x="171" y="22"/>
                                </a:lnTo>
                                <a:lnTo>
                                  <a:pt x="177" y="11"/>
                                </a:lnTo>
                                <a:lnTo>
                                  <a:pt x="185" y="0"/>
                                </a:lnTo>
                                <a:lnTo>
                                  <a:pt x="196" y="0"/>
                                </a:lnTo>
                                <a:lnTo>
                                  <a:pt x="189" y="12"/>
                                </a:lnTo>
                                <a:lnTo>
                                  <a:pt x="185" y="21"/>
                                </a:lnTo>
                                <a:lnTo>
                                  <a:pt x="182" y="26"/>
                                </a:lnTo>
                                <a:lnTo>
                                  <a:pt x="179" y="34"/>
                                </a:lnTo>
                                <a:lnTo>
                                  <a:pt x="176" y="42"/>
                                </a:lnTo>
                                <a:lnTo>
                                  <a:pt x="174" y="51"/>
                                </a:lnTo>
                                <a:lnTo>
                                  <a:pt x="171" y="62"/>
                                </a:lnTo>
                                <a:lnTo>
                                  <a:pt x="170" y="73"/>
                                </a:lnTo>
                                <a:lnTo>
                                  <a:pt x="170" y="84"/>
                                </a:lnTo>
                                <a:lnTo>
                                  <a:pt x="172" y="105"/>
                                </a:lnTo>
                                <a:lnTo>
                                  <a:pt x="177" y="126"/>
                                </a:lnTo>
                                <a:lnTo>
                                  <a:pt x="185" y="148"/>
                                </a:lnTo>
                                <a:lnTo>
                                  <a:pt x="196" y="169"/>
                                </a:lnTo>
                                <a:lnTo>
                                  <a:pt x="185" y="169"/>
                                </a:lnTo>
                                <a:close/>
                                <a:moveTo>
                                  <a:pt x="210" y="67"/>
                                </a:moveTo>
                                <a:lnTo>
                                  <a:pt x="210" y="52"/>
                                </a:lnTo>
                                <a:lnTo>
                                  <a:pt x="212" y="40"/>
                                </a:lnTo>
                                <a:lnTo>
                                  <a:pt x="215" y="30"/>
                                </a:lnTo>
                                <a:lnTo>
                                  <a:pt x="218" y="21"/>
                                </a:lnTo>
                                <a:lnTo>
                                  <a:pt x="223" y="14"/>
                                </a:lnTo>
                                <a:lnTo>
                                  <a:pt x="229" y="9"/>
                                </a:lnTo>
                                <a:lnTo>
                                  <a:pt x="235" y="4"/>
                                </a:lnTo>
                                <a:lnTo>
                                  <a:pt x="243" y="1"/>
                                </a:lnTo>
                                <a:lnTo>
                                  <a:pt x="252" y="1"/>
                                </a:lnTo>
                                <a:lnTo>
                                  <a:pt x="259" y="1"/>
                                </a:lnTo>
                                <a:lnTo>
                                  <a:pt x="265" y="3"/>
                                </a:lnTo>
                                <a:lnTo>
                                  <a:pt x="271" y="6"/>
                                </a:lnTo>
                                <a:lnTo>
                                  <a:pt x="276" y="8"/>
                                </a:lnTo>
                                <a:lnTo>
                                  <a:pt x="280" y="12"/>
                                </a:lnTo>
                                <a:lnTo>
                                  <a:pt x="284" y="18"/>
                                </a:lnTo>
                                <a:lnTo>
                                  <a:pt x="287" y="23"/>
                                </a:lnTo>
                                <a:lnTo>
                                  <a:pt x="290" y="29"/>
                                </a:lnTo>
                                <a:lnTo>
                                  <a:pt x="292" y="37"/>
                                </a:lnTo>
                                <a:lnTo>
                                  <a:pt x="294" y="44"/>
                                </a:lnTo>
                                <a:lnTo>
                                  <a:pt x="294" y="54"/>
                                </a:lnTo>
                                <a:lnTo>
                                  <a:pt x="294" y="67"/>
                                </a:lnTo>
                                <a:lnTo>
                                  <a:pt x="294" y="82"/>
                                </a:lnTo>
                                <a:lnTo>
                                  <a:pt x="293" y="95"/>
                                </a:lnTo>
                                <a:lnTo>
                                  <a:pt x="290" y="104"/>
                                </a:lnTo>
                                <a:lnTo>
                                  <a:pt x="287" y="113"/>
                                </a:lnTo>
                                <a:lnTo>
                                  <a:pt x="282" y="120"/>
                                </a:lnTo>
                                <a:lnTo>
                                  <a:pt x="276" y="125"/>
                                </a:lnTo>
                                <a:lnTo>
                                  <a:pt x="270" y="130"/>
                                </a:lnTo>
                                <a:lnTo>
                                  <a:pt x="262" y="133"/>
                                </a:lnTo>
                                <a:lnTo>
                                  <a:pt x="252" y="133"/>
                                </a:lnTo>
                                <a:lnTo>
                                  <a:pt x="240" y="133"/>
                                </a:lnTo>
                                <a:lnTo>
                                  <a:pt x="230" y="129"/>
                                </a:lnTo>
                                <a:lnTo>
                                  <a:pt x="223" y="120"/>
                                </a:lnTo>
                                <a:lnTo>
                                  <a:pt x="218" y="110"/>
                                </a:lnTo>
                                <a:lnTo>
                                  <a:pt x="214" y="99"/>
                                </a:lnTo>
                                <a:lnTo>
                                  <a:pt x="211" y="84"/>
                                </a:lnTo>
                                <a:lnTo>
                                  <a:pt x="210" y="67"/>
                                </a:lnTo>
                                <a:close/>
                                <a:moveTo>
                                  <a:pt x="227" y="67"/>
                                </a:moveTo>
                                <a:lnTo>
                                  <a:pt x="227" y="82"/>
                                </a:lnTo>
                                <a:lnTo>
                                  <a:pt x="229" y="94"/>
                                </a:lnTo>
                                <a:lnTo>
                                  <a:pt x="231" y="103"/>
                                </a:lnTo>
                                <a:lnTo>
                                  <a:pt x="234" y="109"/>
                                </a:lnTo>
                                <a:lnTo>
                                  <a:pt x="239" y="117"/>
                                </a:lnTo>
                                <a:lnTo>
                                  <a:pt x="245" y="120"/>
                                </a:lnTo>
                                <a:lnTo>
                                  <a:pt x="252" y="120"/>
                                </a:lnTo>
                                <a:lnTo>
                                  <a:pt x="260" y="120"/>
                                </a:lnTo>
                                <a:lnTo>
                                  <a:pt x="266" y="116"/>
                                </a:lnTo>
                                <a:lnTo>
                                  <a:pt x="271" y="109"/>
                                </a:lnTo>
                                <a:lnTo>
                                  <a:pt x="274" y="103"/>
                                </a:lnTo>
                                <a:lnTo>
                                  <a:pt x="276" y="94"/>
                                </a:lnTo>
                                <a:lnTo>
                                  <a:pt x="278" y="82"/>
                                </a:lnTo>
                                <a:lnTo>
                                  <a:pt x="278" y="67"/>
                                </a:lnTo>
                                <a:lnTo>
                                  <a:pt x="278" y="53"/>
                                </a:lnTo>
                                <a:lnTo>
                                  <a:pt x="276" y="41"/>
                                </a:lnTo>
                                <a:lnTo>
                                  <a:pt x="274" y="32"/>
                                </a:lnTo>
                                <a:lnTo>
                                  <a:pt x="271" y="25"/>
                                </a:lnTo>
                                <a:lnTo>
                                  <a:pt x="266" y="18"/>
                                </a:lnTo>
                                <a:lnTo>
                                  <a:pt x="260" y="15"/>
                                </a:lnTo>
                                <a:lnTo>
                                  <a:pt x="252" y="15"/>
                                </a:lnTo>
                                <a:lnTo>
                                  <a:pt x="245" y="15"/>
                                </a:lnTo>
                                <a:lnTo>
                                  <a:pt x="239" y="18"/>
                                </a:lnTo>
                                <a:lnTo>
                                  <a:pt x="235" y="24"/>
                                </a:lnTo>
                                <a:lnTo>
                                  <a:pt x="231" y="31"/>
                                </a:lnTo>
                                <a:lnTo>
                                  <a:pt x="229" y="41"/>
                                </a:lnTo>
                                <a:lnTo>
                                  <a:pt x="227" y="53"/>
                                </a:lnTo>
                                <a:lnTo>
                                  <a:pt x="227" y="67"/>
                                </a:lnTo>
                                <a:close/>
                                <a:moveTo>
                                  <a:pt x="314" y="33"/>
                                </a:moveTo>
                                <a:lnTo>
                                  <a:pt x="314" y="24"/>
                                </a:lnTo>
                                <a:lnTo>
                                  <a:pt x="316" y="16"/>
                                </a:lnTo>
                                <a:lnTo>
                                  <a:pt x="320" y="9"/>
                                </a:lnTo>
                                <a:lnTo>
                                  <a:pt x="325" y="3"/>
                                </a:lnTo>
                                <a:lnTo>
                                  <a:pt x="332" y="0"/>
                                </a:lnTo>
                                <a:lnTo>
                                  <a:pt x="341" y="0"/>
                                </a:lnTo>
                                <a:lnTo>
                                  <a:pt x="349" y="0"/>
                                </a:lnTo>
                                <a:lnTo>
                                  <a:pt x="355" y="3"/>
                                </a:lnTo>
                                <a:lnTo>
                                  <a:pt x="361" y="8"/>
                                </a:lnTo>
                                <a:lnTo>
                                  <a:pt x="366" y="14"/>
                                </a:lnTo>
                                <a:lnTo>
                                  <a:pt x="369" y="23"/>
                                </a:lnTo>
                                <a:lnTo>
                                  <a:pt x="369" y="34"/>
                                </a:lnTo>
                                <a:lnTo>
                                  <a:pt x="369" y="45"/>
                                </a:lnTo>
                                <a:lnTo>
                                  <a:pt x="366" y="53"/>
                                </a:lnTo>
                                <a:lnTo>
                                  <a:pt x="361" y="59"/>
                                </a:lnTo>
                                <a:lnTo>
                                  <a:pt x="355" y="65"/>
                                </a:lnTo>
                                <a:lnTo>
                                  <a:pt x="349" y="68"/>
                                </a:lnTo>
                                <a:lnTo>
                                  <a:pt x="341" y="68"/>
                                </a:lnTo>
                                <a:lnTo>
                                  <a:pt x="333" y="68"/>
                                </a:lnTo>
                                <a:lnTo>
                                  <a:pt x="327" y="65"/>
                                </a:lnTo>
                                <a:lnTo>
                                  <a:pt x="321" y="59"/>
                                </a:lnTo>
                                <a:lnTo>
                                  <a:pt x="316" y="53"/>
                                </a:lnTo>
                                <a:lnTo>
                                  <a:pt x="314" y="45"/>
                                </a:lnTo>
                                <a:lnTo>
                                  <a:pt x="314" y="33"/>
                                </a:lnTo>
                                <a:close/>
                                <a:moveTo>
                                  <a:pt x="341" y="11"/>
                                </a:moveTo>
                                <a:lnTo>
                                  <a:pt x="337" y="11"/>
                                </a:lnTo>
                                <a:lnTo>
                                  <a:pt x="334" y="12"/>
                                </a:lnTo>
                                <a:lnTo>
                                  <a:pt x="331" y="16"/>
                                </a:lnTo>
                                <a:lnTo>
                                  <a:pt x="329" y="19"/>
                                </a:lnTo>
                                <a:lnTo>
                                  <a:pt x="327" y="25"/>
                                </a:lnTo>
                                <a:lnTo>
                                  <a:pt x="327" y="34"/>
                                </a:lnTo>
                                <a:lnTo>
                                  <a:pt x="327" y="43"/>
                                </a:lnTo>
                                <a:lnTo>
                                  <a:pt x="329" y="49"/>
                                </a:lnTo>
                                <a:lnTo>
                                  <a:pt x="331" y="52"/>
                                </a:lnTo>
                                <a:lnTo>
                                  <a:pt x="334" y="55"/>
                                </a:lnTo>
                                <a:lnTo>
                                  <a:pt x="337" y="57"/>
                                </a:lnTo>
                                <a:lnTo>
                                  <a:pt x="341" y="57"/>
                                </a:lnTo>
                                <a:lnTo>
                                  <a:pt x="345" y="57"/>
                                </a:lnTo>
                                <a:lnTo>
                                  <a:pt x="348" y="55"/>
                                </a:lnTo>
                                <a:lnTo>
                                  <a:pt x="351" y="52"/>
                                </a:lnTo>
                                <a:lnTo>
                                  <a:pt x="354" y="48"/>
                                </a:lnTo>
                                <a:lnTo>
                                  <a:pt x="355" y="42"/>
                                </a:lnTo>
                                <a:lnTo>
                                  <a:pt x="355" y="33"/>
                                </a:lnTo>
                                <a:lnTo>
                                  <a:pt x="355" y="25"/>
                                </a:lnTo>
                                <a:lnTo>
                                  <a:pt x="354" y="19"/>
                                </a:lnTo>
                                <a:lnTo>
                                  <a:pt x="351" y="16"/>
                                </a:lnTo>
                                <a:lnTo>
                                  <a:pt x="348" y="12"/>
                                </a:lnTo>
                                <a:lnTo>
                                  <a:pt x="345" y="11"/>
                                </a:lnTo>
                                <a:lnTo>
                                  <a:pt x="341" y="11"/>
                                </a:lnTo>
                                <a:close/>
                                <a:moveTo>
                                  <a:pt x="341" y="136"/>
                                </a:moveTo>
                                <a:lnTo>
                                  <a:pt x="412" y="0"/>
                                </a:lnTo>
                                <a:lnTo>
                                  <a:pt x="424" y="0"/>
                                </a:lnTo>
                                <a:lnTo>
                                  <a:pt x="354" y="136"/>
                                </a:lnTo>
                                <a:lnTo>
                                  <a:pt x="341" y="136"/>
                                </a:lnTo>
                                <a:close/>
                                <a:moveTo>
                                  <a:pt x="397" y="101"/>
                                </a:moveTo>
                                <a:lnTo>
                                  <a:pt x="397" y="91"/>
                                </a:lnTo>
                                <a:lnTo>
                                  <a:pt x="399" y="83"/>
                                </a:lnTo>
                                <a:lnTo>
                                  <a:pt x="404" y="77"/>
                                </a:lnTo>
                                <a:lnTo>
                                  <a:pt x="408" y="71"/>
                                </a:lnTo>
                                <a:lnTo>
                                  <a:pt x="415" y="67"/>
                                </a:lnTo>
                                <a:lnTo>
                                  <a:pt x="424" y="67"/>
                                </a:lnTo>
                                <a:lnTo>
                                  <a:pt x="432" y="67"/>
                                </a:lnTo>
                                <a:lnTo>
                                  <a:pt x="439" y="70"/>
                                </a:lnTo>
                                <a:lnTo>
                                  <a:pt x="444" y="76"/>
                                </a:lnTo>
                                <a:lnTo>
                                  <a:pt x="449" y="82"/>
                                </a:lnTo>
                                <a:lnTo>
                                  <a:pt x="452" y="90"/>
                                </a:lnTo>
                                <a:lnTo>
                                  <a:pt x="452" y="102"/>
                                </a:lnTo>
                                <a:lnTo>
                                  <a:pt x="452" y="112"/>
                                </a:lnTo>
                                <a:lnTo>
                                  <a:pt x="449" y="121"/>
                                </a:lnTo>
                                <a:lnTo>
                                  <a:pt x="444" y="127"/>
                                </a:lnTo>
                                <a:lnTo>
                                  <a:pt x="439" y="133"/>
                                </a:lnTo>
                                <a:lnTo>
                                  <a:pt x="432" y="136"/>
                                </a:lnTo>
                                <a:lnTo>
                                  <a:pt x="424" y="136"/>
                                </a:lnTo>
                                <a:lnTo>
                                  <a:pt x="416" y="136"/>
                                </a:lnTo>
                                <a:lnTo>
                                  <a:pt x="410" y="133"/>
                                </a:lnTo>
                                <a:lnTo>
                                  <a:pt x="405" y="127"/>
                                </a:lnTo>
                                <a:lnTo>
                                  <a:pt x="399" y="121"/>
                                </a:lnTo>
                                <a:lnTo>
                                  <a:pt x="397" y="112"/>
                                </a:lnTo>
                                <a:lnTo>
                                  <a:pt x="397" y="101"/>
                                </a:lnTo>
                                <a:close/>
                                <a:moveTo>
                                  <a:pt x="424" y="78"/>
                                </a:moveTo>
                                <a:lnTo>
                                  <a:pt x="420" y="78"/>
                                </a:lnTo>
                                <a:lnTo>
                                  <a:pt x="417" y="80"/>
                                </a:lnTo>
                                <a:lnTo>
                                  <a:pt x="415" y="83"/>
                                </a:lnTo>
                                <a:lnTo>
                                  <a:pt x="412" y="87"/>
                                </a:lnTo>
                                <a:lnTo>
                                  <a:pt x="411" y="93"/>
                                </a:lnTo>
                                <a:lnTo>
                                  <a:pt x="411" y="102"/>
                                </a:lnTo>
                                <a:lnTo>
                                  <a:pt x="411" y="110"/>
                                </a:lnTo>
                                <a:lnTo>
                                  <a:pt x="412" y="116"/>
                                </a:lnTo>
                                <a:lnTo>
                                  <a:pt x="415" y="120"/>
                                </a:lnTo>
                                <a:lnTo>
                                  <a:pt x="417" y="123"/>
                                </a:lnTo>
                                <a:lnTo>
                                  <a:pt x="421" y="125"/>
                                </a:lnTo>
                                <a:lnTo>
                                  <a:pt x="424" y="125"/>
                                </a:lnTo>
                                <a:lnTo>
                                  <a:pt x="428" y="125"/>
                                </a:lnTo>
                                <a:lnTo>
                                  <a:pt x="432" y="123"/>
                                </a:lnTo>
                                <a:lnTo>
                                  <a:pt x="434" y="120"/>
                                </a:lnTo>
                                <a:lnTo>
                                  <a:pt x="437" y="116"/>
                                </a:lnTo>
                                <a:lnTo>
                                  <a:pt x="438" y="110"/>
                                </a:lnTo>
                                <a:lnTo>
                                  <a:pt x="438" y="101"/>
                                </a:lnTo>
                                <a:lnTo>
                                  <a:pt x="438" y="93"/>
                                </a:lnTo>
                                <a:lnTo>
                                  <a:pt x="437" y="87"/>
                                </a:lnTo>
                                <a:lnTo>
                                  <a:pt x="434" y="83"/>
                                </a:lnTo>
                                <a:lnTo>
                                  <a:pt x="432" y="80"/>
                                </a:lnTo>
                                <a:lnTo>
                                  <a:pt x="428" y="78"/>
                                </a:lnTo>
                                <a:lnTo>
                                  <a:pt x="424" y="78"/>
                                </a:lnTo>
                                <a:close/>
                                <a:moveTo>
                                  <a:pt x="485" y="169"/>
                                </a:moveTo>
                                <a:lnTo>
                                  <a:pt x="474" y="169"/>
                                </a:lnTo>
                                <a:lnTo>
                                  <a:pt x="486" y="148"/>
                                </a:lnTo>
                                <a:lnTo>
                                  <a:pt x="494" y="126"/>
                                </a:lnTo>
                                <a:lnTo>
                                  <a:pt x="499" y="105"/>
                                </a:lnTo>
                                <a:lnTo>
                                  <a:pt x="500" y="84"/>
                                </a:lnTo>
                                <a:lnTo>
                                  <a:pt x="500" y="73"/>
                                </a:lnTo>
                                <a:lnTo>
                                  <a:pt x="499" y="62"/>
                                </a:lnTo>
                                <a:lnTo>
                                  <a:pt x="497" y="51"/>
                                </a:lnTo>
                                <a:lnTo>
                                  <a:pt x="495" y="43"/>
                                </a:lnTo>
                                <a:lnTo>
                                  <a:pt x="492" y="34"/>
                                </a:lnTo>
                                <a:lnTo>
                                  <a:pt x="488" y="26"/>
                                </a:lnTo>
                                <a:lnTo>
                                  <a:pt x="486" y="21"/>
                                </a:lnTo>
                                <a:lnTo>
                                  <a:pt x="481" y="12"/>
                                </a:lnTo>
                                <a:lnTo>
                                  <a:pt x="474" y="0"/>
                                </a:lnTo>
                                <a:lnTo>
                                  <a:pt x="485" y="0"/>
                                </a:lnTo>
                                <a:lnTo>
                                  <a:pt x="493" y="11"/>
                                </a:lnTo>
                                <a:lnTo>
                                  <a:pt x="500" y="22"/>
                                </a:lnTo>
                                <a:lnTo>
                                  <a:pt x="505" y="33"/>
                                </a:lnTo>
                                <a:lnTo>
                                  <a:pt x="510" y="44"/>
                                </a:lnTo>
                                <a:lnTo>
                                  <a:pt x="513" y="54"/>
                                </a:lnTo>
                                <a:lnTo>
                                  <a:pt x="515" y="64"/>
                                </a:lnTo>
                                <a:lnTo>
                                  <a:pt x="516" y="74"/>
                                </a:lnTo>
                                <a:lnTo>
                                  <a:pt x="517" y="84"/>
                                </a:lnTo>
                                <a:lnTo>
                                  <a:pt x="516" y="96"/>
                                </a:lnTo>
                                <a:lnTo>
                                  <a:pt x="514" y="107"/>
                                </a:lnTo>
                                <a:lnTo>
                                  <a:pt x="511" y="119"/>
                                </a:lnTo>
                                <a:lnTo>
                                  <a:pt x="507" y="130"/>
                                </a:lnTo>
                                <a:lnTo>
                                  <a:pt x="503" y="141"/>
                                </a:lnTo>
                                <a:lnTo>
                                  <a:pt x="497" y="151"/>
                                </a:lnTo>
                                <a:lnTo>
                                  <a:pt x="492" y="160"/>
                                </a:lnTo>
                                <a:lnTo>
                                  <a:pt x="485" y="169"/>
                                </a:lnTo>
                                <a:close/>
                              </a:path>
                            </a:pathLst>
                          </a:custGeom>
                          <a:noFill/>
                          <a:ln w="28575">
                            <a:solidFill>
                              <a:srgbClr val="FFFFFF"/>
                            </a:solidFill>
                            <a:round/>
                          </a:ln>
                          <a:effectLst/>
                        </wps:spPr>
                        <wps:bodyPr rot="0" vert="horz" wrap="square" lIns="91440" tIns="45720" rIns="91440" bIns="45720" anchor="t" anchorCtr="0" upright="1">
                          <a:noAutofit/>
                        </wps:bodyPr>
                      </wps:wsp>
                      <wps:wsp>
                        <wps:cNvPr id="1297846527" name="Text Box 263"/>
                        <wps:cNvSpPr txBox="1">
                          <a:spLocks noChangeArrowheads="1"/>
                        </wps:cNvSpPr>
                        <wps:spPr bwMode="auto">
                          <a:xfrm>
                            <a:off x="1162" y="722"/>
                            <a:ext cx="7928" cy="1752"/>
                          </a:xfrm>
                          <a:prstGeom prst="rect">
                            <a:avLst/>
                          </a:prstGeom>
                          <a:noFill/>
                          <a:ln>
                            <a:noFill/>
                          </a:ln>
                          <a:effectLst/>
                        </wps:spPr>
                        <wps:txbx>
                          <w:txbxContent>
                            <w:p w14:paraId="6F185A4A">
                              <w:pPr>
                                <w:spacing w:line="300" w:lineRule="auto"/>
                                <w:ind w:right="10"/>
                              </w:pPr>
                              <w:r>
                                <w:rPr>
                                  <w:color w:val="202024"/>
                                </w:rPr>
                                <w:t>9.</w:t>
                              </w:r>
                              <w:r>
                                <w:rPr>
                                  <w:color w:val="202024"/>
                                  <w:spacing w:val="5"/>
                                </w:rPr>
                                <w:t xml:space="preserve"> </w:t>
                              </w:r>
                              <w:r>
                                <w:rPr>
                                  <w:color w:val="202024"/>
                                </w:rPr>
                                <w:t>In</w:t>
                              </w:r>
                              <w:r>
                                <w:rPr>
                                  <w:color w:val="202024"/>
                                  <w:spacing w:val="5"/>
                                </w:rPr>
                                <w:t xml:space="preserve"> </w:t>
                              </w:r>
                              <w:r>
                                <w:rPr>
                                  <w:color w:val="202024"/>
                                </w:rPr>
                                <w:t>your</w:t>
                              </w:r>
                              <w:r>
                                <w:rPr>
                                  <w:color w:val="202024"/>
                                  <w:spacing w:val="5"/>
                                </w:rPr>
                                <w:t xml:space="preserve"> </w:t>
                              </w:r>
                              <w:r>
                                <w:rPr>
                                  <w:color w:val="202024"/>
                                </w:rPr>
                                <w:t>experience,</w:t>
                              </w:r>
                              <w:r>
                                <w:rPr>
                                  <w:color w:val="202024"/>
                                  <w:spacing w:val="6"/>
                                </w:rPr>
                                <w:t xml:space="preserve"> </w:t>
                              </w:r>
                              <w:r>
                                <w:rPr>
                                  <w:color w:val="202024"/>
                                </w:rPr>
                                <w:t>to</w:t>
                              </w:r>
                              <w:r>
                                <w:rPr>
                                  <w:color w:val="202024"/>
                                  <w:spacing w:val="5"/>
                                </w:rPr>
                                <w:t xml:space="preserve"> </w:t>
                              </w:r>
                              <w:r>
                                <w:rPr>
                                  <w:color w:val="202024"/>
                                </w:rPr>
                                <w:t>what</w:t>
                              </w:r>
                              <w:r>
                                <w:rPr>
                                  <w:color w:val="202024"/>
                                  <w:spacing w:val="5"/>
                                </w:rPr>
                                <w:t xml:space="preserve"> </w:t>
                              </w:r>
                              <w:r>
                                <w:rPr>
                                  <w:color w:val="202024"/>
                                </w:rPr>
                                <w:t>extent</w:t>
                              </w:r>
                              <w:r>
                                <w:rPr>
                                  <w:color w:val="202024"/>
                                  <w:spacing w:val="6"/>
                                </w:rPr>
                                <w:t xml:space="preserve"> </w:t>
                              </w:r>
                              <w:r>
                                <w:rPr>
                                  <w:color w:val="202024"/>
                                </w:rPr>
                                <w:t>do</w:t>
                              </w:r>
                              <w:r>
                                <w:rPr>
                                  <w:color w:val="202024"/>
                                  <w:spacing w:val="5"/>
                                </w:rPr>
                                <w:t xml:space="preserve"> </w:t>
                              </w:r>
                              <w:r>
                                <w:rPr>
                                  <w:color w:val="202024"/>
                                </w:rPr>
                                <w:t>ad-hoc</w:t>
                              </w:r>
                              <w:r>
                                <w:rPr>
                                  <w:color w:val="202024"/>
                                  <w:spacing w:val="5"/>
                                </w:rPr>
                                <w:t xml:space="preserve"> </w:t>
                              </w:r>
                              <w:r>
                                <w:rPr>
                                  <w:color w:val="202024"/>
                                </w:rPr>
                                <w:t>fiscal</w:t>
                              </w:r>
                              <w:r>
                                <w:rPr>
                                  <w:color w:val="202024"/>
                                  <w:spacing w:val="6"/>
                                </w:rPr>
                                <w:t xml:space="preserve"> </w:t>
                              </w:r>
                              <w:r>
                                <w:rPr>
                                  <w:color w:val="202024"/>
                                </w:rPr>
                                <w:t>incentives</w:t>
                              </w:r>
                              <w:r>
                                <w:rPr>
                                  <w:color w:val="202024"/>
                                  <w:spacing w:val="1"/>
                                </w:rPr>
                                <w:t xml:space="preserve"> </w:t>
                              </w:r>
                              <w:r>
                                <w:rPr>
                                  <w:color w:val="202024"/>
                                </w:rPr>
                                <w:t>introduced</w:t>
                              </w:r>
                              <w:r>
                                <w:rPr>
                                  <w:color w:val="202024"/>
                                  <w:spacing w:val="10"/>
                                </w:rPr>
                                <w:t xml:space="preserve"> </w:t>
                              </w:r>
                              <w:r>
                                <w:rPr>
                                  <w:color w:val="202024"/>
                                </w:rPr>
                                <w:t>to</w:t>
                              </w:r>
                              <w:r>
                                <w:rPr>
                                  <w:color w:val="202024"/>
                                  <w:spacing w:val="10"/>
                                </w:rPr>
                                <w:t xml:space="preserve"> </w:t>
                              </w:r>
                              <w:r>
                                <w:rPr>
                                  <w:color w:val="202024"/>
                                </w:rPr>
                                <w:t>the</w:t>
                              </w:r>
                              <w:r>
                                <w:rPr>
                                  <w:color w:val="202024"/>
                                  <w:spacing w:val="10"/>
                                </w:rPr>
                                <w:t xml:space="preserve"> </w:t>
                              </w:r>
                              <w:r>
                                <w:rPr>
                                  <w:color w:val="202024"/>
                                </w:rPr>
                                <w:t>PPTA,</w:t>
                              </w:r>
                              <w:r>
                                <w:rPr>
                                  <w:color w:val="202024"/>
                                  <w:spacing w:val="11"/>
                                </w:rPr>
                                <w:t xml:space="preserve"> </w:t>
                              </w:r>
                              <w:r>
                                <w:rPr>
                                  <w:color w:val="202024"/>
                                </w:rPr>
                                <w:t>and</w:t>
                              </w:r>
                              <w:r>
                                <w:rPr>
                                  <w:color w:val="202024"/>
                                  <w:spacing w:val="10"/>
                                </w:rPr>
                                <w:t xml:space="preserve"> </w:t>
                              </w:r>
                              <w:r>
                                <w:rPr>
                                  <w:color w:val="202024"/>
                                </w:rPr>
                                <w:t>piecemeal</w:t>
                              </w:r>
                              <w:r>
                                <w:rPr>
                                  <w:color w:val="202024"/>
                                  <w:spacing w:val="10"/>
                                </w:rPr>
                                <w:t xml:space="preserve"> </w:t>
                              </w:r>
                              <w:r>
                                <w:rPr>
                                  <w:color w:val="202024"/>
                                </w:rPr>
                                <w:t>amendment</w:t>
                              </w:r>
                              <w:r>
                                <w:rPr>
                                  <w:color w:val="202024"/>
                                  <w:spacing w:val="11"/>
                                </w:rPr>
                                <w:t xml:space="preserve"> </w:t>
                              </w:r>
                              <w:r>
                                <w:rPr>
                                  <w:color w:val="202024"/>
                                </w:rPr>
                                <w:t>of</w:t>
                              </w:r>
                              <w:r>
                                <w:rPr>
                                  <w:color w:val="202024"/>
                                  <w:spacing w:val="10"/>
                                </w:rPr>
                                <w:t xml:space="preserve"> </w:t>
                              </w:r>
                              <w:r>
                                <w:rPr>
                                  <w:color w:val="202024"/>
                                </w:rPr>
                                <w:t>the</w:t>
                              </w:r>
                              <w:r>
                                <w:rPr>
                                  <w:color w:val="202024"/>
                                  <w:spacing w:val="10"/>
                                </w:rPr>
                                <w:t xml:space="preserve"> </w:t>
                              </w:r>
                              <w:r>
                                <w:rPr>
                                  <w:color w:val="202024"/>
                                </w:rPr>
                                <w:t>PPTA,</w:t>
                              </w:r>
                              <w:r>
                                <w:rPr>
                                  <w:color w:val="202024"/>
                                  <w:spacing w:val="11"/>
                                </w:rPr>
                                <w:t xml:space="preserve"> </w:t>
                              </w:r>
                              <w:r>
                                <w:rPr>
                                  <w:color w:val="202024"/>
                                </w:rPr>
                                <w:t>as</w:t>
                              </w:r>
                              <w:r>
                                <w:rPr>
                                  <w:color w:val="202024"/>
                                  <w:spacing w:val="10"/>
                                </w:rPr>
                                <w:t xml:space="preserve"> </w:t>
                              </w:r>
                              <w:r>
                                <w:rPr>
                                  <w:color w:val="202024"/>
                                </w:rPr>
                                <w:t>well</w:t>
                              </w:r>
                              <w:r>
                                <w:rPr>
                                  <w:color w:val="202024"/>
                                  <w:spacing w:val="1"/>
                                </w:rPr>
                                <w:t xml:space="preserve"> </w:t>
                              </w:r>
                              <w:r>
                                <w:rPr>
                                  <w:color w:val="202024"/>
                                </w:rPr>
                                <w:t>as</w:t>
                              </w:r>
                              <w:r>
                                <w:rPr>
                                  <w:color w:val="202024"/>
                                  <w:spacing w:val="5"/>
                                </w:rPr>
                                <w:t xml:space="preserve"> </w:t>
                              </w:r>
                              <w:r>
                                <w:rPr>
                                  <w:color w:val="202024"/>
                                </w:rPr>
                                <w:t>the</w:t>
                              </w:r>
                              <w:r>
                                <w:rPr>
                                  <w:color w:val="202024"/>
                                  <w:spacing w:val="5"/>
                                </w:rPr>
                                <w:t xml:space="preserve"> </w:t>
                              </w:r>
                              <w:r>
                                <w:rPr>
                                  <w:color w:val="202024"/>
                                </w:rPr>
                                <w:t>extra-legal</w:t>
                              </w:r>
                              <w:r>
                                <w:rPr>
                                  <w:color w:val="202024"/>
                                  <w:spacing w:val="5"/>
                                </w:rPr>
                                <w:t xml:space="preserve"> </w:t>
                              </w:r>
                              <w:r>
                                <w:rPr>
                                  <w:color w:val="202024"/>
                                </w:rPr>
                                <w:t>agreements,</w:t>
                              </w:r>
                              <w:r>
                                <w:rPr>
                                  <w:color w:val="202024"/>
                                  <w:spacing w:val="5"/>
                                </w:rPr>
                                <w:t xml:space="preserve"> </w:t>
                              </w:r>
                              <w:r>
                                <w:rPr>
                                  <w:color w:val="202024"/>
                                </w:rPr>
                                <w:t>impact</w:t>
                              </w:r>
                              <w:r>
                                <w:rPr>
                                  <w:color w:val="202024"/>
                                  <w:spacing w:val="5"/>
                                </w:rPr>
                                <w:t xml:space="preserve"> </w:t>
                              </w:r>
                              <w:r>
                                <w:rPr>
                                  <w:color w:val="202024"/>
                                </w:rPr>
                                <w:t>clarity,</w:t>
                              </w:r>
                              <w:r>
                                <w:rPr>
                                  <w:color w:val="202024"/>
                                  <w:spacing w:val="6"/>
                                </w:rPr>
                                <w:t xml:space="preserve"> </w:t>
                              </w:r>
                              <w:r>
                                <w:rPr>
                                  <w:color w:val="202024"/>
                                </w:rPr>
                                <w:t>certainty</w:t>
                              </w:r>
                              <w:r>
                                <w:rPr>
                                  <w:color w:val="202024"/>
                                  <w:spacing w:val="9"/>
                                </w:rPr>
                                <w:t xml:space="preserve"> </w:t>
                              </w:r>
                              <w:r>
                                <w:rPr>
                                  <w:color w:val="202024"/>
                                </w:rPr>
                                <w:t>and</w:t>
                              </w:r>
                              <w:r>
                                <w:rPr>
                                  <w:color w:val="202024"/>
                                  <w:spacing w:val="5"/>
                                </w:rPr>
                                <w:t xml:space="preserve"> </w:t>
                              </w:r>
                              <w:r>
                                <w:rPr>
                                  <w:color w:val="202024"/>
                                </w:rPr>
                                <w:t>consistency</w:t>
                              </w:r>
                              <w:r>
                                <w:rPr>
                                  <w:color w:val="202024"/>
                                  <w:spacing w:val="1"/>
                                </w:rPr>
                                <w:t xml:space="preserve"> </w:t>
                              </w:r>
                              <w:r>
                                <w:rPr>
                                  <w:color w:val="202024"/>
                                </w:rPr>
                                <w:t>in</w:t>
                              </w:r>
                              <w:r>
                                <w:rPr>
                                  <w:color w:val="202024"/>
                                  <w:spacing w:val="8"/>
                                </w:rPr>
                                <w:t xml:space="preserve"> </w:t>
                              </w:r>
                              <w:r>
                                <w:rPr>
                                  <w:color w:val="202024"/>
                                </w:rPr>
                                <w:t>understanding</w:t>
                              </w:r>
                              <w:r>
                                <w:rPr>
                                  <w:color w:val="202024"/>
                                  <w:spacing w:val="9"/>
                                </w:rPr>
                                <w:t xml:space="preserve"> </w:t>
                              </w:r>
                              <w:r>
                                <w:rPr>
                                  <w:color w:val="202024"/>
                                </w:rPr>
                                <w:t>and</w:t>
                              </w:r>
                              <w:r>
                                <w:rPr>
                                  <w:color w:val="202024"/>
                                  <w:spacing w:val="9"/>
                                </w:rPr>
                                <w:t xml:space="preserve"> </w:t>
                              </w:r>
                              <w:r>
                                <w:rPr>
                                  <w:color w:val="202024"/>
                                </w:rPr>
                                <w:t>interpretation</w:t>
                              </w:r>
                              <w:r>
                                <w:rPr>
                                  <w:color w:val="202024"/>
                                  <w:spacing w:val="9"/>
                                </w:rPr>
                                <w:t xml:space="preserve"> </w:t>
                              </w:r>
                              <w:r>
                                <w:rPr>
                                  <w:color w:val="202024"/>
                                </w:rPr>
                                <w:t>of</w:t>
                              </w:r>
                              <w:r>
                                <w:rPr>
                                  <w:color w:val="202024"/>
                                  <w:spacing w:val="9"/>
                                </w:rPr>
                                <w:t xml:space="preserve"> </w:t>
                              </w:r>
                              <w:r>
                                <w:rPr>
                                  <w:color w:val="202024"/>
                                </w:rPr>
                                <w:t>upstream</w:t>
                              </w:r>
                              <w:r>
                                <w:rPr>
                                  <w:color w:val="202024"/>
                                  <w:spacing w:val="8"/>
                                </w:rPr>
                                <w:t xml:space="preserve"> </w:t>
                              </w:r>
                              <w:r>
                                <w:rPr>
                                  <w:color w:val="202024"/>
                                </w:rPr>
                                <w:t>oil</w:t>
                              </w:r>
                              <w:r>
                                <w:rPr>
                                  <w:color w:val="202024"/>
                                  <w:spacing w:val="9"/>
                                </w:rPr>
                                <w:t xml:space="preserve"> </w:t>
                              </w:r>
                              <w:r>
                                <w:rPr>
                                  <w:color w:val="202024"/>
                                </w:rPr>
                                <w:t>and</w:t>
                              </w:r>
                              <w:r>
                                <w:rPr>
                                  <w:color w:val="202024"/>
                                  <w:spacing w:val="9"/>
                                </w:rPr>
                                <w:t xml:space="preserve"> </w:t>
                              </w:r>
                              <w:r>
                                <w:rPr>
                                  <w:color w:val="202024"/>
                                </w:rPr>
                                <w:t>gas</w:t>
                              </w:r>
                              <w:r>
                                <w:rPr>
                                  <w:color w:val="202024"/>
                                  <w:spacing w:val="9"/>
                                </w:rPr>
                                <w:t xml:space="preserve"> </w:t>
                              </w:r>
                              <w:r>
                                <w:rPr>
                                  <w:color w:val="202024"/>
                                </w:rPr>
                                <w:t>tax</w:t>
                              </w:r>
                              <w:r>
                                <w:rPr>
                                  <w:color w:val="202024"/>
                                  <w:spacing w:val="9"/>
                                </w:rPr>
                                <w:t xml:space="preserve"> </w:t>
                              </w:r>
                              <w:r>
                                <w:rPr>
                                  <w:color w:val="202024"/>
                                </w:rPr>
                                <w:t>statutes.</w:t>
                              </w:r>
                            </w:p>
                            <w:p w14:paraId="144CAB44">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wps:txbx>
                        <wps:bodyPr rot="0" vert="horz" wrap="square" lIns="0" tIns="0" rIns="0" bIns="0" anchor="t" anchorCtr="0" upright="1">
                          <a:noAutofit/>
                        </wps:bodyPr>
                      </wps:wsp>
                      <wps:wsp>
                        <wps:cNvPr id="284445788" name="Text Box 262"/>
                        <wps:cNvSpPr txBox="1">
                          <a:spLocks noChangeArrowheads="1"/>
                        </wps:cNvSpPr>
                        <wps:spPr bwMode="auto">
                          <a:xfrm>
                            <a:off x="9958" y="761"/>
                            <a:ext cx="550" cy="200"/>
                          </a:xfrm>
                          <a:prstGeom prst="rect">
                            <a:avLst/>
                          </a:prstGeom>
                          <a:noFill/>
                          <a:ln>
                            <a:noFill/>
                          </a:ln>
                          <a:effectLst/>
                        </wps:spPr>
                        <wps:txbx>
                          <w:txbxContent>
                            <w:p w14:paraId="7A87EC88">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1253239547" name="Text Box 261"/>
                        <wps:cNvSpPr txBox="1">
                          <a:spLocks noChangeArrowheads="1"/>
                        </wps:cNvSpPr>
                        <wps:spPr bwMode="auto">
                          <a:xfrm>
                            <a:off x="1689" y="2907"/>
                            <a:ext cx="221" cy="202"/>
                          </a:xfrm>
                          <a:prstGeom prst="rect">
                            <a:avLst/>
                          </a:prstGeom>
                          <a:noFill/>
                          <a:ln>
                            <a:noFill/>
                          </a:ln>
                          <a:effectLst/>
                        </wps:spPr>
                        <wps:txbx>
                          <w:txbxContent>
                            <w:p w14:paraId="0AE9CF14">
                              <w:pPr>
                                <w:spacing w:line="201" w:lineRule="exact"/>
                                <w:rPr>
                                  <w:rFonts w:ascii="Arial MT"/>
                                  <w:sz w:val="18"/>
                                </w:rPr>
                              </w:pPr>
                              <w:r>
                                <w:rPr>
                                  <w:rFonts w:ascii="Arial MT"/>
                                  <w:color w:val="444444"/>
                                  <w:sz w:val="18"/>
                                </w:rPr>
                                <w:t>30</w:t>
                              </w:r>
                            </w:p>
                          </w:txbxContent>
                        </wps:txbx>
                        <wps:bodyPr rot="0" vert="horz" wrap="square" lIns="0" tIns="0" rIns="0" bIns="0" anchor="t" anchorCtr="0" upright="1">
                          <a:noAutofit/>
                        </wps:bodyPr>
                      </wps:wsp>
                      <wps:wsp>
                        <wps:cNvPr id="2079713038" name="Text Box 260"/>
                        <wps:cNvSpPr txBox="1">
                          <a:spLocks noChangeArrowheads="1"/>
                        </wps:cNvSpPr>
                        <wps:spPr bwMode="auto">
                          <a:xfrm>
                            <a:off x="1689" y="3802"/>
                            <a:ext cx="221" cy="202"/>
                          </a:xfrm>
                          <a:prstGeom prst="rect">
                            <a:avLst/>
                          </a:prstGeom>
                          <a:noFill/>
                          <a:ln>
                            <a:noFill/>
                          </a:ln>
                          <a:effectLst/>
                        </wps:spPr>
                        <wps:txbx>
                          <w:txbxContent>
                            <w:p w14:paraId="678C7AB7">
                              <w:pPr>
                                <w:spacing w:line="201" w:lineRule="exact"/>
                                <w:rPr>
                                  <w:rFonts w:ascii="Arial MT"/>
                                  <w:sz w:val="18"/>
                                </w:rPr>
                              </w:pPr>
                              <w:r>
                                <w:rPr>
                                  <w:rFonts w:ascii="Arial MT"/>
                                  <w:color w:val="444444"/>
                                  <w:sz w:val="18"/>
                                </w:rPr>
                                <w:t>20</w:t>
                              </w:r>
                            </w:p>
                          </w:txbxContent>
                        </wps:txbx>
                        <wps:bodyPr rot="0" vert="horz" wrap="square" lIns="0" tIns="0" rIns="0" bIns="0" anchor="t" anchorCtr="0" upright="1">
                          <a:noAutofit/>
                        </wps:bodyPr>
                      </wps:wsp>
                      <wps:wsp>
                        <wps:cNvPr id="1675565823" name="Text Box 259"/>
                        <wps:cNvSpPr txBox="1">
                          <a:spLocks noChangeArrowheads="1"/>
                        </wps:cNvSpPr>
                        <wps:spPr bwMode="auto">
                          <a:xfrm>
                            <a:off x="1689" y="4697"/>
                            <a:ext cx="221" cy="202"/>
                          </a:xfrm>
                          <a:prstGeom prst="rect">
                            <a:avLst/>
                          </a:prstGeom>
                          <a:noFill/>
                          <a:ln>
                            <a:noFill/>
                          </a:ln>
                          <a:effectLst/>
                        </wps:spPr>
                        <wps:txbx>
                          <w:txbxContent>
                            <w:p w14:paraId="7FE90C03">
                              <w:pPr>
                                <w:spacing w:line="201" w:lineRule="exact"/>
                                <w:rPr>
                                  <w:rFonts w:ascii="Arial MT"/>
                                  <w:sz w:val="18"/>
                                </w:rPr>
                              </w:pPr>
                              <w:r>
                                <w:rPr>
                                  <w:rFonts w:ascii="Arial MT"/>
                                  <w:color w:val="444444"/>
                                  <w:sz w:val="18"/>
                                </w:rPr>
                                <w:t>10</w:t>
                              </w:r>
                            </w:p>
                          </w:txbxContent>
                        </wps:txbx>
                        <wps:bodyPr rot="0" vert="horz" wrap="square" lIns="0" tIns="0" rIns="0" bIns="0" anchor="t" anchorCtr="0" upright="1">
                          <a:noAutofit/>
                        </wps:bodyPr>
                      </wps:wsp>
                      <wps:wsp>
                        <wps:cNvPr id="967031949" name="Text Box 258"/>
                        <wps:cNvSpPr txBox="1">
                          <a:spLocks noChangeArrowheads="1"/>
                        </wps:cNvSpPr>
                        <wps:spPr bwMode="auto">
                          <a:xfrm>
                            <a:off x="2614" y="5314"/>
                            <a:ext cx="551" cy="202"/>
                          </a:xfrm>
                          <a:prstGeom prst="rect">
                            <a:avLst/>
                          </a:prstGeom>
                          <a:noFill/>
                          <a:ln>
                            <a:noFill/>
                          </a:ln>
                          <a:effectLst/>
                        </wps:spPr>
                        <wps:txbx>
                          <w:txbxContent>
                            <w:p w14:paraId="5F2DD332">
                              <w:pPr>
                                <w:spacing w:line="201" w:lineRule="exact"/>
                                <w:rPr>
                                  <w:rFonts w:ascii="Arial MT"/>
                                  <w:sz w:val="18"/>
                                </w:rPr>
                              </w:pPr>
                              <w:r>
                                <w:rPr>
                                  <w:rFonts w:ascii="Arial MT"/>
                                  <w:color w:val="202024"/>
                                  <w:sz w:val="18"/>
                                </w:rPr>
                                <w:t>0 (0%)</w:t>
                              </w:r>
                            </w:p>
                          </w:txbxContent>
                        </wps:txbx>
                        <wps:bodyPr rot="0" vert="horz" wrap="square" lIns="0" tIns="0" rIns="0" bIns="0" anchor="t" anchorCtr="0" upright="1">
                          <a:noAutofit/>
                        </wps:bodyPr>
                      </wps:wsp>
                      <wps:wsp>
                        <wps:cNvPr id="675732756" name="Text Box 257"/>
                        <wps:cNvSpPr txBox="1">
                          <a:spLocks noChangeArrowheads="1"/>
                        </wps:cNvSpPr>
                        <wps:spPr bwMode="auto">
                          <a:xfrm>
                            <a:off x="1789" y="5592"/>
                            <a:ext cx="121" cy="202"/>
                          </a:xfrm>
                          <a:prstGeom prst="rect">
                            <a:avLst/>
                          </a:prstGeom>
                          <a:noFill/>
                          <a:ln>
                            <a:noFill/>
                          </a:ln>
                          <a:effectLst/>
                        </wps:spPr>
                        <wps:txbx>
                          <w:txbxContent>
                            <w:p w14:paraId="733FBB29">
                              <w:pPr>
                                <w:spacing w:line="201" w:lineRule="exact"/>
                                <w:rPr>
                                  <w:rFonts w:ascii="Arial MT"/>
                                  <w:sz w:val="18"/>
                                </w:rPr>
                              </w:pPr>
                              <w:r>
                                <w:rPr>
                                  <w:rFonts w:ascii="Arial MT"/>
                                  <w:color w:val="444444"/>
                                  <w:sz w:val="18"/>
                                </w:rPr>
                                <w:t>0</w:t>
                              </w:r>
                            </w:p>
                          </w:txbxContent>
                        </wps:txbx>
                        <wps:bodyPr rot="0" vert="horz" wrap="square" lIns="0" tIns="0" rIns="0" bIns="0" anchor="t" anchorCtr="0" upright="1">
                          <a:noAutofit/>
                        </wps:bodyPr>
                      </wps:wsp>
                      <wps:wsp>
                        <wps:cNvPr id="970091002" name="Text Box 256"/>
                        <wps:cNvSpPr txBox="1">
                          <a:spLocks noChangeArrowheads="1"/>
                        </wps:cNvSpPr>
                        <wps:spPr bwMode="auto">
                          <a:xfrm>
                            <a:off x="2838" y="5794"/>
                            <a:ext cx="121" cy="202"/>
                          </a:xfrm>
                          <a:prstGeom prst="rect">
                            <a:avLst/>
                          </a:prstGeom>
                          <a:noFill/>
                          <a:ln>
                            <a:noFill/>
                          </a:ln>
                          <a:effectLst/>
                        </wps:spPr>
                        <wps:txbx>
                          <w:txbxContent>
                            <w:p w14:paraId="582B8E5D">
                              <w:pPr>
                                <w:spacing w:line="201" w:lineRule="exact"/>
                                <w:rPr>
                                  <w:rFonts w:ascii="Arial MT"/>
                                  <w:sz w:val="18"/>
                                </w:rPr>
                              </w:pPr>
                              <w:r>
                                <w:rPr>
                                  <w:rFonts w:ascii="Arial MT"/>
                                  <w:color w:val="212121"/>
                                  <w:sz w:val="18"/>
                                </w:rPr>
                                <w:t>1</w:t>
                              </w:r>
                            </w:p>
                          </w:txbxContent>
                        </wps:txbx>
                        <wps:bodyPr rot="0" vert="horz" wrap="square" lIns="0" tIns="0" rIns="0" bIns="0" anchor="t" anchorCtr="0" upright="1">
                          <a:noAutofit/>
                        </wps:bodyPr>
                      </wps:wsp>
                      <wps:wsp>
                        <wps:cNvPr id="1658317525" name="Text Box 255"/>
                        <wps:cNvSpPr txBox="1">
                          <a:spLocks noChangeArrowheads="1"/>
                        </wps:cNvSpPr>
                        <wps:spPr bwMode="auto">
                          <a:xfrm>
                            <a:off x="4461" y="5794"/>
                            <a:ext cx="121" cy="202"/>
                          </a:xfrm>
                          <a:prstGeom prst="rect">
                            <a:avLst/>
                          </a:prstGeom>
                          <a:noFill/>
                          <a:ln>
                            <a:noFill/>
                          </a:ln>
                          <a:effectLst/>
                        </wps:spPr>
                        <wps:txbx>
                          <w:txbxContent>
                            <w:p w14:paraId="40991BFD">
                              <w:pPr>
                                <w:spacing w:line="201" w:lineRule="exact"/>
                                <w:rPr>
                                  <w:rFonts w:ascii="Arial MT"/>
                                  <w:sz w:val="18"/>
                                </w:rPr>
                              </w:pPr>
                              <w:r>
                                <w:rPr>
                                  <w:rFonts w:ascii="Arial MT"/>
                                  <w:color w:val="212121"/>
                                  <w:sz w:val="18"/>
                                </w:rPr>
                                <w:t>2</w:t>
                              </w:r>
                            </w:p>
                          </w:txbxContent>
                        </wps:txbx>
                        <wps:bodyPr rot="0" vert="horz" wrap="square" lIns="0" tIns="0" rIns="0" bIns="0" anchor="t" anchorCtr="0" upright="1">
                          <a:noAutofit/>
                        </wps:bodyPr>
                      </wps:wsp>
                      <wps:wsp>
                        <wps:cNvPr id="1998165506" name="Text Box 254"/>
                        <wps:cNvSpPr txBox="1">
                          <a:spLocks noChangeArrowheads="1"/>
                        </wps:cNvSpPr>
                        <wps:spPr bwMode="auto">
                          <a:xfrm>
                            <a:off x="6084" y="5794"/>
                            <a:ext cx="121" cy="202"/>
                          </a:xfrm>
                          <a:prstGeom prst="rect">
                            <a:avLst/>
                          </a:prstGeom>
                          <a:noFill/>
                          <a:ln>
                            <a:noFill/>
                          </a:ln>
                          <a:effectLst/>
                        </wps:spPr>
                        <wps:txbx>
                          <w:txbxContent>
                            <w:p w14:paraId="6B61250A">
                              <w:pPr>
                                <w:spacing w:line="201" w:lineRule="exact"/>
                                <w:rPr>
                                  <w:rFonts w:ascii="Arial MT"/>
                                  <w:sz w:val="18"/>
                                </w:rPr>
                              </w:pPr>
                              <w:r>
                                <w:rPr>
                                  <w:rFonts w:ascii="Arial MT"/>
                                  <w:color w:val="212121"/>
                                  <w:sz w:val="18"/>
                                </w:rPr>
                                <w:t>3</w:t>
                              </w:r>
                            </w:p>
                          </w:txbxContent>
                        </wps:txbx>
                        <wps:bodyPr rot="0" vert="horz" wrap="square" lIns="0" tIns="0" rIns="0" bIns="0" anchor="t" anchorCtr="0" upright="1">
                          <a:noAutofit/>
                        </wps:bodyPr>
                      </wps:wsp>
                      <wps:wsp>
                        <wps:cNvPr id="1501003134" name="Text Box 253"/>
                        <wps:cNvSpPr txBox="1">
                          <a:spLocks noChangeArrowheads="1"/>
                        </wps:cNvSpPr>
                        <wps:spPr bwMode="auto">
                          <a:xfrm>
                            <a:off x="7707" y="5794"/>
                            <a:ext cx="121" cy="202"/>
                          </a:xfrm>
                          <a:prstGeom prst="rect">
                            <a:avLst/>
                          </a:prstGeom>
                          <a:noFill/>
                          <a:ln>
                            <a:noFill/>
                          </a:ln>
                          <a:effectLst/>
                        </wps:spPr>
                        <wps:txbx>
                          <w:txbxContent>
                            <w:p w14:paraId="38DC53C0">
                              <w:pPr>
                                <w:spacing w:line="201" w:lineRule="exact"/>
                                <w:rPr>
                                  <w:rFonts w:ascii="Arial MT"/>
                                  <w:sz w:val="18"/>
                                </w:rPr>
                              </w:pPr>
                              <w:r>
                                <w:rPr>
                                  <w:rFonts w:ascii="Arial MT"/>
                                  <w:color w:val="212121"/>
                                  <w:sz w:val="18"/>
                                </w:rPr>
                                <w:t>4</w:t>
                              </w:r>
                            </w:p>
                          </w:txbxContent>
                        </wps:txbx>
                        <wps:bodyPr rot="0" vert="horz" wrap="square" lIns="0" tIns="0" rIns="0" bIns="0" anchor="t" anchorCtr="0" upright="1">
                          <a:noAutofit/>
                        </wps:bodyPr>
                      </wps:wsp>
                      <wps:wsp>
                        <wps:cNvPr id="1263251144" name="Text Box 252"/>
                        <wps:cNvSpPr txBox="1">
                          <a:spLocks noChangeArrowheads="1"/>
                        </wps:cNvSpPr>
                        <wps:spPr bwMode="auto">
                          <a:xfrm>
                            <a:off x="9330" y="5794"/>
                            <a:ext cx="121" cy="202"/>
                          </a:xfrm>
                          <a:prstGeom prst="rect">
                            <a:avLst/>
                          </a:prstGeom>
                          <a:noFill/>
                          <a:ln>
                            <a:noFill/>
                          </a:ln>
                          <a:effectLst/>
                        </wps:spPr>
                        <wps:txbx>
                          <w:txbxContent>
                            <w:p w14:paraId="5E96E943">
                              <w:pPr>
                                <w:spacing w:line="201" w:lineRule="exact"/>
                                <w:rPr>
                                  <w:rFonts w:ascii="Arial MT"/>
                                  <w:sz w:val="18"/>
                                </w:rPr>
                              </w:pPr>
                              <w:r>
                                <w:rPr>
                                  <w:rFonts w:ascii="Arial MT"/>
                                  <w:color w:val="212121"/>
                                  <w:sz w:val="18"/>
                                </w:rPr>
                                <w:t>5</w:t>
                              </w:r>
                            </w:p>
                          </w:txbxContent>
                        </wps:txbx>
                        <wps:bodyPr rot="0" vert="horz" wrap="square" lIns="0" tIns="0" rIns="0" bIns="0" anchor="t" anchorCtr="0" upright="1">
                          <a:noAutofit/>
                        </wps:bodyPr>
                      </wps:wsp>
                      <wps:wsp>
                        <wps:cNvPr id="970852745" name="Text Box 251"/>
                        <wps:cNvSpPr txBox="1">
                          <a:spLocks noChangeArrowheads="1"/>
                        </wps:cNvSpPr>
                        <wps:spPr bwMode="auto">
                          <a:xfrm>
                            <a:off x="4005" y="5160"/>
                            <a:ext cx="1005" cy="525"/>
                          </a:xfrm>
                          <a:prstGeom prst="rect">
                            <a:avLst/>
                          </a:prstGeom>
                          <a:solidFill>
                            <a:srgbClr val="663AB6"/>
                          </a:solidFill>
                          <a:ln>
                            <a:noFill/>
                          </a:ln>
                          <a:effectLst/>
                        </wps:spPr>
                        <wps:txbx>
                          <w:txbxContent>
                            <w:p w14:paraId="6281448C">
                              <w:pPr>
                                <w:spacing w:before="14"/>
                                <w:rPr>
                                  <w:rFonts w:ascii="Arial MT"/>
                                  <w:sz w:val="18"/>
                                </w:rPr>
                              </w:pPr>
                              <w:r>
                                <w:rPr>
                                  <w:rFonts w:ascii="Arial MT"/>
                                  <w:color w:val="FFFFFF"/>
                                  <w:sz w:val="18"/>
                                </w:rPr>
                                <w:t>6 (8%)</w:t>
                              </w:r>
                            </w:p>
                          </w:txbxContent>
                        </wps:txbx>
                        <wps:bodyPr rot="0" vert="horz" wrap="square" lIns="0" tIns="0" rIns="0" bIns="0" anchor="t" anchorCtr="0" upright="1">
                          <a:noAutofit/>
                        </wps:bodyPr>
                      </wps:wsp>
                      <wps:wsp>
                        <wps:cNvPr id="926586492" name="Text Box 250"/>
                        <wps:cNvSpPr txBox="1">
                          <a:spLocks noChangeArrowheads="1"/>
                        </wps:cNvSpPr>
                        <wps:spPr bwMode="auto">
                          <a:xfrm>
                            <a:off x="5640" y="4095"/>
                            <a:ext cx="990" cy="1590"/>
                          </a:xfrm>
                          <a:prstGeom prst="rect">
                            <a:avLst/>
                          </a:prstGeom>
                          <a:solidFill>
                            <a:srgbClr val="663AB6"/>
                          </a:solidFill>
                          <a:ln>
                            <a:noFill/>
                          </a:ln>
                          <a:effectLst/>
                        </wps:spPr>
                        <wps:txbx>
                          <w:txbxContent>
                            <w:p w14:paraId="0125AF7A">
                              <w:pPr>
                                <w:spacing w:before="14"/>
                                <w:rPr>
                                  <w:rFonts w:ascii="Arial MT"/>
                                  <w:sz w:val="18"/>
                                </w:rPr>
                              </w:pPr>
                              <w:r>
                                <w:rPr>
                                  <w:rFonts w:ascii="Arial MT"/>
                                  <w:color w:val="FFFFFF"/>
                                  <w:sz w:val="18"/>
                                </w:rPr>
                                <w:t>18 (24%)</w:t>
                              </w:r>
                            </w:p>
                          </w:txbxContent>
                        </wps:txbx>
                        <wps:bodyPr rot="0" vert="horz" wrap="square" lIns="0" tIns="0" rIns="0" bIns="0" anchor="t" anchorCtr="0" upright="1">
                          <a:noAutofit/>
                        </wps:bodyPr>
                      </wps:wsp>
                      <wps:wsp>
                        <wps:cNvPr id="1967999083" name="Text Box 249"/>
                        <wps:cNvSpPr txBox="1">
                          <a:spLocks noChangeArrowheads="1"/>
                        </wps:cNvSpPr>
                        <wps:spPr bwMode="auto">
                          <a:xfrm>
                            <a:off x="8880" y="3645"/>
                            <a:ext cx="1005" cy="2040"/>
                          </a:xfrm>
                          <a:prstGeom prst="rect">
                            <a:avLst/>
                          </a:prstGeom>
                          <a:solidFill>
                            <a:srgbClr val="663AB6"/>
                          </a:solidFill>
                          <a:ln>
                            <a:noFill/>
                          </a:ln>
                          <a:effectLst/>
                        </wps:spPr>
                        <wps:txbx>
                          <w:txbxContent>
                            <w:p w14:paraId="56CE8CEC">
                              <w:pPr>
                                <w:spacing w:before="14"/>
                                <w:rPr>
                                  <w:rFonts w:ascii="Arial MT"/>
                                  <w:sz w:val="18"/>
                                </w:rPr>
                              </w:pPr>
                              <w:r>
                                <w:rPr>
                                  <w:rFonts w:ascii="Arial MT"/>
                                  <w:color w:val="FFFFFF"/>
                                  <w:sz w:val="18"/>
                                </w:rPr>
                                <w:t>23 (30.7%)</w:t>
                              </w:r>
                            </w:p>
                          </w:txbxContent>
                        </wps:txbx>
                        <wps:bodyPr rot="0" vert="horz" wrap="square" lIns="0" tIns="0" rIns="0" bIns="0" anchor="t" anchorCtr="0" upright="1">
                          <a:noAutofit/>
                        </wps:bodyPr>
                      </wps:wsp>
                      <wps:wsp>
                        <wps:cNvPr id="934587773" name="Text Box 248"/>
                        <wps:cNvSpPr txBox="1">
                          <a:spLocks noChangeArrowheads="1"/>
                        </wps:cNvSpPr>
                        <wps:spPr bwMode="auto">
                          <a:xfrm>
                            <a:off x="7260" y="3195"/>
                            <a:ext cx="1005" cy="2490"/>
                          </a:xfrm>
                          <a:prstGeom prst="rect">
                            <a:avLst/>
                          </a:prstGeom>
                          <a:solidFill>
                            <a:srgbClr val="663AB6"/>
                          </a:solidFill>
                          <a:ln>
                            <a:noFill/>
                          </a:ln>
                          <a:effectLst/>
                        </wps:spPr>
                        <wps:txbx>
                          <w:txbxContent>
                            <w:p w14:paraId="3E6B43C3">
                              <w:pPr>
                                <w:spacing w:before="14"/>
                                <w:rPr>
                                  <w:rFonts w:ascii="Arial MT"/>
                                  <w:sz w:val="18"/>
                                </w:rPr>
                              </w:pPr>
                              <w:r>
                                <w:rPr>
                                  <w:rFonts w:ascii="Arial MT"/>
                                  <w:color w:val="FFFFFF"/>
                                  <w:sz w:val="18"/>
                                </w:rPr>
                                <w:t>28 (37.3%)</w:t>
                              </w:r>
                            </w:p>
                          </w:txbxContent>
                        </wps:txbx>
                        <wps:bodyPr rot="0" vert="horz" wrap="square" lIns="0" tIns="0" rIns="0" bIns="0" anchor="t" anchorCtr="0" upright="1">
                          <a:noAutofit/>
                        </wps:bodyPr>
                      </wps:wsp>
                    </wpg:wgp>
                  </a:graphicData>
                </a:graphic>
              </wp:anchor>
            </w:drawing>
          </mc:Choice>
          <mc:Fallback>
            <w:pict>
              <v:group id="Group 247" o:spid="_x0000_s1026" o:spt="203" style="position:absolute;left:0pt;margin-left:57.75pt;margin-top:27.75pt;height:295.5pt;width:480pt;mso-position-horizontal-relative:page;mso-position-vertical-relative:page;z-index:251702272;mso-width-relative:page;mso-height-relative:page;" coordorigin="1155,555" coordsize="9600,5910" o:gfxdata="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">
                <o:lock v:ext="edit" aspectratio="f"/>
                <v:shape id="Freeform 272" o:spid="_x0000_s1026" o:spt="100" style="position:absolute;left:1162;top:562;height:5895;width:9585;" filled="f" stroked="t" coordsize="9585,5895" o:gfxdata="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3&#10;uWXCAAAA4wAAAA8AAAAAAAAAAQAgAAAAIgAAAGRycy9kb3ducmV2LnhtbFBLAQIUABQAAAAIAIdO&#10;4kAzLwWeOwAAADkAAAAQAAAAAAAAAAEAIAAAABEBAABkcnMvc2hhcGV4bWwueG1sUEsFBgAAAAAG&#10;AAYAWwEAALsDAAAAAA==&#10;" path="m0,5783l0,113,0,106,1,98,3,91,4,84,6,77,9,70,12,63,15,57,19,50,24,44,28,39,33,33,39,28,44,24,50,19,57,15,91,3,98,1,106,0,113,0,9473,0,9480,0,9488,1,9495,3,9502,4,9509,6,9516,9,9523,12,9529,15,9535,19,9542,24,9547,28,9553,33,9558,39,9562,44,9567,50,9571,57,9583,91,9585,98,9585,106,9585,113,9585,5783,9585,5790,9585,5798,9583,5805,9582,5812,9580,5819,9577,5826,9574,5833,9571,5839,9567,5845,9562,5852,9558,5857,9553,5863,9547,5868,9542,5872,9535,5877,9529,5881,9523,5884,9516,5887,9509,5890,9502,5892,9495,5893,9488,5895,9480,5895,9473,5895,113,5895,70,5887,63,5884,57,5881,50,5877,44,5872,39,5868,33,5863,28,5857,9,5826,6,5819,4,5812,3,5805,1,5798,0,5790,0,5783xe">
                  <v:path o:connectlocs="0,675;1,660;4,646;9,632;15,619;24,606;33,595;44,586;57,577;98,563;113,562;9480,562;9495,565;9509,568;9523,574;9535,581;9547,590;9558,601;9567,612;9583,653;9585,668;9585,6345;9585,6360;9582,6374;9577,6388;9571,6401;9562,6414;9553,6425;9542,6434;9529,6443;9516,6449;9502,6454;9488,6457;9473,6457;70,6449;57,6443;44,6434;33,6425;9,6388;4,6374;1,6360;0,6345" o:connectangles="0,0,0,0,0,0,0,0,0,0,0,0,0,0,0,0,0,0,0,0,0,0,0,0,0,0,0,0,0,0,0,0,0,0,0,0,0,0,0,0,0,0"/>
                  <v:fill on="f" focussize="0,0"/>
                  <v:stroke color="#D9DBDF" joinstyle="round"/>
                  <v:imagedata o:title=""/>
                  <o:lock v:ext="edit" aspectratio="f"/>
                </v:shape>
                <v:shape id="Picture 271" o:spid="_x0000_s1026" o:spt="75" type="#_x0000_t75" style="position:absolute;left:9525;top:690;height:300;width:255;" filled="f" o:preferrelative="t" stroked="f" coordsize="21600,21600" o:gfxdata="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M1j3FHIAAAA4wAAAA8AAAAAAAAAAQAgAAAAIgAAAGRycy9kb3ducmV2LnhtbFBLAQIUABQA&#10;AAAIAIdO4kAzLwWeOwAAADkAAAAQAAAAAAAAAAEAIAAAABcBAABkcnMvc2hhcGV4bWwueG1sUEsF&#10;BgAAAAAGAAYAWwEAAMEDAAAAAA==&#10;">
                  <v:fill on="f" focussize="0,0"/>
                  <v:stroke on="f"/>
                  <v:imagedata r:id="rId110" o:title=""/>
                  <o:lock v:ext="edit" aspectratio="t"/>
                </v:shape>
                <v:rect id="Rectangle 270" o:spid="_x0000_s1026" o:spt="1" style="position:absolute;left:2070;top:3000;height:2700;width:8130;" filled="f" stroked="t" coordsize="21600,21600" o:gfxdata="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THF&#10;q8EAAADgAAAADwAAAAAAAAABACAAAAAiAAAAZHJzL2Rvd25yZXYueG1sUEsBAhQAFAAAAAgAh07i&#10;QDMvBZ47AAAAOQAAABAAAAAAAAAAAQAgAAAAEAEAAGRycy9zaGFwZXhtbC54bWxQSwUGAAAAAAYA&#10;BgBbAQAAugMAAAAA&#10;">
                  <v:fill on="f" focussize="0,0"/>
                  <v:stroke color="#EDEDED" miterlimit="8" joinstyle="miter"/>
                  <v:imagedata o:title=""/>
                  <o:lock v:ext="edit" aspectratio="f"/>
                </v:rect>
                <v:shape id="AutoShape 269" o:spid="_x0000_s1026" o:spt="100" style="position:absolute;left:2069;top:3000;height:2700;width:8130;" fillcolor="#EDEDED" filled="t" stroked="f" coordsize="8130,2700" o:gfxdata="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IwLCAAAA4wAAAA8AAAAAAAAAAQAgAAAAIgAAAGRycy9kb3ducmV2LnhtbFBLAQIUABQAAAAIAIdO&#10;4kAzLwWeOwAAADkAAAAQAAAAAAAAAAEAIAAAABEBAABkcnMvc2hhcGV4bWwueG1sUEsFBgAAAAAG&#10;AAYAWwEAALsDAAAAAA==&#10;" path="m3570,1785l0,1785,0,1800,3570,1800,3570,1785xm5190,1785l4560,1785,4560,1800,5190,1800,5190,1785xm5190,900l0,900,0,915,5190,915,5190,900xm6810,1785l6195,1785,6195,1800,6810,1800,6810,1785xm6810,900l6195,900,6195,915,6810,915,6810,900xm8130,2685l0,2685,0,2700,8130,2700,8130,2685xm8130,1785l7815,1785,7815,1800,8130,1800,8130,1785xm8130,900l7815,900,7815,915,8130,915,8130,900xm8130,0l0,0,0,15,8130,15,8130,0xe">
                  <v:path o:connectlocs="3570,4785;0,4785;0,4800;3570,4800;3570,4785;5190,4785;4560,4785;4560,4800;5190,4800;5190,4785;5190,3900;0,3900;0,3915;5190,3915;5190,3900;6810,4785;6195,4785;6195,4800;6810,4800;6810,4785;6810,3900;6195,3900;6195,3915;6810,3915;6810,3900;8130,5685;0,5685;0,5700;8130,5700;8130,5685;8130,4785;7815,4785;7815,4800;8130,4800;8130,4785;8130,3900;7815,3900;7815,3915;8130,3915;8130,3900;8130,3000;0,3000;0,3015;8130,3015;8130,3000" o:connectangles="0,0,0,0,0,0,0,0,0,0,0,0,0,0,0,0,0,0,0,0,0,0,0,0,0,0,0,0,0,0,0,0,0,0,0,0,0,0,0,0,0,0,0,0,0"/>
                  <v:fill on="t" focussize="0,0"/>
                  <v:stroke on="f"/>
                  <v:imagedata o:title=""/>
                  <o:lock v:ext="edit" aspectratio="f"/>
                </v:shape>
                <v:shape id="AutoShape 268" o:spid="_x0000_s1026" o:spt="100" style="position:absolute;left:2069;top:3450;height:1800;width:8130;" fillcolor="#F7F7F7" filled="t" stroked="f" coordsize="8130,1800" o:gfxdata="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Ab&#10;m43CAAAA4wAAAA8AAAAAAAAAAQAgAAAAIgAAAGRycy9kb3ducmV2LnhtbFBLAQIUABQAAAAIAIdO&#10;4kAzLwWeOwAAADkAAAAQAAAAAAAAAAEAIAAAABEBAABkcnMvc2hhcGV4bWwueG1sUEsFBgAAAAAG&#10;AAYAWwEAALsDAAAAAA==&#10;" path="m1935,1785l0,1785,0,1800,1935,1800,1935,1785xm3570,1785l2940,1785,2940,1800,3570,1800,3570,1785xm3570,900l0,900,0,915,3570,915,3570,900xm5190,1785l4560,1785,4560,1800,5190,1800,5190,1785xm5190,900l4560,900,4560,915,5190,915,5190,900xm5190,0l0,0,0,15,5190,15,5190,0xm6810,1785l6195,1785,6195,1800,6810,1800,6810,1785xm6810,900l6195,900,6195,915,6810,915,6810,900xm8130,1785l7815,1785,7815,1800,8130,1800,8130,1785xm8130,900l7815,900,7815,915,8130,915,8130,900xm8130,0l6195,0,6195,15,8130,15,8130,0xe">
                  <v:path o:connectlocs="1935,5235;0,5235;0,5250;1935,5250;1935,5235;3570,5235;2940,5235;2940,5250;3570,5250;3570,5235;3570,4350;0,4350;0,4365;3570,4365;3570,4350;5190,5235;4560,5235;4560,5250;5190,5250;5190,5235;5190,4350;4560,4350;4560,4365;5190,4365;5190,4350;5190,3450;0,3450;0,3465;5190,3465;5190,3450;6810,5235;6195,5235;6195,5250;6810,5250;6810,5235;6810,4350;6195,4350;6195,4365;6810,4365;6810,4350;8130,5235;7815,5235;7815,5250;8130,5250;8130,5235;8130,4350;7815,4350;7815,4365;8130,4365;8130,4350;8130,3450;6195,3450;6195,3465;8130,3465;8130,3450" o:connectangles="0,0,0,0,0,0,0,0,0,0,0,0,0,0,0,0,0,0,0,0,0,0,0,0,0,0,0,0,0,0,0,0,0,0,0,0,0,0,0,0,0,0,0,0,0,0,0,0,0,0,0,0,0,0,0"/>
                  <v:fill on="t" focussize="0,0"/>
                  <v:stroke on="f"/>
                  <v:imagedata o:title=""/>
                  <o:lock v:ext="edit" aspectratio="f"/>
                </v:shape>
                <v:rect id="Rectangle 267" o:spid="_x0000_s1026" o:spt="1" style="position:absolute;left:2385;top:5685;height:8;width:1005;" fillcolor="#663AB6" filled="t" stroked="f" coordsize="21600,21600" o:gfxdata="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ADScyxgAAAOMAAAAPAAAAAAAAAAEAIAAAACIAAABkcnMvZG93bnJldi54bWxQSwECFAAUAAAA&#10;CACHTuJAMy8FnjsAAAA5AAAAEAAAAAAAAAABACAAAAAVAQAAZHJzL3NoYXBleG1sLnhtbFBLBQYA&#10;AAAABgAGAFsBAAC/AwAAAAA=&#10;">
                  <v:fill on="t" focussize="0,0"/>
                  <v:stroke on="f"/>
                  <v:imagedata o:title=""/>
                  <o:lock v:ext="edit" aspectratio="f"/>
                </v:rect>
                <v:rect id="Rectangle 266" o:spid="_x0000_s1026" o:spt="1" style="position:absolute;left:2070;top:5685;height:15;width:8130;" fillcolor="#333333" filled="t" stroked="f" coordsize="21600,21600" o:gfxdata="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eWPuwwAAAOMAAAAPAAAAAAAAAAEAIAAAACIAAABkcnMvZG93bnJldi54bWxQSwECFAAUAAAACACH&#10;TuJAMy8FnjsAAAA5AAAAEAAAAAAAAAABACAAAAASAQAAZHJzL3NoYXBleG1sLnhtbFBLBQYAAAAA&#10;BgAGAFsBAAC8AwAAAAA=&#10;">
                  <v:fill on="t" focussize="0,0"/>
                  <v:stroke on="f"/>
                  <v:imagedata o:title=""/>
                  <o:lock v:ext="edit" aspectratio="f"/>
                </v:rect>
                <v:rect id="Rectangle 265" o:spid="_x0000_s1026" o:spt="1" style="position:absolute;left:2880;top:5505;height:180;width:15;" fillcolor="#999999" filled="t" stroked="f" coordsize="21600,21600" o:gfxdata="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EN&#10;G/DCAAAA4gAAAA8AAAAAAAAAAQAgAAAAIgAAAGRycy9kb3ducmV2LnhtbFBLAQIUABQAAAAIAIdO&#10;4kAzLwWeOwAAADkAAAAQAAAAAAAAAAEAIAAAABEBAABkcnMvc2hhcGV4bWwueG1sUEsFBgAAAAAG&#10;AAYAWwEAALsDAAAAAA==&#10;">
                  <v:fill on="t" focussize="0,0"/>
                  <v:stroke on="f"/>
                  <v:imagedata o:title=""/>
                  <o:lock v:ext="edit" aspectratio="f"/>
                </v:rect>
                <v:shape id="AutoShape 264" o:spid="_x0000_s1026" o:spt="100" style="position:absolute;left:2622;top:5346;height:169;width:517;" filled="f" stroked="t" coordsize="517,169" o:gfxdata="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kf&#10;gtHCAAAA4gAAAA8AAAAAAAAAAQAgAAAAIgAAAGRycy9kb3ducmV2LnhtbFBLAQIUABQAAAAIAIdO&#10;4kAzLwWeOwAAADkAAAAQAAAAAAAAAAEAIAAAABEBAABkcnMvc2hhcGV4bWwueG1sUEsFBgAAAAAG&#10;AAYAWwEAALsDAAAAAA==&#10;" path="m0,67l0,52,2,40,5,30,8,21,13,14,19,9,25,4,33,1,42,1,49,1,55,3,61,6,66,8,70,12,74,18,77,23,80,29,82,37,83,44,84,54,84,67,84,82,83,95,80,104,77,113,72,120,66,125,60,130,52,133,42,133,30,133,20,129,13,120,8,110,4,99,1,84,0,67xm17,67l17,82,19,94,21,103,24,109,29,117,35,120,42,120,50,120,56,116,61,109,64,103,66,94,68,82,68,67,68,53,66,41,64,32,61,25,56,18,50,15,42,15,35,15,29,18,25,24,21,31,19,41,17,53,17,67xm185,169l179,160,173,151,168,141,163,130,159,119,156,107,155,96,154,84,154,74,156,64,158,54,161,44,165,33,171,22,177,11,185,0,196,0,189,12,185,21,182,26,179,34,176,42,174,51,171,62,170,73,170,84,172,105,177,126,185,148,196,169,185,169xm210,67l210,52,212,40,215,30,218,21,223,14,229,9,235,4,243,1,252,1,259,1,265,3,271,6,276,8,280,12,284,18,287,23,290,29,292,37,294,44,294,54,294,67,294,82,293,95,290,104,287,113,282,120,276,125,270,130,262,133,252,133,240,133,230,129,223,120,218,110,214,99,211,84,210,67xm227,67l227,82,229,94,231,103,234,109,239,117,245,120,252,120,260,120,266,116,271,109,274,103,276,94,278,82,278,67,278,53,276,41,274,32,271,25,266,18,260,15,252,15,245,15,239,18,235,24,231,31,229,41,227,53,227,67xm314,33l314,24,316,16,320,9,325,3,332,0,341,0,349,0,355,3,361,8,366,14,369,23,369,34,369,45,366,53,361,59,355,65,349,68,341,68,333,68,327,65,321,59,316,53,314,45,314,33xm341,11l337,11,334,12,331,16,329,19,327,25,327,34,327,43,329,49,331,52,334,55,337,57,341,57,345,57,348,55,351,52,354,48,355,42,355,33,355,25,354,19,351,16,348,12,345,11,341,11xm341,136l412,0,424,0,354,136,341,136xm397,101l397,91,399,83,404,77,408,71,415,67,424,67,432,67,439,70,444,76,449,82,452,90,452,102,452,112,449,121,444,127,439,133,432,136,424,136,416,136,410,133,405,127,399,121,397,112,397,101xm424,78l420,78,417,80,415,83,412,87,411,93,411,102,411,110,412,116,415,120,417,123,421,125,424,125,428,125,432,123,434,120,437,116,438,110,438,101,438,93,437,87,434,83,432,80,428,78,424,78xm485,169l474,169,486,148,494,126,499,105,500,84,500,73,499,62,497,51,495,43,492,34,488,26,486,21,481,12,474,0,485,0,493,11,500,22,505,33,510,44,513,54,515,64,516,74,517,84,516,96,514,107,511,119,507,130,503,141,497,151,492,160,485,169xe">
                  <v:path o:connectlocs="8,5368;42,5348;70,5359;83,5391;80,5451;52,5480;8,5457;17,5429;35,5467;64,5450;66,5388;42,5362;19,5388;173,5498;155,5443;161,5391;196,5347;176,5389;172,5452;210,5414;223,5361;259,5348;284,5365;294,5401;287,5460;252,5480;214,5446;229,5441;252,5467;276,5441;274,5379;245,5362;227,5400;320,5356;355,5350;369,5392;341,5415;314,5392;331,5363;329,5396;345,5404;355,5380;345,5358;354,5483;404,5424;439,5417;452,5459;424,5483;397,5459;415,5430;412,5463;428,5472;438,5448;428,5425;494,5473;497,5398;481,5359;505,5380;517,5431;503,5488" o:connectangles="0,0,0,0,0,0,0,0,0,0,0,0,0,0,0,0,0,0,0,0,0,0,0,0,0,0,0,0,0,0,0,0,0,0,0,0,0,0,0,0,0,0,0,0,0,0,0,0,0,0,0,0,0,0,0,0,0,0,0,0"/>
                  <v:fill on="f" focussize="0,0"/>
                  <v:stroke weight="2.25pt" color="#FFFFFF" joinstyle="round"/>
                  <v:imagedata o:title=""/>
                  <o:lock v:ext="edit" aspectratio="f"/>
                </v:shape>
                <v:shape id="Text Box 263" o:spid="_x0000_s1026" o:spt="202" type="#_x0000_t202" style="position:absolute;left:1162;top:722;height:1752;width:7928;" filled="f" stroked="f" coordsize="21600,21600" o:gfxdata="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GH&#10;0ZT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F185A4A">
                        <w:pPr>
                          <w:spacing w:line="300" w:lineRule="auto"/>
                          <w:ind w:right="10"/>
                        </w:pPr>
                        <w:r>
                          <w:rPr>
                            <w:color w:val="202024"/>
                          </w:rPr>
                          <w:t>9.</w:t>
                        </w:r>
                        <w:r>
                          <w:rPr>
                            <w:color w:val="202024"/>
                            <w:spacing w:val="5"/>
                          </w:rPr>
                          <w:t xml:space="preserve"> </w:t>
                        </w:r>
                        <w:r>
                          <w:rPr>
                            <w:color w:val="202024"/>
                          </w:rPr>
                          <w:t>In</w:t>
                        </w:r>
                        <w:r>
                          <w:rPr>
                            <w:color w:val="202024"/>
                            <w:spacing w:val="5"/>
                          </w:rPr>
                          <w:t xml:space="preserve"> </w:t>
                        </w:r>
                        <w:r>
                          <w:rPr>
                            <w:color w:val="202024"/>
                          </w:rPr>
                          <w:t>your</w:t>
                        </w:r>
                        <w:r>
                          <w:rPr>
                            <w:color w:val="202024"/>
                            <w:spacing w:val="5"/>
                          </w:rPr>
                          <w:t xml:space="preserve"> </w:t>
                        </w:r>
                        <w:r>
                          <w:rPr>
                            <w:color w:val="202024"/>
                          </w:rPr>
                          <w:t>experience,</w:t>
                        </w:r>
                        <w:r>
                          <w:rPr>
                            <w:color w:val="202024"/>
                            <w:spacing w:val="6"/>
                          </w:rPr>
                          <w:t xml:space="preserve"> </w:t>
                        </w:r>
                        <w:r>
                          <w:rPr>
                            <w:color w:val="202024"/>
                          </w:rPr>
                          <w:t>to</w:t>
                        </w:r>
                        <w:r>
                          <w:rPr>
                            <w:color w:val="202024"/>
                            <w:spacing w:val="5"/>
                          </w:rPr>
                          <w:t xml:space="preserve"> </w:t>
                        </w:r>
                        <w:r>
                          <w:rPr>
                            <w:color w:val="202024"/>
                          </w:rPr>
                          <w:t>what</w:t>
                        </w:r>
                        <w:r>
                          <w:rPr>
                            <w:color w:val="202024"/>
                            <w:spacing w:val="5"/>
                          </w:rPr>
                          <w:t xml:space="preserve"> </w:t>
                        </w:r>
                        <w:r>
                          <w:rPr>
                            <w:color w:val="202024"/>
                          </w:rPr>
                          <w:t>extent</w:t>
                        </w:r>
                        <w:r>
                          <w:rPr>
                            <w:color w:val="202024"/>
                            <w:spacing w:val="6"/>
                          </w:rPr>
                          <w:t xml:space="preserve"> </w:t>
                        </w:r>
                        <w:r>
                          <w:rPr>
                            <w:color w:val="202024"/>
                          </w:rPr>
                          <w:t>do</w:t>
                        </w:r>
                        <w:r>
                          <w:rPr>
                            <w:color w:val="202024"/>
                            <w:spacing w:val="5"/>
                          </w:rPr>
                          <w:t xml:space="preserve"> </w:t>
                        </w:r>
                        <w:r>
                          <w:rPr>
                            <w:color w:val="202024"/>
                          </w:rPr>
                          <w:t>ad-hoc</w:t>
                        </w:r>
                        <w:r>
                          <w:rPr>
                            <w:color w:val="202024"/>
                            <w:spacing w:val="5"/>
                          </w:rPr>
                          <w:t xml:space="preserve"> </w:t>
                        </w:r>
                        <w:r>
                          <w:rPr>
                            <w:color w:val="202024"/>
                          </w:rPr>
                          <w:t>fiscal</w:t>
                        </w:r>
                        <w:r>
                          <w:rPr>
                            <w:color w:val="202024"/>
                            <w:spacing w:val="6"/>
                          </w:rPr>
                          <w:t xml:space="preserve"> </w:t>
                        </w:r>
                        <w:r>
                          <w:rPr>
                            <w:color w:val="202024"/>
                          </w:rPr>
                          <w:t>incentives</w:t>
                        </w:r>
                        <w:r>
                          <w:rPr>
                            <w:color w:val="202024"/>
                            <w:spacing w:val="1"/>
                          </w:rPr>
                          <w:t xml:space="preserve"> </w:t>
                        </w:r>
                        <w:r>
                          <w:rPr>
                            <w:color w:val="202024"/>
                          </w:rPr>
                          <w:t>introduced</w:t>
                        </w:r>
                        <w:r>
                          <w:rPr>
                            <w:color w:val="202024"/>
                            <w:spacing w:val="10"/>
                          </w:rPr>
                          <w:t xml:space="preserve"> </w:t>
                        </w:r>
                        <w:r>
                          <w:rPr>
                            <w:color w:val="202024"/>
                          </w:rPr>
                          <w:t>to</w:t>
                        </w:r>
                        <w:r>
                          <w:rPr>
                            <w:color w:val="202024"/>
                            <w:spacing w:val="10"/>
                          </w:rPr>
                          <w:t xml:space="preserve"> </w:t>
                        </w:r>
                        <w:r>
                          <w:rPr>
                            <w:color w:val="202024"/>
                          </w:rPr>
                          <w:t>the</w:t>
                        </w:r>
                        <w:r>
                          <w:rPr>
                            <w:color w:val="202024"/>
                            <w:spacing w:val="10"/>
                          </w:rPr>
                          <w:t xml:space="preserve"> </w:t>
                        </w:r>
                        <w:r>
                          <w:rPr>
                            <w:color w:val="202024"/>
                          </w:rPr>
                          <w:t>PPTA,</w:t>
                        </w:r>
                        <w:r>
                          <w:rPr>
                            <w:color w:val="202024"/>
                            <w:spacing w:val="11"/>
                          </w:rPr>
                          <w:t xml:space="preserve"> </w:t>
                        </w:r>
                        <w:r>
                          <w:rPr>
                            <w:color w:val="202024"/>
                          </w:rPr>
                          <w:t>and</w:t>
                        </w:r>
                        <w:r>
                          <w:rPr>
                            <w:color w:val="202024"/>
                            <w:spacing w:val="10"/>
                          </w:rPr>
                          <w:t xml:space="preserve"> </w:t>
                        </w:r>
                        <w:r>
                          <w:rPr>
                            <w:color w:val="202024"/>
                          </w:rPr>
                          <w:t>piecemeal</w:t>
                        </w:r>
                        <w:r>
                          <w:rPr>
                            <w:color w:val="202024"/>
                            <w:spacing w:val="10"/>
                          </w:rPr>
                          <w:t xml:space="preserve"> </w:t>
                        </w:r>
                        <w:r>
                          <w:rPr>
                            <w:color w:val="202024"/>
                          </w:rPr>
                          <w:t>amendment</w:t>
                        </w:r>
                        <w:r>
                          <w:rPr>
                            <w:color w:val="202024"/>
                            <w:spacing w:val="11"/>
                          </w:rPr>
                          <w:t xml:space="preserve"> </w:t>
                        </w:r>
                        <w:r>
                          <w:rPr>
                            <w:color w:val="202024"/>
                          </w:rPr>
                          <w:t>of</w:t>
                        </w:r>
                        <w:r>
                          <w:rPr>
                            <w:color w:val="202024"/>
                            <w:spacing w:val="10"/>
                          </w:rPr>
                          <w:t xml:space="preserve"> </w:t>
                        </w:r>
                        <w:r>
                          <w:rPr>
                            <w:color w:val="202024"/>
                          </w:rPr>
                          <w:t>the</w:t>
                        </w:r>
                        <w:r>
                          <w:rPr>
                            <w:color w:val="202024"/>
                            <w:spacing w:val="10"/>
                          </w:rPr>
                          <w:t xml:space="preserve"> </w:t>
                        </w:r>
                        <w:r>
                          <w:rPr>
                            <w:color w:val="202024"/>
                          </w:rPr>
                          <w:t>PPTA,</w:t>
                        </w:r>
                        <w:r>
                          <w:rPr>
                            <w:color w:val="202024"/>
                            <w:spacing w:val="11"/>
                          </w:rPr>
                          <w:t xml:space="preserve"> </w:t>
                        </w:r>
                        <w:r>
                          <w:rPr>
                            <w:color w:val="202024"/>
                          </w:rPr>
                          <w:t>as</w:t>
                        </w:r>
                        <w:r>
                          <w:rPr>
                            <w:color w:val="202024"/>
                            <w:spacing w:val="10"/>
                          </w:rPr>
                          <w:t xml:space="preserve"> </w:t>
                        </w:r>
                        <w:r>
                          <w:rPr>
                            <w:color w:val="202024"/>
                          </w:rPr>
                          <w:t>well</w:t>
                        </w:r>
                        <w:r>
                          <w:rPr>
                            <w:color w:val="202024"/>
                            <w:spacing w:val="1"/>
                          </w:rPr>
                          <w:t xml:space="preserve"> </w:t>
                        </w:r>
                        <w:r>
                          <w:rPr>
                            <w:color w:val="202024"/>
                          </w:rPr>
                          <w:t>as</w:t>
                        </w:r>
                        <w:r>
                          <w:rPr>
                            <w:color w:val="202024"/>
                            <w:spacing w:val="5"/>
                          </w:rPr>
                          <w:t xml:space="preserve"> </w:t>
                        </w:r>
                        <w:r>
                          <w:rPr>
                            <w:color w:val="202024"/>
                          </w:rPr>
                          <w:t>the</w:t>
                        </w:r>
                        <w:r>
                          <w:rPr>
                            <w:color w:val="202024"/>
                            <w:spacing w:val="5"/>
                          </w:rPr>
                          <w:t xml:space="preserve"> </w:t>
                        </w:r>
                        <w:r>
                          <w:rPr>
                            <w:color w:val="202024"/>
                          </w:rPr>
                          <w:t>extra-legal</w:t>
                        </w:r>
                        <w:r>
                          <w:rPr>
                            <w:color w:val="202024"/>
                            <w:spacing w:val="5"/>
                          </w:rPr>
                          <w:t xml:space="preserve"> </w:t>
                        </w:r>
                        <w:r>
                          <w:rPr>
                            <w:color w:val="202024"/>
                          </w:rPr>
                          <w:t>agreements,</w:t>
                        </w:r>
                        <w:r>
                          <w:rPr>
                            <w:color w:val="202024"/>
                            <w:spacing w:val="5"/>
                          </w:rPr>
                          <w:t xml:space="preserve"> </w:t>
                        </w:r>
                        <w:r>
                          <w:rPr>
                            <w:color w:val="202024"/>
                          </w:rPr>
                          <w:t>impact</w:t>
                        </w:r>
                        <w:r>
                          <w:rPr>
                            <w:color w:val="202024"/>
                            <w:spacing w:val="5"/>
                          </w:rPr>
                          <w:t xml:space="preserve"> </w:t>
                        </w:r>
                        <w:r>
                          <w:rPr>
                            <w:color w:val="202024"/>
                          </w:rPr>
                          <w:t>clarity,</w:t>
                        </w:r>
                        <w:r>
                          <w:rPr>
                            <w:color w:val="202024"/>
                            <w:spacing w:val="6"/>
                          </w:rPr>
                          <w:t xml:space="preserve"> </w:t>
                        </w:r>
                        <w:r>
                          <w:rPr>
                            <w:color w:val="202024"/>
                          </w:rPr>
                          <w:t>certainty</w:t>
                        </w:r>
                        <w:r>
                          <w:rPr>
                            <w:color w:val="202024"/>
                            <w:spacing w:val="9"/>
                          </w:rPr>
                          <w:t xml:space="preserve"> </w:t>
                        </w:r>
                        <w:r>
                          <w:rPr>
                            <w:color w:val="202024"/>
                          </w:rPr>
                          <w:t>and</w:t>
                        </w:r>
                        <w:r>
                          <w:rPr>
                            <w:color w:val="202024"/>
                            <w:spacing w:val="5"/>
                          </w:rPr>
                          <w:t xml:space="preserve"> </w:t>
                        </w:r>
                        <w:r>
                          <w:rPr>
                            <w:color w:val="202024"/>
                          </w:rPr>
                          <w:t>consistency</w:t>
                        </w:r>
                        <w:r>
                          <w:rPr>
                            <w:color w:val="202024"/>
                            <w:spacing w:val="1"/>
                          </w:rPr>
                          <w:t xml:space="preserve"> </w:t>
                        </w:r>
                        <w:r>
                          <w:rPr>
                            <w:color w:val="202024"/>
                          </w:rPr>
                          <w:t>in</w:t>
                        </w:r>
                        <w:r>
                          <w:rPr>
                            <w:color w:val="202024"/>
                            <w:spacing w:val="8"/>
                          </w:rPr>
                          <w:t xml:space="preserve"> </w:t>
                        </w:r>
                        <w:r>
                          <w:rPr>
                            <w:color w:val="202024"/>
                          </w:rPr>
                          <w:t>understanding</w:t>
                        </w:r>
                        <w:r>
                          <w:rPr>
                            <w:color w:val="202024"/>
                            <w:spacing w:val="9"/>
                          </w:rPr>
                          <w:t xml:space="preserve"> </w:t>
                        </w:r>
                        <w:r>
                          <w:rPr>
                            <w:color w:val="202024"/>
                          </w:rPr>
                          <w:t>and</w:t>
                        </w:r>
                        <w:r>
                          <w:rPr>
                            <w:color w:val="202024"/>
                            <w:spacing w:val="9"/>
                          </w:rPr>
                          <w:t xml:space="preserve"> </w:t>
                        </w:r>
                        <w:r>
                          <w:rPr>
                            <w:color w:val="202024"/>
                          </w:rPr>
                          <w:t>interpretation</w:t>
                        </w:r>
                        <w:r>
                          <w:rPr>
                            <w:color w:val="202024"/>
                            <w:spacing w:val="9"/>
                          </w:rPr>
                          <w:t xml:space="preserve"> </w:t>
                        </w:r>
                        <w:r>
                          <w:rPr>
                            <w:color w:val="202024"/>
                          </w:rPr>
                          <w:t>of</w:t>
                        </w:r>
                        <w:r>
                          <w:rPr>
                            <w:color w:val="202024"/>
                            <w:spacing w:val="9"/>
                          </w:rPr>
                          <w:t xml:space="preserve"> </w:t>
                        </w:r>
                        <w:r>
                          <w:rPr>
                            <w:color w:val="202024"/>
                          </w:rPr>
                          <w:t>upstream</w:t>
                        </w:r>
                        <w:r>
                          <w:rPr>
                            <w:color w:val="202024"/>
                            <w:spacing w:val="8"/>
                          </w:rPr>
                          <w:t xml:space="preserve"> </w:t>
                        </w:r>
                        <w:r>
                          <w:rPr>
                            <w:color w:val="202024"/>
                          </w:rPr>
                          <w:t>oil</w:t>
                        </w:r>
                        <w:r>
                          <w:rPr>
                            <w:color w:val="202024"/>
                            <w:spacing w:val="9"/>
                          </w:rPr>
                          <w:t xml:space="preserve"> </w:t>
                        </w:r>
                        <w:r>
                          <w:rPr>
                            <w:color w:val="202024"/>
                          </w:rPr>
                          <w:t>and</w:t>
                        </w:r>
                        <w:r>
                          <w:rPr>
                            <w:color w:val="202024"/>
                            <w:spacing w:val="9"/>
                          </w:rPr>
                          <w:t xml:space="preserve"> </w:t>
                        </w:r>
                        <w:r>
                          <w:rPr>
                            <w:color w:val="202024"/>
                          </w:rPr>
                          <w:t>gas</w:t>
                        </w:r>
                        <w:r>
                          <w:rPr>
                            <w:color w:val="202024"/>
                            <w:spacing w:val="9"/>
                          </w:rPr>
                          <w:t xml:space="preserve"> </w:t>
                        </w:r>
                        <w:r>
                          <w:rPr>
                            <w:color w:val="202024"/>
                          </w:rPr>
                          <w:t>tax</w:t>
                        </w:r>
                        <w:r>
                          <w:rPr>
                            <w:color w:val="202024"/>
                            <w:spacing w:val="9"/>
                          </w:rPr>
                          <w:t xml:space="preserve"> </w:t>
                        </w:r>
                        <w:r>
                          <w:rPr>
                            <w:color w:val="202024"/>
                          </w:rPr>
                          <w:t>statutes.</w:t>
                        </w:r>
                      </w:p>
                      <w:p w14:paraId="144CAB44">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v:textbox>
                </v:shape>
                <v:shape id="Text Box 262" o:spid="_x0000_s1026" o:spt="202" type="#_x0000_t202" style="position:absolute;left:9958;top:761;height:200;width:550;" filled="f" stroked="f" coordsize="21600,21600" o:gfxdata="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RB&#10;q/P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A87EC88">
                        <w:pPr>
                          <w:spacing w:line="199" w:lineRule="exact"/>
                          <w:rPr>
                            <w:rFonts w:ascii="Lucida Sans Unicode"/>
                            <w:sz w:val="20"/>
                          </w:rPr>
                        </w:pPr>
                        <w:r>
                          <w:rPr>
                            <w:rFonts w:ascii="Lucida Sans Unicode"/>
                            <w:color w:val="1A73E7"/>
                            <w:w w:val="105"/>
                            <w:sz w:val="20"/>
                          </w:rPr>
                          <w:t>Copy</w:t>
                        </w:r>
                      </w:p>
                    </w:txbxContent>
                  </v:textbox>
                </v:shape>
                <v:shape id="Text Box 261" o:spid="_x0000_s1026" o:spt="202" type="#_x0000_t202" style="position:absolute;left:1689;top:2907;height:202;width:221;" filled="f" stroked="f" coordsize="21600,21600" o:gfxdata="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ewhE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0AE9CF14">
                        <w:pPr>
                          <w:spacing w:line="201" w:lineRule="exact"/>
                          <w:rPr>
                            <w:rFonts w:ascii="Arial MT"/>
                            <w:sz w:val="18"/>
                          </w:rPr>
                        </w:pPr>
                        <w:r>
                          <w:rPr>
                            <w:rFonts w:ascii="Arial MT"/>
                            <w:color w:val="444444"/>
                            <w:sz w:val="18"/>
                          </w:rPr>
                          <w:t>30</w:t>
                        </w:r>
                      </w:p>
                    </w:txbxContent>
                  </v:textbox>
                </v:shape>
                <v:shape id="Text Box 260" o:spid="_x0000_s1026" o:spt="202" type="#_x0000_t202" style="position:absolute;left:1689;top:3802;height:202;width:221;" filled="f" stroked="f" coordsize="21600,21600" o:gfxdata="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AP&#10;rAz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78C7AB7">
                        <w:pPr>
                          <w:spacing w:line="201" w:lineRule="exact"/>
                          <w:rPr>
                            <w:rFonts w:ascii="Arial MT"/>
                            <w:sz w:val="18"/>
                          </w:rPr>
                        </w:pPr>
                        <w:r>
                          <w:rPr>
                            <w:rFonts w:ascii="Arial MT"/>
                            <w:color w:val="444444"/>
                            <w:sz w:val="18"/>
                          </w:rPr>
                          <w:t>20</w:t>
                        </w:r>
                      </w:p>
                    </w:txbxContent>
                  </v:textbox>
                </v:shape>
                <v:shape id="Text Box 259" o:spid="_x0000_s1026" o:spt="202" type="#_x0000_t202" style="position:absolute;left:1689;top:4697;height:202;width:221;" filled="f" stroked="f" coordsize="21600,21600" o:gfxdata="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G2&#10;Cnv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FE90C03">
                        <w:pPr>
                          <w:spacing w:line="201" w:lineRule="exact"/>
                          <w:rPr>
                            <w:rFonts w:ascii="Arial MT"/>
                            <w:sz w:val="18"/>
                          </w:rPr>
                        </w:pPr>
                        <w:r>
                          <w:rPr>
                            <w:rFonts w:ascii="Arial MT"/>
                            <w:color w:val="444444"/>
                            <w:sz w:val="18"/>
                          </w:rPr>
                          <w:t>10</w:t>
                        </w:r>
                      </w:p>
                    </w:txbxContent>
                  </v:textbox>
                </v:shape>
                <v:shape id="Text Box 258" o:spid="_x0000_s1026" o:spt="202" type="#_x0000_t202" style="position:absolute;left:2614;top:5314;height:202;width:551;" filled="f" stroked="f" coordsize="21600,21600" o:gfxdata="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Qsrcc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5F2DD332">
                        <w:pPr>
                          <w:spacing w:line="201" w:lineRule="exact"/>
                          <w:rPr>
                            <w:rFonts w:ascii="Arial MT"/>
                            <w:sz w:val="18"/>
                          </w:rPr>
                        </w:pPr>
                        <w:r>
                          <w:rPr>
                            <w:rFonts w:ascii="Arial MT"/>
                            <w:color w:val="202024"/>
                            <w:sz w:val="18"/>
                          </w:rPr>
                          <w:t>0 (0%)</w:t>
                        </w:r>
                      </w:p>
                    </w:txbxContent>
                  </v:textbox>
                </v:shape>
                <v:shape id="Text Box 257" o:spid="_x0000_s1026" o:spt="202" type="#_x0000_t202" style="position:absolute;left:1789;top:5592;height:202;width:121;" filled="f" stroked="f" coordsize="21600,21600" o:gfxdata="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mV9Ir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733FBB29">
                        <w:pPr>
                          <w:spacing w:line="201" w:lineRule="exact"/>
                          <w:rPr>
                            <w:rFonts w:ascii="Arial MT"/>
                            <w:sz w:val="18"/>
                          </w:rPr>
                        </w:pPr>
                        <w:r>
                          <w:rPr>
                            <w:rFonts w:ascii="Arial MT"/>
                            <w:color w:val="444444"/>
                            <w:sz w:val="18"/>
                          </w:rPr>
                          <w:t>0</w:t>
                        </w:r>
                      </w:p>
                    </w:txbxContent>
                  </v:textbox>
                </v:shape>
                <v:shape id="Text Box 256" o:spid="_x0000_s1026" o:spt="202" type="#_x0000_t202" style="position:absolute;left:2838;top:5794;height:202;width:121;" filled="f" stroked="f" coordsize="21600,21600" o:gfxdata="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Cims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82B8E5D">
                        <w:pPr>
                          <w:spacing w:line="201" w:lineRule="exact"/>
                          <w:rPr>
                            <w:rFonts w:ascii="Arial MT"/>
                            <w:sz w:val="18"/>
                          </w:rPr>
                        </w:pPr>
                        <w:r>
                          <w:rPr>
                            <w:rFonts w:ascii="Arial MT"/>
                            <w:color w:val="212121"/>
                            <w:sz w:val="18"/>
                          </w:rPr>
                          <w:t>1</w:t>
                        </w:r>
                      </w:p>
                    </w:txbxContent>
                  </v:textbox>
                </v:shape>
                <v:shape id="Text Box 255" o:spid="_x0000_s1026" o:spt="202" type="#_x0000_t202" style="position:absolute;left:4461;top:5794;height:202;width:121;" filled="f" stroked="f" coordsize="21600,21600" o:gfxdata="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xU&#10;mVb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0991BFD">
                        <w:pPr>
                          <w:spacing w:line="201" w:lineRule="exact"/>
                          <w:rPr>
                            <w:rFonts w:ascii="Arial MT"/>
                            <w:sz w:val="18"/>
                          </w:rPr>
                        </w:pPr>
                        <w:r>
                          <w:rPr>
                            <w:rFonts w:ascii="Arial MT"/>
                            <w:color w:val="212121"/>
                            <w:sz w:val="18"/>
                          </w:rPr>
                          <w:t>2</w:t>
                        </w:r>
                      </w:p>
                    </w:txbxContent>
                  </v:textbox>
                </v:shape>
                <v:shape id="Text Box 254" o:spid="_x0000_s1026" o:spt="202" type="#_x0000_t202" style="position:absolute;left:6084;top:5794;height:202;width:121;" filled="f" stroked="f" coordsize="21600,21600" o:gfxdata="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opO&#10;X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B61250A">
                        <w:pPr>
                          <w:spacing w:line="201" w:lineRule="exact"/>
                          <w:rPr>
                            <w:rFonts w:ascii="Arial MT"/>
                            <w:sz w:val="18"/>
                          </w:rPr>
                        </w:pPr>
                        <w:r>
                          <w:rPr>
                            <w:rFonts w:ascii="Arial MT"/>
                            <w:color w:val="212121"/>
                            <w:sz w:val="18"/>
                          </w:rPr>
                          <w:t>3</w:t>
                        </w:r>
                      </w:p>
                    </w:txbxContent>
                  </v:textbox>
                </v:shape>
                <v:shape id="Text Box 253" o:spid="_x0000_s1026" o:spt="202" type="#_x0000_t202" style="position:absolute;left:7707;top:5794;height:202;width:121;" filled="f" stroked="f" coordsize="21600,21600" o:gfxdata="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Y5&#10;qBf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8DC53C0">
                        <w:pPr>
                          <w:spacing w:line="201" w:lineRule="exact"/>
                          <w:rPr>
                            <w:rFonts w:ascii="Arial MT"/>
                            <w:sz w:val="18"/>
                          </w:rPr>
                        </w:pPr>
                        <w:r>
                          <w:rPr>
                            <w:rFonts w:ascii="Arial MT"/>
                            <w:color w:val="212121"/>
                            <w:sz w:val="18"/>
                          </w:rPr>
                          <w:t>4</w:t>
                        </w:r>
                      </w:p>
                    </w:txbxContent>
                  </v:textbox>
                </v:shape>
                <v:shape id="Text Box 252" o:spid="_x0000_s1026" o:spt="202" type="#_x0000_t202" style="position:absolute;left:9330;top:5794;height:202;width:121;" filled="f" stroked="f" coordsize="21600,21600" o:gfxdata="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0F&#10;dB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E96E943">
                        <w:pPr>
                          <w:spacing w:line="201" w:lineRule="exact"/>
                          <w:rPr>
                            <w:rFonts w:ascii="Arial MT"/>
                            <w:sz w:val="18"/>
                          </w:rPr>
                        </w:pPr>
                        <w:r>
                          <w:rPr>
                            <w:rFonts w:ascii="Arial MT"/>
                            <w:color w:val="212121"/>
                            <w:sz w:val="18"/>
                          </w:rPr>
                          <w:t>5</w:t>
                        </w:r>
                      </w:p>
                    </w:txbxContent>
                  </v:textbox>
                </v:shape>
                <v:shape id="Text Box 251" o:spid="_x0000_s1026" o:spt="202" type="#_x0000_t202" style="position:absolute;left:4005;top:5160;height:525;width:1005;" fillcolor="#663AB6" filled="t" stroked="f" coordsize="21600,21600" o:gfxdata="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ji&#10;NsEAAADi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14:paraId="6281448C">
                        <w:pPr>
                          <w:spacing w:before="14"/>
                          <w:rPr>
                            <w:rFonts w:ascii="Arial MT"/>
                            <w:sz w:val="18"/>
                          </w:rPr>
                        </w:pPr>
                        <w:r>
                          <w:rPr>
                            <w:rFonts w:ascii="Arial MT"/>
                            <w:color w:val="FFFFFF"/>
                            <w:sz w:val="18"/>
                          </w:rPr>
                          <w:t>6 (8%)</w:t>
                        </w:r>
                      </w:p>
                    </w:txbxContent>
                  </v:textbox>
                </v:shape>
                <v:shape id="Text Box 250" o:spid="_x0000_s1026" o:spt="202" type="#_x0000_t202" style="position:absolute;left:5640;top:4095;height:1590;width:990;" fillcolor="#663AB6" filled="t" stroked="f" coordsize="21600,21600" o:gfxdata="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ah&#10;SdjCAAAA4g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14:paraId="0125AF7A">
                        <w:pPr>
                          <w:spacing w:before="14"/>
                          <w:rPr>
                            <w:rFonts w:ascii="Arial MT"/>
                            <w:sz w:val="18"/>
                          </w:rPr>
                        </w:pPr>
                        <w:r>
                          <w:rPr>
                            <w:rFonts w:ascii="Arial MT"/>
                            <w:color w:val="FFFFFF"/>
                            <w:sz w:val="18"/>
                          </w:rPr>
                          <w:t>18 (24%)</w:t>
                        </w:r>
                      </w:p>
                    </w:txbxContent>
                  </v:textbox>
                </v:shape>
                <v:shape id="Text Box 249" o:spid="_x0000_s1026" o:spt="202" type="#_x0000_t202" style="position:absolute;left:8880;top:3645;height:2040;width:1005;" fillcolor="#663AB6" filled="t" stroked="f" coordsize="21600,21600" o:gfxdata="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2mX0wwAAAOMAAAAPAAAAAAAAAAEAIAAAACIAAABkcnMvZG93bnJldi54bWxQSwECFAAUAAAACACH&#10;TuJAMy8FnjsAAAA5AAAAEAAAAAAAAAABACAAAAASAQAAZHJzL3NoYXBleG1sLnhtbFBLBQYAAAAA&#10;BgAGAFsBAAC8AwAAAAA=&#10;">
                  <v:fill on="t" focussize="0,0"/>
                  <v:stroke on="f"/>
                  <v:imagedata o:title=""/>
                  <o:lock v:ext="edit" aspectratio="f"/>
                  <v:textbox inset="0mm,0mm,0mm,0mm">
                    <w:txbxContent>
                      <w:p w14:paraId="56CE8CEC">
                        <w:pPr>
                          <w:spacing w:before="14"/>
                          <w:rPr>
                            <w:rFonts w:ascii="Arial MT"/>
                            <w:sz w:val="18"/>
                          </w:rPr>
                        </w:pPr>
                        <w:r>
                          <w:rPr>
                            <w:rFonts w:ascii="Arial MT"/>
                            <w:color w:val="FFFFFF"/>
                            <w:sz w:val="18"/>
                          </w:rPr>
                          <w:t>23 (30.7%)</w:t>
                        </w:r>
                      </w:p>
                    </w:txbxContent>
                  </v:textbox>
                </v:shape>
                <v:shape id="Text Box 248" o:spid="_x0000_s1026" o:spt="202" type="#_x0000_t202" style="position:absolute;left:7260;top:3195;height:2490;width:1005;" fillcolor="#663AB6" filled="t" stroked="f" coordsize="21600,21600" o:gfxdata="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H0&#10;pq7CAAAA4g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14:paraId="3E6B43C3">
                        <w:pPr>
                          <w:spacing w:before="14"/>
                          <w:rPr>
                            <w:rFonts w:ascii="Arial MT"/>
                            <w:sz w:val="18"/>
                          </w:rPr>
                        </w:pPr>
                        <w:r>
                          <w:rPr>
                            <w:rFonts w:ascii="Arial MT"/>
                            <w:color w:val="FFFFFF"/>
                            <w:sz w:val="18"/>
                          </w:rPr>
                          <w:t>28 (37.3%)</w:t>
                        </w:r>
                      </w:p>
                    </w:txbxContent>
                  </v:textbox>
                </v:shape>
              </v:group>
            </w:pict>
          </mc:Fallback>
        </mc:AlternateContent>
      </w:r>
    </w:p>
    <w:p w14:paraId="3F02DBEE">
      <w:pPr>
        <w:widowControl w:val="0"/>
        <w:autoSpaceDE w:val="0"/>
        <w:autoSpaceDN w:val="0"/>
        <w:rPr>
          <w:rFonts w:ascii="Arial MT" w:hAnsi="Roboto" w:eastAsia="Roboto" w:cs="Roboto"/>
          <w:sz w:val="17"/>
          <w:szCs w:val="22"/>
        </w:rPr>
        <w:sectPr>
          <w:pgSz w:w="11900" w:h="16840"/>
          <w:pgMar w:top="480" w:right="1280" w:bottom="1680" w:left="1040" w:header="269" w:footer="1490" w:gutter="0"/>
          <w:cols w:space="720" w:num="1"/>
        </w:sectPr>
      </w:pPr>
    </w:p>
    <w:p w14:paraId="6BBC062F">
      <w:pPr>
        <w:widowControl w:val="0"/>
        <w:autoSpaceDE w:val="0"/>
        <w:autoSpaceDN w:val="0"/>
        <w:spacing w:before="4"/>
        <w:rPr>
          <w:rFonts w:ascii="Arial MT" w:hAnsi="Roboto" w:eastAsia="Roboto" w:cs="Roboto"/>
          <w:sz w:val="12"/>
          <w:szCs w:val="21"/>
        </w:rPr>
      </w:pPr>
    </w:p>
    <w:p w14:paraId="27463947">
      <w:pPr>
        <w:widowControl w:val="0"/>
        <w:autoSpaceDE w:val="0"/>
        <w:autoSpaceDN w:val="0"/>
        <w:spacing w:before="94"/>
        <w:jc w:val="both"/>
        <w:outlineLvl w:val="0"/>
        <w:rPr>
          <w:rFonts w:eastAsia="Roboto"/>
        </w:rPr>
      </w:pPr>
      <w:r>
        <w:rPr>
          <w:rFonts w:eastAsia="Roboto"/>
        </w:rPr>
        <w:drawing>
          <wp:anchor distT="0" distB="0" distL="0" distR="0" simplePos="0" relativeHeight="251703296" behindDoc="1" locked="0" layoutInCell="1" allowOverlap="1">
            <wp:simplePos x="0" y="0"/>
            <wp:positionH relativeFrom="margin">
              <wp:posOffset>117475</wp:posOffset>
            </wp:positionH>
            <wp:positionV relativeFrom="page">
              <wp:posOffset>487045</wp:posOffset>
            </wp:positionV>
            <wp:extent cx="6276975" cy="9981565"/>
            <wp:effectExtent l="0" t="0" r="0" b="635"/>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pic:cNvPicPr>
                  </pic:nvPicPr>
                  <pic:blipFill>
                    <a:blip r:embed="rId113"/>
                    <a:stretch>
                      <a:fillRect/>
                    </a:stretch>
                  </pic:blipFill>
                  <pic:spPr>
                    <a:xfrm>
                      <a:off x="0" y="0"/>
                      <a:ext cx="6276975" cy="9981565"/>
                    </a:xfrm>
                    <a:prstGeom prst="rect">
                      <a:avLst/>
                    </a:prstGeom>
                    <a:noFill/>
                    <a:ln>
                      <a:noFill/>
                    </a:ln>
                  </pic:spPr>
                </pic:pic>
              </a:graphicData>
            </a:graphic>
          </wp:anchor>
        </w:drawing>
      </w:r>
      <w:r>
        <w:rPr>
          <w:rFonts w:eastAsia="Roboto"/>
          <w:color w:val="202024"/>
        </w:rPr>
        <w:t>Please</w:t>
      </w:r>
      <w:r>
        <w:rPr>
          <w:rFonts w:eastAsia="Roboto"/>
          <w:color w:val="202024"/>
          <w:spacing w:val="11"/>
        </w:rPr>
        <w:t xml:space="preserve"> </w:t>
      </w:r>
      <w:r>
        <w:rPr>
          <w:rFonts w:eastAsia="Roboto"/>
          <w:color w:val="202024"/>
        </w:rPr>
        <w:t>add</w:t>
      </w:r>
      <w:r>
        <w:rPr>
          <w:rFonts w:eastAsia="Roboto"/>
          <w:color w:val="202024"/>
          <w:spacing w:val="12"/>
        </w:rPr>
        <w:t xml:space="preserve"> </w:t>
      </w:r>
      <w:r>
        <w:rPr>
          <w:rFonts w:eastAsia="Roboto"/>
          <w:color w:val="202024"/>
        </w:rPr>
        <w:t>any</w:t>
      </w:r>
      <w:r>
        <w:rPr>
          <w:rFonts w:eastAsia="Roboto"/>
          <w:color w:val="202024"/>
          <w:spacing w:val="12"/>
        </w:rPr>
        <w:t xml:space="preserve"> </w:t>
      </w:r>
      <w:r>
        <w:rPr>
          <w:rFonts w:eastAsia="Roboto"/>
          <w:color w:val="202024"/>
        </w:rPr>
        <w:t>other</w:t>
      </w:r>
      <w:r>
        <w:rPr>
          <w:rFonts w:eastAsia="Roboto"/>
          <w:color w:val="202024"/>
          <w:spacing w:val="11"/>
        </w:rPr>
        <w:t xml:space="preserve"> </w:t>
      </w:r>
      <w:r>
        <w:rPr>
          <w:rFonts w:eastAsia="Roboto"/>
          <w:color w:val="202024"/>
        </w:rPr>
        <w:t>comments</w:t>
      </w:r>
      <w:r>
        <w:rPr>
          <w:rFonts w:eastAsia="Roboto"/>
          <w:color w:val="202024"/>
          <w:spacing w:val="12"/>
        </w:rPr>
        <w:t xml:space="preserve"> </w:t>
      </w:r>
      <w:r>
        <w:rPr>
          <w:rFonts w:eastAsia="Roboto"/>
          <w:color w:val="202024"/>
        </w:rPr>
        <w:t>below_2:</w:t>
      </w:r>
    </w:p>
    <w:p w14:paraId="4C102A8A">
      <w:pPr>
        <w:widowControl w:val="0"/>
        <w:autoSpaceDE w:val="0"/>
        <w:autoSpaceDN w:val="0"/>
        <w:spacing w:before="174"/>
        <w:jc w:val="both"/>
        <w:rPr>
          <w:rFonts w:eastAsia="Roboto"/>
        </w:rPr>
      </w:pPr>
      <w:r>
        <w:rPr>
          <w:rFonts w:eastAsia="Roboto"/>
          <w:color w:val="202024"/>
        </w:rPr>
        <w:t>15</w:t>
      </w:r>
      <w:r>
        <w:rPr>
          <w:rFonts w:eastAsia="Roboto"/>
          <w:color w:val="202024"/>
          <w:spacing w:val="20"/>
        </w:rPr>
        <w:t xml:space="preserve"> </w:t>
      </w:r>
      <w:r>
        <w:rPr>
          <w:rFonts w:eastAsia="Roboto"/>
          <w:color w:val="202024"/>
        </w:rPr>
        <w:t>responses</w:t>
      </w:r>
    </w:p>
    <w:p w14:paraId="233CD07E">
      <w:pPr>
        <w:widowControl w:val="0"/>
        <w:autoSpaceDE w:val="0"/>
        <w:autoSpaceDN w:val="0"/>
        <w:jc w:val="both"/>
        <w:rPr>
          <w:rFonts w:eastAsia="Roboto"/>
        </w:rPr>
      </w:pPr>
    </w:p>
    <w:p w14:paraId="6F173BE0">
      <w:pPr>
        <w:widowControl w:val="0"/>
        <w:autoSpaceDE w:val="0"/>
        <w:autoSpaceDN w:val="0"/>
        <w:spacing w:before="8"/>
        <w:jc w:val="both"/>
        <w:rPr>
          <w:rFonts w:eastAsia="Roboto"/>
        </w:rPr>
      </w:pPr>
    </w:p>
    <w:p w14:paraId="6960F2DD">
      <w:pPr>
        <w:widowControl w:val="0"/>
        <w:autoSpaceDE w:val="0"/>
        <w:autoSpaceDN w:val="0"/>
        <w:spacing w:line="285" w:lineRule="auto"/>
        <w:ind w:right="1157"/>
        <w:jc w:val="both"/>
        <w:rPr>
          <w:rFonts w:eastAsia="Roboto"/>
        </w:rPr>
      </w:pPr>
      <w:r>
        <w:rPr>
          <w:rFonts w:eastAsia="Roboto"/>
          <w:color w:val="202024"/>
        </w:rPr>
        <w:t>The</w:t>
      </w:r>
      <w:r>
        <w:rPr>
          <w:rFonts w:eastAsia="Roboto"/>
          <w:color w:val="202024"/>
          <w:spacing w:val="12"/>
        </w:rPr>
        <w:t xml:space="preserve"> </w:t>
      </w:r>
      <w:r>
        <w:rPr>
          <w:rFonts w:eastAsia="Roboto"/>
          <w:color w:val="202024"/>
        </w:rPr>
        <w:t>introduction</w:t>
      </w:r>
      <w:r>
        <w:rPr>
          <w:rFonts w:eastAsia="Roboto"/>
          <w:color w:val="202024"/>
          <w:spacing w:val="13"/>
        </w:rPr>
        <w:t xml:space="preserve"> </w:t>
      </w:r>
      <w:r>
        <w:rPr>
          <w:rFonts w:eastAsia="Roboto"/>
          <w:color w:val="202024"/>
        </w:rPr>
        <w:t>of</w:t>
      </w:r>
      <w:r>
        <w:rPr>
          <w:rFonts w:eastAsia="Roboto"/>
          <w:color w:val="202024"/>
          <w:spacing w:val="12"/>
        </w:rPr>
        <w:t xml:space="preserve"> </w:t>
      </w:r>
      <w:r>
        <w:rPr>
          <w:rFonts w:eastAsia="Roboto"/>
          <w:color w:val="202024"/>
        </w:rPr>
        <w:t>piecemeal</w:t>
      </w:r>
      <w:r>
        <w:rPr>
          <w:rFonts w:eastAsia="Roboto"/>
          <w:color w:val="202024"/>
          <w:spacing w:val="13"/>
        </w:rPr>
        <w:t xml:space="preserve"> </w:t>
      </w:r>
      <w:r>
        <w:rPr>
          <w:rFonts w:eastAsia="Roboto"/>
          <w:color w:val="202024"/>
        </w:rPr>
        <w:t>legislation</w:t>
      </w:r>
      <w:r>
        <w:rPr>
          <w:rFonts w:eastAsia="Roboto"/>
          <w:color w:val="202024"/>
          <w:spacing w:val="12"/>
        </w:rPr>
        <w:t xml:space="preserve"> </w:t>
      </w:r>
      <w:r>
        <w:rPr>
          <w:rFonts w:eastAsia="Roboto"/>
          <w:color w:val="202024"/>
        </w:rPr>
        <w:t>more</w:t>
      </w:r>
      <w:r>
        <w:rPr>
          <w:rFonts w:eastAsia="Roboto"/>
          <w:color w:val="202024"/>
          <w:spacing w:val="13"/>
        </w:rPr>
        <w:t xml:space="preserve"> </w:t>
      </w:r>
      <w:r>
        <w:rPr>
          <w:rFonts w:eastAsia="Roboto"/>
          <w:color w:val="202024"/>
        </w:rPr>
        <w:t>often</w:t>
      </w:r>
      <w:r>
        <w:rPr>
          <w:rFonts w:eastAsia="Roboto"/>
          <w:color w:val="202024"/>
          <w:spacing w:val="12"/>
        </w:rPr>
        <w:t xml:space="preserve"> </w:t>
      </w:r>
      <w:r>
        <w:rPr>
          <w:rFonts w:eastAsia="Roboto"/>
          <w:color w:val="202024"/>
        </w:rPr>
        <w:t>than</w:t>
      </w:r>
      <w:r>
        <w:rPr>
          <w:rFonts w:eastAsia="Roboto"/>
          <w:color w:val="202024"/>
          <w:spacing w:val="13"/>
        </w:rPr>
        <w:t xml:space="preserve"> </w:t>
      </w:r>
      <w:r>
        <w:rPr>
          <w:rFonts w:eastAsia="Roboto"/>
          <w:color w:val="202024"/>
        </w:rPr>
        <w:t>not</w:t>
      </w:r>
      <w:r>
        <w:rPr>
          <w:rFonts w:eastAsia="Roboto"/>
          <w:color w:val="202024"/>
          <w:spacing w:val="13"/>
        </w:rPr>
        <w:t xml:space="preserve"> </w:t>
      </w:r>
      <w:r>
        <w:rPr>
          <w:rFonts w:eastAsia="Roboto"/>
          <w:color w:val="202024"/>
        </w:rPr>
        <w:t>brings</w:t>
      </w:r>
      <w:r>
        <w:rPr>
          <w:rFonts w:eastAsia="Roboto"/>
          <w:color w:val="202024"/>
          <w:spacing w:val="12"/>
        </w:rPr>
        <w:t xml:space="preserve"> </w:t>
      </w:r>
      <w:r>
        <w:rPr>
          <w:rFonts w:eastAsia="Roboto"/>
          <w:color w:val="202024"/>
        </w:rPr>
        <w:t>about</w:t>
      </w:r>
      <w:r>
        <w:rPr>
          <w:rFonts w:eastAsia="Roboto"/>
          <w:color w:val="202024"/>
          <w:spacing w:val="13"/>
        </w:rPr>
        <w:t xml:space="preserve"> </w:t>
      </w:r>
      <w:r>
        <w:rPr>
          <w:rFonts w:eastAsia="Roboto"/>
          <w:color w:val="202024"/>
        </w:rPr>
        <w:t>conflict</w:t>
      </w:r>
      <w:r>
        <w:rPr>
          <w:rFonts w:eastAsia="Roboto"/>
          <w:color w:val="202024"/>
          <w:spacing w:val="12"/>
        </w:rPr>
        <w:t xml:space="preserve"> </w:t>
      </w:r>
      <w:r>
        <w:rPr>
          <w:rFonts w:eastAsia="Roboto"/>
          <w:color w:val="202024"/>
        </w:rPr>
        <w:t>in</w:t>
      </w:r>
      <w:r>
        <w:rPr>
          <w:rFonts w:eastAsia="Roboto"/>
          <w:color w:val="202024"/>
          <w:spacing w:val="-49"/>
        </w:rPr>
        <w:t xml:space="preserve"> </w:t>
      </w:r>
      <w:r>
        <w:rPr>
          <w:rFonts w:eastAsia="Roboto"/>
          <w:color w:val="202024"/>
        </w:rPr>
        <w:t>interpretation</w:t>
      </w:r>
      <w:r>
        <w:rPr>
          <w:rFonts w:eastAsia="Roboto"/>
          <w:color w:val="202024"/>
          <w:spacing w:val="5"/>
        </w:rPr>
        <w:t xml:space="preserve"> </w:t>
      </w:r>
      <w:r>
        <w:rPr>
          <w:rFonts w:eastAsia="Roboto"/>
          <w:color w:val="202024"/>
        </w:rPr>
        <w:t>which</w:t>
      </w:r>
      <w:r>
        <w:rPr>
          <w:rFonts w:eastAsia="Roboto"/>
          <w:color w:val="202024"/>
          <w:spacing w:val="6"/>
        </w:rPr>
        <w:t xml:space="preserve"> </w:t>
      </w:r>
      <w:r>
        <w:rPr>
          <w:rFonts w:eastAsia="Roboto"/>
          <w:color w:val="202024"/>
        </w:rPr>
        <w:t>impacts</w:t>
      </w:r>
      <w:r>
        <w:rPr>
          <w:rFonts w:eastAsia="Roboto"/>
          <w:color w:val="202024"/>
          <w:spacing w:val="6"/>
        </w:rPr>
        <w:t xml:space="preserve"> </w:t>
      </w:r>
      <w:r>
        <w:rPr>
          <w:rFonts w:eastAsia="Roboto"/>
          <w:color w:val="202024"/>
        </w:rPr>
        <w:t>on</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ability</w:t>
      </w:r>
      <w:r>
        <w:rPr>
          <w:rFonts w:eastAsia="Roboto"/>
          <w:color w:val="202024"/>
          <w:spacing w:val="6"/>
        </w:rPr>
        <w:t xml:space="preserve"> </w:t>
      </w:r>
      <w:r>
        <w:rPr>
          <w:rFonts w:eastAsia="Roboto"/>
          <w:color w:val="202024"/>
        </w:rPr>
        <w:t>to</w:t>
      </w:r>
      <w:r>
        <w:rPr>
          <w:rFonts w:eastAsia="Roboto"/>
          <w:color w:val="202024"/>
          <w:spacing w:val="6"/>
        </w:rPr>
        <w:t xml:space="preserve"> </w:t>
      </w:r>
      <w:r>
        <w:rPr>
          <w:rFonts w:eastAsia="Roboto"/>
          <w:color w:val="202024"/>
        </w:rPr>
        <w:t>achieve</w:t>
      </w:r>
      <w:r>
        <w:rPr>
          <w:rFonts w:eastAsia="Roboto"/>
          <w:color w:val="202024"/>
          <w:spacing w:val="6"/>
        </w:rPr>
        <w:t xml:space="preserve"> </w:t>
      </w:r>
      <w:r>
        <w:rPr>
          <w:rFonts w:eastAsia="Roboto"/>
          <w:color w:val="202024"/>
        </w:rPr>
        <w:t>certainty</w:t>
      </w:r>
    </w:p>
    <w:p w14:paraId="4751F71B">
      <w:pPr>
        <w:widowControl w:val="0"/>
        <w:autoSpaceDE w:val="0"/>
        <w:autoSpaceDN w:val="0"/>
        <w:jc w:val="both"/>
        <w:rPr>
          <w:rFonts w:eastAsia="Roboto"/>
        </w:rPr>
      </w:pPr>
    </w:p>
    <w:p w14:paraId="2E819316">
      <w:pPr>
        <w:widowControl w:val="0"/>
        <w:autoSpaceDE w:val="0"/>
        <w:autoSpaceDN w:val="0"/>
        <w:jc w:val="both"/>
        <w:rPr>
          <w:rFonts w:eastAsia="Roboto"/>
        </w:rPr>
      </w:pPr>
      <w:r>
        <w:rPr>
          <w:rFonts w:eastAsia="Roboto"/>
          <w:color w:val="202024"/>
        </w:rPr>
        <w:t>Hopefully,</w:t>
      </w:r>
      <w:r>
        <w:rPr>
          <w:rFonts w:eastAsia="Roboto"/>
          <w:color w:val="202024"/>
          <w:spacing w:val="11"/>
        </w:rPr>
        <w:t xml:space="preserve"> </w:t>
      </w:r>
      <w:r>
        <w:rPr>
          <w:rFonts w:eastAsia="Roboto"/>
          <w:color w:val="202024"/>
        </w:rPr>
        <w:t>the</w:t>
      </w:r>
      <w:r>
        <w:rPr>
          <w:rFonts w:eastAsia="Roboto"/>
          <w:color w:val="202024"/>
          <w:spacing w:val="12"/>
        </w:rPr>
        <w:t xml:space="preserve"> </w:t>
      </w:r>
      <w:r>
        <w:rPr>
          <w:rFonts w:eastAsia="Roboto"/>
          <w:color w:val="202024"/>
        </w:rPr>
        <w:t>PIA</w:t>
      </w:r>
      <w:r>
        <w:rPr>
          <w:rFonts w:eastAsia="Roboto"/>
          <w:color w:val="202024"/>
          <w:spacing w:val="11"/>
        </w:rPr>
        <w:t xml:space="preserve"> </w:t>
      </w:r>
      <w:r>
        <w:rPr>
          <w:rFonts w:eastAsia="Roboto"/>
          <w:color w:val="202024"/>
        </w:rPr>
        <w:t>has</w:t>
      </w:r>
      <w:r>
        <w:rPr>
          <w:rFonts w:eastAsia="Roboto"/>
          <w:color w:val="202024"/>
          <w:spacing w:val="12"/>
        </w:rPr>
        <w:t xml:space="preserve"> </w:t>
      </w:r>
      <w:r>
        <w:rPr>
          <w:rFonts w:eastAsia="Roboto"/>
          <w:color w:val="202024"/>
        </w:rPr>
        <w:t>addressed</w:t>
      </w:r>
      <w:r>
        <w:rPr>
          <w:rFonts w:eastAsia="Roboto"/>
          <w:color w:val="202024"/>
          <w:spacing w:val="11"/>
        </w:rPr>
        <w:t xml:space="preserve"> </w:t>
      </w:r>
      <w:r>
        <w:rPr>
          <w:rFonts w:eastAsia="Roboto"/>
          <w:color w:val="202024"/>
        </w:rPr>
        <w:t>some</w:t>
      </w:r>
      <w:r>
        <w:rPr>
          <w:rFonts w:eastAsia="Roboto"/>
          <w:color w:val="202024"/>
          <w:spacing w:val="12"/>
        </w:rPr>
        <w:t xml:space="preserve"> </w:t>
      </w:r>
      <w:r>
        <w:rPr>
          <w:rFonts w:eastAsia="Roboto"/>
          <w:color w:val="202024"/>
        </w:rPr>
        <w:t>of</w:t>
      </w:r>
      <w:r>
        <w:rPr>
          <w:rFonts w:eastAsia="Roboto"/>
          <w:color w:val="202024"/>
          <w:spacing w:val="12"/>
        </w:rPr>
        <w:t xml:space="preserve"> </w:t>
      </w:r>
      <w:r>
        <w:rPr>
          <w:rFonts w:eastAsia="Roboto"/>
          <w:color w:val="202024"/>
        </w:rPr>
        <w:t>the</w:t>
      </w:r>
      <w:r>
        <w:rPr>
          <w:rFonts w:eastAsia="Roboto"/>
          <w:color w:val="202024"/>
          <w:spacing w:val="11"/>
        </w:rPr>
        <w:t xml:space="preserve"> </w:t>
      </w:r>
      <w:r>
        <w:rPr>
          <w:rFonts w:eastAsia="Roboto"/>
          <w:color w:val="202024"/>
        </w:rPr>
        <w:t>issues</w:t>
      </w:r>
      <w:r>
        <w:rPr>
          <w:rFonts w:eastAsia="Roboto"/>
          <w:color w:val="202024"/>
          <w:spacing w:val="12"/>
        </w:rPr>
        <w:t xml:space="preserve"> </w:t>
      </w:r>
      <w:r>
        <w:rPr>
          <w:rFonts w:eastAsia="Roboto"/>
          <w:color w:val="202024"/>
        </w:rPr>
        <w:t>with</w:t>
      </w:r>
      <w:r>
        <w:rPr>
          <w:rFonts w:eastAsia="Roboto"/>
          <w:color w:val="202024"/>
          <w:spacing w:val="11"/>
        </w:rPr>
        <w:t xml:space="preserve"> </w:t>
      </w:r>
      <w:r>
        <w:rPr>
          <w:rFonts w:eastAsia="Roboto"/>
          <w:color w:val="202024"/>
        </w:rPr>
        <w:t>piecemeal</w:t>
      </w:r>
      <w:r>
        <w:rPr>
          <w:rFonts w:eastAsia="Roboto"/>
          <w:color w:val="202024"/>
          <w:spacing w:val="12"/>
        </w:rPr>
        <w:t xml:space="preserve"> </w:t>
      </w:r>
      <w:r>
        <w:rPr>
          <w:rFonts w:eastAsia="Roboto"/>
          <w:color w:val="202024"/>
        </w:rPr>
        <w:t>amendments</w:t>
      </w:r>
      <w:r>
        <w:rPr>
          <w:rFonts w:eastAsia="Roboto"/>
          <w:color w:val="202024"/>
          <w:spacing w:val="12"/>
        </w:rPr>
        <w:t xml:space="preserve"> </w:t>
      </w:r>
      <w:r>
        <w:rPr>
          <w:rFonts w:eastAsia="Roboto"/>
          <w:color w:val="202024"/>
        </w:rPr>
        <w:t>o</w:t>
      </w:r>
      <w:r>
        <w:rPr>
          <w:rFonts w:eastAsia="Roboto"/>
          <w:color w:val="202024"/>
          <w:spacing w:val="11"/>
        </w:rPr>
        <w:t xml:space="preserve"> </w:t>
      </w:r>
      <w:r>
        <w:rPr>
          <w:rFonts w:eastAsia="Roboto"/>
          <w:color w:val="202024"/>
        </w:rPr>
        <w:t>the</w:t>
      </w:r>
      <w:r>
        <w:rPr>
          <w:rFonts w:eastAsia="Roboto"/>
          <w:color w:val="202024"/>
          <w:spacing w:val="12"/>
        </w:rPr>
        <w:t xml:space="preserve"> </w:t>
      </w:r>
      <w:r>
        <w:rPr>
          <w:rFonts w:eastAsia="Roboto"/>
          <w:color w:val="202024"/>
        </w:rPr>
        <w:t>PPTA</w:t>
      </w:r>
    </w:p>
    <w:p w14:paraId="3BF48963">
      <w:pPr>
        <w:widowControl w:val="0"/>
        <w:autoSpaceDE w:val="0"/>
        <w:autoSpaceDN w:val="0"/>
        <w:jc w:val="both"/>
        <w:rPr>
          <w:rFonts w:eastAsia="Roboto"/>
        </w:rPr>
      </w:pPr>
    </w:p>
    <w:p w14:paraId="2F475F00">
      <w:pPr>
        <w:widowControl w:val="0"/>
        <w:autoSpaceDE w:val="0"/>
        <w:autoSpaceDN w:val="0"/>
        <w:spacing w:line="285" w:lineRule="auto"/>
        <w:ind w:right="802"/>
        <w:jc w:val="both"/>
        <w:rPr>
          <w:rFonts w:eastAsia="Roboto"/>
        </w:rPr>
      </w:pPr>
      <w:r>
        <w:rPr>
          <w:rFonts w:eastAsia="Roboto"/>
          <w:color w:val="202024"/>
        </w:rPr>
        <w:t>Fiscal</w:t>
      </w:r>
      <w:r>
        <w:rPr>
          <w:rFonts w:eastAsia="Roboto"/>
          <w:color w:val="202024"/>
          <w:spacing w:val="10"/>
        </w:rPr>
        <w:t xml:space="preserve"> </w:t>
      </w:r>
      <w:r>
        <w:rPr>
          <w:rFonts w:eastAsia="Roboto"/>
          <w:color w:val="202024"/>
        </w:rPr>
        <w:t>uncertainty</w:t>
      </w:r>
      <w:r>
        <w:rPr>
          <w:rFonts w:eastAsia="Roboto"/>
          <w:color w:val="202024"/>
          <w:spacing w:val="10"/>
        </w:rPr>
        <w:t xml:space="preserve"> </w:t>
      </w:r>
      <w:r>
        <w:rPr>
          <w:rFonts w:eastAsia="Roboto"/>
          <w:color w:val="202024"/>
        </w:rPr>
        <w:t>has</w:t>
      </w:r>
      <w:r>
        <w:rPr>
          <w:rFonts w:eastAsia="Roboto"/>
          <w:color w:val="202024"/>
          <w:spacing w:val="10"/>
        </w:rPr>
        <w:t xml:space="preserve"> </w:t>
      </w:r>
      <w:r>
        <w:rPr>
          <w:rFonts w:eastAsia="Roboto"/>
          <w:color w:val="202024"/>
        </w:rPr>
        <w:t>been</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bane</w:t>
      </w:r>
      <w:r>
        <w:rPr>
          <w:rFonts w:eastAsia="Roboto"/>
          <w:color w:val="202024"/>
          <w:spacing w:val="10"/>
        </w:rPr>
        <w:t xml:space="preserve"> </w:t>
      </w:r>
      <w:r>
        <w:rPr>
          <w:rFonts w:eastAsia="Roboto"/>
          <w:color w:val="202024"/>
        </w:rPr>
        <w:t>for</w:t>
      </w:r>
      <w:r>
        <w:rPr>
          <w:rFonts w:eastAsia="Roboto"/>
          <w:color w:val="202024"/>
          <w:spacing w:val="10"/>
        </w:rPr>
        <w:t xml:space="preserve"> </w:t>
      </w:r>
      <w:r>
        <w:rPr>
          <w:rFonts w:eastAsia="Roboto"/>
          <w:color w:val="202024"/>
        </w:rPr>
        <w:t>the</w:t>
      </w:r>
      <w:r>
        <w:rPr>
          <w:rFonts w:eastAsia="Roboto"/>
          <w:color w:val="202024"/>
          <w:spacing w:val="11"/>
        </w:rPr>
        <w:t xml:space="preserve"> </w:t>
      </w:r>
      <w:r>
        <w:rPr>
          <w:rFonts w:eastAsia="Roboto"/>
          <w:color w:val="202024"/>
        </w:rPr>
        <w:t>development</w:t>
      </w:r>
      <w:r>
        <w:rPr>
          <w:rFonts w:eastAsia="Roboto"/>
          <w:color w:val="202024"/>
          <w:spacing w:val="10"/>
        </w:rPr>
        <w:t xml:space="preserve"> </w:t>
      </w:r>
      <w:r>
        <w:rPr>
          <w:rFonts w:eastAsia="Roboto"/>
          <w:color w:val="202024"/>
        </w:rPr>
        <w:t>of</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industry.</w:t>
      </w:r>
      <w:r>
        <w:rPr>
          <w:rFonts w:eastAsia="Roboto"/>
          <w:color w:val="202024"/>
          <w:spacing w:val="10"/>
        </w:rPr>
        <w:t xml:space="preserve"> </w:t>
      </w:r>
      <w:r>
        <w:rPr>
          <w:rFonts w:eastAsia="Roboto"/>
          <w:color w:val="202024"/>
        </w:rPr>
        <w:t>Amendments</w:t>
      </w:r>
      <w:r>
        <w:rPr>
          <w:rFonts w:eastAsia="Roboto"/>
          <w:color w:val="202024"/>
          <w:spacing w:val="1"/>
        </w:rPr>
        <w:t xml:space="preserve"> </w:t>
      </w:r>
      <w:r>
        <w:rPr>
          <w:rFonts w:eastAsia="Roboto"/>
          <w:color w:val="202024"/>
        </w:rPr>
        <w:t>consistent</w:t>
      </w:r>
      <w:r>
        <w:rPr>
          <w:rFonts w:eastAsia="Roboto"/>
          <w:color w:val="202024"/>
          <w:spacing w:val="10"/>
        </w:rPr>
        <w:t xml:space="preserve"> </w:t>
      </w:r>
      <w:r>
        <w:rPr>
          <w:rFonts w:eastAsia="Roboto"/>
          <w:color w:val="202024"/>
        </w:rPr>
        <w:t>with</w:t>
      </w:r>
      <w:r>
        <w:rPr>
          <w:rFonts w:eastAsia="Roboto"/>
          <w:color w:val="202024"/>
          <w:spacing w:val="10"/>
        </w:rPr>
        <w:t xml:space="preserve"> </w:t>
      </w:r>
      <w:r>
        <w:rPr>
          <w:rFonts w:eastAsia="Roboto"/>
          <w:color w:val="202024"/>
        </w:rPr>
        <w:t>realities</w:t>
      </w:r>
      <w:r>
        <w:rPr>
          <w:rFonts w:eastAsia="Roboto"/>
          <w:color w:val="202024"/>
          <w:spacing w:val="11"/>
        </w:rPr>
        <w:t xml:space="preserve"> </w:t>
      </w:r>
      <w:r>
        <w:rPr>
          <w:rFonts w:eastAsia="Roboto"/>
          <w:color w:val="202024"/>
        </w:rPr>
        <w:t>across</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industry</w:t>
      </w:r>
      <w:r>
        <w:rPr>
          <w:rFonts w:eastAsia="Roboto"/>
          <w:color w:val="202024"/>
          <w:spacing w:val="11"/>
        </w:rPr>
        <w:t xml:space="preserve"> </w:t>
      </w:r>
      <w:r>
        <w:rPr>
          <w:rFonts w:eastAsia="Roboto"/>
          <w:color w:val="202024"/>
        </w:rPr>
        <w:t>should</w:t>
      </w:r>
      <w:r>
        <w:rPr>
          <w:rFonts w:eastAsia="Roboto"/>
          <w:color w:val="202024"/>
          <w:spacing w:val="10"/>
        </w:rPr>
        <w:t xml:space="preserve"> </w:t>
      </w:r>
      <w:r>
        <w:rPr>
          <w:rFonts w:eastAsia="Roboto"/>
          <w:color w:val="202024"/>
        </w:rPr>
        <w:t>provide</w:t>
      </w:r>
      <w:r>
        <w:rPr>
          <w:rFonts w:eastAsia="Roboto"/>
          <w:color w:val="202024"/>
          <w:spacing w:val="10"/>
        </w:rPr>
        <w:t xml:space="preserve"> </w:t>
      </w:r>
      <w:r>
        <w:rPr>
          <w:rFonts w:eastAsia="Roboto"/>
          <w:color w:val="202024"/>
        </w:rPr>
        <w:t>certainty</w:t>
      </w:r>
      <w:r>
        <w:rPr>
          <w:rFonts w:eastAsia="Roboto"/>
          <w:color w:val="202024"/>
          <w:spacing w:val="11"/>
        </w:rPr>
        <w:t xml:space="preserve"> </w:t>
      </w:r>
      <w:r>
        <w:rPr>
          <w:rFonts w:eastAsia="Roboto"/>
          <w:color w:val="202024"/>
        </w:rPr>
        <w:t>in</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fiscals</w:t>
      </w:r>
      <w:r>
        <w:rPr>
          <w:rFonts w:eastAsia="Roboto"/>
          <w:color w:val="202024"/>
          <w:spacing w:val="11"/>
        </w:rPr>
        <w:t xml:space="preserve"> </w:t>
      </w:r>
      <w:r>
        <w:rPr>
          <w:rFonts w:eastAsia="Roboto"/>
          <w:color w:val="202024"/>
        </w:rPr>
        <w:t>for</w:t>
      </w:r>
      <w:r>
        <w:rPr>
          <w:rFonts w:eastAsia="Roboto"/>
          <w:color w:val="202024"/>
          <w:spacing w:val="10"/>
        </w:rPr>
        <w:t xml:space="preserve"> </w:t>
      </w:r>
      <w:r>
        <w:rPr>
          <w:rFonts w:eastAsia="Roboto"/>
          <w:color w:val="202024"/>
        </w:rPr>
        <w:t>the</w:t>
      </w:r>
      <w:r>
        <w:rPr>
          <w:rFonts w:eastAsia="Roboto"/>
          <w:color w:val="202024"/>
          <w:spacing w:val="-49"/>
        </w:rPr>
        <w:t xml:space="preserve"> </w:t>
      </w:r>
      <w:r>
        <w:rPr>
          <w:rFonts w:eastAsia="Roboto"/>
          <w:color w:val="202024"/>
        </w:rPr>
        <w:t>Sector.</w:t>
      </w:r>
    </w:p>
    <w:p w14:paraId="60145A24">
      <w:pPr>
        <w:widowControl w:val="0"/>
        <w:autoSpaceDE w:val="0"/>
        <w:autoSpaceDN w:val="0"/>
        <w:jc w:val="both"/>
        <w:rPr>
          <w:rFonts w:eastAsia="Roboto"/>
        </w:rPr>
      </w:pPr>
    </w:p>
    <w:p w14:paraId="07D2FA70">
      <w:pPr>
        <w:widowControl w:val="0"/>
        <w:autoSpaceDE w:val="0"/>
        <w:autoSpaceDN w:val="0"/>
        <w:spacing w:line="285" w:lineRule="auto"/>
        <w:ind w:right="341"/>
        <w:jc w:val="both"/>
        <w:rPr>
          <w:rFonts w:eastAsia="Roboto"/>
        </w:rPr>
      </w:pPr>
      <w:r>
        <w:rPr>
          <w:rFonts w:eastAsia="Roboto"/>
          <w:color w:val="202024"/>
        </w:rPr>
        <w:t>Piecemeal</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ad-hoc</w:t>
      </w:r>
      <w:r>
        <w:rPr>
          <w:rFonts w:eastAsia="Roboto"/>
          <w:color w:val="202024"/>
          <w:spacing w:val="6"/>
        </w:rPr>
        <w:t xml:space="preserve"> </w:t>
      </w:r>
      <w:r>
        <w:rPr>
          <w:rFonts w:eastAsia="Roboto"/>
          <w:color w:val="202024"/>
        </w:rPr>
        <w:t>fiscal</w:t>
      </w:r>
      <w:r>
        <w:rPr>
          <w:rFonts w:eastAsia="Roboto"/>
          <w:color w:val="202024"/>
          <w:spacing w:val="6"/>
        </w:rPr>
        <w:t xml:space="preserve"> </w:t>
      </w:r>
      <w:r>
        <w:rPr>
          <w:rFonts w:eastAsia="Roboto"/>
          <w:color w:val="202024"/>
        </w:rPr>
        <w:t>incentives</w:t>
      </w:r>
      <w:r>
        <w:rPr>
          <w:rFonts w:eastAsia="Roboto"/>
          <w:color w:val="202024"/>
          <w:spacing w:val="6"/>
        </w:rPr>
        <w:t xml:space="preserve"> </w:t>
      </w:r>
      <w:r>
        <w:rPr>
          <w:rFonts w:eastAsia="Roboto"/>
          <w:color w:val="202024"/>
        </w:rPr>
        <w:t>have</w:t>
      </w:r>
      <w:r>
        <w:rPr>
          <w:rFonts w:eastAsia="Roboto"/>
          <w:color w:val="202024"/>
          <w:spacing w:val="6"/>
        </w:rPr>
        <w:t xml:space="preserve"> </w:t>
      </w:r>
      <w:r>
        <w:rPr>
          <w:rFonts w:eastAsia="Roboto"/>
          <w:color w:val="202024"/>
        </w:rPr>
        <w:t>appeared</w:t>
      </w:r>
      <w:r>
        <w:rPr>
          <w:rFonts w:eastAsia="Roboto"/>
          <w:color w:val="202024"/>
          <w:spacing w:val="6"/>
        </w:rPr>
        <w:t xml:space="preserve"> </w:t>
      </w:r>
      <w:r>
        <w:rPr>
          <w:rFonts w:eastAsia="Roboto"/>
          <w:color w:val="202024"/>
        </w:rPr>
        <w:t>to</w:t>
      </w:r>
      <w:r>
        <w:rPr>
          <w:rFonts w:eastAsia="Roboto"/>
          <w:color w:val="202024"/>
          <w:spacing w:val="6"/>
        </w:rPr>
        <w:t xml:space="preserve"> </w:t>
      </w:r>
      <w:r>
        <w:rPr>
          <w:rFonts w:eastAsia="Roboto"/>
          <w:color w:val="202024"/>
        </w:rPr>
        <w:t>be</w:t>
      </w:r>
      <w:r>
        <w:rPr>
          <w:rFonts w:eastAsia="Roboto"/>
          <w:color w:val="202024"/>
          <w:spacing w:val="6"/>
        </w:rPr>
        <w:t xml:space="preserve"> </w:t>
      </w:r>
      <w:r>
        <w:rPr>
          <w:rFonts w:eastAsia="Roboto"/>
          <w:color w:val="202024"/>
        </w:rPr>
        <w:t>a</w:t>
      </w:r>
      <w:r>
        <w:rPr>
          <w:rFonts w:eastAsia="Roboto"/>
          <w:color w:val="202024"/>
          <w:spacing w:val="6"/>
        </w:rPr>
        <w:t xml:space="preserve"> </w:t>
      </w:r>
      <w:r>
        <w:rPr>
          <w:rFonts w:eastAsia="Roboto"/>
          <w:color w:val="202024"/>
        </w:rPr>
        <w:t>fire</w:t>
      </w:r>
      <w:r>
        <w:rPr>
          <w:rFonts w:eastAsia="Roboto"/>
          <w:color w:val="202024"/>
          <w:spacing w:val="6"/>
        </w:rPr>
        <w:t xml:space="preserve"> </w:t>
      </w:r>
      <w:r>
        <w:rPr>
          <w:rFonts w:eastAsia="Roboto"/>
          <w:color w:val="202024"/>
        </w:rPr>
        <w:t>brigade</w:t>
      </w:r>
      <w:r>
        <w:rPr>
          <w:rFonts w:eastAsia="Roboto"/>
          <w:color w:val="202024"/>
          <w:spacing w:val="6"/>
        </w:rPr>
        <w:t xml:space="preserve"> </w:t>
      </w:r>
      <w:r>
        <w:rPr>
          <w:rFonts w:eastAsia="Roboto"/>
          <w:color w:val="202024"/>
        </w:rPr>
        <w:t>approach</w:t>
      </w:r>
      <w:r>
        <w:rPr>
          <w:rFonts w:eastAsia="Roboto"/>
          <w:color w:val="202024"/>
          <w:spacing w:val="6"/>
        </w:rPr>
        <w:t xml:space="preserve"> </w:t>
      </w:r>
      <w:r>
        <w:rPr>
          <w:rFonts w:eastAsia="Roboto"/>
          <w:color w:val="202024"/>
        </w:rPr>
        <w:t>-</w:t>
      </w:r>
      <w:r>
        <w:rPr>
          <w:rFonts w:eastAsia="Roboto"/>
          <w:color w:val="202024"/>
          <w:spacing w:val="6"/>
        </w:rPr>
        <w:t xml:space="preserve"> </w:t>
      </w:r>
      <w:r>
        <w:rPr>
          <w:rFonts w:eastAsia="Roboto"/>
          <w:color w:val="202024"/>
        </w:rPr>
        <w:t>which</w:t>
      </w:r>
      <w:r>
        <w:rPr>
          <w:rFonts w:eastAsia="Roboto"/>
          <w:color w:val="202024"/>
          <w:spacing w:val="6"/>
        </w:rPr>
        <w:t xml:space="preserve"> </w:t>
      </w:r>
      <w:r>
        <w:rPr>
          <w:rFonts w:eastAsia="Roboto"/>
          <w:color w:val="202024"/>
        </w:rPr>
        <w:t>is</w:t>
      </w:r>
      <w:r>
        <w:rPr>
          <w:rFonts w:eastAsia="Roboto"/>
          <w:color w:val="202024"/>
          <w:spacing w:val="-50"/>
        </w:rPr>
        <w:t xml:space="preserve"> </w:t>
      </w:r>
      <w:r>
        <w:rPr>
          <w:rFonts w:eastAsia="Roboto"/>
          <w:color w:val="202024"/>
        </w:rPr>
        <w:t>problematic.</w:t>
      </w:r>
      <w:r>
        <w:rPr>
          <w:rFonts w:eastAsia="Roboto"/>
          <w:color w:val="202024"/>
          <w:spacing w:val="9"/>
        </w:rPr>
        <w:t xml:space="preserve"> </w:t>
      </w:r>
      <w:r>
        <w:rPr>
          <w:rFonts w:eastAsia="Roboto"/>
          <w:color w:val="202024"/>
        </w:rPr>
        <w:t>A</w:t>
      </w:r>
      <w:r>
        <w:rPr>
          <w:rFonts w:eastAsia="Roboto"/>
          <w:color w:val="202024"/>
          <w:spacing w:val="10"/>
        </w:rPr>
        <w:t xml:space="preserve"> </w:t>
      </w:r>
      <w:r>
        <w:rPr>
          <w:rFonts w:eastAsia="Roboto"/>
          <w:color w:val="202024"/>
        </w:rPr>
        <w:t>holistic</w:t>
      </w:r>
      <w:r>
        <w:rPr>
          <w:rFonts w:eastAsia="Roboto"/>
          <w:color w:val="202024"/>
          <w:spacing w:val="10"/>
        </w:rPr>
        <w:t xml:space="preserve"> </w:t>
      </w:r>
      <w:r>
        <w:rPr>
          <w:rFonts w:eastAsia="Roboto"/>
          <w:color w:val="202024"/>
        </w:rPr>
        <w:t>approach</w:t>
      </w:r>
      <w:r>
        <w:rPr>
          <w:rFonts w:eastAsia="Roboto"/>
          <w:color w:val="202024"/>
          <w:spacing w:val="9"/>
        </w:rPr>
        <w:t xml:space="preserve"> </w:t>
      </w:r>
      <w:r>
        <w:rPr>
          <w:rFonts w:eastAsia="Roboto"/>
          <w:color w:val="202024"/>
        </w:rPr>
        <w:t>is</w:t>
      </w:r>
      <w:r>
        <w:rPr>
          <w:rFonts w:eastAsia="Roboto"/>
          <w:color w:val="202024"/>
          <w:spacing w:val="10"/>
        </w:rPr>
        <w:t xml:space="preserve"> </w:t>
      </w:r>
      <w:r>
        <w:rPr>
          <w:rFonts w:eastAsia="Roboto"/>
          <w:color w:val="202024"/>
        </w:rPr>
        <w:t>encouraged,</w:t>
      </w:r>
      <w:r>
        <w:rPr>
          <w:rFonts w:eastAsia="Roboto"/>
          <w:color w:val="202024"/>
          <w:spacing w:val="10"/>
        </w:rPr>
        <w:t xml:space="preserve"> </w:t>
      </w:r>
      <w:r>
        <w:rPr>
          <w:rFonts w:eastAsia="Roboto"/>
          <w:color w:val="202024"/>
        </w:rPr>
        <w:t>and</w:t>
      </w:r>
      <w:r>
        <w:rPr>
          <w:rFonts w:eastAsia="Roboto"/>
          <w:color w:val="202024"/>
          <w:spacing w:val="10"/>
        </w:rPr>
        <w:t xml:space="preserve"> </w:t>
      </w:r>
      <w:r>
        <w:rPr>
          <w:rFonts w:eastAsia="Roboto"/>
          <w:color w:val="202024"/>
        </w:rPr>
        <w:t>this</w:t>
      </w:r>
      <w:r>
        <w:rPr>
          <w:rFonts w:eastAsia="Roboto"/>
          <w:color w:val="202024"/>
          <w:spacing w:val="9"/>
        </w:rPr>
        <w:t xml:space="preserve"> </w:t>
      </w:r>
      <w:r>
        <w:rPr>
          <w:rFonts w:eastAsia="Roboto"/>
          <w:color w:val="202024"/>
        </w:rPr>
        <w:t>holistic</w:t>
      </w:r>
      <w:r>
        <w:rPr>
          <w:rFonts w:eastAsia="Roboto"/>
          <w:color w:val="202024"/>
          <w:spacing w:val="10"/>
        </w:rPr>
        <w:t xml:space="preserve"> </w:t>
      </w:r>
      <w:r>
        <w:rPr>
          <w:rFonts w:eastAsia="Roboto"/>
          <w:color w:val="202024"/>
        </w:rPr>
        <w:t>approach</w:t>
      </w:r>
      <w:r>
        <w:rPr>
          <w:rFonts w:eastAsia="Roboto"/>
          <w:color w:val="202024"/>
          <w:spacing w:val="10"/>
        </w:rPr>
        <w:t xml:space="preserve"> </w:t>
      </w:r>
      <w:r>
        <w:rPr>
          <w:rFonts w:eastAsia="Roboto"/>
          <w:color w:val="202024"/>
        </w:rPr>
        <w:t>seems</w:t>
      </w:r>
      <w:r>
        <w:rPr>
          <w:rFonts w:eastAsia="Roboto"/>
          <w:color w:val="202024"/>
          <w:spacing w:val="9"/>
        </w:rPr>
        <w:t xml:space="preserve"> </w:t>
      </w:r>
      <w:r>
        <w:rPr>
          <w:rFonts w:eastAsia="Roboto"/>
          <w:color w:val="202024"/>
        </w:rPr>
        <w:t>to</w:t>
      </w:r>
      <w:r>
        <w:rPr>
          <w:rFonts w:eastAsia="Roboto"/>
          <w:color w:val="202024"/>
          <w:spacing w:val="10"/>
        </w:rPr>
        <w:t xml:space="preserve"> </w:t>
      </w:r>
      <w:r>
        <w:rPr>
          <w:rFonts w:eastAsia="Roboto"/>
          <w:color w:val="202024"/>
        </w:rPr>
        <w:t>be</w:t>
      </w:r>
      <w:r>
        <w:rPr>
          <w:rFonts w:eastAsia="Roboto"/>
          <w:color w:val="202024"/>
          <w:spacing w:val="10"/>
        </w:rPr>
        <w:t xml:space="preserve"> </w:t>
      </w:r>
      <w:r>
        <w:rPr>
          <w:rFonts w:eastAsia="Roboto"/>
          <w:color w:val="202024"/>
        </w:rPr>
        <w:t>that</w:t>
      </w:r>
      <w:r>
        <w:rPr>
          <w:rFonts w:eastAsia="Roboto"/>
          <w:color w:val="202024"/>
          <w:spacing w:val="1"/>
        </w:rPr>
        <w:t xml:space="preserve"> </w:t>
      </w:r>
      <w:r>
        <w:rPr>
          <w:rFonts w:eastAsia="Roboto"/>
          <w:color w:val="202024"/>
        </w:rPr>
        <w:t>taken</w:t>
      </w:r>
      <w:r>
        <w:rPr>
          <w:rFonts w:eastAsia="Roboto"/>
          <w:color w:val="202024"/>
          <w:spacing w:val="5"/>
        </w:rPr>
        <w:t xml:space="preserve"> </w:t>
      </w:r>
      <w:r>
        <w:rPr>
          <w:rFonts w:eastAsia="Roboto"/>
          <w:color w:val="202024"/>
        </w:rPr>
        <w:t>in</w:t>
      </w:r>
      <w:r>
        <w:rPr>
          <w:rFonts w:eastAsia="Roboto"/>
          <w:color w:val="202024"/>
          <w:spacing w:val="5"/>
        </w:rPr>
        <w:t xml:space="preserve"> </w:t>
      </w:r>
      <w:r>
        <w:rPr>
          <w:rFonts w:eastAsia="Roboto"/>
          <w:color w:val="202024"/>
        </w:rPr>
        <w:t>implementing</w:t>
      </w:r>
      <w:r>
        <w:rPr>
          <w:rFonts w:eastAsia="Roboto"/>
          <w:color w:val="202024"/>
          <w:spacing w:val="5"/>
        </w:rPr>
        <w:t xml:space="preserve"> </w:t>
      </w:r>
      <w:r>
        <w:rPr>
          <w:rFonts w:eastAsia="Roboto"/>
          <w:color w:val="202024"/>
        </w:rPr>
        <w:t>the</w:t>
      </w:r>
      <w:r>
        <w:rPr>
          <w:rFonts w:eastAsia="Roboto"/>
          <w:color w:val="202024"/>
          <w:spacing w:val="6"/>
        </w:rPr>
        <w:t xml:space="preserve"> </w:t>
      </w:r>
      <w:r>
        <w:rPr>
          <w:rFonts w:eastAsia="Roboto"/>
          <w:color w:val="202024"/>
        </w:rPr>
        <w:t>PIA.</w:t>
      </w:r>
    </w:p>
    <w:p w14:paraId="43DE489E">
      <w:pPr>
        <w:widowControl w:val="0"/>
        <w:autoSpaceDE w:val="0"/>
        <w:autoSpaceDN w:val="0"/>
        <w:jc w:val="both"/>
        <w:rPr>
          <w:rFonts w:eastAsia="Roboto"/>
        </w:rPr>
      </w:pPr>
    </w:p>
    <w:p w14:paraId="4194BC80">
      <w:pPr>
        <w:widowControl w:val="0"/>
        <w:autoSpaceDE w:val="0"/>
        <w:autoSpaceDN w:val="0"/>
        <w:spacing w:line="285" w:lineRule="auto"/>
        <w:ind w:right="223"/>
        <w:jc w:val="both"/>
        <w:rPr>
          <w:rFonts w:eastAsia="Roboto"/>
        </w:rPr>
      </w:pPr>
      <w:r>
        <w:rPr>
          <w:rFonts w:eastAsia="Roboto"/>
          <w:color w:val="202024"/>
        </w:rPr>
        <w:t>The</w:t>
      </w:r>
      <w:r>
        <w:rPr>
          <w:rFonts w:eastAsia="Roboto"/>
          <w:color w:val="202024"/>
          <w:spacing w:val="13"/>
        </w:rPr>
        <w:t xml:space="preserve"> </w:t>
      </w:r>
      <w:r>
        <w:rPr>
          <w:rFonts w:eastAsia="Roboto"/>
          <w:color w:val="202024"/>
        </w:rPr>
        <w:t>1999</w:t>
      </w:r>
      <w:r>
        <w:rPr>
          <w:rFonts w:eastAsia="Roboto"/>
          <w:color w:val="202024"/>
          <w:spacing w:val="14"/>
        </w:rPr>
        <w:t xml:space="preserve"> </w:t>
      </w:r>
      <w:r>
        <w:rPr>
          <w:rFonts w:eastAsia="Roboto"/>
          <w:color w:val="202024"/>
        </w:rPr>
        <w:t>Constitution</w:t>
      </w:r>
      <w:r>
        <w:rPr>
          <w:rFonts w:eastAsia="Roboto"/>
          <w:color w:val="202024"/>
          <w:spacing w:val="14"/>
        </w:rPr>
        <w:t xml:space="preserve"> </w:t>
      </w:r>
      <w:r>
        <w:rPr>
          <w:rFonts w:eastAsia="Roboto"/>
          <w:color w:val="202024"/>
        </w:rPr>
        <w:t>provisions</w:t>
      </w:r>
      <w:r>
        <w:rPr>
          <w:rFonts w:eastAsia="Roboto"/>
          <w:color w:val="202024"/>
          <w:spacing w:val="13"/>
        </w:rPr>
        <w:t xml:space="preserve"> </w:t>
      </w:r>
      <w:r>
        <w:rPr>
          <w:rFonts w:eastAsia="Roboto"/>
          <w:color w:val="202024"/>
        </w:rPr>
        <w:t>re-stating</w:t>
      </w:r>
      <w:r>
        <w:rPr>
          <w:rFonts w:eastAsia="Roboto"/>
          <w:color w:val="202024"/>
          <w:spacing w:val="14"/>
        </w:rPr>
        <w:t xml:space="preserve"> </w:t>
      </w:r>
      <w:r>
        <w:rPr>
          <w:rFonts w:eastAsia="Roboto"/>
          <w:color w:val="202024"/>
        </w:rPr>
        <w:t>FGN</w:t>
      </w:r>
      <w:r>
        <w:rPr>
          <w:rFonts w:eastAsia="Roboto"/>
          <w:color w:val="202024"/>
          <w:spacing w:val="14"/>
        </w:rPr>
        <w:t xml:space="preserve"> </w:t>
      </w:r>
      <w:r>
        <w:rPr>
          <w:rFonts w:eastAsia="Roboto"/>
          <w:color w:val="202024"/>
        </w:rPr>
        <w:t>ownership</w:t>
      </w:r>
      <w:r>
        <w:rPr>
          <w:rFonts w:eastAsia="Roboto"/>
          <w:color w:val="202024"/>
          <w:spacing w:val="13"/>
        </w:rPr>
        <w:t xml:space="preserve"> </w:t>
      </w:r>
      <w:r>
        <w:rPr>
          <w:rFonts w:eastAsia="Roboto"/>
          <w:color w:val="202024"/>
        </w:rPr>
        <w:t>of</w:t>
      </w:r>
      <w:r>
        <w:rPr>
          <w:rFonts w:eastAsia="Roboto"/>
          <w:color w:val="202024"/>
          <w:spacing w:val="14"/>
        </w:rPr>
        <w:t xml:space="preserve"> </w:t>
      </w:r>
      <w:r>
        <w:rPr>
          <w:rFonts w:eastAsia="Roboto"/>
          <w:color w:val="202024"/>
        </w:rPr>
        <w:t>Petroleum</w:t>
      </w:r>
      <w:r>
        <w:rPr>
          <w:rFonts w:eastAsia="Roboto"/>
          <w:color w:val="202024"/>
          <w:spacing w:val="14"/>
        </w:rPr>
        <w:t xml:space="preserve"> </w:t>
      </w:r>
      <w:r>
        <w:rPr>
          <w:rFonts w:eastAsia="Roboto"/>
          <w:color w:val="202024"/>
        </w:rPr>
        <w:t>resources</w:t>
      </w:r>
      <w:r>
        <w:rPr>
          <w:rFonts w:eastAsia="Roboto"/>
          <w:color w:val="202024"/>
          <w:spacing w:val="13"/>
        </w:rPr>
        <w:t xml:space="preserve"> </w:t>
      </w:r>
      <w:r>
        <w:rPr>
          <w:rFonts w:eastAsia="Roboto"/>
          <w:color w:val="202024"/>
        </w:rPr>
        <w:t>is</w:t>
      </w:r>
      <w:r>
        <w:rPr>
          <w:rFonts w:eastAsia="Roboto"/>
          <w:color w:val="202024"/>
          <w:spacing w:val="14"/>
        </w:rPr>
        <w:t xml:space="preserve"> </w:t>
      </w:r>
      <w:r>
        <w:rPr>
          <w:rFonts w:eastAsia="Roboto"/>
          <w:color w:val="202024"/>
        </w:rPr>
        <w:t>pivotal</w:t>
      </w:r>
      <w:r>
        <w:rPr>
          <w:rFonts w:eastAsia="Roboto"/>
          <w:color w:val="202024"/>
          <w:spacing w:val="1"/>
        </w:rPr>
        <w:t xml:space="preserve"> </w:t>
      </w:r>
      <w:r>
        <w:rPr>
          <w:rFonts w:eastAsia="Roboto"/>
          <w:color w:val="202024"/>
        </w:rPr>
        <w:t>in</w:t>
      </w:r>
      <w:r>
        <w:rPr>
          <w:rFonts w:eastAsia="Roboto"/>
          <w:color w:val="202024"/>
          <w:spacing w:val="14"/>
        </w:rPr>
        <w:t xml:space="preserve"> </w:t>
      </w:r>
      <w:r>
        <w:rPr>
          <w:rFonts w:eastAsia="Roboto"/>
          <w:color w:val="202024"/>
        </w:rPr>
        <w:t>determining</w:t>
      </w:r>
      <w:r>
        <w:rPr>
          <w:rFonts w:eastAsia="Roboto"/>
          <w:color w:val="202024"/>
          <w:spacing w:val="15"/>
        </w:rPr>
        <w:t xml:space="preserve"> </w:t>
      </w:r>
      <w:r>
        <w:rPr>
          <w:rFonts w:eastAsia="Roboto"/>
          <w:color w:val="202024"/>
        </w:rPr>
        <w:t>the</w:t>
      </w:r>
      <w:r>
        <w:rPr>
          <w:rFonts w:eastAsia="Roboto"/>
          <w:color w:val="202024"/>
          <w:spacing w:val="14"/>
        </w:rPr>
        <w:t xml:space="preserve"> </w:t>
      </w:r>
      <w:r>
        <w:rPr>
          <w:rFonts w:eastAsia="Roboto"/>
          <w:color w:val="202024"/>
        </w:rPr>
        <w:t>structure</w:t>
      </w:r>
      <w:r>
        <w:rPr>
          <w:rFonts w:eastAsia="Roboto"/>
          <w:color w:val="202024"/>
          <w:spacing w:val="15"/>
        </w:rPr>
        <w:t xml:space="preserve"> </w:t>
      </w:r>
      <w:r>
        <w:rPr>
          <w:rFonts w:eastAsia="Roboto"/>
          <w:color w:val="202024"/>
        </w:rPr>
        <w:t>of</w:t>
      </w:r>
      <w:r>
        <w:rPr>
          <w:rFonts w:eastAsia="Roboto"/>
          <w:color w:val="202024"/>
          <w:spacing w:val="14"/>
        </w:rPr>
        <w:t xml:space="preserve"> </w:t>
      </w:r>
      <w:r>
        <w:rPr>
          <w:rFonts w:eastAsia="Roboto"/>
          <w:color w:val="202024"/>
        </w:rPr>
        <w:t>Upstream</w:t>
      </w:r>
      <w:r>
        <w:rPr>
          <w:rFonts w:eastAsia="Roboto"/>
          <w:color w:val="202024"/>
          <w:spacing w:val="15"/>
        </w:rPr>
        <w:t xml:space="preserve"> </w:t>
      </w:r>
      <w:r>
        <w:rPr>
          <w:rFonts w:eastAsia="Roboto"/>
          <w:color w:val="202024"/>
        </w:rPr>
        <w:t>O&amp;G</w:t>
      </w:r>
      <w:r>
        <w:rPr>
          <w:rFonts w:eastAsia="Roboto"/>
          <w:color w:val="202024"/>
          <w:spacing w:val="14"/>
        </w:rPr>
        <w:t xml:space="preserve"> </w:t>
      </w:r>
      <w:r>
        <w:rPr>
          <w:rFonts w:eastAsia="Roboto"/>
          <w:color w:val="202024"/>
        </w:rPr>
        <w:t>taxation</w:t>
      </w:r>
      <w:r>
        <w:rPr>
          <w:rFonts w:eastAsia="Roboto"/>
          <w:color w:val="202024"/>
          <w:spacing w:val="15"/>
        </w:rPr>
        <w:t xml:space="preserve"> </w:t>
      </w:r>
      <w:r>
        <w:rPr>
          <w:rFonts w:eastAsia="Roboto"/>
          <w:color w:val="202024"/>
        </w:rPr>
        <w:t>policy</w:t>
      </w:r>
      <w:r>
        <w:rPr>
          <w:rFonts w:eastAsia="Roboto"/>
          <w:color w:val="202024"/>
          <w:spacing w:val="14"/>
        </w:rPr>
        <w:t xml:space="preserve"> </w:t>
      </w:r>
      <w:r>
        <w:rPr>
          <w:rFonts w:eastAsia="Roboto"/>
          <w:color w:val="202024"/>
        </w:rPr>
        <w:t>and</w:t>
      </w:r>
      <w:r>
        <w:rPr>
          <w:rFonts w:eastAsia="Roboto"/>
          <w:color w:val="202024"/>
          <w:spacing w:val="15"/>
        </w:rPr>
        <w:t xml:space="preserve"> </w:t>
      </w:r>
      <w:r>
        <w:rPr>
          <w:rFonts w:eastAsia="Roboto"/>
          <w:color w:val="202024"/>
        </w:rPr>
        <w:t>practices.</w:t>
      </w:r>
      <w:r>
        <w:rPr>
          <w:rFonts w:eastAsia="Roboto"/>
          <w:color w:val="202024"/>
          <w:spacing w:val="14"/>
        </w:rPr>
        <w:t xml:space="preserve"> </w:t>
      </w:r>
      <w:r>
        <w:rPr>
          <w:rFonts w:eastAsia="Roboto"/>
          <w:color w:val="202024"/>
        </w:rPr>
        <w:t>However,</w:t>
      </w:r>
      <w:r>
        <w:rPr>
          <w:rFonts w:eastAsia="Roboto"/>
          <w:color w:val="202024"/>
          <w:spacing w:val="15"/>
        </w:rPr>
        <w:t xml:space="preserve"> </w:t>
      </w:r>
      <w:r>
        <w:rPr>
          <w:rFonts w:eastAsia="Roboto"/>
          <w:color w:val="202024"/>
        </w:rPr>
        <w:t>the</w:t>
      </w:r>
      <w:r>
        <w:rPr>
          <w:rFonts w:eastAsia="Roboto"/>
          <w:color w:val="202024"/>
          <w:spacing w:val="1"/>
        </w:rPr>
        <w:t xml:space="preserve"> </w:t>
      </w:r>
      <w:r>
        <w:rPr>
          <w:rFonts w:eastAsia="Roboto"/>
          <w:color w:val="202024"/>
        </w:rPr>
        <w:t>initial</w:t>
      </w:r>
      <w:r>
        <w:rPr>
          <w:rFonts w:eastAsia="Roboto"/>
          <w:color w:val="202024"/>
          <w:spacing w:val="9"/>
        </w:rPr>
        <w:t xml:space="preserve"> </w:t>
      </w:r>
      <w:r>
        <w:rPr>
          <w:rFonts w:eastAsia="Roboto"/>
          <w:color w:val="202024"/>
        </w:rPr>
        <w:t>PPTA</w:t>
      </w:r>
      <w:r>
        <w:rPr>
          <w:rFonts w:eastAsia="Roboto"/>
          <w:color w:val="202024"/>
          <w:spacing w:val="10"/>
        </w:rPr>
        <w:t xml:space="preserve"> </w:t>
      </w:r>
      <w:r>
        <w:rPr>
          <w:rFonts w:eastAsia="Roboto"/>
          <w:color w:val="202024"/>
        </w:rPr>
        <w:t>(1958)</w:t>
      </w:r>
      <w:r>
        <w:rPr>
          <w:rFonts w:eastAsia="Roboto"/>
          <w:color w:val="202024"/>
          <w:spacing w:val="10"/>
        </w:rPr>
        <w:t xml:space="preserve"> </w:t>
      </w:r>
      <w:r>
        <w:rPr>
          <w:rFonts w:eastAsia="Roboto"/>
          <w:color w:val="202024"/>
        </w:rPr>
        <w:t>predates</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1999</w:t>
      </w:r>
      <w:r>
        <w:rPr>
          <w:rFonts w:eastAsia="Roboto"/>
          <w:color w:val="202024"/>
          <w:spacing w:val="10"/>
        </w:rPr>
        <w:t xml:space="preserve"> </w:t>
      </w:r>
      <w:r>
        <w:rPr>
          <w:rFonts w:eastAsia="Roboto"/>
          <w:color w:val="202024"/>
        </w:rPr>
        <w:t>Constitution</w:t>
      </w:r>
      <w:r>
        <w:rPr>
          <w:rFonts w:eastAsia="Roboto"/>
          <w:color w:val="202024"/>
          <w:spacing w:val="10"/>
        </w:rPr>
        <w:t xml:space="preserve"> </w:t>
      </w:r>
      <w:r>
        <w:rPr>
          <w:rFonts w:eastAsia="Roboto"/>
          <w:color w:val="202024"/>
        </w:rPr>
        <w:t>and</w:t>
      </w:r>
      <w:r>
        <w:rPr>
          <w:rFonts w:eastAsia="Roboto"/>
          <w:color w:val="202024"/>
          <w:spacing w:val="10"/>
        </w:rPr>
        <w:t xml:space="preserve"> </w:t>
      </w:r>
      <w:r>
        <w:rPr>
          <w:rFonts w:eastAsia="Roboto"/>
          <w:color w:val="202024"/>
        </w:rPr>
        <w:t>even</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Petroleum</w:t>
      </w:r>
      <w:r>
        <w:rPr>
          <w:rFonts w:eastAsia="Roboto"/>
          <w:color w:val="202024"/>
          <w:spacing w:val="10"/>
        </w:rPr>
        <w:t xml:space="preserve"> </w:t>
      </w:r>
      <w:r>
        <w:rPr>
          <w:rFonts w:eastAsia="Roboto"/>
          <w:color w:val="202024"/>
        </w:rPr>
        <w:t>Act</w:t>
      </w:r>
      <w:r>
        <w:rPr>
          <w:rFonts w:eastAsia="Roboto"/>
          <w:color w:val="202024"/>
          <w:spacing w:val="10"/>
        </w:rPr>
        <w:t xml:space="preserve"> </w:t>
      </w:r>
      <w:r>
        <w:rPr>
          <w:rFonts w:eastAsia="Roboto"/>
          <w:color w:val="202024"/>
        </w:rPr>
        <w:t>1969,</w:t>
      </w:r>
      <w:r>
        <w:rPr>
          <w:rFonts w:eastAsia="Roboto"/>
          <w:color w:val="202024"/>
          <w:spacing w:val="10"/>
        </w:rPr>
        <w:t xml:space="preserve"> </w:t>
      </w:r>
      <w:r>
        <w:rPr>
          <w:rFonts w:eastAsia="Roboto"/>
          <w:color w:val="202024"/>
        </w:rPr>
        <w:t>which</w:t>
      </w:r>
      <w:r>
        <w:rPr>
          <w:rFonts w:eastAsia="Roboto"/>
          <w:color w:val="202024"/>
          <w:spacing w:val="1"/>
        </w:rPr>
        <w:t xml:space="preserve"> </w:t>
      </w:r>
      <w:r>
        <w:rPr>
          <w:rFonts w:eastAsia="Roboto"/>
          <w:color w:val="202024"/>
        </w:rPr>
        <w:t>similarly</w:t>
      </w:r>
      <w:r>
        <w:rPr>
          <w:rFonts w:eastAsia="Roboto"/>
          <w:color w:val="202024"/>
          <w:spacing w:val="10"/>
        </w:rPr>
        <w:t xml:space="preserve"> </w:t>
      </w:r>
      <w:r>
        <w:rPr>
          <w:rFonts w:eastAsia="Roboto"/>
          <w:color w:val="202024"/>
        </w:rPr>
        <w:t>confers</w:t>
      </w:r>
      <w:r>
        <w:rPr>
          <w:rFonts w:eastAsia="Roboto"/>
          <w:color w:val="202024"/>
          <w:spacing w:val="11"/>
        </w:rPr>
        <w:t xml:space="preserve"> </w:t>
      </w:r>
      <w:r>
        <w:rPr>
          <w:rFonts w:eastAsia="Roboto"/>
          <w:color w:val="202024"/>
        </w:rPr>
        <w:t>ownership</w:t>
      </w:r>
      <w:r>
        <w:rPr>
          <w:rFonts w:eastAsia="Roboto"/>
          <w:color w:val="202024"/>
          <w:spacing w:val="11"/>
        </w:rPr>
        <w:t xml:space="preserve"> </w:t>
      </w:r>
      <w:r>
        <w:rPr>
          <w:rFonts w:eastAsia="Roboto"/>
          <w:color w:val="202024"/>
        </w:rPr>
        <w:t>of</w:t>
      </w:r>
      <w:r>
        <w:rPr>
          <w:rFonts w:eastAsia="Roboto"/>
          <w:color w:val="202024"/>
          <w:spacing w:val="11"/>
        </w:rPr>
        <w:t xml:space="preserve"> </w:t>
      </w:r>
      <w:r>
        <w:rPr>
          <w:rFonts w:eastAsia="Roboto"/>
          <w:color w:val="202024"/>
        </w:rPr>
        <w:t>Petroleum</w:t>
      </w:r>
      <w:r>
        <w:rPr>
          <w:rFonts w:eastAsia="Roboto"/>
          <w:color w:val="202024"/>
          <w:spacing w:val="10"/>
        </w:rPr>
        <w:t xml:space="preserve"> </w:t>
      </w:r>
      <w:r>
        <w:rPr>
          <w:rFonts w:eastAsia="Roboto"/>
          <w:color w:val="202024"/>
        </w:rPr>
        <w:t>resources</w:t>
      </w:r>
      <w:r>
        <w:rPr>
          <w:rFonts w:eastAsia="Roboto"/>
          <w:color w:val="202024"/>
          <w:spacing w:val="11"/>
        </w:rPr>
        <w:t xml:space="preserve"> </w:t>
      </w:r>
      <w:r>
        <w:rPr>
          <w:rFonts w:eastAsia="Roboto"/>
          <w:color w:val="202024"/>
        </w:rPr>
        <w:t>upon</w:t>
      </w:r>
      <w:r>
        <w:rPr>
          <w:rFonts w:eastAsia="Roboto"/>
          <w:color w:val="202024"/>
          <w:spacing w:val="11"/>
        </w:rPr>
        <w:t xml:space="preserve"> </w:t>
      </w:r>
      <w:r>
        <w:rPr>
          <w:rFonts w:eastAsia="Roboto"/>
          <w:color w:val="202024"/>
        </w:rPr>
        <w:t>the</w:t>
      </w:r>
      <w:r>
        <w:rPr>
          <w:rFonts w:eastAsia="Roboto"/>
          <w:color w:val="202024"/>
          <w:spacing w:val="11"/>
        </w:rPr>
        <w:t xml:space="preserve"> </w:t>
      </w:r>
      <w:r>
        <w:rPr>
          <w:rFonts w:eastAsia="Roboto"/>
          <w:color w:val="202024"/>
        </w:rPr>
        <w:t>FGN.</w:t>
      </w:r>
      <w:r>
        <w:rPr>
          <w:rFonts w:eastAsia="Roboto"/>
          <w:color w:val="202024"/>
          <w:spacing w:val="11"/>
        </w:rPr>
        <w:t xml:space="preserve"> </w:t>
      </w:r>
      <w:r>
        <w:rPr>
          <w:rFonts w:eastAsia="Roboto"/>
          <w:color w:val="202024"/>
        </w:rPr>
        <w:t>In</w:t>
      </w:r>
      <w:r>
        <w:rPr>
          <w:rFonts w:eastAsia="Roboto"/>
          <w:color w:val="202024"/>
          <w:spacing w:val="10"/>
        </w:rPr>
        <w:t xml:space="preserve"> </w:t>
      </w:r>
      <w:r>
        <w:rPr>
          <w:rFonts w:eastAsia="Roboto"/>
          <w:color w:val="202024"/>
        </w:rPr>
        <w:t>my</w:t>
      </w:r>
      <w:r>
        <w:rPr>
          <w:rFonts w:eastAsia="Roboto"/>
          <w:color w:val="202024"/>
          <w:spacing w:val="11"/>
        </w:rPr>
        <w:t xml:space="preserve"> </w:t>
      </w:r>
      <w:r>
        <w:rPr>
          <w:rFonts w:eastAsia="Roboto"/>
          <w:color w:val="202024"/>
        </w:rPr>
        <w:t>experience,</w:t>
      </w:r>
      <w:r>
        <w:rPr>
          <w:rFonts w:eastAsia="Roboto"/>
          <w:color w:val="202024"/>
          <w:spacing w:val="11"/>
        </w:rPr>
        <w:t xml:space="preserve"> </w:t>
      </w:r>
      <w:r>
        <w:rPr>
          <w:rFonts w:eastAsia="Roboto"/>
          <w:color w:val="202024"/>
        </w:rPr>
        <w:t>it</w:t>
      </w:r>
      <w:r>
        <w:rPr>
          <w:rFonts w:eastAsia="Roboto"/>
          <w:color w:val="202024"/>
          <w:spacing w:val="11"/>
        </w:rPr>
        <w:t xml:space="preserve"> </w:t>
      </w:r>
      <w:r>
        <w:rPr>
          <w:rFonts w:eastAsia="Roboto"/>
          <w:color w:val="202024"/>
        </w:rPr>
        <w:t>may</w:t>
      </w:r>
      <w:r>
        <w:rPr>
          <w:rFonts w:eastAsia="Roboto"/>
          <w:color w:val="202024"/>
          <w:spacing w:val="10"/>
        </w:rPr>
        <w:t xml:space="preserve"> </w:t>
      </w:r>
      <w:r>
        <w:rPr>
          <w:rFonts w:eastAsia="Roboto"/>
          <w:color w:val="202024"/>
        </w:rPr>
        <w:t>be</w:t>
      </w:r>
      <w:r>
        <w:rPr>
          <w:rFonts w:eastAsia="Roboto"/>
          <w:color w:val="202024"/>
          <w:spacing w:val="1"/>
        </w:rPr>
        <w:t xml:space="preserve"> </w:t>
      </w:r>
      <w:r>
        <w:rPr>
          <w:rFonts w:eastAsia="Roboto"/>
          <w:color w:val="202024"/>
        </w:rPr>
        <w:t>somewhat</w:t>
      </w:r>
      <w:r>
        <w:rPr>
          <w:rFonts w:eastAsia="Roboto"/>
          <w:color w:val="202024"/>
          <w:spacing w:val="11"/>
        </w:rPr>
        <w:t xml:space="preserve"> </w:t>
      </w:r>
      <w:r>
        <w:rPr>
          <w:rFonts w:eastAsia="Roboto"/>
          <w:color w:val="202024"/>
        </w:rPr>
        <w:t>challenging</w:t>
      </w:r>
      <w:r>
        <w:rPr>
          <w:rFonts w:eastAsia="Roboto"/>
          <w:color w:val="202024"/>
          <w:spacing w:val="12"/>
        </w:rPr>
        <w:t xml:space="preserve"> </w:t>
      </w:r>
      <w:r>
        <w:rPr>
          <w:rFonts w:eastAsia="Roboto"/>
          <w:color w:val="202024"/>
        </w:rPr>
        <w:t>to</w:t>
      </w:r>
      <w:r>
        <w:rPr>
          <w:rFonts w:eastAsia="Roboto"/>
          <w:color w:val="202024"/>
          <w:spacing w:val="12"/>
        </w:rPr>
        <w:t xml:space="preserve"> </w:t>
      </w:r>
      <w:r>
        <w:rPr>
          <w:rFonts w:eastAsia="Roboto"/>
          <w:color w:val="202024"/>
        </w:rPr>
        <w:t>reflect</w:t>
      </w:r>
      <w:r>
        <w:rPr>
          <w:rFonts w:eastAsia="Roboto"/>
          <w:color w:val="202024"/>
          <w:spacing w:val="11"/>
        </w:rPr>
        <w:t xml:space="preserve"> </w:t>
      </w:r>
      <w:r>
        <w:rPr>
          <w:rFonts w:eastAsia="Roboto"/>
          <w:color w:val="202024"/>
        </w:rPr>
        <w:t>the</w:t>
      </w:r>
      <w:r>
        <w:rPr>
          <w:rFonts w:eastAsia="Roboto"/>
          <w:color w:val="202024"/>
          <w:spacing w:val="12"/>
        </w:rPr>
        <w:t xml:space="preserve"> </w:t>
      </w:r>
      <w:r>
        <w:rPr>
          <w:rFonts w:eastAsia="Roboto"/>
          <w:color w:val="202024"/>
        </w:rPr>
        <w:t>amendments</w:t>
      </w:r>
      <w:r>
        <w:rPr>
          <w:rFonts w:eastAsia="Roboto"/>
          <w:color w:val="202024"/>
          <w:spacing w:val="12"/>
        </w:rPr>
        <w:t xml:space="preserve"> </w:t>
      </w:r>
      <w:r>
        <w:rPr>
          <w:rFonts w:eastAsia="Roboto"/>
          <w:color w:val="202024"/>
        </w:rPr>
        <w:t>and</w:t>
      </w:r>
      <w:r>
        <w:rPr>
          <w:rFonts w:eastAsia="Roboto"/>
          <w:color w:val="202024"/>
          <w:spacing w:val="11"/>
        </w:rPr>
        <w:t xml:space="preserve"> </w:t>
      </w:r>
      <w:r>
        <w:rPr>
          <w:rFonts w:eastAsia="Roboto"/>
          <w:color w:val="202024"/>
        </w:rPr>
        <w:t>revisions</w:t>
      </w:r>
      <w:r>
        <w:rPr>
          <w:rFonts w:eastAsia="Roboto"/>
          <w:color w:val="202024"/>
          <w:spacing w:val="12"/>
        </w:rPr>
        <w:t xml:space="preserve"> </w:t>
      </w:r>
      <w:r>
        <w:rPr>
          <w:rFonts w:eastAsia="Roboto"/>
          <w:color w:val="202024"/>
        </w:rPr>
        <w:t>made</w:t>
      </w:r>
      <w:r>
        <w:rPr>
          <w:rFonts w:eastAsia="Roboto"/>
          <w:color w:val="202024"/>
          <w:spacing w:val="12"/>
        </w:rPr>
        <w:t xml:space="preserve"> </w:t>
      </w:r>
      <w:r>
        <w:rPr>
          <w:rFonts w:eastAsia="Roboto"/>
          <w:color w:val="202024"/>
        </w:rPr>
        <w:t>subsequent</w:t>
      </w:r>
      <w:r>
        <w:rPr>
          <w:rFonts w:eastAsia="Roboto"/>
          <w:color w:val="202024"/>
          <w:spacing w:val="11"/>
        </w:rPr>
        <w:t xml:space="preserve"> </w:t>
      </w:r>
      <w:r>
        <w:rPr>
          <w:rFonts w:eastAsia="Roboto"/>
          <w:color w:val="202024"/>
        </w:rPr>
        <w:t>to</w:t>
      </w:r>
      <w:r>
        <w:rPr>
          <w:rFonts w:eastAsia="Roboto"/>
          <w:color w:val="202024"/>
          <w:spacing w:val="12"/>
        </w:rPr>
        <w:t xml:space="preserve"> </w:t>
      </w:r>
      <w:r>
        <w:rPr>
          <w:rFonts w:eastAsia="Roboto"/>
          <w:color w:val="202024"/>
        </w:rPr>
        <w:t>the</w:t>
      </w:r>
      <w:r>
        <w:rPr>
          <w:rFonts w:eastAsia="Roboto"/>
          <w:color w:val="202024"/>
          <w:spacing w:val="12"/>
        </w:rPr>
        <w:t xml:space="preserve"> </w:t>
      </w:r>
      <w:r>
        <w:rPr>
          <w:rFonts w:eastAsia="Roboto"/>
          <w:color w:val="202024"/>
        </w:rPr>
        <w:t>initial</w:t>
      </w:r>
      <w:r>
        <w:rPr>
          <w:rFonts w:eastAsia="Roboto"/>
          <w:color w:val="202024"/>
          <w:spacing w:val="1"/>
        </w:rPr>
        <w:t xml:space="preserve"> </w:t>
      </w:r>
      <w:r>
        <w:rPr>
          <w:rFonts w:eastAsia="Roboto"/>
          <w:color w:val="202024"/>
        </w:rPr>
        <w:t>passage</w:t>
      </w:r>
      <w:r>
        <w:rPr>
          <w:rFonts w:eastAsia="Roboto"/>
          <w:color w:val="202024"/>
          <w:spacing w:val="17"/>
        </w:rPr>
        <w:t xml:space="preserve"> </w:t>
      </w:r>
      <w:r>
        <w:rPr>
          <w:rFonts w:eastAsia="Roboto"/>
          <w:color w:val="202024"/>
        </w:rPr>
        <w:t>of</w:t>
      </w:r>
      <w:r>
        <w:rPr>
          <w:rFonts w:eastAsia="Roboto"/>
          <w:color w:val="202024"/>
          <w:spacing w:val="18"/>
        </w:rPr>
        <w:t xml:space="preserve"> </w:t>
      </w:r>
      <w:r>
        <w:rPr>
          <w:rFonts w:eastAsia="Roboto"/>
          <w:color w:val="202024"/>
        </w:rPr>
        <w:t>a</w:t>
      </w:r>
      <w:r>
        <w:rPr>
          <w:rFonts w:eastAsia="Roboto"/>
          <w:color w:val="202024"/>
          <w:spacing w:val="18"/>
        </w:rPr>
        <w:t xml:space="preserve"> </w:t>
      </w:r>
      <w:r>
        <w:rPr>
          <w:rFonts w:eastAsia="Roboto"/>
          <w:color w:val="202024"/>
        </w:rPr>
        <w:t>piece</w:t>
      </w:r>
      <w:r>
        <w:rPr>
          <w:rFonts w:eastAsia="Roboto"/>
          <w:color w:val="202024"/>
          <w:spacing w:val="18"/>
        </w:rPr>
        <w:t xml:space="preserve"> </w:t>
      </w:r>
      <w:r>
        <w:rPr>
          <w:rFonts w:eastAsia="Roboto"/>
          <w:color w:val="202024"/>
        </w:rPr>
        <w:t>of</w:t>
      </w:r>
      <w:r>
        <w:rPr>
          <w:rFonts w:eastAsia="Roboto"/>
          <w:color w:val="202024"/>
          <w:spacing w:val="18"/>
        </w:rPr>
        <w:t xml:space="preserve"> </w:t>
      </w:r>
      <w:r>
        <w:rPr>
          <w:rFonts w:eastAsia="Roboto"/>
          <w:color w:val="202024"/>
        </w:rPr>
        <w:t>legislation,</w:t>
      </w:r>
      <w:r>
        <w:rPr>
          <w:rFonts w:eastAsia="Roboto"/>
          <w:color w:val="202024"/>
          <w:spacing w:val="18"/>
        </w:rPr>
        <w:t xml:space="preserve"> </w:t>
      </w:r>
      <w:r>
        <w:rPr>
          <w:rFonts w:eastAsia="Roboto"/>
          <w:color w:val="202024"/>
        </w:rPr>
        <w:t>seamlessly.</w:t>
      </w:r>
      <w:r>
        <w:rPr>
          <w:rFonts w:eastAsia="Roboto"/>
          <w:color w:val="202024"/>
          <w:spacing w:val="18"/>
        </w:rPr>
        <w:t xml:space="preserve"> </w:t>
      </w:r>
      <w:r>
        <w:rPr>
          <w:rFonts w:eastAsia="Roboto"/>
          <w:color w:val="202024"/>
        </w:rPr>
        <w:t>Oftentimes,</w:t>
      </w:r>
      <w:r>
        <w:rPr>
          <w:rFonts w:eastAsia="Roboto"/>
          <w:color w:val="202024"/>
          <w:spacing w:val="18"/>
        </w:rPr>
        <w:t xml:space="preserve"> </w:t>
      </w:r>
      <w:r>
        <w:rPr>
          <w:rFonts w:eastAsia="Roboto"/>
          <w:color w:val="202024"/>
        </w:rPr>
        <w:t>the</w:t>
      </w:r>
      <w:r>
        <w:rPr>
          <w:rFonts w:eastAsia="Roboto"/>
          <w:color w:val="202024"/>
          <w:spacing w:val="18"/>
        </w:rPr>
        <w:t xml:space="preserve"> </w:t>
      </w:r>
      <w:r>
        <w:rPr>
          <w:rFonts w:eastAsia="Roboto"/>
          <w:color w:val="202024"/>
        </w:rPr>
        <w:t>subsequent</w:t>
      </w:r>
      <w:r>
        <w:rPr>
          <w:rFonts w:eastAsia="Roboto"/>
          <w:color w:val="202024"/>
          <w:spacing w:val="18"/>
        </w:rPr>
        <w:t xml:space="preserve"> </w:t>
      </w:r>
      <w:r>
        <w:rPr>
          <w:rFonts w:eastAsia="Roboto"/>
          <w:color w:val="202024"/>
        </w:rPr>
        <w:t>piece</w:t>
      </w:r>
      <w:r>
        <w:rPr>
          <w:rFonts w:eastAsia="Roboto"/>
          <w:color w:val="202024"/>
          <w:spacing w:val="18"/>
        </w:rPr>
        <w:t xml:space="preserve"> </w:t>
      </w:r>
      <w:r>
        <w:rPr>
          <w:rFonts w:eastAsia="Roboto"/>
          <w:color w:val="202024"/>
        </w:rPr>
        <w:t>of</w:t>
      </w:r>
      <w:r>
        <w:rPr>
          <w:rFonts w:eastAsia="Roboto"/>
          <w:color w:val="202024"/>
          <w:spacing w:val="18"/>
        </w:rPr>
        <w:t xml:space="preserve"> </w:t>
      </w:r>
      <w:r>
        <w:rPr>
          <w:rFonts w:eastAsia="Roboto"/>
          <w:color w:val="202024"/>
        </w:rPr>
        <w:t>legislation</w:t>
      </w:r>
      <w:r>
        <w:rPr>
          <w:rFonts w:eastAsia="Roboto"/>
          <w:color w:val="202024"/>
          <w:spacing w:val="1"/>
        </w:rPr>
        <w:t xml:space="preserve"> </w:t>
      </w:r>
      <w:r>
        <w:rPr>
          <w:rFonts w:eastAsia="Roboto"/>
          <w:color w:val="202024"/>
        </w:rPr>
        <w:t>is</w:t>
      </w:r>
      <w:r>
        <w:rPr>
          <w:rFonts w:eastAsia="Roboto"/>
          <w:color w:val="202024"/>
          <w:spacing w:val="9"/>
        </w:rPr>
        <w:t xml:space="preserve"> </w:t>
      </w:r>
      <w:r>
        <w:rPr>
          <w:rFonts w:eastAsia="Roboto"/>
          <w:color w:val="202024"/>
        </w:rPr>
        <w:t>published</w:t>
      </w:r>
      <w:r>
        <w:rPr>
          <w:rFonts w:eastAsia="Roboto"/>
          <w:color w:val="202024"/>
          <w:spacing w:val="9"/>
        </w:rPr>
        <w:t xml:space="preserve"> </w:t>
      </w:r>
      <w:r>
        <w:rPr>
          <w:rFonts w:eastAsia="Roboto"/>
          <w:color w:val="202024"/>
        </w:rPr>
        <w:t>on</w:t>
      </w:r>
      <w:r>
        <w:rPr>
          <w:rFonts w:eastAsia="Roboto"/>
          <w:color w:val="202024"/>
          <w:spacing w:val="9"/>
        </w:rPr>
        <w:t xml:space="preserve"> </w:t>
      </w:r>
      <w:r>
        <w:rPr>
          <w:rFonts w:eastAsia="Roboto"/>
          <w:color w:val="202024"/>
        </w:rPr>
        <w:t>its</w:t>
      </w:r>
      <w:r>
        <w:rPr>
          <w:rFonts w:eastAsia="Roboto"/>
          <w:color w:val="202024"/>
          <w:spacing w:val="10"/>
        </w:rPr>
        <w:t xml:space="preserve"> </w:t>
      </w:r>
      <w:r>
        <w:rPr>
          <w:rFonts w:eastAsia="Roboto"/>
          <w:color w:val="202024"/>
        </w:rPr>
        <w:t>own,</w:t>
      </w:r>
      <w:r>
        <w:rPr>
          <w:rFonts w:eastAsia="Roboto"/>
          <w:color w:val="202024"/>
          <w:spacing w:val="9"/>
        </w:rPr>
        <w:t xml:space="preserve"> </w:t>
      </w:r>
      <w:r>
        <w:rPr>
          <w:rFonts w:eastAsia="Roboto"/>
          <w:color w:val="202024"/>
        </w:rPr>
        <w:t>whilst</w:t>
      </w:r>
      <w:r>
        <w:rPr>
          <w:rFonts w:eastAsia="Roboto"/>
          <w:color w:val="202024"/>
          <w:spacing w:val="9"/>
        </w:rPr>
        <w:t xml:space="preserve"> </w:t>
      </w:r>
      <w:r>
        <w:rPr>
          <w:rFonts w:eastAsia="Roboto"/>
          <w:color w:val="202024"/>
        </w:rPr>
        <w:t>highlighting</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aspects</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foundational</w:t>
      </w:r>
      <w:r>
        <w:rPr>
          <w:rFonts w:eastAsia="Roboto"/>
          <w:color w:val="202024"/>
          <w:spacing w:val="9"/>
        </w:rPr>
        <w:t xml:space="preserve"> </w:t>
      </w:r>
      <w:r>
        <w:rPr>
          <w:rFonts w:eastAsia="Roboto"/>
          <w:color w:val="202024"/>
        </w:rPr>
        <w:t>legislation,</w:t>
      </w:r>
      <w:r>
        <w:rPr>
          <w:rFonts w:eastAsia="Roboto"/>
          <w:color w:val="202024"/>
          <w:spacing w:val="9"/>
        </w:rPr>
        <w:t xml:space="preserve"> </w:t>
      </w:r>
      <w:r>
        <w:rPr>
          <w:rFonts w:eastAsia="Roboto"/>
          <w:color w:val="202024"/>
        </w:rPr>
        <w:t>which</w:t>
      </w:r>
      <w:r>
        <w:rPr>
          <w:rFonts w:eastAsia="Roboto"/>
          <w:color w:val="202024"/>
          <w:spacing w:val="1"/>
        </w:rPr>
        <w:t xml:space="preserve"> </w:t>
      </w:r>
      <w:r>
        <w:rPr>
          <w:rFonts w:eastAsia="Roboto"/>
          <w:color w:val="202024"/>
        </w:rPr>
        <w:t>have</w:t>
      </w:r>
      <w:r>
        <w:rPr>
          <w:rFonts w:eastAsia="Roboto"/>
          <w:color w:val="202024"/>
          <w:spacing w:val="7"/>
        </w:rPr>
        <w:t xml:space="preserve"> </w:t>
      </w:r>
      <w:r>
        <w:rPr>
          <w:rFonts w:eastAsia="Roboto"/>
          <w:color w:val="202024"/>
        </w:rPr>
        <w:t>been</w:t>
      </w:r>
      <w:r>
        <w:rPr>
          <w:rFonts w:eastAsia="Roboto"/>
          <w:color w:val="202024"/>
          <w:spacing w:val="8"/>
        </w:rPr>
        <w:t xml:space="preserve"> </w:t>
      </w:r>
      <w:r>
        <w:rPr>
          <w:rFonts w:eastAsia="Roboto"/>
          <w:color w:val="202024"/>
        </w:rPr>
        <w:t>amended.</w:t>
      </w:r>
      <w:r>
        <w:rPr>
          <w:rFonts w:eastAsia="Roboto"/>
          <w:color w:val="202024"/>
          <w:spacing w:val="7"/>
        </w:rPr>
        <w:t xml:space="preserve"> </w:t>
      </w:r>
      <w:r>
        <w:rPr>
          <w:rFonts w:eastAsia="Roboto"/>
          <w:color w:val="202024"/>
        </w:rPr>
        <w:t>Of</w:t>
      </w:r>
      <w:r>
        <w:rPr>
          <w:rFonts w:eastAsia="Roboto"/>
          <w:color w:val="202024"/>
          <w:spacing w:val="8"/>
        </w:rPr>
        <w:t xml:space="preserve"> </w:t>
      </w:r>
      <w:r>
        <w:rPr>
          <w:rFonts w:eastAsia="Roboto"/>
          <w:color w:val="202024"/>
        </w:rPr>
        <w:t>course,</w:t>
      </w:r>
      <w:r>
        <w:rPr>
          <w:rFonts w:eastAsia="Roboto"/>
          <w:color w:val="202024"/>
          <w:spacing w:val="7"/>
        </w:rPr>
        <w:t xml:space="preserve"> </w:t>
      </w:r>
      <w:r>
        <w:rPr>
          <w:rFonts w:eastAsia="Roboto"/>
          <w:color w:val="202024"/>
        </w:rPr>
        <w:t>this</w:t>
      </w:r>
      <w:r>
        <w:rPr>
          <w:rFonts w:eastAsia="Roboto"/>
          <w:color w:val="202024"/>
          <w:spacing w:val="8"/>
        </w:rPr>
        <w:t xml:space="preserve"> </w:t>
      </w:r>
      <w:r>
        <w:rPr>
          <w:rFonts w:eastAsia="Roboto"/>
          <w:color w:val="202024"/>
        </w:rPr>
        <w:t>results</w:t>
      </w:r>
      <w:r>
        <w:rPr>
          <w:rFonts w:eastAsia="Roboto"/>
          <w:color w:val="202024"/>
          <w:spacing w:val="7"/>
        </w:rPr>
        <w:t xml:space="preserve"> </w:t>
      </w:r>
      <w:r>
        <w:rPr>
          <w:rFonts w:eastAsia="Roboto"/>
          <w:color w:val="202024"/>
        </w:rPr>
        <w:t>in</w:t>
      </w:r>
      <w:r>
        <w:rPr>
          <w:rFonts w:eastAsia="Roboto"/>
          <w:color w:val="202024"/>
          <w:spacing w:val="8"/>
        </w:rPr>
        <w:t xml:space="preserve"> </w:t>
      </w:r>
      <w:r>
        <w:rPr>
          <w:rFonts w:eastAsia="Roboto"/>
          <w:color w:val="202024"/>
        </w:rPr>
        <w:t>various</w:t>
      </w:r>
      <w:r>
        <w:rPr>
          <w:rFonts w:eastAsia="Roboto"/>
          <w:color w:val="202024"/>
          <w:spacing w:val="7"/>
        </w:rPr>
        <w:t xml:space="preserve"> </w:t>
      </w:r>
      <w:r>
        <w:rPr>
          <w:rFonts w:eastAsia="Roboto"/>
          <w:color w:val="202024"/>
        </w:rPr>
        <w:t>aspects</w:t>
      </w:r>
      <w:r>
        <w:rPr>
          <w:rFonts w:eastAsia="Roboto"/>
          <w:color w:val="202024"/>
          <w:spacing w:val="8"/>
        </w:rPr>
        <w:t xml:space="preserve"> </w:t>
      </w:r>
      <w:r>
        <w:rPr>
          <w:rFonts w:eastAsia="Roboto"/>
          <w:color w:val="202024"/>
        </w:rPr>
        <w:t>of</w:t>
      </w:r>
      <w:r>
        <w:rPr>
          <w:rFonts w:eastAsia="Roboto"/>
          <w:color w:val="202024"/>
          <w:spacing w:val="7"/>
        </w:rPr>
        <w:t xml:space="preserve"> </w:t>
      </w:r>
      <w:r>
        <w:rPr>
          <w:rFonts w:eastAsia="Roboto"/>
          <w:color w:val="202024"/>
        </w:rPr>
        <w:t>the</w:t>
      </w:r>
      <w:r>
        <w:rPr>
          <w:rFonts w:eastAsia="Roboto"/>
          <w:color w:val="202024"/>
          <w:spacing w:val="8"/>
        </w:rPr>
        <w:t xml:space="preserve"> </w:t>
      </w:r>
      <w:r>
        <w:rPr>
          <w:rFonts w:eastAsia="Roboto"/>
          <w:color w:val="202024"/>
        </w:rPr>
        <w:t>subject-matter</w:t>
      </w:r>
      <w:r>
        <w:rPr>
          <w:rFonts w:eastAsia="Roboto"/>
          <w:color w:val="202024"/>
          <w:spacing w:val="7"/>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1"/>
        </w:rPr>
        <w:t xml:space="preserve"> </w:t>
      </w:r>
      <w:r>
        <w:rPr>
          <w:rFonts w:eastAsia="Roboto"/>
          <w:color w:val="202024"/>
        </w:rPr>
        <w:t>legislation</w:t>
      </w:r>
      <w:r>
        <w:rPr>
          <w:rFonts w:eastAsia="Roboto"/>
          <w:color w:val="202024"/>
          <w:spacing w:val="7"/>
        </w:rPr>
        <w:t xml:space="preserve"> </w:t>
      </w:r>
      <w:r>
        <w:rPr>
          <w:rFonts w:eastAsia="Roboto"/>
          <w:color w:val="202024"/>
        </w:rPr>
        <w:t>being</w:t>
      </w:r>
      <w:r>
        <w:rPr>
          <w:rFonts w:eastAsia="Roboto"/>
          <w:color w:val="202024"/>
          <w:spacing w:val="7"/>
        </w:rPr>
        <w:t xml:space="preserve"> </w:t>
      </w:r>
      <w:r>
        <w:rPr>
          <w:rFonts w:eastAsia="Roboto"/>
          <w:color w:val="202024"/>
        </w:rPr>
        <w:t>scattered</w:t>
      </w:r>
      <w:r>
        <w:rPr>
          <w:rFonts w:eastAsia="Roboto"/>
          <w:color w:val="202024"/>
          <w:spacing w:val="8"/>
        </w:rPr>
        <w:t xml:space="preserve"> </w:t>
      </w:r>
      <w:r>
        <w:rPr>
          <w:rFonts w:eastAsia="Roboto"/>
          <w:color w:val="202024"/>
        </w:rPr>
        <w:t>"here"</w:t>
      </w:r>
      <w:r>
        <w:rPr>
          <w:rFonts w:eastAsia="Roboto"/>
          <w:color w:val="202024"/>
          <w:spacing w:val="7"/>
        </w:rPr>
        <w:t xml:space="preserve"> </w:t>
      </w:r>
      <w:r>
        <w:rPr>
          <w:rFonts w:eastAsia="Roboto"/>
          <w:color w:val="202024"/>
        </w:rPr>
        <w:t>and</w:t>
      </w:r>
      <w:r>
        <w:rPr>
          <w:rFonts w:eastAsia="Roboto"/>
          <w:color w:val="202024"/>
          <w:spacing w:val="8"/>
        </w:rPr>
        <w:t xml:space="preserve"> </w:t>
      </w:r>
      <w:r>
        <w:rPr>
          <w:rFonts w:eastAsia="Roboto"/>
          <w:color w:val="202024"/>
        </w:rPr>
        <w:t>"there",</w:t>
      </w:r>
      <w:r>
        <w:rPr>
          <w:rFonts w:eastAsia="Roboto"/>
          <w:color w:val="202024"/>
          <w:spacing w:val="7"/>
        </w:rPr>
        <w:t xml:space="preserve"> </w:t>
      </w:r>
      <w:r>
        <w:rPr>
          <w:rFonts w:eastAsia="Roboto"/>
          <w:color w:val="202024"/>
        </w:rPr>
        <w:t>which</w:t>
      </w:r>
      <w:r>
        <w:rPr>
          <w:rFonts w:eastAsia="Roboto"/>
          <w:color w:val="202024"/>
          <w:spacing w:val="8"/>
        </w:rPr>
        <w:t xml:space="preserve"> </w:t>
      </w:r>
      <w:r>
        <w:rPr>
          <w:rFonts w:eastAsia="Roboto"/>
          <w:color w:val="202024"/>
        </w:rPr>
        <w:t>negatively</w:t>
      </w:r>
      <w:r>
        <w:rPr>
          <w:rFonts w:eastAsia="Roboto"/>
          <w:color w:val="202024"/>
          <w:spacing w:val="7"/>
        </w:rPr>
        <w:t xml:space="preserve"> </w:t>
      </w:r>
      <w:r>
        <w:rPr>
          <w:rFonts w:eastAsia="Roboto"/>
          <w:color w:val="202024"/>
        </w:rPr>
        <w:t>impacts</w:t>
      </w:r>
      <w:r>
        <w:rPr>
          <w:rFonts w:eastAsia="Roboto"/>
          <w:color w:val="202024"/>
          <w:spacing w:val="8"/>
        </w:rPr>
        <w:t xml:space="preserve"> </w:t>
      </w:r>
      <w:r>
        <w:rPr>
          <w:rFonts w:eastAsia="Roboto"/>
          <w:color w:val="202024"/>
        </w:rPr>
        <w:t>clarity</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certainty.</w:t>
      </w:r>
      <w:r>
        <w:rPr>
          <w:rFonts w:eastAsia="Roboto"/>
          <w:color w:val="202024"/>
          <w:spacing w:val="8"/>
        </w:rPr>
        <w:t xml:space="preserve"> </w:t>
      </w:r>
      <w:r>
        <w:rPr>
          <w:rFonts w:eastAsia="Roboto"/>
          <w:color w:val="202024"/>
        </w:rPr>
        <w:t>I</w:t>
      </w:r>
      <w:r>
        <w:rPr>
          <w:rFonts w:eastAsia="Roboto"/>
          <w:color w:val="202024"/>
          <w:spacing w:val="1"/>
        </w:rPr>
        <w:t xml:space="preserve"> </w:t>
      </w:r>
      <w:r>
        <w:rPr>
          <w:rFonts w:eastAsia="Roboto"/>
          <w:color w:val="202024"/>
        </w:rPr>
        <w:t>observed,</w:t>
      </w:r>
      <w:r>
        <w:rPr>
          <w:rFonts w:eastAsia="Roboto"/>
          <w:color w:val="202024"/>
          <w:spacing w:val="8"/>
        </w:rPr>
        <w:t xml:space="preserve"> </w:t>
      </w:r>
      <w:r>
        <w:rPr>
          <w:rFonts w:eastAsia="Roboto"/>
          <w:color w:val="202024"/>
        </w:rPr>
        <w:t>whilst</w:t>
      </w:r>
      <w:r>
        <w:rPr>
          <w:rFonts w:eastAsia="Roboto"/>
          <w:color w:val="202024"/>
          <w:spacing w:val="9"/>
        </w:rPr>
        <w:t xml:space="preserve"> </w:t>
      </w:r>
      <w:r>
        <w:rPr>
          <w:rFonts w:eastAsia="Roboto"/>
          <w:color w:val="202024"/>
        </w:rPr>
        <w:t>studying</w:t>
      </w:r>
      <w:r>
        <w:rPr>
          <w:rFonts w:eastAsia="Roboto"/>
          <w:color w:val="202024"/>
          <w:spacing w:val="8"/>
        </w:rPr>
        <w:t xml:space="preserve"> </w:t>
      </w:r>
      <w:r>
        <w:rPr>
          <w:rFonts w:eastAsia="Roboto"/>
          <w:color w:val="202024"/>
        </w:rPr>
        <w:t>a</w:t>
      </w:r>
      <w:r>
        <w:rPr>
          <w:rFonts w:eastAsia="Roboto"/>
          <w:color w:val="202024"/>
          <w:spacing w:val="9"/>
        </w:rPr>
        <w:t xml:space="preserve"> </w:t>
      </w:r>
      <w:r>
        <w:rPr>
          <w:rFonts w:eastAsia="Roboto"/>
          <w:color w:val="202024"/>
        </w:rPr>
        <w:t>particular</w:t>
      </w:r>
      <w:r>
        <w:rPr>
          <w:rFonts w:eastAsia="Roboto"/>
          <w:color w:val="202024"/>
          <w:spacing w:val="8"/>
        </w:rPr>
        <w:t xml:space="preserve"> </w:t>
      </w:r>
      <w:r>
        <w:rPr>
          <w:rFonts w:eastAsia="Roboto"/>
          <w:color w:val="202024"/>
        </w:rPr>
        <w:t>subject-matter</w:t>
      </w:r>
      <w:r>
        <w:rPr>
          <w:rFonts w:eastAsia="Roboto"/>
          <w:color w:val="202024"/>
          <w:spacing w:val="9"/>
        </w:rPr>
        <w:t xml:space="preserve"> </w:t>
      </w:r>
      <w:r>
        <w:rPr>
          <w:rFonts w:eastAsia="Roboto"/>
          <w:color w:val="202024"/>
        </w:rPr>
        <w:t>(not</w:t>
      </w:r>
      <w:r>
        <w:rPr>
          <w:rFonts w:eastAsia="Roboto"/>
          <w:color w:val="202024"/>
          <w:spacing w:val="4"/>
        </w:rPr>
        <w:t xml:space="preserve"> </w:t>
      </w:r>
      <w:r>
        <w:rPr>
          <w:rFonts w:eastAsia="Roboto"/>
          <w:color w:val="202024"/>
        </w:rPr>
        <w:t>Taxation),</w:t>
      </w:r>
      <w:r>
        <w:rPr>
          <w:rFonts w:eastAsia="Roboto"/>
          <w:color w:val="202024"/>
          <w:spacing w:val="9"/>
        </w:rPr>
        <w:t xml:space="preserve"> </w:t>
      </w:r>
      <w:r>
        <w:rPr>
          <w:rFonts w:eastAsia="Roboto"/>
          <w:color w:val="202024"/>
        </w:rPr>
        <w:t>from</w:t>
      </w:r>
      <w:r>
        <w:rPr>
          <w:rFonts w:eastAsia="Roboto"/>
          <w:color w:val="202024"/>
          <w:spacing w:val="8"/>
        </w:rPr>
        <w:t xml:space="preserve"> </w:t>
      </w:r>
      <w:r>
        <w:rPr>
          <w:rFonts w:eastAsia="Roboto"/>
          <w:color w:val="202024"/>
        </w:rPr>
        <w:t>the</w:t>
      </w:r>
      <w:r>
        <w:rPr>
          <w:rFonts w:eastAsia="Roboto"/>
          <w:color w:val="202024"/>
          <w:spacing w:val="9"/>
        </w:rPr>
        <w:t xml:space="preserve"> </w:t>
      </w:r>
      <w:r>
        <w:rPr>
          <w:rFonts w:eastAsia="Roboto"/>
          <w:color w:val="202024"/>
        </w:rPr>
        <w:t>perspective</w:t>
      </w:r>
      <w:r>
        <w:rPr>
          <w:rFonts w:eastAsia="Roboto"/>
          <w:color w:val="202024"/>
          <w:spacing w:val="8"/>
        </w:rPr>
        <w:t xml:space="preserve"> </w:t>
      </w:r>
      <w:r>
        <w:rPr>
          <w:rFonts w:eastAsia="Roboto"/>
          <w:color w:val="202024"/>
        </w:rPr>
        <w:t>of</w:t>
      </w:r>
      <w:r>
        <w:rPr>
          <w:rFonts w:eastAsia="Roboto"/>
          <w:color w:val="202024"/>
          <w:spacing w:val="1"/>
        </w:rPr>
        <w:t xml:space="preserve"> </w:t>
      </w:r>
      <w:r>
        <w:rPr>
          <w:rFonts w:eastAsia="Roboto"/>
          <w:color w:val="202024"/>
        </w:rPr>
        <w:t>another</w:t>
      </w:r>
      <w:r>
        <w:rPr>
          <w:rFonts w:eastAsia="Roboto"/>
          <w:color w:val="202024"/>
          <w:spacing w:val="12"/>
        </w:rPr>
        <w:t xml:space="preserve"> </w:t>
      </w:r>
      <w:r>
        <w:rPr>
          <w:rFonts w:eastAsia="Roboto"/>
          <w:color w:val="202024"/>
        </w:rPr>
        <w:t>jurisdiction</w:t>
      </w:r>
      <w:r>
        <w:rPr>
          <w:rFonts w:eastAsia="Roboto"/>
          <w:color w:val="202024"/>
          <w:spacing w:val="13"/>
        </w:rPr>
        <w:t xml:space="preserve"> </w:t>
      </w:r>
      <w:r>
        <w:rPr>
          <w:rFonts w:eastAsia="Roboto"/>
          <w:color w:val="202024"/>
        </w:rPr>
        <w:t>(not</w:t>
      </w:r>
      <w:r>
        <w:rPr>
          <w:rFonts w:eastAsia="Roboto"/>
          <w:color w:val="202024"/>
          <w:spacing w:val="12"/>
        </w:rPr>
        <w:t xml:space="preserve"> </w:t>
      </w:r>
      <w:r>
        <w:rPr>
          <w:rFonts w:eastAsia="Roboto"/>
          <w:color w:val="202024"/>
        </w:rPr>
        <w:t>Nigeria),</w:t>
      </w:r>
      <w:r>
        <w:rPr>
          <w:rFonts w:eastAsia="Roboto"/>
          <w:color w:val="202024"/>
          <w:spacing w:val="13"/>
        </w:rPr>
        <w:t xml:space="preserve"> </w:t>
      </w:r>
      <w:r>
        <w:rPr>
          <w:rFonts w:eastAsia="Roboto"/>
          <w:color w:val="202024"/>
        </w:rPr>
        <w:t>that</w:t>
      </w:r>
      <w:r>
        <w:rPr>
          <w:rFonts w:eastAsia="Roboto"/>
          <w:color w:val="202024"/>
          <w:spacing w:val="12"/>
        </w:rPr>
        <w:t xml:space="preserve"> </w:t>
      </w:r>
      <w:r>
        <w:rPr>
          <w:rFonts w:eastAsia="Roboto"/>
          <w:color w:val="202024"/>
        </w:rPr>
        <w:t>the</w:t>
      </w:r>
      <w:r>
        <w:rPr>
          <w:rFonts w:eastAsia="Roboto"/>
          <w:color w:val="202024"/>
          <w:spacing w:val="13"/>
        </w:rPr>
        <w:t xml:space="preserve"> </w:t>
      </w:r>
      <w:r>
        <w:rPr>
          <w:rFonts w:eastAsia="Roboto"/>
          <w:color w:val="202024"/>
        </w:rPr>
        <w:t>text</w:t>
      </w:r>
      <w:r>
        <w:rPr>
          <w:rFonts w:eastAsia="Roboto"/>
          <w:color w:val="202024"/>
          <w:spacing w:val="12"/>
        </w:rPr>
        <w:t xml:space="preserve"> </w:t>
      </w:r>
      <w:r>
        <w:rPr>
          <w:rFonts w:eastAsia="Roboto"/>
          <w:color w:val="202024"/>
        </w:rPr>
        <w:t>of</w:t>
      </w:r>
      <w:r>
        <w:rPr>
          <w:rFonts w:eastAsia="Roboto"/>
          <w:color w:val="202024"/>
          <w:spacing w:val="13"/>
        </w:rPr>
        <w:t xml:space="preserve"> </w:t>
      </w:r>
      <w:r>
        <w:rPr>
          <w:rFonts w:eastAsia="Roboto"/>
          <w:color w:val="202024"/>
        </w:rPr>
        <w:t>the</w:t>
      </w:r>
      <w:r>
        <w:rPr>
          <w:rFonts w:eastAsia="Roboto"/>
          <w:color w:val="202024"/>
          <w:spacing w:val="13"/>
        </w:rPr>
        <w:t xml:space="preserve"> </w:t>
      </w:r>
      <w:r>
        <w:rPr>
          <w:rFonts w:eastAsia="Roboto"/>
          <w:color w:val="202024"/>
        </w:rPr>
        <w:t>original</w:t>
      </w:r>
      <w:r>
        <w:rPr>
          <w:rFonts w:eastAsia="Roboto"/>
          <w:color w:val="202024"/>
          <w:spacing w:val="12"/>
        </w:rPr>
        <w:t xml:space="preserve"> </w:t>
      </w:r>
      <w:r>
        <w:rPr>
          <w:rFonts w:eastAsia="Roboto"/>
          <w:color w:val="202024"/>
        </w:rPr>
        <w:t>principal</w:t>
      </w:r>
      <w:r>
        <w:rPr>
          <w:rFonts w:eastAsia="Roboto"/>
          <w:color w:val="202024"/>
          <w:spacing w:val="13"/>
        </w:rPr>
        <w:t xml:space="preserve"> </w:t>
      </w:r>
      <w:r>
        <w:rPr>
          <w:rFonts w:eastAsia="Roboto"/>
          <w:color w:val="202024"/>
        </w:rPr>
        <w:t>legislation</w:t>
      </w:r>
      <w:r>
        <w:rPr>
          <w:rFonts w:eastAsia="Roboto"/>
          <w:color w:val="202024"/>
          <w:spacing w:val="12"/>
        </w:rPr>
        <w:t xml:space="preserve"> </w:t>
      </w:r>
      <w:r>
        <w:rPr>
          <w:rFonts w:eastAsia="Roboto"/>
          <w:color w:val="202024"/>
        </w:rPr>
        <w:t>is</w:t>
      </w:r>
      <w:r>
        <w:rPr>
          <w:rFonts w:eastAsia="Roboto"/>
          <w:color w:val="202024"/>
          <w:spacing w:val="13"/>
        </w:rPr>
        <w:t xml:space="preserve"> </w:t>
      </w:r>
      <w:r>
        <w:rPr>
          <w:rFonts w:eastAsia="Roboto"/>
          <w:color w:val="202024"/>
        </w:rPr>
        <w:t>maintained,</w:t>
      </w:r>
      <w:r>
        <w:rPr>
          <w:rFonts w:eastAsia="Roboto"/>
          <w:color w:val="202024"/>
          <w:spacing w:val="-49"/>
        </w:rPr>
        <w:t xml:space="preserve"> </w:t>
      </w:r>
      <w:r>
        <w:rPr>
          <w:rFonts w:eastAsia="Roboto"/>
          <w:color w:val="202024"/>
        </w:rPr>
        <w:t>and</w:t>
      </w:r>
      <w:r>
        <w:rPr>
          <w:rFonts w:eastAsia="Roboto"/>
          <w:color w:val="202024"/>
          <w:spacing w:val="10"/>
        </w:rPr>
        <w:t xml:space="preserve"> </w:t>
      </w:r>
      <w:r>
        <w:rPr>
          <w:rFonts w:eastAsia="Roboto"/>
          <w:color w:val="202024"/>
        </w:rPr>
        <w:t>subsequent</w:t>
      </w:r>
      <w:r>
        <w:rPr>
          <w:rFonts w:eastAsia="Roboto"/>
          <w:color w:val="202024"/>
          <w:spacing w:val="10"/>
        </w:rPr>
        <w:t xml:space="preserve"> </w:t>
      </w:r>
      <w:r>
        <w:rPr>
          <w:rFonts w:eastAsia="Roboto"/>
          <w:color w:val="202024"/>
        </w:rPr>
        <w:t>amendments</w:t>
      </w:r>
      <w:r>
        <w:rPr>
          <w:rFonts w:eastAsia="Roboto"/>
          <w:color w:val="202024"/>
          <w:spacing w:val="11"/>
        </w:rPr>
        <w:t xml:space="preserve"> </w:t>
      </w:r>
      <w:r>
        <w:rPr>
          <w:rFonts w:eastAsia="Roboto"/>
          <w:color w:val="202024"/>
        </w:rPr>
        <w:t>and</w:t>
      </w:r>
      <w:r>
        <w:rPr>
          <w:rFonts w:eastAsia="Roboto"/>
          <w:color w:val="202024"/>
          <w:spacing w:val="10"/>
        </w:rPr>
        <w:t xml:space="preserve"> </w:t>
      </w:r>
      <w:r>
        <w:rPr>
          <w:rFonts w:eastAsia="Roboto"/>
          <w:color w:val="202024"/>
        </w:rPr>
        <w:t>revisions</w:t>
      </w:r>
      <w:r>
        <w:rPr>
          <w:rFonts w:eastAsia="Roboto"/>
          <w:color w:val="202024"/>
          <w:spacing w:val="10"/>
        </w:rPr>
        <w:t xml:space="preserve"> </w:t>
      </w:r>
      <w:r>
        <w:rPr>
          <w:rFonts w:eastAsia="Roboto"/>
          <w:color w:val="202024"/>
        </w:rPr>
        <w:t>to</w:t>
      </w:r>
      <w:r>
        <w:rPr>
          <w:rFonts w:eastAsia="Roboto"/>
          <w:color w:val="202024"/>
          <w:spacing w:val="11"/>
        </w:rPr>
        <w:t xml:space="preserve"> </w:t>
      </w:r>
      <w:r>
        <w:rPr>
          <w:rFonts w:eastAsia="Roboto"/>
          <w:color w:val="202024"/>
        </w:rPr>
        <w:t>various</w:t>
      </w:r>
      <w:r>
        <w:rPr>
          <w:rFonts w:eastAsia="Roboto"/>
          <w:color w:val="202024"/>
          <w:spacing w:val="10"/>
        </w:rPr>
        <w:t xml:space="preserve"> </w:t>
      </w:r>
      <w:r>
        <w:rPr>
          <w:rFonts w:eastAsia="Roboto"/>
          <w:color w:val="202024"/>
        </w:rPr>
        <w:t>aspects</w:t>
      </w:r>
      <w:r>
        <w:rPr>
          <w:rFonts w:eastAsia="Roboto"/>
          <w:color w:val="202024"/>
          <w:spacing w:val="11"/>
        </w:rPr>
        <w:t xml:space="preserve"> </w:t>
      </w:r>
      <w:r>
        <w:rPr>
          <w:rFonts w:eastAsia="Roboto"/>
          <w:color w:val="202024"/>
        </w:rPr>
        <w:t>of</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legislation</w:t>
      </w:r>
      <w:r>
        <w:rPr>
          <w:rFonts w:eastAsia="Roboto"/>
          <w:color w:val="202024"/>
          <w:spacing w:val="11"/>
        </w:rPr>
        <w:t xml:space="preserve"> </w:t>
      </w:r>
      <w:r>
        <w:rPr>
          <w:rFonts w:eastAsia="Roboto"/>
          <w:color w:val="202024"/>
        </w:rPr>
        <w:t>are</w:t>
      </w:r>
      <w:r>
        <w:rPr>
          <w:rFonts w:eastAsia="Roboto"/>
          <w:color w:val="202024"/>
          <w:spacing w:val="10"/>
        </w:rPr>
        <w:t xml:space="preserve"> </w:t>
      </w:r>
      <w:r>
        <w:rPr>
          <w:rFonts w:eastAsia="Roboto"/>
          <w:color w:val="202024"/>
        </w:rPr>
        <w:t>inserted</w:t>
      </w:r>
      <w:r>
        <w:rPr>
          <w:rFonts w:eastAsia="Roboto"/>
          <w:color w:val="202024"/>
          <w:spacing w:val="1"/>
        </w:rPr>
        <w:t xml:space="preserve"> </w:t>
      </w:r>
      <w:r>
        <w:rPr>
          <w:rFonts w:eastAsia="Roboto"/>
          <w:color w:val="202024"/>
        </w:rPr>
        <w:t>into</w:t>
      </w:r>
      <w:r>
        <w:rPr>
          <w:rFonts w:eastAsia="Roboto"/>
          <w:color w:val="202024"/>
          <w:spacing w:val="5"/>
        </w:rPr>
        <w:t xml:space="preserve"> </w:t>
      </w:r>
      <w:r>
        <w:rPr>
          <w:rFonts w:eastAsia="Roboto"/>
          <w:color w:val="202024"/>
        </w:rPr>
        <w:t>the</w:t>
      </w:r>
      <w:r>
        <w:rPr>
          <w:rFonts w:eastAsia="Roboto"/>
          <w:color w:val="202024"/>
          <w:spacing w:val="6"/>
        </w:rPr>
        <w:t xml:space="preserve"> </w:t>
      </w:r>
      <w:r>
        <w:rPr>
          <w:rFonts w:eastAsia="Roboto"/>
          <w:color w:val="202024"/>
        </w:rPr>
        <w:t>original</w:t>
      </w:r>
      <w:r>
        <w:rPr>
          <w:rFonts w:eastAsia="Roboto"/>
          <w:color w:val="202024"/>
          <w:spacing w:val="6"/>
        </w:rPr>
        <w:t xml:space="preserve"> </w:t>
      </w:r>
      <w:r>
        <w:rPr>
          <w:rFonts w:eastAsia="Roboto"/>
          <w:color w:val="202024"/>
        </w:rPr>
        <w:t>text,</w:t>
      </w:r>
      <w:r>
        <w:rPr>
          <w:rFonts w:eastAsia="Roboto"/>
          <w:color w:val="202024"/>
          <w:spacing w:val="5"/>
        </w:rPr>
        <w:t xml:space="preserve"> </w:t>
      </w:r>
      <w:r>
        <w:rPr>
          <w:rFonts w:eastAsia="Roboto"/>
          <w:color w:val="202024"/>
        </w:rPr>
        <w:t>with</w:t>
      </w:r>
      <w:r>
        <w:rPr>
          <w:rFonts w:eastAsia="Roboto"/>
          <w:color w:val="202024"/>
          <w:spacing w:val="6"/>
        </w:rPr>
        <w:t xml:space="preserve"> </w:t>
      </w:r>
      <w:r>
        <w:rPr>
          <w:rFonts w:eastAsia="Roboto"/>
          <w:color w:val="202024"/>
        </w:rPr>
        <w:t>appropriate</w:t>
      </w:r>
      <w:r>
        <w:rPr>
          <w:rFonts w:eastAsia="Roboto"/>
          <w:color w:val="202024"/>
          <w:spacing w:val="6"/>
        </w:rPr>
        <w:t xml:space="preserve"> </w:t>
      </w:r>
      <w:r>
        <w:rPr>
          <w:rFonts w:eastAsia="Roboto"/>
          <w:color w:val="202024"/>
        </w:rPr>
        <w:t>identifications.</w:t>
      </w:r>
    </w:p>
    <w:p w14:paraId="021051F2">
      <w:pPr>
        <w:widowControl w:val="0"/>
        <w:autoSpaceDE w:val="0"/>
        <w:autoSpaceDN w:val="0"/>
        <w:spacing w:before="1"/>
        <w:jc w:val="both"/>
        <w:rPr>
          <w:rFonts w:eastAsia="Roboto"/>
        </w:rPr>
      </w:pPr>
    </w:p>
    <w:p w14:paraId="4724636A">
      <w:pPr>
        <w:widowControl w:val="0"/>
        <w:autoSpaceDE w:val="0"/>
        <w:autoSpaceDN w:val="0"/>
        <w:spacing w:line="285" w:lineRule="auto"/>
        <w:ind w:right="394"/>
        <w:jc w:val="both"/>
        <w:rPr>
          <w:rFonts w:eastAsia="Roboto"/>
        </w:rPr>
      </w:pPr>
      <w:r>
        <w:rPr>
          <w:rFonts w:eastAsia="Roboto"/>
          <w:color w:val="202024"/>
        </w:rPr>
        <w:t>The</w:t>
      </w:r>
      <w:r>
        <w:rPr>
          <w:rFonts w:eastAsia="Roboto"/>
          <w:color w:val="202024"/>
          <w:spacing w:val="11"/>
        </w:rPr>
        <w:t xml:space="preserve"> </w:t>
      </w:r>
      <w:r>
        <w:rPr>
          <w:rFonts w:eastAsia="Roboto"/>
          <w:color w:val="202024"/>
        </w:rPr>
        <w:t>piecemeal</w:t>
      </w:r>
      <w:r>
        <w:rPr>
          <w:rFonts w:eastAsia="Roboto"/>
          <w:color w:val="202024"/>
          <w:spacing w:val="12"/>
        </w:rPr>
        <w:t xml:space="preserve"> </w:t>
      </w:r>
      <w:r>
        <w:rPr>
          <w:rFonts w:eastAsia="Roboto"/>
          <w:color w:val="202024"/>
        </w:rPr>
        <w:t>amendment</w:t>
      </w:r>
      <w:r>
        <w:rPr>
          <w:rFonts w:eastAsia="Roboto"/>
          <w:color w:val="202024"/>
          <w:spacing w:val="12"/>
        </w:rPr>
        <w:t xml:space="preserve"> </w:t>
      </w:r>
      <w:r>
        <w:rPr>
          <w:rFonts w:eastAsia="Roboto"/>
          <w:color w:val="202024"/>
        </w:rPr>
        <w:t>of</w:t>
      </w:r>
      <w:r>
        <w:rPr>
          <w:rFonts w:eastAsia="Roboto"/>
          <w:color w:val="202024"/>
          <w:spacing w:val="12"/>
        </w:rPr>
        <w:t xml:space="preserve"> </w:t>
      </w:r>
      <w:r>
        <w:rPr>
          <w:rFonts w:eastAsia="Roboto"/>
          <w:color w:val="202024"/>
        </w:rPr>
        <w:t>the</w:t>
      </w:r>
      <w:r>
        <w:rPr>
          <w:rFonts w:eastAsia="Roboto"/>
          <w:color w:val="202024"/>
          <w:spacing w:val="12"/>
        </w:rPr>
        <w:t xml:space="preserve"> </w:t>
      </w:r>
      <w:r>
        <w:rPr>
          <w:rFonts w:eastAsia="Roboto"/>
          <w:color w:val="202024"/>
        </w:rPr>
        <w:t>PPTA</w:t>
      </w:r>
      <w:r>
        <w:rPr>
          <w:rFonts w:eastAsia="Roboto"/>
          <w:color w:val="202024"/>
          <w:spacing w:val="12"/>
        </w:rPr>
        <w:t xml:space="preserve"> </w:t>
      </w:r>
      <w:r>
        <w:rPr>
          <w:rFonts w:eastAsia="Roboto"/>
          <w:color w:val="202024"/>
        </w:rPr>
        <w:t>as</w:t>
      </w:r>
      <w:r>
        <w:rPr>
          <w:rFonts w:eastAsia="Roboto"/>
          <w:color w:val="202024"/>
          <w:spacing w:val="12"/>
        </w:rPr>
        <w:t xml:space="preserve"> </w:t>
      </w:r>
      <w:r>
        <w:rPr>
          <w:rFonts w:eastAsia="Roboto"/>
          <w:color w:val="202024"/>
        </w:rPr>
        <w:t>well</w:t>
      </w:r>
      <w:r>
        <w:rPr>
          <w:rFonts w:eastAsia="Roboto"/>
          <w:color w:val="202024"/>
          <w:spacing w:val="11"/>
        </w:rPr>
        <w:t xml:space="preserve"> </w:t>
      </w:r>
      <w:r>
        <w:rPr>
          <w:rFonts w:eastAsia="Roboto"/>
          <w:color w:val="202024"/>
        </w:rPr>
        <w:t>as</w:t>
      </w:r>
      <w:r>
        <w:rPr>
          <w:rFonts w:eastAsia="Roboto"/>
          <w:color w:val="202024"/>
          <w:spacing w:val="12"/>
        </w:rPr>
        <w:t xml:space="preserve"> </w:t>
      </w:r>
      <w:r>
        <w:rPr>
          <w:rFonts w:eastAsia="Roboto"/>
          <w:color w:val="202024"/>
        </w:rPr>
        <w:t>the</w:t>
      </w:r>
      <w:r>
        <w:rPr>
          <w:rFonts w:eastAsia="Roboto"/>
          <w:color w:val="202024"/>
          <w:spacing w:val="12"/>
        </w:rPr>
        <w:t xml:space="preserve"> </w:t>
      </w:r>
      <w:r>
        <w:rPr>
          <w:rFonts w:eastAsia="Roboto"/>
          <w:color w:val="202024"/>
        </w:rPr>
        <w:t>piecemeal</w:t>
      </w:r>
      <w:r>
        <w:rPr>
          <w:rFonts w:eastAsia="Roboto"/>
          <w:color w:val="202024"/>
          <w:spacing w:val="12"/>
        </w:rPr>
        <w:t xml:space="preserve"> </w:t>
      </w:r>
      <w:r>
        <w:rPr>
          <w:rFonts w:eastAsia="Roboto"/>
          <w:color w:val="202024"/>
        </w:rPr>
        <w:t>amendments</w:t>
      </w:r>
      <w:r>
        <w:rPr>
          <w:rFonts w:eastAsia="Roboto"/>
          <w:color w:val="202024"/>
          <w:spacing w:val="12"/>
        </w:rPr>
        <w:t xml:space="preserve"> </w:t>
      </w:r>
      <w:r>
        <w:rPr>
          <w:rFonts w:eastAsia="Roboto"/>
          <w:color w:val="202024"/>
        </w:rPr>
        <w:t>and</w:t>
      </w:r>
      <w:r>
        <w:rPr>
          <w:rFonts w:eastAsia="Roboto"/>
          <w:color w:val="202024"/>
          <w:spacing w:val="12"/>
        </w:rPr>
        <w:t xml:space="preserve"> </w:t>
      </w:r>
      <w:r>
        <w:rPr>
          <w:rFonts w:eastAsia="Roboto"/>
          <w:color w:val="202024"/>
        </w:rPr>
        <w:t>extra</w:t>
      </w:r>
      <w:r>
        <w:rPr>
          <w:rFonts w:eastAsia="Roboto"/>
          <w:color w:val="202024"/>
          <w:spacing w:val="12"/>
        </w:rPr>
        <w:t>-</w:t>
      </w:r>
      <w:r>
        <w:rPr>
          <w:rFonts w:eastAsia="Roboto"/>
          <w:color w:val="202024"/>
        </w:rPr>
        <w:t>legal</w:t>
      </w:r>
      <w:r>
        <w:rPr>
          <w:rFonts w:eastAsia="Roboto"/>
          <w:color w:val="202024"/>
          <w:spacing w:val="-50"/>
        </w:rPr>
        <w:t xml:space="preserve"> </w:t>
      </w:r>
      <w:r>
        <w:rPr>
          <w:rFonts w:eastAsia="Roboto"/>
          <w:color w:val="202024"/>
        </w:rPr>
        <w:t>agreements</w:t>
      </w:r>
      <w:r>
        <w:rPr>
          <w:rFonts w:eastAsia="Roboto"/>
          <w:color w:val="202024"/>
          <w:spacing w:val="6"/>
        </w:rPr>
        <w:t xml:space="preserve"> </w:t>
      </w:r>
      <w:r>
        <w:rPr>
          <w:rFonts w:eastAsia="Roboto"/>
          <w:color w:val="202024"/>
        </w:rPr>
        <w:t>help</w:t>
      </w:r>
      <w:r>
        <w:rPr>
          <w:rFonts w:eastAsia="Roboto"/>
          <w:color w:val="202024"/>
          <w:spacing w:val="6"/>
        </w:rPr>
        <w:t xml:space="preserve"> </w:t>
      </w:r>
      <w:r>
        <w:rPr>
          <w:rFonts w:eastAsia="Roboto"/>
          <w:color w:val="202024"/>
        </w:rPr>
        <w:t>in</w:t>
      </w:r>
      <w:r>
        <w:rPr>
          <w:rFonts w:eastAsia="Roboto"/>
          <w:color w:val="202024"/>
          <w:spacing w:val="6"/>
        </w:rPr>
        <w:t xml:space="preserve"> </w:t>
      </w:r>
      <w:r>
        <w:rPr>
          <w:rFonts w:eastAsia="Roboto"/>
          <w:color w:val="202024"/>
        </w:rPr>
        <w:t>understanding</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interpretation</w:t>
      </w:r>
      <w:r>
        <w:rPr>
          <w:rFonts w:eastAsia="Roboto"/>
          <w:color w:val="202024"/>
          <w:spacing w:val="6"/>
        </w:rPr>
        <w:t xml:space="preserve"> </w:t>
      </w:r>
      <w:r>
        <w:rPr>
          <w:rFonts w:eastAsia="Roboto"/>
          <w:color w:val="202024"/>
        </w:rPr>
        <w:t>of</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PPTA</w:t>
      </w:r>
    </w:p>
    <w:p w14:paraId="5A06C3AF">
      <w:pPr>
        <w:widowControl w:val="0"/>
        <w:autoSpaceDE w:val="0"/>
        <w:autoSpaceDN w:val="0"/>
        <w:jc w:val="both"/>
        <w:rPr>
          <w:rFonts w:eastAsia="Roboto"/>
        </w:rPr>
      </w:pPr>
    </w:p>
    <w:p w14:paraId="508DE9D0">
      <w:pPr>
        <w:widowControl w:val="0"/>
        <w:autoSpaceDE w:val="0"/>
        <w:autoSpaceDN w:val="0"/>
        <w:spacing w:line="285" w:lineRule="auto"/>
        <w:ind w:right="512"/>
        <w:jc w:val="both"/>
        <w:rPr>
          <w:rFonts w:eastAsia="Roboto"/>
        </w:rPr>
      </w:pPr>
      <w:r>
        <w:rPr>
          <w:rFonts w:eastAsia="Roboto"/>
          <w:color w:val="202024"/>
        </w:rPr>
        <w:t>Ad hoc fiscal incentives are not by themselves bad. The challenge comes are discriminatory</w:t>
      </w:r>
      <w:r>
        <w:rPr>
          <w:rFonts w:eastAsia="Roboto"/>
          <w:color w:val="202024"/>
          <w:spacing w:val="1"/>
        </w:rPr>
        <w:t xml:space="preserve"> </w:t>
      </w:r>
      <w:r>
        <w:rPr>
          <w:rFonts w:eastAsia="Roboto"/>
          <w:color w:val="202024"/>
        </w:rPr>
        <w:t>and not generally applicable to all companies facing the same challenges and are operating</w:t>
      </w:r>
      <w:r>
        <w:rPr>
          <w:rFonts w:eastAsia="Roboto"/>
          <w:color w:val="202024"/>
          <w:spacing w:val="1"/>
        </w:rPr>
        <w:t xml:space="preserve"> </w:t>
      </w:r>
      <w:r>
        <w:rPr>
          <w:rFonts w:eastAsia="Roboto"/>
          <w:color w:val="202024"/>
        </w:rPr>
        <w:t>under</w:t>
      </w:r>
      <w:r>
        <w:rPr>
          <w:rFonts w:eastAsia="Roboto"/>
          <w:color w:val="202024"/>
          <w:spacing w:val="5"/>
        </w:rPr>
        <w:t xml:space="preserve"> </w:t>
      </w:r>
      <w:r>
        <w:rPr>
          <w:rFonts w:eastAsia="Roboto"/>
          <w:color w:val="202024"/>
        </w:rPr>
        <w:t>the</w:t>
      </w:r>
      <w:r>
        <w:rPr>
          <w:rFonts w:eastAsia="Roboto"/>
          <w:color w:val="202024"/>
          <w:spacing w:val="6"/>
        </w:rPr>
        <w:t xml:space="preserve"> </w:t>
      </w:r>
      <w:r>
        <w:rPr>
          <w:rFonts w:eastAsia="Roboto"/>
          <w:color w:val="202024"/>
        </w:rPr>
        <w:t>same</w:t>
      </w:r>
      <w:r>
        <w:rPr>
          <w:rFonts w:eastAsia="Roboto"/>
          <w:color w:val="202024"/>
          <w:spacing w:val="5"/>
        </w:rPr>
        <w:t xml:space="preserve"> </w:t>
      </w:r>
      <w:r>
        <w:rPr>
          <w:rFonts w:eastAsia="Roboto"/>
          <w:color w:val="202024"/>
        </w:rPr>
        <w:t>circumstances</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challenges.</w:t>
      </w:r>
      <w:r>
        <w:rPr>
          <w:rFonts w:eastAsia="Roboto"/>
          <w:color w:val="202024"/>
          <w:spacing w:val="5"/>
        </w:rPr>
        <w:t xml:space="preserve"> </w:t>
      </w:r>
      <w:r>
        <w:rPr>
          <w:rFonts w:eastAsia="Roboto"/>
          <w:color w:val="202024"/>
        </w:rPr>
        <w:t>nat</w:t>
      </w:r>
    </w:p>
    <w:p w14:paraId="6F4FB736">
      <w:pPr>
        <w:widowControl w:val="0"/>
        <w:autoSpaceDE w:val="0"/>
        <w:autoSpaceDN w:val="0"/>
        <w:jc w:val="both"/>
        <w:rPr>
          <w:rFonts w:eastAsia="Roboto"/>
        </w:rPr>
      </w:pPr>
    </w:p>
    <w:p w14:paraId="60348CF9">
      <w:pPr>
        <w:widowControl w:val="0"/>
        <w:autoSpaceDE w:val="0"/>
        <w:autoSpaceDN w:val="0"/>
        <w:spacing w:line="285" w:lineRule="auto"/>
        <w:ind w:right="272"/>
        <w:jc w:val="both"/>
        <w:rPr>
          <w:rFonts w:eastAsia="Roboto"/>
        </w:rPr>
      </w:pPr>
      <w:r>
        <w:rPr>
          <w:rFonts w:eastAsia="Roboto"/>
          <w:color w:val="202024"/>
        </w:rPr>
        <w:t>The</w:t>
      </w:r>
      <w:r>
        <w:rPr>
          <w:rFonts w:eastAsia="Roboto"/>
          <w:color w:val="202024"/>
          <w:spacing w:val="9"/>
        </w:rPr>
        <w:t xml:space="preserve"> </w:t>
      </w:r>
      <w:r>
        <w:rPr>
          <w:rFonts w:eastAsia="Roboto"/>
          <w:color w:val="202024"/>
        </w:rPr>
        <w:t>PPTA</w:t>
      </w:r>
      <w:r>
        <w:rPr>
          <w:rFonts w:eastAsia="Roboto"/>
          <w:color w:val="202024"/>
          <w:spacing w:val="10"/>
        </w:rPr>
        <w:t xml:space="preserve"> </w:t>
      </w:r>
      <w:r>
        <w:rPr>
          <w:rFonts w:eastAsia="Roboto"/>
          <w:color w:val="202024"/>
        </w:rPr>
        <w:t>may</w:t>
      </w:r>
      <w:r>
        <w:rPr>
          <w:rFonts w:eastAsia="Roboto"/>
          <w:color w:val="202024"/>
          <w:spacing w:val="9"/>
        </w:rPr>
        <w:t xml:space="preserve"> </w:t>
      </w:r>
      <w:r>
        <w:rPr>
          <w:rFonts w:eastAsia="Roboto"/>
          <w:color w:val="202024"/>
        </w:rPr>
        <w:t>no</w:t>
      </w:r>
      <w:r>
        <w:rPr>
          <w:rFonts w:eastAsia="Roboto"/>
          <w:color w:val="202024"/>
          <w:spacing w:val="10"/>
        </w:rPr>
        <w:t xml:space="preserve"> </w:t>
      </w:r>
      <w:r>
        <w:rPr>
          <w:rFonts w:eastAsia="Roboto"/>
          <w:color w:val="202024"/>
        </w:rPr>
        <w:t>longer</w:t>
      </w:r>
      <w:r>
        <w:rPr>
          <w:rFonts w:eastAsia="Roboto"/>
          <w:color w:val="202024"/>
          <w:spacing w:val="9"/>
        </w:rPr>
        <w:t xml:space="preserve"> </w:t>
      </w:r>
      <w:r>
        <w:rPr>
          <w:rFonts w:eastAsia="Roboto"/>
          <w:color w:val="202024"/>
        </w:rPr>
        <w:t>be</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applicable</w:t>
      </w:r>
      <w:r>
        <w:rPr>
          <w:rFonts w:eastAsia="Roboto"/>
          <w:color w:val="202024"/>
          <w:spacing w:val="10"/>
        </w:rPr>
        <w:t xml:space="preserve"> </w:t>
      </w:r>
      <w:r>
        <w:rPr>
          <w:rFonts w:eastAsia="Roboto"/>
          <w:color w:val="202024"/>
        </w:rPr>
        <w:t>law</w:t>
      </w:r>
      <w:r>
        <w:rPr>
          <w:rFonts w:eastAsia="Roboto"/>
          <w:color w:val="202024"/>
          <w:spacing w:val="10"/>
        </w:rPr>
        <w:t xml:space="preserve"> </w:t>
      </w:r>
      <w:r>
        <w:rPr>
          <w:rFonts w:eastAsia="Roboto"/>
          <w:color w:val="202024"/>
        </w:rPr>
        <w:t>in</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light</w:t>
      </w:r>
      <w:r>
        <w:rPr>
          <w:rFonts w:eastAsia="Roboto"/>
          <w:color w:val="202024"/>
          <w:spacing w:val="9"/>
        </w:rPr>
        <w:t xml:space="preserve"> </w:t>
      </w:r>
      <w:r>
        <w:rPr>
          <w:rFonts w:eastAsia="Roboto"/>
          <w:color w:val="202024"/>
        </w:rPr>
        <w:t>of</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PIA</w:t>
      </w:r>
      <w:r>
        <w:rPr>
          <w:rFonts w:eastAsia="Roboto"/>
          <w:color w:val="202024"/>
          <w:spacing w:val="10"/>
        </w:rPr>
        <w:t xml:space="preserve"> </w:t>
      </w:r>
      <w:r>
        <w:rPr>
          <w:rFonts w:eastAsia="Roboto"/>
          <w:color w:val="202024"/>
        </w:rPr>
        <w:t>except</w:t>
      </w:r>
      <w:r>
        <w:rPr>
          <w:rFonts w:eastAsia="Roboto"/>
          <w:color w:val="202024"/>
          <w:spacing w:val="10"/>
        </w:rPr>
        <w:t xml:space="preserve"> </w:t>
      </w:r>
      <w:r>
        <w:rPr>
          <w:rFonts w:eastAsia="Roboto"/>
          <w:color w:val="202024"/>
        </w:rPr>
        <w:t>for</w:t>
      </w:r>
      <w:r>
        <w:rPr>
          <w:rFonts w:eastAsia="Roboto"/>
          <w:color w:val="202024"/>
          <w:spacing w:val="9"/>
        </w:rPr>
        <w:t xml:space="preserve"> </w:t>
      </w:r>
      <w:r>
        <w:rPr>
          <w:rFonts w:eastAsia="Roboto"/>
          <w:color w:val="202024"/>
        </w:rPr>
        <w:t>license</w:t>
      </w:r>
      <w:r>
        <w:rPr>
          <w:rFonts w:eastAsia="Roboto"/>
          <w:color w:val="202024"/>
          <w:spacing w:val="10"/>
        </w:rPr>
        <w:t xml:space="preserve"> </w:t>
      </w:r>
      <w:r>
        <w:rPr>
          <w:rFonts w:eastAsia="Roboto"/>
          <w:color w:val="202024"/>
        </w:rPr>
        <w:t>holder</w:t>
      </w:r>
      <w:r>
        <w:rPr>
          <w:rFonts w:eastAsia="Roboto"/>
          <w:color w:val="202024"/>
          <w:spacing w:val="-49"/>
        </w:rPr>
        <w:t xml:space="preserve">   </w:t>
      </w:r>
      <w:r>
        <w:rPr>
          <w:rFonts w:eastAsia="Roboto"/>
          <w:color w:val="202024"/>
        </w:rPr>
        <w:t>yet</w:t>
      </w:r>
      <w:r>
        <w:rPr>
          <w:rFonts w:eastAsia="Roboto"/>
          <w:color w:val="202024"/>
          <w:spacing w:val="5"/>
        </w:rPr>
        <w:t xml:space="preserve"> </w:t>
      </w:r>
      <w:r>
        <w:rPr>
          <w:rFonts w:eastAsia="Roboto"/>
          <w:color w:val="202024"/>
        </w:rPr>
        <w:t>to</w:t>
      </w:r>
      <w:r>
        <w:rPr>
          <w:rFonts w:eastAsia="Roboto"/>
          <w:color w:val="202024"/>
          <w:spacing w:val="5"/>
        </w:rPr>
        <w:t xml:space="preserve"> </w:t>
      </w:r>
      <w:r>
        <w:rPr>
          <w:rFonts w:eastAsia="Roboto"/>
          <w:color w:val="202024"/>
        </w:rPr>
        <w:t>convert.</w:t>
      </w:r>
    </w:p>
    <w:p w14:paraId="5B111E1F">
      <w:pPr>
        <w:widowControl w:val="0"/>
        <w:autoSpaceDE w:val="0"/>
        <w:autoSpaceDN w:val="0"/>
        <w:jc w:val="both"/>
        <w:rPr>
          <w:rFonts w:eastAsia="Roboto"/>
        </w:rPr>
      </w:pPr>
    </w:p>
    <w:p w14:paraId="3ABD7A28">
      <w:pPr>
        <w:widowControl w:val="0"/>
        <w:autoSpaceDE w:val="0"/>
        <w:autoSpaceDN w:val="0"/>
        <w:spacing w:line="285" w:lineRule="auto"/>
        <w:ind w:right="272"/>
        <w:jc w:val="both"/>
        <w:rPr>
          <w:rFonts w:eastAsia="Roboto"/>
        </w:rPr>
      </w:pPr>
      <w:r>
        <w:rPr>
          <w:rFonts w:eastAsia="Roboto"/>
          <w:color w:val="202024"/>
        </w:rPr>
        <w:t>The</w:t>
      </w:r>
      <w:r>
        <w:rPr>
          <w:rFonts w:eastAsia="Roboto"/>
          <w:color w:val="202024"/>
          <w:spacing w:val="9"/>
        </w:rPr>
        <w:t xml:space="preserve"> </w:t>
      </w:r>
      <w:r>
        <w:rPr>
          <w:rFonts w:eastAsia="Roboto"/>
          <w:color w:val="202024"/>
        </w:rPr>
        <w:t>answers</w:t>
      </w:r>
      <w:r>
        <w:rPr>
          <w:rFonts w:eastAsia="Roboto"/>
          <w:color w:val="202024"/>
          <w:spacing w:val="10"/>
        </w:rPr>
        <w:t xml:space="preserve"> </w:t>
      </w:r>
      <w:r>
        <w:rPr>
          <w:rFonts w:eastAsia="Roboto"/>
          <w:color w:val="202024"/>
        </w:rPr>
        <w:t>need</w:t>
      </w:r>
      <w:r>
        <w:rPr>
          <w:rFonts w:eastAsia="Roboto"/>
          <w:color w:val="202024"/>
          <w:spacing w:val="9"/>
        </w:rPr>
        <w:t xml:space="preserve"> </w:t>
      </w:r>
      <w:r>
        <w:rPr>
          <w:rFonts w:eastAsia="Roboto"/>
          <w:color w:val="202024"/>
        </w:rPr>
        <w:t>to</w:t>
      </w:r>
      <w:r>
        <w:rPr>
          <w:rFonts w:eastAsia="Roboto"/>
          <w:color w:val="202024"/>
          <w:spacing w:val="10"/>
        </w:rPr>
        <w:t xml:space="preserve"> </w:t>
      </w:r>
      <w:r>
        <w:rPr>
          <w:rFonts w:eastAsia="Roboto"/>
          <w:color w:val="202024"/>
        </w:rPr>
        <w:t>take</w:t>
      </w:r>
      <w:r>
        <w:rPr>
          <w:rFonts w:eastAsia="Roboto"/>
          <w:color w:val="202024"/>
          <w:spacing w:val="9"/>
        </w:rPr>
        <w:t xml:space="preserve"> </w:t>
      </w:r>
      <w:r>
        <w:rPr>
          <w:rFonts w:eastAsia="Roboto"/>
          <w:color w:val="202024"/>
        </w:rPr>
        <w:t>into</w:t>
      </w:r>
      <w:r>
        <w:rPr>
          <w:rFonts w:eastAsia="Roboto"/>
          <w:color w:val="202024"/>
          <w:spacing w:val="10"/>
        </w:rPr>
        <w:t xml:space="preserve"> </w:t>
      </w:r>
      <w:r>
        <w:rPr>
          <w:rFonts w:eastAsia="Roboto"/>
          <w:color w:val="202024"/>
        </w:rPr>
        <w:t>consideration</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new</w:t>
      </w:r>
      <w:r>
        <w:rPr>
          <w:rFonts w:eastAsia="Roboto"/>
          <w:color w:val="202024"/>
          <w:spacing w:val="9"/>
        </w:rPr>
        <w:t xml:space="preserve"> </w:t>
      </w:r>
      <w:r>
        <w:rPr>
          <w:rFonts w:eastAsia="Roboto"/>
          <w:color w:val="202024"/>
        </w:rPr>
        <w:t>Petroleum</w:t>
      </w:r>
      <w:r>
        <w:rPr>
          <w:rFonts w:eastAsia="Roboto"/>
          <w:color w:val="202024"/>
          <w:spacing w:val="10"/>
        </w:rPr>
        <w:t xml:space="preserve"> </w:t>
      </w:r>
      <w:r>
        <w:rPr>
          <w:rFonts w:eastAsia="Roboto"/>
          <w:color w:val="202024"/>
        </w:rPr>
        <w:t>Industry</w:t>
      </w:r>
      <w:r>
        <w:rPr>
          <w:rFonts w:eastAsia="Roboto"/>
          <w:color w:val="202024"/>
          <w:spacing w:val="9"/>
        </w:rPr>
        <w:t xml:space="preserve"> </w:t>
      </w:r>
      <w:r>
        <w:rPr>
          <w:rFonts w:eastAsia="Roboto"/>
          <w:color w:val="202024"/>
        </w:rPr>
        <w:t>Act</w:t>
      </w:r>
      <w:r>
        <w:rPr>
          <w:rFonts w:eastAsia="Roboto"/>
          <w:color w:val="202024"/>
          <w:spacing w:val="10"/>
        </w:rPr>
        <w:t xml:space="preserve"> </w:t>
      </w:r>
      <w:r>
        <w:rPr>
          <w:rFonts w:eastAsia="Roboto"/>
          <w:color w:val="202024"/>
        </w:rPr>
        <w:t>and</w:t>
      </w:r>
      <w:r>
        <w:rPr>
          <w:rFonts w:eastAsia="Roboto"/>
          <w:color w:val="202024"/>
          <w:spacing w:val="9"/>
        </w:rPr>
        <w:t xml:space="preserve"> </w:t>
      </w:r>
      <w:r>
        <w:rPr>
          <w:rFonts w:eastAsia="Roboto"/>
          <w:color w:val="202024"/>
        </w:rPr>
        <w:t>what</w:t>
      </w:r>
      <w:r>
        <w:rPr>
          <w:rFonts w:eastAsia="Roboto"/>
          <w:color w:val="202024"/>
          <w:spacing w:val="10"/>
        </w:rPr>
        <w:t xml:space="preserve"> </w:t>
      </w:r>
      <w:r>
        <w:rPr>
          <w:rFonts w:eastAsia="Roboto"/>
          <w:color w:val="202024"/>
        </w:rPr>
        <w:t>impact</w:t>
      </w:r>
      <w:r>
        <w:rPr>
          <w:rFonts w:eastAsia="Roboto"/>
          <w:color w:val="202024"/>
          <w:spacing w:val="-49"/>
        </w:rPr>
        <w:t xml:space="preserve"> </w:t>
      </w:r>
      <w:r>
        <w:rPr>
          <w:rFonts w:eastAsia="Roboto"/>
          <w:color w:val="202024"/>
        </w:rPr>
        <w:t>it</w:t>
      </w:r>
      <w:r>
        <w:rPr>
          <w:rFonts w:eastAsia="Roboto"/>
          <w:color w:val="202024"/>
          <w:spacing w:val="9"/>
        </w:rPr>
        <w:t xml:space="preserve"> </w:t>
      </w:r>
      <w:r>
        <w:rPr>
          <w:rFonts w:eastAsia="Roboto"/>
          <w:color w:val="202024"/>
        </w:rPr>
        <w:t>has</w:t>
      </w:r>
      <w:r>
        <w:rPr>
          <w:rFonts w:eastAsia="Roboto"/>
          <w:color w:val="202024"/>
          <w:spacing w:val="10"/>
        </w:rPr>
        <w:t xml:space="preserve"> </w:t>
      </w:r>
      <w:r>
        <w:rPr>
          <w:rFonts w:eastAsia="Roboto"/>
          <w:color w:val="202024"/>
        </w:rPr>
        <w:t>in</w:t>
      </w:r>
      <w:r>
        <w:rPr>
          <w:rFonts w:eastAsia="Roboto"/>
          <w:color w:val="202024"/>
          <w:spacing w:val="9"/>
        </w:rPr>
        <w:t xml:space="preserve"> </w:t>
      </w:r>
      <w:r>
        <w:rPr>
          <w:rFonts w:eastAsia="Roboto"/>
          <w:color w:val="202024"/>
        </w:rPr>
        <w:t>bringing</w:t>
      </w:r>
      <w:r>
        <w:rPr>
          <w:rFonts w:eastAsia="Roboto"/>
          <w:color w:val="202024"/>
          <w:spacing w:val="10"/>
        </w:rPr>
        <w:t xml:space="preserve"> </w:t>
      </w:r>
      <w:r>
        <w:rPr>
          <w:rFonts w:eastAsia="Roboto"/>
          <w:color w:val="202024"/>
        </w:rPr>
        <w:t>some</w:t>
      </w:r>
      <w:r>
        <w:rPr>
          <w:rFonts w:eastAsia="Roboto"/>
          <w:color w:val="202024"/>
          <w:spacing w:val="10"/>
        </w:rPr>
        <w:t xml:space="preserve"> </w:t>
      </w:r>
      <w:r>
        <w:rPr>
          <w:rFonts w:eastAsia="Roboto"/>
          <w:color w:val="202024"/>
        </w:rPr>
        <w:t>clarity</w:t>
      </w:r>
      <w:r>
        <w:rPr>
          <w:rFonts w:eastAsia="Roboto"/>
          <w:color w:val="202024"/>
          <w:spacing w:val="9"/>
        </w:rPr>
        <w:t xml:space="preserve"> </w:t>
      </w:r>
      <w:r>
        <w:rPr>
          <w:rFonts w:eastAsia="Roboto"/>
          <w:color w:val="202024"/>
        </w:rPr>
        <w:t>on</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taxation</w:t>
      </w:r>
      <w:r>
        <w:rPr>
          <w:rFonts w:eastAsia="Roboto"/>
          <w:color w:val="202024"/>
          <w:spacing w:val="10"/>
        </w:rPr>
        <w:t xml:space="preserve"> </w:t>
      </w:r>
      <w:r>
        <w:rPr>
          <w:rFonts w:eastAsia="Roboto"/>
          <w:color w:val="202024"/>
        </w:rPr>
        <w:t>principles</w:t>
      </w:r>
      <w:r>
        <w:rPr>
          <w:rFonts w:eastAsia="Roboto"/>
          <w:color w:val="202024"/>
          <w:spacing w:val="10"/>
        </w:rPr>
        <w:t xml:space="preserve"> </w:t>
      </w:r>
      <w:r>
        <w:rPr>
          <w:rFonts w:eastAsia="Roboto"/>
          <w:color w:val="202024"/>
        </w:rPr>
        <w:t>and</w:t>
      </w:r>
      <w:r>
        <w:rPr>
          <w:rFonts w:eastAsia="Roboto"/>
          <w:color w:val="202024"/>
          <w:spacing w:val="9"/>
        </w:rPr>
        <w:t xml:space="preserve"> </w:t>
      </w:r>
      <w:r>
        <w:rPr>
          <w:rFonts w:eastAsia="Roboto"/>
          <w:color w:val="202024"/>
        </w:rPr>
        <w:t>policies</w:t>
      </w:r>
      <w:r>
        <w:rPr>
          <w:rFonts w:eastAsia="Roboto"/>
          <w:color w:val="202024"/>
          <w:spacing w:val="10"/>
        </w:rPr>
        <w:t xml:space="preserve"> </w:t>
      </w:r>
      <w:r>
        <w:rPr>
          <w:rFonts w:eastAsia="Roboto"/>
          <w:color w:val="202024"/>
        </w:rPr>
        <w:t>for</w:t>
      </w:r>
      <w:r>
        <w:rPr>
          <w:rFonts w:eastAsia="Roboto"/>
          <w:color w:val="202024"/>
          <w:spacing w:val="9"/>
        </w:rPr>
        <w:t xml:space="preserve"> </w:t>
      </w:r>
      <w:r>
        <w:rPr>
          <w:rFonts w:eastAsia="Roboto"/>
          <w:color w:val="202024"/>
        </w:rPr>
        <w:t>upstream</w:t>
      </w:r>
      <w:r>
        <w:rPr>
          <w:rFonts w:eastAsia="Roboto"/>
          <w:color w:val="202024"/>
          <w:spacing w:val="10"/>
        </w:rPr>
        <w:t xml:space="preserve"> </w:t>
      </w:r>
      <w:r>
        <w:rPr>
          <w:rFonts w:eastAsia="Roboto"/>
          <w:color w:val="202024"/>
        </w:rPr>
        <w:t>operations</w:t>
      </w:r>
    </w:p>
    <w:p w14:paraId="120423C8">
      <w:pPr>
        <w:widowControl w:val="0"/>
        <w:autoSpaceDE w:val="0"/>
        <w:autoSpaceDN w:val="0"/>
        <w:jc w:val="both"/>
        <w:rPr>
          <w:rFonts w:eastAsia="Roboto"/>
        </w:rPr>
      </w:pPr>
    </w:p>
    <w:p w14:paraId="43DD5B90">
      <w:pPr>
        <w:widowControl w:val="0"/>
        <w:autoSpaceDE w:val="0"/>
        <w:autoSpaceDN w:val="0"/>
        <w:spacing w:line="285" w:lineRule="auto"/>
        <w:ind w:right="1031"/>
        <w:jc w:val="both"/>
        <w:rPr>
          <w:rFonts w:eastAsia="Roboto"/>
        </w:rPr>
      </w:pPr>
      <w:r>
        <w:rPr>
          <w:rFonts w:eastAsia="Roboto"/>
          <w:color w:val="202024"/>
        </w:rPr>
        <w:t>Prior</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passage</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PIA,</w:t>
      </w:r>
      <w:r>
        <w:rPr>
          <w:rFonts w:eastAsia="Roboto"/>
          <w:color w:val="202024"/>
          <w:spacing w:val="9"/>
        </w:rPr>
        <w:t xml:space="preserve"> </w:t>
      </w:r>
      <w:r>
        <w:rPr>
          <w:rFonts w:eastAsia="Roboto"/>
          <w:color w:val="202024"/>
        </w:rPr>
        <w:t>one</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issues</w:t>
      </w:r>
      <w:r>
        <w:rPr>
          <w:rFonts w:eastAsia="Roboto"/>
          <w:color w:val="202024"/>
          <w:spacing w:val="9"/>
        </w:rPr>
        <w:t xml:space="preserve"> </w:t>
      </w:r>
      <w:r>
        <w:rPr>
          <w:rFonts w:eastAsia="Roboto"/>
          <w:color w:val="202024"/>
        </w:rPr>
        <w:t>that</w:t>
      </w:r>
      <w:r>
        <w:rPr>
          <w:rFonts w:eastAsia="Roboto"/>
          <w:color w:val="202024"/>
          <w:spacing w:val="9"/>
        </w:rPr>
        <w:t xml:space="preserve"> </w:t>
      </w:r>
      <w:r>
        <w:rPr>
          <w:rFonts w:eastAsia="Roboto"/>
          <w:color w:val="202024"/>
        </w:rPr>
        <w:t>undermine</w:t>
      </w:r>
      <w:r>
        <w:rPr>
          <w:rFonts w:eastAsia="Roboto"/>
          <w:color w:val="202024"/>
          <w:spacing w:val="9"/>
        </w:rPr>
        <w:t xml:space="preserve"> </w:t>
      </w:r>
      <w:r>
        <w:rPr>
          <w:rFonts w:eastAsia="Roboto"/>
          <w:color w:val="202024"/>
        </w:rPr>
        <w:t>clarity,</w:t>
      </w:r>
      <w:r>
        <w:rPr>
          <w:rFonts w:eastAsia="Roboto"/>
          <w:color w:val="202024"/>
          <w:spacing w:val="9"/>
        </w:rPr>
        <w:t xml:space="preserve"> </w:t>
      </w:r>
      <w:r>
        <w:rPr>
          <w:rFonts w:eastAsia="Roboto"/>
          <w:color w:val="202024"/>
        </w:rPr>
        <w:t>certainty</w:t>
      </w:r>
      <w:r>
        <w:rPr>
          <w:rFonts w:eastAsia="Roboto"/>
          <w:color w:val="202024"/>
          <w:spacing w:val="9"/>
        </w:rPr>
        <w:t xml:space="preserve"> </w:t>
      </w:r>
      <w:r>
        <w:rPr>
          <w:rFonts w:eastAsia="Roboto"/>
          <w:color w:val="202024"/>
        </w:rPr>
        <w:t>and</w:t>
      </w:r>
      <w:r>
        <w:rPr>
          <w:rFonts w:eastAsia="Roboto"/>
          <w:color w:val="202024"/>
          <w:spacing w:val="1"/>
        </w:rPr>
        <w:t xml:space="preserve"> </w:t>
      </w:r>
      <w:r>
        <w:rPr>
          <w:rFonts w:eastAsia="Roboto"/>
          <w:color w:val="202024"/>
        </w:rPr>
        <w:t>consistency</w:t>
      </w:r>
      <w:r>
        <w:rPr>
          <w:rFonts w:eastAsia="Roboto"/>
          <w:color w:val="202024"/>
          <w:spacing w:val="10"/>
        </w:rPr>
        <w:t xml:space="preserve"> </w:t>
      </w:r>
      <w:r>
        <w:rPr>
          <w:rFonts w:eastAsia="Roboto"/>
          <w:color w:val="202024"/>
        </w:rPr>
        <w:t>in</w:t>
      </w:r>
      <w:r>
        <w:rPr>
          <w:rFonts w:eastAsia="Roboto"/>
          <w:color w:val="202024"/>
          <w:spacing w:val="11"/>
        </w:rPr>
        <w:t xml:space="preserve"> </w:t>
      </w:r>
      <w:r>
        <w:rPr>
          <w:rFonts w:eastAsia="Roboto"/>
          <w:color w:val="202024"/>
        </w:rPr>
        <w:t>understanding</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interpretation</w:t>
      </w:r>
      <w:r>
        <w:rPr>
          <w:rFonts w:eastAsia="Roboto"/>
          <w:color w:val="202024"/>
          <w:spacing w:val="11"/>
        </w:rPr>
        <w:t xml:space="preserve"> </w:t>
      </w:r>
      <w:r>
        <w:rPr>
          <w:rFonts w:eastAsia="Roboto"/>
          <w:color w:val="202024"/>
        </w:rPr>
        <w:t>of</w:t>
      </w:r>
      <w:r>
        <w:rPr>
          <w:rFonts w:eastAsia="Roboto"/>
          <w:color w:val="202024"/>
          <w:spacing w:val="11"/>
        </w:rPr>
        <w:t xml:space="preserve"> </w:t>
      </w:r>
      <w:r>
        <w:rPr>
          <w:rFonts w:eastAsia="Roboto"/>
          <w:color w:val="202024"/>
        </w:rPr>
        <w:t>upstream</w:t>
      </w:r>
      <w:r>
        <w:rPr>
          <w:rFonts w:eastAsia="Roboto"/>
          <w:color w:val="202024"/>
          <w:spacing w:val="11"/>
        </w:rPr>
        <w:t xml:space="preserve"> </w:t>
      </w:r>
      <w:r>
        <w:rPr>
          <w:rFonts w:eastAsia="Roboto"/>
          <w:color w:val="202024"/>
        </w:rPr>
        <w:t>oil</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gas</w:t>
      </w:r>
      <w:r>
        <w:rPr>
          <w:rFonts w:eastAsia="Roboto"/>
          <w:color w:val="202024"/>
          <w:spacing w:val="11"/>
        </w:rPr>
        <w:t xml:space="preserve"> </w:t>
      </w:r>
      <w:r>
        <w:rPr>
          <w:rFonts w:eastAsia="Roboto"/>
          <w:color w:val="202024"/>
        </w:rPr>
        <w:t>statutes is</w:t>
      </w:r>
      <w:r>
        <w:rPr>
          <w:rFonts w:eastAsia="Roboto"/>
          <w:color w:val="202024"/>
          <w:spacing w:val="11"/>
        </w:rPr>
        <w:t xml:space="preserve"> </w:t>
      </w:r>
      <w:r>
        <w:rPr>
          <w:rFonts w:eastAsia="Roboto"/>
          <w:color w:val="202024"/>
        </w:rPr>
        <w:t>the</w:t>
      </w:r>
      <w:r>
        <w:rPr>
          <w:rFonts w:eastAsia="Roboto"/>
          <w:color w:val="202024"/>
          <w:spacing w:val="-49"/>
        </w:rPr>
        <w:t xml:space="preserve"> </w:t>
      </w:r>
      <w:r>
        <w:rPr>
          <w:rFonts w:eastAsia="Roboto"/>
          <w:color w:val="202024"/>
        </w:rPr>
        <w:t>mischief</w:t>
      </w:r>
      <w:r>
        <w:rPr>
          <w:rFonts w:eastAsia="Roboto"/>
          <w:color w:val="202024"/>
          <w:spacing w:val="5"/>
        </w:rPr>
        <w:t xml:space="preserve"> </w:t>
      </w:r>
      <w:r>
        <w:rPr>
          <w:rFonts w:eastAsia="Roboto"/>
          <w:color w:val="202024"/>
        </w:rPr>
        <w:t>of</w:t>
      </w:r>
      <w:r>
        <w:rPr>
          <w:rFonts w:eastAsia="Roboto"/>
          <w:color w:val="202024"/>
          <w:spacing w:val="5"/>
        </w:rPr>
        <w:t xml:space="preserve"> </w:t>
      </w:r>
      <w:r>
        <w:rPr>
          <w:rFonts w:eastAsia="Roboto"/>
          <w:color w:val="202024"/>
        </w:rPr>
        <w:t>agencies</w:t>
      </w:r>
      <w:r>
        <w:rPr>
          <w:rFonts w:eastAsia="Roboto"/>
          <w:color w:val="202024"/>
          <w:spacing w:val="6"/>
        </w:rPr>
        <w:t xml:space="preserve"> </w:t>
      </w:r>
      <w:r>
        <w:rPr>
          <w:rFonts w:eastAsia="Roboto"/>
          <w:color w:val="202024"/>
        </w:rPr>
        <w:t>with</w:t>
      </w:r>
      <w:r>
        <w:rPr>
          <w:rFonts w:eastAsia="Roboto"/>
          <w:color w:val="202024"/>
          <w:spacing w:val="5"/>
        </w:rPr>
        <w:t xml:space="preserve"> </w:t>
      </w:r>
      <w:r>
        <w:rPr>
          <w:rFonts w:eastAsia="Roboto"/>
          <w:color w:val="202024"/>
        </w:rPr>
        <w:t>quasi-regulatory</w:t>
      </w:r>
      <w:r>
        <w:rPr>
          <w:rFonts w:eastAsia="Roboto"/>
          <w:color w:val="202024"/>
          <w:spacing w:val="6"/>
        </w:rPr>
        <w:t xml:space="preserve"> </w:t>
      </w:r>
      <w:r>
        <w:rPr>
          <w:rFonts w:eastAsia="Roboto"/>
          <w:color w:val="202024"/>
        </w:rPr>
        <w:t>functions.</w:t>
      </w:r>
    </w:p>
    <w:p w14:paraId="1E0E8E16">
      <w:pPr>
        <w:widowControl w:val="0"/>
        <w:autoSpaceDE w:val="0"/>
        <w:autoSpaceDN w:val="0"/>
        <w:spacing w:line="285" w:lineRule="auto"/>
        <w:jc w:val="both"/>
        <w:rPr>
          <w:rFonts w:eastAsia="Roboto"/>
        </w:rPr>
        <w:sectPr>
          <w:headerReference r:id="rId16" w:type="default"/>
          <w:footerReference r:id="rId17" w:type="default"/>
          <w:pgSz w:w="11900" w:h="16840"/>
          <w:pgMar w:top="480" w:right="1280" w:bottom="440" w:left="1040" w:header="269" w:footer="253" w:gutter="0"/>
          <w:cols w:space="720" w:num="1"/>
        </w:sectPr>
      </w:pPr>
    </w:p>
    <w:p w14:paraId="2F6DB59D">
      <w:pPr>
        <w:widowControl w:val="0"/>
        <w:autoSpaceDE w:val="0"/>
        <w:autoSpaceDN w:val="0"/>
        <w:jc w:val="both"/>
        <w:rPr>
          <w:rFonts w:eastAsia="Roboto"/>
        </w:rPr>
      </w:pPr>
      <w:r>
        <mc:AlternateContent>
          <mc:Choice Requires="wpg">
            <w:drawing>
              <wp:anchor distT="0" distB="0" distL="114300" distR="114300" simplePos="0" relativeHeight="251704320" behindDoc="0" locked="0" layoutInCell="1" allowOverlap="1">
                <wp:simplePos x="0" y="0"/>
                <wp:positionH relativeFrom="page">
                  <wp:posOffset>731520</wp:posOffset>
                </wp:positionH>
                <wp:positionV relativeFrom="paragraph">
                  <wp:posOffset>73025</wp:posOffset>
                </wp:positionV>
                <wp:extent cx="6096000" cy="3591560"/>
                <wp:effectExtent l="7620" t="6350" r="1905" b="2540"/>
                <wp:wrapNone/>
                <wp:docPr id="319467109" name="Group 239"/>
                <wp:cNvGraphicFramePr/>
                <a:graphic xmlns:a="http://schemas.openxmlformats.org/drawingml/2006/main">
                  <a:graphicData uri="http://schemas.microsoft.com/office/word/2010/wordprocessingGroup">
                    <wpg:wgp>
                      <wpg:cNvGrpSpPr/>
                      <wpg:grpSpPr>
                        <a:xfrm>
                          <a:off x="0" y="0"/>
                          <a:ext cx="6096000" cy="3591560"/>
                          <a:chOff x="1154" y="-5767"/>
                          <a:chExt cx="9600" cy="5656"/>
                        </a:xfrm>
                        <a:effectLst/>
                      </wpg:grpSpPr>
                      <wps:wsp>
                        <wps:cNvPr id="1194582588" name="Freeform 246"/>
                        <wps:cNvSpPr/>
                        <wps:spPr bwMode="auto">
                          <a:xfrm>
                            <a:off x="1154" y="-5767"/>
                            <a:ext cx="9600" cy="5656"/>
                          </a:xfrm>
                          <a:custGeom>
                            <a:avLst/>
                            <a:gdLst>
                              <a:gd name="T0" fmla="*/ 9600 w 9600"/>
                              <a:gd name="T1" fmla="*/ -5767 h 5656"/>
                              <a:gd name="T2" fmla="*/ 9585 w 9600"/>
                              <a:gd name="T3" fmla="*/ -5767 h 5656"/>
                              <a:gd name="T4" fmla="*/ 9585 w 9600"/>
                              <a:gd name="T5" fmla="*/ -232 h 5656"/>
                              <a:gd name="T6" fmla="*/ 9584 w 9600"/>
                              <a:gd name="T7" fmla="*/ -222 h 5656"/>
                              <a:gd name="T8" fmla="*/ 9561 w 9600"/>
                              <a:gd name="T9" fmla="*/ -165 h 5656"/>
                              <a:gd name="T10" fmla="*/ 9553 w 9600"/>
                              <a:gd name="T11" fmla="*/ -157 h 5656"/>
                              <a:gd name="T12" fmla="*/ 9490 w 9600"/>
                              <a:gd name="T13" fmla="*/ -127 h 5656"/>
                              <a:gd name="T14" fmla="*/ 9480 w 9600"/>
                              <a:gd name="T15" fmla="*/ -127 h 5656"/>
                              <a:gd name="T16" fmla="*/ 120 w 9600"/>
                              <a:gd name="T17" fmla="*/ -127 h 5656"/>
                              <a:gd name="T18" fmla="*/ 62 w 9600"/>
                              <a:gd name="T19" fmla="*/ -145 h 5656"/>
                              <a:gd name="T20" fmla="*/ 47 w 9600"/>
                              <a:gd name="T21" fmla="*/ -157 h 5656"/>
                              <a:gd name="T22" fmla="*/ 39 w 9600"/>
                              <a:gd name="T23" fmla="*/ -165 h 5656"/>
                              <a:gd name="T24" fmla="*/ 15 w 9600"/>
                              <a:gd name="T25" fmla="*/ -222 h 5656"/>
                              <a:gd name="T26" fmla="*/ 15 w 9600"/>
                              <a:gd name="T27" fmla="*/ -232 h 5656"/>
                              <a:gd name="T28" fmla="*/ 15 w 9600"/>
                              <a:gd name="T29" fmla="*/ -5767 h 5656"/>
                              <a:gd name="T30" fmla="*/ 0 w 9600"/>
                              <a:gd name="T31" fmla="*/ -5767 h 5656"/>
                              <a:gd name="T32" fmla="*/ 0 w 9600"/>
                              <a:gd name="T33" fmla="*/ -232 h 5656"/>
                              <a:gd name="T34" fmla="*/ 1 w 9600"/>
                              <a:gd name="T35" fmla="*/ -220 h 5656"/>
                              <a:gd name="T36" fmla="*/ 27 w 9600"/>
                              <a:gd name="T37" fmla="*/ -156 h 5656"/>
                              <a:gd name="T38" fmla="*/ 35 w 9600"/>
                              <a:gd name="T39" fmla="*/ -147 h 5656"/>
                              <a:gd name="T40" fmla="*/ 97 w 9600"/>
                              <a:gd name="T41" fmla="*/ -114 h 5656"/>
                              <a:gd name="T42" fmla="*/ 120 w 9600"/>
                              <a:gd name="T43" fmla="*/ -112 h 5656"/>
                              <a:gd name="T44" fmla="*/ 9480 w 9600"/>
                              <a:gd name="T45" fmla="*/ -112 h 5656"/>
                              <a:gd name="T46" fmla="*/ 9547 w 9600"/>
                              <a:gd name="T47" fmla="*/ -132 h 5656"/>
                              <a:gd name="T48" fmla="*/ 9564 w 9600"/>
                              <a:gd name="T49" fmla="*/ -146 h 5656"/>
                              <a:gd name="T50" fmla="*/ 9565 w 9600"/>
                              <a:gd name="T51" fmla="*/ -147 h 5656"/>
                              <a:gd name="T52" fmla="*/ 9573 w 9600"/>
                              <a:gd name="T53" fmla="*/ -156 h 5656"/>
                              <a:gd name="T54" fmla="*/ 9580 w 9600"/>
                              <a:gd name="T55" fmla="*/ -165 h 5656"/>
                              <a:gd name="T56" fmla="*/ 9600 w 9600"/>
                              <a:gd name="T57" fmla="*/ -232 h 5656"/>
                              <a:gd name="T58" fmla="*/ 9600 w 9600"/>
                              <a:gd name="T59" fmla="*/ -5767 h 56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00" h="5656">
                                <a:moveTo>
                                  <a:pt x="9600" y="0"/>
                                </a:moveTo>
                                <a:lnTo>
                                  <a:pt x="9585" y="0"/>
                                </a:lnTo>
                                <a:lnTo>
                                  <a:pt x="9585" y="5535"/>
                                </a:lnTo>
                                <a:lnTo>
                                  <a:pt x="9584" y="5545"/>
                                </a:lnTo>
                                <a:lnTo>
                                  <a:pt x="9561" y="5602"/>
                                </a:lnTo>
                                <a:lnTo>
                                  <a:pt x="9553" y="5610"/>
                                </a:lnTo>
                                <a:lnTo>
                                  <a:pt x="9490" y="5640"/>
                                </a:lnTo>
                                <a:lnTo>
                                  <a:pt x="9480" y="5640"/>
                                </a:lnTo>
                                <a:lnTo>
                                  <a:pt x="120" y="5640"/>
                                </a:lnTo>
                                <a:lnTo>
                                  <a:pt x="62" y="5622"/>
                                </a:lnTo>
                                <a:lnTo>
                                  <a:pt x="47" y="5610"/>
                                </a:lnTo>
                                <a:lnTo>
                                  <a:pt x="39" y="5602"/>
                                </a:lnTo>
                                <a:lnTo>
                                  <a:pt x="15" y="5545"/>
                                </a:lnTo>
                                <a:lnTo>
                                  <a:pt x="15" y="5535"/>
                                </a:lnTo>
                                <a:lnTo>
                                  <a:pt x="15" y="0"/>
                                </a:lnTo>
                                <a:lnTo>
                                  <a:pt x="0" y="0"/>
                                </a:lnTo>
                                <a:lnTo>
                                  <a:pt x="0" y="5535"/>
                                </a:lnTo>
                                <a:lnTo>
                                  <a:pt x="1" y="5547"/>
                                </a:lnTo>
                                <a:lnTo>
                                  <a:pt x="27" y="5611"/>
                                </a:lnTo>
                                <a:lnTo>
                                  <a:pt x="35" y="5620"/>
                                </a:lnTo>
                                <a:lnTo>
                                  <a:pt x="97" y="5653"/>
                                </a:lnTo>
                                <a:lnTo>
                                  <a:pt x="120" y="5655"/>
                                </a:lnTo>
                                <a:lnTo>
                                  <a:pt x="9480" y="5655"/>
                                </a:lnTo>
                                <a:lnTo>
                                  <a:pt x="9547" y="5635"/>
                                </a:lnTo>
                                <a:lnTo>
                                  <a:pt x="9564" y="5621"/>
                                </a:lnTo>
                                <a:lnTo>
                                  <a:pt x="9565" y="5620"/>
                                </a:lnTo>
                                <a:lnTo>
                                  <a:pt x="9573" y="5611"/>
                                </a:lnTo>
                                <a:lnTo>
                                  <a:pt x="9580" y="5602"/>
                                </a:lnTo>
                                <a:lnTo>
                                  <a:pt x="9600" y="5535"/>
                                </a:lnTo>
                                <a:lnTo>
                                  <a:pt x="9600" y="0"/>
                                </a:lnTo>
                                <a:close/>
                              </a:path>
                            </a:pathLst>
                          </a:custGeom>
                          <a:solidFill>
                            <a:srgbClr val="D9DBDF"/>
                          </a:solidFill>
                          <a:ln>
                            <a:noFill/>
                          </a:ln>
                          <a:effectLst/>
                        </wps:spPr>
                        <wps:bodyPr rot="0" vert="horz" wrap="square" lIns="91440" tIns="45720" rIns="91440" bIns="45720" anchor="t" anchorCtr="0" upright="1">
                          <a:noAutofit/>
                        </wps:bodyPr>
                      </wps:wsp>
                      <wps:wsp>
                        <wps:cNvPr id="1409380234" name="AutoShape 245"/>
                        <wps:cNvSpPr/>
                        <wps:spPr bwMode="auto">
                          <a:xfrm>
                            <a:off x="1169" y="-5767"/>
                            <a:ext cx="9390" cy="5640"/>
                          </a:xfrm>
                          <a:custGeom>
                            <a:avLst/>
                            <a:gdLst>
                              <a:gd name="T0" fmla="*/ 9382 w 9390"/>
                              <a:gd name="T1" fmla="*/ -697 h 5640"/>
                              <a:gd name="T2" fmla="*/ 9360 w 9390"/>
                              <a:gd name="T3" fmla="*/ -719 h 5640"/>
                              <a:gd name="T4" fmla="*/ 52 w 9390"/>
                              <a:gd name="T5" fmla="*/ -727 h 5640"/>
                              <a:gd name="T6" fmla="*/ 23 w 9390"/>
                              <a:gd name="T7" fmla="*/ -715 h 5640"/>
                              <a:gd name="T8" fmla="*/ 2 w 9390"/>
                              <a:gd name="T9" fmla="*/ -683 h 5640"/>
                              <a:gd name="T10" fmla="*/ 0 w 9390"/>
                              <a:gd name="T11" fmla="*/ -179 h 5640"/>
                              <a:gd name="T12" fmla="*/ 12 w 9390"/>
                              <a:gd name="T13" fmla="*/ -150 h 5640"/>
                              <a:gd name="T14" fmla="*/ 44 w 9390"/>
                              <a:gd name="T15" fmla="*/ -128 h 5640"/>
                              <a:gd name="T16" fmla="*/ 9346 w 9390"/>
                              <a:gd name="T17" fmla="*/ -128 h 5640"/>
                              <a:gd name="T18" fmla="*/ 9378 w 9390"/>
                              <a:gd name="T19" fmla="*/ -150 h 5640"/>
                              <a:gd name="T20" fmla="*/ 9390 w 9390"/>
                              <a:gd name="T21" fmla="*/ -179 h 5640"/>
                              <a:gd name="T22" fmla="*/ 9388 w 9390"/>
                              <a:gd name="T23" fmla="*/ -1643 h 5640"/>
                              <a:gd name="T24" fmla="*/ 9367 w 9390"/>
                              <a:gd name="T25" fmla="*/ -1675 h 5640"/>
                              <a:gd name="T26" fmla="*/ 9338 w 9390"/>
                              <a:gd name="T27" fmla="*/ -1687 h 5640"/>
                              <a:gd name="T28" fmla="*/ 30 w 9390"/>
                              <a:gd name="T29" fmla="*/ -1679 h 5640"/>
                              <a:gd name="T30" fmla="*/ 8 w 9390"/>
                              <a:gd name="T31" fmla="*/ -1657 h 5640"/>
                              <a:gd name="T32" fmla="*/ 0 w 9390"/>
                              <a:gd name="T33" fmla="*/ -847 h 5640"/>
                              <a:gd name="T34" fmla="*/ 8 w 9390"/>
                              <a:gd name="T35" fmla="*/ -817 h 5640"/>
                              <a:gd name="T36" fmla="*/ 30 w 9390"/>
                              <a:gd name="T37" fmla="*/ -795 h 5640"/>
                              <a:gd name="T38" fmla="*/ 9338 w 9390"/>
                              <a:gd name="T39" fmla="*/ -787 h 5640"/>
                              <a:gd name="T40" fmla="*/ 9367 w 9390"/>
                              <a:gd name="T41" fmla="*/ -799 h 5640"/>
                              <a:gd name="T42" fmla="*/ 9388 w 9390"/>
                              <a:gd name="T43" fmla="*/ -831 h 5640"/>
                              <a:gd name="T44" fmla="*/ 9390 w 9390"/>
                              <a:gd name="T45" fmla="*/ -2295 h 5640"/>
                              <a:gd name="T46" fmla="*/ 9378 w 9390"/>
                              <a:gd name="T47" fmla="*/ -2324 h 5640"/>
                              <a:gd name="T48" fmla="*/ 9346 w 9390"/>
                              <a:gd name="T49" fmla="*/ -2345 h 5640"/>
                              <a:gd name="T50" fmla="*/ 44 w 9390"/>
                              <a:gd name="T51" fmla="*/ -2345 h 5640"/>
                              <a:gd name="T52" fmla="*/ 12 w 9390"/>
                              <a:gd name="T53" fmla="*/ -2324 h 5640"/>
                              <a:gd name="T54" fmla="*/ 0 w 9390"/>
                              <a:gd name="T55" fmla="*/ -2295 h 5640"/>
                              <a:gd name="T56" fmla="*/ 2 w 9390"/>
                              <a:gd name="T57" fmla="*/ -1791 h 5640"/>
                              <a:gd name="T58" fmla="*/ 23 w 9390"/>
                              <a:gd name="T59" fmla="*/ -1759 h 5640"/>
                              <a:gd name="T60" fmla="*/ 52 w 9390"/>
                              <a:gd name="T61" fmla="*/ -1747 h 5640"/>
                              <a:gd name="T62" fmla="*/ 9360 w 9390"/>
                              <a:gd name="T63" fmla="*/ -1755 h 5640"/>
                              <a:gd name="T64" fmla="*/ 9382 w 9390"/>
                              <a:gd name="T65" fmla="*/ -1777 h 5640"/>
                              <a:gd name="T66" fmla="*/ 9390 w 9390"/>
                              <a:gd name="T67" fmla="*/ -2295 h 5640"/>
                              <a:gd name="T68" fmla="*/ 9382 w 9390"/>
                              <a:gd name="T69" fmla="*/ -3877 h 5640"/>
                              <a:gd name="T70" fmla="*/ 9360 w 9390"/>
                              <a:gd name="T71" fmla="*/ -3899 h 5640"/>
                              <a:gd name="T72" fmla="*/ 52 w 9390"/>
                              <a:gd name="T73" fmla="*/ -3907 h 5640"/>
                              <a:gd name="T74" fmla="*/ 23 w 9390"/>
                              <a:gd name="T75" fmla="*/ -3895 h 5640"/>
                              <a:gd name="T76" fmla="*/ 2 w 9390"/>
                              <a:gd name="T77" fmla="*/ -3863 h 5640"/>
                              <a:gd name="T78" fmla="*/ 0 w 9390"/>
                              <a:gd name="T79" fmla="*/ -2459 h 5640"/>
                              <a:gd name="T80" fmla="*/ 12 w 9390"/>
                              <a:gd name="T81" fmla="*/ -2430 h 5640"/>
                              <a:gd name="T82" fmla="*/ 44 w 9390"/>
                              <a:gd name="T83" fmla="*/ -2408 h 5640"/>
                              <a:gd name="T84" fmla="*/ 9346 w 9390"/>
                              <a:gd name="T85" fmla="*/ -2408 h 5640"/>
                              <a:gd name="T86" fmla="*/ 9378 w 9390"/>
                              <a:gd name="T87" fmla="*/ -2430 h 5640"/>
                              <a:gd name="T88" fmla="*/ 9390 w 9390"/>
                              <a:gd name="T89" fmla="*/ -2459 h 5640"/>
                              <a:gd name="T90" fmla="*/ 9388 w 9390"/>
                              <a:gd name="T91" fmla="*/ -5723 h 5640"/>
                              <a:gd name="T92" fmla="*/ 9367 w 9390"/>
                              <a:gd name="T93" fmla="*/ -5755 h 5640"/>
                              <a:gd name="T94" fmla="*/ 9338 w 9390"/>
                              <a:gd name="T95" fmla="*/ -5767 h 5640"/>
                              <a:gd name="T96" fmla="*/ 30 w 9390"/>
                              <a:gd name="T97" fmla="*/ -5759 h 5640"/>
                              <a:gd name="T98" fmla="*/ 8 w 9390"/>
                              <a:gd name="T99" fmla="*/ -5737 h 5640"/>
                              <a:gd name="T100" fmla="*/ 0 w 9390"/>
                              <a:gd name="T101" fmla="*/ -4027 h 5640"/>
                              <a:gd name="T102" fmla="*/ 8 w 9390"/>
                              <a:gd name="T103" fmla="*/ -3997 h 5640"/>
                              <a:gd name="T104" fmla="*/ 30 w 9390"/>
                              <a:gd name="T105" fmla="*/ -3975 h 5640"/>
                              <a:gd name="T106" fmla="*/ 9338 w 9390"/>
                              <a:gd name="T107" fmla="*/ -3967 h 5640"/>
                              <a:gd name="T108" fmla="*/ 9367 w 9390"/>
                              <a:gd name="T109" fmla="*/ -3979 h 5640"/>
                              <a:gd name="T110" fmla="*/ 9388 w 9390"/>
                              <a:gd name="T111" fmla="*/ -4011 h 56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390" h="5640">
                                <a:moveTo>
                                  <a:pt x="9390" y="5092"/>
                                </a:moveTo>
                                <a:lnTo>
                                  <a:pt x="9388" y="5084"/>
                                </a:lnTo>
                                <a:lnTo>
                                  <a:pt x="9382" y="5070"/>
                                </a:lnTo>
                                <a:lnTo>
                                  <a:pt x="9378" y="5063"/>
                                </a:lnTo>
                                <a:lnTo>
                                  <a:pt x="9367" y="5052"/>
                                </a:lnTo>
                                <a:lnTo>
                                  <a:pt x="9360" y="5048"/>
                                </a:lnTo>
                                <a:lnTo>
                                  <a:pt x="9346" y="5042"/>
                                </a:lnTo>
                                <a:lnTo>
                                  <a:pt x="9338" y="5040"/>
                                </a:lnTo>
                                <a:lnTo>
                                  <a:pt x="52" y="5040"/>
                                </a:lnTo>
                                <a:lnTo>
                                  <a:pt x="44" y="5042"/>
                                </a:lnTo>
                                <a:lnTo>
                                  <a:pt x="30" y="5048"/>
                                </a:lnTo>
                                <a:lnTo>
                                  <a:pt x="23" y="5052"/>
                                </a:lnTo>
                                <a:lnTo>
                                  <a:pt x="12" y="5063"/>
                                </a:lnTo>
                                <a:lnTo>
                                  <a:pt x="8" y="5070"/>
                                </a:lnTo>
                                <a:lnTo>
                                  <a:pt x="2" y="5084"/>
                                </a:lnTo>
                                <a:lnTo>
                                  <a:pt x="0" y="5092"/>
                                </a:lnTo>
                                <a:lnTo>
                                  <a:pt x="0" y="5580"/>
                                </a:lnTo>
                                <a:lnTo>
                                  <a:pt x="0" y="5588"/>
                                </a:lnTo>
                                <a:lnTo>
                                  <a:pt x="2" y="5596"/>
                                </a:lnTo>
                                <a:lnTo>
                                  <a:pt x="8" y="5610"/>
                                </a:lnTo>
                                <a:lnTo>
                                  <a:pt x="12" y="5617"/>
                                </a:lnTo>
                                <a:lnTo>
                                  <a:pt x="23" y="5628"/>
                                </a:lnTo>
                                <a:lnTo>
                                  <a:pt x="30" y="5632"/>
                                </a:lnTo>
                                <a:lnTo>
                                  <a:pt x="44" y="5639"/>
                                </a:lnTo>
                                <a:lnTo>
                                  <a:pt x="52" y="5640"/>
                                </a:lnTo>
                                <a:lnTo>
                                  <a:pt x="9338" y="5640"/>
                                </a:lnTo>
                                <a:lnTo>
                                  <a:pt x="9346" y="5639"/>
                                </a:lnTo>
                                <a:lnTo>
                                  <a:pt x="9360" y="5632"/>
                                </a:lnTo>
                                <a:lnTo>
                                  <a:pt x="9367" y="5628"/>
                                </a:lnTo>
                                <a:lnTo>
                                  <a:pt x="9378" y="5617"/>
                                </a:lnTo>
                                <a:lnTo>
                                  <a:pt x="9382" y="5610"/>
                                </a:lnTo>
                                <a:lnTo>
                                  <a:pt x="9388" y="5596"/>
                                </a:lnTo>
                                <a:lnTo>
                                  <a:pt x="9390" y="5588"/>
                                </a:lnTo>
                                <a:lnTo>
                                  <a:pt x="9390" y="5092"/>
                                </a:lnTo>
                                <a:close/>
                                <a:moveTo>
                                  <a:pt x="9390" y="4132"/>
                                </a:moveTo>
                                <a:lnTo>
                                  <a:pt x="9388" y="4124"/>
                                </a:lnTo>
                                <a:lnTo>
                                  <a:pt x="9382" y="4110"/>
                                </a:lnTo>
                                <a:lnTo>
                                  <a:pt x="9378" y="4103"/>
                                </a:lnTo>
                                <a:lnTo>
                                  <a:pt x="9367" y="4092"/>
                                </a:lnTo>
                                <a:lnTo>
                                  <a:pt x="9360" y="4088"/>
                                </a:lnTo>
                                <a:lnTo>
                                  <a:pt x="9346" y="4082"/>
                                </a:lnTo>
                                <a:lnTo>
                                  <a:pt x="9338" y="4080"/>
                                </a:lnTo>
                                <a:lnTo>
                                  <a:pt x="52" y="4080"/>
                                </a:lnTo>
                                <a:lnTo>
                                  <a:pt x="44" y="4082"/>
                                </a:lnTo>
                                <a:lnTo>
                                  <a:pt x="30" y="4088"/>
                                </a:lnTo>
                                <a:lnTo>
                                  <a:pt x="23" y="4092"/>
                                </a:lnTo>
                                <a:lnTo>
                                  <a:pt x="12" y="4103"/>
                                </a:lnTo>
                                <a:lnTo>
                                  <a:pt x="8" y="4110"/>
                                </a:lnTo>
                                <a:lnTo>
                                  <a:pt x="2" y="4124"/>
                                </a:lnTo>
                                <a:lnTo>
                                  <a:pt x="0" y="4132"/>
                                </a:lnTo>
                                <a:lnTo>
                                  <a:pt x="0" y="4920"/>
                                </a:lnTo>
                                <a:lnTo>
                                  <a:pt x="0" y="4928"/>
                                </a:lnTo>
                                <a:lnTo>
                                  <a:pt x="2" y="4936"/>
                                </a:lnTo>
                                <a:lnTo>
                                  <a:pt x="8" y="4950"/>
                                </a:lnTo>
                                <a:lnTo>
                                  <a:pt x="12" y="4957"/>
                                </a:lnTo>
                                <a:lnTo>
                                  <a:pt x="23" y="4968"/>
                                </a:lnTo>
                                <a:lnTo>
                                  <a:pt x="30" y="4972"/>
                                </a:lnTo>
                                <a:lnTo>
                                  <a:pt x="44" y="4979"/>
                                </a:lnTo>
                                <a:lnTo>
                                  <a:pt x="52" y="4980"/>
                                </a:lnTo>
                                <a:lnTo>
                                  <a:pt x="9338" y="4980"/>
                                </a:lnTo>
                                <a:lnTo>
                                  <a:pt x="9346" y="4979"/>
                                </a:lnTo>
                                <a:lnTo>
                                  <a:pt x="9360" y="4972"/>
                                </a:lnTo>
                                <a:lnTo>
                                  <a:pt x="9367" y="4968"/>
                                </a:lnTo>
                                <a:lnTo>
                                  <a:pt x="9378" y="4957"/>
                                </a:lnTo>
                                <a:lnTo>
                                  <a:pt x="9382" y="4950"/>
                                </a:lnTo>
                                <a:lnTo>
                                  <a:pt x="9388" y="4936"/>
                                </a:lnTo>
                                <a:lnTo>
                                  <a:pt x="9390" y="4928"/>
                                </a:lnTo>
                                <a:lnTo>
                                  <a:pt x="9390" y="4132"/>
                                </a:lnTo>
                                <a:close/>
                                <a:moveTo>
                                  <a:pt x="9390" y="3472"/>
                                </a:moveTo>
                                <a:lnTo>
                                  <a:pt x="9388" y="3464"/>
                                </a:lnTo>
                                <a:lnTo>
                                  <a:pt x="9382" y="3450"/>
                                </a:lnTo>
                                <a:lnTo>
                                  <a:pt x="9378" y="3443"/>
                                </a:lnTo>
                                <a:lnTo>
                                  <a:pt x="9367" y="3432"/>
                                </a:lnTo>
                                <a:lnTo>
                                  <a:pt x="9360" y="3428"/>
                                </a:lnTo>
                                <a:lnTo>
                                  <a:pt x="9346" y="3422"/>
                                </a:lnTo>
                                <a:lnTo>
                                  <a:pt x="9338" y="3420"/>
                                </a:lnTo>
                                <a:lnTo>
                                  <a:pt x="52" y="3420"/>
                                </a:lnTo>
                                <a:lnTo>
                                  <a:pt x="44" y="3422"/>
                                </a:lnTo>
                                <a:lnTo>
                                  <a:pt x="30" y="3428"/>
                                </a:lnTo>
                                <a:lnTo>
                                  <a:pt x="23" y="3432"/>
                                </a:lnTo>
                                <a:lnTo>
                                  <a:pt x="12" y="3443"/>
                                </a:lnTo>
                                <a:lnTo>
                                  <a:pt x="8" y="3450"/>
                                </a:lnTo>
                                <a:lnTo>
                                  <a:pt x="2" y="3464"/>
                                </a:lnTo>
                                <a:lnTo>
                                  <a:pt x="0" y="3472"/>
                                </a:lnTo>
                                <a:lnTo>
                                  <a:pt x="0" y="3960"/>
                                </a:lnTo>
                                <a:lnTo>
                                  <a:pt x="0" y="3968"/>
                                </a:lnTo>
                                <a:lnTo>
                                  <a:pt x="2" y="3976"/>
                                </a:lnTo>
                                <a:lnTo>
                                  <a:pt x="8" y="3990"/>
                                </a:lnTo>
                                <a:lnTo>
                                  <a:pt x="12" y="3997"/>
                                </a:lnTo>
                                <a:lnTo>
                                  <a:pt x="23" y="4008"/>
                                </a:lnTo>
                                <a:lnTo>
                                  <a:pt x="30" y="4012"/>
                                </a:lnTo>
                                <a:lnTo>
                                  <a:pt x="44" y="4019"/>
                                </a:lnTo>
                                <a:lnTo>
                                  <a:pt x="52" y="4020"/>
                                </a:lnTo>
                                <a:lnTo>
                                  <a:pt x="9338" y="4020"/>
                                </a:lnTo>
                                <a:lnTo>
                                  <a:pt x="9346" y="4019"/>
                                </a:lnTo>
                                <a:lnTo>
                                  <a:pt x="9360" y="4012"/>
                                </a:lnTo>
                                <a:lnTo>
                                  <a:pt x="9367" y="4008"/>
                                </a:lnTo>
                                <a:lnTo>
                                  <a:pt x="9378" y="3997"/>
                                </a:lnTo>
                                <a:lnTo>
                                  <a:pt x="9382" y="3990"/>
                                </a:lnTo>
                                <a:lnTo>
                                  <a:pt x="9388" y="3976"/>
                                </a:lnTo>
                                <a:lnTo>
                                  <a:pt x="9390" y="3968"/>
                                </a:lnTo>
                                <a:lnTo>
                                  <a:pt x="9390" y="3472"/>
                                </a:lnTo>
                                <a:close/>
                                <a:moveTo>
                                  <a:pt x="9390" y="1912"/>
                                </a:moveTo>
                                <a:lnTo>
                                  <a:pt x="9388" y="1904"/>
                                </a:lnTo>
                                <a:lnTo>
                                  <a:pt x="9382" y="1890"/>
                                </a:lnTo>
                                <a:lnTo>
                                  <a:pt x="9378" y="1883"/>
                                </a:lnTo>
                                <a:lnTo>
                                  <a:pt x="9367" y="1872"/>
                                </a:lnTo>
                                <a:lnTo>
                                  <a:pt x="9360" y="1868"/>
                                </a:lnTo>
                                <a:lnTo>
                                  <a:pt x="9346" y="1862"/>
                                </a:lnTo>
                                <a:lnTo>
                                  <a:pt x="9338" y="1860"/>
                                </a:lnTo>
                                <a:lnTo>
                                  <a:pt x="52" y="1860"/>
                                </a:lnTo>
                                <a:lnTo>
                                  <a:pt x="44" y="1862"/>
                                </a:lnTo>
                                <a:lnTo>
                                  <a:pt x="30" y="1868"/>
                                </a:lnTo>
                                <a:lnTo>
                                  <a:pt x="23" y="1872"/>
                                </a:lnTo>
                                <a:lnTo>
                                  <a:pt x="12" y="1883"/>
                                </a:lnTo>
                                <a:lnTo>
                                  <a:pt x="8" y="1890"/>
                                </a:lnTo>
                                <a:lnTo>
                                  <a:pt x="2" y="1904"/>
                                </a:lnTo>
                                <a:lnTo>
                                  <a:pt x="0" y="1912"/>
                                </a:lnTo>
                                <a:lnTo>
                                  <a:pt x="0" y="3300"/>
                                </a:lnTo>
                                <a:lnTo>
                                  <a:pt x="0" y="3308"/>
                                </a:lnTo>
                                <a:lnTo>
                                  <a:pt x="2" y="3316"/>
                                </a:lnTo>
                                <a:lnTo>
                                  <a:pt x="8" y="3330"/>
                                </a:lnTo>
                                <a:lnTo>
                                  <a:pt x="12" y="3337"/>
                                </a:lnTo>
                                <a:lnTo>
                                  <a:pt x="23" y="3348"/>
                                </a:lnTo>
                                <a:lnTo>
                                  <a:pt x="30" y="3352"/>
                                </a:lnTo>
                                <a:lnTo>
                                  <a:pt x="44" y="3359"/>
                                </a:lnTo>
                                <a:lnTo>
                                  <a:pt x="52" y="3360"/>
                                </a:lnTo>
                                <a:lnTo>
                                  <a:pt x="9338" y="3360"/>
                                </a:lnTo>
                                <a:lnTo>
                                  <a:pt x="9346" y="3359"/>
                                </a:lnTo>
                                <a:lnTo>
                                  <a:pt x="9360" y="3352"/>
                                </a:lnTo>
                                <a:lnTo>
                                  <a:pt x="9367" y="3348"/>
                                </a:lnTo>
                                <a:lnTo>
                                  <a:pt x="9378" y="3337"/>
                                </a:lnTo>
                                <a:lnTo>
                                  <a:pt x="9382" y="3330"/>
                                </a:lnTo>
                                <a:lnTo>
                                  <a:pt x="9388" y="3316"/>
                                </a:lnTo>
                                <a:lnTo>
                                  <a:pt x="9390" y="3308"/>
                                </a:lnTo>
                                <a:lnTo>
                                  <a:pt x="9390" y="1912"/>
                                </a:lnTo>
                                <a:close/>
                                <a:moveTo>
                                  <a:pt x="9390" y="52"/>
                                </a:moveTo>
                                <a:lnTo>
                                  <a:pt x="9388" y="44"/>
                                </a:lnTo>
                                <a:lnTo>
                                  <a:pt x="9382" y="30"/>
                                </a:lnTo>
                                <a:lnTo>
                                  <a:pt x="9378" y="23"/>
                                </a:lnTo>
                                <a:lnTo>
                                  <a:pt x="9367" y="12"/>
                                </a:lnTo>
                                <a:lnTo>
                                  <a:pt x="9360" y="8"/>
                                </a:lnTo>
                                <a:lnTo>
                                  <a:pt x="9346" y="2"/>
                                </a:lnTo>
                                <a:lnTo>
                                  <a:pt x="9338" y="0"/>
                                </a:lnTo>
                                <a:lnTo>
                                  <a:pt x="52" y="0"/>
                                </a:lnTo>
                                <a:lnTo>
                                  <a:pt x="44" y="2"/>
                                </a:lnTo>
                                <a:lnTo>
                                  <a:pt x="30" y="8"/>
                                </a:lnTo>
                                <a:lnTo>
                                  <a:pt x="23" y="12"/>
                                </a:lnTo>
                                <a:lnTo>
                                  <a:pt x="12" y="23"/>
                                </a:lnTo>
                                <a:lnTo>
                                  <a:pt x="8" y="30"/>
                                </a:lnTo>
                                <a:lnTo>
                                  <a:pt x="2" y="44"/>
                                </a:lnTo>
                                <a:lnTo>
                                  <a:pt x="0" y="52"/>
                                </a:lnTo>
                                <a:lnTo>
                                  <a:pt x="0" y="1740"/>
                                </a:lnTo>
                                <a:lnTo>
                                  <a:pt x="0" y="1748"/>
                                </a:lnTo>
                                <a:lnTo>
                                  <a:pt x="2" y="1756"/>
                                </a:lnTo>
                                <a:lnTo>
                                  <a:pt x="8" y="1770"/>
                                </a:lnTo>
                                <a:lnTo>
                                  <a:pt x="12" y="1777"/>
                                </a:lnTo>
                                <a:lnTo>
                                  <a:pt x="23" y="1788"/>
                                </a:lnTo>
                                <a:lnTo>
                                  <a:pt x="30" y="1792"/>
                                </a:lnTo>
                                <a:lnTo>
                                  <a:pt x="44" y="1799"/>
                                </a:lnTo>
                                <a:lnTo>
                                  <a:pt x="52" y="1800"/>
                                </a:lnTo>
                                <a:lnTo>
                                  <a:pt x="9338" y="1800"/>
                                </a:lnTo>
                                <a:lnTo>
                                  <a:pt x="9346" y="1799"/>
                                </a:lnTo>
                                <a:lnTo>
                                  <a:pt x="9360" y="1792"/>
                                </a:lnTo>
                                <a:lnTo>
                                  <a:pt x="9367" y="1788"/>
                                </a:lnTo>
                                <a:lnTo>
                                  <a:pt x="9378" y="1777"/>
                                </a:lnTo>
                                <a:lnTo>
                                  <a:pt x="9382" y="1770"/>
                                </a:lnTo>
                                <a:lnTo>
                                  <a:pt x="9388" y="1756"/>
                                </a:lnTo>
                                <a:lnTo>
                                  <a:pt x="9390" y="1748"/>
                                </a:lnTo>
                                <a:lnTo>
                                  <a:pt x="9390" y="52"/>
                                </a:lnTo>
                                <a:close/>
                              </a:path>
                            </a:pathLst>
                          </a:custGeom>
                          <a:solidFill>
                            <a:srgbClr val="FFFFFF"/>
                          </a:solidFill>
                          <a:ln>
                            <a:noFill/>
                          </a:ln>
                          <a:effectLst/>
                        </wps:spPr>
                        <wps:bodyPr rot="0" vert="horz" wrap="square" lIns="91440" tIns="45720" rIns="91440" bIns="45720" anchor="t" anchorCtr="0" upright="1">
                          <a:noAutofit/>
                        </wps:bodyPr>
                      </wps:wsp>
                      <wps:wsp>
                        <wps:cNvPr id="1602734029" name="Text Box 244"/>
                        <wps:cNvSpPr txBox="1">
                          <a:spLocks noChangeArrowheads="1"/>
                        </wps:cNvSpPr>
                        <wps:spPr bwMode="auto">
                          <a:xfrm>
                            <a:off x="1312" y="-5602"/>
                            <a:ext cx="8930" cy="1447"/>
                          </a:xfrm>
                          <a:prstGeom prst="rect">
                            <a:avLst/>
                          </a:prstGeom>
                          <a:noFill/>
                          <a:ln>
                            <a:noFill/>
                          </a:ln>
                          <a:effectLst/>
                        </wps:spPr>
                        <wps:txbx>
                          <w:txbxContent>
                            <w:p w14:paraId="66C195C7">
                              <w:pPr>
                                <w:spacing w:line="285" w:lineRule="auto"/>
                                <w:ind w:right="15"/>
                                <w:jc w:val="both"/>
                              </w:pPr>
                              <w:r>
                                <w:rPr>
                                  <w:color w:val="202024"/>
                                </w:rPr>
                                <w:t>the</w:t>
                              </w:r>
                              <w:r>
                                <w:rPr>
                                  <w:color w:val="202024"/>
                                  <w:spacing w:val="11"/>
                                </w:rPr>
                                <w:t xml:space="preserve"> </w:t>
                              </w:r>
                              <w:r>
                                <w:rPr>
                                  <w:color w:val="202024"/>
                                </w:rPr>
                                <w:t>piece</w:t>
                              </w:r>
                              <w:r>
                                <w:rPr>
                                  <w:color w:val="202024"/>
                                  <w:spacing w:val="11"/>
                                </w:rPr>
                                <w:t xml:space="preserve"> </w:t>
                              </w:r>
                              <w:r>
                                <w:rPr>
                                  <w:color w:val="202024"/>
                                </w:rPr>
                                <w:t>meal</w:t>
                              </w:r>
                              <w:r>
                                <w:rPr>
                                  <w:color w:val="202024"/>
                                  <w:spacing w:val="11"/>
                                </w:rPr>
                                <w:t xml:space="preserve"> </w:t>
                              </w:r>
                              <w:r>
                                <w:rPr>
                                  <w:color w:val="202024"/>
                                </w:rPr>
                                <w:t>amendments</w:t>
                              </w:r>
                              <w:r>
                                <w:rPr>
                                  <w:color w:val="202024"/>
                                  <w:spacing w:val="11"/>
                                </w:rPr>
                                <w:t xml:space="preserve"> </w:t>
                              </w:r>
                              <w:r>
                                <w:rPr>
                                  <w:color w:val="202024"/>
                                </w:rPr>
                                <w:t>and</w:t>
                              </w:r>
                              <w:r>
                                <w:rPr>
                                  <w:color w:val="202024"/>
                                  <w:spacing w:val="11"/>
                                </w:rPr>
                                <w:t xml:space="preserve"> </w:t>
                              </w:r>
                              <w:r>
                                <w:rPr>
                                  <w:color w:val="202024"/>
                                </w:rPr>
                                <w:t>side</w:t>
                              </w:r>
                              <w:r>
                                <w:rPr>
                                  <w:color w:val="202024"/>
                                  <w:spacing w:val="11"/>
                                </w:rPr>
                                <w:t xml:space="preserve"> </w:t>
                              </w:r>
                              <w:r>
                                <w:rPr>
                                  <w:color w:val="202024"/>
                                </w:rPr>
                                <w:t>letters</w:t>
                              </w:r>
                              <w:r>
                                <w:rPr>
                                  <w:color w:val="202024"/>
                                  <w:spacing w:val="11"/>
                                </w:rPr>
                                <w:t xml:space="preserve"> </w:t>
                              </w:r>
                              <w:r>
                                <w:rPr>
                                  <w:color w:val="202024"/>
                                </w:rPr>
                                <w:t>impacted</w:t>
                              </w:r>
                              <w:r>
                                <w:rPr>
                                  <w:color w:val="202024"/>
                                  <w:spacing w:val="11"/>
                                </w:rPr>
                                <w:t xml:space="preserve"> </w:t>
                              </w:r>
                              <w:r>
                                <w:rPr>
                                  <w:color w:val="202024"/>
                                </w:rPr>
                                <w:t>the</w:t>
                              </w:r>
                              <w:r>
                                <w:rPr>
                                  <w:color w:val="202024"/>
                                  <w:spacing w:val="11"/>
                                </w:rPr>
                                <w:t xml:space="preserve"> </w:t>
                              </w:r>
                              <w:r>
                                <w:rPr>
                                  <w:color w:val="202024"/>
                                </w:rPr>
                                <w:t>certainty</w:t>
                              </w:r>
                              <w:r>
                                <w:rPr>
                                  <w:color w:val="202024"/>
                                  <w:spacing w:val="12"/>
                                </w:rPr>
                                <w:t xml:space="preserve"> </w:t>
                              </w:r>
                              <w:r>
                                <w:rPr>
                                  <w:color w:val="202024"/>
                                </w:rPr>
                                <w:t>of</w:t>
                              </w:r>
                              <w:r>
                                <w:rPr>
                                  <w:color w:val="202024"/>
                                  <w:spacing w:val="11"/>
                                </w:rPr>
                                <w:t xml:space="preserve"> </w:t>
                              </w:r>
                              <w:r>
                                <w:rPr>
                                  <w:color w:val="202024"/>
                                </w:rPr>
                                <w:t>some</w:t>
                              </w:r>
                              <w:r>
                                <w:rPr>
                                  <w:color w:val="202024"/>
                                  <w:spacing w:val="11"/>
                                </w:rPr>
                                <w:t xml:space="preserve"> </w:t>
                              </w:r>
                              <w:r>
                                <w:rPr>
                                  <w:color w:val="202024"/>
                                </w:rPr>
                                <w:t>aspect</w:t>
                              </w:r>
                              <w:r>
                                <w:rPr>
                                  <w:color w:val="202024"/>
                                  <w:spacing w:val="11"/>
                                </w:rPr>
                                <w:t xml:space="preserve"> </w:t>
                              </w:r>
                              <w:r>
                                <w:rPr>
                                  <w:color w:val="202024"/>
                                </w:rPr>
                                <w:t>of</w:t>
                              </w:r>
                              <w:r>
                                <w:rPr>
                                  <w:color w:val="202024"/>
                                  <w:spacing w:val="11"/>
                                </w:rPr>
                                <w:t xml:space="preserve"> </w:t>
                              </w:r>
                              <w:r>
                                <w:rPr>
                                  <w:color w:val="202024"/>
                                </w:rPr>
                                <w:t>the</w:t>
                              </w:r>
                              <w:r>
                                <w:rPr>
                                  <w:color w:val="202024"/>
                                  <w:spacing w:val="1"/>
                                </w:rPr>
                                <w:t xml:space="preserve"> </w:t>
                              </w:r>
                              <w:r>
                                <w:rPr>
                                  <w:color w:val="202024"/>
                                </w:rPr>
                                <w:t>regime.</w:t>
                              </w:r>
                              <w:r>
                                <w:rPr>
                                  <w:color w:val="202024"/>
                                  <w:spacing w:val="10"/>
                                </w:rPr>
                                <w:t xml:space="preserve"> </w:t>
                              </w:r>
                              <w:r>
                                <w:rPr>
                                  <w:color w:val="202024"/>
                                </w:rPr>
                                <w:t>i</w:t>
                              </w:r>
                              <w:r>
                                <w:rPr>
                                  <w:color w:val="202024"/>
                                  <w:spacing w:val="10"/>
                                </w:rPr>
                                <w:t xml:space="preserve"> </w:t>
                              </w:r>
                              <w:r>
                                <w:rPr>
                                  <w:color w:val="202024"/>
                                </w:rPr>
                                <w:t>suppose</w:t>
                              </w:r>
                              <w:r>
                                <w:rPr>
                                  <w:color w:val="202024"/>
                                  <w:spacing w:val="10"/>
                                </w:rPr>
                                <w:t xml:space="preserve"> </w:t>
                              </w:r>
                              <w:r>
                                <w:rPr>
                                  <w:color w:val="202024"/>
                                </w:rPr>
                                <w:t>the</w:t>
                              </w:r>
                              <w:r>
                                <w:rPr>
                                  <w:color w:val="202024"/>
                                  <w:spacing w:val="11"/>
                                </w:rPr>
                                <w:t xml:space="preserve"> </w:t>
                              </w:r>
                              <w:r>
                                <w:rPr>
                                  <w:color w:val="202024"/>
                                </w:rPr>
                                <w:t>PIB</w:t>
                              </w:r>
                              <w:r>
                                <w:rPr>
                                  <w:color w:val="202024"/>
                                  <w:spacing w:val="10"/>
                                </w:rPr>
                                <w:t xml:space="preserve"> </w:t>
                              </w:r>
                              <w:r>
                                <w:rPr>
                                  <w:color w:val="202024"/>
                                </w:rPr>
                                <w:t>sought</w:t>
                              </w:r>
                              <w:r>
                                <w:rPr>
                                  <w:color w:val="202024"/>
                                  <w:spacing w:val="10"/>
                                </w:rPr>
                                <w:t xml:space="preserve"> </w:t>
                              </w:r>
                              <w:r>
                                <w:rPr>
                                  <w:color w:val="202024"/>
                                </w:rPr>
                                <w:t>to</w:t>
                              </w:r>
                              <w:r>
                                <w:rPr>
                                  <w:color w:val="202024"/>
                                  <w:spacing w:val="11"/>
                                </w:rPr>
                                <w:t xml:space="preserve"> </w:t>
                              </w:r>
                              <w:r>
                                <w:rPr>
                                  <w:color w:val="202024"/>
                                </w:rPr>
                                <w:t>address</w:t>
                              </w:r>
                              <w:r>
                                <w:rPr>
                                  <w:color w:val="202024"/>
                                  <w:spacing w:val="10"/>
                                </w:rPr>
                                <w:t xml:space="preserve"> </w:t>
                              </w:r>
                              <w:r>
                                <w:rPr>
                                  <w:color w:val="202024"/>
                                </w:rPr>
                                <w:t>some</w:t>
                              </w:r>
                              <w:r>
                                <w:rPr>
                                  <w:color w:val="202024"/>
                                  <w:spacing w:val="10"/>
                                </w:rPr>
                                <w:t xml:space="preserve"> </w:t>
                              </w:r>
                              <w:r>
                                <w:rPr>
                                  <w:color w:val="202024"/>
                                </w:rPr>
                                <w:t>of</w:t>
                              </w:r>
                              <w:r>
                                <w:rPr>
                                  <w:color w:val="202024"/>
                                  <w:spacing w:val="11"/>
                                </w:rPr>
                                <w:t xml:space="preserve"> </w:t>
                              </w:r>
                              <w:r>
                                <w:rPr>
                                  <w:color w:val="202024"/>
                                </w:rPr>
                                <w:t>these</w:t>
                              </w:r>
                              <w:r>
                                <w:rPr>
                                  <w:color w:val="202024"/>
                                  <w:spacing w:val="10"/>
                                </w:rPr>
                                <w:t xml:space="preserve"> </w:t>
                              </w:r>
                              <w:r>
                                <w:rPr>
                                  <w:color w:val="202024"/>
                                </w:rPr>
                                <w:t>issues.</w:t>
                              </w:r>
                              <w:r>
                                <w:rPr>
                                  <w:color w:val="202024"/>
                                  <w:spacing w:val="10"/>
                                </w:rPr>
                                <w:t xml:space="preserve"> </w:t>
                              </w:r>
                              <w:r>
                                <w:rPr>
                                  <w:color w:val="202024"/>
                                </w:rPr>
                                <w:t>Additionally,</w:t>
                              </w:r>
                              <w:r>
                                <w:rPr>
                                  <w:color w:val="202024"/>
                                  <w:spacing w:val="10"/>
                                </w:rPr>
                                <w:t xml:space="preserve"> </w:t>
                              </w:r>
                              <w:r>
                                <w:rPr>
                                  <w:color w:val="202024"/>
                                </w:rPr>
                                <w:t>the</w:t>
                              </w:r>
                              <w:r>
                                <w:rPr>
                                  <w:color w:val="202024"/>
                                  <w:spacing w:val="11"/>
                                </w:rPr>
                                <w:t xml:space="preserve"> </w:t>
                              </w:r>
                              <w:r>
                                <w:rPr>
                                  <w:color w:val="202024"/>
                                </w:rPr>
                                <w:t>delay</w:t>
                              </w:r>
                              <w:r>
                                <w:rPr>
                                  <w:color w:val="202024"/>
                                  <w:spacing w:val="10"/>
                                </w:rPr>
                                <w:t xml:space="preserve"> </w:t>
                              </w:r>
                              <w:r>
                                <w:rPr>
                                  <w:color w:val="202024"/>
                                </w:rPr>
                                <w:t>has</w:t>
                              </w:r>
                              <w:r>
                                <w:rPr>
                                  <w:color w:val="202024"/>
                                  <w:spacing w:val="-49"/>
                                </w:rPr>
                                <w:t xml:space="preserve"> </w:t>
                              </w:r>
                              <w:r>
                                <w:rPr>
                                  <w:color w:val="202024"/>
                                </w:rPr>
                                <w:t>affected</w:t>
                              </w:r>
                              <w:r>
                                <w:rPr>
                                  <w:color w:val="202024"/>
                                  <w:spacing w:val="10"/>
                                </w:rPr>
                                <w:t xml:space="preserve"> </w:t>
                              </w:r>
                              <w:r>
                                <w:rPr>
                                  <w:color w:val="202024"/>
                                </w:rPr>
                                <w:t>Nigeria</w:t>
                              </w:r>
                              <w:r>
                                <w:rPr>
                                  <w:color w:val="202024"/>
                                  <w:spacing w:val="11"/>
                                </w:rPr>
                                <w:t xml:space="preserve"> </w:t>
                              </w:r>
                              <w:r>
                                <w:rPr>
                                  <w:color w:val="202024"/>
                                </w:rPr>
                                <w:t>negatively</w:t>
                              </w:r>
                              <w:r>
                                <w:rPr>
                                  <w:color w:val="202024"/>
                                  <w:spacing w:val="10"/>
                                </w:rPr>
                                <w:t xml:space="preserve"> </w:t>
                              </w:r>
                              <w:r>
                                <w:rPr>
                                  <w:color w:val="202024"/>
                                </w:rPr>
                                <w:t>in</w:t>
                              </w:r>
                              <w:r>
                                <w:rPr>
                                  <w:color w:val="202024"/>
                                  <w:spacing w:val="11"/>
                                </w:rPr>
                                <w:t xml:space="preserve"> </w:t>
                              </w:r>
                              <w:r>
                                <w:rPr>
                                  <w:color w:val="202024"/>
                                </w:rPr>
                                <w:t>our</w:t>
                              </w:r>
                              <w:r>
                                <w:rPr>
                                  <w:color w:val="202024"/>
                                  <w:spacing w:val="11"/>
                                </w:rPr>
                                <w:t xml:space="preserve"> </w:t>
                              </w:r>
                              <w:r>
                                <w:rPr>
                                  <w:color w:val="202024"/>
                                </w:rPr>
                                <w:t>economy</w:t>
                              </w:r>
                              <w:r>
                                <w:rPr>
                                  <w:color w:val="202024"/>
                                  <w:spacing w:val="10"/>
                                </w:rPr>
                                <w:t xml:space="preserve"> </w:t>
                              </w:r>
                              <w:r>
                                <w:rPr>
                                  <w:color w:val="202024"/>
                                </w:rPr>
                                <w:t>and</w:t>
                              </w:r>
                              <w:r>
                                <w:rPr>
                                  <w:color w:val="202024"/>
                                  <w:spacing w:val="11"/>
                                </w:rPr>
                                <w:t xml:space="preserve"> </w:t>
                              </w:r>
                              <w:r>
                                <w:rPr>
                                  <w:color w:val="202024"/>
                                </w:rPr>
                                <w:t>drive</w:t>
                              </w:r>
                              <w:r>
                                <w:rPr>
                                  <w:color w:val="202024"/>
                                  <w:spacing w:val="10"/>
                                </w:rPr>
                                <w:t xml:space="preserve"> </w:t>
                              </w:r>
                              <w:r>
                                <w:rPr>
                                  <w:color w:val="202024"/>
                                </w:rPr>
                                <w:t>for</w:t>
                              </w:r>
                              <w:r>
                                <w:rPr>
                                  <w:color w:val="202024"/>
                                  <w:spacing w:val="11"/>
                                </w:rPr>
                                <w:t xml:space="preserve"> </w:t>
                              </w:r>
                              <w:r>
                                <w:rPr>
                                  <w:color w:val="202024"/>
                                </w:rPr>
                                <w:t>investment.</w:t>
                              </w:r>
                              <w:r>
                                <w:rPr>
                                  <w:color w:val="202024"/>
                                  <w:spacing w:val="6"/>
                                </w:rPr>
                                <w:t xml:space="preserve"> </w:t>
                              </w:r>
                              <w:r>
                                <w:rPr>
                                  <w:color w:val="202024"/>
                                </w:rPr>
                                <w:t>This</w:t>
                              </w:r>
                              <w:r>
                                <w:rPr>
                                  <w:color w:val="202024"/>
                                  <w:spacing w:val="11"/>
                                </w:rPr>
                                <w:t xml:space="preserve"> </w:t>
                              </w:r>
                              <w:r>
                                <w:rPr>
                                  <w:color w:val="202024"/>
                                </w:rPr>
                                <w:t>gives</w:t>
                              </w:r>
                              <w:r>
                                <w:rPr>
                                  <w:color w:val="202024"/>
                                  <w:spacing w:val="10"/>
                                </w:rPr>
                                <w:t xml:space="preserve"> </w:t>
                              </w:r>
                              <w:r>
                                <w:rPr>
                                  <w:color w:val="202024"/>
                                </w:rPr>
                                <w:t>credence</w:t>
                              </w:r>
                              <w:r>
                                <w:rPr>
                                  <w:color w:val="202024"/>
                                  <w:spacing w:val="11"/>
                                </w:rPr>
                                <w:t xml:space="preserve"> </w:t>
                              </w:r>
                              <w:r>
                                <w:rPr>
                                  <w:color w:val="202024"/>
                                </w:rPr>
                                <w:t>to</w:t>
                              </w:r>
                              <w:r>
                                <w:rPr>
                                  <w:color w:val="202024"/>
                                  <w:spacing w:val="1"/>
                                </w:rPr>
                                <w:t xml:space="preserve"> </w:t>
                              </w:r>
                              <w:r>
                                <w:rPr>
                                  <w:color w:val="202024"/>
                                </w:rPr>
                                <w:t>need</w:t>
                              </w:r>
                              <w:r>
                                <w:rPr>
                                  <w:color w:val="202024"/>
                                  <w:spacing w:val="9"/>
                                </w:rPr>
                                <w:t xml:space="preserve"> </w:t>
                              </w:r>
                              <w:r>
                                <w:rPr>
                                  <w:color w:val="202024"/>
                                </w:rPr>
                                <w:t>for</w:t>
                              </w:r>
                              <w:r>
                                <w:rPr>
                                  <w:color w:val="202024"/>
                                  <w:spacing w:val="9"/>
                                </w:rPr>
                                <w:t xml:space="preserve"> </w:t>
                              </w:r>
                              <w:r>
                                <w:rPr>
                                  <w:color w:val="202024"/>
                                </w:rPr>
                                <w:t>prompt</w:t>
                              </w:r>
                              <w:r>
                                <w:rPr>
                                  <w:color w:val="202024"/>
                                  <w:spacing w:val="10"/>
                                </w:rPr>
                                <w:t xml:space="preserve"> </w:t>
                              </w:r>
                              <w:r>
                                <w:rPr>
                                  <w:color w:val="202024"/>
                                </w:rPr>
                                <w:t>and</w:t>
                              </w:r>
                              <w:r>
                                <w:rPr>
                                  <w:color w:val="202024"/>
                                  <w:spacing w:val="9"/>
                                </w:rPr>
                                <w:t xml:space="preserve"> </w:t>
                              </w:r>
                              <w:r>
                                <w:rPr>
                                  <w:color w:val="202024"/>
                                </w:rPr>
                                <w:t>certain</w:t>
                              </w:r>
                              <w:r>
                                <w:rPr>
                                  <w:color w:val="202024"/>
                                  <w:spacing w:val="10"/>
                                </w:rPr>
                                <w:t xml:space="preserve"> </w:t>
                              </w:r>
                              <w:r>
                                <w:rPr>
                                  <w:color w:val="202024"/>
                                </w:rPr>
                                <w:t>provisions.</w:t>
                              </w:r>
                              <w:r>
                                <w:rPr>
                                  <w:color w:val="202024"/>
                                  <w:spacing w:val="9"/>
                                </w:rPr>
                                <w:t xml:space="preserve"> </w:t>
                              </w:r>
                              <w:r>
                                <w:rPr>
                                  <w:color w:val="202024"/>
                                </w:rPr>
                                <w:t>uncertainty</w:t>
                              </w:r>
                              <w:r>
                                <w:rPr>
                                  <w:color w:val="202024"/>
                                  <w:spacing w:val="10"/>
                                </w:rPr>
                                <w:t xml:space="preserve"> </w:t>
                              </w:r>
                              <w:r>
                                <w:rPr>
                                  <w:color w:val="202024"/>
                                </w:rPr>
                                <w:t>is</w:t>
                              </w:r>
                              <w:r>
                                <w:rPr>
                                  <w:color w:val="202024"/>
                                  <w:spacing w:val="9"/>
                                </w:rPr>
                                <w:t xml:space="preserve"> </w:t>
                              </w:r>
                              <w:r>
                                <w:rPr>
                                  <w:color w:val="202024"/>
                                </w:rPr>
                                <w:t>the</w:t>
                              </w:r>
                              <w:r>
                                <w:rPr>
                                  <w:color w:val="202024"/>
                                  <w:spacing w:val="10"/>
                                </w:rPr>
                                <w:t xml:space="preserve"> </w:t>
                              </w:r>
                              <w:r>
                                <w:rPr>
                                  <w:color w:val="202024"/>
                                </w:rPr>
                                <w:t>biggest</w:t>
                              </w:r>
                              <w:r>
                                <w:rPr>
                                  <w:color w:val="202024"/>
                                  <w:spacing w:val="9"/>
                                </w:rPr>
                                <w:t xml:space="preserve"> </w:t>
                              </w:r>
                              <w:r>
                                <w:rPr>
                                  <w:color w:val="202024"/>
                                </w:rPr>
                                <w:t>risk</w:t>
                              </w:r>
                              <w:r>
                                <w:rPr>
                                  <w:color w:val="202024"/>
                                  <w:spacing w:val="10"/>
                                </w:rPr>
                                <w:t xml:space="preserve"> </w:t>
                              </w:r>
                              <w:r>
                                <w:rPr>
                                  <w:color w:val="202024"/>
                                </w:rPr>
                                <w:t>investors</w:t>
                              </w:r>
                              <w:r>
                                <w:rPr>
                                  <w:color w:val="202024"/>
                                  <w:spacing w:val="9"/>
                                </w:rPr>
                                <w:t xml:space="preserve"> </w:t>
                              </w:r>
                              <w:r>
                                <w:rPr>
                                  <w:color w:val="202024"/>
                                </w:rPr>
                                <w:t>do</w:t>
                              </w:r>
                              <w:r>
                                <w:rPr>
                                  <w:color w:val="202024"/>
                                  <w:spacing w:val="10"/>
                                </w:rPr>
                                <w:t xml:space="preserve"> </w:t>
                              </w:r>
                              <w:r>
                                <w:rPr>
                                  <w:color w:val="202024"/>
                                </w:rPr>
                                <w:t>not</w:t>
                              </w:r>
                              <w:r>
                                <w:rPr>
                                  <w:color w:val="202024"/>
                                  <w:spacing w:val="9"/>
                                </w:rPr>
                                <w:t xml:space="preserve"> </w:t>
                              </w:r>
                              <w:r>
                                <w:rPr>
                                  <w:color w:val="202024"/>
                                </w:rPr>
                                <w:t>like</w:t>
                              </w:r>
                              <w:r>
                                <w:rPr>
                                  <w:color w:val="202024"/>
                                  <w:spacing w:val="10"/>
                                </w:rPr>
                                <w:t xml:space="preserve"> </w:t>
                              </w:r>
                              <w:r>
                                <w:rPr>
                                  <w:color w:val="202024"/>
                                </w:rPr>
                                <w:t>to</w:t>
                              </w:r>
                            </w:p>
                            <w:p w14:paraId="2B9BEE8D">
                              <w:pPr>
                                <w:spacing w:line="251" w:lineRule="exact"/>
                                <w:jc w:val="both"/>
                              </w:pPr>
                              <w:r>
                                <w:rPr>
                                  <w:color w:val="202024"/>
                                </w:rPr>
                                <w:t>take</w:t>
                              </w:r>
                            </w:p>
                          </w:txbxContent>
                        </wps:txbx>
                        <wps:bodyPr rot="0" vert="horz" wrap="square" lIns="0" tIns="0" rIns="0" bIns="0" anchor="t" anchorCtr="0" upright="1">
                          <a:noAutofit/>
                        </wps:bodyPr>
                      </wps:wsp>
                      <wps:wsp>
                        <wps:cNvPr id="393541451" name="Text Box 243"/>
                        <wps:cNvSpPr txBox="1">
                          <a:spLocks noChangeArrowheads="1"/>
                        </wps:cNvSpPr>
                        <wps:spPr bwMode="auto">
                          <a:xfrm>
                            <a:off x="1312" y="-3742"/>
                            <a:ext cx="8924" cy="1431"/>
                          </a:xfrm>
                          <a:prstGeom prst="rect">
                            <a:avLst/>
                          </a:prstGeom>
                          <a:noFill/>
                          <a:ln>
                            <a:noFill/>
                          </a:ln>
                          <a:effectLst/>
                        </wps:spPr>
                        <wps:txbx>
                          <w:txbxContent>
                            <w:p w14:paraId="6EA531CD">
                              <w:pPr>
                                <w:spacing w:line="285" w:lineRule="auto"/>
                                <w:ind w:right="16"/>
                                <w:jc w:val="both"/>
                              </w:pPr>
                              <w:r>
                                <w:rPr>
                                  <w:color w:val="202024"/>
                                </w:rPr>
                                <w:t>The</w:t>
                              </w:r>
                              <w:r>
                                <w:rPr>
                                  <w:color w:val="202024"/>
                                  <w:spacing w:val="8"/>
                                </w:rPr>
                                <w:t xml:space="preserve"> </w:t>
                              </w:r>
                              <w:r>
                                <w:rPr>
                                  <w:color w:val="202024"/>
                                </w:rPr>
                                <w:t>piecemeal</w:t>
                              </w:r>
                              <w:r>
                                <w:rPr>
                                  <w:color w:val="202024"/>
                                  <w:spacing w:val="9"/>
                                </w:rPr>
                                <w:t xml:space="preserve"> </w:t>
                              </w:r>
                              <w:r>
                                <w:rPr>
                                  <w:color w:val="202024"/>
                                </w:rPr>
                                <w:t>amendment</w:t>
                              </w:r>
                              <w:r>
                                <w:rPr>
                                  <w:color w:val="202024"/>
                                  <w:spacing w:val="8"/>
                                </w:rPr>
                                <w:t xml:space="preserve"> </w:t>
                              </w:r>
                              <w:r>
                                <w:rPr>
                                  <w:color w:val="202024"/>
                                </w:rPr>
                                <w:t>to</w:t>
                              </w:r>
                              <w:r>
                                <w:rPr>
                                  <w:color w:val="202024"/>
                                  <w:spacing w:val="9"/>
                                </w:rPr>
                                <w:t xml:space="preserve"> </w:t>
                              </w:r>
                              <w:r>
                                <w:rPr>
                                  <w:color w:val="202024"/>
                                </w:rPr>
                                <w:t>the</w:t>
                              </w:r>
                              <w:r>
                                <w:rPr>
                                  <w:color w:val="202024"/>
                                  <w:spacing w:val="9"/>
                                </w:rPr>
                                <w:t xml:space="preserve"> </w:t>
                              </w:r>
                              <w:r>
                                <w:rPr>
                                  <w:color w:val="202024"/>
                                </w:rPr>
                                <w:t>PPTA</w:t>
                              </w:r>
                              <w:r>
                                <w:rPr>
                                  <w:color w:val="202024"/>
                                  <w:spacing w:val="8"/>
                                </w:rPr>
                                <w:t xml:space="preserve"> </w:t>
                              </w:r>
                              <w:r>
                                <w:rPr>
                                  <w:color w:val="202024"/>
                                </w:rPr>
                                <w:t>often</w:t>
                              </w:r>
                              <w:r>
                                <w:rPr>
                                  <w:color w:val="202024"/>
                                  <w:spacing w:val="9"/>
                                </w:rPr>
                                <w:t xml:space="preserve"> </w:t>
                              </w:r>
                              <w:r>
                                <w:rPr>
                                  <w:color w:val="202024"/>
                                </w:rPr>
                                <w:t>complicates</w:t>
                              </w:r>
                              <w:r>
                                <w:rPr>
                                  <w:color w:val="202024"/>
                                  <w:spacing w:val="8"/>
                                </w:rPr>
                                <w:t xml:space="preserve"> </w:t>
                              </w:r>
                              <w:r>
                                <w:rPr>
                                  <w:color w:val="202024"/>
                                </w:rPr>
                                <w:t>a</w:t>
                              </w:r>
                              <w:r>
                                <w:rPr>
                                  <w:color w:val="202024"/>
                                  <w:spacing w:val="9"/>
                                </w:rPr>
                                <w:t xml:space="preserve"> </w:t>
                              </w:r>
                              <w:r>
                                <w:rPr>
                                  <w:color w:val="202024"/>
                                </w:rPr>
                                <w:t>thorough</w:t>
                              </w:r>
                              <w:r>
                                <w:rPr>
                                  <w:color w:val="202024"/>
                                  <w:spacing w:val="9"/>
                                </w:rPr>
                                <w:t xml:space="preserve"> </w:t>
                              </w:r>
                              <w:r>
                                <w:rPr>
                                  <w:color w:val="202024"/>
                                </w:rPr>
                                <w:t>and</w:t>
                              </w:r>
                              <w:r>
                                <w:rPr>
                                  <w:color w:val="202024"/>
                                  <w:spacing w:val="8"/>
                                </w:rPr>
                                <w:t xml:space="preserve"> </w:t>
                              </w:r>
                              <w:r>
                                <w:rPr>
                                  <w:color w:val="202024"/>
                                </w:rPr>
                                <w:t>exhaustive</w:t>
                              </w:r>
                              <w:r>
                                <w:rPr>
                                  <w:color w:val="202024"/>
                                  <w:spacing w:val="1"/>
                                </w:rPr>
                                <w:t xml:space="preserve"> </w:t>
                              </w:r>
                              <w:r>
                                <w:rPr>
                                  <w:color w:val="202024"/>
                                </w:rPr>
                                <w:t>understanding</w:t>
                              </w:r>
                              <w:r>
                                <w:rPr>
                                  <w:color w:val="202024"/>
                                  <w:spacing w:val="7"/>
                                </w:rPr>
                                <w:t xml:space="preserve"> </w:t>
                              </w:r>
                              <w:r>
                                <w:rPr>
                                  <w:color w:val="202024"/>
                                </w:rPr>
                                <w:t>of</w:t>
                              </w:r>
                              <w:r>
                                <w:rPr>
                                  <w:color w:val="202024"/>
                                  <w:spacing w:val="7"/>
                                </w:rPr>
                                <w:t xml:space="preserve"> </w:t>
                              </w:r>
                              <w:r>
                                <w:rPr>
                                  <w:color w:val="202024"/>
                                </w:rPr>
                                <w:t>the</w:t>
                              </w:r>
                              <w:r>
                                <w:rPr>
                                  <w:color w:val="202024"/>
                                  <w:spacing w:val="8"/>
                                </w:rPr>
                                <w:t xml:space="preserve"> </w:t>
                              </w:r>
                              <w:r>
                                <w:rPr>
                                  <w:color w:val="202024"/>
                                </w:rPr>
                                <w:t>petroleum</w:t>
                              </w:r>
                              <w:r>
                                <w:rPr>
                                  <w:color w:val="202024"/>
                                  <w:spacing w:val="7"/>
                                </w:rPr>
                                <w:t xml:space="preserve"> </w:t>
                              </w:r>
                              <w:r>
                                <w:rPr>
                                  <w:color w:val="202024"/>
                                </w:rPr>
                                <w:t>taxes-</w:t>
                              </w:r>
                              <w:r>
                                <w:rPr>
                                  <w:color w:val="202024"/>
                                  <w:spacing w:val="8"/>
                                </w:rPr>
                                <w:t xml:space="preserve"> </w:t>
                              </w:r>
                              <w:r>
                                <w:rPr>
                                  <w:color w:val="202024"/>
                                </w:rPr>
                                <w:t>the</w:t>
                              </w:r>
                              <w:r>
                                <w:rPr>
                                  <w:color w:val="202024"/>
                                  <w:spacing w:val="7"/>
                                </w:rPr>
                                <w:t xml:space="preserve"> </w:t>
                              </w:r>
                              <w:r>
                                <w:rPr>
                                  <w:color w:val="202024"/>
                                </w:rPr>
                                <w:t>result</w:t>
                              </w:r>
                              <w:r>
                                <w:rPr>
                                  <w:color w:val="202024"/>
                                  <w:spacing w:val="8"/>
                                </w:rPr>
                                <w:t xml:space="preserve"> </w:t>
                              </w:r>
                              <w:r>
                                <w:rPr>
                                  <w:color w:val="202024"/>
                                </w:rPr>
                                <w:t>being</w:t>
                              </w:r>
                              <w:r>
                                <w:rPr>
                                  <w:color w:val="202024"/>
                                  <w:spacing w:val="7"/>
                                </w:rPr>
                                <w:t xml:space="preserve"> </w:t>
                              </w:r>
                              <w:r>
                                <w:rPr>
                                  <w:color w:val="202024"/>
                                </w:rPr>
                                <w:t>that</w:t>
                              </w:r>
                              <w:r>
                                <w:rPr>
                                  <w:color w:val="202024"/>
                                  <w:spacing w:val="8"/>
                                </w:rPr>
                                <w:t xml:space="preserve"> </w:t>
                              </w:r>
                              <w:r>
                                <w:rPr>
                                  <w:color w:val="202024"/>
                                </w:rPr>
                                <w:t>the</w:t>
                              </w:r>
                              <w:r>
                                <w:rPr>
                                  <w:color w:val="202024"/>
                                  <w:spacing w:val="7"/>
                                </w:rPr>
                                <w:t xml:space="preserve"> </w:t>
                              </w:r>
                              <w:r>
                                <w:rPr>
                                  <w:color w:val="202024"/>
                                </w:rPr>
                                <w:t>taxpayers</w:t>
                              </w:r>
                              <w:r>
                                <w:rPr>
                                  <w:color w:val="202024"/>
                                  <w:spacing w:val="7"/>
                                </w:rPr>
                                <w:t xml:space="preserve"> </w:t>
                              </w:r>
                              <w:r>
                                <w:rPr>
                                  <w:color w:val="202024"/>
                                </w:rPr>
                                <w:t>often</w:t>
                              </w:r>
                              <w:r>
                                <w:rPr>
                                  <w:color w:val="202024"/>
                                  <w:spacing w:val="8"/>
                                </w:rPr>
                                <w:t xml:space="preserve"> </w:t>
                              </w:r>
                              <w:r>
                                <w:rPr>
                                  <w:color w:val="202024"/>
                                </w:rPr>
                                <w:t>wage</w:t>
                              </w:r>
                              <w:r>
                                <w:rPr>
                                  <w:color w:val="202024"/>
                                  <w:spacing w:val="7"/>
                                </w:rPr>
                                <w:t xml:space="preserve"> </w:t>
                              </w:r>
                              <w:r>
                                <w:rPr>
                                  <w:color w:val="202024"/>
                                </w:rPr>
                                <w:t>through</w:t>
                              </w:r>
                              <w:r>
                                <w:rPr>
                                  <w:color w:val="202024"/>
                                  <w:spacing w:val="-49"/>
                                </w:rPr>
                                <w:t xml:space="preserve"> </w:t>
                              </w:r>
                              <w:r>
                                <w:rPr>
                                  <w:color w:val="202024"/>
                                </w:rPr>
                                <w:t>numerous</w:t>
                              </w:r>
                              <w:r>
                                <w:rPr>
                                  <w:color w:val="202024"/>
                                  <w:spacing w:val="7"/>
                                </w:rPr>
                                <w:t xml:space="preserve"> </w:t>
                              </w:r>
                              <w:r>
                                <w:rPr>
                                  <w:color w:val="202024"/>
                                </w:rPr>
                                <w:t>documents</w:t>
                              </w:r>
                              <w:r>
                                <w:rPr>
                                  <w:color w:val="202024"/>
                                  <w:spacing w:val="7"/>
                                </w:rPr>
                                <w:t xml:space="preserve"> </w:t>
                              </w:r>
                              <w:r>
                                <w:rPr>
                                  <w:color w:val="202024"/>
                                </w:rPr>
                                <w:t>to</w:t>
                              </w:r>
                              <w:r>
                                <w:rPr>
                                  <w:color w:val="202024"/>
                                  <w:spacing w:val="8"/>
                                </w:rPr>
                                <w:t xml:space="preserve"> </w:t>
                              </w:r>
                              <w:r>
                                <w:rPr>
                                  <w:color w:val="202024"/>
                                </w:rPr>
                                <w:t>figure</w:t>
                              </w:r>
                              <w:r>
                                <w:rPr>
                                  <w:color w:val="202024"/>
                                  <w:spacing w:val="7"/>
                                </w:rPr>
                                <w:t xml:space="preserve"> </w:t>
                              </w:r>
                              <w:r>
                                <w:rPr>
                                  <w:color w:val="202024"/>
                                </w:rPr>
                                <w:t>out</w:t>
                              </w:r>
                              <w:r>
                                <w:rPr>
                                  <w:color w:val="202024"/>
                                  <w:spacing w:val="7"/>
                                </w:rPr>
                                <w:t xml:space="preserve"> </w:t>
                              </w:r>
                              <w:r>
                                <w:rPr>
                                  <w:color w:val="202024"/>
                                </w:rPr>
                                <w:t>the</w:t>
                              </w:r>
                              <w:r>
                                <w:rPr>
                                  <w:color w:val="202024"/>
                                  <w:spacing w:val="8"/>
                                </w:rPr>
                                <w:t xml:space="preserve"> </w:t>
                              </w:r>
                              <w:r>
                                <w:rPr>
                                  <w:color w:val="202024"/>
                                </w:rPr>
                                <w:t>current</w:t>
                              </w:r>
                              <w:r>
                                <w:rPr>
                                  <w:color w:val="202024"/>
                                  <w:spacing w:val="7"/>
                                </w:rPr>
                                <w:t xml:space="preserve"> </w:t>
                              </w:r>
                              <w:r>
                                <w:rPr>
                                  <w:color w:val="202024"/>
                                </w:rPr>
                                <w:t>tax</w:t>
                              </w:r>
                              <w:r>
                                <w:rPr>
                                  <w:color w:val="202024"/>
                                  <w:spacing w:val="7"/>
                                </w:rPr>
                                <w:t xml:space="preserve"> </w:t>
                              </w:r>
                              <w:r>
                                <w:rPr>
                                  <w:color w:val="202024"/>
                                </w:rPr>
                                <w:t>position.</w:t>
                              </w:r>
                              <w:r>
                                <w:rPr>
                                  <w:color w:val="202024"/>
                                  <w:spacing w:val="8"/>
                                </w:rPr>
                                <w:t xml:space="preserve"> </w:t>
                              </w:r>
                              <w:r>
                                <w:rPr>
                                  <w:color w:val="202024"/>
                                </w:rPr>
                                <w:t>It</w:t>
                              </w:r>
                              <w:r>
                                <w:rPr>
                                  <w:color w:val="202024"/>
                                  <w:spacing w:val="7"/>
                                </w:rPr>
                                <w:t xml:space="preserve"> </w:t>
                              </w:r>
                              <w:r>
                                <w:rPr>
                                  <w:color w:val="202024"/>
                                </w:rPr>
                                <w:t>is</w:t>
                              </w:r>
                              <w:r>
                                <w:rPr>
                                  <w:color w:val="202024"/>
                                  <w:spacing w:val="7"/>
                                </w:rPr>
                                <w:t xml:space="preserve"> </w:t>
                              </w:r>
                              <w:r>
                                <w:rPr>
                                  <w:color w:val="202024"/>
                                </w:rPr>
                                <w:t>thus</w:t>
                              </w:r>
                              <w:r>
                                <w:rPr>
                                  <w:color w:val="202024"/>
                                  <w:spacing w:val="8"/>
                                </w:rPr>
                                <w:t xml:space="preserve"> </w:t>
                              </w:r>
                              <w:r>
                                <w:rPr>
                                  <w:color w:val="202024"/>
                                </w:rPr>
                                <w:t>critical</w:t>
                              </w:r>
                              <w:r>
                                <w:rPr>
                                  <w:color w:val="202024"/>
                                  <w:spacing w:val="7"/>
                                </w:rPr>
                                <w:t xml:space="preserve"> </w:t>
                              </w:r>
                              <w:r>
                                <w:rPr>
                                  <w:color w:val="202024"/>
                                </w:rPr>
                                <w:t>to</w:t>
                              </w:r>
                              <w:r>
                                <w:rPr>
                                  <w:color w:val="202024"/>
                                  <w:spacing w:val="7"/>
                                </w:rPr>
                                <w:t xml:space="preserve"> </w:t>
                              </w:r>
                              <w:r>
                                <w:rPr>
                                  <w:color w:val="202024"/>
                                </w:rPr>
                                <w:t>avoid</w:t>
                              </w:r>
                              <w:r>
                                <w:rPr>
                                  <w:color w:val="202024"/>
                                  <w:spacing w:val="8"/>
                                </w:rPr>
                                <w:t xml:space="preserve"> </w:t>
                              </w:r>
                              <w:r>
                                <w:rPr>
                                  <w:color w:val="202024"/>
                                </w:rPr>
                                <w:t>such</w:t>
                              </w:r>
                            </w:p>
                            <w:p w14:paraId="527487B2">
                              <w:pPr>
                                <w:spacing w:line="251" w:lineRule="exact"/>
                                <w:jc w:val="both"/>
                              </w:pPr>
                              <w:r>
                                <w:rPr>
                                  <w:color w:val="202024"/>
                                </w:rPr>
                                <w:t>piecemeal</w:t>
                              </w:r>
                              <w:r>
                                <w:rPr>
                                  <w:color w:val="202024"/>
                                  <w:spacing w:val="13"/>
                                </w:rPr>
                                <w:t xml:space="preserve"> </w:t>
                              </w:r>
                              <w:r>
                                <w:rPr>
                                  <w:color w:val="202024"/>
                                </w:rPr>
                                <w:t>amendments</w:t>
                              </w:r>
                              <w:r>
                                <w:rPr>
                                  <w:color w:val="202024"/>
                                  <w:spacing w:val="13"/>
                                </w:rPr>
                                <w:t xml:space="preserve"> </w:t>
                              </w:r>
                              <w:r>
                                <w:rPr>
                                  <w:color w:val="202024"/>
                                </w:rPr>
                                <w:t>and</w:t>
                              </w:r>
                              <w:r>
                                <w:rPr>
                                  <w:color w:val="202024"/>
                                  <w:spacing w:val="13"/>
                                </w:rPr>
                                <w:t xml:space="preserve"> </w:t>
                              </w:r>
                              <w:r>
                                <w:rPr>
                                  <w:color w:val="202024"/>
                                </w:rPr>
                                <w:t>make</w:t>
                              </w:r>
                              <w:r>
                                <w:rPr>
                                  <w:color w:val="202024"/>
                                  <w:spacing w:val="13"/>
                                </w:rPr>
                                <w:t xml:space="preserve"> </w:t>
                              </w:r>
                              <w:r>
                                <w:rPr>
                                  <w:color w:val="202024"/>
                                </w:rPr>
                                <w:t>a</w:t>
                              </w:r>
                              <w:r>
                                <w:rPr>
                                  <w:color w:val="202024"/>
                                  <w:spacing w:val="13"/>
                                </w:rPr>
                                <w:t xml:space="preserve"> </w:t>
                              </w:r>
                              <w:r>
                                <w:rPr>
                                  <w:color w:val="202024"/>
                                </w:rPr>
                                <w:t>uniform,</w:t>
                              </w:r>
                              <w:r>
                                <w:rPr>
                                  <w:color w:val="202024"/>
                                  <w:spacing w:val="13"/>
                                </w:rPr>
                                <w:t xml:space="preserve"> </w:t>
                              </w:r>
                              <w:r>
                                <w:rPr>
                                  <w:color w:val="202024"/>
                                </w:rPr>
                                <w:t>joint</w:t>
                              </w:r>
                              <w:r>
                                <w:rPr>
                                  <w:color w:val="202024"/>
                                  <w:spacing w:val="13"/>
                                </w:rPr>
                                <w:t xml:space="preserve"> </w:t>
                              </w:r>
                              <w:r>
                                <w:rPr>
                                  <w:color w:val="202024"/>
                                </w:rPr>
                                <w:t>amendment</w:t>
                              </w:r>
                              <w:r>
                                <w:rPr>
                                  <w:color w:val="202024"/>
                                  <w:spacing w:val="13"/>
                                </w:rPr>
                                <w:t xml:space="preserve"> </w:t>
                              </w:r>
                              <w:r>
                                <w:rPr>
                                  <w:color w:val="202024"/>
                                </w:rPr>
                                <w:t>to</w:t>
                              </w:r>
                              <w:r>
                                <w:rPr>
                                  <w:color w:val="202024"/>
                                  <w:spacing w:val="14"/>
                                </w:rPr>
                                <w:t xml:space="preserve"> </w:t>
                              </w:r>
                              <w:r>
                                <w:rPr>
                                  <w:color w:val="202024"/>
                                </w:rPr>
                                <w:t>the</w:t>
                              </w:r>
                              <w:r>
                                <w:rPr>
                                  <w:color w:val="202024"/>
                                  <w:spacing w:val="13"/>
                                </w:rPr>
                                <w:t xml:space="preserve"> </w:t>
                              </w:r>
                              <w:r>
                                <w:rPr>
                                  <w:color w:val="202024"/>
                                </w:rPr>
                                <w:t>legislation.</w:t>
                              </w:r>
                            </w:p>
                          </w:txbxContent>
                        </wps:txbx>
                        <wps:bodyPr rot="0" vert="horz" wrap="square" lIns="0" tIns="0" rIns="0" bIns="0" anchor="t" anchorCtr="0" upright="1">
                          <a:noAutofit/>
                        </wps:bodyPr>
                      </wps:wsp>
                      <wps:wsp>
                        <wps:cNvPr id="1539874259" name="Text Box 242"/>
                        <wps:cNvSpPr txBox="1">
                          <a:spLocks noChangeArrowheads="1"/>
                        </wps:cNvSpPr>
                        <wps:spPr bwMode="auto">
                          <a:xfrm>
                            <a:off x="1312" y="-2182"/>
                            <a:ext cx="492" cy="247"/>
                          </a:xfrm>
                          <a:prstGeom prst="rect">
                            <a:avLst/>
                          </a:prstGeom>
                          <a:noFill/>
                          <a:ln>
                            <a:noFill/>
                          </a:ln>
                          <a:effectLst/>
                        </wps:spPr>
                        <wps:txbx>
                          <w:txbxContent>
                            <w:p w14:paraId="5888257E">
                              <w:pPr>
                                <w:spacing w:line="246" w:lineRule="exact"/>
                                <w:rPr>
                                  <w:sz w:val="21"/>
                                </w:rPr>
                              </w:pPr>
                              <w:r>
                                <w:rPr>
                                  <w:color w:val="202024"/>
                                  <w:sz w:val="21"/>
                                </w:rPr>
                                <w:t>none</w:t>
                              </w:r>
                            </w:p>
                          </w:txbxContent>
                        </wps:txbx>
                        <wps:bodyPr rot="0" vert="horz" wrap="square" lIns="0" tIns="0" rIns="0" bIns="0" anchor="t" anchorCtr="0" upright="1">
                          <a:noAutofit/>
                        </wps:bodyPr>
                      </wps:wsp>
                      <wps:wsp>
                        <wps:cNvPr id="1056002737" name="Text Box 241"/>
                        <wps:cNvSpPr txBox="1">
                          <a:spLocks noChangeArrowheads="1"/>
                        </wps:cNvSpPr>
                        <wps:spPr bwMode="auto">
                          <a:xfrm>
                            <a:off x="1312" y="-1522"/>
                            <a:ext cx="8277" cy="930"/>
                          </a:xfrm>
                          <a:prstGeom prst="rect">
                            <a:avLst/>
                          </a:prstGeom>
                          <a:noFill/>
                          <a:ln>
                            <a:noFill/>
                          </a:ln>
                          <a:effectLst/>
                        </wps:spPr>
                        <wps:txbx>
                          <w:txbxContent>
                            <w:p w14:paraId="50ED634E">
                              <w:pPr>
                                <w:spacing w:line="247" w:lineRule="exact"/>
                              </w:pPr>
                              <w:r>
                                <w:rPr>
                                  <w:color w:val="202024"/>
                                </w:rPr>
                                <w:t>in</w:t>
                              </w:r>
                              <w:r>
                                <w:rPr>
                                  <w:color w:val="202024"/>
                                  <w:spacing w:val="10"/>
                                </w:rPr>
                                <w:t xml:space="preserve"> </w:t>
                              </w:r>
                              <w:r>
                                <w:rPr>
                                  <w:color w:val="202024"/>
                                </w:rPr>
                                <w:t>some</w:t>
                              </w:r>
                              <w:r>
                                <w:rPr>
                                  <w:color w:val="202024"/>
                                  <w:spacing w:val="10"/>
                                </w:rPr>
                                <w:t xml:space="preserve"> </w:t>
                              </w:r>
                              <w:r>
                                <w:rPr>
                                  <w:color w:val="202024"/>
                                </w:rPr>
                                <w:t>cases</w:t>
                              </w:r>
                              <w:r>
                                <w:rPr>
                                  <w:color w:val="202024"/>
                                  <w:spacing w:val="11"/>
                                </w:rPr>
                                <w:t xml:space="preserve"> </w:t>
                              </w:r>
                              <w:r>
                                <w:rPr>
                                  <w:color w:val="202024"/>
                                </w:rPr>
                                <w:t>the</w:t>
                              </w:r>
                              <w:r>
                                <w:rPr>
                                  <w:color w:val="202024"/>
                                  <w:spacing w:val="10"/>
                                </w:rPr>
                                <w:t xml:space="preserve"> </w:t>
                              </w:r>
                              <w:r>
                                <w:rPr>
                                  <w:color w:val="202024"/>
                                </w:rPr>
                                <w:t>ad-hoc</w:t>
                              </w:r>
                              <w:r>
                                <w:rPr>
                                  <w:color w:val="202024"/>
                                  <w:spacing w:val="10"/>
                                </w:rPr>
                                <w:t xml:space="preserve"> </w:t>
                              </w:r>
                              <w:r>
                                <w:rPr>
                                  <w:color w:val="202024"/>
                                </w:rPr>
                                <w:t>fiscal</w:t>
                              </w:r>
                              <w:r>
                                <w:rPr>
                                  <w:color w:val="202024"/>
                                  <w:spacing w:val="11"/>
                                </w:rPr>
                                <w:t xml:space="preserve"> </w:t>
                              </w:r>
                              <w:r>
                                <w:rPr>
                                  <w:color w:val="202024"/>
                                </w:rPr>
                                <w:t>incentives</w:t>
                              </w:r>
                              <w:r>
                                <w:rPr>
                                  <w:color w:val="202024"/>
                                  <w:spacing w:val="10"/>
                                </w:rPr>
                                <w:t xml:space="preserve"> </w:t>
                              </w:r>
                              <w:r>
                                <w:rPr>
                                  <w:color w:val="202024"/>
                                </w:rPr>
                                <w:t>are</w:t>
                              </w:r>
                              <w:r>
                                <w:rPr>
                                  <w:color w:val="202024"/>
                                  <w:spacing w:val="10"/>
                                </w:rPr>
                                <w:t xml:space="preserve"> </w:t>
                              </w:r>
                              <w:r>
                                <w:rPr>
                                  <w:color w:val="202024"/>
                                </w:rPr>
                                <w:t>couched</w:t>
                              </w:r>
                              <w:r>
                                <w:rPr>
                                  <w:color w:val="202024"/>
                                  <w:spacing w:val="11"/>
                                </w:rPr>
                                <w:t xml:space="preserve"> </w:t>
                              </w:r>
                              <w:r>
                                <w:rPr>
                                  <w:color w:val="202024"/>
                                </w:rPr>
                                <w:t>in</w:t>
                              </w:r>
                              <w:r>
                                <w:rPr>
                                  <w:color w:val="202024"/>
                                  <w:spacing w:val="10"/>
                                </w:rPr>
                                <w:t xml:space="preserve"> </w:t>
                              </w:r>
                              <w:r>
                                <w:rPr>
                                  <w:color w:val="202024"/>
                                </w:rPr>
                                <w:t>sophisticated</w:t>
                              </w:r>
                              <w:r>
                                <w:rPr>
                                  <w:color w:val="202024"/>
                                  <w:spacing w:val="10"/>
                                </w:rPr>
                                <w:t xml:space="preserve"> </w:t>
                              </w:r>
                              <w:r>
                                <w:rPr>
                                  <w:color w:val="202024"/>
                                </w:rPr>
                                <w:t>mathematical</w:t>
                              </w:r>
                            </w:p>
                            <w:p w14:paraId="3E077F61">
                              <w:pPr>
                                <w:spacing w:before="48" w:line="251" w:lineRule="exact"/>
                              </w:pPr>
                              <w:r>
                                <w:rPr>
                                  <w:color w:val="202024"/>
                                </w:rPr>
                                <w:t>template</w:t>
                              </w:r>
                              <w:r>
                                <w:rPr>
                                  <w:color w:val="202024"/>
                                  <w:spacing w:val="11"/>
                                </w:rPr>
                                <w:t xml:space="preserve"> </w:t>
                              </w:r>
                              <w:r>
                                <w:rPr>
                                  <w:color w:val="202024"/>
                                </w:rPr>
                                <w:t>that</w:t>
                              </w:r>
                              <w:r>
                                <w:rPr>
                                  <w:color w:val="202024"/>
                                  <w:spacing w:val="11"/>
                                </w:rPr>
                                <w:t xml:space="preserve"> </w:t>
                              </w:r>
                              <w:r>
                                <w:rPr>
                                  <w:color w:val="202024"/>
                                </w:rPr>
                                <w:t>do</w:t>
                              </w:r>
                              <w:r>
                                <w:rPr>
                                  <w:color w:val="202024"/>
                                  <w:spacing w:val="11"/>
                                </w:rPr>
                                <w:t xml:space="preserve"> </w:t>
                              </w:r>
                              <w:r>
                                <w:rPr>
                                  <w:color w:val="202024"/>
                                </w:rPr>
                                <w:t>not</w:t>
                              </w:r>
                              <w:r>
                                <w:rPr>
                                  <w:color w:val="202024"/>
                                  <w:spacing w:val="12"/>
                                </w:rPr>
                                <w:t xml:space="preserve"> </w:t>
                              </w:r>
                              <w:r>
                                <w:rPr>
                                  <w:color w:val="202024"/>
                                </w:rPr>
                                <w:t>lead</w:t>
                              </w:r>
                              <w:r>
                                <w:rPr>
                                  <w:color w:val="202024"/>
                                  <w:spacing w:val="11"/>
                                </w:rPr>
                                <w:t xml:space="preserve"> </w:t>
                              </w:r>
                              <w:r>
                                <w:rPr>
                                  <w:color w:val="202024"/>
                                </w:rPr>
                                <w:t>to</w:t>
                              </w:r>
                              <w:r>
                                <w:rPr>
                                  <w:color w:val="202024"/>
                                  <w:spacing w:val="11"/>
                                </w:rPr>
                                <w:t xml:space="preserve"> </w:t>
                              </w:r>
                              <w:r>
                                <w:rPr>
                                  <w:color w:val="202024"/>
                                </w:rPr>
                                <w:t>ease</w:t>
                              </w:r>
                              <w:r>
                                <w:rPr>
                                  <w:color w:val="202024"/>
                                  <w:spacing w:val="12"/>
                                </w:rPr>
                                <w:t xml:space="preserve"> </w:t>
                              </w:r>
                              <w:r>
                                <w:rPr>
                                  <w:color w:val="202024"/>
                                </w:rPr>
                                <w:t>of</w:t>
                              </w:r>
                              <w:r>
                                <w:rPr>
                                  <w:color w:val="202024"/>
                                  <w:spacing w:val="11"/>
                                </w:rPr>
                                <w:t xml:space="preserve"> </w:t>
                              </w:r>
                              <w:r>
                                <w:rPr>
                                  <w:color w:val="202024"/>
                                </w:rPr>
                                <w:t>understanding</w:t>
                              </w:r>
                              <w:r>
                                <w:rPr>
                                  <w:color w:val="202024"/>
                                  <w:spacing w:val="11"/>
                                </w:rPr>
                                <w:t xml:space="preserve"> </w:t>
                              </w:r>
                              <w:r>
                                <w:rPr>
                                  <w:color w:val="202024"/>
                                </w:rPr>
                                <w:t>for</w:t>
                              </w:r>
                              <w:r>
                                <w:rPr>
                                  <w:color w:val="202024"/>
                                  <w:spacing w:val="11"/>
                                </w:rPr>
                                <w:t xml:space="preserve"> </w:t>
                              </w:r>
                              <w:r>
                                <w:rPr>
                                  <w:color w:val="202024"/>
                                </w:rPr>
                                <w:t>most</w:t>
                              </w:r>
                              <w:r>
                                <w:rPr>
                                  <w:color w:val="202024"/>
                                  <w:spacing w:val="12"/>
                                </w:rPr>
                                <w:t xml:space="preserve"> </w:t>
                              </w:r>
                              <w:r>
                                <w:rPr>
                                  <w:color w:val="202024"/>
                                </w:rPr>
                                <w:t>tax</w:t>
                              </w:r>
                              <w:r>
                                <w:rPr>
                                  <w:color w:val="202024"/>
                                  <w:spacing w:val="11"/>
                                </w:rPr>
                                <w:t xml:space="preserve"> </w:t>
                              </w:r>
                              <w:r>
                                <w:rPr>
                                  <w:color w:val="202024"/>
                                </w:rPr>
                                <w:t>professionals</w:t>
                              </w:r>
                            </w:p>
                          </w:txbxContent>
                        </wps:txbx>
                        <wps:bodyPr rot="0" vert="horz" wrap="square" lIns="0" tIns="0" rIns="0" bIns="0" anchor="t" anchorCtr="0" upright="1">
                          <a:noAutofit/>
                        </wps:bodyPr>
                      </wps:wsp>
                      <wps:wsp>
                        <wps:cNvPr id="1781425345" name="Text Box 240"/>
                        <wps:cNvSpPr txBox="1">
                          <a:spLocks noChangeArrowheads="1"/>
                        </wps:cNvSpPr>
                        <wps:spPr bwMode="auto">
                          <a:xfrm>
                            <a:off x="1312" y="-562"/>
                            <a:ext cx="4738" cy="247"/>
                          </a:xfrm>
                          <a:prstGeom prst="rect">
                            <a:avLst/>
                          </a:prstGeom>
                          <a:noFill/>
                          <a:ln>
                            <a:noFill/>
                          </a:ln>
                          <a:effectLst/>
                        </wps:spPr>
                        <wps:txbx>
                          <w:txbxContent>
                            <w:p w14:paraId="7F1044D4">
                              <w:pPr>
                                <w:spacing w:line="246" w:lineRule="exact"/>
                              </w:pPr>
                              <w:r>
                                <w:rPr>
                                  <w:color w:val="202024"/>
                                </w:rPr>
                                <w:t>adhoc</w:t>
                              </w:r>
                              <w:r>
                                <w:rPr>
                                  <w:color w:val="202024"/>
                                  <w:spacing w:val="10"/>
                                </w:rPr>
                                <w:t xml:space="preserve"> </w:t>
                              </w:r>
                              <w:r>
                                <w:rPr>
                                  <w:color w:val="202024"/>
                                </w:rPr>
                                <w:t>policies</w:t>
                              </w:r>
                              <w:r>
                                <w:rPr>
                                  <w:color w:val="202024"/>
                                  <w:spacing w:val="11"/>
                                </w:rPr>
                                <w:t xml:space="preserve"> </w:t>
                              </w:r>
                              <w:r>
                                <w:rPr>
                                  <w:color w:val="202024"/>
                                </w:rPr>
                                <w:t>are</w:t>
                              </w:r>
                              <w:r>
                                <w:rPr>
                                  <w:color w:val="202024"/>
                                  <w:spacing w:val="11"/>
                                </w:rPr>
                                <w:t xml:space="preserve"> </w:t>
                              </w:r>
                              <w:r>
                                <w:rPr>
                                  <w:color w:val="202024"/>
                                </w:rPr>
                                <w:t>often</w:t>
                              </w:r>
                              <w:r>
                                <w:rPr>
                                  <w:color w:val="202024"/>
                                  <w:spacing w:val="11"/>
                                </w:rPr>
                                <w:t xml:space="preserve"> </w:t>
                              </w:r>
                              <w:r>
                                <w:rPr>
                                  <w:color w:val="202024"/>
                                </w:rPr>
                                <w:t>in</w:t>
                              </w:r>
                              <w:r>
                                <w:rPr>
                                  <w:color w:val="202024"/>
                                  <w:spacing w:val="11"/>
                                </w:rPr>
                                <w:t xml:space="preserve"> </w:t>
                              </w:r>
                              <w:r>
                                <w:rPr>
                                  <w:color w:val="202024"/>
                                </w:rPr>
                                <w:t>conflict</w:t>
                              </w:r>
                              <w:r>
                                <w:rPr>
                                  <w:color w:val="202024"/>
                                  <w:spacing w:val="11"/>
                                </w:rPr>
                                <w:t xml:space="preserve"> </w:t>
                              </w:r>
                              <w:r>
                                <w:rPr>
                                  <w:color w:val="202024"/>
                                </w:rPr>
                                <w:t>with</w:t>
                              </w:r>
                              <w:r>
                                <w:rPr>
                                  <w:color w:val="202024"/>
                                  <w:spacing w:val="11"/>
                                </w:rPr>
                                <w:t xml:space="preserve"> </w:t>
                              </w:r>
                              <w:r>
                                <w:rPr>
                                  <w:color w:val="202024"/>
                                </w:rPr>
                                <w:t>the</w:t>
                              </w:r>
                              <w:r>
                                <w:rPr>
                                  <w:color w:val="202024"/>
                                  <w:spacing w:val="11"/>
                                </w:rPr>
                                <w:t xml:space="preserve"> </w:t>
                              </w:r>
                              <w:r>
                                <w:rPr>
                                  <w:color w:val="202024"/>
                                </w:rPr>
                                <w:t>PPTA</w:t>
                              </w:r>
                            </w:p>
                          </w:txbxContent>
                        </wps:txbx>
                        <wps:bodyPr rot="0" vert="horz" wrap="square" lIns="0" tIns="0" rIns="0" bIns="0" anchor="t" anchorCtr="0" upright="1">
                          <a:noAutofit/>
                        </wps:bodyPr>
                      </wps:wsp>
                    </wpg:wgp>
                  </a:graphicData>
                </a:graphic>
              </wp:anchor>
            </w:drawing>
          </mc:Choice>
          <mc:Fallback>
            <w:pict>
              <v:group id="Group 239" o:spid="_x0000_s1026" o:spt="203" style="position:absolute;left:0pt;margin-left:57.6pt;margin-top:5.75pt;height:282.8pt;width:480pt;mso-position-horizontal-relative:page;z-index:251704320;mso-width-relative:page;mso-height-relative:page;" coordorigin="1154,-5767" coordsize="9600,5656" o:gfxdata="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">
                <o:lock v:ext="edit" aspectratio="f"/>
                <v:shape id="Freeform 246" o:spid="_x0000_s1026" o:spt="100" style="position:absolute;left:1154;top:-5767;height:5656;width:9600;" fillcolor="#D9DBDF" filled="t" stroked="f" coordsize="9600,5656" o:gfxdata="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XKPzkscAAADjAAAADwAAAAAAAAABACAAAAAiAAAAZHJzL2Rvd25yZXYueG1sUEsBAhQAFAAA&#10;AAgAh07iQDMvBZ47AAAAOQAAABAAAAAAAAAAAQAgAAAAFgEAAGRycy9zaGFwZXhtbC54bWxQSwUG&#10;AAAAAAYABgBbAQAAwAMAAAAA&#10;" path="m9600,0l9585,0,9585,5535,9584,5545,9561,5602,9553,5610,9490,5640,9480,5640,120,5640,62,5622,47,5610,39,5602,15,5545,15,5535,15,0,0,0,0,5535,1,5547,27,5611,35,5620,97,5653,120,5655,9480,5655,9547,5635,9564,5621,9565,5620,9573,5611,9580,5602,9600,5535,9600,0xe">
                  <v:path o:connectlocs="9600,-5767;9585,-5767;9585,-232;9584,-222;9561,-165;9553,-157;9490,-127;9480,-127;120,-127;62,-145;47,-157;39,-165;15,-222;15,-232;15,-5767;0,-5767;0,-232;1,-220;27,-156;35,-147;97,-114;120,-112;9480,-112;9547,-132;9564,-146;9565,-147;9573,-156;9580,-165;9600,-232;9600,-5767" o:connectangles="0,0,0,0,0,0,0,0,0,0,0,0,0,0,0,0,0,0,0,0,0,0,0,0,0,0,0,0,0,0"/>
                  <v:fill on="t" focussize="0,0"/>
                  <v:stroke on="f"/>
                  <v:imagedata o:title=""/>
                  <o:lock v:ext="edit" aspectratio="f"/>
                </v:shape>
                <v:shape id="AutoShape 245" o:spid="_x0000_s1026" o:spt="100" style="position:absolute;left:1169;top:-5767;height:5640;width:9390;" fillcolor="#FFFFFF" filled="t" stroked="f" coordsize="9390,5640" o:gfxdata="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FD&#10;bsEAAADjAAAADwAAAAAAAAABACAAAAAiAAAAZHJzL2Rvd25yZXYueG1sUEsBAhQAFAAAAAgAh07i&#10;QDMvBZ47AAAAOQAAABAAAAAAAAAAAQAgAAAAEAEAAGRycy9zaGFwZXhtbC54bWxQSwUGAAAAAAYA&#10;BgBbAQAAugMAAAAA&#10;" path="m9390,5092l9388,5084,9382,5070,9378,5063,9367,5052,9360,5048,9346,5042,9338,5040,52,5040,44,5042,30,5048,23,5052,12,5063,8,5070,2,5084,0,5092,0,5580,0,5588,2,5596,8,5610,12,5617,23,5628,30,5632,44,5639,52,5640,9338,5640,9346,5639,9360,5632,9367,5628,9378,5617,9382,5610,9388,5596,9390,5588,9390,5092xm9390,4132l9388,4124,9382,4110,9378,4103,9367,4092,9360,4088,9346,4082,9338,4080,52,4080,44,4082,30,4088,23,4092,12,4103,8,4110,2,4124,0,4132,0,4920,0,4928,2,4936,8,4950,12,4957,23,4968,30,4972,44,4979,52,4980,9338,4980,9346,4979,9360,4972,9367,4968,9378,4957,9382,4950,9388,4936,9390,4928,9390,4132xm9390,3472l9388,3464,9382,3450,9378,3443,9367,3432,9360,3428,9346,3422,9338,3420,52,3420,44,3422,30,3428,23,3432,12,3443,8,3450,2,3464,0,3472,0,3960,0,3968,2,3976,8,3990,12,3997,23,4008,30,4012,44,4019,52,4020,9338,4020,9346,4019,9360,4012,9367,4008,9378,3997,9382,3990,9388,3976,9390,3968,9390,3472xm9390,1912l9388,1904,9382,1890,9378,1883,9367,1872,9360,1868,9346,1862,9338,1860,52,1860,44,1862,30,1868,23,1872,12,1883,8,1890,2,1904,0,1912,0,3300,0,3308,2,3316,8,3330,12,3337,23,3348,30,3352,44,3359,52,3360,9338,3360,9346,3359,9360,3352,9367,3348,9378,3337,9382,3330,9388,3316,9390,3308,9390,1912xm9390,52l9388,44,9382,30,9378,23,9367,12,9360,8,9346,2,9338,0,52,0,44,2,30,8,23,12,12,23,8,30,2,44,0,52,0,1740,0,1748,2,1756,8,1770,12,1777,23,1788,30,1792,44,1799,52,1800,9338,1800,9346,1799,9360,1792,9367,1788,9378,1777,9382,1770,9388,1756,9390,1748,9390,52xe">
                  <v:path o:connectlocs="9382,-697;9360,-719;52,-727;23,-715;2,-683;0,-179;12,-150;44,-128;9346,-128;9378,-150;9390,-179;9388,-1643;9367,-1675;9338,-1687;30,-1679;8,-1657;0,-847;8,-817;30,-795;9338,-787;9367,-799;9388,-831;9390,-2295;9378,-2324;9346,-2345;44,-2345;12,-2324;0,-2295;2,-1791;23,-1759;52,-1747;9360,-1755;9382,-1777;9390,-2295;9382,-3877;9360,-3899;52,-3907;23,-3895;2,-3863;0,-2459;12,-2430;44,-2408;9346,-2408;9378,-2430;9390,-2459;9388,-5723;9367,-5755;9338,-5767;30,-5759;8,-5737;0,-4027;8,-3997;30,-3975;9338,-3967;9367,-3979;9388,-4011" o:connectangles="0,0,0,0,0,0,0,0,0,0,0,0,0,0,0,0,0,0,0,0,0,0,0,0,0,0,0,0,0,0,0,0,0,0,0,0,0,0,0,0,0,0,0,0,0,0,0,0,0,0,0,0,0,0,0,0"/>
                  <v:fill on="t" focussize="0,0"/>
                  <v:stroke on="f"/>
                  <v:imagedata o:title=""/>
                  <o:lock v:ext="edit" aspectratio="f"/>
                </v:shape>
                <v:shape id="Text Box 244" o:spid="_x0000_s1026" o:spt="202" type="#_x0000_t202" style="position:absolute;left:1312;top:-5602;height:1447;width:8930;" filled="f" stroked="f" coordsize="21600,21600" o:gfxdata="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Ffq&#10;H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6C195C7">
                        <w:pPr>
                          <w:spacing w:line="285" w:lineRule="auto"/>
                          <w:ind w:right="15"/>
                          <w:jc w:val="both"/>
                        </w:pPr>
                        <w:r>
                          <w:rPr>
                            <w:color w:val="202024"/>
                          </w:rPr>
                          <w:t>the</w:t>
                        </w:r>
                        <w:r>
                          <w:rPr>
                            <w:color w:val="202024"/>
                            <w:spacing w:val="11"/>
                          </w:rPr>
                          <w:t xml:space="preserve"> </w:t>
                        </w:r>
                        <w:r>
                          <w:rPr>
                            <w:color w:val="202024"/>
                          </w:rPr>
                          <w:t>piece</w:t>
                        </w:r>
                        <w:r>
                          <w:rPr>
                            <w:color w:val="202024"/>
                            <w:spacing w:val="11"/>
                          </w:rPr>
                          <w:t xml:space="preserve"> </w:t>
                        </w:r>
                        <w:r>
                          <w:rPr>
                            <w:color w:val="202024"/>
                          </w:rPr>
                          <w:t>meal</w:t>
                        </w:r>
                        <w:r>
                          <w:rPr>
                            <w:color w:val="202024"/>
                            <w:spacing w:val="11"/>
                          </w:rPr>
                          <w:t xml:space="preserve"> </w:t>
                        </w:r>
                        <w:r>
                          <w:rPr>
                            <w:color w:val="202024"/>
                          </w:rPr>
                          <w:t>amendments</w:t>
                        </w:r>
                        <w:r>
                          <w:rPr>
                            <w:color w:val="202024"/>
                            <w:spacing w:val="11"/>
                          </w:rPr>
                          <w:t xml:space="preserve"> </w:t>
                        </w:r>
                        <w:r>
                          <w:rPr>
                            <w:color w:val="202024"/>
                          </w:rPr>
                          <w:t>and</w:t>
                        </w:r>
                        <w:r>
                          <w:rPr>
                            <w:color w:val="202024"/>
                            <w:spacing w:val="11"/>
                          </w:rPr>
                          <w:t xml:space="preserve"> </w:t>
                        </w:r>
                        <w:r>
                          <w:rPr>
                            <w:color w:val="202024"/>
                          </w:rPr>
                          <w:t>side</w:t>
                        </w:r>
                        <w:r>
                          <w:rPr>
                            <w:color w:val="202024"/>
                            <w:spacing w:val="11"/>
                          </w:rPr>
                          <w:t xml:space="preserve"> </w:t>
                        </w:r>
                        <w:r>
                          <w:rPr>
                            <w:color w:val="202024"/>
                          </w:rPr>
                          <w:t>letters</w:t>
                        </w:r>
                        <w:r>
                          <w:rPr>
                            <w:color w:val="202024"/>
                            <w:spacing w:val="11"/>
                          </w:rPr>
                          <w:t xml:space="preserve"> </w:t>
                        </w:r>
                        <w:r>
                          <w:rPr>
                            <w:color w:val="202024"/>
                          </w:rPr>
                          <w:t>impacted</w:t>
                        </w:r>
                        <w:r>
                          <w:rPr>
                            <w:color w:val="202024"/>
                            <w:spacing w:val="11"/>
                          </w:rPr>
                          <w:t xml:space="preserve"> </w:t>
                        </w:r>
                        <w:r>
                          <w:rPr>
                            <w:color w:val="202024"/>
                          </w:rPr>
                          <w:t>the</w:t>
                        </w:r>
                        <w:r>
                          <w:rPr>
                            <w:color w:val="202024"/>
                            <w:spacing w:val="11"/>
                          </w:rPr>
                          <w:t xml:space="preserve"> </w:t>
                        </w:r>
                        <w:r>
                          <w:rPr>
                            <w:color w:val="202024"/>
                          </w:rPr>
                          <w:t>certainty</w:t>
                        </w:r>
                        <w:r>
                          <w:rPr>
                            <w:color w:val="202024"/>
                            <w:spacing w:val="12"/>
                          </w:rPr>
                          <w:t xml:space="preserve"> </w:t>
                        </w:r>
                        <w:r>
                          <w:rPr>
                            <w:color w:val="202024"/>
                          </w:rPr>
                          <w:t>of</w:t>
                        </w:r>
                        <w:r>
                          <w:rPr>
                            <w:color w:val="202024"/>
                            <w:spacing w:val="11"/>
                          </w:rPr>
                          <w:t xml:space="preserve"> </w:t>
                        </w:r>
                        <w:r>
                          <w:rPr>
                            <w:color w:val="202024"/>
                          </w:rPr>
                          <w:t>some</w:t>
                        </w:r>
                        <w:r>
                          <w:rPr>
                            <w:color w:val="202024"/>
                            <w:spacing w:val="11"/>
                          </w:rPr>
                          <w:t xml:space="preserve"> </w:t>
                        </w:r>
                        <w:r>
                          <w:rPr>
                            <w:color w:val="202024"/>
                          </w:rPr>
                          <w:t>aspect</w:t>
                        </w:r>
                        <w:r>
                          <w:rPr>
                            <w:color w:val="202024"/>
                            <w:spacing w:val="11"/>
                          </w:rPr>
                          <w:t xml:space="preserve"> </w:t>
                        </w:r>
                        <w:r>
                          <w:rPr>
                            <w:color w:val="202024"/>
                          </w:rPr>
                          <w:t>of</w:t>
                        </w:r>
                        <w:r>
                          <w:rPr>
                            <w:color w:val="202024"/>
                            <w:spacing w:val="11"/>
                          </w:rPr>
                          <w:t xml:space="preserve"> </w:t>
                        </w:r>
                        <w:r>
                          <w:rPr>
                            <w:color w:val="202024"/>
                          </w:rPr>
                          <w:t>the</w:t>
                        </w:r>
                        <w:r>
                          <w:rPr>
                            <w:color w:val="202024"/>
                            <w:spacing w:val="1"/>
                          </w:rPr>
                          <w:t xml:space="preserve"> </w:t>
                        </w:r>
                        <w:r>
                          <w:rPr>
                            <w:color w:val="202024"/>
                          </w:rPr>
                          <w:t>regime.</w:t>
                        </w:r>
                        <w:r>
                          <w:rPr>
                            <w:color w:val="202024"/>
                            <w:spacing w:val="10"/>
                          </w:rPr>
                          <w:t xml:space="preserve"> </w:t>
                        </w:r>
                        <w:r>
                          <w:rPr>
                            <w:color w:val="202024"/>
                          </w:rPr>
                          <w:t>i</w:t>
                        </w:r>
                        <w:r>
                          <w:rPr>
                            <w:color w:val="202024"/>
                            <w:spacing w:val="10"/>
                          </w:rPr>
                          <w:t xml:space="preserve"> </w:t>
                        </w:r>
                        <w:r>
                          <w:rPr>
                            <w:color w:val="202024"/>
                          </w:rPr>
                          <w:t>suppose</w:t>
                        </w:r>
                        <w:r>
                          <w:rPr>
                            <w:color w:val="202024"/>
                            <w:spacing w:val="10"/>
                          </w:rPr>
                          <w:t xml:space="preserve"> </w:t>
                        </w:r>
                        <w:r>
                          <w:rPr>
                            <w:color w:val="202024"/>
                          </w:rPr>
                          <w:t>the</w:t>
                        </w:r>
                        <w:r>
                          <w:rPr>
                            <w:color w:val="202024"/>
                            <w:spacing w:val="11"/>
                          </w:rPr>
                          <w:t xml:space="preserve"> </w:t>
                        </w:r>
                        <w:r>
                          <w:rPr>
                            <w:color w:val="202024"/>
                          </w:rPr>
                          <w:t>PIB</w:t>
                        </w:r>
                        <w:r>
                          <w:rPr>
                            <w:color w:val="202024"/>
                            <w:spacing w:val="10"/>
                          </w:rPr>
                          <w:t xml:space="preserve"> </w:t>
                        </w:r>
                        <w:r>
                          <w:rPr>
                            <w:color w:val="202024"/>
                          </w:rPr>
                          <w:t>sought</w:t>
                        </w:r>
                        <w:r>
                          <w:rPr>
                            <w:color w:val="202024"/>
                            <w:spacing w:val="10"/>
                          </w:rPr>
                          <w:t xml:space="preserve"> </w:t>
                        </w:r>
                        <w:r>
                          <w:rPr>
                            <w:color w:val="202024"/>
                          </w:rPr>
                          <w:t>to</w:t>
                        </w:r>
                        <w:r>
                          <w:rPr>
                            <w:color w:val="202024"/>
                            <w:spacing w:val="11"/>
                          </w:rPr>
                          <w:t xml:space="preserve"> </w:t>
                        </w:r>
                        <w:r>
                          <w:rPr>
                            <w:color w:val="202024"/>
                          </w:rPr>
                          <w:t>address</w:t>
                        </w:r>
                        <w:r>
                          <w:rPr>
                            <w:color w:val="202024"/>
                            <w:spacing w:val="10"/>
                          </w:rPr>
                          <w:t xml:space="preserve"> </w:t>
                        </w:r>
                        <w:r>
                          <w:rPr>
                            <w:color w:val="202024"/>
                          </w:rPr>
                          <w:t>some</w:t>
                        </w:r>
                        <w:r>
                          <w:rPr>
                            <w:color w:val="202024"/>
                            <w:spacing w:val="10"/>
                          </w:rPr>
                          <w:t xml:space="preserve"> </w:t>
                        </w:r>
                        <w:r>
                          <w:rPr>
                            <w:color w:val="202024"/>
                          </w:rPr>
                          <w:t>of</w:t>
                        </w:r>
                        <w:r>
                          <w:rPr>
                            <w:color w:val="202024"/>
                            <w:spacing w:val="11"/>
                          </w:rPr>
                          <w:t xml:space="preserve"> </w:t>
                        </w:r>
                        <w:r>
                          <w:rPr>
                            <w:color w:val="202024"/>
                          </w:rPr>
                          <w:t>these</w:t>
                        </w:r>
                        <w:r>
                          <w:rPr>
                            <w:color w:val="202024"/>
                            <w:spacing w:val="10"/>
                          </w:rPr>
                          <w:t xml:space="preserve"> </w:t>
                        </w:r>
                        <w:r>
                          <w:rPr>
                            <w:color w:val="202024"/>
                          </w:rPr>
                          <w:t>issues.</w:t>
                        </w:r>
                        <w:r>
                          <w:rPr>
                            <w:color w:val="202024"/>
                            <w:spacing w:val="10"/>
                          </w:rPr>
                          <w:t xml:space="preserve"> </w:t>
                        </w:r>
                        <w:r>
                          <w:rPr>
                            <w:color w:val="202024"/>
                          </w:rPr>
                          <w:t>Additionally,</w:t>
                        </w:r>
                        <w:r>
                          <w:rPr>
                            <w:color w:val="202024"/>
                            <w:spacing w:val="10"/>
                          </w:rPr>
                          <w:t xml:space="preserve"> </w:t>
                        </w:r>
                        <w:r>
                          <w:rPr>
                            <w:color w:val="202024"/>
                          </w:rPr>
                          <w:t>the</w:t>
                        </w:r>
                        <w:r>
                          <w:rPr>
                            <w:color w:val="202024"/>
                            <w:spacing w:val="11"/>
                          </w:rPr>
                          <w:t xml:space="preserve"> </w:t>
                        </w:r>
                        <w:r>
                          <w:rPr>
                            <w:color w:val="202024"/>
                          </w:rPr>
                          <w:t>delay</w:t>
                        </w:r>
                        <w:r>
                          <w:rPr>
                            <w:color w:val="202024"/>
                            <w:spacing w:val="10"/>
                          </w:rPr>
                          <w:t xml:space="preserve"> </w:t>
                        </w:r>
                        <w:r>
                          <w:rPr>
                            <w:color w:val="202024"/>
                          </w:rPr>
                          <w:t>has</w:t>
                        </w:r>
                        <w:r>
                          <w:rPr>
                            <w:color w:val="202024"/>
                            <w:spacing w:val="-49"/>
                          </w:rPr>
                          <w:t xml:space="preserve"> </w:t>
                        </w:r>
                        <w:r>
                          <w:rPr>
                            <w:color w:val="202024"/>
                          </w:rPr>
                          <w:t>affected</w:t>
                        </w:r>
                        <w:r>
                          <w:rPr>
                            <w:color w:val="202024"/>
                            <w:spacing w:val="10"/>
                          </w:rPr>
                          <w:t xml:space="preserve"> </w:t>
                        </w:r>
                        <w:r>
                          <w:rPr>
                            <w:color w:val="202024"/>
                          </w:rPr>
                          <w:t>Nigeria</w:t>
                        </w:r>
                        <w:r>
                          <w:rPr>
                            <w:color w:val="202024"/>
                            <w:spacing w:val="11"/>
                          </w:rPr>
                          <w:t xml:space="preserve"> </w:t>
                        </w:r>
                        <w:r>
                          <w:rPr>
                            <w:color w:val="202024"/>
                          </w:rPr>
                          <w:t>negatively</w:t>
                        </w:r>
                        <w:r>
                          <w:rPr>
                            <w:color w:val="202024"/>
                            <w:spacing w:val="10"/>
                          </w:rPr>
                          <w:t xml:space="preserve"> </w:t>
                        </w:r>
                        <w:r>
                          <w:rPr>
                            <w:color w:val="202024"/>
                          </w:rPr>
                          <w:t>in</w:t>
                        </w:r>
                        <w:r>
                          <w:rPr>
                            <w:color w:val="202024"/>
                            <w:spacing w:val="11"/>
                          </w:rPr>
                          <w:t xml:space="preserve"> </w:t>
                        </w:r>
                        <w:r>
                          <w:rPr>
                            <w:color w:val="202024"/>
                          </w:rPr>
                          <w:t>our</w:t>
                        </w:r>
                        <w:r>
                          <w:rPr>
                            <w:color w:val="202024"/>
                            <w:spacing w:val="11"/>
                          </w:rPr>
                          <w:t xml:space="preserve"> </w:t>
                        </w:r>
                        <w:r>
                          <w:rPr>
                            <w:color w:val="202024"/>
                          </w:rPr>
                          <w:t>economy</w:t>
                        </w:r>
                        <w:r>
                          <w:rPr>
                            <w:color w:val="202024"/>
                            <w:spacing w:val="10"/>
                          </w:rPr>
                          <w:t xml:space="preserve"> </w:t>
                        </w:r>
                        <w:r>
                          <w:rPr>
                            <w:color w:val="202024"/>
                          </w:rPr>
                          <w:t>and</w:t>
                        </w:r>
                        <w:r>
                          <w:rPr>
                            <w:color w:val="202024"/>
                            <w:spacing w:val="11"/>
                          </w:rPr>
                          <w:t xml:space="preserve"> </w:t>
                        </w:r>
                        <w:r>
                          <w:rPr>
                            <w:color w:val="202024"/>
                          </w:rPr>
                          <w:t>drive</w:t>
                        </w:r>
                        <w:r>
                          <w:rPr>
                            <w:color w:val="202024"/>
                            <w:spacing w:val="10"/>
                          </w:rPr>
                          <w:t xml:space="preserve"> </w:t>
                        </w:r>
                        <w:r>
                          <w:rPr>
                            <w:color w:val="202024"/>
                          </w:rPr>
                          <w:t>for</w:t>
                        </w:r>
                        <w:r>
                          <w:rPr>
                            <w:color w:val="202024"/>
                            <w:spacing w:val="11"/>
                          </w:rPr>
                          <w:t xml:space="preserve"> </w:t>
                        </w:r>
                        <w:r>
                          <w:rPr>
                            <w:color w:val="202024"/>
                          </w:rPr>
                          <w:t>investment.</w:t>
                        </w:r>
                        <w:r>
                          <w:rPr>
                            <w:color w:val="202024"/>
                            <w:spacing w:val="6"/>
                          </w:rPr>
                          <w:t xml:space="preserve"> </w:t>
                        </w:r>
                        <w:r>
                          <w:rPr>
                            <w:color w:val="202024"/>
                          </w:rPr>
                          <w:t>This</w:t>
                        </w:r>
                        <w:r>
                          <w:rPr>
                            <w:color w:val="202024"/>
                            <w:spacing w:val="11"/>
                          </w:rPr>
                          <w:t xml:space="preserve"> </w:t>
                        </w:r>
                        <w:r>
                          <w:rPr>
                            <w:color w:val="202024"/>
                          </w:rPr>
                          <w:t>gives</w:t>
                        </w:r>
                        <w:r>
                          <w:rPr>
                            <w:color w:val="202024"/>
                            <w:spacing w:val="10"/>
                          </w:rPr>
                          <w:t xml:space="preserve"> </w:t>
                        </w:r>
                        <w:r>
                          <w:rPr>
                            <w:color w:val="202024"/>
                          </w:rPr>
                          <w:t>credence</w:t>
                        </w:r>
                        <w:r>
                          <w:rPr>
                            <w:color w:val="202024"/>
                            <w:spacing w:val="11"/>
                          </w:rPr>
                          <w:t xml:space="preserve"> </w:t>
                        </w:r>
                        <w:r>
                          <w:rPr>
                            <w:color w:val="202024"/>
                          </w:rPr>
                          <w:t>to</w:t>
                        </w:r>
                        <w:r>
                          <w:rPr>
                            <w:color w:val="202024"/>
                            <w:spacing w:val="1"/>
                          </w:rPr>
                          <w:t xml:space="preserve"> </w:t>
                        </w:r>
                        <w:r>
                          <w:rPr>
                            <w:color w:val="202024"/>
                          </w:rPr>
                          <w:t>need</w:t>
                        </w:r>
                        <w:r>
                          <w:rPr>
                            <w:color w:val="202024"/>
                            <w:spacing w:val="9"/>
                          </w:rPr>
                          <w:t xml:space="preserve"> </w:t>
                        </w:r>
                        <w:r>
                          <w:rPr>
                            <w:color w:val="202024"/>
                          </w:rPr>
                          <w:t>for</w:t>
                        </w:r>
                        <w:r>
                          <w:rPr>
                            <w:color w:val="202024"/>
                            <w:spacing w:val="9"/>
                          </w:rPr>
                          <w:t xml:space="preserve"> </w:t>
                        </w:r>
                        <w:r>
                          <w:rPr>
                            <w:color w:val="202024"/>
                          </w:rPr>
                          <w:t>prompt</w:t>
                        </w:r>
                        <w:r>
                          <w:rPr>
                            <w:color w:val="202024"/>
                            <w:spacing w:val="10"/>
                          </w:rPr>
                          <w:t xml:space="preserve"> </w:t>
                        </w:r>
                        <w:r>
                          <w:rPr>
                            <w:color w:val="202024"/>
                          </w:rPr>
                          <w:t>and</w:t>
                        </w:r>
                        <w:r>
                          <w:rPr>
                            <w:color w:val="202024"/>
                            <w:spacing w:val="9"/>
                          </w:rPr>
                          <w:t xml:space="preserve"> </w:t>
                        </w:r>
                        <w:r>
                          <w:rPr>
                            <w:color w:val="202024"/>
                          </w:rPr>
                          <w:t>certain</w:t>
                        </w:r>
                        <w:r>
                          <w:rPr>
                            <w:color w:val="202024"/>
                            <w:spacing w:val="10"/>
                          </w:rPr>
                          <w:t xml:space="preserve"> </w:t>
                        </w:r>
                        <w:r>
                          <w:rPr>
                            <w:color w:val="202024"/>
                          </w:rPr>
                          <w:t>provisions.</w:t>
                        </w:r>
                        <w:r>
                          <w:rPr>
                            <w:color w:val="202024"/>
                            <w:spacing w:val="9"/>
                          </w:rPr>
                          <w:t xml:space="preserve"> </w:t>
                        </w:r>
                        <w:r>
                          <w:rPr>
                            <w:color w:val="202024"/>
                          </w:rPr>
                          <w:t>uncertainty</w:t>
                        </w:r>
                        <w:r>
                          <w:rPr>
                            <w:color w:val="202024"/>
                            <w:spacing w:val="10"/>
                          </w:rPr>
                          <w:t xml:space="preserve"> </w:t>
                        </w:r>
                        <w:r>
                          <w:rPr>
                            <w:color w:val="202024"/>
                          </w:rPr>
                          <w:t>is</w:t>
                        </w:r>
                        <w:r>
                          <w:rPr>
                            <w:color w:val="202024"/>
                            <w:spacing w:val="9"/>
                          </w:rPr>
                          <w:t xml:space="preserve"> </w:t>
                        </w:r>
                        <w:r>
                          <w:rPr>
                            <w:color w:val="202024"/>
                          </w:rPr>
                          <w:t>the</w:t>
                        </w:r>
                        <w:r>
                          <w:rPr>
                            <w:color w:val="202024"/>
                            <w:spacing w:val="10"/>
                          </w:rPr>
                          <w:t xml:space="preserve"> </w:t>
                        </w:r>
                        <w:r>
                          <w:rPr>
                            <w:color w:val="202024"/>
                          </w:rPr>
                          <w:t>biggest</w:t>
                        </w:r>
                        <w:r>
                          <w:rPr>
                            <w:color w:val="202024"/>
                            <w:spacing w:val="9"/>
                          </w:rPr>
                          <w:t xml:space="preserve"> </w:t>
                        </w:r>
                        <w:r>
                          <w:rPr>
                            <w:color w:val="202024"/>
                          </w:rPr>
                          <w:t>risk</w:t>
                        </w:r>
                        <w:r>
                          <w:rPr>
                            <w:color w:val="202024"/>
                            <w:spacing w:val="10"/>
                          </w:rPr>
                          <w:t xml:space="preserve"> </w:t>
                        </w:r>
                        <w:r>
                          <w:rPr>
                            <w:color w:val="202024"/>
                          </w:rPr>
                          <w:t>investors</w:t>
                        </w:r>
                        <w:r>
                          <w:rPr>
                            <w:color w:val="202024"/>
                            <w:spacing w:val="9"/>
                          </w:rPr>
                          <w:t xml:space="preserve"> </w:t>
                        </w:r>
                        <w:r>
                          <w:rPr>
                            <w:color w:val="202024"/>
                          </w:rPr>
                          <w:t>do</w:t>
                        </w:r>
                        <w:r>
                          <w:rPr>
                            <w:color w:val="202024"/>
                            <w:spacing w:val="10"/>
                          </w:rPr>
                          <w:t xml:space="preserve"> </w:t>
                        </w:r>
                        <w:r>
                          <w:rPr>
                            <w:color w:val="202024"/>
                          </w:rPr>
                          <w:t>not</w:t>
                        </w:r>
                        <w:r>
                          <w:rPr>
                            <w:color w:val="202024"/>
                            <w:spacing w:val="9"/>
                          </w:rPr>
                          <w:t xml:space="preserve"> </w:t>
                        </w:r>
                        <w:r>
                          <w:rPr>
                            <w:color w:val="202024"/>
                          </w:rPr>
                          <w:t>like</w:t>
                        </w:r>
                        <w:r>
                          <w:rPr>
                            <w:color w:val="202024"/>
                            <w:spacing w:val="10"/>
                          </w:rPr>
                          <w:t xml:space="preserve"> </w:t>
                        </w:r>
                        <w:r>
                          <w:rPr>
                            <w:color w:val="202024"/>
                          </w:rPr>
                          <w:t>to</w:t>
                        </w:r>
                      </w:p>
                      <w:p w14:paraId="2B9BEE8D">
                        <w:pPr>
                          <w:spacing w:line="251" w:lineRule="exact"/>
                          <w:jc w:val="both"/>
                        </w:pPr>
                        <w:r>
                          <w:rPr>
                            <w:color w:val="202024"/>
                          </w:rPr>
                          <w:t>take</w:t>
                        </w:r>
                      </w:p>
                    </w:txbxContent>
                  </v:textbox>
                </v:shape>
                <v:shape id="Text Box 243" o:spid="_x0000_s1026" o:spt="202" type="#_x0000_t202" style="position:absolute;left:1312;top:-3742;height:1431;width:8924;" filled="f" stroked="f" coordsize="21600,21600" o:gfxdata="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ohPgv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6EA531CD">
                        <w:pPr>
                          <w:spacing w:line="285" w:lineRule="auto"/>
                          <w:ind w:right="16"/>
                          <w:jc w:val="both"/>
                        </w:pPr>
                        <w:r>
                          <w:rPr>
                            <w:color w:val="202024"/>
                          </w:rPr>
                          <w:t>The</w:t>
                        </w:r>
                        <w:r>
                          <w:rPr>
                            <w:color w:val="202024"/>
                            <w:spacing w:val="8"/>
                          </w:rPr>
                          <w:t xml:space="preserve"> </w:t>
                        </w:r>
                        <w:r>
                          <w:rPr>
                            <w:color w:val="202024"/>
                          </w:rPr>
                          <w:t>piecemeal</w:t>
                        </w:r>
                        <w:r>
                          <w:rPr>
                            <w:color w:val="202024"/>
                            <w:spacing w:val="9"/>
                          </w:rPr>
                          <w:t xml:space="preserve"> </w:t>
                        </w:r>
                        <w:r>
                          <w:rPr>
                            <w:color w:val="202024"/>
                          </w:rPr>
                          <w:t>amendment</w:t>
                        </w:r>
                        <w:r>
                          <w:rPr>
                            <w:color w:val="202024"/>
                            <w:spacing w:val="8"/>
                          </w:rPr>
                          <w:t xml:space="preserve"> </w:t>
                        </w:r>
                        <w:r>
                          <w:rPr>
                            <w:color w:val="202024"/>
                          </w:rPr>
                          <w:t>to</w:t>
                        </w:r>
                        <w:r>
                          <w:rPr>
                            <w:color w:val="202024"/>
                            <w:spacing w:val="9"/>
                          </w:rPr>
                          <w:t xml:space="preserve"> </w:t>
                        </w:r>
                        <w:r>
                          <w:rPr>
                            <w:color w:val="202024"/>
                          </w:rPr>
                          <w:t>the</w:t>
                        </w:r>
                        <w:r>
                          <w:rPr>
                            <w:color w:val="202024"/>
                            <w:spacing w:val="9"/>
                          </w:rPr>
                          <w:t xml:space="preserve"> </w:t>
                        </w:r>
                        <w:r>
                          <w:rPr>
                            <w:color w:val="202024"/>
                          </w:rPr>
                          <w:t>PPTA</w:t>
                        </w:r>
                        <w:r>
                          <w:rPr>
                            <w:color w:val="202024"/>
                            <w:spacing w:val="8"/>
                          </w:rPr>
                          <w:t xml:space="preserve"> </w:t>
                        </w:r>
                        <w:r>
                          <w:rPr>
                            <w:color w:val="202024"/>
                          </w:rPr>
                          <w:t>often</w:t>
                        </w:r>
                        <w:r>
                          <w:rPr>
                            <w:color w:val="202024"/>
                            <w:spacing w:val="9"/>
                          </w:rPr>
                          <w:t xml:space="preserve"> </w:t>
                        </w:r>
                        <w:r>
                          <w:rPr>
                            <w:color w:val="202024"/>
                          </w:rPr>
                          <w:t>complicates</w:t>
                        </w:r>
                        <w:r>
                          <w:rPr>
                            <w:color w:val="202024"/>
                            <w:spacing w:val="8"/>
                          </w:rPr>
                          <w:t xml:space="preserve"> </w:t>
                        </w:r>
                        <w:r>
                          <w:rPr>
                            <w:color w:val="202024"/>
                          </w:rPr>
                          <w:t>a</w:t>
                        </w:r>
                        <w:r>
                          <w:rPr>
                            <w:color w:val="202024"/>
                            <w:spacing w:val="9"/>
                          </w:rPr>
                          <w:t xml:space="preserve"> </w:t>
                        </w:r>
                        <w:r>
                          <w:rPr>
                            <w:color w:val="202024"/>
                          </w:rPr>
                          <w:t>thorough</w:t>
                        </w:r>
                        <w:r>
                          <w:rPr>
                            <w:color w:val="202024"/>
                            <w:spacing w:val="9"/>
                          </w:rPr>
                          <w:t xml:space="preserve"> </w:t>
                        </w:r>
                        <w:r>
                          <w:rPr>
                            <w:color w:val="202024"/>
                          </w:rPr>
                          <w:t>and</w:t>
                        </w:r>
                        <w:r>
                          <w:rPr>
                            <w:color w:val="202024"/>
                            <w:spacing w:val="8"/>
                          </w:rPr>
                          <w:t xml:space="preserve"> </w:t>
                        </w:r>
                        <w:r>
                          <w:rPr>
                            <w:color w:val="202024"/>
                          </w:rPr>
                          <w:t>exhaustive</w:t>
                        </w:r>
                        <w:r>
                          <w:rPr>
                            <w:color w:val="202024"/>
                            <w:spacing w:val="1"/>
                          </w:rPr>
                          <w:t xml:space="preserve"> </w:t>
                        </w:r>
                        <w:r>
                          <w:rPr>
                            <w:color w:val="202024"/>
                          </w:rPr>
                          <w:t>understanding</w:t>
                        </w:r>
                        <w:r>
                          <w:rPr>
                            <w:color w:val="202024"/>
                            <w:spacing w:val="7"/>
                          </w:rPr>
                          <w:t xml:space="preserve"> </w:t>
                        </w:r>
                        <w:r>
                          <w:rPr>
                            <w:color w:val="202024"/>
                          </w:rPr>
                          <w:t>of</w:t>
                        </w:r>
                        <w:r>
                          <w:rPr>
                            <w:color w:val="202024"/>
                            <w:spacing w:val="7"/>
                          </w:rPr>
                          <w:t xml:space="preserve"> </w:t>
                        </w:r>
                        <w:r>
                          <w:rPr>
                            <w:color w:val="202024"/>
                          </w:rPr>
                          <w:t>the</w:t>
                        </w:r>
                        <w:r>
                          <w:rPr>
                            <w:color w:val="202024"/>
                            <w:spacing w:val="8"/>
                          </w:rPr>
                          <w:t xml:space="preserve"> </w:t>
                        </w:r>
                        <w:r>
                          <w:rPr>
                            <w:color w:val="202024"/>
                          </w:rPr>
                          <w:t>petroleum</w:t>
                        </w:r>
                        <w:r>
                          <w:rPr>
                            <w:color w:val="202024"/>
                            <w:spacing w:val="7"/>
                          </w:rPr>
                          <w:t xml:space="preserve"> </w:t>
                        </w:r>
                        <w:r>
                          <w:rPr>
                            <w:color w:val="202024"/>
                          </w:rPr>
                          <w:t>taxes-</w:t>
                        </w:r>
                        <w:r>
                          <w:rPr>
                            <w:color w:val="202024"/>
                            <w:spacing w:val="8"/>
                          </w:rPr>
                          <w:t xml:space="preserve"> </w:t>
                        </w:r>
                        <w:r>
                          <w:rPr>
                            <w:color w:val="202024"/>
                          </w:rPr>
                          <w:t>the</w:t>
                        </w:r>
                        <w:r>
                          <w:rPr>
                            <w:color w:val="202024"/>
                            <w:spacing w:val="7"/>
                          </w:rPr>
                          <w:t xml:space="preserve"> </w:t>
                        </w:r>
                        <w:r>
                          <w:rPr>
                            <w:color w:val="202024"/>
                          </w:rPr>
                          <w:t>result</w:t>
                        </w:r>
                        <w:r>
                          <w:rPr>
                            <w:color w:val="202024"/>
                            <w:spacing w:val="8"/>
                          </w:rPr>
                          <w:t xml:space="preserve"> </w:t>
                        </w:r>
                        <w:r>
                          <w:rPr>
                            <w:color w:val="202024"/>
                          </w:rPr>
                          <w:t>being</w:t>
                        </w:r>
                        <w:r>
                          <w:rPr>
                            <w:color w:val="202024"/>
                            <w:spacing w:val="7"/>
                          </w:rPr>
                          <w:t xml:space="preserve"> </w:t>
                        </w:r>
                        <w:r>
                          <w:rPr>
                            <w:color w:val="202024"/>
                          </w:rPr>
                          <w:t>that</w:t>
                        </w:r>
                        <w:r>
                          <w:rPr>
                            <w:color w:val="202024"/>
                            <w:spacing w:val="8"/>
                          </w:rPr>
                          <w:t xml:space="preserve"> </w:t>
                        </w:r>
                        <w:r>
                          <w:rPr>
                            <w:color w:val="202024"/>
                          </w:rPr>
                          <w:t>the</w:t>
                        </w:r>
                        <w:r>
                          <w:rPr>
                            <w:color w:val="202024"/>
                            <w:spacing w:val="7"/>
                          </w:rPr>
                          <w:t xml:space="preserve"> </w:t>
                        </w:r>
                        <w:r>
                          <w:rPr>
                            <w:color w:val="202024"/>
                          </w:rPr>
                          <w:t>taxpayers</w:t>
                        </w:r>
                        <w:r>
                          <w:rPr>
                            <w:color w:val="202024"/>
                            <w:spacing w:val="7"/>
                          </w:rPr>
                          <w:t xml:space="preserve"> </w:t>
                        </w:r>
                        <w:r>
                          <w:rPr>
                            <w:color w:val="202024"/>
                          </w:rPr>
                          <w:t>often</w:t>
                        </w:r>
                        <w:r>
                          <w:rPr>
                            <w:color w:val="202024"/>
                            <w:spacing w:val="8"/>
                          </w:rPr>
                          <w:t xml:space="preserve"> </w:t>
                        </w:r>
                        <w:r>
                          <w:rPr>
                            <w:color w:val="202024"/>
                          </w:rPr>
                          <w:t>wage</w:t>
                        </w:r>
                        <w:r>
                          <w:rPr>
                            <w:color w:val="202024"/>
                            <w:spacing w:val="7"/>
                          </w:rPr>
                          <w:t xml:space="preserve"> </w:t>
                        </w:r>
                        <w:r>
                          <w:rPr>
                            <w:color w:val="202024"/>
                          </w:rPr>
                          <w:t>through</w:t>
                        </w:r>
                        <w:r>
                          <w:rPr>
                            <w:color w:val="202024"/>
                            <w:spacing w:val="-49"/>
                          </w:rPr>
                          <w:t xml:space="preserve"> </w:t>
                        </w:r>
                        <w:r>
                          <w:rPr>
                            <w:color w:val="202024"/>
                          </w:rPr>
                          <w:t>numerous</w:t>
                        </w:r>
                        <w:r>
                          <w:rPr>
                            <w:color w:val="202024"/>
                            <w:spacing w:val="7"/>
                          </w:rPr>
                          <w:t xml:space="preserve"> </w:t>
                        </w:r>
                        <w:r>
                          <w:rPr>
                            <w:color w:val="202024"/>
                          </w:rPr>
                          <w:t>documents</w:t>
                        </w:r>
                        <w:r>
                          <w:rPr>
                            <w:color w:val="202024"/>
                            <w:spacing w:val="7"/>
                          </w:rPr>
                          <w:t xml:space="preserve"> </w:t>
                        </w:r>
                        <w:r>
                          <w:rPr>
                            <w:color w:val="202024"/>
                          </w:rPr>
                          <w:t>to</w:t>
                        </w:r>
                        <w:r>
                          <w:rPr>
                            <w:color w:val="202024"/>
                            <w:spacing w:val="8"/>
                          </w:rPr>
                          <w:t xml:space="preserve"> </w:t>
                        </w:r>
                        <w:r>
                          <w:rPr>
                            <w:color w:val="202024"/>
                          </w:rPr>
                          <w:t>figure</w:t>
                        </w:r>
                        <w:r>
                          <w:rPr>
                            <w:color w:val="202024"/>
                            <w:spacing w:val="7"/>
                          </w:rPr>
                          <w:t xml:space="preserve"> </w:t>
                        </w:r>
                        <w:r>
                          <w:rPr>
                            <w:color w:val="202024"/>
                          </w:rPr>
                          <w:t>out</w:t>
                        </w:r>
                        <w:r>
                          <w:rPr>
                            <w:color w:val="202024"/>
                            <w:spacing w:val="7"/>
                          </w:rPr>
                          <w:t xml:space="preserve"> </w:t>
                        </w:r>
                        <w:r>
                          <w:rPr>
                            <w:color w:val="202024"/>
                          </w:rPr>
                          <w:t>the</w:t>
                        </w:r>
                        <w:r>
                          <w:rPr>
                            <w:color w:val="202024"/>
                            <w:spacing w:val="8"/>
                          </w:rPr>
                          <w:t xml:space="preserve"> </w:t>
                        </w:r>
                        <w:r>
                          <w:rPr>
                            <w:color w:val="202024"/>
                          </w:rPr>
                          <w:t>current</w:t>
                        </w:r>
                        <w:r>
                          <w:rPr>
                            <w:color w:val="202024"/>
                            <w:spacing w:val="7"/>
                          </w:rPr>
                          <w:t xml:space="preserve"> </w:t>
                        </w:r>
                        <w:r>
                          <w:rPr>
                            <w:color w:val="202024"/>
                          </w:rPr>
                          <w:t>tax</w:t>
                        </w:r>
                        <w:r>
                          <w:rPr>
                            <w:color w:val="202024"/>
                            <w:spacing w:val="7"/>
                          </w:rPr>
                          <w:t xml:space="preserve"> </w:t>
                        </w:r>
                        <w:r>
                          <w:rPr>
                            <w:color w:val="202024"/>
                          </w:rPr>
                          <w:t>position.</w:t>
                        </w:r>
                        <w:r>
                          <w:rPr>
                            <w:color w:val="202024"/>
                            <w:spacing w:val="8"/>
                          </w:rPr>
                          <w:t xml:space="preserve"> </w:t>
                        </w:r>
                        <w:r>
                          <w:rPr>
                            <w:color w:val="202024"/>
                          </w:rPr>
                          <w:t>It</w:t>
                        </w:r>
                        <w:r>
                          <w:rPr>
                            <w:color w:val="202024"/>
                            <w:spacing w:val="7"/>
                          </w:rPr>
                          <w:t xml:space="preserve"> </w:t>
                        </w:r>
                        <w:r>
                          <w:rPr>
                            <w:color w:val="202024"/>
                          </w:rPr>
                          <w:t>is</w:t>
                        </w:r>
                        <w:r>
                          <w:rPr>
                            <w:color w:val="202024"/>
                            <w:spacing w:val="7"/>
                          </w:rPr>
                          <w:t xml:space="preserve"> </w:t>
                        </w:r>
                        <w:r>
                          <w:rPr>
                            <w:color w:val="202024"/>
                          </w:rPr>
                          <w:t>thus</w:t>
                        </w:r>
                        <w:r>
                          <w:rPr>
                            <w:color w:val="202024"/>
                            <w:spacing w:val="8"/>
                          </w:rPr>
                          <w:t xml:space="preserve"> </w:t>
                        </w:r>
                        <w:r>
                          <w:rPr>
                            <w:color w:val="202024"/>
                          </w:rPr>
                          <w:t>critical</w:t>
                        </w:r>
                        <w:r>
                          <w:rPr>
                            <w:color w:val="202024"/>
                            <w:spacing w:val="7"/>
                          </w:rPr>
                          <w:t xml:space="preserve"> </w:t>
                        </w:r>
                        <w:r>
                          <w:rPr>
                            <w:color w:val="202024"/>
                          </w:rPr>
                          <w:t>to</w:t>
                        </w:r>
                        <w:r>
                          <w:rPr>
                            <w:color w:val="202024"/>
                            <w:spacing w:val="7"/>
                          </w:rPr>
                          <w:t xml:space="preserve"> </w:t>
                        </w:r>
                        <w:r>
                          <w:rPr>
                            <w:color w:val="202024"/>
                          </w:rPr>
                          <w:t>avoid</w:t>
                        </w:r>
                        <w:r>
                          <w:rPr>
                            <w:color w:val="202024"/>
                            <w:spacing w:val="8"/>
                          </w:rPr>
                          <w:t xml:space="preserve"> </w:t>
                        </w:r>
                        <w:r>
                          <w:rPr>
                            <w:color w:val="202024"/>
                          </w:rPr>
                          <w:t>such</w:t>
                        </w:r>
                      </w:p>
                      <w:p w14:paraId="527487B2">
                        <w:pPr>
                          <w:spacing w:line="251" w:lineRule="exact"/>
                          <w:jc w:val="both"/>
                        </w:pPr>
                        <w:r>
                          <w:rPr>
                            <w:color w:val="202024"/>
                          </w:rPr>
                          <w:t>piecemeal</w:t>
                        </w:r>
                        <w:r>
                          <w:rPr>
                            <w:color w:val="202024"/>
                            <w:spacing w:val="13"/>
                          </w:rPr>
                          <w:t xml:space="preserve"> </w:t>
                        </w:r>
                        <w:r>
                          <w:rPr>
                            <w:color w:val="202024"/>
                          </w:rPr>
                          <w:t>amendments</w:t>
                        </w:r>
                        <w:r>
                          <w:rPr>
                            <w:color w:val="202024"/>
                            <w:spacing w:val="13"/>
                          </w:rPr>
                          <w:t xml:space="preserve"> </w:t>
                        </w:r>
                        <w:r>
                          <w:rPr>
                            <w:color w:val="202024"/>
                          </w:rPr>
                          <w:t>and</w:t>
                        </w:r>
                        <w:r>
                          <w:rPr>
                            <w:color w:val="202024"/>
                            <w:spacing w:val="13"/>
                          </w:rPr>
                          <w:t xml:space="preserve"> </w:t>
                        </w:r>
                        <w:r>
                          <w:rPr>
                            <w:color w:val="202024"/>
                          </w:rPr>
                          <w:t>make</w:t>
                        </w:r>
                        <w:r>
                          <w:rPr>
                            <w:color w:val="202024"/>
                            <w:spacing w:val="13"/>
                          </w:rPr>
                          <w:t xml:space="preserve"> </w:t>
                        </w:r>
                        <w:r>
                          <w:rPr>
                            <w:color w:val="202024"/>
                          </w:rPr>
                          <w:t>a</w:t>
                        </w:r>
                        <w:r>
                          <w:rPr>
                            <w:color w:val="202024"/>
                            <w:spacing w:val="13"/>
                          </w:rPr>
                          <w:t xml:space="preserve"> </w:t>
                        </w:r>
                        <w:r>
                          <w:rPr>
                            <w:color w:val="202024"/>
                          </w:rPr>
                          <w:t>uniform,</w:t>
                        </w:r>
                        <w:r>
                          <w:rPr>
                            <w:color w:val="202024"/>
                            <w:spacing w:val="13"/>
                          </w:rPr>
                          <w:t xml:space="preserve"> </w:t>
                        </w:r>
                        <w:r>
                          <w:rPr>
                            <w:color w:val="202024"/>
                          </w:rPr>
                          <w:t>joint</w:t>
                        </w:r>
                        <w:r>
                          <w:rPr>
                            <w:color w:val="202024"/>
                            <w:spacing w:val="13"/>
                          </w:rPr>
                          <w:t xml:space="preserve"> </w:t>
                        </w:r>
                        <w:r>
                          <w:rPr>
                            <w:color w:val="202024"/>
                          </w:rPr>
                          <w:t>amendment</w:t>
                        </w:r>
                        <w:r>
                          <w:rPr>
                            <w:color w:val="202024"/>
                            <w:spacing w:val="13"/>
                          </w:rPr>
                          <w:t xml:space="preserve"> </w:t>
                        </w:r>
                        <w:r>
                          <w:rPr>
                            <w:color w:val="202024"/>
                          </w:rPr>
                          <w:t>to</w:t>
                        </w:r>
                        <w:r>
                          <w:rPr>
                            <w:color w:val="202024"/>
                            <w:spacing w:val="14"/>
                          </w:rPr>
                          <w:t xml:space="preserve"> </w:t>
                        </w:r>
                        <w:r>
                          <w:rPr>
                            <w:color w:val="202024"/>
                          </w:rPr>
                          <w:t>the</w:t>
                        </w:r>
                        <w:r>
                          <w:rPr>
                            <w:color w:val="202024"/>
                            <w:spacing w:val="13"/>
                          </w:rPr>
                          <w:t xml:space="preserve"> </w:t>
                        </w:r>
                        <w:r>
                          <w:rPr>
                            <w:color w:val="202024"/>
                          </w:rPr>
                          <w:t>legislation.</w:t>
                        </w:r>
                      </w:p>
                    </w:txbxContent>
                  </v:textbox>
                </v:shape>
                <v:shape id="Text Box 242" o:spid="_x0000_s1026" o:spt="202" type="#_x0000_t202" style="position:absolute;left:1312;top:-2182;height:247;width:492;" filled="f" stroked="f" coordsize="21600,21600" o:gfxdata="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Umxh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888257E">
                        <w:pPr>
                          <w:spacing w:line="246" w:lineRule="exact"/>
                          <w:rPr>
                            <w:sz w:val="21"/>
                          </w:rPr>
                        </w:pPr>
                        <w:r>
                          <w:rPr>
                            <w:color w:val="202024"/>
                            <w:sz w:val="21"/>
                          </w:rPr>
                          <w:t>none</w:t>
                        </w:r>
                      </w:p>
                    </w:txbxContent>
                  </v:textbox>
                </v:shape>
                <v:shape id="Text Box 241" o:spid="_x0000_s1026" o:spt="202" type="#_x0000_t202" style="position:absolute;left:1312;top:-1522;height:930;width:8277;" filled="f" stroked="f" coordsize="21600,21600" o:gfxdata="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ks&#10;Id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0ED634E">
                        <w:pPr>
                          <w:spacing w:line="247" w:lineRule="exact"/>
                        </w:pPr>
                        <w:r>
                          <w:rPr>
                            <w:color w:val="202024"/>
                          </w:rPr>
                          <w:t>in</w:t>
                        </w:r>
                        <w:r>
                          <w:rPr>
                            <w:color w:val="202024"/>
                            <w:spacing w:val="10"/>
                          </w:rPr>
                          <w:t xml:space="preserve"> </w:t>
                        </w:r>
                        <w:r>
                          <w:rPr>
                            <w:color w:val="202024"/>
                          </w:rPr>
                          <w:t>some</w:t>
                        </w:r>
                        <w:r>
                          <w:rPr>
                            <w:color w:val="202024"/>
                            <w:spacing w:val="10"/>
                          </w:rPr>
                          <w:t xml:space="preserve"> </w:t>
                        </w:r>
                        <w:r>
                          <w:rPr>
                            <w:color w:val="202024"/>
                          </w:rPr>
                          <w:t>cases</w:t>
                        </w:r>
                        <w:r>
                          <w:rPr>
                            <w:color w:val="202024"/>
                            <w:spacing w:val="11"/>
                          </w:rPr>
                          <w:t xml:space="preserve"> </w:t>
                        </w:r>
                        <w:r>
                          <w:rPr>
                            <w:color w:val="202024"/>
                          </w:rPr>
                          <w:t>the</w:t>
                        </w:r>
                        <w:r>
                          <w:rPr>
                            <w:color w:val="202024"/>
                            <w:spacing w:val="10"/>
                          </w:rPr>
                          <w:t xml:space="preserve"> </w:t>
                        </w:r>
                        <w:r>
                          <w:rPr>
                            <w:color w:val="202024"/>
                          </w:rPr>
                          <w:t>ad-hoc</w:t>
                        </w:r>
                        <w:r>
                          <w:rPr>
                            <w:color w:val="202024"/>
                            <w:spacing w:val="10"/>
                          </w:rPr>
                          <w:t xml:space="preserve"> </w:t>
                        </w:r>
                        <w:r>
                          <w:rPr>
                            <w:color w:val="202024"/>
                          </w:rPr>
                          <w:t>fiscal</w:t>
                        </w:r>
                        <w:r>
                          <w:rPr>
                            <w:color w:val="202024"/>
                            <w:spacing w:val="11"/>
                          </w:rPr>
                          <w:t xml:space="preserve"> </w:t>
                        </w:r>
                        <w:r>
                          <w:rPr>
                            <w:color w:val="202024"/>
                          </w:rPr>
                          <w:t>incentives</w:t>
                        </w:r>
                        <w:r>
                          <w:rPr>
                            <w:color w:val="202024"/>
                            <w:spacing w:val="10"/>
                          </w:rPr>
                          <w:t xml:space="preserve"> </w:t>
                        </w:r>
                        <w:r>
                          <w:rPr>
                            <w:color w:val="202024"/>
                          </w:rPr>
                          <w:t>are</w:t>
                        </w:r>
                        <w:r>
                          <w:rPr>
                            <w:color w:val="202024"/>
                            <w:spacing w:val="10"/>
                          </w:rPr>
                          <w:t xml:space="preserve"> </w:t>
                        </w:r>
                        <w:r>
                          <w:rPr>
                            <w:color w:val="202024"/>
                          </w:rPr>
                          <w:t>couched</w:t>
                        </w:r>
                        <w:r>
                          <w:rPr>
                            <w:color w:val="202024"/>
                            <w:spacing w:val="11"/>
                          </w:rPr>
                          <w:t xml:space="preserve"> </w:t>
                        </w:r>
                        <w:r>
                          <w:rPr>
                            <w:color w:val="202024"/>
                          </w:rPr>
                          <w:t>in</w:t>
                        </w:r>
                        <w:r>
                          <w:rPr>
                            <w:color w:val="202024"/>
                            <w:spacing w:val="10"/>
                          </w:rPr>
                          <w:t xml:space="preserve"> </w:t>
                        </w:r>
                        <w:r>
                          <w:rPr>
                            <w:color w:val="202024"/>
                          </w:rPr>
                          <w:t>sophisticated</w:t>
                        </w:r>
                        <w:r>
                          <w:rPr>
                            <w:color w:val="202024"/>
                            <w:spacing w:val="10"/>
                          </w:rPr>
                          <w:t xml:space="preserve"> </w:t>
                        </w:r>
                        <w:r>
                          <w:rPr>
                            <w:color w:val="202024"/>
                          </w:rPr>
                          <w:t>mathematical</w:t>
                        </w:r>
                      </w:p>
                      <w:p w14:paraId="3E077F61">
                        <w:pPr>
                          <w:spacing w:before="48" w:line="251" w:lineRule="exact"/>
                        </w:pPr>
                        <w:r>
                          <w:rPr>
                            <w:color w:val="202024"/>
                          </w:rPr>
                          <w:t>template</w:t>
                        </w:r>
                        <w:r>
                          <w:rPr>
                            <w:color w:val="202024"/>
                            <w:spacing w:val="11"/>
                          </w:rPr>
                          <w:t xml:space="preserve"> </w:t>
                        </w:r>
                        <w:r>
                          <w:rPr>
                            <w:color w:val="202024"/>
                          </w:rPr>
                          <w:t>that</w:t>
                        </w:r>
                        <w:r>
                          <w:rPr>
                            <w:color w:val="202024"/>
                            <w:spacing w:val="11"/>
                          </w:rPr>
                          <w:t xml:space="preserve"> </w:t>
                        </w:r>
                        <w:r>
                          <w:rPr>
                            <w:color w:val="202024"/>
                          </w:rPr>
                          <w:t>do</w:t>
                        </w:r>
                        <w:r>
                          <w:rPr>
                            <w:color w:val="202024"/>
                            <w:spacing w:val="11"/>
                          </w:rPr>
                          <w:t xml:space="preserve"> </w:t>
                        </w:r>
                        <w:r>
                          <w:rPr>
                            <w:color w:val="202024"/>
                          </w:rPr>
                          <w:t>not</w:t>
                        </w:r>
                        <w:r>
                          <w:rPr>
                            <w:color w:val="202024"/>
                            <w:spacing w:val="12"/>
                          </w:rPr>
                          <w:t xml:space="preserve"> </w:t>
                        </w:r>
                        <w:r>
                          <w:rPr>
                            <w:color w:val="202024"/>
                          </w:rPr>
                          <w:t>lead</w:t>
                        </w:r>
                        <w:r>
                          <w:rPr>
                            <w:color w:val="202024"/>
                            <w:spacing w:val="11"/>
                          </w:rPr>
                          <w:t xml:space="preserve"> </w:t>
                        </w:r>
                        <w:r>
                          <w:rPr>
                            <w:color w:val="202024"/>
                          </w:rPr>
                          <w:t>to</w:t>
                        </w:r>
                        <w:r>
                          <w:rPr>
                            <w:color w:val="202024"/>
                            <w:spacing w:val="11"/>
                          </w:rPr>
                          <w:t xml:space="preserve"> </w:t>
                        </w:r>
                        <w:r>
                          <w:rPr>
                            <w:color w:val="202024"/>
                          </w:rPr>
                          <w:t>ease</w:t>
                        </w:r>
                        <w:r>
                          <w:rPr>
                            <w:color w:val="202024"/>
                            <w:spacing w:val="12"/>
                          </w:rPr>
                          <w:t xml:space="preserve"> </w:t>
                        </w:r>
                        <w:r>
                          <w:rPr>
                            <w:color w:val="202024"/>
                          </w:rPr>
                          <w:t>of</w:t>
                        </w:r>
                        <w:r>
                          <w:rPr>
                            <w:color w:val="202024"/>
                            <w:spacing w:val="11"/>
                          </w:rPr>
                          <w:t xml:space="preserve"> </w:t>
                        </w:r>
                        <w:r>
                          <w:rPr>
                            <w:color w:val="202024"/>
                          </w:rPr>
                          <w:t>understanding</w:t>
                        </w:r>
                        <w:r>
                          <w:rPr>
                            <w:color w:val="202024"/>
                            <w:spacing w:val="11"/>
                          </w:rPr>
                          <w:t xml:space="preserve"> </w:t>
                        </w:r>
                        <w:r>
                          <w:rPr>
                            <w:color w:val="202024"/>
                          </w:rPr>
                          <w:t>for</w:t>
                        </w:r>
                        <w:r>
                          <w:rPr>
                            <w:color w:val="202024"/>
                            <w:spacing w:val="11"/>
                          </w:rPr>
                          <w:t xml:space="preserve"> </w:t>
                        </w:r>
                        <w:r>
                          <w:rPr>
                            <w:color w:val="202024"/>
                          </w:rPr>
                          <w:t>most</w:t>
                        </w:r>
                        <w:r>
                          <w:rPr>
                            <w:color w:val="202024"/>
                            <w:spacing w:val="12"/>
                          </w:rPr>
                          <w:t xml:space="preserve"> </w:t>
                        </w:r>
                        <w:r>
                          <w:rPr>
                            <w:color w:val="202024"/>
                          </w:rPr>
                          <w:t>tax</w:t>
                        </w:r>
                        <w:r>
                          <w:rPr>
                            <w:color w:val="202024"/>
                            <w:spacing w:val="11"/>
                          </w:rPr>
                          <w:t xml:space="preserve"> </w:t>
                        </w:r>
                        <w:r>
                          <w:rPr>
                            <w:color w:val="202024"/>
                          </w:rPr>
                          <w:t>professionals</w:t>
                        </w:r>
                      </w:p>
                    </w:txbxContent>
                  </v:textbox>
                </v:shape>
                <v:shape id="Text Box 240" o:spid="_x0000_s1026" o:spt="202" type="#_x0000_t202" style="position:absolute;left:1312;top:-562;height:247;width:4738;" filled="f" stroked="f" coordsize="21600,21600" o:gfxdata="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7&#10;Ci0F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7F1044D4">
                        <w:pPr>
                          <w:spacing w:line="246" w:lineRule="exact"/>
                        </w:pPr>
                        <w:r>
                          <w:rPr>
                            <w:color w:val="202024"/>
                          </w:rPr>
                          <w:t>adhoc</w:t>
                        </w:r>
                        <w:r>
                          <w:rPr>
                            <w:color w:val="202024"/>
                            <w:spacing w:val="10"/>
                          </w:rPr>
                          <w:t xml:space="preserve"> </w:t>
                        </w:r>
                        <w:r>
                          <w:rPr>
                            <w:color w:val="202024"/>
                          </w:rPr>
                          <w:t>policies</w:t>
                        </w:r>
                        <w:r>
                          <w:rPr>
                            <w:color w:val="202024"/>
                            <w:spacing w:val="11"/>
                          </w:rPr>
                          <w:t xml:space="preserve"> </w:t>
                        </w:r>
                        <w:r>
                          <w:rPr>
                            <w:color w:val="202024"/>
                          </w:rPr>
                          <w:t>are</w:t>
                        </w:r>
                        <w:r>
                          <w:rPr>
                            <w:color w:val="202024"/>
                            <w:spacing w:val="11"/>
                          </w:rPr>
                          <w:t xml:space="preserve"> </w:t>
                        </w:r>
                        <w:r>
                          <w:rPr>
                            <w:color w:val="202024"/>
                          </w:rPr>
                          <w:t>often</w:t>
                        </w:r>
                        <w:r>
                          <w:rPr>
                            <w:color w:val="202024"/>
                            <w:spacing w:val="11"/>
                          </w:rPr>
                          <w:t xml:space="preserve"> </w:t>
                        </w:r>
                        <w:r>
                          <w:rPr>
                            <w:color w:val="202024"/>
                          </w:rPr>
                          <w:t>in</w:t>
                        </w:r>
                        <w:r>
                          <w:rPr>
                            <w:color w:val="202024"/>
                            <w:spacing w:val="11"/>
                          </w:rPr>
                          <w:t xml:space="preserve"> </w:t>
                        </w:r>
                        <w:r>
                          <w:rPr>
                            <w:color w:val="202024"/>
                          </w:rPr>
                          <w:t>conflict</w:t>
                        </w:r>
                        <w:r>
                          <w:rPr>
                            <w:color w:val="202024"/>
                            <w:spacing w:val="11"/>
                          </w:rPr>
                          <w:t xml:space="preserve"> </w:t>
                        </w:r>
                        <w:r>
                          <w:rPr>
                            <w:color w:val="202024"/>
                          </w:rPr>
                          <w:t>with</w:t>
                        </w:r>
                        <w:r>
                          <w:rPr>
                            <w:color w:val="202024"/>
                            <w:spacing w:val="11"/>
                          </w:rPr>
                          <w:t xml:space="preserve"> </w:t>
                        </w:r>
                        <w:r>
                          <w:rPr>
                            <w:color w:val="202024"/>
                          </w:rPr>
                          <w:t>the</w:t>
                        </w:r>
                        <w:r>
                          <w:rPr>
                            <w:color w:val="202024"/>
                            <w:spacing w:val="11"/>
                          </w:rPr>
                          <w:t xml:space="preserve"> </w:t>
                        </w:r>
                        <w:r>
                          <w:rPr>
                            <w:color w:val="202024"/>
                          </w:rPr>
                          <w:t>PPTA</w:t>
                        </w:r>
                      </w:p>
                    </w:txbxContent>
                  </v:textbox>
                </v:shape>
              </v:group>
            </w:pict>
          </mc:Fallback>
        </mc:AlternateContent>
      </w:r>
    </w:p>
    <w:p w14:paraId="1EDD16CA">
      <w:pPr>
        <w:widowControl w:val="0"/>
        <w:autoSpaceDE w:val="0"/>
        <w:autoSpaceDN w:val="0"/>
        <w:rPr>
          <w:rFonts w:ascii="Roboto" w:hAnsi="Roboto" w:eastAsia="Roboto" w:cs="Roboto"/>
          <w:sz w:val="20"/>
          <w:szCs w:val="21"/>
        </w:rPr>
      </w:pPr>
    </w:p>
    <w:p w14:paraId="22BFF330">
      <w:pPr>
        <w:widowControl w:val="0"/>
        <w:autoSpaceDE w:val="0"/>
        <w:autoSpaceDN w:val="0"/>
        <w:rPr>
          <w:rFonts w:ascii="Roboto" w:hAnsi="Roboto" w:eastAsia="Roboto" w:cs="Roboto"/>
          <w:sz w:val="20"/>
          <w:szCs w:val="21"/>
        </w:rPr>
      </w:pPr>
    </w:p>
    <w:p w14:paraId="38E14DEE">
      <w:pPr>
        <w:widowControl w:val="0"/>
        <w:autoSpaceDE w:val="0"/>
        <w:autoSpaceDN w:val="0"/>
        <w:rPr>
          <w:rFonts w:ascii="Roboto" w:hAnsi="Roboto" w:eastAsia="Roboto" w:cs="Roboto"/>
          <w:sz w:val="20"/>
          <w:szCs w:val="21"/>
        </w:rPr>
      </w:pPr>
    </w:p>
    <w:p w14:paraId="367786F7">
      <w:pPr>
        <w:widowControl w:val="0"/>
        <w:autoSpaceDE w:val="0"/>
        <w:autoSpaceDN w:val="0"/>
        <w:rPr>
          <w:rFonts w:ascii="Roboto" w:hAnsi="Roboto" w:eastAsia="Roboto" w:cs="Roboto"/>
          <w:sz w:val="20"/>
          <w:szCs w:val="21"/>
        </w:rPr>
      </w:pPr>
    </w:p>
    <w:p w14:paraId="228193F7">
      <w:pPr>
        <w:widowControl w:val="0"/>
        <w:autoSpaceDE w:val="0"/>
        <w:autoSpaceDN w:val="0"/>
        <w:rPr>
          <w:rFonts w:ascii="Roboto" w:hAnsi="Roboto" w:eastAsia="Roboto" w:cs="Roboto"/>
          <w:sz w:val="20"/>
          <w:szCs w:val="21"/>
        </w:rPr>
      </w:pPr>
    </w:p>
    <w:p w14:paraId="6016233A">
      <w:pPr>
        <w:widowControl w:val="0"/>
        <w:autoSpaceDE w:val="0"/>
        <w:autoSpaceDN w:val="0"/>
        <w:rPr>
          <w:rFonts w:ascii="Roboto" w:hAnsi="Roboto" w:eastAsia="Roboto" w:cs="Roboto"/>
          <w:sz w:val="20"/>
          <w:szCs w:val="21"/>
        </w:rPr>
      </w:pPr>
    </w:p>
    <w:p w14:paraId="4C524043">
      <w:pPr>
        <w:widowControl w:val="0"/>
        <w:autoSpaceDE w:val="0"/>
        <w:autoSpaceDN w:val="0"/>
        <w:rPr>
          <w:rFonts w:ascii="Roboto" w:hAnsi="Roboto" w:eastAsia="Roboto" w:cs="Roboto"/>
          <w:sz w:val="20"/>
          <w:szCs w:val="21"/>
        </w:rPr>
      </w:pPr>
    </w:p>
    <w:p w14:paraId="0A781C2A">
      <w:pPr>
        <w:widowControl w:val="0"/>
        <w:autoSpaceDE w:val="0"/>
        <w:autoSpaceDN w:val="0"/>
        <w:rPr>
          <w:rFonts w:ascii="Roboto" w:hAnsi="Roboto" w:eastAsia="Roboto" w:cs="Roboto"/>
          <w:sz w:val="20"/>
          <w:szCs w:val="21"/>
        </w:rPr>
      </w:pPr>
    </w:p>
    <w:p w14:paraId="3CDD3839">
      <w:pPr>
        <w:widowControl w:val="0"/>
        <w:autoSpaceDE w:val="0"/>
        <w:autoSpaceDN w:val="0"/>
        <w:rPr>
          <w:rFonts w:ascii="Roboto" w:hAnsi="Roboto" w:eastAsia="Roboto" w:cs="Roboto"/>
          <w:sz w:val="20"/>
          <w:szCs w:val="21"/>
        </w:rPr>
      </w:pPr>
    </w:p>
    <w:p w14:paraId="0DC2A8B2">
      <w:pPr>
        <w:widowControl w:val="0"/>
        <w:autoSpaceDE w:val="0"/>
        <w:autoSpaceDN w:val="0"/>
        <w:rPr>
          <w:rFonts w:ascii="Roboto" w:hAnsi="Roboto" w:eastAsia="Roboto" w:cs="Roboto"/>
          <w:sz w:val="20"/>
          <w:szCs w:val="21"/>
        </w:rPr>
      </w:pPr>
    </w:p>
    <w:p w14:paraId="7FCE5ACD">
      <w:pPr>
        <w:widowControl w:val="0"/>
        <w:autoSpaceDE w:val="0"/>
        <w:autoSpaceDN w:val="0"/>
        <w:rPr>
          <w:rFonts w:ascii="Roboto" w:hAnsi="Roboto" w:eastAsia="Roboto" w:cs="Roboto"/>
          <w:sz w:val="20"/>
          <w:szCs w:val="21"/>
        </w:rPr>
      </w:pPr>
    </w:p>
    <w:p w14:paraId="2A7E55C6">
      <w:pPr>
        <w:widowControl w:val="0"/>
        <w:autoSpaceDE w:val="0"/>
        <w:autoSpaceDN w:val="0"/>
        <w:rPr>
          <w:rFonts w:ascii="Roboto" w:hAnsi="Roboto" w:eastAsia="Roboto" w:cs="Roboto"/>
          <w:sz w:val="20"/>
          <w:szCs w:val="21"/>
        </w:rPr>
      </w:pPr>
    </w:p>
    <w:p w14:paraId="4BAD449A">
      <w:pPr>
        <w:widowControl w:val="0"/>
        <w:autoSpaceDE w:val="0"/>
        <w:autoSpaceDN w:val="0"/>
        <w:rPr>
          <w:rFonts w:ascii="Roboto" w:hAnsi="Roboto" w:eastAsia="Roboto" w:cs="Roboto"/>
          <w:sz w:val="20"/>
          <w:szCs w:val="21"/>
        </w:rPr>
      </w:pPr>
    </w:p>
    <w:p w14:paraId="512DA036">
      <w:pPr>
        <w:widowControl w:val="0"/>
        <w:autoSpaceDE w:val="0"/>
        <w:autoSpaceDN w:val="0"/>
        <w:rPr>
          <w:rFonts w:ascii="Roboto" w:hAnsi="Roboto" w:eastAsia="Roboto" w:cs="Roboto"/>
          <w:sz w:val="20"/>
          <w:szCs w:val="21"/>
        </w:rPr>
      </w:pPr>
    </w:p>
    <w:p w14:paraId="5E681068">
      <w:pPr>
        <w:widowControl w:val="0"/>
        <w:autoSpaceDE w:val="0"/>
        <w:autoSpaceDN w:val="0"/>
        <w:rPr>
          <w:rFonts w:ascii="Roboto" w:hAnsi="Roboto" w:eastAsia="Roboto" w:cs="Roboto"/>
          <w:sz w:val="20"/>
          <w:szCs w:val="21"/>
        </w:rPr>
      </w:pPr>
    </w:p>
    <w:p w14:paraId="594A48FC">
      <w:pPr>
        <w:widowControl w:val="0"/>
        <w:autoSpaceDE w:val="0"/>
        <w:autoSpaceDN w:val="0"/>
        <w:rPr>
          <w:rFonts w:ascii="Roboto" w:hAnsi="Roboto" w:eastAsia="Roboto" w:cs="Roboto"/>
          <w:sz w:val="20"/>
          <w:szCs w:val="21"/>
        </w:rPr>
      </w:pPr>
    </w:p>
    <w:p w14:paraId="11DED845">
      <w:pPr>
        <w:widowControl w:val="0"/>
        <w:autoSpaceDE w:val="0"/>
        <w:autoSpaceDN w:val="0"/>
        <w:rPr>
          <w:rFonts w:ascii="Roboto" w:hAnsi="Roboto" w:eastAsia="Roboto" w:cs="Roboto"/>
          <w:sz w:val="20"/>
          <w:szCs w:val="21"/>
        </w:rPr>
      </w:pPr>
    </w:p>
    <w:p w14:paraId="2D1B980C">
      <w:pPr>
        <w:widowControl w:val="0"/>
        <w:autoSpaceDE w:val="0"/>
        <w:autoSpaceDN w:val="0"/>
        <w:rPr>
          <w:rFonts w:ascii="Roboto" w:hAnsi="Roboto" w:eastAsia="Roboto" w:cs="Roboto"/>
          <w:sz w:val="20"/>
          <w:szCs w:val="21"/>
        </w:rPr>
      </w:pPr>
    </w:p>
    <w:p w14:paraId="16A4DB0E">
      <w:pPr>
        <w:widowControl w:val="0"/>
        <w:autoSpaceDE w:val="0"/>
        <w:autoSpaceDN w:val="0"/>
        <w:rPr>
          <w:rFonts w:ascii="Roboto" w:hAnsi="Roboto" w:eastAsia="Roboto" w:cs="Roboto"/>
          <w:sz w:val="20"/>
          <w:szCs w:val="21"/>
        </w:rPr>
      </w:pPr>
    </w:p>
    <w:p w14:paraId="4D7461A1">
      <w:pPr>
        <w:widowControl w:val="0"/>
        <w:autoSpaceDE w:val="0"/>
        <w:autoSpaceDN w:val="0"/>
        <w:rPr>
          <w:rFonts w:ascii="Roboto" w:hAnsi="Roboto" w:eastAsia="Roboto" w:cs="Roboto"/>
          <w:sz w:val="20"/>
          <w:szCs w:val="21"/>
        </w:rPr>
      </w:pPr>
    </w:p>
    <w:p w14:paraId="04D24A83">
      <w:pPr>
        <w:widowControl w:val="0"/>
        <w:autoSpaceDE w:val="0"/>
        <w:autoSpaceDN w:val="0"/>
        <w:rPr>
          <w:rFonts w:ascii="Roboto" w:hAnsi="Roboto" w:eastAsia="Roboto" w:cs="Roboto"/>
          <w:sz w:val="20"/>
          <w:szCs w:val="21"/>
        </w:rPr>
      </w:pPr>
      <w:r>
        <mc:AlternateContent>
          <mc:Choice Requires="wpg">
            <w:drawing>
              <wp:anchor distT="0" distB="0" distL="114300" distR="114300" simplePos="0" relativeHeight="251705344" behindDoc="0" locked="0" layoutInCell="1" allowOverlap="1">
                <wp:simplePos x="0" y="0"/>
                <wp:positionH relativeFrom="page">
                  <wp:posOffset>957580</wp:posOffset>
                </wp:positionH>
                <wp:positionV relativeFrom="paragraph">
                  <wp:posOffset>109855</wp:posOffset>
                </wp:positionV>
                <wp:extent cx="6096000" cy="3743325"/>
                <wp:effectExtent l="5080" t="0" r="4445" b="0"/>
                <wp:wrapNone/>
                <wp:docPr id="2111840207" name="Group 211"/>
                <wp:cNvGraphicFramePr/>
                <a:graphic xmlns:a="http://schemas.openxmlformats.org/drawingml/2006/main">
                  <a:graphicData uri="http://schemas.microsoft.com/office/word/2010/wordprocessingGroup">
                    <wpg:wgp>
                      <wpg:cNvGrpSpPr/>
                      <wpg:grpSpPr>
                        <a:xfrm>
                          <a:off x="0" y="0"/>
                          <a:ext cx="6096000" cy="3743325"/>
                          <a:chOff x="1155" y="608"/>
                          <a:chExt cx="9600" cy="5895"/>
                        </a:xfrm>
                        <a:effectLst/>
                      </wpg:grpSpPr>
                      <wps:wsp>
                        <wps:cNvPr id="1096640065" name="Freeform 238"/>
                        <wps:cNvSpPr/>
                        <wps:spPr bwMode="auto">
                          <a:xfrm>
                            <a:off x="1154" y="608"/>
                            <a:ext cx="9600" cy="5895"/>
                          </a:xfrm>
                          <a:custGeom>
                            <a:avLst/>
                            <a:gdLst>
                              <a:gd name="T0" fmla="*/ 9600 w 9600"/>
                              <a:gd name="T1" fmla="*/ 608 h 5895"/>
                              <a:gd name="T2" fmla="*/ 9585 w 9600"/>
                              <a:gd name="T3" fmla="*/ 608 h 5895"/>
                              <a:gd name="T4" fmla="*/ 9585 w 9600"/>
                              <a:gd name="T5" fmla="*/ 6383 h 5895"/>
                              <a:gd name="T6" fmla="*/ 9584 w 9600"/>
                              <a:gd name="T7" fmla="*/ 6393 h 5895"/>
                              <a:gd name="T8" fmla="*/ 9561 w 9600"/>
                              <a:gd name="T9" fmla="*/ 6450 h 5895"/>
                              <a:gd name="T10" fmla="*/ 9553 w 9600"/>
                              <a:gd name="T11" fmla="*/ 6458 h 5895"/>
                              <a:gd name="T12" fmla="*/ 9490 w 9600"/>
                              <a:gd name="T13" fmla="*/ 6488 h 5895"/>
                              <a:gd name="T14" fmla="*/ 9480 w 9600"/>
                              <a:gd name="T15" fmla="*/ 6488 h 5895"/>
                              <a:gd name="T16" fmla="*/ 120 w 9600"/>
                              <a:gd name="T17" fmla="*/ 6488 h 5895"/>
                              <a:gd name="T18" fmla="*/ 62 w 9600"/>
                              <a:gd name="T19" fmla="*/ 6470 h 5895"/>
                              <a:gd name="T20" fmla="*/ 47 w 9600"/>
                              <a:gd name="T21" fmla="*/ 6458 h 5895"/>
                              <a:gd name="T22" fmla="*/ 39 w 9600"/>
                              <a:gd name="T23" fmla="*/ 6450 h 5895"/>
                              <a:gd name="T24" fmla="*/ 15 w 9600"/>
                              <a:gd name="T25" fmla="*/ 6393 h 5895"/>
                              <a:gd name="T26" fmla="*/ 15 w 9600"/>
                              <a:gd name="T27" fmla="*/ 6383 h 5895"/>
                              <a:gd name="T28" fmla="*/ 15 w 9600"/>
                              <a:gd name="T29" fmla="*/ 608 h 5895"/>
                              <a:gd name="T30" fmla="*/ 0 w 9600"/>
                              <a:gd name="T31" fmla="*/ 608 h 5895"/>
                              <a:gd name="T32" fmla="*/ 0 w 9600"/>
                              <a:gd name="T33" fmla="*/ 6383 h 5895"/>
                              <a:gd name="T34" fmla="*/ 1 w 9600"/>
                              <a:gd name="T35" fmla="*/ 6395 h 5895"/>
                              <a:gd name="T36" fmla="*/ 27 w 9600"/>
                              <a:gd name="T37" fmla="*/ 6459 h 5895"/>
                              <a:gd name="T38" fmla="*/ 35 w 9600"/>
                              <a:gd name="T39" fmla="*/ 6468 h 5895"/>
                              <a:gd name="T40" fmla="*/ 97 w 9600"/>
                              <a:gd name="T41" fmla="*/ 6501 h 5895"/>
                              <a:gd name="T42" fmla="*/ 120 w 9600"/>
                              <a:gd name="T43" fmla="*/ 6503 h 5895"/>
                              <a:gd name="T44" fmla="*/ 9480 w 9600"/>
                              <a:gd name="T45" fmla="*/ 6503 h 5895"/>
                              <a:gd name="T46" fmla="*/ 9547 w 9600"/>
                              <a:gd name="T47" fmla="*/ 6483 h 5895"/>
                              <a:gd name="T48" fmla="*/ 9564 w 9600"/>
                              <a:gd name="T49" fmla="*/ 6469 h 5895"/>
                              <a:gd name="T50" fmla="*/ 9565 w 9600"/>
                              <a:gd name="T51" fmla="*/ 6468 h 5895"/>
                              <a:gd name="T52" fmla="*/ 9573 w 9600"/>
                              <a:gd name="T53" fmla="*/ 6459 h 5895"/>
                              <a:gd name="T54" fmla="*/ 9580 w 9600"/>
                              <a:gd name="T55" fmla="*/ 6450 h 5895"/>
                              <a:gd name="T56" fmla="*/ 9600 w 9600"/>
                              <a:gd name="T57" fmla="*/ 6383 h 5895"/>
                              <a:gd name="T58" fmla="*/ 9600 w 9600"/>
                              <a:gd name="T59" fmla="*/ 608 h 58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00" h="5895">
                                <a:moveTo>
                                  <a:pt x="9600" y="0"/>
                                </a:moveTo>
                                <a:lnTo>
                                  <a:pt x="9585" y="0"/>
                                </a:lnTo>
                                <a:lnTo>
                                  <a:pt x="9585" y="5775"/>
                                </a:lnTo>
                                <a:lnTo>
                                  <a:pt x="9584" y="5785"/>
                                </a:lnTo>
                                <a:lnTo>
                                  <a:pt x="9561" y="5842"/>
                                </a:lnTo>
                                <a:lnTo>
                                  <a:pt x="9553" y="5850"/>
                                </a:lnTo>
                                <a:lnTo>
                                  <a:pt x="9490" y="5880"/>
                                </a:lnTo>
                                <a:lnTo>
                                  <a:pt x="9480" y="5880"/>
                                </a:lnTo>
                                <a:lnTo>
                                  <a:pt x="120" y="5880"/>
                                </a:lnTo>
                                <a:lnTo>
                                  <a:pt x="62" y="5862"/>
                                </a:lnTo>
                                <a:lnTo>
                                  <a:pt x="47" y="5850"/>
                                </a:lnTo>
                                <a:lnTo>
                                  <a:pt x="39" y="5842"/>
                                </a:lnTo>
                                <a:lnTo>
                                  <a:pt x="15" y="5785"/>
                                </a:lnTo>
                                <a:lnTo>
                                  <a:pt x="15" y="5775"/>
                                </a:lnTo>
                                <a:lnTo>
                                  <a:pt x="15" y="0"/>
                                </a:lnTo>
                                <a:lnTo>
                                  <a:pt x="0" y="0"/>
                                </a:lnTo>
                                <a:lnTo>
                                  <a:pt x="0" y="5775"/>
                                </a:lnTo>
                                <a:lnTo>
                                  <a:pt x="1" y="5787"/>
                                </a:lnTo>
                                <a:lnTo>
                                  <a:pt x="27" y="5851"/>
                                </a:lnTo>
                                <a:lnTo>
                                  <a:pt x="35" y="5860"/>
                                </a:lnTo>
                                <a:lnTo>
                                  <a:pt x="97" y="5893"/>
                                </a:lnTo>
                                <a:lnTo>
                                  <a:pt x="120" y="5895"/>
                                </a:lnTo>
                                <a:lnTo>
                                  <a:pt x="9480" y="5895"/>
                                </a:lnTo>
                                <a:lnTo>
                                  <a:pt x="9547" y="5875"/>
                                </a:lnTo>
                                <a:lnTo>
                                  <a:pt x="9564" y="5861"/>
                                </a:lnTo>
                                <a:lnTo>
                                  <a:pt x="9565" y="5860"/>
                                </a:lnTo>
                                <a:lnTo>
                                  <a:pt x="9573" y="5851"/>
                                </a:lnTo>
                                <a:lnTo>
                                  <a:pt x="9580" y="5842"/>
                                </a:lnTo>
                                <a:lnTo>
                                  <a:pt x="9600" y="5775"/>
                                </a:lnTo>
                                <a:lnTo>
                                  <a:pt x="9600" y="0"/>
                                </a:lnTo>
                                <a:close/>
                              </a:path>
                            </a:pathLst>
                          </a:custGeom>
                          <a:solidFill>
                            <a:srgbClr val="D9DBDF"/>
                          </a:solidFill>
                          <a:ln>
                            <a:noFill/>
                          </a:ln>
                          <a:effectLst/>
                        </wps:spPr>
                        <wps:bodyPr rot="0" vert="horz" wrap="square" lIns="91440" tIns="45720" rIns="91440" bIns="45720" anchor="t" anchorCtr="0" upright="1">
                          <a:noAutofit/>
                        </wps:bodyPr>
                      </wps:wsp>
                      <pic:pic xmlns:pic="http://schemas.openxmlformats.org/drawingml/2006/picture">
                        <pic:nvPicPr>
                          <pic:cNvPr id="1030642446" name="Picture 2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728"/>
                            <a:ext cx="255" cy="300"/>
                          </a:xfrm>
                          <a:prstGeom prst="rect">
                            <a:avLst/>
                          </a:prstGeom>
                          <a:noFill/>
                          <a:ln>
                            <a:noFill/>
                          </a:ln>
                          <a:effectLst/>
                        </pic:spPr>
                      </pic:pic>
                      <wps:wsp>
                        <wps:cNvPr id="945888755" name="Rectangle 236"/>
                        <wps:cNvSpPr>
                          <a:spLocks noChangeArrowheads="1"/>
                        </wps:cNvSpPr>
                        <wps:spPr bwMode="auto">
                          <a:xfrm>
                            <a:off x="1170" y="2888"/>
                            <a:ext cx="9030" cy="3600"/>
                          </a:xfrm>
                          <a:prstGeom prst="rect">
                            <a:avLst/>
                          </a:prstGeom>
                          <a:solidFill>
                            <a:srgbClr val="FFFFFF"/>
                          </a:solidFill>
                          <a:ln>
                            <a:noFill/>
                          </a:ln>
                          <a:effectLst/>
                        </wps:spPr>
                        <wps:bodyPr rot="0" vert="horz" wrap="square" lIns="91440" tIns="45720" rIns="91440" bIns="45720" anchor="t" anchorCtr="0" upright="1">
                          <a:noAutofit/>
                        </wps:bodyPr>
                      </wps:wsp>
                      <wps:wsp>
                        <wps:cNvPr id="1101837028" name="Rectangle 235"/>
                        <wps:cNvSpPr>
                          <a:spLocks noChangeArrowheads="1"/>
                        </wps:cNvSpPr>
                        <wps:spPr bwMode="auto">
                          <a:xfrm>
                            <a:off x="2070" y="3038"/>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615647626" name="AutoShape 234"/>
                        <wps:cNvSpPr/>
                        <wps:spPr bwMode="auto">
                          <a:xfrm>
                            <a:off x="2069" y="3038"/>
                            <a:ext cx="8130" cy="2700"/>
                          </a:xfrm>
                          <a:custGeom>
                            <a:avLst/>
                            <a:gdLst>
                              <a:gd name="T0" fmla="*/ 6810 w 8130"/>
                              <a:gd name="T1" fmla="*/ 4823 h 2700"/>
                              <a:gd name="T2" fmla="*/ 0 w 8130"/>
                              <a:gd name="T3" fmla="*/ 4823 h 2700"/>
                              <a:gd name="T4" fmla="*/ 0 w 8130"/>
                              <a:gd name="T5" fmla="*/ 4838 h 2700"/>
                              <a:gd name="T6" fmla="*/ 6810 w 8130"/>
                              <a:gd name="T7" fmla="*/ 4838 h 2700"/>
                              <a:gd name="T8" fmla="*/ 6810 w 8130"/>
                              <a:gd name="T9" fmla="*/ 4823 h 2700"/>
                              <a:gd name="T10" fmla="*/ 6810 w 8130"/>
                              <a:gd name="T11" fmla="*/ 3938 h 2700"/>
                              <a:gd name="T12" fmla="*/ 0 w 8130"/>
                              <a:gd name="T13" fmla="*/ 3938 h 2700"/>
                              <a:gd name="T14" fmla="*/ 0 w 8130"/>
                              <a:gd name="T15" fmla="*/ 3953 h 2700"/>
                              <a:gd name="T16" fmla="*/ 6810 w 8130"/>
                              <a:gd name="T17" fmla="*/ 3953 h 2700"/>
                              <a:gd name="T18" fmla="*/ 6810 w 8130"/>
                              <a:gd name="T19" fmla="*/ 3938 h 2700"/>
                              <a:gd name="T20" fmla="*/ 8130 w 8130"/>
                              <a:gd name="T21" fmla="*/ 5723 h 2700"/>
                              <a:gd name="T22" fmla="*/ 0 w 8130"/>
                              <a:gd name="T23" fmla="*/ 5723 h 2700"/>
                              <a:gd name="T24" fmla="*/ 0 w 8130"/>
                              <a:gd name="T25" fmla="*/ 5738 h 2700"/>
                              <a:gd name="T26" fmla="*/ 8130 w 8130"/>
                              <a:gd name="T27" fmla="*/ 5738 h 2700"/>
                              <a:gd name="T28" fmla="*/ 8130 w 8130"/>
                              <a:gd name="T29" fmla="*/ 5723 h 2700"/>
                              <a:gd name="T30" fmla="*/ 8130 w 8130"/>
                              <a:gd name="T31" fmla="*/ 4823 h 2700"/>
                              <a:gd name="T32" fmla="*/ 7815 w 8130"/>
                              <a:gd name="T33" fmla="*/ 4823 h 2700"/>
                              <a:gd name="T34" fmla="*/ 7815 w 8130"/>
                              <a:gd name="T35" fmla="*/ 4838 h 2700"/>
                              <a:gd name="T36" fmla="*/ 8130 w 8130"/>
                              <a:gd name="T37" fmla="*/ 4838 h 2700"/>
                              <a:gd name="T38" fmla="*/ 8130 w 8130"/>
                              <a:gd name="T39" fmla="*/ 4823 h 2700"/>
                              <a:gd name="T40" fmla="*/ 8130 w 8130"/>
                              <a:gd name="T41" fmla="*/ 3938 h 2700"/>
                              <a:gd name="T42" fmla="*/ 7815 w 8130"/>
                              <a:gd name="T43" fmla="*/ 3938 h 2700"/>
                              <a:gd name="T44" fmla="*/ 7815 w 8130"/>
                              <a:gd name="T45" fmla="*/ 3953 h 2700"/>
                              <a:gd name="T46" fmla="*/ 8130 w 8130"/>
                              <a:gd name="T47" fmla="*/ 3953 h 2700"/>
                              <a:gd name="T48" fmla="*/ 8130 w 8130"/>
                              <a:gd name="T49" fmla="*/ 3938 h 2700"/>
                              <a:gd name="T50" fmla="*/ 8130 w 8130"/>
                              <a:gd name="T51" fmla="*/ 3038 h 2700"/>
                              <a:gd name="T52" fmla="*/ 0 w 8130"/>
                              <a:gd name="T53" fmla="*/ 3038 h 2700"/>
                              <a:gd name="T54" fmla="*/ 0 w 8130"/>
                              <a:gd name="T55" fmla="*/ 3053 h 2700"/>
                              <a:gd name="T56" fmla="*/ 8130 w 8130"/>
                              <a:gd name="T57" fmla="*/ 3053 h 2700"/>
                              <a:gd name="T58" fmla="*/ 8130 w 8130"/>
                              <a:gd name="T59" fmla="*/ 3038 h 27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30" h="2700">
                                <a:moveTo>
                                  <a:pt x="6810" y="1785"/>
                                </a:moveTo>
                                <a:lnTo>
                                  <a:pt x="0" y="1785"/>
                                </a:lnTo>
                                <a:lnTo>
                                  <a:pt x="0" y="1800"/>
                                </a:lnTo>
                                <a:lnTo>
                                  <a:pt x="6810" y="1800"/>
                                </a:lnTo>
                                <a:lnTo>
                                  <a:pt x="6810" y="1785"/>
                                </a:lnTo>
                                <a:close/>
                                <a:moveTo>
                                  <a:pt x="6810" y="900"/>
                                </a:moveTo>
                                <a:lnTo>
                                  <a:pt x="0" y="900"/>
                                </a:lnTo>
                                <a:lnTo>
                                  <a:pt x="0" y="915"/>
                                </a:lnTo>
                                <a:lnTo>
                                  <a:pt x="6810" y="915"/>
                                </a:lnTo>
                                <a:lnTo>
                                  <a:pt x="6810" y="900"/>
                                </a:lnTo>
                                <a:close/>
                                <a:moveTo>
                                  <a:pt x="8130" y="2685"/>
                                </a:moveTo>
                                <a:lnTo>
                                  <a:pt x="0" y="2685"/>
                                </a:lnTo>
                                <a:lnTo>
                                  <a:pt x="0" y="2700"/>
                                </a:lnTo>
                                <a:lnTo>
                                  <a:pt x="8130" y="2700"/>
                                </a:lnTo>
                                <a:lnTo>
                                  <a:pt x="8130" y="2685"/>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982787959" name="AutoShape 233"/>
                        <wps:cNvSpPr/>
                        <wps:spPr bwMode="auto">
                          <a:xfrm>
                            <a:off x="2069" y="3488"/>
                            <a:ext cx="8130" cy="1800"/>
                          </a:xfrm>
                          <a:custGeom>
                            <a:avLst/>
                            <a:gdLst>
                              <a:gd name="T0" fmla="*/ 5190 w 8130"/>
                              <a:gd name="T1" fmla="*/ 5273 h 1800"/>
                              <a:gd name="T2" fmla="*/ 0 w 8130"/>
                              <a:gd name="T3" fmla="*/ 5273 h 1800"/>
                              <a:gd name="T4" fmla="*/ 0 w 8130"/>
                              <a:gd name="T5" fmla="*/ 5288 h 1800"/>
                              <a:gd name="T6" fmla="*/ 5190 w 8130"/>
                              <a:gd name="T7" fmla="*/ 5288 h 1800"/>
                              <a:gd name="T8" fmla="*/ 5190 w 8130"/>
                              <a:gd name="T9" fmla="*/ 5273 h 1800"/>
                              <a:gd name="T10" fmla="*/ 6810 w 8130"/>
                              <a:gd name="T11" fmla="*/ 5273 h 1800"/>
                              <a:gd name="T12" fmla="*/ 6195 w 8130"/>
                              <a:gd name="T13" fmla="*/ 5273 h 1800"/>
                              <a:gd name="T14" fmla="*/ 6195 w 8130"/>
                              <a:gd name="T15" fmla="*/ 5288 h 1800"/>
                              <a:gd name="T16" fmla="*/ 6810 w 8130"/>
                              <a:gd name="T17" fmla="*/ 5288 h 1800"/>
                              <a:gd name="T18" fmla="*/ 6810 w 8130"/>
                              <a:gd name="T19" fmla="*/ 5273 h 1800"/>
                              <a:gd name="T20" fmla="*/ 6810 w 8130"/>
                              <a:gd name="T21" fmla="*/ 4388 h 1800"/>
                              <a:gd name="T22" fmla="*/ 0 w 8130"/>
                              <a:gd name="T23" fmla="*/ 4388 h 1800"/>
                              <a:gd name="T24" fmla="*/ 0 w 8130"/>
                              <a:gd name="T25" fmla="*/ 4403 h 1800"/>
                              <a:gd name="T26" fmla="*/ 6810 w 8130"/>
                              <a:gd name="T27" fmla="*/ 4403 h 1800"/>
                              <a:gd name="T28" fmla="*/ 6810 w 8130"/>
                              <a:gd name="T29" fmla="*/ 4388 h 1800"/>
                              <a:gd name="T30" fmla="*/ 6810 w 8130"/>
                              <a:gd name="T31" fmla="*/ 3488 h 1800"/>
                              <a:gd name="T32" fmla="*/ 0 w 8130"/>
                              <a:gd name="T33" fmla="*/ 3488 h 1800"/>
                              <a:gd name="T34" fmla="*/ 0 w 8130"/>
                              <a:gd name="T35" fmla="*/ 3503 h 1800"/>
                              <a:gd name="T36" fmla="*/ 6810 w 8130"/>
                              <a:gd name="T37" fmla="*/ 3503 h 1800"/>
                              <a:gd name="T38" fmla="*/ 6810 w 8130"/>
                              <a:gd name="T39" fmla="*/ 3488 h 1800"/>
                              <a:gd name="T40" fmla="*/ 8130 w 8130"/>
                              <a:gd name="T41" fmla="*/ 5273 h 1800"/>
                              <a:gd name="T42" fmla="*/ 7815 w 8130"/>
                              <a:gd name="T43" fmla="*/ 5273 h 1800"/>
                              <a:gd name="T44" fmla="*/ 7815 w 8130"/>
                              <a:gd name="T45" fmla="*/ 5288 h 1800"/>
                              <a:gd name="T46" fmla="*/ 8130 w 8130"/>
                              <a:gd name="T47" fmla="*/ 5288 h 1800"/>
                              <a:gd name="T48" fmla="*/ 8130 w 8130"/>
                              <a:gd name="T49" fmla="*/ 5273 h 1800"/>
                              <a:gd name="T50" fmla="*/ 8130 w 8130"/>
                              <a:gd name="T51" fmla="*/ 4388 h 1800"/>
                              <a:gd name="T52" fmla="*/ 7815 w 8130"/>
                              <a:gd name="T53" fmla="*/ 4388 h 1800"/>
                              <a:gd name="T54" fmla="*/ 7815 w 8130"/>
                              <a:gd name="T55" fmla="*/ 4403 h 1800"/>
                              <a:gd name="T56" fmla="*/ 8130 w 8130"/>
                              <a:gd name="T57" fmla="*/ 4403 h 1800"/>
                              <a:gd name="T58" fmla="*/ 8130 w 8130"/>
                              <a:gd name="T59" fmla="*/ 4388 h 1800"/>
                              <a:gd name="T60" fmla="*/ 8130 w 8130"/>
                              <a:gd name="T61" fmla="*/ 3488 h 1800"/>
                              <a:gd name="T62" fmla="*/ 7815 w 8130"/>
                              <a:gd name="T63" fmla="*/ 3488 h 1800"/>
                              <a:gd name="T64" fmla="*/ 7815 w 8130"/>
                              <a:gd name="T65" fmla="*/ 3503 h 1800"/>
                              <a:gd name="T66" fmla="*/ 8130 w 8130"/>
                              <a:gd name="T67" fmla="*/ 3503 h 1800"/>
                              <a:gd name="T68" fmla="*/ 8130 w 8130"/>
                              <a:gd name="T69" fmla="*/ 3488 h 18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130" h="1800">
                                <a:moveTo>
                                  <a:pt x="5190" y="1785"/>
                                </a:moveTo>
                                <a:lnTo>
                                  <a:pt x="0" y="1785"/>
                                </a:lnTo>
                                <a:lnTo>
                                  <a:pt x="0" y="1800"/>
                                </a:lnTo>
                                <a:lnTo>
                                  <a:pt x="5190" y="1800"/>
                                </a:lnTo>
                                <a:lnTo>
                                  <a:pt x="5190" y="1785"/>
                                </a:lnTo>
                                <a:close/>
                                <a:moveTo>
                                  <a:pt x="6810" y="1785"/>
                                </a:moveTo>
                                <a:lnTo>
                                  <a:pt x="6195" y="1785"/>
                                </a:lnTo>
                                <a:lnTo>
                                  <a:pt x="6195" y="1800"/>
                                </a:lnTo>
                                <a:lnTo>
                                  <a:pt x="6810" y="1800"/>
                                </a:lnTo>
                                <a:lnTo>
                                  <a:pt x="6810" y="1785"/>
                                </a:lnTo>
                                <a:close/>
                                <a:moveTo>
                                  <a:pt x="6810" y="900"/>
                                </a:moveTo>
                                <a:lnTo>
                                  <a:pt x="0" y="900"/>
                                </a:lnTo>
                                <a:lnTo>
                                  <a:pt x="0" y="915"/>
                                </a:lnTo>
                                <a:lnTo>
                                  <a:pt x="6810" y="915"/>
                                </a:lnTo>
                                <a:lnTo>
                                  <a:pt x="6810" y="900"/>
                                </a:lnTo>
                                <a:close/>
                                <a:moveTo>
                                  <a:pt x="6810" y="0"/>
                                </a:moveTo>
                                <a:lnTo>
                                  <a:pt x="0" y="0"/>
                                </a:lnTo>
                                <a:lnTo>
                                  <a:pt x="0" y="15"/>
                                </a:lnTo>
                                <a:lnTo>
                                  <a:pt x="6810" y="15"/>
                                </a:lnTo>
                                <a:lnTo>
                                  <a:pt x="6810" y="0"/>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7815" y="0"/>
                                </a:lnTo>
                                <a:lnTo>
                                  <a:pt x="7815"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237491674" name="AutoShape 232"/>
                        <wps:cNvSpPr/>
                        <wps:spPr bwMode="auto">
                          <a:xfrm>
                            <a:off x="2384" y="3053"/>
                            <a:ext cx="7500" cy="2678"/>
                          </a:xfrm>
                          <a:custGeom>
                            <a:avLst/>
                            <a:gdLst>
                              <a:gd name="T0" fmla="*/ 1005 w 7500"/>
                              <a:gd name="T1" fmla="*/ 5723 h 2678"/>
                              <a:gd name="T2" fmla="*/ 0 w 7500"/>
                              <a:gd name="T3" fmla="*/ 5723 h 2678"/>
                              <a:gd name="T4" fmla="*/ 0 w 7500"/>
                              <a:gd name="T5" fmla="*/ 5731 h 2678"/>
                              <a:gd name="T6" fmla="*/ 1005 w 7500"/>
                              <a:gd name="T7" fmla="*/ 5731 h 2678"/>
                              <a:gd name="T8" fmla="*/ 1005 w 7500"/>
                              <a:gd name="T9" fmla="*/ 5723 h 2678"/>
                              <a:gd name="T10" fmla="*/ 2625 w 7500"/>
                              <a:gd name="T11" fmla="*/ 5723 h 2678"/>
                              <a:gd name="T12" fmla="*/ 1620 w 7500"/>
                              <a:gd name="T13" fmla="*/ 5723 h 2678"/>
                              <a:gd name="T14" fmla="*/ 1620 w 7500"/>
                              <a:gd name="T15" fmla="*/ 5731 h 2678"/>
                              <a:gd name="T16" fmla="*/ 2625 w 7500"/>
                              <a:gd name="T17" fmla="*/ 5731 h 2678"/>
                              <a:gd name="T18" fmla="*/ 2625 w 7500"/>
                              <a:gd name="T19" fmla="*/ 5723 h 2678"/>
                              <a:gd name="T20" fmla="*/ 4245 w 7500"/>
                              <a:gd name="T21" fmla="*/ 5558 h 2678"/>
                              <a:gd name="T22" fmla="*/ 3255 w 7500"/>
                              <a:gd name="T23" fmla="*/ 5558 h 2678"/>
                              <a:gd name="T24" fmla="*/ 3255 w 7500"/>
                              <a:gd name="T25" fmla="*/ 5723 h 2678"/>
                              <a:gd name="T26" fmla="*/ 4245 w 7500"/>
                              <a:gd name="T27" fmla="*/ 5723 h 2678"/>
                              <a:gd name="T28" fmla="*/ 4245 w 7500"/>
                              <a:gd name="T29" fmla="*/ 5558 h 2678"/>
                              <a:gd name="T30" fmla="*/ 7500 w 7500"/>
                              <a:gd name="T31" fmla="*/ 3053 h 2678"/>
                              <a:gd name="T32" fmla="*/ 6495 w 7500"/>
                              <a:gd name="T33" fmla="*/ 3053 h 2678"/>
                              <a:gd name="T34" fmla="*/ 6495 w 7500"/>
                              <a:gd name="T35" fmla="*/ 5723 h 2678"/>
                              <a:gd name="T36" fmla="*/ 7500 w 7500"/>
                              <a:gd name="T37" fmla="*/ 5723 h 2678"/>
                              <a:gd name="T38" fmla="*/ 7500 w 7500"/>
                              <a:gd name="T39" fmla="*/ 3053 h 267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500" h="2678">
                                <a:moveTo>
                                  <a:pt x="1005" y="2670"/>
                                </a:moveTo>
                                <a:lnTo>
                                  <a:pt x="0" y="2670"/>
                                </a:lnTo>
                                <a:lnTo>
                                  <a:pt x="0" y="2678"/>
                                </a:lnTo>
                                <a:lnTo>
                                  <a:pt x="1005" y="2678"/>
                                </a:lnTo>
                                <a:lnTo>
                                  <a:pt x="1005" y="2670"/>
                                </a:lnTo>
                                <a:close/>
                                <a:moveTo>
                                  <a:pt x="2625" y="2670"/>
                                </a:moveTo>
                                <a:lnTo>
                                  <a:pt x="1620" y="2670"/>
                                </a:lnTo>
                                <a:lnTo>
                                  <a:pt x="1620" y="2678"/>
                                </a:lnTo>
                                <a:lnTo>
                                  <a:pt x="2625" y="2678"/>
                                </a:lnTo>
                                <a:lnTo>
                                  <a:pt x="2625" y="2670"/>
                                </a:lnTo>
                                <a:close/>
                                <a:moveTo>
                                  <a:pt x="4245" y="2505"/>
                                </a:moveTo>
                                <a:lnTo>
                                  <a:pt x="3255" y="2505"/>
                                </a:lnTo>
                                <a:lnTo>
                                  <a:pt x="3255" y="2670"/>
                                </a:lnTo>
                                <a:lnTo>
                                  <a:pt x="4245" y="2670"/>
                                </a:lnTo>
                                <a:lnTo>
                                  <a:pt x="4245" y="2505"/>
                                </a:lnTo>
                                <a:close/>
                                <a:moveTo>
                                  <a:pt x="7500" y="0"/>
                                </a:moveTo>
                                <a:lnTo>
                                  <a:pt x="6495" y="0"/>
                                </a:lnTo>
                                <a:lnTo>
                                  <a:pt x="6495" y="2670"/>
                                </a:lnTo>
                                <a:lnTo>
                                  <a:pt x="7500" y="2670"/>
                                </a:lnTo>
                                <a:lnTo>
                                  <a:pt x="7500" y="0"/>
                                </a:lnTo>
                                <a:close/>
                              </a:path>
                            </a:pathLst>
                          </a:custGeom>
                          <a:solidFill>
                            <a:srgbClr val="663AB6"/>
                          </a:solidFill>
                          <a:ln>
                            <a:noFill/>
                          </a:ln>
                          <a:effectLst/>
                        </wps:spPr>
                        <wps:bodyPr rot="0" vert="horz" wrap="square" lIns="91440" tIns="45720" rIns="91440" bIns="45720" anchor="t" anchorCtr="0" upright="1">
                          <a:noAutofit/>
                        </wps:bodyPr>
                      </wps:wsp>
                      <wps:wsp>
                        <wps:cNvPr id="1815634579" name="Rectangle 231"/>
                        <wps:cNvSpPr>
                          <a:spLocks noChangeArrowheads="1"/>
                        </wps:cNvSpPr>
                        <wps:spPr bwMode="auto">
                          <a:xfrm>
                            <a:off x="2070" y="5723"/>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1532355264" name="AutoShape 230"/>
                        <wps:cNvSpPr/>
                        <wps:spPr bwMode="auto">
                          <a:xfrm>
                            <a:off x="2879" y="5378"/>
                            <a:ext cx="3270" cy="345"/>
                          </a:xfrm>
                          <a:custGeom>
                            <a:avLst/>
                            <a:gdLst>
                              <a:gd name="T0" fmla="*/ 15 w 3270"/>
                              <a:gd name="T1" fmla="*/ 5543 h 345"/>
                              <a:gd name="T2" fmla="*/ 0 w 3270"/>
                              <a:gd name="T3" fmla="*/ 5543 h 345"/>
                              <a:gd name="T4" fmla="*/ 0 w 3270"/>
                              <a:gd name="T5" fmla="*/ 5723 h 345"/>
                              <a:gd name="T6" fmla="*/ 15 w 3270"/>
                              <a:gd name="T7" fmla="*/ 5723 h 345"/>
                              <a:gd name="T8" fmla="*/ 15 w 3270"/>
                              <a:gd name="T9" fmla="*/ 5543 h 345"/>
                              <a:gd name="T10" fmla="*/ 1635 w 3270"/>
                              <a:gd name="T11" fmla="*/ 5543 h 345"/>
                              <a:gd name="T12" fmla="*/ 1620 w 3270"/>
                              <a:gd name="T13" fmla="*/ 5543 h 345"/>
                              <a:gd name="T14" fmla="*/ 1620 w 3270"/>
                              <a:gd name="T15" fmla="*/ 5723 h 345"/>
                              <a:gd name="T16" fmla="*/ 1635 w 3270"/>
                              <a:gd name="T17" fmla="*/ 5723 h 345"/>
                              <a:gd name="T18" fmla="*/ 1635 w 3270"/>
                              <a:gd name="T19" fmla="*/ 5543 h 345"/>
                              <a:gd name="T20" fmla="*/ 3270 w 3270"/>
                              <a:gd name="T21" fmla="*/ 5378 h 345"/>
                              <a:gd name="T22" fmla="*/ 3255 w 3270"/>
                              <a:gd name="T23" fmla="*/ 5378 h 345"/>
                              <a:gd name="T24" fmla="*/ 3255 w 3270"/>
                              <a:gd name="T25" fmla="*/ 5558 h 345"/>
                              <a:gd name="T26" fmla="*/ 3270 w 3270"/>
                              <a:gd name="T27" fmla="*/ 5558 h 345"/>
                              <a:gd name="T28" fmla="*/ 3270 w 3270"/>
                              <a:gd name="T29" fmla="*/ 5378 h 3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70" h="345">
                                <a:moveTo>
                                  <a:pt x="15" y="165"/>
                                </a:moveTo>
                                <a:lnTo>
                                  <a:pt x="0" y="165"/>
                                </a:lnTo>
                                <a:lnTo>
                                  <a:pt x="0" y="345"/>
                                </a:lnTo>
                                <a:lnTo>
                                  <a:pt x="15" y="345"/>
                                </a:lnTo>
                                <a:lnTo>
                                  <a:pt x="15" y="165"/>
                                </a:lnTo>
                                <a:close/>
                                <a:moveTo>
                                  <a:pt x="1635" y="165"/>
                                </a:moveTo>
                                <a:lnTo>
                                  <a:pt x="1620" y="165"/>
                                </a:lnTo>
                                <a:lnTo>
                                  <a:pt x="1620" y="345"/>
                                </a:lnTo>
                                <a:lnTo>
                                  <a:pt x="1635" y="345"/>
                                </a:lnTo>
                                <a:lnTo>
                                  <a:pt x="1635" y="165"/>
                                </a:lnTo>
                                <a:close/>
                                <a:moveTo>
                                  <a:pt x="3270" y="0"/>
                                </a:moveTo>
                                <a:lnTo>
                                  <a:pt x="3255" y="0"/>
                                </a:lnTo>
                                <a:lnTo>
                                  <a:pt x="3255" y="180"/>
                                </a:lnTo>
                                <a:lnTo>
                                  <a:pt x="3270" y="180"/>
                                </a:lnTo>
                                <a:lnTo>
                                  <a:pt x="3270" y="0"/>
                                </a:lnTo>
                                <a:close/>
                              </a:path>
                            </a:pathLst>
                          </a:custGeom>
                          <a:solidFill>
                            <a:srgbClr val="999999"/>
                          </a:solidFill>
                          <a:ln>
                            <a:noFill/>
                          </a:ln>
                          <a:effectLst/>
                        </wps:spPr>
                        <wps:bodyPr rot="0" vert="horz" wrap="square" lIns="91440" tIns="45720" rIns="91440" bIns="45720" anchor="t" anchorCtr="0" upright="1">
                          <a:noAutofit/>
                        </wps:bodyPr>
                      </wps:wsp>
                      <wps:wsp>
                        <wps:cNvPr id="961637759" name="AutoShape 229"/>
                        <wps:cNvSpPr/>
                        <wps:spPr bwMode="auto">
                          <a:xfrm>
                            <a:off x="2622" y="5219"/>
                            <a:ext cx="3847" cy="334"/>
                          </a:xfrm>
                          <a:custGeom>
                            <a:avLst/>
                            <a:gdLst>
                              <a:gd name="T0" fmla="*/ 70 w 3847"/>
                              <a:gd name="T1" fmla="*/ 5397 h 334"/>
                              <a:gd name="T2" fmla="*/ 52 w 3847"/>
                              <a:gd name="T3" fmla="*/ 5518 h 334"/>
                              <a:gd name="T4" fmla="*/ 35 w 3847"/>
                              <a:gd name="T5" fmla="*/ 5505 h 334"/>
                              <a:gd name="T6" fmla="*/ 42 w 3847"/>
                              <a:gd name="T7" fmla="*/ 5400 h 334"/>
                              <a:gd name="T8" fmla="*/ 155 w 3847"/>
                              <a:gd name="T9" fmla="*/ 5481 h 334"/>
                              <a:gd name="T10" fmla="*/ 176 w 3847"/>
                              <a:gd name="T11" fmla="*/ 5427 h 334"/>
                              <a:gd name="T12" fmla="*/ 223 w 3847"/>
                              <a:gd name="T13" fmla="*/ 5399 h 334"/>
                              <a:gd name="T14" fmla="*/ 294 w 3847"/>
                              <a:gd name="T15" fmla="*/ 5440 h 334"/>
                              <a:gd name="T16" fmla="*/ 214 w 3847"/>
                              <a:gd name="T17" fmla="*/ 5484 h 334"/>
                              <a:gd name="T18" fmla="*/ 276 w 3847"/>
                              <a:gd name="T19" fmla="*/ 5479 h 334"/>
                              <a:gd name="T20" fmla="*/ 227 w 3847"/>
                              <a:gd name="T21" fmla="*/ 5438 h 334"/>
                              <a:gd name="T22" fmla="*/ 369 w 3847"/>
                              <a:gd name="T23" fmla="*/ 5430 h 334"/>
                              <a:gd name="T24" fmla="*/ 331 w 3847"/>
                              <a:gd name="T25" fmla="*/ 5401 h 334"/>
                              <a:gd name="T26" fmla="*/ 355 w 3847"/>
                              <a:gd name="T27" fmla="*/ 5418 h 334"/>
                              <a:gd name="T28" fmla="*/ 404 w 3847"/>
                              <a:gd name="T29" fmla="*/ 5462 h 334"/>
                              <a:gd name="T30" fmla="*/ 424 w 3847"/>
                              <a:gd name="T31" fmla="*/ 5521 h 334"/>
                              <a:gd name="T32" fmla="*/ 412 w 3847"/>
                              <a:gd name="T33" fmla="*/ 5501 h 334"/>
                              <a:gd name="T34" fmla="*/ 428 w 3847"/>
                              <a:gd name="T35" fmla="*/ 5463 h 334"/>
                              <a:gd name="T36" fmla="*/ 481 w 3847"/>
                              <a:gd name="T37" fmla="*/ 5397 h 334"/>
                              <a:gd name="T38" fmla="*/ 503 w 3847"/>
                              <a:gd name="T39" fmla="*/ 5526 h 334"/>
                              <a:gd name="T40" fmla="*/ 1675 w 3847"/>
                              <a:gd name="T41" fmla="*/ 5388 h 334"/>
                              <a:gd name="T42" fmla="*/ 1692 w 3847"/>
                              <a:gd name="T43" fmla="*/ 5505 h 334"/>
                              <a:gd name="T44" fmla="*/ 1641 w 3847"/>
                              <a:gd name="T45" fmla="*/ 5488 h 334"/>
                              <a:gd name="T46" fmla="*/ 1681 w 3847"/>
                              <a:gd name="T47" fmla="*/ 5410 h 334"/>
                              <a:gd name="T48" fmla="*/ 1783 w 3847"/>
                              <a:gd name="T49" fmla="*/ 5515 h 334"/>
                              <a:gd name="T50" fmla="*/ 1805 w 3847"/>
                              <a:gd name="T51" fmla="*/ 5406 h 334"/>
                              <a:gd name="T52" fmla="*/ 1832 w 3847"/>
                              <a:gd name="T53" fmla="*/ 5425 h 334"/>
                              <a:gd name="T54" fmla="*/ 1910 w 3847"/>
                              <a:gd name="T55" fmla="*/ 5414 h 334"/>
                              <a:gd name="T56" fmla="*/ 1850 w 3847"/>
                              <a:gd name="T57" fmla="*/ 5514 h 334"/>
                              <a:gd name="T58" fmla="*/ 1886 w 3847"/>
                              <a:gd name="T59" fmla="*/ 5502 h 334"/>
                              <a:gd name="T60" fmla="*/ 1855 w 3847"/>
                              <a:gd name="T61" fmla="*/ 5409 h 334"/>
                              <a:gd name="T62" fmla="*/ 1986 w 3847"/>
                              <a:gd name="T63" fmla="*/ 5399 h 334"/>
                              <a:gd name="T64" fmla="*/ 1961 w 3847"/>
                              <a:gd name="T65" fmla="*/ 5396 h 334"/>
                              <a:gd name="T66" fmla="*/ 1971 w 3847"/>
                              <a:gd name="T67" fmla="*/ 5437 h 334"/>
                              <a:gd name="T68" fmla="*/ 2017 w 3847"/>
                              <a:gd name="T69" fmla="*/ 5486 h 334"/>
                              <a:gd name="T70" fmla="*/ 2064 w 3847"/>
                              <a:gd name="T71" fmla="*/ 5512 h 334"/>
                              <a:gd name="T72" fmla="*/ 2031 w 3847"/>
                              <a:gd name="T73" fmla="*/ 5478 h 334"/>
                              <a:gd name="T74" fmla="*/ 2057 w 3847"/>
                              <a:gd name="T75" fmla="*/ 5472 h 334"/>
                              <a:gd name="T76" fmla="*/ 2112 w 3847"/>
                              <a:gd name="T77" fmla="*/ 5419 h 334"/>
                              <a:gd name="T78" fmla="*/ 2134 w 3847"/>
                              <a:gd name="T79" fmla="*/ 5493 h 334"/>
                              <a:gd name="T80" fmla="*/ 3264 w 3847"/>
                              <a:gd name="T81" fmla="*/ 5320 h 334"/>
                              <a:gd name="T82" fmla="*/ 3334 w 3847"/>
                              <a:gd name="T83" fmla="*/ 5316 h 334"/>
                              <a:gd name="T84" fmla="*/ 3356 w 3847"/>
                              <a:gd name="T85" fmla="*/ 5262 h 334"/>
                              <a:gd name="T86" fmla="*/ 3420 w 3847"/>
                              <a:gd name="T87" fmla="*/ 5338 h 334"/>
                              <a:gd name="T88" fmla="*/ 3426 w 3847"/>
                              <a:gd name="T89" fmla="*/ 5279 h 334"/>
                              <a:gd name="T90" fmla="*/ 3447 w 3847"/>
                              <a:gd name="T91" fmla="*/ 5265 h 334"/>
                              <a:gd name="T92" fmla="*/ 3396 w 3847"/>
                              <a:gd name="T93" fmla="*/ 5337 h 334"/>
                              <a:gd name="T94" fmla="*/ 3581 w 3847"/>
                              <a:gd name="T95" fmla="*/ 5340 h 334"/>
                              <a:gd name="T96" fmla="*/ 3572 w 3847"/>
                              <a:gd name="T97" fmla="*/ 5290 h 334"/>
                              <a:gd name="T98" fmla="*/ 3587 w 3847"/>
                              <a:gd name="T99" fmla="*/ 5234 h 334"/>
                              <a:gd name="T100" fmla="*/ 3588 w 3847"/>
                              <a:gd name="T101" fmla="*/ 5221 h 334"/>
                              <a:gd name="T102" fmla="*/ 3608 w 3847"/>
                              <a:gd name="T103" fmla="*/ 5283 h 334"/>
                              <a:gd name="T104" fmla="*/ 3546 w 3847"/>
                              <a:gd name="T105" fmla="*/ 5336 h 334"/>
                              <a:gd name="T106" fmla="*/ 3699 w 3847"/>
                              <a:gd name="T107" fmla="*/ 5254 h 334"/>
                              <a:gd name="T108" fmla="*/ 3664 w 3847"/>
                              <a:gd name="T109" fmla="*/ 5232 h 334"/>
                              <a:gd name="T110" fmla="*/ 3685 w 3847"/>
                              <a:gd name="T111" fmla="*/ 5262 h 334"/>
                              <a:gd name="T112" fmla="*/ 3729 w 3847"/>
                              <a:gd name="T113" fmla="*/ 5304 h 334"/>
                              <a:gd name="T114" fmla="*/ 3762 w 3847"/>
                              <a:gd name="T115" fmla="*/ 5356 h 334"/>
                              <a:gd name="T116" fmla="*/ 3741 w 3847"/>
                              <a:gd name="T117" fmla="*/ 5330 h 334"/>
                              <a:gd name="T118" fmla="*/ 3762 w 3847"/>
                              <a:gd name="T119" fmla="*/ 5300 h 334"/>
                              <a:gd name="T120" fmla="*/ 3816 w 3847"/>
                              <a:gd name="T121" fmla="*/ 5241 h 334"/>
                              <a:gd name="T122" fmla="*/ 3837 w 3847"/>
                              <a:gd name="T123" fmla="*/ 5350 h 33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847" h="334">
                                <a:moveTo>
                                  <a:pt x="0" y="232"/>
                                </a:moveTo>
                                <a:lnTo>
                                  <a:pt x="0" y="217"/>
                                </a:lnTo>
                                <a:lnTo>
                                  <a:pt x="2" y="205"/>
                                </a:lnTo>
                                <a:lnTo>
                                  <a:pt x="5" y="196"/>
                                </a:lnTo>
                                <a:lnTo>
                                  <a:pt x="8" y="186"/>
                                </a:lnTo>
                                <a:lnTo>
                                  <a:pt x="13" y="179"/>
                                </a:lnTo>
                                <a:lnTo>
                                  <a:pt x="19" y="174"/>
                                </a:lnTo>
                                <a:lnTo>
                                  <a:pt x="25" y="169"/>
                                </a:lnTo>
                                <a:lnTo>
                                  <a:pt x="33" y="166"/>
                                </a:lnTo>
                                <a:lnTo>
                                  <a:pt x="42" y="166"/>
                                </a:lnTo>
                                <a:lnTo>
                                  <a:pt x="49" y="166"/>
                                </a:lnTo>
                                <a:lnTo>
                                  <a:pt x="55" y="168"/>
                                </a:lnTo>
                                <a:lnTo>
                                  <a:pt x="61" y="171"/>
                                </a:lnTo>
                                <a:lnTo>
                                  <a:pt x="66" y="173"/>
                                </a:lnTo>
                                <a:lnTo>
                                  <a:pt x="70" y="177"/>
                                </a:lnTo>
                                <a:lnTo>
                                  <a:pt x="74" y="183"/>
                                </a:lnTo>
                                <a:lnTo>
                                  <a:pt x="77" y="188"/>
                                </a:lnTo>
                                <a:lnTo>
                                  <a:pt x="80" y="194"/>
                                </a:lnTo>
                                <a:lnTo>
                                  <a:pt x="82" y="202"/>
                                </a:lnTo>
                                <a:lnTo>
                                  <a:pt x="83" y="209"/>
                                </a:lnTo>
                                <a:lnTo>
                                  <a:pt x="84" y="220"/>
                                </a:lnTo>
                                <a:lnTo>
                                  <a:pt x="84" y="232"/>
                                </a:lnTo>
                                <a:lnTo>
                                  <a:pt x="84" y="247"/>
                                </a:lnTo>
                                <a:lnTo>
                                  <a:pt x="83" y="260"/>
                                </a:lnTo>
                                <a:lnTo>
                                  <a:pt x="80" y="269"/>
                                </a:lnTo>
                                <a:lnTo>
                                  <a:pt x="77" y="278"/>
                                </a:lnTo>
                                <a:lnTo>
                                  <a:pt x="72" y="285"/>
                                </a:lnTo>
                                <a:lnTo>
                                  <a:pt x="66" y="290"/>
                                </a:lnTo>
                                <a:lnTo>
                                  <a:pt x="60" y="296"/>
                                </a:lnTo>
                                <a:lnTo>
                                  <a:pt x="52" y="298"/>
                                </a:lnTo>
                                <a:lnTo>
                                  <a:pt x="42" y="298"/>
                                </a:lnTo>
                                <a:lnTo>
                                  <a:pt x="30" y="298"/>
                                </a:lnTo>
                                <a:lnTo>
                                  <a:pt x="20" y="294"/>
                                </a:lnTo>
                                <a:lnTo>
                                  <a:pt x="13" y="285"/>
                                </a:lnTo>
                                <a:lnTo>
                                  <a:pt x="8" y="275"/>
                                </a:lnTo>
                                <a:lnTo>
                                  <a:pt x="4" y="264"/>
                                </a:lnTo>
                                <a:lnTo>
                                  <a:pt x="1" y="249"/>
                                </a:lnTo>
                                <a:lnTo>
                                  <a:pt x="0" y="232"/>
                                </a:lnTo>
                                <a:close/>
                                <a:moveTo>
                                  <a:pt x="17" y="232"/>
                                </a:moveTo>
                                <a:lnTo>
                                  <a:pt x="17" y="247"/>
                                </a:lnTo>
                                <a:lnTo>
                                  <a:pt x="19" y="259"/>
                                </a:lnTo>
                                <a:lnTo>
                                  <a:pt x="21" y="268"/>
                                </a:lnTo>
                                <a:lnTo>
                                  <a:pt x="24" y="275"/>
                                </a:lnTo>
                                <a:lnTo>
                                  <a:pt x="29" y="282"/>
                                </a:lnTo>
                                <a:lnTo>
                                  <a:pt x="35" y="285"/>
                                </a:lnTo>
                                <a:lnTo>
                                  <a:pt x="42" y="285"/>
                                </a:lnTo>
                                <a:lnTo>
                                  <a:pt x="50" y="285"/>
                                </a:lnTo>
                                <a:lnTo>
                                  <a:pt x="56" y="282"/>
                                </a:lnTo>
                                <a:lnTo>
                                  <a:pt x="61" y="275"/>
                                </a:lnTo>
                                <a:lnTo>
                                  <a:pt x="64" y="268"/>
                                </a:lnTo>
                                <a:lnTo>
                                  <a:pt x="66" y="259"/>
                                </a:lnTo>
                                <a:lnTo>
                                  <a:pt x="68" y="247"/>
                                </a:lnTo>
                                <a:lnTo>
                                  <a:pt x="68" y="232"/>
                                </a:lnTo>
                                <a:lnTo>
                                  <a:pt x="68" y="218"/>
                                </a:lnTo>
                                <a:lnTo>
                                  <a:pt x="66" y="206"/>
                                </a:lnTo>
                                <a:lnTo>
                                  <a:pt x="64" y="197"/>
                                </a:lnTo>
                                <a:lnTo>
                                  <a:pt x="61" y="190"/>
                                </a:lnTo>
                                <a:lnTo>
                                  <a:pt x="56" y="183"/>
                                </a:lnTo>
                                <a:lnTo>
                                  <a:pt x="50" y="180"/>
                                </a:lnTo>
                                <a:lnTo>
                                  <a:pt x="42" y="180"/>
                                </a:lnTo>
                                <a:lnTo>
                                  <a:pt x="35" y="180"/>
                                </a:lnTo>
                                <a:lnTo>
                                  <a:pt x="29" y="183"/>
                                </a:lnTo>
                                <a:lnTo>
                                  <a:pt x="25" y="189"/>
                                </a:lnTo>
                                <a:lnTo>
                                  <a:pt x="21" y="196"/>
                                </a:lnTo>
                                <a:lnTo>
                                  <a:pt x="19" y="206"/>
                                </a:lnTo>
                                <a:lnTo>
                                  <a:pt x="17" y="218"/>
                                </a:lnTo>
                                <a:lnTo>
                                  <a:pt x="17" y="232"/>
                                </a:lnTo>
                                <a:close/>
                                <a:moveTo>
                                  <a:pt x="185" y="334"/>
                                </a:moveTo>
                                <a:lnTo>
                                  <a:pt x="179" y="325"/>
                                </a:lnTo>
                                <a:lnTo>
                                  <a:pt x="173" y="316"/>
                                </a:lnTo>
                                <a:lnTo>
                                  <a:pt x="168" y="306"/>
                                </a:lnTo>
                                <a:lnTo>
                                  <a:pt x="163" y="295"/>
                                </a:lnTo>
                                <a:lnTo>
                                  <a:pt x="159" y="284"/>
                                </a:lnTo>
                                <a:lnTo>
                                  <a:pt x="156" y="273"/>
                                </a:lnTo>
                                <a:lnTo>
                                  <a:pt x="155" y="261"/>
                                </a:lnTo>
                                <a:lnTo>
                                  <a:pt x="154" y="249"/>
                                </a:lnTo>
                                <a:lnTo>
                                  <a:pt x="154" y="239"/>
                                </a:lnTo>
                                <a:lnTo>
                                  <a:pt x="156" y="229"/>
                                </a:lnTo>
                                <a:lnTo>
                                  <a:pt x="158" y="219"/>
                                </a:lnTo>
                                <a:lnTo>
                                  <a:pt x="161" y="209"/>
                                </a:lnTo>
                                <a:lnTo>
                                  <a:pt x="165" y="198"/>
                                </a:lnTo>
                                <a:lnTo>
                                  <a:pt x="171" y="187"/>
                                </a:lnTo>
                                <a:lnTo>
                                  <a:pt x="177" y="176"/>
                                </a:lnTo>
                                <a:lnTo>
                                  <a:pt x="185" y="165"/>
                                </a:lnTo>
                                <a:lnTo>
                                  <a:pt x="196" y="165"/>
                                </a:lnTo>
                                <a:lnTo>
                                  <a:pt x="189" y="177"/>
                                </a:lnTo>
                                <a:lnTo>
                                  <a:pt x="185" y="186"/>
                                </a:lnTo>
                                <a:lnTo>
                                  <a:pt x="182" y="191"/>
                                </a:lnTo>
                                <a:lnTo>
                                  <a:pt x="179" y="199"/>
                                </a:lnTo>
                                <a:lnTo>
                                  <a:pt x="176" y="207"/>
                                </a:lnTo>
                                <a:lnTo>
                                  <a:pt x="174" y="216"/>
                                </a:lnTo>
                                <a:lnTo>
                                  <a:pt x="171" y="227"/>
                                </a:lnTo>
                                <a:lnTo>
                                  <a:pt x="170" y="238"/>
                                </a:lnTo>
                                <a:lnTo>
                                  <a:pt x="170" y="249"/>
                                </a:lnTo>
                                <a:lnTo>
                                  <a:pt x="172" y="270"/>
                                </a:lnTo>
                                <a:lnTo>
                                  <a:pt x="177" y="292"/>
                                </a:lnTo>
                                <a:lnTo>
                                  <a:pt x="185" y="313"/>
                                </a:lnTo>
                                <a:lnTo>
                                  <a:pt x="196" y="334"/>
                                </a:lnTo>
                                <a:lnTo>
                                  <a:pt x="185" y="334"/>
                                </a:lnTo>
                                <a:close/>
                                <a:moveTo>
                                  <a:pt x="210" y="232"/>
                                </a:moveTo>
                                <a:lnTo>
                                  <a:pt x="210" y="217"/>
                                </a:lnTo>
                                <a:lnTo>
                                  <a:pt x="212" y="205"/>
                                </a:lnTo>
                                <a:lnTo>
                                  <a:pt x="215" y="196"/>
                                </a:lnTo>
                                <a:lnTo>
                                  <a:pt x="218" y="186"/>
                                </a:lnTo>
                                <a:lnTo>
                                  <a:pt x="223" y="179"/>
                                </a:lnTo>
                                <a:lnTo>
                                  <a:pt x="229" y="174"/>
                                </a:lnTo>
                                <a:lnTo>
                                  <a:pt x="235" y="169"/>
                                </a:lnTo>
                                <a:lnTo>
                                  <a:pt x="243" y="166"/>
                                </a:lnTo>
                                <a:lnTo>
                                  <a:pt x="252" y="166"/>
                                </a:lnTo>
                                <a:lnTo>
                                  <a:pt x="259" y="166"/>
                                </a:lnTo>
                                <a:lnTo>
                                  <a:pt x="265" y="168"/>
                                </a:lnTo>
                                <a:lnTo>
                                  <a:pt x="271" y="171"/>
                                </a:lnTo>
                                <a:lnTo>
                                  <a:pt x="276" y="173"/>
                                </a:lnTo>
                                <a:lnTo>
                                  <a:pt x="280" y="177"/>
                                </a:lnTo>
                                <a:lnTo>
                                  <a:pt x="284" y="183"/>
                                </a:lnTo>
                                <a:lnTo>
                                  <a:pt x="287" y="188"/>
                                </a:lnTo>
                                <a:lnTo>
                                  <a:pt x="290" y="194"/>
                                </a:lnTo>
                                <a:lnTo>
                                  <a:pt x="292" y="202"/>
                                </a:lnTo>
                                <a:lnTo>
                                  <a:pt x="294" y="209"/>
                                </a:lnTo>
                                <a:lnTo>
                                  <a:pt x="294" y="220"/>
                                </a:lnTo>
                                <a:lnTo>
                                  <a:pt x="294" y="232"/>
                                </a:lnTo>
                                <a:lnTo>
                                  <a:pt x="294" y="247"/>
                                </a:lnTo>
                                <a:lnTo>
                                  <a:pt x="293" y="260"/>
                                </a:lnTo>
                                <a:lnTo>
                                  <a:pt x="290" y="269"/>
                                </a:lnTo>
                                <a:lnTo>
                                  <a:pt x="287" y="278"/>
                                </a:lnTo>
                                <a:lnTo>
                                  <a:pt x="282" y="285"/>
                                </a:lnTo>
                                <a:lnTo>
                                  <a:pt x="276" y="290"/>
                                </a:lnTo>
                                <a:lnTo>
                                  <a:pt x="270" y="296"/>
                                </a:lnTo>
                                <a:lnTo>
                                  <a:pt x="262" y="298"/>
                                </a:lnTo>
                                <a:lnTo>
                                  <a:pt x="252" y="298"/>
                                </a:lnTo>
                                <a:lnTo>
                                  <a:pt x="240" y="298"/>
                                </a:lnTo>
                                <a:lnTo>
                                  <a:pt x="230" y="294"/>
                                </a:lnTo>
                                <a:lnTo>
                                  <a:pt x="223" y="285"/>
                                </a:lnTo>
                                <a:lnTo>
                                  <a:pt x="218" y="275"/>
                                </a:lnTo>
                                <a:lnTo>
                                  <a:pt x="214" y="264"/>
                                </a:lnTo>
                                <a:lnTo>
                                  <a:pt x="211" y="249"/>
                                </a:lnTo>
                                <a:lnTo>
                                  <a:pt x="210" y="232"/>
                                </a:lnTo>
                                <a:close/>
                                <a:moveTo>
                                  <a:pt x="227" y="232"/>
                                </a:moveTo>
                                <a:lnTo>
                                  <a:pt x="227" y="247"/>
                                </a:lnTo>
                                <a:lnTo>
                                  <a:pt x="229" y="259"/>
                                </a:lnTo>
                                <a:lnTo>
                                  <a:pt x="231" y="268"/>
                                </a:lnTo>
                                <a:lnTo>
                                  <a:pt x="234" y="275"/>
                                </a:lnTo>
                                <a:lnTo>
                                  <a:pt x="239" y="282"/>
                                </a:lnTo>
                                <a:lnTo>
                                  <a:pt x="245" y="285"/>
                                </a:lnTo>
                                <a:lnTo>
                                  <a:pt x="252" y="285"/>
                                </a:lnTo>
                                <a:lnTo>
                                  <a:pt x="260" y="285"/>
                                </a:lnTo>
                                <a:lnTo>
                                  <a:pt x="266" y="282"/>
                                </a:lnTo>
                                <a:lnTo>
                                  <a:pt x="271" y="275"/>
                                </a:lnTo>
                                <a:lnTo>
                                  <a:pt x="274" y="268"/>
                                </a:lnTo>
                                <a:lnTo>
                                  <a:pt x="276" y="259"/>
                                </a:lnTo>
                                <a:lnTo>
                                  <a:pt x="278" y="247"/>
                                </a:lnTo>
                                <a:lnTo>
                                  <a:pt x="278" y="232"/>
                                </a:lnTo>
                                <a:lnTo>
                                  <a:pt x="278" y="218"/>
                                </a:lnTo>
                                <a:lnTo>
                                  <a:pt x="276" y="206"/>
                                </a:lnTo>
                                <a:lnTo>
                                  <a:pt x="274" y="197"/>
                                </a:lnTo>
                                <a:lnTo>
                                  <a:pt x="271" y="190"/>
                                </a:lnTo>
                                <a:lnTo>
                                  <a:pt x="266" y="183"/>
                                </a:lnTo>
                                <a:lnTo>
                                  <a:pt x="260" y="180"/>
                                </a:lnTo>
                                <a:lnTo>
                                  <a:pt x="252" y="180"/>
                                </a:lnTo>
                                <a:lnTo>
                                  <a:pt x="245" y="180"/>
                                </a:lnTo>
                                <a:lnTo>
                                  <a:pt x="239" y="183"/>
                                </a:lnTo>
                                <a:lnTo>
                                  <a:pt x="235" y="189"/>
                                </a:lnTo>
                                <a:lnTo>
                                  <a:pt x="231" y="196"/>
                                </a:lnTo>
                                <a:lnTo>
                                  <a:pt x="229" y="206"/>
                                </a:lnTo>
                                <a:lnTo>
                                  <a:pt x="227" y="218"/>
                                </a:lnTo>
                                <a:lnTo>
                                  <a:pt x="227" y="232"/>
                                </a:lnTo>
                                <a:close/>
                                <a:moveTo>
                                  <a:pt x="314" y="198"/>
                                </a:moveTo>
                                <a:lnTo>
                                  <a:pt x="314" y="189"/>
                                </a:lnTo>
                                <a:lnTo>
                                  <a:pt x="316" y="181"/>
                                </a:lnTo>
                                <a:lnTo>
                                  <a:pt x="320" y="174"/>
                                </a:lnTo>
                                <a:lnTo>
                                  <a:pt x="325" y="168"/>
                                </a:lnTo>
                                <a:lnTo>
                                  <a:pt x="332" y="165"/>
                                </a:lnTo>
                                <a:lnTo>
                                  <a:pt x="341" y="165"/>
                                </a:lnTo>
                                <a:lnTo>
                                  <a:pt x="349" y="165"/>
                                </a:lnTo>
                                <a:lnTo>
                                  <a:pt x="355" y="168"/>
                                </a:lnTo>
                                <a:lnTo>
                                  <a:pt x="361" y="173"/>
                                </a:lnTo>
                                <a:lnTo>
                                  <a:pt x="366" y="179"/>
                                </a:lnTo>
                                <a:lnTo>
                                  <a:pt x="369" y="188"/>
                                </a:lnTo>
                                <a:lnTo>
                                  <a:pt x="369" y="199"/>
                                </a:lnTo>
                                <a:lnTo>
                                  <a:pt x="369" y="210"/>
                                </a:lnTo>
                                <a:lnTo>
                                  <a:pt x="366" y="218"/>
                                </a:lnTo>
                                <a:lnTo>
                                  <a:pt x="361" y="224"/>
                                </a:lnTo>
                                <a:lnTo>
                                  <a:pt x="355" y="230"/>
                                </a:lnTo>
                                <a:lnTo>
                                  <a:pt x="349" y="233"/>
                                </a:lnTo>
                                <a:lnTo>
                                  <a:pt x="341" y="233"/>
                                </a:lnTo>
                                <a:lnTo>
                                  <a:pt x="333" y="233"/>
                                </a:lnTo>
                                <a:lnTo>
                                  <a:pt x="327" y="230"/>
                                </a:lnTo>
                                <a:lnTo>
                                  <a:pt x="321" y="224"/>
                                </a:lnTo>
                                <a:lnTo>
                                  <a:pt x="316" y="218"/>
                                </a:lnTo>
                                <a:lnTo>
                                  <a:pt x="314" y="210"/>
                                </a:lnTo>
                                <a:lnTo>
                                  <a:pt x="314" y="198"/>
                                </a:lnTo>
                                <a:close/>
                                <a:moveTo>
                                  <a:pt x="341" y="176"/>
                                </a:moveTo>
                                <a:lnTo>
                                  <a:pt x="337" y="176"/>
                                </a:lnTo>
                                <a:lnTo>
                                  <a:pt x="334" y="177"/>
                                </a:lnTo>
                                <a:lnTo>
                                  <a:pt x="331" y="181"/>
                                </a:lnTo>
                                <a:lnTo>
                                  <a:pt x="329" y="184"/>
                                </a:lnTo>
                                <a:lnTo>
                                  <a:pt x="327" y="190"/>
                                </a:lnTo>
                                <a:lnTo>
                                  <a:pt x="327" y="200"/>
                                </a:lnTo>
                                <a:lnTo>
                                  <a:pt x="327" y="208"/>
                                </a:lnTo>
                                <a:lnTo>
                                  <a:pt x="329" y="214"/>
                                </a:lnTo>
                                <a:lnTo>
                                  <a:pt x="331" y="217"/>
                                </a:lnTo>
                                <a:lnTo>
                                  <a:pt x="334" y="220"/>
                                </a:lnTo>
                                <a:lnTo>
                                  <a:pt x="337" y="222"/>
                                </a:lnTo>
                                <a:lnTo>
                                  <a:pt x="341" y="222"/>
                                </a:lnTo>
                                <a:lnTo>
                                  <a:pt x="345" y="222"/>
                                </a:lnTo>
                                <a:lnTo>
                                  <a:pt x="348" y="220"/>
                                </a:lnTo>
                                <a:lnTo>
                                  <a:pt x="351" y="217"/>
                                </a:lnTo>
                                <a:lnTo>
                                  <a:pt x="354" y="214"/>
                                </a:lnTo>
                                <a:lnTo>
                                  <a:pt x="355" y="207"/>
                                </a:lnTo>
                                <a:lnTo>
                                  <a:pt x="355" y="198"/>
                                </a:lnTo>
                                <a:lnTo>
                                  <a:pt x="355" y="190"/>
                                </a:lnTo>
                                <a:lnTo>
                                  <a:pt x="354" y="184"/>
                                </a:lnTo>
                                <a:lnTo>
                                  <a:pt x="351" y="181"/>
                                </a:lnTo>
                                <a:lnTo>
                                  <a:pt x="348" y="177"/>
                                </a:lnTo>
                                <a:lnTo>
                                  <a:pt x="345" y="176"/>
                                </a:lnTo>
                                <a:lnTo>
                                  <a:pt x="341" y="176"/>
                                </a:lnTo>
                                <a:close/>
                                <a:moveTo>
                                  <a:pt x="341" y="301"/>
                                </a:moveTo>
                                <a:lnTo>
                                  <a:pt x="412" y="165"/>
                                </a:lnTo>
                                <a:lnTo>
                                  <a:pt x="424" y="165"/>
                                </a:lnTo>
                                <a:lnTo>
                                  <a:pt x="354" y="301"/>
                                </a:lnTo>
                                <a:lnTo>
                                  <a:pt x="341" y="301"/>
                                </a:lnTo>
                                <a:close/>
                                <a:moveTo>
                                  <a:pt x="397" y="266"/>
                                </a:moveTo>
                                <a:lnTo>
                                  <a:pt x="397" y="256"/>
                                </a:lnTo>
                                <a:lnTo>
                                  <a:pt x="399" y="249"/>
                                </a:lnTo>
                                <a:lnTo>
                                  <a:pt x="404" y="242"/>
                                </a:lnTo>
                                <a:lnTo>
                                  <a:pt x="408" y="236"/>
                                </a:lnTo>
                                <a:lnTo>
                                  <a:pt x="415" y="232"/>
                                </a:lnTo>
                                <a:lnTo>
                                  <a:pt x="424" y="232"/>
                                </a:lnTo>
                                <a:lnTo>
                                  <a:pt x="432" y="232"/>
                                </a:lnTo>
                                <a:lnTo>
                                  <a:pt x="439" y="235"/>
                                </a:lnTo>
                                <a:lnTo>
                                  <a:pt x="444" y="241"/>
                                </a:lnTo>
                                <a:lnTo>
                                  <a:pt x="449" y="247"/>
                                </a:lnTo>
                                <a:lnTo>
                                  <a:pt x="452" y="255"/>
                                </a:lnTo>
                                <a:lnTo>
                                  <a:pt x="452" y="267"/>
                                </a:lnTo>
                                <a:lnTo>
                                  <a:pt x="452" y="277"/>
                                </a:lnTo>
                                <a:lnTo>
                                  <a:pt x="449" y="286"/>
                                </a:lnTo>
                                <a:lnTo>
                                  <a:pt x="444" y="292"/>
                                </a:lnTo>
                                <a:lnTo>
                                  <a:pt x="439" y="298"/>
                                </a:lnTo>
                                <a:lnTo>
                                  <a:pt x="432" y="301"/>
                                </a:lnTo>
                                <a:lnTo>
                                  <a:pt x="424" y="301"/>
                                </a:lnTo>
                                <a:lnTo>
                                  <a:pt x="416" y="301"/>
                                </a:lnTo>
                                <a:lnTo>
                                  <a:pt x="410" y="298"/>
                                </a:lnTo>
                                <a:lnTo>
                                  <a:pt x="405" y="292"/>
                                </a:lnTo>
                                <a:lnTo>
                                  <a:pt x="399" y="286"/>
                                </a:lnTo>
                                <a:lnTo>
                                  <a:pt x="397" y="277"/>
                                </a:lnTo>
                                <a:lnTo>
                                  <a:pt x="397" y="266"/>
                                </a:lnTo>
                                <a:close/>
                                <a:moveTo>
                                  <a:pt x="424" y="243"/>
                                </a:moveTo>
                                <a:lnTo>
                                  <a:pt x="420" y="243"/>
                                </a:lnTo>
                                <a:lnTo>
                                  <a:pt x="417" y="245"/>
                                </a:lnTo>
                                <a:lnTo>
                                  <a:pt x="415" y="248"/>
                                </a:lnTo>
                                <a:lnTo>
                                  <a:pt x="412" y="252"/>
                                </a:lnTo>
                                <a:lnTo>
                                  <a:pt x="411" y="258"/>
                                </a:lnTo>
                                <a:lnTo>
                                  <a:pt x="411" y="267"/>
                                </a:lnTo>
                                <a:lnTo>
                                  <a:pt x="411" y="275"/>
                                </a:lnTo>
                                <a:lnTo>
                                  <a:pt x="412" y="281"/>
                                </a:lnTo>
                                <a:lnTo>
                                  <a:pt x="415" y="285"/>
                                </a:lnTo>
                                <a:lnTo>
                                  <a:pt x="417" y="288"/>
                                </a:lnTo>
                                <a:lnTo>
                                  <a:pt x="421" y="290"/>
                                </a:lnTo>
                                <a:lnTo>
                                  <a:pt x="424" y="290"/>
                                </a:lnTo>
                                <a:lnTo>
                                  <a:pt x="428" y="290"/>
                                </a:lnTo>
                                <a:lnTo>
                                  <a:pt x="432" y="288"/>
                                </a:lnTo>
                                <a:lnTo>
                                  <a:pt x="434" y="285"/>
                                </a:lnTo>
                                <a:lnTo>
                                  <a:pt x="437" y="281"/>
                                </a:lnTo>
                                <a:lnTo>
                                  <a:pt x="438" y="275"/>
                                </a:lnTo>
                                <a:lnTo>
                                  <a:pt x="438" y="266"/>
                                </a:lnTo>
                                <a:lnTo>
                                  <a:pt x="438" y="258"/>
                                </a:lnTo>
                                <a:lnTo>
                                  <a:pt x="437" y="252"/>
                                </a:lnTo>
                                <a:lnTo>
                                  <a:pt x="434" y="248"/>
                                </a:lnTo>
                                <a:lnTo>
                                  <a:pt x="432" y="245"/>
                                </a:lnTo>
                                <a:lnTo>
                                  <a:pt x="428" y="243"/>
                                </a:lnTo>
                                <a:lnTo>
                                  <a:pt x="424" y="243"/>
                                </a:lnTo>
                                <a:close/>
                                <a:moveTo>
                                  <a:pt x="485" y="334"/>
                                </a:moveTo>
                                <a:lnTo>
                                  <a:pt x="474" y="334"/>
                                </a:lnTo>
                                <a:lnTo>
                                  <a:pt x="486" y="313"/>
                                </a:lnTo>
                                <a:lnTo>
                                  <a:pt x="494" y="292"/>
                                </a:lnTo>
                                <a:lnTo>
                                  <a:pt x="499" y="270"/>
                                </a:lnTo>
                                <a:lnTo>
                                  <a:pt x="500" y="249"/>
                                </a:lnTo>
                                <a:lnTo>
                                  <a:pt x="500" y="238"/>
                                </a:lnTo>
                                <a:lnTo>
                                  <a:pt x="499" y="227"/>
                                </a:lnTo>
                                <a:lnTo>
                                  <a:pt x="497" y="216"/>
                                </a:lnTo>
                                <a:lnTo>
                                  <a:pt x="495" y="208"/>
                                </a:lnTo>
                                <a:lnTo>
                                  <a:pt x="492" y="199"/>
                                </a:lnTo>
                                <a:lnTo>
                                  <a:pt x="488" y="191"/>
                                </a:lnTo>
                                <a:lnTo>
                                  <a:pt x="486" y="186"/>
                                </a:lnTo>
                                <a:lnTo>
                                  <a:pt x="481" y="177"/>
                                </a:lnTo>
                                <a:lnTo>
                                  <a:pt x="474" y="165"/>
                                </a:lnTo>
                                <a:lnTo>
                                  <a:pt x="485" y="165"/>
                                </a:lnTo>
                                <a:lnTo>
                                  <a:pt x="493" y="176"/>
                                </a:lnTo>
                                <a:lnTo>
                                  <a:pt x="500" y="187"/>
                                </a:lnTo>
                                <a:lnTo>
                                  <a:pt x="505" y="198"/>
                                </a:lnTo>
                                <a:lnTo>
                                  <a:pt x="510" y="209"/>
                                </a:lnTo>
                                <a:lnTo>
                                  <a:pt x="513" y="219"/>
                                </a:lnTo>
                                <a:lnTo>
                                  <a:pt x="515" y="229"/>
                                </a:lnTo>
                                <a:lnTo>
                                  <a:pt x="516" y="239"/>
                                </a:lnTo>
                                <a:lnTo>
                                  <a:pt x="517" y="249"/>
                                </a:lnTo>
                                <a:lnTo>
                                  <a:pt x="516" y="261"/>
                                </a:lnTo>
                                <a:lnTo>
                                  <a:pt x="514" y="273"/>
                                </a:lnTo>
                                <a:lnTo>
                                  <a:pt x="511" y="284"/>
                                </a:lnTo>
                                <a:lnTo>
                                  <a:pt x="507" y="295"/>
                                </a:lnTo>
                                <a:lnTo>
                                  <a:pt x="503" y="306"/>
                                </a:lnTo>
                                <a:lnTo>
                                  <a:pt x="497" y="316"/>
                                </a:lnTo>
                                <a:lnTo>
                                  <a:pt x="492" y="325"/>
                                </a:lnTo>
                                <a:lnTo>
                                  <a:pt x="485" y="334"/>
                                </a:lnTo>
                                <a:close/>
                                <a:moveTo>
                                  <a:pt x="1620" y="232"/>
                                </a:moveTo>
                                <a:lnTo>
                                  <a:pt x="1620" y="217"/>
                                </a:lnTo>
                                <a:lnTo>
                                  <a:pt x="1622" y="205"/>
                                </a:lnTo>
                                <a:lnTo>
                                  <a:pt x="1625" y="196"/>
                                </a:lnTo>
                                <a:lnTo>
                                  <a:pt x="1628" y="186"/>
                                </a:lnTo>
                                <a:lnTo>
                                  <a:pt x="1633" y="179"/>
                                </a:lnTo>
                                <a:lnTo>
                                  <a:pt x="1639" y="174"/>
                                </a:lnTo>
                                <a:lnTo>
                                  <a:pt x="1645" y="169"/>
                                </a:lnTo>
                                <a:lnTo>
                                  <a:pt x="1653" y="166"/>
                                </a:lnTo>
                                <a:lnTo>
                                  <a:pt x="1662" y="166"/>
                                </a:lnTo>
                                <a:lnTo>
                                  <a:pt x="1669" y="166"/>
                                </a:lnTo>
                                <a:lnTo>
                                  <a:pt x="1675" y="168"/>
                                </a:lnTo>
                                <a:lnTo>
                                  <a:pt x="1681" y="171"/>
                                </a:lnTo>
                                <a:lnTo>
                                  <a:pt x="1686" y="173"/>
                                </a:lnTo>
                                <a:lnTo>
                                  <a:pt x="1690" y="177"/>
                                </a:lnTo>
                                <a:lnTo>
                                  <a:pt x="1694" y="183"/>
                                </a:lnTo>
                                <a:lnTo>
                                  <a:pt x="1697" y="188"/>
                                </a:lnTo>
                                <a:lnTo>
                                  <a:pt x="1700" y="194"/>
                                </a:lnTo>
                                <a:lnTo>
                                  <a:pt x="1702" y="202"/>
                                </a:lnTo>
                                <a:lnTo>
                                  <a:pt x="1703" y="209"/>
                                </a:lnTo>
                                <a:lnTo>
                                  <a:pt x="1704" y="220"/>
                                </a:lnTo>
                                <a:lnTo>
                                  <a:pt x="1704" y="232"/>
                                </a:lnTo>
                                <a:lnTo>
                                  <a:pt x="1704" y="247"/>
                                </a:lnTo>
                                <a:lnTo>
                                  <a:pt x="1703" y="260"/>
                                </a:lnTo>
                                <a:lnTo>
                                  <a:pt x="1700" y="269"/>
                                </a:lnTo>
                                <a:lnTo>
                                  <a:pt x="1697" y="278"/>
                                </a:lnTo>
                                <a:lnTo>
                                  <a:pt x="1692" y="285"/>
                                </a:lnTo>
                                <a:lnTo>
                                  <a:pt x="1686" y="290"/>
                                </a:lnTo>
                                <a:lnTo>
                                  <a:pt x="1680" y="296"/>
                                </a:lnTo>
                                <a:lnTo>
                                  <a:pt x="1672" y="298"/>
                                </a:lnTo>
                                <a:lnTo>
                                  <a:pt x="1662" y="298"/>
                                </a:lnTo>
                                <a:lnTo>
                                  <a:pt x="1650" y="298"/>
                                </a:lnTo>
                                <a:lnTo>
                                  <a:pt x="1640" y="294"/>
                                </a:lnTo>
                                <a:lnTo>
                                  <a:pt x="1633" y="285"/>
                                </a:lnTo>
                                <a:lnTo>
                                  <a:pt x="1628" y="275"/>
                                </a:lnTo>
                                <a:lnTo>
                                  <a:pt x="1624" y="264"/>
                                </a:lnTo>
                                <a:lnTo>
                                  <a:pt x="1621" y="249"/>
                                </a:lnTo>
                                <a:lnTo>
                                  <a:pt x="1620" y="232"/>
                                </a:lnTo>
                                <a:close/>
                                <a:moveTo>
                                  <a:pt x="1637" y="232"/>
                                </a:moveTo>
                                <a:lnTo>
                                  <a:pt x="1637" y="247"/>
                                </a:lnTo>
                                <a:lnTo>
                                  <a:pt x="1639" y="259"/>
                                </a:lnTo>
                                <a:lnTo>
                                  <a:pt x="1641" y="268"/>
                                </a:lnTo>
                                <a:lnTo>
                                  <a:pt x="1644" y="275"/>
                                </a:lnTo>
                                <a:lnTo>
                                  <a:pt x="1649" y="282"/>
                                </a:lnTo>
                                <a:lnTo>
                                  <a:pt x="1655" y="285"/>
                                </a:lnTo>
                                <a:lnTo>
                                  <a:pt x="1662" y="285"/>
                                </a:lnTo>
                                <a:lnTo>
                                  <a:pt x="1670" y="285"/>
                                </a:lnTo>
                                <a:lnTo>
                                  <a:pt x="1676" y="282"/>
                                </a:lnTo>
                                <a:lnTo>
                                  <a:pt x="1681" y="275"/>
                                </a:lnTo>
                                <a:lnTo>
                                  <a:pt x="1684" y="268"/>
                                </a:lnTo>
                                <a:lnTo>
                                  <a:pt x="1686" y="259"/>
                                </a:lnTo>
                                <a:lnTo>
                                  <a:pt x="1688" y="247"/>
                                </a:lnTo>
                                <a:lnTo>
                                  <a:pt x="1688" y="232"/>
                                </a:lnTo>
                                <a:lnTo>
                                  <a:pt x="1688" y="218"/>
                                </a:lnTo>
                                <a:lnTo>
                                  <a:pt x="1686" y="206"/>
                                </a:lnTo>
                                <a:lnTo>
                                  <a:pt x="1684" y="197"/>
                                </a:lnTo>
                                <a:lnTo>
                                  <a:pt x="1681" y="190"/>
                                </a:lnTo>
                                <a:lnTo>
                                  <a:pt x="1676" y="183"/>
                                </a:lnTo>
                                <a:lnTo>
                                  <a:pt x="1670" y="180"/>
                                </a:lnTo>
                                <a:lnTo>
                                  <a:pt x="1662" y="180"/>
                                </a:lnTo>
                                <a:lnTo>
                                  <a:pt x="1655" y="180"/>
                                </a:lnTo>
                                <a:lnTo>
                                  <a:pt x="1649" y="183"/>
                                </a:lnTo>
                                <a:lnTo>
                                  <a:pt x="1645" y="189"/>
                                </a:lnTo>
                                <a:lnTo>
                                  <a:pt x="1641" y="196"/>
                                </a:lnTo>
                                <a:lnTo>
                                  <a:pt x="1639" y="206"/>
                                </a:lnTo>
                                <a:lnTo>
                                  <a:pt x="1637" y="218"/>
                                </a:lnTo>
                                <a:lnTo>
                                  <a:pt x="1637" y="232"/>
                                </a:lnTo>
                                <a:close/>
                                <a:moveTo>
                                  <a:pt x="1805" y="334"/>
                                </a:moveTo>
                                <a:lnTo>
                                  <a:pt x="1799" y="325"/>
                                </a:lnTo>
                                <a:lnTo>
                                  <a:pt x="1793" y="316"/>
                                </a:lnTo>
                                <a:lnTo>
                                  <a:pt x="1788" y="306"/>
                                </a:lnTo>
                                <a:lnTo>
                                  <a:pt x="1783" y="295"/>
                                </a:lnTo>
                                <a:lnTo>
                                  <a:pt x="1779" y="284"/>
                                </a:lnTo>
                                <a:lnTo>
                                  <a:pt x="1776" y="273"/>
                                </a:lnTo>
                                <a:lnTo>
                                  <a:pt x="1775" y="261"/>
                                </a:lnTo>
                                <a:lnTo>
                                  <a:pt x="1774" y="249"/>
                                </a:lnTo>
                                <a:lnTo>
                                  <a:pt x="1774" y="239"/>
                                </a:lnTo>
                                <a:lnTo>
                                  <a:pt x="1776" y="229"/>
                                </a:lnTo>
                                <a:lnTo>
                                  <a:pt x="1778" y="219"/>
                                </a:lnTo>
                                <a:lnTo>
                                  <a:pt x="1781" y="209"/>
                                </a:lnTo>
                                <a:lnTo>
                                  <a:pt x="1785" y="198"/>
                                </a:lnTo>
                                <a:lnTo>
                                  <a:pt x="1791" y="187"/>
                                </a:lnTo>
                                <a:lnTo>
                                  <a:pt x="1797" y="176"/>
                                </a:lnTo>
                                <a:lnTo>
                                  <a:pt x="1805" y="165"/>
                                </a:lnTo>
                                <a:lnTo>
                                  <a:pt x="1816" y="165"/>
                                </a:lnTo>
                                <a:lnTo>
                                  <a:pt x="1809" y="177"/>
                                </a:lnTo>
                                <a:lnTo>
                                  <a:pt x="1805" y="186"/>
                                </a:lnTo>
                                <a:lnTo>
                                  <a:pt x="1802" y="191"/>
                                </a:lnTo>
                                <a:lnTo>
                                  <a:pt x="1799" y="199"/>
                                </a:lnTo>
                                <a:lnTo>
                                  <a:pt x="1796" y="207"/>
                                </a:lnTo>
                                <a:lnTo>
                                  <a:pt x="1794" y="216"/>
                                </a:lnTo>
                                <a:lnTo>
                                  <a:pt x="1791" y="227"/>
                                </a:lnTo>
                                <a:lnTo>
                                  <a:pt x="1790" y="238"/>
                                </a:lnTo>
                                <a:lnTo>
                                  <a:pt x="1790" y="249"/>
                                </a:lnTo>
                                <a:lnTo>
                                  <a:pt x="1792" y="270"/>
                                </a:lnTo>
                                <a:lnTo>
                                  <a:pt x="1797" y="292"/>
                                </a:lnTo>
                                <a:lnTo>
                                  <a:pt x="1805" y="313"/>
                                </a:lnTo>
                                <a:lnTo>
                                  <a:pt x="1816" y="334"/>
                                </a:lnTo>
                                <a:lnTo>
                                  <a:pt x="1805" y="334"/>
                                </a:lnTo>
                                <a:close/>
                                <a:moveTo>
                                  <a:pt x="1830" y="232"/>
                                </a:moveTo>
                                <a:lnTo>
                                  <a:pt x="1830" y="217"/>
                                </a:lnTo>
                                <a:lnTo>
                                  <a:pt x="1832" y="205"/>
                                </a:lnTo>
                                <a:lnTo>
                                  <a:pt x="1835" y="196"/>
                                </a:lnTo>
                                <a:lnTo>
                                  <a:pt x="1838" y="186"/>
                                </a:lnTo>
                                <a:lnTo>
                                  <a:pt x="1843" y="179"/>
                                </a:lnTo>
                                <a:lnTo>
                                  <a:pt x="1849" y="174"/>
                                </a:lnTo>
                                <a:lnTo>
                                  <a:pt x="1855" y="169"/>
                                </a:lnTo>
                                <a:lnTo>
                                  <a:pt x="1863" y="166"/>
                                </a:lnTo>
                                <a:lnTo>
                                  <a:pt x="1872" y="166"/>
                                </a:lnTo>
                                <a:lnTo>
                                  <a:pt x="1879" y="166"/>
                                </a:lnTo>
                                <a:lnTo>
                                  <a:pt x="1885" y="168"/>
                                </a:lnTo>
                                <a:lnTo>
                                  <a:pt x="1891" y="171"/>
                                </a:lnTo>
                                <a:lnTo>
                                  <a:pt x="1896" y="173"/>
                                </a:lnTo>
                                <a:lnTo>
                                  <a:pt x="1900" y="177"/>
                                </a:lnTo>
                                <a:lnTo>
                                  <a:pt x="1904" y="183"/>
                                </a:lnTo>
                                <a:lnTo>
                                  <a:pt x="1907" y="188"/>
                                </a:lnTo>
                                <a:lnTo>
                                  <a:pt x="1910" y="194"/>
                                </a:lnTo>
                                <a:lnTo>
                                  <a:pt x="1912" y="202"/>
                                </a:lnTo>
                                <a:lnTo>
                                  <a:pt x="1914" y="209"/>
                                </a:lnTo>
                                <a:lnTo>
                                  <a:pt x="1914" y="220"/>
                                </a:lnTo>
                                <a:lnTo>
                                  <a:pt x="1914" y="232"/>
                                </a:lnTo>
                                <a:lnTo>
                                  <a:pt x="1914" y="247"/>
                                </a:lnTo>
                                <a:lnTo>
                                  <a:pt x="1913" y="260"/>
                                </a:lnTo>
                                <a:lnTo>
                                  <a:pt x="1910" y="269"/>
                                </a:lnTo>
                                <a:lnTo>
                                  <a:pt x="1907" y="278"/>
                                </a:lnTo>
                                <a:lnTo>
                                  <a:pt x="1902" y="285"/>
                                </a:lnTo>
                                <a:lnTo>
                                  <a:pt x="1896" y="290"/>
                                </a:lnTo>
                                <a:lnTo>
                                  <a:pt x="1890" y="296"/>
                                </a:lnTo>
                                <a:lnTo>
                                  <a:pt x="1882" y="298"/>
                                </a:lnTo>
                                <a:lnTo>
                                  <a:pt x="1872" y="298"/>
                                </a:lnTo>
                                <a:lnTo>
                                  <a:pt x="1860" y="298"/>
                                </a:lnTo>
                                <a:lnTo>
                                  <a:pt x="1850" y="294"/>
                                </a:lnTo>
                                <a:lnTo>
                                  <a:pt x="1843" y="285"/>
                                </a:lnTo>
                                <a:lnTo>
                                  <a:pt x="1838" y="275"/>
                                </a:lnTo>
                                <a:lnTo>
                                  <a:pt x="1834" y="264"/>
                                </a:lnTo>
                                <a:lnTo>
                                  <a:pt x="1831" y="249"/>
                                </a:lnTo>
                                <a:lnTo>
                                  <a:pt x="1830" y="232"/>
                                </a:lnTo>
                                <a:close/>
                                <a:moveTo>
                                  <a:pt x="1847" y="232"/>
                                </a:moveTo>
                                <a:lnTo>
                                  <a:pt x="1847" y="247"/>
                                </a:lnTo>
                                <a:lnTo>
                                  <a:pt x="1849" y="259"/>
                                </a:lnTo>
                                <a:lnTo>
                                  <a:pt x="1851" y="268"/>
                                </a:lnTo>
                                <a:lnTo>
                                  <a:pt x="1854" y="275"/>
                                </a:lnTo>
                                <a:lnTo>
                                  <a:pt x="1859" y="282"/>
                                </a:lnTo>
                                <a:lnTo>
                                  <a:pt x="1865" y="285"/>
                                </a:lnTo>
                                <a:lnTo>
                                  <a:pt x="1872" y="285"/>
                                </a:lnTo>
                                <a:lnTo>
                                  <a:pt x="1880" y="285"/>
                                </a:lnTo>
                                <a:lnTo>
                                  <a:pt x="1886" y="282"/>
                                </a:lnTo>
                                <a:lnTo>
                                  <a:pt x="1891" y="275"/>
                                </a:lnTo>
                                <a:lnTo>
                                  <a:pt x="1894" y="268"/>
                                </a:lnTo>
                                <a:lnTo>
                                  <a:pt x="1896" y="259"/>
                                </a:lnTo>
                                <a:lnTo>
                                  <a:pt x="1898" y="247"/>
                                </a:lnTo>
                                <a:lnTo>
                                  <a:pt x="1898" y="232"/>
                                </a:lnTo>
                                <a:lnTo>
                                  <a:pt x="1898" y="218"/>
                                </a:lnTo>
                                <a:lnTo>
                                  <a:pt x="1896" y="206"/>
                                </a:lnTo>
                                <a:lnTo>
                                  <a:pt x="1894" y="197"/>
                                </a:lnTo>
                                <a:lnTo>
                                  <a:pt x="1891" y="190"/>
                                </a:lnTo>
                                <a:lnTo>
                                  <a:pt x="1886" y="183"/>
                                </a:lnTo>
                                <a:lnTo>
                                  <a:pt x="1880" y="180"/>
                                </a:lnTo>
                                <a:lnTo>
                                  <a:pt x="1872" y="180"/>
                                </a:lnTo>
                                <a:lnTo>
                                  <a:pt x="1865" y="180"/>
                                </a:lnTo>
                                <a:lnTo>
                                  <a:pt x="1859" y="183"/>
                                </a:lnTo>
                                <a:lnTo>
                                  <a:pt x="1855" y="189"/>
                                </a:lnTo>
                                <a:lnTo>
                                  <a:pt x="1851" y="196"/>
                                </a:lnTo>
                                <a:lnTo>
                                  <a:pt x="1849" y="206"/>
                                </a:lnTo>
                                <a:lnTo>
                                  <a:pt x="1847" y="218"/>
                                </a:lnTo>
                                <a:lnTo>
                                  <a:pt x="1847" y="232"/>
                                </a:lnTo>
                                <a:close/>
                                <a:moveTo>
                                  <a:pt x="1934" y="198"/>
                                </a:moveTo>
                                <a:lnTo>
                                  <a:pt x="1934" y="189"/>
                                </a:lnTo>
                                <a:lnTo>
                                  <a:pt x="1936" y="181"/>
                                </a:lnTo>
                                <a:lnTo>
                                  <a:pt x="1940" y="174"/>
                                </a:lnTo>
                                <a:lnTo>
                                  <a:pt x="1945" y="168"/>
                                </a:lnTo>
                                <a:lnTo>
                                  <a:pt x="1952" y="165"/>
                                </a:lnTo>
                                <a:lnTo>
                                  <a:pt x="1961" y="165"/>
                                </a:lnTo>
                                <a:lnTo>
                                  <a:pt x="1969" y="165"/>
                                </a:lnTo>
                                <a:lnTo>
                                  <a:pt x="1975" y="168"/>
                                </a:lnTo>
                                <a:lnTo>
                                  <a:pt x="1981" y="173"/>
                                </a:lnTo>
                                <a:lnTo>
                                  <a:pt x="1986" y="179"/>
                                </a:lnTo>
                                <a:lnTo>
                                  <a:pt x="1989" y="188"/>
                                </a:lnTo>
                                <a:lnTo>
                                  <a:pt x="1989" y="199"/>
                                </a:lnTo>
                                <a:lnTo>
                                  <a:pt x="1989" y="210"/>
                                </a:lnTo>
                                <a:lnTo>
                                  <a:pt x="1986" y="218"/>
                                </a:lnTo>
                                <a:lnTo>
                                  <a:pt x="1981" y="224"/>
                                </a:lnTo>
                                <a:lnTo>
                                  <a:pt x="1975" y="230"/>
                                </a:lnTo>
                                <a:lnTo>
                                  <a:pt x="1969" y="233"/>
                                </a:lnTo>
                                <a:lnTo>
                                  <a:pt x="1961" y="233"/>
                                </a:lnTo>
                                <a:lnTo>
                                  <a:pt x="1953" y="233"/>
                                </a:lnTo>
                                <a:lnTo>
                                  <a:pt x="1947" y="230"/>
                                </a:lnTo>
                                <a:lnTo>
                                  <a:pt x="1941" y="224"/>
                                </a:lnTo>
                                <a:lnTo>
                                  <a:pt x="1936" y="218"/>
                                </a:lnTo>
                                <a:lnTo>
                                  <a:pt x="1934" y="210"/>
                                </a:lnTo>
                                <a:lnTo>
                                  <a:pt x="1934" y="198"/>
                                </a:lnTo>
                                <a:close/>
                                <a:moveTo>
                                  <a:pt x="1961" y="176"/>
                                </a:moveTo>
                                <a:lnTo>
                                  <a:pt x="1957" y="176"/>
                                </a:lnTo>
                                <a:lnTo>
                                  <a:pt x="1954" y="177"/>
                                </a:lnTo>
                                <a:lnTo>
                                  <a:pt x="1951" y="181"/>
                                </a:lnTo>
                                <a:lnTo>
                                  <a:pt x="1949" y="184"/>
                                </a:lnTo>
                                <a:lnTo>
                                  <a:pt x="1947" y="190"/>
                                </a:lnTo>
                                <a:lnTo>
                                  <a:pt x="1947" y="200"/>
                                </a:lnTo>
                                <a:lnTo>
                                  <a:pt x="1947" y="208"/>
                                </a:lnTo>
                                <a:lnTo>
                                  <a:pt x="1949" y="214"/>
                                </a:lnTo>
                                <a:lnTo>
                                  <a:pt x="1951" y="217"/>
                                </a:lnTo>
                                <a:lnTo>
                                  <a:pt x="1954" y="220"/>
                                </a:lnTo>
                                <a:lnTo>
                                  <a:pt x="1957" y="222"/>
                                </a:lnTo>
                                <a:lnTo>
                                  <a:pt x="1961" y="222"/>
                                </a:lnTo>
                                <a:lnTo>
                                  <a:pt x="1965" y="222"/>
                                </a:lnTo>
                                <a:lnTo>
                                  <a:pt x="1968" y="220"/>
                                </a:lnTo>
                                <a:lnTo>
                                  <a:pt x="1971" y="217"/>
                                </a:lnTo>
                                <a:lnTo>
                                  <a:pt x="1974" y="214"/>
                                </a:lnTo>
                                <a:lnTo>
                                  <a:pt x="1975" y="207"/>
                                </a:lnTo>
                                <a:lnTo>
                                  <a:pt x="1975" y="198"/>
                                </a:lnTo>
                                <a:lnTo>
                                  <a:pt x="1975" y="190"/>
                                </a:lnTo>
                                <a:lnTo>
                                  <a:pt x="1974" y="184"/>
                                </a:lnTo>
                                <a:lnTo>
                                  <a:pt x="1971" y="181"/>
                                </a:lnTo>
                                <a:lnTo>
                                  <a:pt x="1968" y="177"/>
                                </a:lnTo>
                                <a:lnTo>
                                  <a:pt x="1965" y="176"/>
                                </a:lnTo>
                                <a:lnTo>
                                  <a:pt x="1961" y="176"/>
                                </a:lnTo>
                                <a:close/>
                                <a:moveTo>
                                  <a:pt x="1961" y="301"/>
                                </a:moveTo>
                                <a:lnTo>
                                  <a:pt x="2032" y="165"/>
                                </a:lnTo>
                                <a:lnTo>
                                  <a:pt x="2044" y="165"/>
                                </a:lnTo>
                                <a:lnTo>
                                  <a:pt x="1974" y="301"/>
                                </a:lnTo>
                                <a:lnTo>
                                  <a:pt x="1961" y="301"/>
                                </a:lnTo>
                                <a:close/>
                                <a:moveTo>
                                  <a:pt x="2017" y="266"/>
                                </a:moveTo>
                                <a:lnTo>
                                  <a:pt x="2017" y="256"/>
                                </a:lnTo>
                                <a:lnTo>
                                  <a:pt x="2019" y="249"/>
                                </a:lnTo>
                                <a:lnTo>
                                  <a:pt x="2024" y="242"/>
                                </a:lnTo>
                                <a:lnTo>
                                  <a:pt x="2028" y="236"/>
                                </a:lnTo>
                                <a:lnTo>
                                  <a:pt x="2035" y="232"/>
                                </a:lnTo>
                                <a:lnTo>
                                  <a:pt x="2044" y="232"/>
                                </a:lnTo>
                                <a:lnTo>
                                  <a:pt x="2052" y="232"/>
                                </a:lnTo>
                                <a:lnTo>
                                  <a:pt x="2059" y="235"/>
                                </a:lnTo>
                                <a:lnTo>
                                  <a:pt x="2064" y="241"/>
                                </a:lnTo>
                                <a:lnTo>
                                  <a:pt x="2069" y="247"/>
                                </a:lnTo>
                                <a:lnTo>
                                  <a:pt x="2072" y="255"/>
                                </a:lnTo>
                                <a:lnTo>
                                  <a:pt x="2072" y="267"/>
                                </a:lnTo>
                                <a:lnTo>
                                  <a:pt x="2072" y="277"/>
                                </a:lnTo>
                                <a:lnTo>
                                  <a:pt x="2069" y="286"/>
                                </a:lnTo>
                                <a:lnTo>
                                  <a:pt x="2064" y="292"/>
                                </a:lnTo>
                                <a:lnTo>
                                  <a:pt x="2059" y="298"/>
                                </a:lnTo>
                                <a:lnTo>
                                  <a:pt x="2052" y="301"/>
                                </a:lnTo>
                                <a:lnTo>
                                  <a:pt x="2044" y="301"/>
                                </a:lnTo>
                                <a:lnTo>
                                  <a:pt x="2036" y="301"/>
                                </a:lnTo>
                                <a:lnTo>
                                  <a:pt x="2030" y="298"/>
                                </a:lnTo>
                                <a:lnTo>
                                  <a:pt x="2025" y="292"/>
                                </a:lnTo>
                                <a:lnTo>
                                  <a:pt x="2019" y="286"/>
                                </a:lnTo>
                                <a:lnTo>
                                  <a:pt x="2017" y="277"/>
                                </a:lnTo>
                                <a:lnTo>
                                  <a:pt x="2017" y="266"/>
                                </a:lnTo>
                                <a:close/>
                                <a:moveTo>
                                  <a:pt x="2044" y="243"/>
                                </a:moveTo>
                                <a:lnTo>
                                  <a:pt x="2040" y="243"/>
                                </a:lnTo>
                                <a:lnTo>
                                  <a:pt x="2037" y="245"/>
                                </a:lnTo>
                                <a:lnTo>
                                  <a:pt x="2035" y="248"/>
                                </a:lnTo>
                                <a:lnTo>
                                  <a:pt x="2032" y="252"/>
                                </a:lnTo>
                                <a:lnTo>
                                  <a:pt x="2031" y="258"/>
                                </a:lnTo>
                                <a:lnTo>
                                  <a:pt x="2031" y="267"/>
                                </a:lnTo>
                                <a:lnTo>
                                  <a:pt x="2031" y="275"/>
                                </a:lnTo>
                                <a:lnTo>
                                  <a:pt x="2032" y="281"/>
                                </a:lnTo>
                                <a:lnTo>
                                  <a:pt x="2035" y="285"/>
                                </a:lnTo>
                                <a:lnTo>
                                  <a:pt x="2037" y="288"/>
                                </a:lnTo>
                                <a:lnTo>
                                  <a:pt x="2041" y="290"/>
                                </a:lnTo>
                                <a:lnTo>
                                  <a:pt x="2044" y="290"/>
                                </a:lnTo>
                                <a:lnTo>
                                  <a:pt x="2048" y="290"/>
                                </a:lnTo>
                                <a:lnTo>
                                  <a:pt x="2052" y="288"/>
                                </a:lnTo>
                                <a:lnTo>
                                  <a:pt x="2054" y="285"/>
                                </a:lnTo>
                                <a:lnTo>
                                  <a:pt x="2057" y="281"/>
                                </a:lnTo>
                                <a:lnTo>
                                  <a:pt x="2058" y="275"/>
                                </a:lnTo>
                                <a:lnTo>
                                  <a:pt x="2058" y="266"/>
                                </a:lnTo>
                                <a:lnTo>
                                  <a:pt x="2058" y="258"/>
                                </a:lnTo>
                                <a:lnTo>
                                  <a:pt x="2057" y="252"/>
                                </a:lnTo>
                                <a:lnTo>
                                  <a:pt x="2054" y="248"/>
                                </a:lnTo>
                                <a:lnTo>
                                  <a:pt x="2052" y="245"/>
                                </a:lnTo>
                                <a:lnTo>
                                  <a:pt x="2048" y="243"/>
                                </a:lnTo>
                                <a:lnTo>
                                  <a:pt x="2044" y="243"/>
                                </a:lnTo>
                                <a:close/>
                                <a:moveTo>
                                  <a:pt x="2105" y="334"/>
                                </a:moveTo>
                                <a:lnTo>
                                  <a:pt x="2094" y="334"/>
                                </a:lnTo>
                                <a:lnTo>
                                  <a:pt x="2106" y="313"/>
                                </a:lnTo>
                                <a:lnTo>
                                  <a:pt x="2114" y="292"/>
                                </a:lnTo>
                                <a:lnTo>
                                  <a:pt x="2119" y="270"/>
                                </a:lnTo>
                                <a:lnTo>
                                  <a:pt x="2120" y="249"/>
                                </a:lnTo>
                                <a:lnTo>
                                  <a:pt x="2120" y="238"/>
                                </a:lnTo>
                                <a:lnTo>
                                  <a:pt x="2119" y="227"/>
                                </a:lnTo>
                                <a:lnTo>
                                  <a:pt x="2117" y="216"/>
                                </a:lnTo>
                                <a:lnTo>
                                  <a:pt x="2115" y="208"/>
                                </a:lnTo>
                                <a:lnTo>
                                  <a:pt x="2112" y="199"/>
                                </a:lnTo>
                                <a:lnTo>
                                  <a:pt x="2108" y="191"/>
                                </a:lnTo>
                                <a:lnTo>
                                  <a:pt x="2106" y="186"/>
                                </a:lnTo>
                                <a:lnTo>
                                  <a:pt x="2101" y="177"/>
                                </a:lnTo>
                                <a:lnTo>
                                  <a:pt x="2094" y="165"/>
                                </a:lnTo>
                                <a:lnTo>
                                  <a:pt x="2105" y="165"/>
                                </a:lnTo>
                                <a:lnTo>
                                  <a:pt x="2113" y="176"/>
                                </a:lnTo>
                                <a:lnTo>
                                  <a:pt x="2120" y="187"/>
                                </a:lnTo>
                                <a:lnTo>
                                  <a:pt x="2125" y="198"/>
                                </a:lnTo>
                                <a:lnTo>
                                  <a:pt x="2130" y="209"/>
                                </a:lnTo>
                                <a:lnTo>
                                  <a:pt x="2133" y="219"/>
                                </a:lnTo>
                                <a:lnTo>
                                  <a:pt x="2135" y="229"/>
                                </a:lnTo>
                                <a:lnTo>
                                  <a:pt x="2136" y="239"/>
                                </a:lnTo>
                                <a:lnTo>
                                  <a:pt x="2137" y="249"/>
                                </a:lnTo>
                                <a:lnTo>
                                  <a:pt x="2136" y="261"/>
                                </a:lnTo>
                                <a:lnTo>
                                  <a:pt x="2134" y="273"/>
                                </a:lnTo>
                                <a:lnTo>
                                  <a:pt x="2131" y="284"/>
                                </a:lnTo>
                                <a:lnTo>
                                  <a:pt x="2127" y="295"/>
                                </a:lnTo>
                                <a:lnTo>
                                  <a:pt x="2123" y="306"/>
                                </a:lnTo>
                                <a:lnTo>
                                  <a:pt x="2117" y="316"/>
                                </a:lnTo>
                                <a:lnTo>
                                  <a:pt x="2112" y="325"/>
                                </a:lnTo>
                                <a:lnTo>
                                  <a:pt x="2105" y="334"/>
                                </a:lnTo>
                                <a:close/>
                                <a:moveTo>
                                  <a:pt x="3231" y="131"/>
                                </a:moveTo>
                                <a:lnTo>
                                  <a:pt x="3231" y="100"/>
                                </a:lnTo>
                                <a:lnTo>
                                  <a:pt x="3175" y="100"/>
                                </a:lnTo>
                                <a:lnTo>
                                  <a:pt x="3175" y="86"/>
                                </a:lnTo>
                                <a:lnTo>
                                  <a:pt x="3234" y="2"/>
                                </a:lnTo>
                                <a:lnTo>
                                  <a:pt x="3247" y="2"/>
                                </a:lnTo>
                                <a:lnTo>
                                  <a:pt x="3247" y="86"/>
                                </a:lnTo>
                                <a:lnTo>
                                  <a:pt x="3264" y="86"/>
                                </a:lnTo>
                                <a:lnTo>
                                  <a:pt x="3264" y="100"/>
                                </a:lnTo>
                                <a:lnTo>
                                  <a:pt x="3247" y="100"/>
                                </a:lnTo>
                                <a:lnTo>
                                  <a:pt x="3247" y="131"/>
                                </a:lnTo>
                                <a:lnTo>
                                  <a:pt x="3231" y="131"/>
                                </a:lnTo>
                                <a:close/>
                                <a:moveTo>
                                  <a:pt x="3231" y="86"/>
                                </a:moveTo>
                                <a:lnTo>
                                  <a:pt x="3231" y="27"/>
                                </a:lnTo>
                                <a:lnTo>
                                  <a:pt x="3191" y="86"/>
                                </a:lnTo>
                                <a:lnTo>
                                  <a:pt x="3231" y="86"/>
                                </a:lnTo>
                                <a:close/>
                                <a:moveTo>
                                  <a:pt x="3365" y="169"/>
                                </a:moveTo>
                                <a:lnTo>
                                  <a:pt x="3359" y="160"/>
                                </a:lnTo>
                                <a:lnTo>
                                  <a:pt x="3353" y="151"/>
                                </a:lnTo>
                                <a:lnTo>
                                  <a:pt x="3348" y="141"/>
                                </a:lnTo>
                                <a:lnTo>
                                  <a:pt x="3343" y="130"/>
                                </a:lnTo>
                                <a:lnTo>
                                  <a:pt x="3339" y="119"/>
                                </a:lnTo>
                                <a:lnTo>
                                  <a:pt x="3336" y="108"/>
                                </a:lnTo>
                                <a:lnTo>
                                  <a:pt x="3334" y="96"/>
                                </a:lnTo>
                                <a:lnTo>
                                  <a:pt x="3334" y="84"/>
                                </a:lnTo>
                                <a:lnTo>
                                  <a:pt x="3334" y="74"/>
                                </a:lnTo>
                                <a:lnTo>
                                  <a:pt x="3335" y="64"/>
                                </a:lnTo>
                                <a:lnTo>
                                  <a:pt x="3338" y="54"/>
                                </a:lnTo>
                                <a:lnTo>
                                  <a:pt x="3340" y="44"/>
                                </a:lnTo>
                                <a:lnTo>
                                  <a:pt x="3345" y="33"/>
                                </a:lnTo>
                                <a:lnTo>
                                  <a:pt x="3351" y="22"/>
                                </a:lnTo>
                                <a:lnTo>
                                  <a:pt x="3357" y="11"/>
                                </a:lnTo>
                                <a:lnTo>
                                  <a:pt x="3365" y="0"/>
                                </a:lnTo>
                                <a:lnTo>
                                  <a:pt x="3376" y="0"/>
                                </a:lnTo>
                                <a:lnTo>
                                  <a:pt x="3369" y="12"/>
                                </a:lnTo>
                                <a:lnTo>
                                  <a:pt x="3364" y="21"/>
                                </a:lnTo>
                                <a:lnTo>
                                  <a:pt x="3362" y="26"/>
                                </a:lnTo>
                                <a:lnTo>
                                  <a:pt x="3359" y="34"/>
                                </a:lnTo>
                                <a:lnTo>
                                  <a:pt x="3356" y="42"/>
                                </a:lnTo>
                                <a:lnTo>
                                  <a:pt x="3354" y="51"/>
                                </a:lnTo>
                                <a:lnTo>
                                  <a:pt x="3351" y="62"/>
                                </a:lnTo>
                                <a:lnTo>
                                  <a:pt x="3350" y="73"/>
                                </a:lnTo>
                                <a:lnTo>
                                  <a:pt x="3350" y="84"/>
                                </a:lnTo>
                                <a:lnTo>
                                  <a:pt x="3352" y="105"/>
                                </a:lnTo>
                                <a:lnTo>
                                  <a:pt x="3357" y="127"/>
                                </a:lnTo>
                                <a:lnTo>
                                  <a:pt x="3365" y="148"/>
                                </a:lnTo>
                                <a:lnTo>
                                  <a:pt x="3376" y="169"/>
                                </a:lnTo>
                                <a:lnTo>
                                  <a:pt x="3365" y="169"/>
                                </a:lnTo>
                                <a:close/>
                                <a:moveTo>
                                  <a:pt x="3390" y="97"/>
                                </a:moveTo>
                                <a:lnTo>
                                  <a:pt x="3407" y="96"/>
                                </a:lnTo>
                                <a:lnTo>
                                  <a:pt x="3408" y="104"/>
                                </a:lnTo>
                                <a:lnTo>
                                  <a:pt x="3411" y="110"/>
                                </a:lnTo>
                                <a:lnTo>
                                  <a:pt x="3415" y="114"/>
                                </a:lnTo>
                                <a:lnTo>
                                  <a:pt x="3420" y="118"/>
                                </a:lnTo>
                                <a:lnTo>
                                  <a:pt x="3425" y="120"/>
                                </a:lnTo>
                                <a:lnTo>
                                  <a:pt x="3432" y="120"/>
                                </a:lnTo>
                                <a:lnTo>
                                  <a:pt x="3439" y="120"/>
                                </a:lnTo>
                                <a:lnTo>
                                  <a:pt x="3446" y="117"/>
                                </a:lnTo>
                                <a:lnTo>
                                  <a:pt x="3451" y="111"/>
                                </a:lnTo>
                                <a:lnTo>
                                  <a:pt x="3456" y="106"/>
                                </a:lnTo>
                                <a:lnTo>
                                  <a:pt x="3459" y="98"/>
                                </a:lnTo>
                                <a:lnTo>
                                  <a:pt x="3459" y="89"/>
                                </a:lnTo>
                                <a:lnTo>
                                  <a:pt x="3459" y="80"/>
                                </a:lnTo>
                                <a:lnTo>
                                  <a:pt x="3456" y="72"/>
                                </a:lnTo>
                                <a:lnTo>
                                  <a:pt x="3451" y="67"/>
                                </a:lnTo>
                                <a:lnTo>
                                  <a:pt x="3446" y="62"/>
                                </a:lnTo>
                                <a:lnTo>
                                  <a:pt x="3440" y="59"/>
                                </a:lnTo>
                                <a:lnTo>
                                  <a:pt x="3431" y="59"/>
                                </a:lnTo>
                                <a:lnTo>
                                  <a:pt x="3426" y="59"/>
                                </a:lnTo>
                                <a:lnTo>
                                  <a:pt x="3422" y="61"/>
                                </a:lnTo>
                                <a:lnTo>
                                  <a:pt x="3418" y="63"/>
                                </a:lnTo>
                                <a:lnTo>
                                  <a:pt x="3413" y="65"/>
                                </a:lnTo>
                                <a:lnTo>
                                  <a:pt x="3410" y="68"/>
                                </a:lnTo>
                                <a:lnTo>
                                  <a:pt x="3408" y="72"/>
                                </a:lnTo>
                                <a:lnTo>
                                  <a:pt x="3393" y="70"/>
                                </a:lnTo>
                                <a:lnTo>
                                  <a:pt x="3406" y="4"/>
                                </a:lnTo>
                                <a:lnTo>
                                  <a:pt x="3470" y="4"/>
                                </a:lnTo>
                                <a:lnTo>
                                  <a:pt x="3470" y="19"/>
                                </a:lnTo>
                                <a:lnTo>
                                  <a:pt x="3418" y="19"/>
                                </a:lnTo>
                                <a:lnTo>
                                  <a:pt x="3411" y="54"/>
                                </a:lnTo>
                                <a:lnTo>
                                  <a:pt x="3419" y="48"/>
                                </a:lnTo>
                                <a:lnTo>
                                  <a:pt x="3427" y="45"/>
                                </a:lnTo>
                                <a:lnTo>
                                  <a:pt x="3436" y="45"/>
                                </a:lnTo>
                                <a:lnTo>
                                  <a:pt x="3447" y="45"/>
                                </a:lnTo>
                                <a:lnTo>
                                  <a:pt x="3456" y="49"/>
                                </a:lnTo>
                                <a:lnTo>
                                  <a:pt x="3464" y="57"/>
                                </a:lnTo>
                                <a:lnTo>
                                  <a:pt x="3472" y="65"/>
                                </a:lnTo>
                                <a:lnTo>
                                  <a:pt x="3476" y="75"/>
                                </a:lnTo>
                                <a:lnTo>
                                  <a:pt x="3476" y="87"/>
                                </a:lnTo>
                                <a:lnTo>
                                  <a:pt x="3476" y="99"/>
                                </a:lnTo>
                                <a:lnTo>
                                  <a:pt x="3472" y="109"/>
                                </a:lnTo>
                                <a:lnTo>
                                  <a:pt x="3465" y="117"/>
                                </a:lnTo>
                                <a:lnTo>
                                  <a:pt x="3457" y="128"/>
                                </a:lnTo>
                                <a:lnTo>
                                  <a:pt x="3446" y="133"/>
                                </a:lnTo>
                                <a:lnTo>
                                  <a:pt x="3432" y="133"/>
                                </a:lnTo>
                                <a:lnTo>
                                  <a:pt x="3420" y="133"/>
                                </a:lnTo>
                                <a:lnTo>
                                  <a:pt x="3410" y="130"/>
                                </a:lnTo>
                                <a:lnTo>
                                  <a:pt x="3403" y="123"/>
                                </a:lnTo>
                                <a:lnTo>
                                  <a:pt x="3396" y="117"/>
                                </a:lnTo>
                                <a:lnTo>
                                  <a:pt x="3391" y="108"/>
                                </a:lnTo>
                                <a:lnTo>
                                  <a:pt x="3390" y="97"/>
                                </a:lnTo>
                                <a:close/>
                                <a:moveTo>
                                  <a:pt x="3499" y="131"/>
                                </a:moveTo>
                                <a:lnTo>
                                  <a:pt x="3499" y="113"/>
                                </a:lnTo>
                                <a:lnTo>
                                  <a:pt x="3517" y="113"/>
                                </a:lnTo>
                                <a:lnTo>
                                  <a:pt x="3517" y="131"/>
                                </a:lnTo>
                                <a:lnTo>
                                  <a:pt x="3499" y="131"/>
                                </a:lnTo>
                                <a:close/>
                                <a:moveTo>
                                  <a:pt x="3540" y="97"/>
                                </a:moveTo>
                                <a:lnTo>
                                  <a:pt x="3556" y="95"/>
                                </a:lnTo>
                                <a:lnTo>
                                  <a:pt x="3558" y="104"/>
                                </a:lnTo>
                                <a:lnTo>
                                  <a:pt x="3561" y="110"/>
                                </a:lnTo>
                                <a:lnTo>
                                  <a:pt x="3566" y="114"/>
                                </a:lnTo>
                                <a:lnTo>
                                  <a:pt x="3570" y="118"/>
                                </a:lnTo>
                                <a:lnTo>
                                  <a:pt x="3575" y="120"/>
                                </a:lnTo>
                                <a:lnTo>
                                  <a:pt x="3581" y="120"/>
                                </a:lnTo>
                                <a:lnTo>
                                  <a:pt x="3589" y="120"/>
                                </a:lnTo>
                                <a:lnTo>
                                  <a:pt x="3595" y="117"/>
                                </a:lnTo>
                                <a:lnTo>
                                  <a:pt x="3600" y="112"/>
                                </a:lnTo>
                                <a:lnTo>
                                  <a:pt x="3605" y="107"/>
                                </a:lnTo>
                                <a:lnTo>
                                  <a:pt x="3608" y="101"/>
                                </a:lnTo>
                                <a:lnTo>
                                  <a:pt x="3608" y="93"/>
                                </a:lnTo>
                                <a:lnTo>
                                  <a:pt x="3608" y="86"/>
                                </a:lnTo>
                                <a:lnTo>
                                  <a:pt x="3606" y="80"/>
                                </a:lnTo>
                                <a:lnTo>
                                  <a:pt x="3601" y="75"/>
                                </a:lnTo>
                                <a:lnTo>
                                  <a:pt x="3596" y="70"/>
                                </a:lnTo>
                                <a:lnTo>
                                  <a:pt x="3590" y="68"/>
                                </a:lnTo>
                                <a:lnTo>
                                  <a:pt x="3583" y="68"/>
                                </a:lnTo>
                                <a:lnTo>
                                  <a:pt x="3580" y="68"/>
                                </a:lnTo>
                                <a:lnTo>
                                  <a:pt x="3576" y="69"/>
                                </a:lnTo>
                                <a:lnTo>
                                  <a:pt x="3572" y="70"/>
                                </a:lnTo>
                                <a:lnTo>
                                  <a:pt x="3573" y="56"/>
                                </a:lnTo>
                                <a:lnTo>
                                  <a:pt x="3574" y="56"/>
                                </a:lnTo>
                                <a:lnTo>
                                  <a:pt x="3575" y="56"/>
                                </a:lnTo>
                                <a:lnTo>
                                  <a:pt x="3576" y="56"/>
                                </a:lnTo>
                                <a:lnTo>
                                  <a:pt x="3583" y="56"/>
                                </a:lnTo>
                                <a:lnTo>
                                  <a:pt x="3589" y="54"/>
                                </a:lnTo>
                                <a:lnTo>
                                  <a:pt x="3594" y="51"/>
                                </a:lnTo>
                                <a:lnTo>
                                  <a:pt x="3600" y="47"/>
                                </a:lnTo>
                                <a:lnTo>
                                  <a:pt x="3602" y="42"/>
                                </a:lnTo>
                                <a:lnTo>
                                  <a:pt x="3602" y="35"/>
                                </a:lnTo>
                                <a:lnTo>
                                  <a:pt x="3602" y="29"/>
                                </a:lnTo>
                                <a:lnTo>
                                  <a:pt x="3600" y="24"/>
                                </a:lnTo>
                                <a:lnTo>
                                  <a:pt x="3596" y="20"/>
                                </a:lnTo>
                                <a:lnTo>
                                  <a:pt x="3592" y="16"/>
                                </a:lnTo>
                                <a:lnTo>
                                  <a:pt x="3587" y="14"/>
                                </a:lnTo>
                                <a:lnTo>
                                  <a:pt x="3581" y="14"/>
                                </a:lnTo>
                                <a:lnTo>
                                  <a:pt x="3575" y="14"/>
                                </a:lnTo>
                                <a:lnTo>
                                  <a:pt x="3570" y="16"/>
                                </a:lnTo>
                                <a:lnTo>
                                  <a:pt x="3566" y="20"/>
                                </a:lnTo>
                                <a:lnTo>
                                  <a:pt x="3562" y="24"/>
                                </a:lnTo>
                                <a:lnTo>
                                  <a:pt x="3559" y="30"/>
                                </a:lnTo>
                                <a:lnTo>
                                  <a:pt x="3558" y="38"/>
                                </a:lnTo>
                                <a:lnTo>
                                  <a:pt x="3542" y="35"/>
                                </a:lnTo>
                                <a:lnTo>
                                  <a:pt x="3544" y="24"/>
                                </a:lnTo>
                                <a:lnTo>
                                  <a:pt x="3548" y="16"/>
                                </a:lnTo>
                                <a:lnTo>
                                  <a:pt x="3555" y="10"/>
                                </a:lnTo>
                                <a:lnTo>
                                  <a:pt x="3562" y="4"/>
                                </a:lnTo>
                                <a:lnTo>
                                  <a:pt x="3571" y="1"/>
                                </a:lnTo>
                                <a:lnTo>
                                  <a:pt x="3581" y="1"/>
                                </a:lnTo>
                                <a:lnTo>
                                  <a:pt x="3588" y="1"/>
                                </a:lnTo>
                                <a:lnTo>
                                  <a:pt x="3594" y="3"/>
                                </a:lnTo>
                                <a:lnTo>
                                  <a:pt x="3600" y="6"/>
                                </a:lnTo>
                                <a:lnTo>
                                  <a:pt x="3606" y="9"/>
                                </a:lnTo>
                                <a:lnTo>
                                  <a:pt x="3611" y="13"/>
                                </a:lnTo>
                                <a:lnTo>
                                  <a:pt x="3614" y="18"/>
                                </a:lnTo>
                                <a:lnTo>
                                  <a:pt x="3617" y="24"/>
                                </a:lnTo>
                                <a:lnTo>
                                  <a:pt x="3618" y="29"/>
                                </a:lnTo>
                                <a:lnTo>
                                  <a:pt x="3618" y="35"/>
                                </a:lnTo>
                                <a:lnTo>
                                  <a:pt x="3618" y="41"/>
                                </a:lnTo>
                                <a:lnTo>
                                  <a:pt x="3617" y="46"/>
                                </a:lnTo>
                                <a:lnTo>
                                  <a:pt x="3614" y="50"/>
                                </a:lnTo>
                                <a:lnTo>
                                  <a:pt x="3611" y="55"/>
                                </a:lnTo>
                                <a:lnTo>
                                  <a:pt x="3607" y="58"/>
                                </a:lnTo>
                                <a:lnTo>
                                  <a:pt x="3601" y="61"/>
                                </a:lnTo>
                                <a:lnTo>
                                  <a:pt x="3608" y="63"/>
                                </a:lnTo>
                                <a:lnTo>
                                  <a:pt x="3614" y="66"/>
                                </a:lnTo>
                                <a:lnTo>
                                  <a:pt x="3618" y="72"/>
                                </a:lnTo>
                                <a:lnTo>
                                  <a:pt x="3623" y="78"/>
                                </a:lnTo>
                                <a:lnTo>
                                  <a:pt x="3625" y="84"/>
                                </a:lnTo>
                                <a:lnTo>
                                  <a:pt x="3625" y="93"/>
                                </a:lnTo>
                                <a:lnTo>
                                  <a:pt x="3625" y="104"/>
                                </a:lnTo>
                                <a:lnTo>
                                  <a:pt x="3621" y="114"/>
                                </a:lnTo>
                                <a:lnTo>
                                  <a:pt x="3612" y="121"/>
                                </a:lnTo>
                                <a:lnTo>
                                  <a:pt x="3604" y="129"/>
                                </a:lnTo>
                                <a:lnTo>
                                  <a:pt x="3594" y="133"/>
                                </a:lnTo>
                                <a:lnTo>
                                  <a:pt x="3581" y="133"/>
                                </a:lnTo>
                                <a:lnTo>
                                  <a:pt x="3570" y="133"/>
                                </a:lnTo>
                                <a:lnTo>
                                  <a:pt x="3561" y="130"/>
                                </a:lnTo>
                                <a:lnTo>
                                  <a:pt x="3553" y="123"/>
                                </a:lnTo>
                                <a:lnTo>
                                  <a:pt x="3546" y="116"/>
                                </a:lnTo>
                                <a:lnTo>
                                  <a:pt x="3541" y="108"/>
                                </a:lnTo>
                                <a:lnTo>
                                  <a:pt x="3540" y="97"/>
                                </a:lnTo>
                                <a:close/>
                                <a:moveTo>
                                  <a:pt x="3643" y="33"/>
                                </a:moveTo>
                                <a:lnTo>
                                  <a:pt x="3643" y="24"/>
                                </a:lnTo>
                                <a:lnTo>
                                  <a:pt x="3646" y="16"/>
                                </a:lnTo>
                                <a:lnTo>
                                  <a:pt x="3650" y="9"/>
                                </a:lnTo>
                                <a:lnTo>
                                  <a:pt x="3655" y="3"/>
                                </a:lnTo>
                                <a:lnTo>
                                  <a:pt x="3662" y="0"/>
                                </a:lnTo>
                                <a:lnTo>
                                  <a:pt x="3670" y="0"/>
                                </a:lnTo>
                                <a:lnTo>
                                  <a:pt x="3679" y="0"/>
                                </a:lnTo>
                                <a:lnTo>
                                  <a:pt x="3685" y="3"/>
                                </a:lnTo>
                                <a:lnTo>
                                  <a:pt x="3691" y="8"/>
                                </a:lnTo>
                                <a:lnTo>
                                  <a:pt x="3696" y="14"/>
                                </a:lnTo>
                                <a:lnTo>
                                  <a:pt x="3699" y="23"/>
                                </a:lnTo>
                                <a:lnTo>
                                  <a:pt x="3699" y="34"/>
                                </a:lnTo>
                                <a:lnTo>
                                  <a:pt x="3699" y="45"/>
                                </a:lnTo>
                                <a:lnTo>
                                  <a:pt x="3696" y="53"/>
                                </a:lnTo>
                                <a:lnTo>
                                  <a:pt x="3690" y="59"/>
                                </a:lnTo>
                                <a:lnTo>
                                  <a:pt x="3685" y="65"/>
                                </a:lnTo>
                                <a:lnTo>
                                  <a:pt x="3679" y="68"/>
                                </a:lnTo>
                                <a:lnTo>
                                  <a:pt x="3671" y="68"/>
                                </a:lnTo>
                                <a:lnTo>
                                  <a:pt x="3663" y="68"/>
                                </a:lnTo>
                                <a:lnTo>
                                  <a:pt x="3656" y="65"/>
                                </a:lnTo>
                                <a:lnTo>
                                  <a:pt x="3651" y="59"/>
                                </a:lnTo>
                                <a:lnTo>
                                  <a:pt x="3646" y="53"/>
                                </a:lnTo>
                                <a:lnTo>
                                  <a:pt x="3643" y="45"/>
                                </a:lnTo>
                                <a:lnTo>
                                  <a:pt x="3643" y="33"/>
                                </a:lnTo>
                                <a:close/>
                                <a:moveTo>
                                  <a:pt x="3671" y="11"/>
                                </a:moveTo>
                                <a:lnTo>
                                  <a:pt x="3667" y="11"/>
                                </a:lnTo>
                                <a:lnTo>
                                  <a:pt x="3664" y="12"/>
                                </a:lnTo>
                                <a:lnTo>
                                  <a:pt x="3661" y="16"/>
                                </a:lnTo>
                                <a:lnTo>
                                  <a:pt x="3659" y="19"/>
                                </a:lnTo>
                                <a:lnTo>
                                  <a:pt x="3657" y="25"/>
                                </a:lnTo>
                                <a:lnTo>
                                  <a:pt x="3657" y="35"/>
                                </a:lnTo>
                                <a:lnTo>
                                  <a:pt x="3657" y="43"/>
                                </a:lnTo>
                                <a:lnTo>
                                  <a:pt x="3659" y="49"/>
                                </a:lnTo>
                                <a:lnTo>
                                  <a:pt x="3661" y="52"/>
                                </a:lnTo>
                                <a:lnTo>
                                  <a:pt x="3664" y="55"/>
                                </a:lnTo>
                                <a:lnTo>
                                  <a:pt x="3667" y="57"/>
                                </a:lnTo>
                                <a:lnTo>
                                  <a:pt x="3671" y="57"/>
                                </a:lnTo>
                                <a:lnTo>
                                  <a:pt x="3675" y="57"/>
                                </a:lnTo>
                                <a:lnTo>
                                  <a:pt x="3678" y="55"/>
                                </a:lnTo>
                                <a:lnTo>
                                  <a:pt x="3681" y="52"/>
                                </a:lnTo>
                                <a:lnTo>
                                  <a:pt x="3683" y="49"/>
                                </a:lnTo>
                                <a:lnTo>
                                  <a:pt x="3685" y="42"/>
                                </a:lnTo>
                                <a:lnTo>
                                  <a:pt x="3685" y="33"/>
                                </a:lnTo>
                                <a:lnTo>
                                  <a:pt x="3685" y="25"/>
                                </a:lnTo>
                                <a:lnTo>
                                  <a:pt x="3683" y="19"/>
                                </a:lnTo>
                                <a:lnTo>
                                  <a:pt x="3681" y="16"/>
                                </a:lnTo>
                                <a:lnTo>
                                  <a:pt x="3678" y="12"/>
                                </a:lnTo>
                                <a:lnTo>
                                  <a:pt x="3675" y="11"/>
                                </a:lnTo>
                                <a:lnTo>
                                  <a:pt x="3671" y="11"/>
                                </a:lnTo>
                                <a:close/>
                                <a:moveTo>
                                  <a:pt x="3671" y="136"/>
                                </a:moveTo>
                                <a:lnTo>
                                  <a:pt x="3742" y="0"/>
                                </a:lnTo>
                                <a:lnTo>
                                  <a:pt x="3754" y="0"/>
                                </a:lnTo>
                                <a:lnTo>
                                  <a:pt x="3684" y="136"/>
                                </a:lnTo>
                                <a:lnTo>
                                  <a:pt x="3671" y="136"/>
                                </a:lnTo>
                                <a:close/>
                                <a:moveTo>
                                  <a:pt x="3727" y="101"/>
                                </a:moveTo>
                                <a:lnTo>
                                  <a:pt x="3727" y="91"/>
                                </a:lnTo>
                                <a:lnTo>
                                  <a:pt x="3729" y="84"/>
                                </a:lnTo>
                                <a:lnTo>
                                  <a:pt x="3734" y="77"/>
                                </a:lnTo>
                                <a:lnTo>
                                  <a:pt x="3738" y="71"/>
                                </a:lnTo>
                                <a:lnTo>
                                  <a:pt x="3745" y="67"/>
                                </a:lnTo>
                                <a:lnTo>
                                  <a:pt x="3754" y="67"/>
                                </a:lnTo>
                                <a:lnTo>
                                  <a:pt x="3762" y="67"/>
                                </a:lnTo>
                                <a:lnTo>
                                  <a:pt x="3769" y="70"/>
                                </a:lnTo>
                                <a:lnTo>
                                  <a:pt x="3774" y="76"/>
                                </a:lnTo>
                                <a:lnTo>
                                  <a:pt x="3779" y="82"/>
                                </a:lnTo>
                                <a:lnTo>
                                  <a:pt x="3782" y="90"/>
                                </a:lnTo>
                                <a:lnTo>
                                  <a:pt x="3782" y="102"/>
                                </a:lnTo>
                                <a:lnTo>
                                  <a:pt x="3782" y="112"/>
                                </a:lnTo>
                                <a:lnTo>
                                  <a:pt x="3779" y="121"/>
                                </a:lnTo>
                                <a:lnTo>
                                  <a:pt x="3774" y="127"/>
                                </a:lnTo>
                                <a:lnTo>
                                  <a:pt x="3769" y="133"/>
                                </a:lnTo>
                                <a:lnTo>
                                  <a:pt x="3762" y="136"/>
                                </a:lnTo>
                                <a:lnTo>
                                  <a:pt x="3754" y="136"/>
                                </a:lnTo>
                                <a:lnTo>
                                  <a:pt x="3746" y="136"/>
                                </a:lnTo>
                                <a:lnTo>
                                  <a:pt x="3740" y="133"/>
                                </a:lnTo>
                                <a:lnTo>
                                  <a:pt x="3735" y="127"/>
                                </a:lnTo>
                                <a:lnTo>
                                  <a:pt x="3729" y="121"/>
                                </a:lnTo>
                                <a:lnTo>
                                  <a:pt x="3727" y="112"/>
                                </a:lnTo>
                                <a:lnTo>
                                  <a:pt x="3727" y="101"/>
                                </a:lnTo>
                                <a:close/>
                                <a:moveTo>
                                  <a:pt x="3754" y="78"/>
                                </a:moveTo>
                                <a:lnTo>
                                  <a:pt x="3750" y="78"/>
                                </a:lnTo>
                                <a:lnTo>
                                  <a:pt x="3747" y="80"/>
                                </a:lnTo>
                                <a:lnTo>
                                  <a:pt x="3744" y="83"/>
                                </a:lnTo>
                                <a:lnTo>
                                  <a:pt x="3742" y="87"/>
                                </a:lnTo>
                                <a:lnTo>
                                  <a:pt x="3741" y="93"/>
                                </a:lnTo>
                                <a:lnTo>
                                  <a:pt x="3741" y="102"/>
                                </a:lnTo>
                                <a:lnTo>
                                  <a:pt x="3741" y="110"/>
                                </a:lnTo>
                                <a:lnTo>
                                  <a:pt x="3742" y="116"/>
                                </a:lnTo>
                                <a:lnTo>
                                  <a:pt x="3745" y="120"/>
                                </a:lnTo>
                                <a:lnTo>
                                  <a:pt x="3747" y="123"/>
                                </a:lnTo>
                                <a:lnTo>
                                  <a:pt x="3750" y="125"/>
                                </a:lnTo>
                                <a:lnTo>
                                  <a:pt x="3754" y="125"/>
                                </a:lnTo>
                                <a:lnTo>
                                  <a:pt x="3758" y="125"/>
                                </a:lnTo>
                                <a:lnTo>
                                  <a:pt x="3762" y="123"/>
                                </a:lnTo>
                                <a:lnTo>
                                  <a:pt x="3764" y="120"/>
                                </a:lnTo>
                                <a:lnTo>
                                  <a:pt x="3767" y="116"/>
                                </a:lnTo>
                                <a:lnTo>
                                  <a:pt x="3768" y="110"/>
                                </a:lnTo>
                                <a:lnTo>
                                  <a:pt x="3768" y="101"/>
                                </a:lnTo>
                                <a:lnTo>
                                  <a:pt x="3768" y="93"/>
                                </a:lnTo>
                                <a:lnTo>
                                  <a:pt x="3767" y="87"/>
                                </a:lnTo>
                                <a:lnTo>
                                  <a:pt x="3764" y="83"/>
                                </a:lnTo>
                                <a:lnTo>
                                  <a:pt x="3762" y="80"/>
                                </a:lnTo>
                                <a:lnTo>
                                  <a:pt x="3758" y="78"/>
                                </a:lnTo>
                                <a:lnTo>
                                  <a:pt x="3754" y="78"/>
                                </a:lnTo>
                                <a:close/>
                                <a:moveTo>
                                  <a:pt x="3815" y="169"/>
                                </a:moveTo>
                                <a:lnTo>
                                  <a:pt x="3804" y="169"/>
                                </a:lnTo>
                                <a:lnTo>
                                  <a:pt x="3815" y="148"/>
                                </a:lnTo>
                                <a:lnTo>
                                  <a:pt x="3824" y="127"/>
                                </a:lnTo>
                                <a:lnTo>
                                  <a:pt x="3829" y="105"/>
                                </a:lnTo>
                                <a:lnTo>
                                  <a:pt x="3830" y="84"/>
                                </a:lnTo>
                                <a:lnTo>
                                  <a:pt x="3830" y="73"/>
                                </a:lnTo>
                                <a:lnTo>
                                  <a:pt x="3829" y="62"/>
                                </a:lnTo>
                                <a:lnTo>
                                  <a:pt x="3826" y="51"/>
                                </a:lnTo>
                                <a:lnTo>
                                  <a:pt x="3824" y="43"/>
                                </a:lnTo>
                                <a:lnTo>
                                  <a:pt x="3822" y="34"/>
                                </a:lnTo>
                                <a:lnTo>
                                  <a:pt x="3818" y="26"/>
                                </a:lnTo>
                                <a:lnTo>
                                  <a:pt x="3816" y="21"/>
                                </a:lnTo>
                                <a:lnTo>
                                  <a:pt x="3811" y="12"/>
                                </a:lnTo>
                                <a:lnTo>
                                  <a:pt x="3804" y="0"/>
                                </a:lnTo>
                                <a:lnTo>
                                  <a:pt x="3815" y="0"/>
                                </a:lnTo>
                                <a:lnTo>
                                  <a:pt x="3823" y="11"/>
                                </a:lnTo>
                                <a:lnTo>
                                  <a:pt x="3830" y="22"/>
                                </a:lnTo>
                                <a:lnTo>
                                  <a:pt x="3835" y="33"/>
                                </a:lnTo>
                                <a:lnTo>
                                  <a:pt x="3840" y="44"/>
                                </a:lnTo>
                                <a:lnTo>
                                  <a:pt x="3843" y="54"/>
                                </a:lnTo>
                                <a:lnTo>
                                  <a:pt x="3845" y="64"/>
                                </a:lnTo>
                                <a:lnTo>
                                  <a:pt x="3846" y="74"/>
                                </a:lnTo>
                                <a:lnTo>
                                  <a:pt x="3846" y="84"/>
                                </a:lnTo>
                                <a:lnTo>
                                  <a:pt x="3846" y="96"/>
                                </a:lnTo>
                                <a:lnTo>
                                  <a:pt x="3844" y="108"/>
                                </a:lnTo>
                                <a:lnTo>
                                  <a:pt x="3841" y="119"/>
                                </a:lnTo>
                                <a:lnTo>
                                  <a:pt x="3837" y="130"/>
                                </a:lnTo>
                                <a:lnTo>
                                  <a:pt x="3833" y="141"/>
                                </a:lnTo>
                                <a:lnTo>
                                  <a:pt x="3827" y="151"/>
                                </a:lnTo>
                                <a:lnTo>
                                  <a:pt x="3822" y="160"/>
                                </a:lnTo>
                                <a:lnTo>
                                  <a:pt x="3815" y="169"/>
                                </a:lnTo>
                                <a:close/>
                              </a:path>
                            </a:pathLst>
                          </a:custGeom>
                          <a:noFill/>
                          <a:ln w="28575">
                            <a:solidFill>
                              <a:srgbClr val="FFFFFF"/>
                            </a:solidFill>
                            <a:round/>
                          </a:ln>
                          <a:effectLst/>
                        </wps:spPr>
                        <wps:bodyPr rot="0" vert="horz" wrap="square" lIns="91440" tIns="45720" rIns="91440" bIns="45720" anchor="t" anchorCtr="0" upright="1">
                          <a:noAutofit/>
                        </wps:bodyPr>
                      </wps:wsp>
                      <wps:wsp>
                        <wps:cNvPr id="629604075" name="Text Box 228"/>
                        <wps:cNvSpPr txBox="1">
                          <a:spLocks noChangeArrowheads="1"/>
                        </wps:cNvSpPr>
                        <wps:spPr bwMode="auto">
                          <a:xfrm>
                            <a:off x="1162" y="760"/>
                            <a:ext cx="7973" cy="1752"/>
                          </a:xfrm>
                          <a:prstGeom prst="rect">
                            <a:avLst/>
                          </a:prstGeom>
                          <a:noFill/>
                          <a:ln>
                            <a:noFill/>
                          </a:ln>
                          <a:effectLst/>
                        </wps:spPr>
                        <wps:txbx>
                          <w:txbxContent>
                            <w:p w14:paraId="1E79AE95">
                              <w:pPr>
                                <w:spacing w:line="300" w:lineRule="auto"/>
                                <w:ind w:right="12"/>
                                <w:jc w:val="both"/>
                              </w:pPr>
                              <w:r>
                                <w:rPr>
                                  <w:color w:val="202024"/>
                                </w:rPr>
                                <w:t>10.</w:t>
                              </w:r>
                              <w:r>
                                <w:rPr>
                                  <w:color w:val="202024"/>
                                  <w:spacing w:val="8"/>
                                </w:rPr>
                                <w:t xml:space="preserve"> </w:t>
                              </w:r>
                              <w:r>
                                <w:rPr>
                                  <w:color w:val="202024"/>
                                </w:rPr>
                                <w:t>Principle</w:t>
                              </w:r>
                              <w:r>
                                <w:rPr>
                                  <w:color w:val="202024"/>
                                  <w:spacing w:val="8"/>
                                </w:rPr>
                                <w:t xml:space="preserve"> </w:t>
                              </w:r>
                              <w:r>
                                <w:rPr>
                                  <w:color w:val="202024"/>
                                </w:rPr>
                                <w:t>driven</w:t>
                              </w:r>
                              <w:r>
                                <w:rPr>
                                  <w:color w:val="202024"/>
                                  <w:spacing w:val="9"/>
                                </w:rPr>
                                <w:t xml:space="preserve"> </w:t>
                              </w:r>
                              <w:r>
                                <w:rPr>
                                  <w:color w:val="202024"/>
                                </w:rPr>
                                <w:t>tax</w:t>
                              </w:r>
                              <w:r>
                                <w:rPr>
                                  <w:color w:val="202024"/>
                                  <w:spacing w:val="8"/>
                                </w:rPr>
                                <w:t xml:space="preserve"> </w:t>
                              </w:r>
                              <w:r>
                                <w:rPr>
                                  <w:color w:val="202024"/>
                                </w:rPr>
                                <w:t>policy</w:t>
                              </w:r>
                              <w:r>
                                <w:rPr>
                                  <w:color w:val="202024"/>
                                  <w:spacing w:val="8"/>
                                </w:rPr>
                                <w:t xml:space="preserve"> </w:t>
                              </w:r>
                              <w:r>
                                <w:rPr>
                                  <w:color w:val="202024"/>
                                </w:rPr>
                                <w:t>and</w:t>
                              </w:r>
                              <w:r>
                                <w:rPr>
                                  <w:color w:val="202024"/>
                                  <w:spacing w:val="9"/>
                                </w:rPr>
                                <w:t xml:space="preserve"> </w:t>
                              </w:r>
                              <w:r>
                                <w:rPr>
                                  <w:color w:val="202024"/>
                                </w:rPr>
                                <w:t>legislation</w:t>
                              </w:r>
                              <w:r>
                                <w:rPr>
                                  <w:color w:val="202024"/>
                                  <w:spacing w:val="8"/>
                                </w:rPr>
                                <w:t xml:space="preserve"> </w:t>
                              </w:r>
                              <w:r>
                                <w:rPr>
                                  <w:color w:val="202024"/>
                                </w:rPr>
                                <w:t>making</w:t>
                              </w:r>
                              <w:r>
                                <w:rPr>
                                  <w:color w:val="202024"/>
                                  <w:spacing w:val="8"/>
                                </w:rPr>
                                <w:t xml:space="preserve"> </w:t>
                              </w:r>
                              <w:r>
                                <w:rPr>
                                  <w:color w:val="202024"/>
                                </w:rPr>
                                <w:t>and</w:t>
                              </w:r>
                              <w:r>
                                <w:rPr>
                                  <w:color w:val="202024"/>
                                  <w:spacing w:val="9"/>
                                </w:rPr>
                                <w:t xml:space="preserve"> </w:t>
                              </w:r>
                              <w:r>
                                <w:rPr>
                                  <w:color w:val="202024"/>
                                </w:rPr>
                                <w:t>interpretation</w:t>
                              </w:r>
                              <w:r>
                                <w:rPr>
                                  <w:color w:val="202024"/>
                                  <w:spacing w:val="1"/>
                                </w:rPr>
                                <w:t xml:space="preserve"> </w:t>
                              </w:r>
                              <w:r>
                                <w:rPr>
                                  <w:color w:val="202024"/>
                                </w:rPr>
                                <w:t>are</w:t>
                              </w:r>
                              <w:r>
                                <w:rPr>
                                  <w:color w:val="202024"/>
                                  <w:spacing w:val="8"/>
                                </w:rPr>
                                <w:t xml:space="preserve"> </w:t>
                              </w:r>
                              <w:r>
                                <w:rPr>
                                  <w:color w:val="202024"/>
                                </w:rPr>
                                <w:t>key</w:t>
                              </w:r>
                              <w:r>
                                <w:rPr>
                                  <w:color w:val="202024"/>
                                  <w:spacing w:val="9"/>
                                </w:rPr>
                                <w:t xml:space="preserve"> </w:t>
                              </w:r>
                              <w:r>
                                <w:rPr>
                                  <w:color w:val="202024"/>
                                </w:rPr>
                                <w:t>to</w:t>
                              </w:r>
                              <w:r>
                                <w:rPr>
                                  <w:color w:val="202024"/>
                                  <w:spacing w:val="9"/>
                                </w:rPr>
                                <w:t xml:space="preserve"> </w:t>
                              </w:r>
                              <w:r>
                                <w:rPr>
                                  <w:color w:val="202024"/>
                                </w:rPr>
                                <w:t>the</w:t>
                              </w:r>
                              <w:r>
                                <w:rPr>
                                  <w:color w:val="202024"/>
                                  <w:spacing w:val="9"/>
                                </w:rPr>
                                <w:t xml:space="preserve"> </w:t>
                              </w:r>
                              <w:r>
                                <w:rPr>
                                  <w:color w:val="202024"/>
                                </w:rPr>
                                <w:t>understanding</w:t>
                              </w:r>
                              <w:r>
                                <w:rPr>
                                  <w:color w:val="202024"/>
                                  <w:spacing w:val="9"/>
                                </w:rPr>
                                <w:t xml:space="preserve"> </w:t>
                              </w:r>
                              <w:r>
                                <w:rPr>
                                  <w:color w:val="202024"/>
                                </w:rPr>
                                <w:t>and</w:t>
                              </w:r>
                              <w:r>
                                <w:rPr>
                                  <w:color w:val="202024"/>
                                  <w:spacing w:val="9"/>
                                </w:rPr>
                                <w:t xml:space="preserve"> </w:t>
                              </w:r>
                              <w:r>
                                <w:rPr>
                                  <w:color w:val="202024"/>
                                </w:rPr>
                                <w:t>consistent</w:t>
                              </w:r>
                              <w:r>
                                <w:rPr>
                                  <w:color w:val="202024"/>
                                  <w:spacing w:val="9"/>
                                </w:rPr>
                                <w:t xml:space="preserve"> </w:t>
                              </w:r>
                              <w:r>
                                <w:rPr>
                                  <w:color w:val="202024"/>
                                </w:rPr>
                                <w:t>application</w:t>
                              </w:r>
                              <w:r>
                                <w:rPr>
                                  <w:color w:val="202024"/>
                                  <w:spacing w:val="9"/>
                                </w:rPr>
                                <w:t xml:space="preserve"> </w:t>
                              </w:r>
                              <w:r>
                                <w:rPr>
                                  <w:color w:val="202024"/>
                                </w:rPr>
                                <w:t>of</w:t>
                              </w:r>
                              <w:r>
                                <w:rPr>
                                  <w:color w:val="202024"/>
                                  <w:spacing w:val="9"/>
                                </w:rPr>
                                <w:t xml:space="preserve"> </w:t>
                              </w:r>
                              <w:r>
                                <w:rPr>
                                  <w:color w:val="202024"/>
                                </w:rPr>
                                <w:t>tax</w:t>
                              </w:r>
                              <w:r>
                                <w:rPr>
                                  <w:color w:val="202024"/>
                                  <w:spacing w:val="8"/>
                                </w:rPr>
                                <w:t xml:space="preserve"> </w:t>
                              </w:r>
                              <w:r>
                                <w:rPr>
                                  <w:color w:val="202024"/>
                                </w:rPr>
                                <w:t>legislation</w:t>
                              </w:r>
                              <w:r>
                                <w:rPr>
                                  <w:color w:val="202024"/>
                                  <w:spacing w:val="-56"/>
                                </w:rPr>
                                <w:t xml:space="preserve"> </w:t>
                              </w:r>
                              <w:r>
                                <w:rPr>
                                  <w:color w:val="202024"/>
                                </w:rPr>
                                <w:t>by</w:t>
                              </w:r>
                              <w:r>
                                <w:rPr>
                                  <w:color w:val="202024"/>
                                  <w:spacing w:val="4"/>
                                </w:rPr>
                                <w:t xml:space="preserve"> </w:t>
                              </w:r>
                              <w:r>
                                <w:rPr>
                                  <w:color w:val="202024"/>
                                </w:rPr>
                                <w:t>both</w:t>
                              </w:r>
                              <w:r>
                                <w:rPr>
                                  <w:color w:val="202024"/>
                                  <w:spacing w:val="5"/>
                                </w:rPr>
                                <w:t xml:space="preserve"> </w:t>
                              </w:r>
                              <w:r>
                                <w:rPr>
                                  <w:color w:val="202024"/>
                                </w:rPr>
                                <w:t>the</w:t>
                              </w:r>
                              <w:r>
                                <w:rPr>
                                  <w:color w:val="202024"/>
                                  <w:spacing w:val="5"/>
                                </w:rPr>
                                <w:t xml:space="preserve"> </w:t>
                              </w:r>
                              <w:r>
                                <w:rPr>
                                  <w:color w:val="202024"/>
                                </w:rPr>
                                <w:t>tax</w:t>
                              </w:r>
                              <w:r>
                                <w:rPr>
                                  <w:color w:val="202024"/>
                                  <w:spacing w:val="5"/>
                                </w:rPr>
                                <w:t xml:space="preserve"> </w:t>
                              </w:r>
                              <w:r>
                                <w:rPr>
                                  <w:color w:val="202024"/>
                                </w:rPr>
                                <w:t>authority</w:t>
                              </w:r>
                              <w:r>
                                <w:rPr>
                                  <w:color w:val="202024"/>
                                  <w:spacing w:val="5"/>
                                </w:rPr>
                                <w:t xml:space="preserve"> </w:t>
                              </w:r>
                              <w:r>
                                <w:rPr>
                                  <w:color w:val="202024"/>
                                </w:rPr>
                                <w:t>and</w:t>
                              </w:r>
                              <w:r>
                                <w:rPr>
                                  <w:color w:val="202024"/>
                                  <w:spacing w:val="5"/>
                                </w:rPr>
                                <w:t xml:space="preserve"> </w:t>
                              </w:r>
                              <w:r>
                                <w:rPr>
                                  <w:color w:val="202024"/>
                                </w:rPr>
                                <w:t>tax</w:t>
                              </w:r>
                              <w:r>
                                <w:rPr>
                                  <w:color w:val="202024"/>
                                  <w:spacing w:val="5"/>
                                </w:rPr>
                                <w:t xml:space="preserve"> </w:t>
                              </w:r>
                              <w:r>
                                <w:rPr>
                                  <w:color w:val="202024"/>
                                </w:rPr>
                                <w:t>payers.</w:t>
                              </w:r>
                              <w:r>
                                <w:rPr>
                                  <w:color w:val="202024"/>
                                  <w:spacing w:val="5"/>
                                </w:rPr>
                                <w:t xml:space="preserve"> </w:t>
                              </w:r>
                              <w:r>
                                <w:rPr>
                                  <w:color w:val="202024"/>
                                </w:rPr>
                                <w:t>In</w:t>
                              </w:r>
                              <w:r>
                                <w:rPr>
                                  <w:color w:val="202024"/>
                                  <w:spacing w:val="5"/>
                                </w:rPr>
                                <w:t xml:space="preserve"> </w:t>
                              </w:r>
                              <w:r>
                                <w:rPr>
                                  <w:color w:val="202024"/>
                                </w:rPr>
                                <w:t>your</w:t>
                              </w:r>
                              <w:r>
                                <w:rPr>
                                  <w:color w:val="202024"/>
                                  <w:spacing w:val="5"/>
                                </w:rPr>
                                <w:t xml:space="preserve"> </w:t>
                              </w:r>
                              <w:r>
                                <w:rPr>
                                  <w:color w:val="202024"/>
                                </w:rPr>
                                <w:t>opinion</w:t>
                              </w:r>
                              <w:r>
                                <w:rPr>
                                  <w:color w:val="202024"/>
                                  <w:spacing w:val="5"/>
                                </w:rPr>
                                <w:t xml:space="preserve"> </w:t>
                              </w:r>
                              <w:r>
                                <w:rPr>
                                  <w:color w:val="202024"/>
                                </w:rPr>
                                <w:t>how</w:t>
                              </w:r>
                              <w:r>
                                <w:rPr>
                                  <w:color w:val="202024"/>
                                  <w:spacing w:val="5"/>
                                </w:rPr>
                                <w:t xml:space="preserve"> </w:t>
                              </w:r>
                              <w:r>
                                <w:rPr>
                                  <w:color w:val="202024"/>
                                </w:rPr>
                                <w:t>important</w:t>
                              </w:r>
                              <w:r>
                                <w:rPr>
                                  <w:color w:val="202024"/>
                                  <w:spacing w:val="5"/>
                                </w:rPr>
                                <w:t xml:space="preserve"> </w:t>
                              </w:r>
                              <w:r>
                                <w:rPr>
                                  <w:color w:val="202024"/>
                                </w:rPr>
                                <w:t>is</w:t>
                              </w:r>
                              <w:r>
                                <w:rPr>
                                  <w:color w:val="202024"/>
                                  <w:spacing w:val="-57"/>
                                </w:rPr>
                                <w:t xml:space="preserve"> </w:t>
                              </w:r>
                              <w:r>
                                <w:rPr>
                                  <w:color w:val="202024"/>
                                </w:rPr>
                                <w:t>this</w:t>
                              </w:r>
                              <w:r>
                                <w:rPr>
                                  <w:color w:val="202024"/>
                                  <w:spacing w:val="5"/>
                                </w:rPr>
                                <w:t xml:space="preserve"> </w:t>
                              </w:r>
                              <w:r>
                                <w:rPr>
                                  <w:color w:val="202024"/>
                                </w:rPr>
                                <w:t>for</w:t>
                              </w:r>
                              <w:r>
                                <w:rPr>
                                  <w:color w:val="202024"/>
                                  <w:spacing w:val="5"/>
                                </w:rPr>
                                <w:t xml:space="preserve"> </w:t>
                              </w:r>
                              <w:r>
                                <w:rPr>
                                  <w:color w:val="202024"/>
                                </w:rPr>
                                <w:t>achieving</w:t>
                              </w:r>
                              <w:r>
                                <w:rPr>
                                  <w:color w:val="202024"/>
                                  <w:spacing w:val="5"/>
                                </w:rPr>
                                <w:t xml:space="preserve"> </w:t>
                              </w:r>
                              <w:r>
                                <w:rPr>
                                  <w:color w:val="202024"/>
                                </w:rPr>
                                <w:t>clarity</w:t>
                              </w:r>
                              <w:r>
                                <w:rPr>
                                  <w:color w:val="202024"/>
                                  <w:spacing w:val="6"/>
                                </w:rPr>
                                <w:t xml:space="preserve"> </w:t>
                              </w:r>
                              <w:r>
                                <w:rPr>
                                  <w:color w:val="202024"/>
                                </w:rPr>
                                <w:t>and</w:t>
                              </w:r>
                              <w:r>
                                <w:rPr>
                                  <w:color w:val="202024"/>
                                  <w:spacing w:val="5"/>
                                </w:rPr>
                                <w:t xml:space="preserve"> </w:t>
                              </w:r>
                              <w:r>
                                <w:rPr>
                                  <w:color w:val="202024"/>
                                </w:rPr>
                                <w:t>certainty?</w:t>
                              </w:r>
                            </w:p>
                            <w:p w14:paraId="3D2B51E9">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wps:txbx>
                        <wps:bodyPr rot="0" vert="horz" wrap="square" lIns="0" tIns="0" rIns="0" bIns="0" anchor="t" anchorCtr="0" upright="1">
                          <a:noAutofit/>
                        </wps:bodyPr>
                      </wps:wsp>
                      <wps:wsp>
                        <wps:cNvPr id="1327774840" name="Text Box 227"/>
                        <wps:cNvSpPr txBox="1">
                          <a:spLocks noChangeArrowheads="1"/>
                        </wps:cNvSpPr>
                        <wps:spPr bwMode="auto">
                          <a:xfrm>
                            <a:off x="9958" y="799"/>
                            <a:ext cx="550" cy="200"/>
                          </a:xfrm>
                          <a:prstGeom prst="rect">
                            <a:avLst/>
                          </a:prstGeom>
                          <a:noFill/>
                          <a:ln>
                            <a:noFill/>
                          </a:ln>
                          <a:effectLst/>
                        </wps:spPr>
                        <wps:txbx>
                          <w:txbxContent>
                            <w:p w14:paraId="037272F2">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942149675" name="Text Box 226"/>
                        <wps:cNvSpPr txBox="1">
                          <a:spLocks noChangeArrowheads="1"/>
                        </wps:cNvSpPr>
                        <wps:spPr bwMode="auto">
                          <a:xfrm>
                            <a:off x="1689" y="2945"/>
                            <a:ext cx="221" cy="202"/>
                          </a:xfrm>
                          <a:prstGeom prst="rect">
                            <a:avLst/>
                          </a:prstGeom>
                          <a:noFill/>
                          <a:ln>
                            <a:noFill/>
                          </a:ln>
                          <a:effectLst/>
                        </wps:spPr>
                        <wps:txbx>
                          <w:txbxContent>
                            <w:p w14:paraId="038EF43E">
                              <w:pPr>
                                <w:spacing w:line="201" w:lineRule="exact"/>
                                <w:rPr>
                                  <w:rFonts w:ascii="Arial MT"/>
                                  <w:sz w:val="18"/>
                                </w:rPr>
                              </w:pPr>
                              <w:r>
                                <w:rPr>
                                  <w:rFonts w:ascii="Arial MT"/>
                                  <w:color w:val="444444"/>
                                  <w:sz w:val="18"/>
                                </w:rPr>
                                <w:t>60</w:t>
                              </w:r>
                            </w:p>
                          </w:txbxContent>
                        </wps:txbx>
                        <wps:bodyPr rot="0" vert="horz" wrap="square" lIns="0" tIns="0" rIns="0" bIns="0" anchor="t" anchorCtr="0" upright="1">
                          <a:noAutofit/>
                        </wps:bodyPr>
                      </wps:wsp>
                      <wps:wsp>
                        <wps:cNvPr id="707783458" name="Text Box 225"/>
                        <wps:cNvSpPr txBox="1">
                          <a:spLocks noChangeArrowheads="1"/>
                        </wps:cNvSpPr>
                        <wps:spPr bwMode="auto">
                          <a:xfrm>
                            <a:off x="1689" y="3840"/>
                            <a:ext cx="221" cy="202"/>
                          </a:xfrm>
                          <a:prstGeom prst="rect">
                            <a:avLst/>
                          </a:prstGeom>
                          <a:noFill/>
                          <a:ln>
                            <a:noFill/>
                          </a:ln>
                          <a:effectLst/>
                        </wps:spPr>
                        <wps:txbx>
                          <w:txbxContent>
                            <w:p w14:paraId="1798663E">
                              <w:pPr>
                                <w:spacing w:line="201" w:lineRule="exact"/>
                                <w:rPr>
                                  <w:rFonts w:ascii="Arial MT"/>
                                  <w:sz w:val="18"/>
                                </w:rPr>
                              </w:pPr>
                              <w:r>
                                <w:rPr>
                                  <w:rFonts w:ascii="Arial MT"/>
                                  <w:color w:val="444444"/>
                                  <w:sz w:val="18"/>
                                </w:rPr>
                                <w:t>40</w:t>
                              </w:r>
                            </w:p>
                          </w:txbxContent>
                        </wps:txbx>
                        <wps:bodyPr rot="0" vert="horz" wrap="square" lIns="0" tIns="0" rIns="0" bIns="0" anchor="t" anchorCtr="0" upright="1">
                          <a:noAutofit/>
                        </wps:bodyPr>
                      </wps:wsp>
                      <wps:wsp>
                        <wps:cNvPr id="66012739" name="Text Box 224"/>
                        <wps:cNvSpPr txBox="1">
                          <a:spLocks noChangeArrowheads="1"/>
                        </wps:cNvSpPr>
                        <wps:spPr bwMode="auto">
                          <a:xfrm>
                            <a:off x="1689" y="4735"/>
                            <a:ext cx="221" cy="202"/>
                          </a:xfrm>
                          <a:prstGeom prst="rect">
                            <a:avLst/>
                          </a:prstGeom>
                          <a:noFill/>
                          <a:ln>
                            <a:noFill/>
                          </a:ln>
                          <a:effectLst/>
                        </wps:spPr>
                        <wps:txbx>
                          <w:txbxContent>
                            <w:p w14:paraId="5C718E1D">
                              <w:pPr>
                                <w:spacing w:line="201" w:lineRule="exact"/>
                                <w:rPr>
                                  <w:rFonts w:ascii="Arial MT"/>
                                  <w:sz w:val="18"/>
                                </w:rPr>
                              </w:pPr>
                              <w:r>
                                <w:rPr>
                                  <w:rFonts w:ascii="Arial MT"/>
                                  <w:color w:val="444444"/>
                                  <w:sz w:val="18"/>
                                </w:rPr>
                                <w:t>20</w:t>
                              </w:r>
                            </w:p>
                          </w:txbxContent>
                        </wps:txbx>
                        <wps:bodyPr rot="0" vert="horz" wrap="square" lIns="0" tIns="0" rIns="0" bIns="0" anchor="t" anchorCtr="0" upright="1">
                          <a:noAutofit/>
                        </wps:bodyPr>
                      </wps:wsp>
                      <wps:wsp>
                        <wps:cNvPr id="1162903317" name="Text Box 223"/>
                        <wps:cNvSpPr txBox="1">
                          <a:spLocks noChangeArrowheads="1"/>
                        </wps:cNvSpPr>
                        <wps:spPr bwMode="auto">
                          <a:xfrm>
                            <a:off x="1789" y="5630"/>
                            <a:ext cx="121" cy="202"/>
                          </a:xfrm>
                          <a:prstGeom prst="rect">
                            <a:avLst/>
                          </a:prstGeom>
                          <a:noFill/>
                          <a:ln>
                            <a:noFill/>
                          </a:ln>
                          <a:effectLst/>
                        </wps:spPr>
                        <wps:txbx>
                          <w:txbxContent>
                            <w:p w14:paraId="5F3CE913">
                              <w:pPr>
                                <w:spacing w:line="201" w:lineRule="exact"/>
                                <w:rPr>
                                  <w:rFonts w:ascii="Arial MT"/>
                                  <w:sz w:val="18"/>
                                </w:rPr>
                              </w:pPr>
                              <w:r>
                                <w:rPr>
                                  <w:rFonts w:ascii="Arial MT"/>
                                  <w:color w:val="444444"/>
                                  <w:sz w:val="18"/>
                                </w:rPr>
                                <w:t>0</w:t>
                              </w:r>
                            </w:p>
                          </w:txbxContent>
                        </wps:txbx>
                        <wps:bodyPr rot="0" vert="horz" wrap="square" lIns="0" tIns="0" rIns="0" bIns="0" anchor="t" anchorCtr="0" upright="1">
                          <a:noAutofit/>
                        </wps:bodyPr>
                      </wps:wsp>
                      <wps:wsp>
                        <wps:cNvPr id="1388415216" name="Text Box 222"/>
                        <wps:cNvSpPr txBox="1">
                          <a:spLocks noChangeArrowheads="1"/>
                        </wps:cNvSpPr>
                        <wps:spPr bwMode="auto">
                          <a:xfrm>
                            <a:off x="2838" y="5832"/>
                            <a:ext cx="121" cy="202"/>
                          </a:xfrm>
                          <a:prstGeom prst="rect">
                            <a:avLst/>
                          </a:prstGeom>
                          <a:noFill/>
                          <a:ln>
                            <a:noFill/>
                          </a:ln>
                          <a:effectLst/>
                        </wps:spPr>
                        <wps:txbx>
                          <w:txbxContent>
                            <w:p w14:paraId="5B79D62D">
                              <w:pPr>
                                <w:spacing w:line="201" w:lineRule="exact"/>
                                <w:rPr>
                                  <w:rFonts w:ascii="Arial MT"/>
                                  <w:sz w:val="18"/>
                                </w:rPr>
                              </w:pPr>
                              <w:r>
                                <w:rPr>
                                  <w:rFonts w:ascii="Arial MT"/>
                                  <w:color w:val="212121"/>
                                  <w:sz w:val="18"/>
                                </w:rPr>
                                <w:t>1</w:t>
                              </w:r>
                            </w:p>
                          </w:txbxContent>
                        </wps:txbx>
                        <wps:bodyPr rot="0" vert="horz" wrap="square" lIns="0" tIns="0" rIns="0" bIns="0" anchor="t" anchorCtr="0" upright="1">
                          <a:noAutofit/>
                        </wps:bodyPr>
                      </wps:wsp>
                      <wps:wsp>
                        <wps:cNvPr id="1979149319" name="Text Box 221"/>
                        <wps:cNvSpPr txBox="1">
                          <a:spLocks noChangeArrowheads="1"/>
                        </wps:cNvSpPr>
                        <wps:spPr bwMode="auto">
                          <a:xfrm>
                            <a:off x="4461" y="5832"/>
                            <a:ext cx="121" cy="202"/>
                          </a:xfrm>
                          <a:prstGeom prst="rect">
                            <a:avLst/>
                          </a:prstGeom>
                          <a:noFill/>
                          <a:ln>
                            <a:noFill/>
                          </a:ln>
                          <a:effectLst/>
                        </wps:spPr>
                        <wps:txbx>
                          <w:txbxContent>
                            <w:p w14:paraId="49F8FAA5">
                              <w:pPr>
                                <w:spacing w:line="201" w:lineRule="exact"/>
                                <w:rPr>
                                  <w:rFonts w:ascii="Arial MT"/>
                                  <w:sz w:val="18"/>
                                </w:rPr>
                              </w:pPr>
                              <w:r>
                                <w:rPr>
                                  <w:rFonts w:ascii="Arial MT"/>
                                  <w:color w:val="212121"/>
                                  <w:sz w:val="18"/>
                                </w:rPr>
                                <w:t>2</w:t>
                              </w:r>
                            </w:p>
                          </w:txbxContent>
                        </wps:txbx>
                        <wps:bodyPr rot="0" vert="horz" wrap="square" lIns="0" tIns="0" rIns="0" bIns="0" anchor="t" anchorCtr="0" upright="1">
                          <a:noAutofit/>
                        </wps:bodyPr>
                      </wps:wsp>
                      <wps:wsp>
                        <wps:cNvPr id="349948950" name="Text Box 220"/>
                        <wps:cNvSpPr txBox="1">
                          <a:spLocks noChangeArrowheads="1"/>
                        </wps:cNvSpPr>
                        <wps:spPr bwMode="auto">
                          <a:xfrm>
                            <a:off x="6084" y="5832"/>
                            <a:ext cx="121" cy="202"/>
                          </a:xfrm>
                          <a:prstGeom prst="rect">
                            <a:avLst/>
                          </a:prstGeom>
                          <a:noFill/>
                          <a:ln>
                            <a:noFill/>
                          </a:ln>
                          <a:effectLst/>
                        </wps:spPr>
                        <wps:txbx>
                          <w:txbxContent>
                            <w:p w14:paraId="747E14AC">
                              <w:pPr>
                                <w:spacing w:line="201" w:lineRule="exact"/>
                                <w:rPr>
                                  <w:rFonts w:ascii="Arial MT"/>
                                  <w:sz w:val="18"/>
                                </w:rPr>
                              </w:pPr>
                              <w:r>
                                <w:rPr>
                                  <w:rFonts w:ascii="Arial MT"/>
                                  <w:color w:val="212121"/>
                                  <w:sz w:val="18"/>
                                </w:rPr>
                                <w:t>3</w:t>
                              </w:r>
                            </w:p>
                          </w:txbxContent>
                        </wps:txbx>
                        <wps:bodyPr rot="0" vert="horz" wrap="square" lIns="0" tIns="0" rIns="0" bIns="0" anchor="t" anchorCtr="0" upright="1">
                          <a:noAutofit/>
                        </wps:bodyPr>
                      </wps:wsp>
                      <wps:wsp>
                        <wps:cNvPr id="137187818" name="Text Box 219"/>
                        <wps:cNvSpPr txBox="1">
                          <a:spLocks noChangeArrowheads="1"/>
                        </wps:cNvSpPr>
                        <wps:spPr bwMode="auto">
                          <a:xfrm>
                            <a:off x="7707" y="5832"/>
                            <a:ext cx="121" cy="202"/>
                          </a:xfrm>
                          <a:prstGeom prst="rect">
                            <a:avLst/>
                          </a:prstGeom>
                          <a:noFill/>
                          <a:ln>
                            <a:noFill/>
                          </a:ln>
                          <a:effectLst/>
                        </wps:spPr>
                        <wps:txbx>
                          <w:txbxContent>
                            <w:p w14:paraId="31A7D095">
                              <w:pPr>
                                <w:spacing w:line="201" w:lineRule="exact"/>
                                <w:rPr>
                                  <w:rFonts w:ascii="Arial MT"/>
                                  <w:sz w:val="18"/>
                                </w:rPr>
                              </w:pPr>
                              <w:r>
                                <w:rPr>
                                  <w:rFonts w:ascii="Arial MT"/>
                                  <w:color w:val="212121"/>
                                  <w:sz w:val="18"/>
                                </w:rPr>
                                <w:t>4</w:t>
                              </w:r>
                            </w:p>
                          </w:txbxContent>
                        </wps:txbx>
                        <wps:bodyPr rot="0" vert="horz" wrap="square" lIns="0" tIns="0" rIns="0" bIns="0" anchor="t" anchorCtr="0" upright="1">
                          <a:noAutofit/>
                        </wps:bodyPr>
                      </wps:wsp>
                      <wps:wsp>
                        <wps:cNvPr id="223664130" name="Text Box 218"/>
                        <wps:cNvSpPr txBox="1">
                          <a:spLocks noChangeArrowheads="1"/>
                        </wps:cNvSpPr>
                        <wps:spPr bwMode="auto">
                          <a:xfrm>
                            <a:off x="9330" y="5832"/>
                            <a:ext cx="121" cy="202"/>
                          </a:xfrm>
                          <a:prstGeom prst="rect">
                            <a:avLst/>
                          </a:prstGeom>
                          <a:noFill/>
                          <a:ln>
                            <a:noFill/>
                          </a:ln>
                          <a:effectLst/>
                        </wps:spPr>
                        <wps:txbx>
                          <w:txbxContent>
                            <w:p w14:paraId="3EA0DFCC">
                              <w:pPr>
                                <w:spacing w:line="201" w:lineRule="exact"/>
                                <w:rPr>
                                  <w:rFonts w:ascii="Arial MT"/>
                                  <w:sz w:val="18"/>
                                </w:rPr>
                              </w:pPr>
                              <w:r>
                                <w:rPr>
                                  <w:rFonts w:ascii="Arial MT"/>
                                  <w:color w:val="212121"/>
                                  <w:sz w:val="18"/>
                                </w:rPr>
                                <w:t>5</w:t>
                              </w:r>
                            </w:p>
                          </w:txbxContent>
                        </wps:txbx>
                        <wps:bodyPr rot="0" vert="horz" wrap="square" lIns="0" tIns="0" rIns="0" bIns="0" anchor="t" anchorCtr="0" upright="1">
                          <a:noAutofit/>
                        </wps:bodyPr>
                      </wps:wsp>
                      <wps:wsp>
                        <wps:cNvPr id="294130132" name="Text Box 217"/>
                        <wps:cNvSpPr txBox="1">
                          <a:spLocks noChangeArrowheads="1"/>
                        </wps:cNvSpPr>
                        <wps:spPr bwMode="auto">
                          <a:xfrm>
                            <a:off x="7260" y="5280"/>
                            <a:ext cx="1005" cy="443"/>
                          </a:xfrm>
                          <a:prstGeom prst="rect">
                            <a:avLst/>
                          </a:prstGeom>
                          <a:solidFill>
                            <a:srgbClr val="663AB6"/>
                          </a:solidFill>
                          <a:ln>
                            <a:noFill/>
                          </a:ln>
                          <a:effectLst/>
                        </wps:spPr>
                        <wps:txbx>
                          <w:txbxContent>
                            <w:p w14:paraId="3A923711">
                              <w:pPr>
                                <w:spacing w:line="183" w:lineRule="exact"/>
                                <w:rPr>
                                  <w:rFonts w:ascii="Arial MT"/>
                                  <w:sz w:val="18"/>
                                </w:rPr>
                              </w:pPr>
                              <w:r>
                                <w:rPr>
                                  <w:rFonts w:ascii="Arial MT"/>
                                  <w:color w:val="FFFFFF"/>
                                  <w:sz w:val="18"/>
                                </w:rPr>
                                <w:t>11</w:t>
                              </w:r>
                              <w:r>
                                <w:rPr>
                                  <w:rFonts w:ascii="Arial MT"/>
                                  <w:color w:val="FFFFFF"/>
                                  <w:spacing w:val="-7"/>
                                  <w:sz w:val="18"/>
                                </w:rPr>
                                <w:t xml:space="preserve"> </w:t>
                              </w:r>
                              <w:r>
                                <w:rPr>
                                  <w:rFonts w:ascii="Arial MT"/>
                                  <w:color w:val="FFFFFF"/>
                                  <w:sz w:val="18"/>
                                </w:rPr>
                                <w:t>(14.7%)</w:t>
                              </w:r>
                            </w:p>
                          </w:txbxContent>
                        </wps:txbx>
                        <wps:bodyPr rot="0" vert="horz" wrap="square" lIns="0" tIns="0" rIns="0" bIns="0" anchor="t" anchorCtr="0" upright="1">
                          <a:noAutofit/>
                        </wps:bodyPr>
                      </wps:wsp>
                      <wps:wsp>
                        <wps:cNvPr id="2032737718" name="Text Box 216"/>
                        <wps:cNvSpPr txBox="1">
                          <a:spLocks noChangeArrowheads="1"/>
                        </wps:cNvSpPr>
                        <wps:spPr bwMode="auto">
                          <a:xfrm>
                            <a:off x="6150" y="5288"/>
                            <a:ext cx="1110" cy="270"/>
                          </a:xfrm>
                          <a:prstGeom prst="rect">
                            <a:avLst/>
                          </a:prstGeom>
                          <a:noFill/>
                          <a:ln>
                            <a:noFill/>
                          </a:ln>
                          <a:effectLst/>
                        </wps:spPr>
                        <wps:txbx>
                          <w:txbxContent>
                            <w:p w14:paraId="30265427">
                              <w:pPr>
                                <w:spacing w:line="101" w:lineRule="exact"/>
                                <w:rPr>
                                  <w:rFonts w:ascii="Arial MT"/>
                                  <w:sz w:val="18"/>
                                </w:rPr>
                              </w:pPr>
                              <w:r>
                                <w:rPr>
                                  <w:rFonts w:ascii="Arial MT"/>
                                  <w:color w:val="202024"/>
                                  <w:sz w:val="18"/>
                                </w:rPr>
                                <w:t>%)</w:t>
                              </w:r>
                            </w:p>
                          </w:txbxContent>
                        </wps:txbx>
                        <wps:bodyPr rot="0" vert="horz" wrap="square" lIns="0" tIns="0" rIns="0" bIns="0" anchor="t" anchorCtr="0" upright="1">
                          <a:noAutofit/>
                        </wps:bodyPr>
                      </wps:wsp>
                      <wps:wsp>
                        <wps:cNvPr id="2135877634" name="Text Box 215"/>
                        <wps:cNvSpPr txBox="1">
                          <a:spLocks noChangeArrowheads="1"/>
                        </wps:cNvSpPr>
                        <wps:spPr bwMode="auto">
                          <a:xfrm>
                            <a:off x="4234" y="5352"/>
                            <a:ext cx="551" cy="202"/>
                          </a:xfrm>
                          <a:prstGeom prst="rect">
                            <a:avLst/>
                          </a:prstGeom>
                          <a:noFill/>
                          <a:ln>
                            <a:noFill/>
                          </a:ln>
                          <a:effectLst/>
                        </wps:spPr>
                        <wps:txbx>
                          <w:txbxContent>
                            <w:p w14:paraId="7D401DD1">
                              <w:pPr>
                                <w:spacing w:line="201" w:lineRule="exact"/>
                                <w:rPr>
                                  <w:rFonts w:ascii="Arial MT"/>
                                  <w:sz w:val="18"/>
                                </w:rPr>
                              </w:pPr>
                              <w:r>
                                <w:rPr>
                                  <w:rFonts w:ascii="Arial MT"/>
                                  <w:sz w:val="18"/>
                                </w:rPr>
                                <w:t>0 (0%)</w:t>
                              </w:r>
                            </w:p>
                          </w:txbxContent>
                        </wps:txbx>
                        <wps:bodyPr rot="0" vert="horz" wrap="square" lIns="0" tIns="0" rIns="0" bIns="0" anchor="t" anchorCtr="0" upright="1">
                          <a:noAutofit/>
                        </wps:bodyPr>
                      </wps:wsp>
                      <wps:wsp>
                        <wps:cNvPr id="1173440016" name="Text Box 214"/>
                        <wps:cNvSpPr txBox="1">
                          <a:spLocks noChangeArrowheads="1"/>
                        </wps:cNvSpPr>
                        <wps:spPr bwMode="auto">
                          <a:xfrm>
                            <a:off x="2614" y="5352"/>
                            <a:ext cx="551" cy="202"/>
                          </a:xfrm>
                          <a:prstGeom prst="rect">
                            <a:avLst/>
                          </a:prstGeom>
                          <a:noFill/>
                          <a:ln>
                            <a:noFill/>
                          </a:ln>
                          <a:effectLst/>
                        </wps:spPr>
                        <wps:txbx>
                          <w:txbxContent>
                            <w:p w14:paraId="5F11678F">
                              <w:pPr>
                                <w:spacing w:line="201" w:lineRule="exact"/>
                                <w:rPr>
                                  <w:rFonts w:ascii="Arial MT"/>
                                  <w:sz w:val="18"/>
                                </w:rPr>
                              </w:pPr>
                              <w:r>
                                <w:rPr>
                                  <w:rFonts w:ascii="Arial MT"/>
                                  <w:sz w:val="18"/>
                                </w:rPr>
                                <w:t xml:space="preserve">0 </w:t>
                              </w:r>
                              <w:r>
                                <w:rPr>
                                  <w:rFonts w:ascii="Arial MT"/>
                                  <w:color w:val="232327"/>
                                  <w:sz w:val="18"/>
                                </w:rPr>
                                <w:t>(0%)</w:t>
                              </w:r>
                            </w:p>
                          </w:txbxContent>
                        </wps:txbx>
                        <wps:bodyPr rot="0" vert="horz" wrap="square" lIns="0" tIns="0" rIns="0" bIns="0" anchor="t" anchorCtr="0" upright="1">
                          <a:noAutofit/>
                        </wps:bodyPr>
                      </wps:wsp>
                      <wps:wsp>
                        <wps:cNvPr id="1453820571" name="Text Box 213"/>
                        <wps:cNvSpPr txBox="1">
                          <a:spLocks noChangeArrowheads="1"/>
                        </wps:cNvSpPr>
                        <wps:spPr bwMode="auto">
                          <a:xfrm>
                            <a:off x="5794" y="5187"/>
                            <a:ext cx="481" cy="202"/>
                          </a:xfrm>
                          <a:prstGeom prst="rect">
                            <a:avLst/>
                          </a:prstGeom>
                          <a:noFill/>
                          <a:ln>
                            <a:noFill/>
                          </a:ln>
                          <a:effectLst/>
                        </wps:spPr>
                        <wps:txbx>
                          <w:txbxContent>
                            <w:p w14:paraId="63E660AA">
                              <w:pPr>
                                <w:spacing w:line="201" w:lineRule="exact"/>
                                <w:rPr>
                                  <w:rFonts w:ascii="Arial MT"/>
                                  <w:sz w:val="18"/>
                                </w:rPr>
                              </w:pPr>
                              <w:r>
                                <w:rPr>
                                  <w:rFonts w:ascii="Arial MT"/>
                                  <w:color w:val="202024"/>
                                  <w:sz w:val="18"/>
                                </w:rPr>
                                <w:t>4 (5.3</w:t>
                              </w:r>
                            </w:p>
                          </w:txbxContent>
                        </wps:txbx>
                        <wps:bodyPr rot="0" vert="horz" wrap="square" lIns="0" tIns="0" rIns="0" bIns="0" anchor="t" anchorCtr="0" upright="1">
                          <a:noAutofit/>
                        </wps:bodyPr>
                      </wps:wsp>
                      <wps:wsp>
                        <wps:cNvPr id="499227168" name="Text Box 212"/>
                        <wps:cNvSpPr txBox="1">
                          <a:spLocks noChangeArrowheads="1"/>
                        </wps:cNvSpPr>
                        <wps:spPr bwMode="auto">
                          <a:xfrm>
                            <a:off x="8880" y="3053"/>
                            <a:ext cx="1005" cy="2670"/>
                          </a:xfrm>
                          <a:prstGeom prst="rect">
                            <a:avLst/>
                          </a:prstGeom>
                          <a:solidFill>
                            <a:srgbClr val="663AB6"/>
                          </a:solidFill>
                          <a:ln>
                            <a:noFill/>
                          </a:ln>
                          <a:effectLst/>
                        </wps:spPr>
                        <wps:txbx>
                          <w:txbxContent>
                            <w:p w14:paraId="50F77A27">
                              <w:pPr>
                                <w:spacing w:before="14"/>
                                <w:rPr>
                                  <w:rFonts w:ascii="Arial MT"/>
                                  <w:sz w:val="18"/>
                                </w:rPr>
                              </w:pPr>
                              <w:r>
                                <w:rPr>
                                  <w:rFonts w:ascii="Arial MT"/>
                                  <w:color w:val="FFFFFF"/>
                                  <w:sz w:val="18"/>
                                </w:rPr>
                                <w:t>60 (80%)</w:t>
                              </w:r>
                            </w:p>
                          </w:txbxContent>
                        </wps:txbx>
                        <wps:bodyPr rot="0" vert="horz" wrap="square" lIns="0" tIns="0" rIns="0" bIns="0" anchor="t" anchorCtr="0" upright="1">
                          <a:noAutofit/>
                        </wps:bodyPr>
                      </wps:wsp>
                    </wpg:wgp>
                  </a:graphicData>
                </a:graphic>
              </wp:anchor>
            </w:drawing>
          </mc:Choice>
          <mc:Fallback>
            <w:pict>
              <v:group id="Group 211" o:spid="_x0000_s1026" o:spt="203" style="position:absolute;left:0pt;margin-left:75.4pt;margin-top:8.65pt;height:294.75pt;width:480pt;mso-position-horizontal-relative:page;z-index:251705344;mso-width-relative:page;mso-height-relative:page;" coordorigin="1155,608" coordsize="9600,5895" o:gfxdata="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">
                <o:lock v:ext="edit" aspectratio="f"/>
                <v:shape id="Freeform 238" o:spid="_x0000_s1026" o:spt="100" style="position:absolute;left:1154;top:608;height:5895;width:9600;" fillcolor="#D9DBDF" filled="t" stroked="f" coordsize="9600,5895" o:gfxdata="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iXa&#10;wAAAAOMAAAAPAAAAAAAAAAEAIAAAACIAAABkcnMvZG93bnJldi54bWxQSwECFAAUAAAACACHTuJA&#10;My8FnjsAAAA5AAAAEAAAAAAAAAABACAAAAAPAQAAZHJzL3NoYXBleG1sLnhtbFBLBQYAAAAABgAG&#10;AFsBAAC5AwAAAAA=&#10;" path="m9600,0l9585,0,9585,5775,9584,5785,9561,5842,9553,5850,9490,5880,9480,5880,120,5880,62,5862,47,5850,39,5842,15,5785,15,5775,15,0,0,0,0,5775,1,5787,27,5851,35,5860,97,5893,120,5895,9480,5895,9547,5875,9564,5861,9565,5860,9573,5851,9580,5842,9600,5775,9600,0xe">
                  <v:path o:connectlocs="9600,608;9585,608;9585,6383;9584,6393;9561,6450;9553,6458;9490,6488;9480,6488;120,6488;62,6470;47,6458;39,6450;15,6393;15,6383;15,608;0,608;0,6383;1,6395;27,6459;35,6468;97,6501;120,6503;9480,6503;9547,6483;9564,6469;9565,6468;9573,6459;9580,6450;9600,6383;9600,608" o:connectangles="0,0,0,0,0,0,0,0,0,0,0,0,0,0,0,0,0,0,0,0,0,0,0,0,0,0,0,0,0,0"/>
                  <v:fill on="t" focussize="0,0"/>
                  <v:stroke on="f"/>
                  <v:imagedata o:title=""/>
                  <o:lock v:ext="edit" aspectratio="f"/>
                </v:shape>
                <v:shape id="Picture 237" o:spid="_x0000_s1026" o:spt="75" type="#_x0000_t75" style="position:absolute;left:9525;top:728;height:300;width:255;" filled="f" o:preferrelative="t" stroked="f" coordsize="21600,21600" o:gfxdata="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Sa7dsQAAADjAAAADwAAAAAAAAABACAAAAAiAAAAZHJzL2Rvd25yZXYueG1sUEsBAhQAFAAAAAgA&#10;h07iQDMvBZ47AAAAOQAAABAAAAAAAAAAAQAgAAAAEwEAAGRycy9zaGFwZXhtbC54bWxQSwUGAAAA&#10;AAYABgBbAQAAvQMAAAAA&#10;">
                  <v:fill on="f" focussize="0,0"/>
                  <v:stroke on="f"/>
                  <v:imagedata r:id="rId110" o:title=""/>
                  <o:lock v:ext="edit" aspectratio="t"/>
                </v:shape>
                <v:rect id="Rectangle 236" o:spid="_x0000_s1026" o:spt="1" style="position:absolute;left:1170;top:2888;height:3600;width:9030;" fillcolor="#FFFFFF" filled="t" stroked="f" coordsize="21600,21600" o:gfxdata="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lEpwwAAAOIAAAAPAAAAAAAAAAEAIAAAACIAAABkcnMvZG93bnJldi54bWxQSwECFAAUAAAACACH&#10;TuJAMy8FnjsAAAA5AAAAEAAAAAAAAAABACAAAAASAQAAZHJzL3NoYXBleG1sLnhtbFBLBQYAAAAA&#10;BgAGAFsBAAC8AwAAAAA=&#10;">
                  <v:fill on="t" focussize="0,0"/>
                  <v:stroke on="f"/>
                  <v:imagedata o:title=""/>
                  <o:lock v:ext="edit" aspectratio="f"/>
                </v:rect>
                <v:rect id="Rectangle 235" o:spid="_x0000_s1026" o:spt="1" style="position:absolute;left:2070;top:3038;height:2700;width:8130;" filled="f" stroked="t" coordsize="21600,21600" o:gfxdata="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e6wD8QAAADjAAAADwAAAAAAAAABACAAAAAiAAAAZHJzL2Rvd25yZXYueG1sUEsBAhQAFAAAAAgA&#10;h07iQDMvBZ47AAAAOQAAABAAAAAAAAAAAQAgAAAAEwEAAGRycy9zaGFwZXhtbC54bWxQSwUGAAAA&#10;AAYABgBbAQAAvQMAAAAA&#10;">
                  <v:fill on="f" focussize="0,0"/>
                  <v:stroke color="#EDEDED" miterlimit="8" joinstyle="miter"/>
                  <v:imagedata o:title=""/>
                  <o:lock v:ext="edit" aspectratio="f"/>
                </v:rect>
                <v:shape id="AutoShape 234" o:spid="_x0000_s1026" o:spt="100" style="position:absolute;left:2069;top:3038;height:2700;width:8130;" fillcolor="#EDEDED" filled="t" stroked="f" coordsize="8130,2700" o:gfxdata="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p2K3sQAAADiAAAADwAAAAAAAAABACAAAAAiAAAAZHJzL2Rvd25yZXYueG1sUEsBAhQAFAAAAAgA&#10;h07iQDMvBZ47AAAAOQAAABAAAAAAAAAAAQAgAAAAEwEAAGRycy9zaGFwZXhtbC54bWxQSwUGAAAA&#10;AAYABgBbAQAAvQMAAAAA&#10;" path="m6810,1785l0,1785,0,1800,6810,1800,6810,1785xm6810,900l0,900,0,915,6810,915,6810,900xm8130,2685l0,2685,0,2700,8130,2700,8130,2685xm8130,1785l7815,1785,7815,1800,8130,1800,8130,1785xm8130,900l7815,900,7815,915,8130,915,8130,900xm8130,0l0,0,0,15,8130,15,8130,0xe">
                  <v:path o:connectlocs="6810,4823;0,4823;0,4838;6810,4838;6810,4823;6810,3938;0,3938;0,3953;6810,3953;6810,3938;8130,5723;0,5723;0,5738;8130,5738;8130,5723;8130,4823;7815,4823;7815,4838;8130,4838;8130,4823;8130,3938;7815,3938;7815,3953;8130,3953;8130,3938;8130,3038;0,3038;0,3053;8130,3053;8130,3038" o:connectangles="0,0,0,0,0,0,0,0,0,0,0,0,0,0,0,0,0,0,0,0,0,0,0,0,0,0,0,0,0,0"/>
                  <v:fill on="t" focussize="0,0"/>
                  <v:stroke on="f"/>
                  <v:imagedata o:title=""/>
                  <o:lock v:ext="edit" aspectratio="f"/>
                </v:shape>
                <v:shape id="AutoShape 233" o:spid="_x0000_s1026" o:spt="100" style="position:absolute;left:2069;top:3488;height:1800;width:8130;" fillcolor="#F7F7F7" filled="t" stroked="f" coordsize="8130,1800" o:gfxdata="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Jq&#10;HX7CAAAA4wAAAA8AAAAAAAAAAQAgAAAAIgAAAGRycy9kb3ducmV2LnhtbFBLAQIUABQAAAAIAIdO&#10;4kAzLwWeOwAAADkAAAAQAAAAAAAAAAEAIAAAABEBAABkcnMvc2hhcGV4bWwueG1sUEsFBgAAAAAG&#10;AAYAWwEAALsDAAAAAA==&#10;" path="m5190,1785l0,1785,0,1800,5190,1800,5190,1785xm6810,1785l6195,1785,6195,1800,6810,1800,6810,1785xm6810,900l0,900,0,915,6810,915,6810,900xm6810,0l0,0,0,15,6810,15,6810,0xm8130,1785l7815,1785,7815,1800,8130,1800,8130,1785xm8130,900l7815,900,7815,915,8130,915,8130,900xm8130,0l7815,0,7815,15,8130,15,8130,0xe">
                  <v:path o:connectlocs="5190,5273;0,5273;0,5288;5190,5288;5190,5273;6810,5273;6195,5273;6195,5288;6810,5288;6810,5273;6810,4388;0,4388;0,4403;6810,4403;6810,4388;6810,3488;0,3488;0,3503;6810,3503;6810,3488;8130,5273;7815,5273;7815,5288;8130,5288;8130,5273;8130,4388;7815,4388;7815,4403;8130,4403;8130,4388;8130,3488;7815,3488;7815,3503;8130,3503;8130,3488" o:connectangles="0,0,0,0,0,0,0,0,0,0,0,0,0,0,0,0,0,0,0,0,0,0,0,0,0,0,0,0,0,0,0,0,0,0,0"/>
                  <v:fill on="t" focussize="0,0"/>
                  <v:stroke on="f"/>
                  <v:imagedata o:title=""/>
                  <o:lock v:ext="edit" aspectratio="f"/>
                </v:shape>
                <v:shape id="AutoShape 232" o:spid="_x0000_s1026" o:spt="100" style="position:absolute;left:2384;top:3053;height:2678;width:7500;" fillcolor="#663AB6" filled="t" stroked="f" coordsize="7500,2678" o:gfxdata="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G/&#10;FZPCAAAA4wAAAA8AAAAAAAAAAQAgAAAAIgAAAGRycy9kb3ducmV2LnhtbFBLAQIUABQAAAAIAIdO&#10;4kAzLwWeOwAAADkAAAAQAAAAAAAAAAEAIAAAABEBAABkcnMvc2hhcGV4bWwueG1sUEsFBgAAAAAG&#10;AAYAWwEAALsDAAAAAA==&#10;" path="m1005,2670l0,2670,0,2678,1005,2678,1005,2670xm2625,2670l1620,2670,1620,2678,2625,2678,2625,2670xm4245,2505l3255,2505,3255,2670,4245,2670,4245,2505xm7500,0l6495,0,6495,2670,7500,2670,7500,0xe">
                  <v:path o:connectlocs="1005,5723;0,5723;0,5731;1005,5731;1005,5723;2625,5723;1620,5723;1620,5731;2625,5731;2625,5723;4245,5558;3255,5558;3255,5723;4245,5723;4245,5558;7500,3053;6495,3053;6495,5723;7500,5723;7500,3053" o:connectangles="0,0,0,0,0,0,0,0,0,0,0,0,0,0,0,0,0,0,0,0"/>
                  <v:fill on="t" focussize="0,0"/>
                  <v:stroke on="f"/>
                  <v:imagedata o:title=""/>
                  <o:lock v:ext="edit" aspectratio="f"/>
                </v:shape>
                <v:rect id="Rectangle 231" o:spid="_x0000_s1026" o:spt="1" style="position:absolute;left:2070;top:5723;height:15;width:8130;" fillcolor="#333333" filled="t" stroked="f" coordsize="21600,21600" o:gfxdata="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NV&#10;vs7CAAAA4wAAAA8AAAAAAAAAAQAgAAAAIgAAAGRycy9kb3ducmV2LnhtbFBLAQIUABQAAAAIAIdO&#10;4kAzLwWeOwAAADkAAAAQAAAAAAAAAAEAIAAAABEBAABkcnMvc2hhcGV4bWwueG1sUEsFBgAAAAAG&#10;AAYAWwEAALsDAAAAAA==&#10;">
                  <v:fill on="t" focussize="0,0"/>
                  <v:stroke on="f"/>
                  <v:imagedata o:title=""/>
                  <o:lock v:ext="edit" aspectratio="f"/>
                </v:rect>
                <v:shape id="AutoShape 230" o:spid="_x0000_s1026" o:spt="100" style="position:absolute;left:2879;top:5378;height:345;width:3270;" fillcolor="#999999" filled="t" stroked="f" coordsize="3270,345" o:gfxdata="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Sv&#10;3+zCAAAA4wAAAA8AAAAAAAAAAQAgAAAAIgAAAGRycy9kb3ducmV2LnhtbFBLAQIUABQAAAAIAIdO&#10;4kAzLwWeOwAAADkAAAAQAAAAAAAAAAEAIAAAABEBAABkcnMvc2hhcGV4bWwueG1sUEsFBgAAAAAG&#10;AAYAWwEAALsDAAAAAA==&#10;" path="m15,165l0,165,0,345,15,345,15,165xm1635,165l1620,165,1620,345,1635,345,1635,165xm3270,0l3255,0,3255,180,3270,180,3270,0xe">
                  <v:path o:connectlocs="15,5543;0,5543;0,5723;15,5723;15,5543;1635,5543;1620,5543;1620,5723;1635,5723;1635,5543;3270,5378;3255,5378;3255,5558;3270,5558;3270,5378" o:connectangles="0,0,0,0,0,0,0,0,0,0,0,0,0,0,0"/>
                  <v:fill on="t" focussize="0,0"/>
                  <v:stroke on="f"/>
                  <v:imagedata o:title=""/>
                  <o:lock v:ext="edit" aspectratio="f"/>
                </v:shape>
                <v:shape id="AutoShape 229" o:spid="_x0000_s1026" o:spt="100" style="position:absolute;left:2622;top:5219;height:334;width:3847;" filled="f" stroked="t" coordsize="3847,334" o:gfxdata="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MssIwwAAAOIAAAAPAAAAAAAAAAEAIAAAACIAAABkcnMvZG93bnJldi54bWxQSwECFAAUAAAACACH&#10;TuJAMy8FnjsAAAA5AAAAEAAAAAAAAAABACAAAAASAQAAZHJzL3NoYXBleG1sLnhtbFBLBQYAAAAA&#10;BgAGAFsBAAC8AwAAAAA=&#10;" path="m0,232l0,217,2,205,5,196,8,186,13,179,19,174,25,169,33,166,42,166,49,166,55,168,61,171,66,173,70,177,74,183,77,188,80,194,82,202,83,209,84,220,84,232,84,247,83,260,80,269,77,278,72,285,66,290,60,296,52,298,42,298,30,298,20,294,13,285,8,275,4,264,1,249,0,232xm17,232l17,247,19,259,21,268,24,275,29,282,35,285,42,285,50,285,56,282,61,275,64,268,66,259,68,247,68,232,68,218,66,206,64,197,61,190,56,183,50,180,42,180,35,180,29,183,25,189,21,196,19,206,17,218,17,232xm185,334l179,325,173,316,168,306,163,295,159,284,156,273,155,261,154,249,154,239,156,229,158,219,161,209,165,198,171,187,177,176,185,165,196,165,189,177,185,186,182,191,179,199,176,207,174,216,171,227,170,238,170,249,172,270,177,292,185,313,196,334,185,334xm210,232l210,217,212,205,215,196,218,186,223,179,229,174,235,169,243,166,252,166,259,166,265,168,271,171,276,173,280,177,284,183,287,188,290,194,292,202,294,209,294,220,294,232,294,247,293,260,290,269,287,278,282,285,276,290,270,296,262,298,252,298,240,298,230,294,223,285,218,275,214,264,211,249,210,232xm227,232l227,247,229,259,231,268,234,275,239,282,245,285,252,285,260,285,266,282,271,275,274,268,276,259,278,247,278,232,278,218,276,206,274,197,271,190,266,183,260,180,252,180,245,180,239,183,235,189,231,196,229,206,227,218,227,232xm314,198l314,189,316,181,320,174,325,168,332,165,341,165,349,165,355,168,361,173,366,179,369,188,369,199,369,210,366,218,361,224,355,230,349,233,341,233,333,233,327,230,321,224,316,218,314,210,314,198xm341,176l337,176,334,177,331,181,329,184,327,190,327,200,327,208,329,214,331,217,334,220,337,222,341,222,345,222,348,220,351,217,354,214,355,207,355,198,355,190,354,184,351,181,348,177,345,176,341,176xm341,301l412,165,424,165,354,301,341,301xm397,266l397,256,399,249,404,242,408,236,415,232,424,232,432,232,439,235,444,241,449,247,452,255,452,267,452,277,449,286,444,292,439,298,432,301,424,301,416,301,410,298,405,292,399,286,397,277,397,266xm424,243l420,243,417,245,415,248,412,252,411,258,411,267,411,275,412,281,415,285,417,288,421,290,424,290,428,290,432,288,434,285,437,281,438,275,438,266,438,258,437,252,434,248,432,245,428,243,424,243xm485,334l474,334,486,313,494,292,499,270,500,249,500,238,499,227,497,216,495,208,492,199,488,191,486,186,481,177,474,165,485,165,493,176,500,187,505,198,510,209,513,219,515,229,516,239,517,249,516,261,514,273,511,284,507,295,503,306,497,316,492,325,485,334xm1620,232l1620,217,1622,205,1625,196,1628,186,1633,179,1639,174,1645,169,1653,166,1662,166,1669,166,1675,168,1681,171,1686,173,1690,177,1694,183,1697,188,1700,194,1702,202,1703,209,1704,220,1704,232,1704,247,1703,260,1700,269,1697,278,1692,285,1686,290,1680,296,1672,298,1662,298,1650,298,1640,294,1633,285,1628,275,1624,264,1621,249,1620,232xm1637,232l1637,247,1639,259,1641,268,1644,275,1649,282,1655,285,1662,285,1670,285,1676,282,1681,275,1684,268,1686,259,1688,247,1688,232,1688,218,1686,206,1684,197,1681,190,1676,183,1670,180,1662,180,1655,180,1649,183,1645,189,1641,196,1639,206,1637,218,1637,232xm1805,334l1799,325,1793,316,1788,306,1783,295,1779,284,1776,273,1775,261,1774,249,1774,239,1776,229,1778,219,1781,209,1785,198,1791,187,1797,176,1805,165,1816,165,1809,177,1805,186,1802,191,1799,199,1796,207,1794,216,1791,227,1790,238,1790,249,1792,270,1797,292,1805,313,1816,334,1805,334xm1830,232l1830,217,1832,205,1835,196,1838,186,1843,179,1849,174,1855,169,1863,166,1872,166,1879,166,1885,168,1891,171,1896,173,1900,177,1904,183,1907,188,1910,194,1912,202,1914,209,1914,220,1914,232,1914,247,1913,260,1910,269,1907,278,1902,285,1896,290,1890,296,1882,298,1872,298,1860,298,1850,294,1843,285,1838,275,1834,264,1831,249,1830,232xm1847,232l1847,247,1849,259,1851,268,1854,275,1859,282,1865,285,1872,285,1880,285,1886,282,1891,275,1894,268,1896,259,1898,247,1898,232,1898,218,1896,206,1894,197,1891,190,1886,183,1880,180,1872,180,1865,180,1859,183,1855,189,1851,196,1849,206,1847,218,1847,232xm1934,198l1934,189,1936,181,1940,174,1945,168,1952,165,1961,165,1969,165,1975,168,1981,173,1986,179,1989,188,1989,199,1989,210,1986,218,1981,224,1975,230,1969,233,1961,233,1953,233,1947,230,1941,224,1936,218,1934,210,1934,198xm1961,176l1957,176,1954,177,1951,181,1949,184,1947,190,1947,200,1947,208,1949,214,1951,217,1954,220,1957,222,1961,222,1965,222,1968,220,1971,217,1974,214,1975,207,1975,198,1975,190,1974,184,1971,181,1968,177,1965,176,1961,176xm1961,301l2032,165,2044,165,1974,301,1961,301xm2017,266l2017,256,2019,249,2024,242,2028,236,2035,232,2044,232,2052,232,2059,235,2064,241,2069,247,2072,255,2072,267,2072,277,2069,286,2064,292,2059,298,2052,301,2044,301,2036,301,2030,298,2025,292,2019,286,2017,277,2017,266xm2044,243l2040,243,2037,245,2035,248,2032,252,2031,258,2031,267,2031,275,2032,281,2035,285,2037,288,2041,290,2044,290,2048,290,2052,288,2054,285,2057,281,2058,275,2058,266,2058,258,2057,252,2054,248,2052,245,2048,243,2044,243xm2105,334l2094,334,2106,313,2114,292,2119,270,2120,249,2120,238,2119,227,2117,216,2115,208,2112,199,2108,191,2106,186,2101,177,2094,165,2105,165,2113,176,2120,187,2125,198,2130,209,2133,219,2135,229,2136,239,2137,249,2136,261,2134,273,2131,284,2127,295,2123,306,2117,316,2112,325,2105,334xm3231,131l3231,100,3175,100,3175,86,3234,2,3247,2,3247,86,3264,86,3264,100,3247,100,3247,131,3231,131xm3231,86l3231,27,3191,86,3231,86xm3365,169l3359,160,3353,151,3348,141,3343,130,3339,119,3336,108,3334,96,3334,84,3334,74,3335,64,3338,54,3340,44,3345,33,3351,22,3357,11,3365,0,3376,0,3369,12,3364,21,3362,26,3359,34,3356,42,3354,51,3351,62,3350,73,3350,84,3352,105,3357,127,3365,148,3376,169,3365,169xm3390,97l3407,96,3408,104,3411,110,3415,114,3420,118,3425,120,3432,120,3439,120,3446,117,3451,111,3456,106,3459,98,3459,89,3459,80,3456,72,3451,67,3446,62,3440,59,3431,59,3426,59,3422,61,3418,63,3413,65,3410,68,3408,72,3393,70,3406,4,3470,4,3470,19,3418,19,3411,54,3419,48,3427,45,3436,45,3447,45,3456,49,3464,57,3472,65,3476,75,3476,87,3476,99,3472,109,3465,117,3457,128,3446,133,3432,133,3420,133,3410,130,3403,123,3396,117,3391,108,3390,97xm3499,131l3499,113,3517,113,3517,131,3499,131xm3540,97l3556,95,3558,104,3561,110,3566,114,3570,118,3575,120,3581,120,3589,120,3595,117,3600,112,3605,107,3608,101,3608,93,3608,86,3606,80,3601,75,3596,70,3590,68,3583,68,3580,68,3576,69,3572,70,3573,56,3574,56,3575,56,3576,56,3583,56,3589,54,3594,51,3600,47,3602,42,3602,35,3602,29,3600,24,3596,20,3592,16,3587,14,3581,14,3575,14,3570,16,3566,20,3562,24,3559,30,3558,38,3542,35,3544,24,3548,16,3555,10,3562,4,3571,1,3581,1,3588,1,3594,3,3600,6,3606,9,3611,13,3614,18,3617,24,3618,29,3618,35,3618,41,3617,46,3614,50,3611,55,3607,58,3601,61,3608,63,3614,66,3618,72,3623,78,3625,84,3625,93,3625,104,3621,114,3612,121,3604,129,3594,133,3581,133,3570,133,3561,130,3553,123,3546,116,3541,108,3540,97xm3643,33l3643,24,3646,16,3650,9,3655,3,3662,0,3670,0,3679,0,3685,3,3691,8,3696,14,3699,23,3699,34,3699,45,3696,53,3690,59,3685,65,3679,68,3671,68,3663,68,3656,65,3651,59,3646,53,3643,45,3643,33xm3671,11l3667,11,3664,12,3661,16,3659,19,3657,25,3657,35,3657,43,3659,49,3661,52,3664,55,3667,57,3671,57,3675,57,3678,55,3681,52,3683,49,3685,42,3685,33,3685,25,3683,19,3681,16,3678,12,3675,11,3671,11xm3671,136l3742,0,3754,0,3684,136,3671,136xm3727,101l3727,91,3729,84,3734,77,3738,71,3745,67,3754,67,3762,67,3769,70,3774,76,3779,82,3782,90,3782,102,3782,112,3779,121,3774,127,3769,133,3762,136,3754,136,3746,136,3740,133,3735,127,3729,121,3727,112,3727,101xm3754,78l3750,78,3747,80,3744,83,3742,87,3741,93,3741,102,3741,110,3742,116,3745,120,3747,123,3750,125,3754,125,3758,125,3762,123,3764,120,3767,116,3768,110,3768,101,3768,93,3767,87,3764,83,3762,80,3758,78,3754,78xm3815,169l3804,169,3815,148,3824,127,3829,105,3830,84,3830,73,3829,62,3826,51,3824,43,3822,34,3818,26,3816,21,3811,12,3804,0,3815,0,3823,11,3830,22,3835,33,3840,44,3843,54,3845,64,3846,74,3846,84,3846,96,3844,108,3841,119,3837,130,3833,141,3827,151,3822,160,3815,169xe">
                  <v:path o:connectlocs="70,5397;52,5518;35,5505;42,5400;155,5481;176,5427;223,5399;294,5440;214,5484;276,5479;227,5438;369,5430;331,5401;355,5418;404,5462;424,5521;412,5501;428,5463;481,5397;503,5526;1675,5388;1692,5505;1641,5488;1681,5410;1783,5515;1805,5406;1832,5425;1910,5414;1850,5514;1886,5502;1855,5409;1986,5399;1961,5396;1971,5437;2017,5486;2064,5512;2031,5478;2057,5472;2112,5419;2134,5493;3264,5320;3334,5316;3356,5262;3420,5338;3426,5279;3447,5265;3396,5337;3581,5340;3572,5290;3587,5234;3588,5221;3608,5283;3546,5336;3699,5254;3664,5232;3685,5262;3729,5304;3762,5356;3741,5330;3762,5300;3816,5241;3837,5350" o:connectangles="0,0,0,0,0,0,0,0,0,0,0,0,0,0,0,0,0,0,0,0,0,0,0,0,0,0,0,0,0,0,0,0,0,0,0,0,0,0,0,0,0,0,0,0,0,0,0,0,0,0,0,0,0,0,0,0,0,0,0,0,0,0"/>
                  <v:fill on="f" focussize="0,0"/>
                  <v:stroke weight="2.25pt" color="#FFFFFF" joinstyle="round"/>
                  <v:imagedata o:title=""/>
                  <o:lock v:ext="edit" aspectratio="f"/>
                </v:shape>
                <v:shape id="Text Box 228" o:spid="_x0000_s1026" o:spt="202" type="#_x0000_t202" style="position:absolute;left:1162;top:760;height:1752;width:7973;" filled="f" stroked="f" coordsize="21600,21600" o:gfxdata="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QccV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E79AE95">
                        <w:pPr>
                          <w:spacing w:line="300" w:lineRule="auto"/>
                          <w:ind w:right="12"/>
                          <w:jc w:val="both"/>
                        </w:pPr>
                        <w:r>
                          <w:rPr>
                            <w:color w:val="202024"/>
                          </w:rPr>
                          <w:t>10.</w:t>
                        </w:r>
                        <w:r>
                          <w:rPr>
                            <w:color w:val="202024"/>
                            <w:spacing w:val="8"/>
                          </w:rPr>
                          <w:t xml:space="preserve"> </w:t>
                        </w:r>
                        <w:r>
                          <w:rPr>
                            <w:color w:val="202024"/>
                          </w:rPr>
                          <w:t>Principle</w:t>
                        </w:r>
                        <w:r>
                          <w:rPr>
                            <w:color w:val="202024"/>
                            <w:spacing w:val="8"/>
                          </w:rPr>
                          <w:t xml:space="preserve"> </w:t>
                        </w:r>
                        <w:r>
                          <w:rPr>
                            <w:color w:val="202024"/>
                          </w:rPr>
                          <w:t>driven</w:t>
                        </w:r>
                        <w:r>
                          <w:rPr>
                            <w:color w:val="202024"/>
                            <w:spacing w:val="9"/>
                          </w:rPr>
                          <w:t xml:space="preserve"> </w:t>
                        </w:r>
                        <w:r>
                          <w:rPr>
                            <w:color w:val="202024"/>
                          </w:rPr>
                          <w:t>tax</w:t>
                        </w:r>
                        <w:r>
                          <w:rPr>
                            <w:color w:val="202024"/>
                            <w:spacing w:val="8"/>
                          </w:rPr>
                          <w:t xml:space="preserve"> </w:t>
                        </w:r>
                        <w:r>
                          <w:rPr>
                            <w:color w:val="202024"/>
                          </w:rPr>
                          <w:t>policy</w:t>
                        </w:r>
                        <w:r>
                          <w:rPr>
                            <w:color w:val="202024"/>
                            <w:spacing w:val="8"/>
                          </w:rPr>
                          <w:t xml:space="preserve"> </w:t>
                        </w:r>
                        <w:r>
                          <w:rPr>
                            <w:color w:val="202024"/>
                          </w:rPr>
                          <w:t>and</w:t>
                        </w:r>
                        <w:r>
                          <w:rPr>
                            <w:color w:val="202024"/>
                            <w:spacing w:val="9"/>
                          </w:rPr>
                          <w:t xml:space="preserve"> </w:t>
                        </w:r>
                        <w:r>
                          <w:rPr>
                            <w:color w:val="202024"/>
                          </w:rPr>
                          <w:t>legislation</w:t>
                        </w:r>
                        <w:r>
                          <w:rPr>
                            <w:color w:val="202024"/>
                            <w:spacing w:val="8"/>
                          </w:rPr>
                          <w:t xml:space="preserve"> </w:t>
                        </w:r>
                        <w:r>
                          <w:rPr>
                            <w:color w:val="202024"/>
                          </w:rPr>
                          <w:t>making</w:t>
                        </w:r>
                        <w:r>
                          <w:rPr>
                            <w:color w:val="202024"/>
                            <w:spacing w:val="8"/>
                          </w:rPr>
                          <w:t xml:space="preserve"> </w:t>
                        </w:r>
                        <w:r>
                          <w:rPr>
                            <w:color w:val="202024"/>
                          </w:rPr>
                          <w:t>and</w:t>
                        </w:r>
                        <w:r>
                          <w:rPr>
                            <w:color w:val="202024"/>
                            <w:spacing w:val="9"/>
                          </w:rPr>
                          <w:t xml:space="preserve"> </w:t>
                        </w:r>
                        <w:r>
                          <w:rPr>
                            <w:color w:val="202024"/>
                          </w:rPr>
                          <w:t>interpretation</w:t>
                        </w:r>
                        <w:r>
                          <w:rPr>
                            <w:color w:val="202024"/>
                            <w:spacing w:val="1"/>
                          </w:rPr>
                          <w:t xml:space="preserve"> </w:t>
                        </w:r>
                        <w:r>
                          <w:rPr>
                            <w:color w:val="202024"/>
                          </w:rPr>
                          <w:t>are</w:t>
                        </w:r>
                        <w:r>
                          <w:rPr>
                            <w:color w:val="202024"/>
                            <w:spacing w:val="8"/>
                          </w:rPr>
                          <w:t xml:space="preserve"> </w:t>
                        </w:r>
                        <w:r>
                          <w:rPr>
                            <w:color w:val="202024"/>
                          </w:rPr>
                          <w:t>key</w:t>
                        </w:r>
                        <w:r>
                          <w:rPr>
                            <w:color w:val="202024"/>
                            <w:spacing w:val="9"/>
                          </w:rPr>
                          <w:t xml:space="preserve"> </w:t>
                        </w:r>
                        <w:r>
                          <w:rPr>
                            <w:color w:val="202024"/>
                          </w:rPr>
                          <w:t>to</w:t>
                        </w:r>
                        <w:r>
                          <w:rPr>
                            <w:color w:val="202024"/>
                            <w:spacing w:val="9"/>
                          </w:rPr>
                          <w:t xml:space="preserve"> </w:t>
                        </w:r>
                        <w:r>
                          <w:rPr>
                            <w:color w:val="202024"/>
                          </w:rPr>
                          <w:t>the</w:t>
                        </w:r>
                        <w:r>
                          <w:rPr>
                            <w:color w:val="202024"/>
                            <w:spacing w:val="9"/>
                          </w:rPr>
                          <w:t xml:space="preserve"> </w:t>
                        </w:r>
                        <w:r>
                          <w:rPr>
                            <w:color w:val="202024"/>
                          </w:rPr>
                          <w:t>understanding</w:t>
                        </w:r>
                        <w:r>
                          <w:rPr>
                            <w:color w:val="202024"/>
                            <w:spacing w:val="9"/>
                          </w:rPr>
                          <w:t xml:space="preserve"> </w:t>
                        </w:r>
                        <w:r>
                          <w:rPr>
                            <w:color w:val="202024"/>
                          </w:rPr>
                          <w:t>and</w:t>
                        </w:r>
                        <w:r>
                          <w:rPr>
                            <w:color w:val="202024"/>
                            <w:spacing w:val="9"/>
                          </w:rPr>
                          <w:t xml:space="preserve"> </w:t>
                        </w:r>
                        <w:r>
                          <w:rPr>
                            <w:color w:val="202024"/>
                          </w:rPr>
                          <w:t>consistent</w:t>
                        </w:r>
                        <w:r>
                          <w:rPr>
                            <w:color w:val="202024"/>
                            <w:spacing w:val="9"/>
                          </w:rPr>
                          <w:t xml:space="preserve"> </w:t>
                        </w:r>
                        <w:r>
                          <w:rPr>
                            <w:color w:val="202024"/>
                          </w:rPr>
                          <w:t>application</w:t>
                        </w:r>
                        <w:r>
                          <w:rPr>
                            <w:color w:val="202024"/>
                            <w:spacing w:val="9"/>
                          </w:rPr>
                          <w:t xml:space="preserve"> </w:t>
                        </w:r>
                        <w:r>
                          <w:rPr>
                            <w:color w:val="202024"/>
                          </w:rPr>
                          <w:t>of</w:t>
                        </w:r>
                        <w:r>
                          <w:rPr>
                            <w:color w:val="202024"/>
                            <w:spacing w:val="9"/>
                          </w:rPr>
                          <w:t xml:space="preserve"> </w:t>
                        </w:r>
                        <w:r>
                          <w:rPr>
                            <w:color w:val="202024"/>
                          </w:rPr>
                          <w:t>tax</w:t>
                        </w:r>
                        <w:r>
                          <w:rPr>
                            <w:color w:val="202024"/>
                            <w:spacing w:val="8"/>
                          </w:rPr>
                          <w:t xml:space="preserve"> </w:t>
                        </w:r>
                        <w:r>
                          <w:rPr>
                            <w:color w:val="202024"/>
                          </w:rPr>
                          <w:t>legislation</w:t>
                        </w:r>
                        <w:r>
                          <w:rPr>
                            <w:color w:val="202024"/>
                            <w:spacing w:val="-56"/>
                          </w:rPr>
                          <w:t xml:space="preserve"> </w:t>
                        </w:r>
                        <w:r>
                          <w:rPr>
                            <w:color w:val="202024"/>
                          </w:rPr>
                          <w:t>by</w:t>
                        </w:r>
                        <w:r>
                          <w:rPr>
                            <w:color w:val="202024"/>
                            <w:spacing w:val="4"/>
                          </w:rPr>
                          <w:t xml:space="preserve"> </w:t>
                        </w:r>
                        <w:r>
                          <w:rPr>
                            <w:color w:val="202024"/>
                          </w:rPr>
                          <w:t>both</w:t>
                        </w:r>
                        <w:r>
                          <w:rPr>
                            <w:color w:val="202024"/>
                            <w:spacing w:val="5"/>
                          </w:rPr>
                          <w:t xml:space="preserve"> </w:t>
                        </w:r>
                        <w:r>
                          <w:rPr>
                            <w:color w:val="202024"/>
                          </w:rPr>
                          <w:t>the</w:t>
                        </w:r>
                        <w:r>
                          <w:rPr>
                            <w:color w:val="202024"/>
                            <w:spacing w:val="5"/>
                          </w:rPr>
                          <w:t xml:space="preserve"> </w:t>
                        </w:r>
                        <w:r>
                          <w:rPr>
                            <w:color w:val="202024"/>
                          </w:rPr>
                          <w:t>tax</w:t>
                        </w:r>
                        <w:r>
                          <w:rPr>
                            <w:color w:val="202024"/>
                            <w:spacing w:val="5"/>
                          </w:rPr>
                          <w:t xml:space="preserve"> </w:t>
                        </w:r>
                        <w:r>
                          <w:rPr>
                            <w:color w:val="202024"/>
                          </w:rPr>
                          <w:t>authority</w:t>
                        </w:r>
                        <w:r>
                          <w:rPr>
                            <w:color w:val="202024"/>
                            <w:spacing w:val="5"/>
                          </w:rPr>
                          <w:t xml:space="preserve"> </w:t>
                        </w:r>
                        <w:r>
                          <w:rPr>
                            <w:color w:val="202024"/>
                          </w:rPr>
                          <w:t>and</w:t>
                        </w:r>
                        <w:r>
                          <w:rPr>
                            <w:color w:val="202024"/>
                            <w:spacing w:val="5"/>
                          </w:rPr>
                          <w:t xml:space="preserve"> </w:t>
                        </w:r>
                        <w:r>
                          <w:rPr>
                            <w:color w:val="202024"/>
                          </w:rPr>
                          <w:t>tax</w:t>
                        </w:r>
                        <w:r>
                          <w:rPr>
                            <w:color w:val="202024"/>
                            <w:spacing w:val="5"/>
                          </w:rPr>
                          <w:t xml:space="preserve"> </w:t>
                        </w:r>
                        <w:r>
                          <w:rPr>
                            <w:color w:val="202024"/>
                          </w:rPr>
                          <w:t>payers.</w:t>
                        </w:r>
                        <w:r>
                          <w:rPr>
                            <w:color w:val="202024"/>
                            <w:spacing w:val="5"/>
                          </w:rPr>
                          <w:t xml:space="preserve"> </w:t>
                        </w:r>
                        <w:r>
                          <w:rPr>
                            <w:color w:val="202024"/>
                          </w:rPr>
                          <w:t>In</w:t>
                        </w:r>
                        <w:r>
                          <w:rPr>
                            <w:color w:val="202024"/>
                            <w:spacing w:val="5"/>
                          </w:rPr>
                          <w:t xml:space="preserve"> </w:t>
                        </w:r>
                        <w:r>
                          <w:rPr>
                            <w:color w:val="202024"/>
                          </w:rPr>
                          <w:t>your</w:t>
                        </w:r>
                        <w:r>
                          <w:rPr>
                            <w:color w:val="202024"/>
                            <w:spacing w:val="5"/>
                          </w:rPr>
                          <w:t xml:space="preserve"> </w:t>
                        </w:r>
                        <w:r>
                          <w:rPr>
                            <w:color w:val="202024"/>
                          </w:rPr>
                          <w:t>opinion</w:t>
                        </w:r>
                        <w:r>
                          <w:rPr>
                            <w:color w:val="202024"/>
                            <w:spacing w:val="5"/>
                          </w:rPr>
                          <w:t xml:space="preserve"> </w:t>
                        </w:r>
                        <w:r>
                          <w:rPr>
                            <w:color w:val="202024"/>
                          </w:rPr>
                          <w:t>how</w:t>
                        </w:r>
                        <w:r>
                          <w:rPr>
                            <w:color w:val="202024"/>
                            <w:spacing w:val="5"/>
                          </w:rPr>
                          <w:t xml:space="preserve"> </w:t>
                        </w:r>
                        <w:r>
                          <w:rPr>
                            <w:color w:val="202024"/>
                          </w:rPr>
                          <w:t>important</w:t>
                        </w:r>
                        <w:r>
                          <w:rPr>
                            <w:color w:val="202024"/>
                            <w:spacing w:val="5"/>
                          </w:rPr>
                          <w:t xml:space="preserve"> </w:t>
                        </w:r>
                        <w:r>
                          <w:rPr>
                            <w:color w:val="202024"/>
                          </w:rPr>
                          <w:t>is</w:t>
                        </w:r>
                        <w:r>
                          <w:rPr>
                            <w:color w:val="202024"/>
                            <w:spacing w:val="-57"/>
                          </w:rPr>
                          <w:t xml:space="preserve"> </w:t>
                        </w:r>
                        <w:r>
                          <w:rPr>
                            <w:color w:val="202024"/>
                          </w:rPr>
                          <w:t>this</w:t>
                        </w:r>
                        <w:r>
                          <w:rPr>
                            <w:color w:val="202024"/>
                            <w:spacing w:val="5"/>
                          </w:rPr>
                          <w:t xml:space="preserve"> </w:t>
                        </w:r>
                        <w:r>
                          <w:rPr>
                            <w:color w:val="202024"/>
                          </w:rPr>
                          <w:t>for</w:t>
                        </w:r>
                        <w:r>
                          <w:rPr>
                            <w:color w:val="202024"/>
                            <w:spacing w:val="5"/>
                          </w:rPr>
                          <w:t xml:space="preserve"> </w:t>
                        </w:r>
                        <w:r>
                          <w:rPr>
                            <w:color w:val="202024"/>
                          </w:rPr>
                          <w:t>achieving</w:t>
                        </w:r>
                        <w:r>
                          <w:rPr>
                            <w:color w:val="202024"/>
                            <w:spacing w:val="5"/>
                          </w:rPr>
                          <w:t xml:space="preserve"> </w:t>
                        </w:r>
                        <w:r>
                          <w:rPr>
                            <w:color w:val="202024"/>
                          </w:rPr>
                          <w:t>clarity</w:t>
                        </w:r>
                        <w:r>
                          <w:rPr>
                            <w:color w:val="202024"/>
                            <w:spacing w:val="6"/>
                          </w:rPr>
                          <w:t xml:space="preserve"> </w:t>
                        </w:r>
                        <w:r>
                          <w:rPr>
                            <w:color w:val="202024"/>
                          </w:rPr>
                          <w:t>and</w:t>
                        </w:r>
                        <w:r>
                          <w:rPr>
                            <w:color w:val="202024"/>
                            <w:spacing w:val="5"/>
                          </w:rPr>
                          <w:t xml:space="preserve"> </w:t>
                        </w:r>
                        <w:r>
                          <w:rPr>
                            <w:color w:val="202024"/>
                          </w:rPr>
                          <w:t>certainty?</w:t>
                        </w:r>
                      </w:p>
                      <w:p w14:paraId="3D2B51E9">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v:textbox>
                </v:shape>
                <v:shape id="Text Box 227" o:spid="_x0000_s1026" o:spt="202" type="#_x0000_t202" style="position:absolute;left:9958;top:799;height:200;width:550;" filled="f" stroked="f" coordsize="21600,21600" o:gfxdata="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RXCn/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037272F2">
                        <w:pPr>
                          <w:spacing w:line="199" w:lineRule="exact"/>
                          <w:rPr>
                            <w:rFonts w:ascii="Lucida Sans Unicode"/>
                            <w:sz w:val="20"/>
                          </w:rPr>
                        </w:pPr>
                        <w:r>
                          <w:rPr>
                            <w:rFonts w:ascii="Lucida Sans Unicode"/>
                            <w:color w:val="1A73E7"/>
                            <w:w w:val="105"/>
                            <w:sz w:val="20"/>
                          </w:rPr>
                          <w:t>Copy</w:t>
                        </w:r>
                      </w:p>
                    </w:txbxContent>
                  </v:textbox>
                </v:shape>
                <v:shape id="Text Box 226" o:spid="_x0000_s1026" o:spt="202" type="#_x0000_t202" style="position:absolute;left:1689;top:2945;height:202;width:221;" filled="f" stroked="f" coordsize="21600,21600" o:gfxdata="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wbnu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038EF43E">
                        <w:pPr>
                          <w:spacing w:line="201" w:lineRule="exact"/>
                          <w:rPr>
                            <w:rFonts w:ascii="Arial MT"/>
                            <w:sz w:val="18"/>
                          </w:rPr>
                        </w:pPr>
                        <w:r>
                          <w:rPr>
                            <w:rFonts w:ascii="Arial MT"/>
                            <w:color w:val="444444"/>
                            <w:sz w:val="18"/>
                          </w:rPr>
                          <w:t>60</w:t>
                        </w:r>
                      </w:p>
                    </w:txbxContent>
                  </v:textbox>
                </v:shape>
                <v:shape id="Text Box 225" o:spid="_x0000_s1026" o:spt="202" type="#_x0000_t202" style="position:absolute;left:1689;top:3840;height:202;width:221;" filled="f" stroked="f" coordsize="21600,21600" o:gfxdata="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dI&#10;Cdb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798663E">
                        <w:pPr>
                          <w:spacing w:line="201" w:lineRule="exact"/>
                          <w:rPr>
                            <w:rFonts w:ascii="Arial MT"/>
                            <w:sz w:val="18"/>
                          </w:rPr>
                        </w:pPr>
                        <w:r>
                          <w:rPr>
                            <w:rFonts w:ascii="Arial MT"/>
                            <w:color w:val="444444"/>
                            <w:sz w:val="18"/>
                          </w:rPr>
                          <w:t>40</w:t>
                        </w:r>
                      </w:p>
                    </w:txbxContent>
                  </v:textbox>
                </v:shape>
                <v:shape id="Text Box 224" o:spid="_x0000_s1026" o:spt="202" type="#_x0000_t202" style="position:absolute;left:1689;top:4735;height:202;width:221;" filled="f" stroked="f" coordsize="21600,21600" o:gfxdata="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zAP6wwAAAOE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C718E1D">
                        <w:pPr>
                          <w:spacing w:line="201" w:lineRule="exact"/>
                          <w:rPr>
                            <w:rFonts w:ascii="Arial MT"/>
                            <w:sz w:val="18"/>
                          </w:rPr>
                        </w:pPr>
                        <w:r>
                          <w:rPr>
                            <w:rFonts w:ascii="Arial MT"/>
                            <w:color w:val="444444"/>
                            <w:sz w:val="18"/>
                          </w:rPr>
                          <w:t>20</w:t>
                        </w:r>
                      </w:p>
                    </w:txbxContent>
                  </v:textbox>
                </v:shape>
                <v:shape id="Text Box 223" o:spid="_x0000_s1026" o:spt="202" type="#_x0000_t202" style="position:absolute;left:1789;top:5630;height:202;width:121;" filled="f" stroked="f" coordsize="21600,21600" o:gfxdata="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j&#10;Bbn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F3CE913">
                        <w:pPr>
                          <w:spacing w:line="201" w:lineRule="exact"/>
                          <w:rPr>
                            <w:rFonts w:ascii="Arial MT"/>
                            <w:sz w:val="18"/>
                          </w:rPr>
                        </w:pPr>
                        <w:r>
                          <w:rPr>
                            <w:rFonts w:ascii="Arial MT"/>
                            <w:color w:val="444444"/>
                            <w:sz w:val="18"/>
                          </w:rPr>
                          <w:t>0</w:t>
                        </w:r>
                      </w:p>
                    </w:txbxContent>
                  </v:textbox>
                </v:shape>
                <v:shape id="Text Box 222" o:spid="_x0000_s1026" o:spt="202" type="#_x0000_t202" style="position:absolute;left:2838;top:5832;height:202;width:121;" filled="f" stroked="f" coordsize="21600,21600" o:gfxdata="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jN&#10;tW3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B79D62D">
                        <w:pPr>
                          <w:spacing w:line="201" w:lineRule="exact"/>
                          <w:rPr>
                            <w:rFonts w:ascii="Arial MT"/>
                            <w:sz w:val="18"/>
                          </w:rPr>
                        </w:pPr>
                        <w:r>
                          <w:rPr>
                            <w:rFonts w:ascii="Arial MT"/>
                            <w:color w:val="212121"/>
                            <w:sz w:val="18"/>
                          </w:rPr>
                          <w:t>1</w:t>
                        </w:r>
                      </w:p>
                    </w:txbxContent>
                  </v:textbox>
                </v:shape>
                <v:shape id="Text Box 221" o:spid="_x0000_s1026" o:spt="202" type="#_x0000_t202" style="position:absolute;left:4461;top:5832;height:202;width:121;" filled="f" stroked="f" coordsize="21600,21600" o:gfxdata="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Kv0&#10;s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9F8FAA5">
                        <w:pPr>
                          <w:spacing w:line="201" w:lineRule="exact"/>
                          <w:rPr>
                            <w:rFonts w:ascii="Arial MT"/>
                            <w:sz w:val="18"/>
                          </w:rPr>
                        </w:pPr>
                        <w:r>
                          <w:rPr>
                            <w:rFonts w:ascii="Arial MT"/>
                            <w:color w:val="212121"/>
                            <w:sz w:val="18"/>
                          </w:rPr>
                          <w:t>2</w:t>
                        </w:r>
                      </w:p>
                    </w:txbxContent>
                  </v:textbox>
                </v:shape>
                <v:shape id="Text Box 220" o:spid="_x0000_s1026" o:spt="202" type="#_x0000_t202" style="position:absolute;left:6084;top:5832;height:202;width:121;" filled="f" stroked="f" coordsize="21600,21600" o:gfxdata="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N6Xh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747E14AC">
                        <w:pPr>
                          <w:spacing w:line="201" w:lineRule="exact"/>
                          <w:rPr>
                            <w:rFonts w:ascii="Arial MT"/>
                            <w:sz w:val="18"/>
                          </w:rPr>
                        </w:pPr>
                        <w:r>
                          <w:rPr>
                            <w:rFonts w:ascii="Arial MT"/>
                            <w:color w:val="212121"/>
                            <w:sz w:val="18"/>
                          </w:rPr>
                          <w:t>3</w:t>
                        </w:r>
                      </w:p>
                    </w:txbxContent>
                  </v:textbox>
                </v:shape>
                <v:shape id="Text Box 219" o:spid="_x0000_s1026" o:spt="202" type="#_x0000_t202" style="position:absolute;left:7707;top:5832;height:202;width:121;" filled="f" stroked="f" coordsize="21600,21600" o:gfxdata="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ng2&#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A7D095">
                        <w:pPr>
                          <w:spacing w:line="201" w:lineRule="exact"/>
                          <w:rPr>
                            <w:rFonts w:ascii="Arial MT"/>
                            <w:sz w:val="18"/>
                          </w:rPr>
                        </w:pPr>
                        <w:r>
                          <w:rPr>
                            <w:rFonts w:ascii="Arial MT"/>
                            <w:color w:val="212121"/>
                            <w:sz w:val="18"/>
                          </w:rPr>
                          <w:t>4</w:t>
                        </w:r>
                      </w:p>
                    </w:txbxContent>
                  </v:textbox>
                </v:shape>
                <v:shape id="Text Box 218" o:spid="_x0000_s1026" o:spt="202" type="#_x0000_t202" style="position:absolute;left:9330;top:5832;height:202;width:121;" filled="f" stroked="f" coordsize="21600,21600" o:gfxdata="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vPCc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3EA0DFCC">
                        <w:pPr>
                          <w:spacing w:line="201" w:lineRule="exact"/>
                          <w:rPr>
                            <w:rFonts w:ascii="Arial MT"/>
                            <w:sz w:val="18"/>
                          </w:rPr>
                        </w:pPr>
                        <w:r>
                          <w:rPr>
                            <w:rFonts w:ascii="Arial MT"/>
                            <w:color w:val="212121"/>
                            <w:sz w:val="18"/>
                          </w:rPr>
                          <w:t>5</w:t>
                        </w:r>
                      </w:p>
                    </w:txbxContent>
                  </v:textbox>
                </v:shape>
                <v:shape id="Text Box 217" o:spid="_x0000_s1026" o:spt="202" type="#_x0000_t202" style="position:absolute;left:7260;top:5280;height:443;width:1005;" fillcolor="#663AB6" filled="t" stroked="f" coordsize="21600,21600" o:gfxdata="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hrN&#10;8MEAAADi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14:paraId="3A923711">
                        <w:pPr>
                          <w:spacing w:line="183" w:lineRule="exact"/>
                          <w:rPr>
                            <w:rFonts w:ascii="Arial MT"/>
                            <w:sz w:val="18"/>
                          </w:rPr>
                        </w:pPr>
                        <w:r>
                          <w:rPr>
                            <w:rFonts w:ascii="Arial MT"/>
                            <w:color w:val="FFFFFF"/>
                            <w:sz w:val="18"/>
                          </w:rPr>
                          <w:t>11</w:t>
                        </w:r>
                        <w:r>
                          <w:rPr>
                            <w:rFonts w:ascii="Arial MT"/>
                            <w:color w:val="FFFFFF"/>
                            <w:spacing w:val="-7"/>
                            <w:sz w:val="18"/>
                          </w:rPr>
                          <w:t xml:space="preserve"> </w:t>
                        </w:r>
                        <w:r>
                          <w:rPr>
                            <w:rFonts w:ascii="Arial MT"/>
                            <w:color w:val="FFFFFF"/>
                            <w:sz w:val="18"/>
                          </w:rPr>
                          <w:t>(14.7%)</w:t>
                        </w:r>
                      </w:p>
                    </w:txbxContent>
                  </v:textbox>
                </v:shape>
                <v:shape id="Text Box 216" o:spid="_x0000_s1026" o:spt="202" type="#_x0000_t202" style="position:absolute;left:6150;top:5288;height:270;width:1110;" filled="f" stroked="f" coordsize="21600,21600" o:gfxdata="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cu&#10;Xh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0265427">
                        <w:pPr>
                          <w:spacing w:line="101" w:lineRule="exact"/>
                          <w:rPr>
                            <w:rFonts w:ascii="Arial MT"/>
                            <w:sz w:val="18"/>
                          </w:rPr>
                        </w:pPr>
                        <w:r>
                          <w:rPr>
                            <w:rFonts w:ascii="Arial MT"/>
                            <w:color w:val="202024"/>
                            <w:sz w:val="18"/>
                          </w:rPr>
                          <w:t>%)</w:t>
                        </w:r>
                      </w:p>
                    </w:txbxContent>
                  </v:textbox>
                </v:shape>
                <v:shape id="Text Box 215" o:spid="_x0000_s1026" o:spt="202" type="#_x0000_t202" style="position:absolute;left:4234;top:5352;height:202;width:551;" filled="f" stroked="f" coordsize="21600,21600" o:gfxdata="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ref1+xgAAAOMAAAAPAAAAAAAAAAEAIAAAACIAAABkcnMvZG93bnJldi54bWxQSwECFAAUAAAA&#10;CACHTuJAMy8FnjsAAAA5AAAAEAAAAAAAAAABACAAAAAVAQAAZHJzL3NoYXBleG1sLnhtbFBLBQYA&#10;AAAABgAGAFsBAAC/AwAAAAA=&#10;">
                  <v:fill on="f" focussize="0,0"/>
                  <v:stroke on="f"/>
                  <v:imagedata o:title=""/>
                  <o:lock v:ext="edit" aspectratio="f"/>
                  <v:textbox inset="0mm,0mm,0mm,0mm">
                    <w:txbxContent>
                      <w:p w14:paraId="7D401DD1">
                        <w:pPr>
                          <w:spacing w:line="201" w:lineRule="exact"/>
                          <w:rPr>
                            <w:rFonts w:ascii="Arial MT"/>
                            <w:sz w:val="18"/>
                          </w:rPr>
                        </w:pPr>
                        <w:r>
                          <w:rPr>
                            <w:rFonts w:ascii="Arial MT"/>
                            <w:sz w:val="18"/>
                          </w:rPr>
                          <w:t>0 (0%)</w:t>
                        </w:r>
                      </w:p>
                    </w:txbxContent>
                  </v:textbox>
                </v:shape>
                <v:shape id="Text Box 214" o:spid="_x0000_s1026" o:spt="202" type="#_x0000_t202" style="position:absolute;left:2614;top:5352;height:202;width:551;" filled="f" stroked="f" coordsize="21600,21600" o:gfxdata="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T5&#10;g7H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F11678F">
                        <w:pPr>
                          <w:spacing w:line="201" w:lineRule="exact"/>
                          <w:rPr>
                            <w:rFonts w:ascii="Arial MT"/>
                            <w:sz w:val="18"/>
                          </w:rPr>
                        </w:pPr>
                        <w:r>
                          <w:rPr>
                            <w:rFonts w:ascii="Arial MT"/>
                            <w:sz w:val="18"/>
                          </w:rPr>
                          <w:t xml:space="preserve">0 </w:t>
                        </w:r>
                        <w:r>
                          <w:rPr>
                            <w:rFonts w:ascii="Arial MT"/>
                            <w:color w:val="232327"/>
                            <w:sz w:val="18"/>
                          </w:rPr>
                          <w:t>(0%)</w:t>
                        </w:r>
                      </w:p>
                    </w:txbxContent>
                  </v:textbox>
                </v:shape>
                <v:shape id="Text Box 213" o:spid="_x0000_s1026" o:spt="202" type="#_x0000_t202" style="position:absolute;left:5794;top:5187;height:202;width:481;" filled="f" stroked="f" coordsize="21600,21600" o:gfxdata="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B2&#10;6nj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3E660AA">
                        <w:pPr>
                          <w:spacing w:line="201" w:lineRule="exact"/>
                          <w:rPr>
                            <w:rFonts w:ascii="Arial MT"/>
                            <w:sz w:val="18"/>
                          </w:rPr>
                        </w:pPr>
                        <w:r>
                          <w:rPr>
                            <w:rFonts w:ascii="Arial MT"/>
                            <w:color w:val="202024"/>
                            <w:sz w:val="18"/>
                          </w:rPr>
                          <w:t>4 (5.3</w:t>
                        </w:r>
                      </w:p>
                    </w:txbxContent>
                  </v:textbox>
                </v:shape>
                <v:shape id="Text Box 212" o:spid="_x0000_s1026" o:spt="202" type="#_x0000_t202" style="position:absolute;left:8880;top:3053;height:2670;width:1005;" fillcolor="#663AB6" filled="t" stroked="f" coordsize="21600,21600" o:gfxdata="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Wrha/&#10;AAAA4g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50F77A27">
                        <w:pPr>
                          <w:spacing w:before="14"/>
                          <w:rPr>
                            <w:rFonts w:ascii="Arial MT"/>
                            <w:sz w:val="18"/>
                          </w:rPr>
                        </w:pPr>
                        <w:r>
                          <w:rPr>
                            <w:rFonts w:ascii="Arial MT"/>
                            <w:color w:val="FFFFFF"/>
                            <w:sz w:val="18"/>
                          </w:rPr>
                          <w:t>60 (80%)</w:t>
                        </w:r>
                      </w:p>
                    </w:txbxContent>
                  </v:textbox>
                </v:shape>
              </v:group>
            </w:pict>
          </mc:Fallback>
        </mc:AlternateContent>
      </w:r>
    </w:p>
    <w:p w14:paraId="12814215">
      <w:pPr>
        <w:widowControl w:val="0"/>
        <w:autoSpaceDE w:val="0"/>
        <w:autoSpaceDN w:val="0"/>
        <w:rPr>
          <w:rFonts w:ascii="Roboto" w:hAnsi="Roboto" w:eastAsia="Roboto" w:cs="Roboto"/>
          <w:sz w:val="20"/>
          <w:szCs w:val="21"/>
        </w:rPr>
      </w:pPr>
    </w:p>
    <w:p w14:paraId="03D0E5D7">
      <w:pPr>
        <w:widowControl w:val="0"/>
        <w:autoSpaceDE w:val="0"/>
        <w:autoSpaceDN w:val="0"/>
        <w:spacing w:before="9"/>
        <w:rPr>
          <w:rFonts w:ascii="Roboto" w:hAnsi="Roboto" w:eastAsia="Roboto" w:cs="Roboto"/>
          <w:sz w:val="26"/>
          <w:szCs w:val="21"/>
        </w:rPr>
      </w:pPr>
    </w:p>
    <w:p w14:paraId="000E2427">
      <w:pPr>
        <w:widowControl w:val="0"/>
        <w:autoSpaceDE w:val="0"/>
        <w:autoSpaceDN w:val="0"/>
        <w:spacing w:before="95"/>
        <w:rPr>
          <w:rFonts w:ascii="Roboto" w:hAnsi="Roboto" w:eastAsia="Roboto" w:cs="Roboto"/>
          <w:szCs w:val="22"/>
        </w:rPr>
      </w:pPr>
      <w:r>
        <w:rPr>
          <w:rFonts w:ascii="Roboto" w:hAnsi="Roboto" w:eastAsia="Roboto" w:cs="Roboto"/>
          <w:color w:val="ABABAB"/>
          <w:spacing w:val="-1"/>
          <w:szCs w:val="22"/>
        </w:rPr>
        <w:t>The</w:t>
      </w:r>
      <w:r>
        <w:rPr>
          <w:rFonts w:ascii="Roboto" w:hAnsi="Roboto" w:eastAsia="Roboto" w:cs="Roboto"/>
          <w:color w:val="ABABAB"/>
          <w:spacing w:val="-14"/>
          <w:szCs w:val="22"/>
        </w:rPr>
        <w:t xml:space="preserve"> </w:t>
      </w:r>
      <w:r>
        <w:rPr>
          <w:rFonts w:ascii="Roboto" w:hAnsi="Roboto" w:eastAsia="Roboto" w:cs="Roboto"/>
          <w:color w:val="ABABAB"/>
          <w:spacing w:val="-1"/>
          <w:szCs w:val="22"/>
        </w:rPr>
        <w:t>Tax</w:t>
      </w:r>
      <w:r>
        <w:rPr>
          <w:rFonts w:ascii="Roboto" w:hAnsi="Roboto" w:eastAsia="Roboto" w:cs="Roboto"/>
          <w:color w:val="ABABAB"/>
          <w:spacing w:val="-11"/>
          <w:szCs w:val="22"/>
        </w:rPr>
        <w:t xml:space="preserve"> </w:t>
      </w:r>
      <w:r>
        <w:rPr>
          <w:rFonts w:ascii="Roboto" w:hAnsi="Roboto" w:eastAsia="Roboto" w:cs="Roboto"/>
          <w:color w:val="ABABAB"/>
          <w:spacing w:val="-1"/>
          <w:szCs w:val="22"/>
        </w:rPr>
        <w:t>Authority</w:t>
      </w:r>
      <w:r>
        <w:rPr>
          <w:rFonts w:ascii="Roboto" w:hAnsi="Roboto" w:eastAsia="Roboto" w:cs="Roboto"/>
          <w:color w:val="ABABAB"/>
          <w:spacing w:val="-10"/>
          <w:szCs w:val="22"/>
        </w:rPr>
        <w:t xml:space="preserve"> </w:t>
      </w:r>
      <w:r>
        <w:rPr>
          <w:rFonts w:ascii="Roboto" w:hAnsi="Roboto" w:eastAsia="Roboto" w:cs="Roboto"/>
          <w:color w:val="ABABAB"/>
          <w:spacing w:val="-1"/>
          <w:szCs w:val="22"/>
        </w:rPr>
        <w:t>and</w:t>
      </w:r>
      <w:r>
        <w:rPr>
          <w:rFonts w:ascii="Roboto" w:hAnsi="Roboto" w:eastAsia="Roboto" w:cs="Roboto"/>
          <w:color w:val="ABABAB"/>
          <w:spacing w:val="-11"/>
          <w:szCs w:val="22"/>
        </w:rPr>
        <w:t xml:space="preserve"> </w:t>
      </w:r>
      <w:r>
        <w:rPr>
          <w:rFonts w:ascii="Roboto" w:hAnsi="Roboto" w:eastAsia="Roboto" w:cs="Roboto"/>
          <w:color w:val="ABABAB"/>
          <w:spacing w:val="-1"/>
          <w:szCs w:val="22"/>
        </w:rPr>
        <w:t>the</w:t>
      </w:r>
      <w:r>
        <w:rPr>
          <w:rFonts w:ascii="Roboto" w:hAnsi="Roboto" w:eastAsia="Roboto" w:cs="Roboto"/>
          <w:color w:val="ABABAB"/>
          <w:spacing w:val="-14"/>
          <w:szCs w:val="22"/>
        </w:rPr>
        <w:t xml:space="preserve"> </w:t>
      </w:r>
      <w:r>
        <w:rPr>
          <w:rFonts w:ascii="Roboto" w:hAnsi="Roboto" w:eastAsia="Roboto" w:cs="Roboto"/>
          <w:color w:val="ABABAB"/>
          <w:spacing w:val="-1"/>
          <w:szCs w:val="22"/>
        </w:rPr>
        <w:t>Tax</w:t>
      </w:r>
      <w:r>
        <w:rPr>
          <w:rFonts w:ascii="Roboto" w:hAnsi="Roboto" w:eastAsia="Roboto" w:cs="Roboto"/>
          <w:color w:val="ABABAB"/>
          <w:spacing w:val="-10"/>
          <w:szCs w:val="22"/>
        </w:rPr>
        <w:t xml:space="preserve"> </w:t>
      </w:r>
      <w:r>
        <w:rPr>
          <w:rFonts w:ascii="Roboto" w:hAnsi="Roboto" w:eastAsia="Roboto" w:cs="Roboto"/>
          <w:color w:val="ABABAB"/>
          <w:spacing w:val="-1"/>
          <w:szCs w:val="22"/>
        </w:rPr>
        <w:t>Payer</w:t>
      </w:r>
      <w:r>
        <w:rPr>
          <w:rFonts w:ascii="Roboto" w:hAnsi="Roboto" w:eastAsia="Roboto" w:cs="Roboto"/>
          <w:color w:val="ABABAB"/>
          <w:spacing w:val="-11"/>
          <w:szCs w:val="22"/>
        </w:rPr>
        <w:t xml:space="preserve"> </w:t>
      </w:r>
      <w:r>
        <w:rPr>
          <w:rFonts w:ascii="Roboto" w:hAnsi="Roboto" w:eastAsia="Roboto" w:cs="Roboto"/>
          <w:color w:val="ABABAB"/>
          <w:spacing w:val="-1"/>
          <w:szCs w:val="22"/>
        </w:rPr>
        <w:t>understanding</w:t>
      </w:r>
      <w:r>
        <w:rPr>
          <w:rFonts w:ascii="Roboto" w:hAnsi="Roboto" w:eastAsia="Roboto" w:cs="Roboto"/>
          <w:color w:val="ABABAB"/>
          <w:spacing w:val="-10"/>
          <w:szCs w:val="22"/>
        </w:rPr>
        <w:t xml:space="preserve"> </w:t>
      </w:r>
      <w:r>
        <w:rPr>
          <w:rFonts w:ascii="Roboto" w:hAnsi="Roboto" w:eastAsia="Roboto" w:cs="Roboto"/>
          <w:color w:val="ABABAB"/>
          <w:spacing w:val="-1"/>
          <w:szCs w:val="22"/>
        </w:rPr>
        <w:t>of</w:t>
      </w:r>
      <w:r>
        <w:rPr>
          <w:rFonts w:ascii="Roboto" w:hAnsi="Roboto" w:eastAsia="Roboto" w:cs="Roboto"/>
          <w:color w:val="ABABAB"/>
          <w:spacing w:val="-14"/>
          <w:szCs w:val="22"/>
        </w:rPr>
        <w:t xml:space="preserve"> </w:t>
      </w:r>
      <w:r>
        <w:rPr>
          <w:rFonts w:ascii="Roboto" w:hAnsi="Roboto" w:eastAsia="Roboto" w:cs="Roboto"/>
          <w:color w:val="ABABAB"/>
          <w:szCs w:val="22"/>
        </w:rPr>
        <w:t>Tax</w:t>
      </w:r>
      <w:r>
        <w:rPr>
          <w:rFonts w:ascii="Roboto" w:hAnsi="Roboto" w:eastAsia="Roboto" w:cs="Roboto"/>
          <w:color w:val="ABABAB"/>
          <w:spacing w:val="-10"/>
          <w:szCs w:val="22"/>
        </w:rPr>
        <w:t xml:space="preserve"> </w:t>
      </w:r>
      <w:r>
        <w:rPr>
          <w:rFonts w:ascii="Roboto" w:hAnsi="Roboto" w:eastAsia="Roboto" w:cs="Roboto"/>
          <w:color w:val="ABABAB"/>
          <w:szCs w:val="22"/>
        </w:rPr>
        <w:t>legislation.</w:t>
      </w:r>
    </w:p>
    <w:p w14:paraId="398DA4BD">
      <w:pPr>
        <w:widowControl w:val="0"/>
        <w:autoSpaceDE w:val="0"/>
        <w:autoSpaceDN w:val="0"/>
        <w:rPr>
          <w:rFonts w:ascii="Roboto" w:hAnsi="Roboto" w:eastAsia="Roboto" w:cs="Roboto"/>
          <w:szCs w:val="22"/>
        </w:rPr>
        <w:sectPr>
          <w:headerReference r:id="rId18" w:type="default"/>
          <w:footerReference r:id="rId19" w:type="default"/>
          <w:pgSz w:w="11900" w:h="16840"/>
          <w:pgMar w:top="480" w:right="1280" w:bottom="1680" w:left="1040" w:header="269" w:footer="1490" w:gutter="0"/>
          <w:cols w:space="720" w:num="1"/>
        </w:sectPr>
      </w:pPr>
    </w:p>
    <w:p w14:paraId="09F5C5D3">
      <w:pPr>
        <w:widowControl w:val="0"/>
        <w:autoSpaceDE w:val="0"/>
        <w:autoSpaceDN w:val="0"/>
        <w:spacing w:before="10"/>
        <w:rPr>
          <w:rFonts w:ascii="Roboto" w:hAnsi="Roboto" w:eastAsia="Roboto" w:cs="Roboto"/>
          <w:sz w:val="11"/>
          <w:szCs w:val="21"/>
        </w:rPr>
      </w:pPr>
    </w:p>
    <w:p w14:paraId="34B2E4A1">
      <w:pPr>
        <w:widowControl w:val="0"/>
        <w:autoSpaceDE w:val="0"/>
        <w:autoSpaceDN w:val="0"/>
        <w:rPr>
          <w:rFonts w:ascii="Roboto" w:hAnsi="Roboto" w:eastAsia="Roboto" w:cs="Roboto"/>
          <w:sz w:val="11"/>
          <w:szCs w:val="22"/>
        </w:rPr>
        <w:sectPr>
          <w:pgSz w:w="11900" w:h="16840"/>
          <w:pgMar w:top="480" w:right="1280" w:bottom="1680" w:left="1040" w:header="269" w:footer="1490" w:gutter="0"/>
          <w:cols w:space="720" w:num="1"/>
        </w:sectPr>
      </w:pPr>
    </w:p>
    <w:p w14:paraId="4DF9B813">
      <w:pPr>
        <w:widowControl w:val="0"/>
        <w:numPr>
          <w:ilvl w:val="0"/>
          <w:numId w:val="46"/>
        </w:numPr>
        <w:tabs>
          <w:tab w:val="left" w:pos="527"/>
        </w:tabs>
        <w:autoSpaceDE w:val="0"/>
        <w:autoSpaceDN w:val="0"/>
        <w:spacing w:before="94" w:line="300" w:lineRule="auto"/>
        <w:ind w:right="38" w:firstLine="0"/>
        <w:rPr>
          <w:rFonts w:eastAsia="Roboto"/>
          <w:szCs w:val="22"/>
        </w:rPr>
      </w:pPr>
      <w:r>
        <mc:AlternateContent>
          <mc:Choice Requires="wpg">
            <w:drawing>
              <wp:anchor distT="0" distB="0" distL="114300" distR="114300" simplePos="0" relativeHeight="251706368" behindDoc="1" locked="0" layoutInCell="1" allowOverlap="1">
                <wp:simplePos x="0" y="0"/>
                <wp:positionH relativeFrom="page">
                  <wp:posOffset>733425</wp:posOffset>
                </wp:positionH>
                <wp:positionV relativeFrom="paragraph">
                  <wp:posOffset>-43180</wp:posOffset>
                </wp:positionV>
                <wp:extent cx="6096000" cy="7048500"/>
                <wp:effectExtent l="9525" t="8890" r="0" b="635"/>
                <wp:wrapNone/>
                <wp:docPr id="1884766236" name="Group 193"/>
                <wp:cNvGraphicFramePr/>
                <a:graphic xmlns:a="http://schemas.openxmlformats.org/drawingml/2006/main">
                  <a:graphicData uri="http://schemas.microsoft.com/office/word/2010/wordprocessingGroup">
                    <wpg:wgp>
                      <wpg:cNvGrpSpPr/>
                      <wpg:grpSpPr>
                        <a:xfrm>
                          <a:off x="0" y="0"/>
                          <a:ext cx="6096000" cy="7048500"/>
                          <a:chOff x="1155" y="-68"/>
                          <a:chExt cx="9600" cy="11100"/>
                        </a:xfrm>
                        <a:effectLst/>
                      </wpg:grpSpPr>
                      <wps:wsp>
                        <wps:cNvPr id="17577898" name="AutoShape 210"/>
                        <wps:cNvSpPr/>
                        <wps:spPr bwMode="auto">
                          <a:xfrm>
                            <a:off x="1162" y="-61"/>
                            <a:ext cx="9585" cy="11085"/>
                          </a:xfrm>
                          <a:custGeom>
                            <a:avLst/>
                            <a:gdLst>
                              <a:gd name="T0" fmla="*/ 1 w 9585"/>
                              <a:gd name="T1" fmla="*/ 37 h 11085"/>
                              <a:gd name="T2" fmla="*/ 9 w 9585"/>
                              <a:gd name="T3" fmla="*/ 9 h 11085"/>
                              <a:gd name="T4" fmla="*/ 24 w 9585"/>
                              <a:gd name="T5" fmla="*/ -17 h 11085"/>
                              <a:gd name="T6" fmla="*/ 44 w 9585"/>
                              <a:gd name="T7" fmla="*/ -37 h 11085"/>
                              <a:gd name="T8" fmla="*/ 70 w 9585"/>
                              <a:gd name="T9" fmla="*/ -52 h 11085"/>
                              <a:gd name="T10" fmla="*/ 98 w 9585"/>
                              <a:gd name="T11" fmla="*/ -60 h 11085"/>
                              <a:gd name="T12" fmla="*/ 9480 w 9585"/>
                              <a:gd name="T13" fmla="*/ -60 h 11085"/>
                              <a:gd name="T14" fmla="*/ 9509 w 9585"/>
                              <a:gd name="T15" fmla="*/ -55 h 11085"/>
                              <a:gd name="T16" fmla="*/ 9535 w 9585"/>
                              <a:gd name="T17" fmla="*/ -42 h 11085"/>
                              <a:gd name="T18" fmla="*/ 9558 w 9585"/>
                              <a:gd name="T19" fmla="*/ -22 h 11085"/>
                              <a:gd name="T20" fmla="*/ 9574 w 9585"/>
                              <a:gd name="T21" fmla="*/ 2 h 11085"/>
                              <a:gd name="T22" fmla="*/ 9583 w 9585"/>
                              <a:gd name="T23" fmla="*/ 30 h 11085"/>
                              <a:gd name="T24" fmla="*/ 9585 w 9585"/>
                              <a:gd name="T25" fmla="*/ 5002 h 11085"/>
                              <a:gd name="T26" fmla="*/ 9582 w 9585"/>
                              <a:gd name="T27" fmla="*/ 5031 h 11085"/>
                              <a:gd name="T28" fmla="*/ 9571 w 9585"/>
                              <a:gd name="T29" fmla="*/ 5058 h 11085"/>
                              <a:gd name="T30" fmla="*/ 9553 w 9585"/>
                              <a:gd name="T31" fmla="*/ 5082 h 11085"/>
                              <a:gd name="T32" fmla="*/ 9529 w 9585"/>
                              <a:gd name="T33" fmla="*/ 5100 h 11085"/>
                              <a:gd name="T34" fmla="*/ 9502 w 9585"/>
                              <a:gd name="T35" fmla="*/ 5111 h 11085"/>
                              <a:gd name="T36" fmla="*/ 9473 w 9585"/>
                              <a:gd name="T37" fmla="*/ 5115 h 11085"/>
                              <a:gd name="T38" fmla="*/ 91 w 9585"/>
                              <a:gd name="T39" fmla="*/ 5112 h 11085"/>
                              <a:gd name="T40" fmla="*/ 63 w 9585"/>
                              <a:gd name="T41" fmla="*/ 5103 h 11085"/>
                              <a:gd name="T42" fmla="*/ 39 w 9585"/>
                              <a:gd name="T43" fmla="*/ 5087 h 11085"/>
                              <a:gd name="T44" fmla="*/ 19 w 9585"/>
                              <a:gd name="T45" fmla="*/ 5065 h 11085"/>
                              <a:gd name="T46" fmla="*/ 6 w 9585"/>
                              <a:gd name="T47" fmla="*/ 5038 h 11085"/>
                              <a:gd name="T48" fmla="*/ 0 w 9585"/>
                              <a:gd name="T49" fmla="*/ 5009 h 11085"/>
                              <a:gd name="T50" fmla="*/ 0 w 9585"/>
                              <a:gd name="T51" fmla="*/ 5235 h 11085"/>
                              <a:gd name="T52" fmla="*/ 6 w 9585"/>
                              <a:gd name="T53" fmla="*/ 5206 h 11085"/>
                              <a:gd name="T54" fmla="*/ 19 w 9585"/>
                              <a:gd name="T55" fmla="*/ 5180 h 11085"/>
                              <a:gd name="T56" fmla="*/ 39 w 9585"/>
                              <a:gd name="T57" fmla="*/ 5157 h 11085"/>
                              <a:gd name="T58" fmla="*/ 63 w 9585"/>
                              <a:gd name="T59" fmla="*/ 5141 h 11085"/>
                              <a:gd name="T60" fmla="*/ 91 w 9585"/>
                              <a:gd name="T61" fmla="*/ 5132 h 11085"/>
                              <a:gd name="T62" fmla="*/ 9473 w 9585"/>
                              <a:gd name="T63" fmla="*/ 5130 h 11085"/>
                              <a:gd name="T64" fmla="*/ 9502 w 9585"/>
                              <a:gd name="T65" fmla="*/ 5133 h 11085"/>
                              <a:gd name="T66" fmla="*/ 9529 w 9585"/>
                              <a:gd name="T67" fmla="*/ 5144 h 11085"/>
                              <a:gd name="T68" fmla="*/ 9553 w 9585"/>
                              <a:gd name="T69" fmla="*/ 5162 h 11085"/>
                              <a:gd name="T70" fmla="*/ 9571 w 9585"/>
                              <a:gd name="T71" fmla="*/ 5186 h 11085"/>
                              <a:gd name="T72" fmla="*/ 9582 w 9585"/>
                              <a:gd name="T73" fmla="*/ 5213 h 11085"/>
                              <a:gd name="T74" fmla="*/ 9585 w 9585"/>
                              <a:gd name="T75" fmla="*/ 5242 h 11085"/>
                              <a:gd name="T76" fmla="*/ 9583 w 9585"/>
                              <a:gd name="T77" fmla="*/ 10934 h 11085"/>
                              <a:gd name="T78" fmla="*/ 9574 w 9585"/>
                              <a:gd name="T79" fmla="*/ 10962 h 11085"/>
                              <a:gd name="T80" fmla="*/ 9558 w 9585"/>
                              <a:gd name="T81" fmla="*/ 10986 h 11085"/>
                              <a:gd name="T82" fmla="*/ 9535 w 9585"/>
                              <a:gd name="T83" fmla="*/ 11006 h 11085"/>
                              <a:gd name="T84" fmla="*/ 9509 w 9585"/>
                              <a:gd name="T85" fmla="*/ 11019 h 11085"/>
                              <a:gd name="T86" fmla="*/ 9480 w 9585"/>
                              <a:gd name="T87" fmla="*/ 11025 h 11085"/>
                              <a:gd name="T88" fmla="*/ 98 w 9585"/>
                              <a:gd name="T89" fmla="*/ 11024 h 11085"/>
                              <a:gd name="T90" fmla="*/ 70 w 9585"/>
                              <a:gd name="T91" fmla="*/ 11016 h 11085"/>
                              <a:gd name="T92" fmla="*/ 44 w 9585"/>
                              <a:gd name="T93" fmla="*/ 11001 h 11085"/>
                              <a:gd name="T94" fmla="*/ 24 w 9585"/>
                              <a:gd name="T95" fmla="*/ 10981 h 11085"/>
                              <a:gd name="T96" fmla="*/ 9 w 9585"/>
                              <a:gd name="T97" fmla="*/ 10955 h 11085"/>
                              <a:gd name="T98" fmla="*/ 1 w 9585"/>
                              <a:gd name="T99" fmla="*/ 10927 h 1108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585" h="11085">
                                <a:moveTo>
                                  <a:pt x="0" y="5062"/>
                                </a:moveTo>
                                <a:lnTo>
                                  <a:pt x="0" y="112"/>
                                </a:lnTo>
                                <a:lnTo>
                                  <a:pt x="0" y="105"/>
                                </a:lnTo>
                                <a:lnTo>
                                  <a:pt x="1" y="97"/>
                                </a:lnTo>
                                <a:lnTo>
                                  <a:pt x="3" y="90"/>
                                </a:lnTo>
                                <a:lnTo>
                                  <a:pt x="4" y="83"/>
                                </a:lnTo>
                                <a:lnTo>
                                  <a:pt x="6" y="76"/>
                                </a:lnTo>
                                <a:lnTo>
                                  <a:pt x="9" y="69"/>
                                </a:lnTo>
                                <a:lnTo>
                                  <a:pt x="12" y="62"/>
                                </a:lnTo>
                                <a:lnTo>
                                  <a:pt x="15" y="56"/>
                                </a:lnTo>
                                <a:lnTo>
                                  <a:pt x="19" y="50"/>
                                </a:lnTo>
                                <a:lnTo>
                                  <a:pt x="24" y="43"/>
                                </a:lnTo>
                                <a:lnTo>
                                  <a:pt x="28" y="38"/>
                                </a:lnTo>
                                <a:lnTo>
                                  <a:pt x="33" y="32"/>
                                </a:lnTo>
                                <a:lnTo>
                                  <a:pt x="39" y="27"/>
                                </a:lnTo>
                                <a:lnTo>
                                  <a:pt x="44" y="23"/>
                                </a:lnTo>
                                <a:lnTo>
                                  <a:pt x="50" y="18"/>
                                </a:lnTo>
                                <a:lnTo>
                                  <a:pt x="57" y="14"/>
                                </a:lnTo>
                                <a:lnTo>
                                  <a:pt x="63" y="11"/>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8"/>
                                </a:lnTo>
                                <a:lnTo>
                                  <a:pt x="9542" y="23"/>
                                </a:lnTo>
                                <a:lnTo>
                                  <a:pt x="9547" y="27"/>
                                </a:lnTo>
                                <a:lnTo>
                                  <a:pt x="9553" y="32"/>
                                </a:lnTo>
                                <a:lnTo>
                                  <a:pt x="9558" y="38"/>
                                </a:lnTo>
                                <a:lnTo>
                                  <a:pt x="9562" y="43"/>
                                </a:lnTo>
                                <a:lnTo>
                                  <a:pt x="9567" y="50"/>
                                </a:lnTo>
                                <a:lnTo>
                                  <a:pt x="9571" y="56"/>
                                </a:lnTo>
                                <a:lnTo>
                                  <a:pt x="9574" y="62"/>
                                </a:lnTo>
                                <a:lnTo>
                                  <a:pt x="9577" y="69"/>
                                </a:lnTo>
                                <a:lnTo>
                                  <a:pt x="9580" y="76"/>
                                </a:lnTo>
                                <a:lnTo>
                                  <a:pt x="9582" y="83"/>
                                </a:lnTo>
                                <a:lnTo>
                                  <a:pt x="9583" y="90"/>
                                </a:lnTo>
                                <a:lnTo>
                                  <a:pt x="9585" y="97"/>
                                </a:lnTo>
                                <a:lnTo>
                                  <a:pt x="9585" y="105"/>
                                </a:lnTo>
                                <a:lnTo>
                                  <a:pt x="9585" y="112"/>
                                </a:lnTo>
                                <a:lnTo>
                                  <a:pt x="9585" y="5062"/>
                                </a:lnTo>
                                <a:lnTo>
                                  <a:pt x="9585" y="5069"/>
                                </a:lnTo>
                                <a:lnTo>
                                  <a:pt x="9585" y="5077"/>
                                </a:lnTo>
                                <a:lnTo>
                                  <a:pt x="9583" y="5084"/>
                                </a:lnTo>
                                <a:lnTo>
                                  <a:pt x="9582" y="5091"/>
                                </a:lnTo>
                                <a:lnTo>
                                  <a:pt x="9580" y="5098"/>
                                </a:lnTo>
                                <a:lnTo>
                                  <a:pt x="9577" y="5105"/>
                                </a:lnTo>
                                <a:lnTo>
                                  <a:pt x="9574" y="5112"/>
                                </a:lnTo>
                                <a:lnTo>
                                  <a:pt x="9571" y="5118"/>
                                </a:lnTo>
                                <a:lnTo>
                                  <a:pt x="9567" y="5125"/>
                                </a:lnTo>
                                <a:lnTo>
                                  <a:pt x="9562" y="5131"/>
                                </a:lnTo>
                                <a:lnTo>
                                  <a:pt x="9558" y="5136"/>
                                </a:lnTo>
                                <a:lnTo>
                                  <a:pt x="9553" y="5142"/>
                                </a:lnTo>
                                <a:lnTo>
                                  <a:pt x="9547" y="5147"/>
                                </a:lnTo>
                                <a:lnTo>
                                  <a:pt x="9542" y="5151"/>
                                </a:lnTo>
                                <a:lnTo>
                                  <a:pt x="9535" y="5156"/>
                                </a:lnTo>
                                <a:lnTo>
                                  <a:pt x="9529" y="5160"/>
                                </a:lnTo>
                                <a:lnTo>
                                  <a:pt x="9523" y="5163"/>
                                </a:lnTo>
                                <a:lnTo>
                                  <a:pt x="9516" y="5166"/>
                                </a:lnTo>
                                <a:lnTo>
                                  <a:pt x="9509" y="5169"/>
                                </a:lnTo>
                                <a:lnTo>
                                  <a:pt x="9502" y="5171"/>
                                </a:lnTo>
                                <a:lnTo>
                                  <a:pt x="9495" y="5172"/>
                                </a:lnTo>
                                <a:lnTo>
                                  <a:pt x="9488" y="5174"/>
                                </a:lnTo>
                                <a:lnTo>
                                  <a:pt x="9480" y="5175"/>
                                </a:lnTo>
                                <a:lnTo>
                                  <a:pt x="9473" y="5175"/>
                                </a:lnTo>
                                <a:lnTo>
                                  <a:pt x="113" y="5175"/>
                                </a:lnTo>
                                <a:lnTo>
                                  <a:pt x="106" y="5175"/>
                                </a:lnTo>
                                <a:lnTo>
                                  <a:pt x="98" y="5174"/>
                                </a:lnTo>
                                <a:lnTo>
                                  <a:pt x="91" y="5172"/>
                                </a:lnTo>
                                <a:lnTo>
                                  <a:pt x="84" y="5171"/>
                                </a:lnTo>
                                <a:lnTo>
                                  <a:pt x="77" y="5169"/>
                                </a:lnTo>
                                <a:lnTo>
                                  <a:pt x="70" y="5166"/>
                                </a:lnTo>
                                <a:lnTo>
                                  <a:pt x="63" y="5163"/>
                                </a:lnTo>
                                <a:lnTo>
                                  <a:pt x="57" y="5160"/>
                                </a:lnTo>
                                <a:lnTo>
                                  <a:pt x="50" y="5156"/>
                                </a:lnTo>
                                <a:lnTo>
                                  <a:pt x="44" y="5151"/>
                                </a:lnTo>
                                <a:lnTo>
                                  <a:pt x="39" y="5147"/>
                                </a:lnTo>
                                <a:lnTo>
                                  <a:pt x="33" y="5142"/>
                                </a:lnTo>
                                <a:lnTo>
                                  <a:pt x="28" y="5136"/>
                                </a:lnTo>
                                <a:lnTo>
                                  <a:pt x="24" y="5131"/>
                                </a:lnTo>
                                <a:lnTo>
                                  <a:pt x="19" y="5125"/>
                                </a:lnTo>
                                <a:lnTo>
                                  <a:pt x="15" y="5118"/>
                                </a:lnTo>
                                <a:lnTo>
                                  <a:pt x="12" y="5112"/>
                                </a:lnTo>
                                <a:lnTo>
                                  <a:pt x="9" y="5105"/>
                                </a:lnTo>
                                <a:lnTo>
                                  <a:pt x="6" y="5098"/>
                                </a:lnTo>
                                <a:lnTo>
                                  <a:pt x="4" y="5091"/>
                                </a:lnTo>
                                <a:lnTo>
                                  <a:pt x="3" y="5084"/>
                                </a:lnTo>
                                <a:lnTo>
                                  <a:pt x="1" y="5077"/>
                                </a:lnTo>
                                <a:lnTo>
                                  <a:pt x="0" y="5069"/>
                                </a:lnTo>
                                <a:lnTo>
                                  <a:pt x="0" y="5062"/>
                                </a:lnTo>
                                <a:close/>
                                <a:moveTo>
                                  <a:pt x="0" y="10972"/>
                                </a:moveTo>
                                <a:lnTo>
                                  <a:pt x="0" y="5302"/>
                                </a:lnTo>
                                <a:lnTo>
                                  <a:pt x="0" y="5295"/>
                                </a:lnTo>
                                <a:lnTo>
                                  <a:pt x="1" y="5287"/>
                                </a:lnTo>
                                <a:lnTo>
                                  <a:pt x="3" y="5280"/>
                                </a:lnTo>
                                <a:lnTo>
                                  <a:pt x="4" y="5273"/>
                                </a:lnTo>
                                <a:lnTo>
                                  <a:pt x="6" y="5266"/>
                                </a:lnTo>
                                <a:lnTo>
                                  <a:pt x="9" y="5259"/>
                                </a:lnTo>
                                <a:lnTo>
                                  <a:pt x="12" y="5252"/>
                                </a:lnTo>
                                <a:lnTo>
                                  <a:pt x="15" y="5246"/>
                                </a:lnTo>
                                <a:lnTo>
                                  <a:pt x="19" y="5240"/>
                                </a:lnTo>
                                <a:lnTo>
                                  <a:pt x="24" y="5233"/>
                                </a:lnTo>
                                <a:lnTo>
                                  <a:pt x="28" y="5228"/>
                                </a:lnTo>
                                <a:lnTo>
                                  <a:pt x="33" y="5222"/>
                                </a:lnTo>
                                <a:lnTo>
                                  <a:pt x="39" y="5217"/>
                                </a:lnTo>
                                <a:lnTo>
                                  <a:pt x="44" y="5213"/>
                                </a:lnTo>
                                <a:lnTo>
                                  <a:pt x="50" y="5208"/>
                                </a:lnTo>
                                <a:lnTo>
                                  <a:pt x="57" y="5204"/>
                                </a:lnTo>
                                <a:lnTo>
                                  <a:pt x="63" y="5201"/>
                                </a:lnTo>
                                <a:lnTo>
                                  <a:pt x="70" y="5198"/>
                                </a:lnTo>
                                <a:lnTo>
                                  <a:pt x="77" y="5195"/>
                                </a:lnTo>
                                <a:lnTo>
                                  <a:pt x="84" y="5193"/>
                                </a:lnTo>
                                <a:lnTo>
                                  <a:pt x="91" y="5192"/>
                                </a:lnTo>
                                <a:lnTo>
                                  <a:pt x="98" y="5190"/>
                                </a:lnTo>
                                <a:lnTo>
                                  <a:pt x="106" y="5190"/>
                                </a:lnTo>
                                <a:lnTo>
                                  <a:pt x="113" y="5190"/>
                                </a:lnTo>
                                <a:lnTo>
                                  <a:pt x="9473" y="5190"/>
                                </a:lnTo>
                                <a:lnTo>
                                  <a:pt x="9480" y="5190"/>
                                </a:lnTo>
                                <a:lnTo>
                                  <a:pt x="9488" y="5190"/>
                                </a:lnTo>
                                <a:lnTo>
                                  <a:pt x="9495" y="5192"/>
                                </a:lnTo>
                                <a:lnTo>
                                  <a:pt x="9502" y="5193"/>
                                </a:lnTo>
                                <a:lnTo>
                                  <a:pt x="9509" y="5195"/>
                                </a:lnTo>
                                <a:lnTo>
                                  <a:pt x="9516" y="5198"/>
                                </a:lnTo>
                                <a:lnTo>
                                  <a:pt x="9523" y="5201"/>
                                </a:lnTo>
                                <a:lnTo>
                                  <a:pt x="9529" y="5204"/>
                                </a:lnTo>
                                <a:lnTo>
                                  <a:pt x="9535" y="5208"/>
                                </a:lnTo>
                                <a:lnTo>
                                  <a:pt x="9542" y="5213"/>
                                </a:lnTo>
                                <a:lnTo>
                                  <a:pt x="9547" y="5217"/>
                                </a:lnTo>
                                <a:lnTo>
                                  <a:pt x="9553" y="5222"/>
                                </a:lnTo>
                                <a:lnTo>
                                  <a:pt x="9558" y="5228"/>
                                </a:lnTo>
                                <a:lnTo>
                                  <a:pt x="9562" y="5233"/>
                                </a:lnTo>
                                <a:lnTo>
                                  <a:pt x="9567" y="5240"/>
                                </a:lnTo>
                                <a:lnTo>
                                  <a:pt x="9571" y="5246"/>
                                </a:lnTo>
                                <a:lnTo>
                                  <a:pt x="9574" y="5252"/>
                                </a:lnTo>
                                <a:lnTo>
                                  <a:pt x="9577" y="5259"/>
                                </a:lnTo>
                                <a:lnTo>
                                  <a:pt x="9580" y="5266"/>
                                </a:lnTo>
                                <a:lnTo>
                                  <a:pt x="9582" y="5273"/>
                                </a:lnTo>
                                <a:lnTo>
                                  <a:pt x="9583" y="5280"/>
                                </a:lnTo>
                                <a:lnTo>
                                  <a:pt x="9585" y="5287"/>
                                </a:lnTo>
                                <a:lnTo>
                                  <a:pt x="9585" y="5295"/>
                                </a:lnTo>
                                <a:lnTo>
                                  <a:pt x="9585" y="5302"/>
                                </a:lnTo>
                                <a:lnTo>
                                  <a:pt x="9585" y="10972"/>
                                </a:lnTo>
                                <a:lnTo>
                                  <a:pt x="9585" y="10979"/>
                                </a:lnTo>
                                <a:lnTo>
                                  <a:pt x="9585" y="10987"/>
                                </a:lnTo>
                                <a:lnTo>
                                  <a:pt x="9583" y="10994"/>
                                </a:lnTo>
                                <a:lnTo>
                                  <a:pt x="9582" y="11001"/>
                                </a:lnTo>
                                <a:lnTo>
                                  <a:pt x="9580" y="11008"/>
                                </a:lnTo>
                                <a:lnTo>
                                  <a:pt x="9577" y="11015"/>
                                </a:lnTo>
                                <a:lnTo>
                                  <a:pt x="9574" y="11022"/>
                                </a:lnTo>
                                <a:lnTo>
                                  <a:pt x="9571" y="11028"/>
                                </a:lnTo>
                                <a:lnTo>
                                  <a:pt x="9567" y="11035"/>
                                </a:lnTo>
                                <a:lnTo>
                                  <a:pt x="9562" y="11041"/>
                                </a:lnTo>
                                <a:lnTo>
                                  <a:pt x="9558" y="11046"/>
                                </a:lnTo>
                                <a:lnTo>
                                  <a:pt x="9553" y="11052"/>
                                </a:lnTo>
                                <a:lnTo>
                                  <a:pt x="9547" y="11057"/>
                                </a:lnTo>
                                <a:lnTo>
                                  <a:pt x="9542" y="11061"/>
                                </a:lnTo>
                                <a:lnTo>
                                  <a:pt x="9535" y="11066"/>
                                </a:lnTo>
                                <a:lnTo>
                                  <a:pt x="9529" y="11070"/>
                                </a:lnTo>
                                <a:lnTo>
                                  <a:pt x="9523" y="11073"/>
                                </a:lnTo>
                                <a:lnTo>
                                  <a:pt x="9516" y="11076"/>
                                </a:lnTo>
                                <a:lnTo>
                                  <a:pt x="9509" y="11079"/>
                                </a:lnTo>
                                <a:lnTo>
                                  <a:pt x="9502" y="11081"/>
                                </a:lnTo>
                                <a:lnTo>
                                  <a:pt x="9495" y="11082"/>
                                </a:lnTo>
                                <a:lnTo>
                                  <a:pt x="9488" y="11084"/>
                                </a:lnTo>
                                <a:lnTo>
                                  <a:pt x="9480" y="11085"/>
                                </a:lnTo>
                                <a:lnTo>
                                  <a:pt x="9473" y="11085"/>
                                </a:lnTo>
                                <a:lnTo>
                                  <a:pt x="113" y="11085"/>
                                </a:lnTo>
                                <a:lnTo>
                                  <a:pt x="106" y="11085"/>
                                </a:lnTo>
                                <a:lnTo>
                                  <a:pt x="98" y="11084"/>
                                </a:lnTo>
                                <a:lnTo>
                                  <a:pt x="91" y="11082"/>
                                </a:lnTo>
                                <a:lnTo>
                                  <a:pt x="84" y="11081"/>
                                </a:lnTo>
                                <a:lnTo>
                                  <a:pt x="77" y="11079"/>
                                </a:lnTo>
                                <a:lnTo>
                                  <a:pt x="70" y="11076"/>
                                </a:lnTo>
                                <a:lnTo>
                                  <a:pt x="63" y="11073"/>
                                </a:lnTo>
                                <a:lnTo>
                                  <a:pt x="57" y="11070"/>
                                </a:lnTo>
                                <a:lnTo>
                                  <a:pt x="50" y="11066"/>
                                </a:lnTo>
                                <a:lnTo>
                                  <a:pt x="44" y="11061"/>
                                </a:lnTo>
                                <a:lnTo>
                                  <a:pt x="39" y="11057"/>
                                </a:lnTo>
                                <a:lnTo>
                                  <a:pt x="33" y="11052"/>
                                </a:lnTo>
                                <a:lnTo>
                                  <a:pt x="28" y="11046"/>
                                </a:lnTo>
                                <a:lnTo>
                                  <a:pt x="24" y="11041"/>
                                </a:lnTo>
                                <a:lnTo>
                                  <a:pt x="19" y="11035"/>
                                </a:lnTo>
                                <a:lnTo>
                                  <a:pt x="15" y="11028"/>
                                </a:lnTo>
                                <a:lnTo>
                                  <a:pt x="12" y="11022"/>
                                </a:lnTo>
                                <a:lnTo>
                                  <a:pt x="9" y="11015"/>
                                </a:lnTo>
                                <a:lnTo>
                                  <a:pt x="6" y="11008"/>
                                </a:lnTo>
                                <a:lnTo>
                                  <a:pt x="4" y="11001"/>
                                </a:lnTo>
                                <a:lnTo>
                                  <a:pt x="3" y="10994"/>
                                </a:lnTo>
                                <a:lnTo>
                                  <a:pt x="1" y="10987"/>
                                </a:lnTo>
                                <a:lnTo>
                                  <a:pt x="0" y="10979"/>
                                </a:lnTo>
                                <a:lnTo>
                                  <a:pt x="0" y="10972"/>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138740996" name="Picture 2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7"/>
                            <a:ext cx="255" cy="300"/>
                          </a:xfrm>
                          <a:prstGeom prst="rect">
                            <a:avLst/>
                          </a:prstGeom>
                          <a:noFill/>
                          <a:ln>
                            <a:noFill/>
                          </a:ln>
                          <a:effectLst/>
                        </pic:spPr>
                      </pic:pic>
                      <wps:wsp>
                        <wps:cNvPr id="1129067457" name="Rectangle 208"/>
                        <wps:cNvSpPr>
                          <a:spLocks noChangeArrowheads="1"/>
                        </wps:cNvSpPr>
                        <wps:spPr bwMode="auto">
                          <a:xfrm>
                            <a:off x="2070" y="165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656645268" name="AutoShape 207"/>
                        <wps:cNvSpPr/>
                        <wps:spPr bwMode="auto">
                          <a:xfrm>
                            <a:off x="2069" y="1657"/>
                            <a:ext cx="8130" cy="2700"/>
                          </a:xfrm>
                          <a:custGeom>
                            <a:avLst/>
                            <a:gdLst>
                              <a:gd name="T0" fmla="*/ 6810 w 8130"/>
                              <a:gd name="T1" fmla="*/ 3667 h 2700"/>
                              <a:gd name="T2" fmla="*/ 0 w 8130"/>
                              <a:gd name="T3" fmla="*/ 3667 h 2700"/>
                              <a:gd name="T4" fmla="*/ 0 w 8130"/>
                              <a:gd name="T5" fmla="*/ 3682 h 2700"/>
                              <a:gd name="T6" fmla="*/ 6810 w 8130"/>
                              <a:gd name="T7" fmla="*/ 3682 h 2700"/>
                              <a:gd name="T8" fmla="*/ 6810 w 8130"/>
                              <a:gd name="T9" fmla="*/ 3667 h 2700"/>
                              <a:gd name="T10" fmla="*/ 6810 w 8130"/>
                              <a:gd name="T11" fmla="*/ 3007 h 2700"/>
                              <a:gd name="T12" fmla="*/ 0 w 8130"/>
                              <a:gd name="T13" fmla="*/ 3007 h 2700"/>
                              <a:gd name="T14" fmla="*/ 0 w 8130"/>
                              <a:gd name="T15" fmla="*/ 3022 h 2700"/>
                              <a:gd name="T16" fmla="*/ 6810 w 8130"/>
                              <a:gd name="T17" fmla="*/ 3022 h 2700"/>
                              <a:gd name="T18" fmla="*/ 6810 w 8130"/>
                              <a:gd name="T19" fmla="*/ 3007 h 2700"/>
                              <a:gd name="T20" fmla="*/ 6810 w 8130"/>
                              <a:gd name="T21" fmla="*/ 2332 h 2700"/>
                              <a:gd name="T22" fmla="*/ 0 w 8130"/>
                              <a:gd name="T23" fmla="*/ 2332 h 2700"/>
                              <a:gd name="T24" fmla="*/ 0 w 8130"/>
                              <a:gd name="T25" fmla="*/ 2347 h 2700"/>
                              <a:gd name="T26" fmla="*/ 6810 w 8130"/>
                              <a:gd name="T27" fmla="*/ 2347 h 2700"/>
                              <a:gd name="T28" fmla="*/ 6810 w 8130"/>
                              <a:gd name="T29" fmla="*/ 2332 h 2700"/>
                              <a:gd name="T30" fmla="*/ 8130 w 8130"/>
                              <a:gd name="T31" fmla="*/ 4342 h 2700"/>
                              <a:gd name="T32" fmla="*/ 0 w 8130"/>
                              <a:gd name="T33" fmla="*/ 4342 h 2700"/>
                              <a:gd name="T34" fmla="*/ 0 w 8130"/>
                              <a:gd name="T35" fmla="*/ 4357 h 2700"/>
                              <a:gd name="T36" fmla="*/ 8130 w 8130"/>
                              <a:gd name="T37" fmla="*/ 4357 h 2700"/>
                              <a:gd name="T38" fmla="*/ 8130 w 8130"/>
                              <a:gd name="T39" fmla="*/ 4342 h 2700"/>
                              <a:gd name="T40" fmla="*/ 8130 w 8130"/>
                              <a:gd name="T41" fmla="*/ 3667 h 2700"/>
                              <a:gd name="T42" fmla="*/ 7815 w 8130"/>
                              <a:gd name="T43" fmla="*/ 3667 h 2700"/>
                              <a:gd name="T44" fmla="*/ 7815 w 8130"/>
                              <a:gd name="T45" fmla="*/ 3682 h 2700"/>
                              <a:gd name="T46" fmla="*/ 8130 w 8130"/>
                              <a:gd name="T47" fmla="*/ 3682 h 2700"/>
                              <a:gd name="T48" fmla="*/ 8130 w 8130"/>
                              <a:gd name="T49" fmla="*/ 3667 h 2700"/>
                              <a:gd name="T50" fmla="*/ 8130 w 8130"/>
                              <a:gd name="T51" fmla="*/ 3007 h 2700"/>
                              <a:gd name="T52" fmla="*/ 7815 w 8130"/>
                              <a:gd name="T53" fmla="*/ 3007 h 2700"/>
                              <a:gd name="T54" fmla="*/ 7815 w 8130"/>
                              <a:gd name="T55" fmla="*/ 3022 h 2700"/>
                              <a:gd name="T56" fmla="*/ 8130 w 8130"/>
                              <a:gd name="T57" fmla="*/ 3022 h 2700"/>
                              <a:gd name="T58" fmla="*/ 8130 w 8130"/>
                              <a:gd name="T59" fmla="*/ 3007 h 2700"/>
                              <a:gd name="T60" fmla="*/ 8130 w 8130"/>
                              <a:gd name="T61" fmla="*/ 2332 h 2700"/>
                              <a:gd name="T62" fmla="*/ 7815 w 8130"/>
                              <a:gd name="T63" fmla="*/ 2332 h 2700"/>
                              <a:gd name="T64" fmla="*/ 7815 w 8130"/>
                              <a:gd name="T65" fmla="*/ 2347 h 2700"/>
                              <a:gd name="T66" fmla="*/ 8130 w 8130"/>
                              <a:gd name="T67" fmla="*/ 2347 h 2700"/>
                              <a:gd name="T68" fmla="*/ 8130 w 8130"/>
                              <a:gd name="T69" fmla="*/ 2332 h 2700"/>
                              <a:gd name="T70" fmla="*/ 8130 w 8130"/>
                              <a:gd name="T71" fmla="*/ 1657 h 2700"/>
                              <a:gd name="T72" fmla="*/ 0 w 8130"/>
                              <a:gd name="T73" fmla="*/ 1657 h 2700"/>
                              <a:gd name="T74" fmla="*/ 0 w 8130"/>
                              <a:gd name="T75" fmla="*/ 1672 h 2700"/>
                              <a:gd name="T76" fmla="*/ 8130 w 8130"/>
                              <a:gd name="T77" fmla="*/ 1672 h 2700"/>
                              <a:gd name="T78" fmla="*/ 8130 w 8130"/>
                              <a:gd name="T79" fmla="*/ 1657 h 27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30" h="2700">
                                <a:moveTo>
                                  <a:pt x="6810" y="2010"/>
                                </a:moveTo>
                                <a:lnTo>
                                  <a:pt x="0" y="2010"/>
                                </a:lnTo>
                                <a:lnTo>
                                  <a:pt x="0" y="2025"/>
                                </a:lnTo>
                                <a:lnTo>
                                  <a:pt x="6810" y="2025"/>
                                </a:lnTo>
                                <a:lnTo>
                                  <a:pt x="6810" y="2010"/>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533022713" name="AutoShape 206"/>
                        <wps:cNvSpPr/>
                        <wps:spPr bwMode="auto">
                          <a:xfrm>
                            <a:off x="2069" y="1987"/>
                            <a:ext cx="8130" cy="2040"/>
                          </a:xfrm>
                          <a:custGeom>
                            <a:avLst/>
                            <a:gdLst>
                              <a:gd name="T0" fmla="*/ 6810 w 8130"/>
                              <a:gd name="T1" fmla="*/ 4012 h 2040"/>
                              <a:gd name="T2" fmla="*/ 0 w 8130"/>
                              <a:gd name="T3" fmla="*/ 4012 h 2040"/>
                              <a:gd name="T4" fmla="*/ 0 w 8130"/>
                              <a:gd name="T5" fmla="*/ 4027 h 2040"/>
                              <a:gd name="T6" fmla="*/ 6810 w 8130"/>
                              <a:gd name="T7" fmla="*/ 4027 h 2040"/>
                              <a:gd name="T8" fmla="*/ 6810 w 8130"/>
                              <a:gd name="T9" fmla="*/ 4012 h 2040"/>
                              <a:gd name="T10" fmla="*/ 6810 w 8130"/>
                              <a:gd name="T11" fmla="*/ 3337 h 2040"/>
                              <a:gd name="T12" fmla="*/ 0 w 8130"/>
                              <a:gd name="T13" fmla="*/ 3337 h 2040"/>
                              <a:gd name="T14" fmla="*/ 0 w 8130"/>
                              <a:gd name="T15" fmla="*/ 3352 h 2040"/>
                              <a:gd name="T16" fmla="*/ 6810 w 8130"/>
                              <a:gd name="T17" fmla="*/ 3352 h 2040"/>
                              <a:gd name="T18" fmla="*/ 6810 w 8130"/>
                              <a:gd name="T19" fmla="*/ 3337 h 2040"/>
                              <a:gd name="T20" fmla="*/ 6810 w 8130"/>
                              <a:gd name="T21" fmla="*/ 2662 h 2040"/>
                              <a:gd name="T22" fmla="*/ 0 w 8130"/>
                              <a:gd name="T23" fmla="*/ 2662 h 2040"/>
                              <a:gd name="T24" fmla="*/ 0 w 8130"/>
                              <a:gd name="T25" fmla="*/ 2677 h 2040"/>
                              <a:gd name="T26" fmla="*/ 6810 w 8130"/>
                              <a:gd name="T27" fmla="*/ 2677 h 2040"/>
                              <a:gd name="T28" fmla="*/ 6810 w 8130"/>
                              <a:gd name="T29" fmla="*/ 2662 h 2040"/>
                              <a:gd name="T30" fmla="*/ 8130 w 8130"/>
                              <a:gd name="T31" fmla="*/ 4012 h 2040"/>
                              <a:gd name="T32" fmla="*/ 7815 w 8130"/>
                              <a:gd name="T33" fmla="*/ 4012 h 2040"/>
                              <a:gd name="T34" fmla="*/ 7815 w 8130"/>
                              <a:gd name="T35" fmla="*/ 4027 h 2040"/>
                              <a:gd name="T36" fmla="*/ 8130 w 8130"/>
                              <a:gd name="T37" fmla="*/ 4027 h 2040"/>
                              <a:gd name="T38" fmla="*/ 8130 w 8130"/>
                              <a:gd name="T39" fmla="*/ 4012 h 2040"/>
                              <a:gd name="T40" fmla="*/ 8130 w 8130"/>
                              <a:gd name="T41" fmla="*/ 3337 h 2040"/>
                              <a:gd name="T42" fmla="*/ 7815 w 8130"/>
                              <a:gd name="T43" fmla="*/ 3337 h 2040"/>
                              <a:gd name="T44" fmla="*/ 7815 w 8130"/>
                              <a:gd name="T45" fmla="*/ 3352 h 2040"/>
                              <a:gd name="T46" fmla="*/ 8130 w 8130"/>
                              <a:gd name="T47" fmla="*/ 3352 h 2040"/>
                              <a:gd name="T48" fmla="*/ 8130 w 8130"/>
                              <a:gd name="T49" fmla="*/ 3337 h 2040"/>
                              <a:gd name="T50" fmla="*/ 8130 w 8130"/>
                              <a:gd name="T51" fmla="*/ 2662 h 2040"/>
                              <a:gd name="T52" fmla="*/ 7815 w 8130"/>
                              <a:gd name="T53" fmla="*/ 2662 h 2040"/>
                              <a:gd name="T54" fmla="*/ 7815 w 8130"/>
                              <a:gd name="T55" fmla="*/ 2677 h 2040"/>
                              <a:gd name="T56" fmla="*/ 8130 w 8130"/>
                              <a:gd name="T57" fmla="*/ 2677 h 2040"/>
                              <a:gd name="T58" fmla="*/ 8130 w 8130"/>
                              <a:gd name="T59" fmla="*/ 2662 h 2040"/>
                              <a:gd name="T60" fmla="*/ 8130 w 8130"/>
                              <a:gd name="T61" fmla="*/ 1987 h 2040"/>
                              <a:gd name="T62" fmla="*/ 0 w 8130"/>
                              <a:gd name="T63" fmla="*/ 1987 h 2040"/>
                              <a:gd name="T64" fmla="*/ 0 w 8130"/>
                              <a:gd name="T65" fmla="*/ 2002 h 2040"/>
                              <a:gd name="T66" fmla="*/ 8130 w 8130"/>
                              <a:gd name="T67" fmla="*/ 2002 h 2040"/>
                              <a:gd name="T68" fmla="*/ 8130 w 8130"/>
                              <a:gd name="T69" fmla="*/ 1987 h 204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130" h="2040">
                                <a:moveTo>
                                  <a:pt x="6810" y="2025"/>
                                </a:moveTo>
                                <a:lnTo>
                                  <a:pt x="0" y="2025"/>
                                </a:lnTo>
                                <a:lnTo>
                                  <a:pt x="0" y="2040"/>
                                </a:lnTo>
                                <a:lnTo>
                                  <a:pt x="6810" y="2040"/>
                                </a:lnTo>
                                <a:lnTo>
                                  <a:pt x="6810" y="2025"/>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700002893" name="AutoShape 205"/>
                        <wps:cNvSpPr/>
                        <wps:spPr bwMode="auto">
                          <a:xfrm>
                            <a:off x="2384" y="2047"/>
                            <a:ext cx="7500" cy="2303"/>
                          </a:xfrm>
                          <a:custGeom>
                            <a:avLst/>
                            <a:gdLst>
                              <a:gd name="T0" fmla="*/ 1005 w 7500"/>
                              <a:gd name="T1" fmla="*/ 4342 h 2303"/>
                              <a:gd name="T2" fmla="*/ 0 w 7500"/>
                              <a:gd name="T3" fmla="*/ 4342 h 2303"/>
                              <a:gd name="T4" fmla="*/ 0 w 7500"/>
                              <a:gd name="T5" fmla="*/ 4350 h 2303"/>
                              <a:gd name="T6" fmla="*/ 1005 w 7500"/>
                              <a:gd name="T7" fmla="*/ 4350 h 2303"/>
                              <a:gd name="T8" fmla="*/ 1005 w 7500"/>
                              <a:gd name="T9" fmla="*/ 4342 h 2303"/>
                              <a:gd name="T10" fmla="*/ 2625 w 7500"/>
                              <a:gd name="T11" fmla="*/ 4342 h 2303"/>
                              <a:gd name="T12" fmla="*/ 1620 w 7500"/>
                              <a:gd name="T13" fmla="*/ 4342 h 2303"/>
                              <a:gd name="T14" fmla="*/ 1620 w 7500"/>
                              <a:gd name="T15" fmla="*/ 4350 h 2303"/>
                              <a:gd name="T16" fmla="*/ 2625 w 7500"/>
                              <a:gd name="T17" fmla="*/ 4350 h 2303"/>
                              <a:gd name="T18" fmla="*/ 2625 w 7500"/>
                              <a:gd name="T19" fmla="*/ 4342 h 2303"/>
                              <a:gd name="T20" fmla="*/ 4245 w 7500"/>
                              <a:gd name="T21" fmla="*/ 4296 h 2303"/>
                              <a:gd name="T22" fmla="*/ 3255 w 7500"/>
                              <a:gd name="T23" fmla="*/ 4296 h 2303"/>
                              <a:gd name="T24" fmla="*/ 3255 w 7500"/>
                              <a:gd name="T25" fmla="*/ 4350 h 2303"/>
                              <a:gd name="T26" fmla="*/ 4245 w 7500"/>
                              <a:gd name="T27" fmla="*/ 4350 h 2303"/>
                              <a:gd name="T28" fmla="*/ 4245 w 7500"/>
                              <a:gd name="T29" fmla="*/ 4296 h 2303"/>
                              <a:gd name="T30" fmla="*/ 5880 w 7500"/>
                              <a:gd name="T31" fmla="*/ 4222 h 2303"/>
                              <a:gd name="T32" fmla="*/ 4875 w 7500"/>
                              <a:gd name="T33" fmla="*/ 4222 h 2303"/>
                              <a:gd name="T34" fmla="*/ 4875 w 7500"/>
                              <a:gd name="T35" fmla="*/ 4342 h 2303"/>
                              <a:gd name="T36" fmla="*/ 5880 w 7500"/>
                              <a:gd name="T37" fmla="*/ 4342 h 2303"/>
                              <a:gd name="T38" fmla="*/ 5880 w 7500"/>
                              <a:gd name="T39" fmla="*/ 4222 h 2303"/>
                              <a:gd name="T40" fmla="*/ 7500 w 7500"/>
                              <a:gd name="T41" fmla="*/ 2047 h 2303"/>
                              <a:gd name="T42" fmla="*/ 6495 w 7500"/>
                              <a:gd name="T43" fmla="*/ 2047 h 2303"/>
                              <a:gd name="T44" fmla="*/ 6495 w 7500"/>
                              <a:gd name="T45" fmla="*/ 4342 h 2303"/>
                              <a:gd name="T46" fmla="*/ 7500 w 7500"/>
                              <a:gd name="T47" fmla="*/ 4342 h 2303"/>
                              <a:gd name="T48" fmla="*/ 7500 w 7500"/>
                              <a:gd name="T49" fmla="*/ 2047 h 230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500" h="2303">
                                <a:moveTo>
                                  <a:pt x="1005" y="2295"/>
                                </a:moveTo>
                                <a:lnTo>
                                  <a:pt x="0" y="2295"/>
                                </a:lnTo>
                                <a:lnTo>
                                  <a:pt x="0" y="2303"/>
                                </a:lnTo>
                                <a:lnTo>
                                  <a:pt x="1005" y="2303"/>
                                </a:lnTo>
                                <a:lnTo>
                                  <a:pt x="1005" y="2295"/>
                                </a:lnTo>
                                <a:close/>
                                <a:moveTo>
                                  <a:pt x="2625" y="2295"/>
                                </a:moveTo>
                                <a:lnTo>
                                  <a:pt x="1620" y="2295"/>
                                </a:lnTo>
                                <a:lnTo>
                                  <a:pt x="1620" y="2303"/>
                                </a:lnTo>
                                <a:lnTo>
                                  <a:pt x="2625" y="2303"/>
                                </a:lnTo>
                                <a:lnTo>
                                  <a:pt x="2625" y="2295"/>
                                </a:lnTo>
                                <a:close/>
                                <a:moveTo>
                                  <a:pt x="4245" y="2249"/>
                                </a:moveTo>
                                <a:lnTo>
                                  <a:pt x="3255" y="2249"/>
                                </a:lnTo>
                                <a:lnTo>
                                  <a:pt x="3255" y="2303"/>
                                </a:lnTo>
                                <a:lnTo>
                                  <a:pt x="4245" y="2303"/>
                                </a:lnTo>
                                <a:lnTo>
                                  <a:pt x="4245" y="2249"/>
                                </a:lnTo>
                                <a:close/>
                                <a:moveTo>
                                  <a:pt x="5880" y="2175"/>
                                </a:moveTo>
                                <a:lnTo>
                                  <a:pt x="4875" y="2175"/>
                                </a:lnTo>
                                <a:lnTo>
                                  <a:pt x="4875" y="2295"/>
                                </a:lnTo>
                                <a:lnTo>
                                  <a:pt x="5880" y="2295"/>
                                </a:lnTo>
                                <a:lnTo>
                                  <a:pt x="5880" y="2175"/>
                                </a:lnTo>
                                <a:close/>
                                <a:moveTo>
                                  <a:pt x="7500" y="0"/>
                                </a:moveTo>
                                <a:lnTo>
                                  <a:pt x="6495" y="0"/>
                                </a:lnTo>
                                <a:lnTo>
                                  <a:pt x="6495" y="2295"/>
                                </a:lnTo>
                                <a:lnTo>
                                  <a:pt x="7500" y="2295"/>
                                </a:lnTo>
                                <a:lnTo>
                                  <a:pt x="7500" y="0"/>
                                </a:lnTo>
                                <a:close/>
                              </a:path>
                            </a:pathLst>
                          </a:custGeom>
                          <a:solidFill>
                            <a:srgbClr val="663AB6"/>
                          </a:solidFill>
                          <a:ln>
                            <a:noFill/>
                          </a:ln>
                          <a:effectLst/>
                        </wps:spPr>
                        <wps:bodyPr rot="0" vert="horz" wrap="square" lIns="91440" tIns="45720" rIns="91440" bIns="45720" anchor="t" anchorCtr="0" upright="1">
                          <a:noAutofit/>
                        </wps:bodyPr>
                      </wps:wsp>
                      <wps:wsp>
                        <wps:cNvPr id="283891826" name="Rectangle 204"/>
                        <wps:cNvSpPr>
                          <a:spLocks noChangeArrowheads="1"/>
                        </wps:cNvSpPr>
                        <wps:spPr bwMode="auto">
                          <a:xfrm>
                            <a:off x="2070" y="434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1157099790" name="AutoShape 203"/>
                        <wps:cNvSpPr/>
                        <wps:spPr bwMode="auto">
                          <a:xfrm>
                            <a:off x="2879" y="4042"/>
                            <a:ext cx="4890" cy="300"/>
                          </a:xfrm>
                          <a:custGeom>
                            <a:avLst/>
                            <a:gdLst>
                              <a:gd name="T0" fmla="*/ 15 w 4890"/>
                              <a:gd name="T1" fmla="*/ 4162 h 300"/>
                              <a:gd name="T2" fmla="*/ 0 w 4890"/>
                              <a:gd name="T3" fmla="*/ 4162 h 300"/>
                              <a:gd name="T4" fmla="*/ 0 w 4890"/>
                              <a:gd name="T5" fmla="*/ 4342 h 300"/>
                              <a:gd name="T6" fmla="*/ 15 w 4890"/>
                              <a:gd name="T7" fmla="*/ 4342 h 300"/>
                              <a:gd name="T8" fmla="*/ 15 w 4890"/>
                              <a:gd name="T9" fmla="*/ 4162 h 300"/>
                              <a:gd name="T10" fmla="*/ 1635 w 4890"/>
                              <a:gd name="T11" fmla="*/ 4162 h 300"/>
                              <a:gd name="T12" fmla="*/ 1620 w 4890"/>
                              <a:gd name="T13" fmla="*/ 4162 h 300"/>
                              <a:gd name="T14" fmla="*/ 1620 w 4890"/>
                              <a:gd name="T15" fmla="*/ 4342 h 300"/>
                              <a:gd name="T16" fmla="*/ 1635 w 4890"/>
                              <a:gd name="T17" fmla="*/ 4342 h 300"/>
                              <a:gd name="T18" fmla="*/ 1635 w 4890"/>
                              <a:gd name="T19" fmla="*/ 4162 h 300"/>
                              <a:gd name="T20" fmla="*/ 3270 w 4890"/>
                              <a:gd name="T21" fmla="*/ 4116 h 300"/>
                              <a:gd name="T22" fmla="*/ 3255 w 4890"/>
                              <a:gd name="T23" fmla="*/ 4116 h 300"/>
                              <a:gd name="T24" fmla="*/ 3255 w 4890"/>
                              <a:gd name="T25" fmla="*/ 4296 h 300"/>
                              <a:gd name="T26" fmla="*/ 3270 w 4890"/>
                              <a:gd name="T27" fmla="*/ 4296 h 300"/>
                              <a:gd name="T28" fmla="*/ 3270 w 4890"/>
                              <a:gd name="T29" fmla="*/ 4116 h 300"/>
                              <a:gd name="T30" fmla="*/ 4890 w 4890"/>
                              <a:gd name="T31" fmla="*/ 4042 h 300"/>
                              <a:gd name="T32" fmla="*/ 4875 w 4890"/>
                              <a:gd name="T33" fmla="*/ 4042 h 300"/>
                              <a:gd name="T34" fmla="*/ 4875 w 4890"/>
                              <a:gd name="T35" fmla="*/ 4222 h 300"/>
                              <a:gd name="T36" fmla="*/ 4890 w 4890"/>
                              <a:gd name="T37" fmla="*/ 4222 h 300"/>
                              <a:gd name="T38" fmla="*/ 4890 w 4890"/>
                              <a:gd name="T39" fmla="*/ 4042 h 3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90" h="300">
                                <a:moveTo>
                                  <a:pt x="15" y="120"/>
                                </a:moveTo>
                                <a:lnTo>
                                  <a:pt x="0" y="120"/>
                                </a:lnTo>
                                <a:lnTo>
                                  <a:pt x="0" y="300"/>
                                </a:lnTo>
                                <a:lnTo>
                                  <a:pt x="15" y="300"/>
                                </a:lnTo>
                                <a:lnTo>
                                  <a:pt x="15" y="120"/>
                                </a:lnTo>
                                <a:close/>
                                <a:moveTo>
                                  <a:pt x="1635" y="120"/>
                                </a:moveTo>
                                <a:lnTo>
                                  <a:pt x="1620" y="120"/>
                                </a:lnTo>
                                <a:lnTo>
                                  <a:pt x="1620" y="300"/>
                                </a:lnTo>
                                <a:lnTo>
                                  <a:pt x="1635" y="300"/>
                                </a:lnTo>
                                <a:lnTo>
                                  <a:pt x="1635" y="120"/>
                                </a:lnTo>
                                <a:close/>
                                <a:moveTo>
                                  <a:pt x="3270" y="74"/>
                                </a:moveTo>
                                <a:lnTo>
                                  <a:pt x="3255" y="74"/>
                                </a:lnTo>
                                <a:lnTo>
                                  <a:pt x="3255" y="254"/>
                                </a:lnTo>
                                <a:lnTo>
                                  <a:pt x="3270" y="254"/>
                                </a:lnTo>
                                <a:lnTo>
                                  <a:pt x="3270" y="74"/>
                                </a:lnTo>
                                <a:close/>
                                <a:moveTo>
                                  <a:pt x="4890" y="0"/>
                                </a:moveTo>
                                <a:lnTo>
                                  <a:pt x="4875" y="0"/>
                                </a:lnTo>
                                <a:lnTo>
                                  <a:pt x="4875" y="180"/>
                                </a:lnTo>
                                <a:lnTo>
                                  <a:pt x="4890" y="180"/>
                                </a:lnTo>
                                <a:lnTo>
                                  <a:pt x="4890" y="0"/>
                                </a:lnTo>
                                <a:close/>
                              </a:path>
                            </a:pathLst>
                          </a:custGeom>
                          <a:solidFill>
                            <a:srgbClr val="999999"/>
                          </a:solidFill>
                          <a:ln>
                            <a:noFill/>
                          </a:ln>
                          <a:effectLst/>
                        </wps:spPr>
                        <wps:bodyPr rot="0" vert="horz" wrap="square" lIns="91440" tIns="45720" rIns="91440" bIns="45720" anchor="t" anchorCtr="0" upright="1">
                          <a:noAutofit/>
                        </wps:bodyPr>
                      </wps:wsp>
                      <wps:wsp>
                        <wps:cNvPr id="1020771321" name="AutoShape 202"/>
                        <wps:cNvSpPr/>
                        <wps:spPr bwMode="auto">
                          <a:xfrm>
                            <a:off x="2622" y="3883"/>
                            <a:ext cx="5467" cy="289"/>
                          </a:xfrm>
                          <a:custGeom>
                            <a:avLst/>
                            <a:gdLst>
                              <a:gd name="T0" fmla="*/ 83 w 5467"/>
                              <a:gd name="T1" fmla="*/ 4048 h 289"/>
                              <a:gd name="T2" fmla="*/ 17 w 5467"/>
                              <a:gd name="T3" fmla="*/ 4086 h 289"/>
                              <a:gd name="T4" fmla="*/ 42 w 5467"/>
                              <a:gd name="T5" fmla="*/ 4019 h 289"/>
                              <a:gd name="T6" fmla="*/ 161 w 5467"/>
                              <a:gd name="T7" fmla="*/ 4048 h 289"/>
                              <a:gd name="T8" fmla="*/ 210 w 5467"/>
                              <a:gd name="T9" fmla="*/ 4071 h 289"/>
                              <a:gd name="T10" fmla="*/ 294 w 5467"/>
                              <a:gd name="T11" fmla="*/ 4059 h 289"/>
                              <a:gd name="T12" fmla="*/ 229 w 5467"/>
                              <a:gd name="T13" fmla="*/ 4098 h 289"/>
                              <a:gd name="T14" fmla="*/ 245 w 5467"/>
                              <a:gd name="T15" fmla="*/ 4019 h 289"/>
                              <a:gd name="T16" fmla="*/ 369 w 5467"/>
                              <a:gd name="T17" fmla="*/ 4049 h 289"/>
                              <a:gd name="T18" fmla="*/ 329 w 5467"/>
                              <a:gd name="T19" fmla="*/ 4053 h 289"/>
                              <a:gd name="T20" fmla="*/ 354 w 5467"/>
                              <a:gd name="T21" fmla="*/ 4140 h 289"/>
                              <a:gd name="T22" fmla="*/ 424 w 5467"/>
                              <a:gd name="T23" fmla="*/ 4140 h 289"/>
                              <a:gd name="T24" fmla="*/ 428 w 5467"/>
                              <a:gd name="T25" fmla="*/ 4129 h 289"/>
                              <a:gd name="T26" fmla="*/ 497 w 5467"/>
                              <a:gd name="T27" fmla="*/ 4055 h 289"/>
                              <a:gd name="T28" fmla="*/ 503 w 5467"/>
                              <a:gd name="T29" fmla="*/ 4145 h 289"/>
                              <a:gd name="T30" fmla="*/ 1697 w 5467"/>
                              <a:gd name="T31" fmla="*/ 4027 h 289"/>
                              <a:gd name="T32" fmla="*/ 1621 w 5467"/>
                              <a:gd name="T33" fmla="*/ 4088 h 289"/>
                              <a:gd name="T34" fmla="*/ 1681 w 5467"/>
                              <a:gd name="T35" fmla="*/ 4029 h 289"/>
                              <a:gd name="T36" fmla="*/ 1774 w 5467"/>
                              <a:gd name="T37" fmla="*/ 4078 h 289"/>
                              <a:gd name="T38" fmla="*/ 1805 w 5467"/>
                              <a:gd name="T39" fmla="*/ 4152 h 289"/>
                              <a:gd name="T40" fmla="*/ 1910 w 5467"/>
                              <a:gd name="T41" fmla="*/ 4033 h 289"/>
                              <a:gd name="T42" fmla="*/ 1830 w 5467"/>
                              <a:gd name="T43" fmla="*/ 4071 h 289"/>
                              <a:gd name="T44" fmla="*/ 1886 w 5467"/>
                              <a:gd name="T45" fmla="*/ 4022 h 289"/>
                              <a:gd name="T46" fmla="*/ 1986 w 5467"/>
                              <a:gd name="T47" fmla="*/ 4018 h 289"/>
                              <a:gd name="T48" fmla="*/ 1947 w 5467"/>
                              <a:gd name="T49" fmla="*/ 4029 h 289"/>
                              <a:gd name="T50" fmla="*/ 1961 w 5467"/>
                              <a:gd name="T51" fmla="*/ 4140 h 289"/>
                              <a:gd name="T52" fmla="*/ 2064 w 5467"/>
                              <a:gd name="T53" fmla="*/ 4131 h 289"/>
                              <a:gd name="T54" fmla="*/ 2037 w 5467"/>
                              <a:gd name="T55" fmla="*/ 4127 h 289"/>
                              <a:gd name="T56" fmla="*/ 2120 w 5467"/>
                              <a:gd name="T57" fmla="*/ 4088 h 289"/>
                              <a:gd name="T58" fmla="*/ 2134 w 5467"/>
                              <a:gd name="T59" fmla="*/ 4112 h 289"/>
                              <a:gd name="T60" fmla="*/ 3235 w 5467"/>
                              <a:gd name="T61" fmla="*/ 4020 h 289"/>
                              <a:gd name="T62" fmla="*/ 3194 w 5467"/>
                              <a:gd name="T63" fmla="*/ 3969 h 289"/>
                              <a:gd name="T64" fmla="*/ 3209 w 5467"/>
                              <a:gd name="T65" fmla="*/ 4062 h 289"/>
                              <a:gd name="T66" fmla="*/ 3351 w 5467"/>
                              <a:gd name="T67" fmla="*/ 3980 h 289"/>
                              <a:gd name="T68" fmla="*/ 3388 w 5467"/>
                              <a:gd name="T69" fmla="*/ 4089 h 289"/>
                              <a:gd name="T70" fmla="*/ 3440 w 5467"/>
                              <a:gd name="T71" fmla="*/ 3972 h 289"/>
                              <a:gd name="T72" fmla="*/ 3473 w 5467"/>
                              <a:gd name="T73" fmla="*/ 3995 h 289"/>
                              <a:gd name="T74" fmla="*/ 3517 w 5467"/>
                              <a:gd name="T75" fmla="*/ 4089 h 289"/>
                              <a:gd name="T76" fmla="*/ 3565 w 5467"/>
                              <a:gd name="T77" fmla="*/ 4052 h 289"/>
                              <a:gd name="T78" fmla="*/ 3696 w 5467"/>
                              <a:gd name="T79" fmla="*/ 3972 h 289"/>
                              <a:gd name="T80" fmla="*/ 3657 w 5467"/>
                              <a:gd name="T81" fmla="*/ 3983 h 289"/>
                              <a:gd name="T82" fmla="*/ 3671 w 5467"/>
                              <a:gd name="T83" fmla="*/ 4093 h 289"/>
                              <a:gd name="T84" fmla="*/ 3774 w 5467"/>
                              <a:gd name="T85" fmla="*/ 4085 h 289"/>
                              <a:gd name="T86" fmla="*/ 3747 w 5467"/>
                              <a:gd name="T87" fmla="*/ 4081 h 289"/>
                              <a:gd name="T88" fmla="*/ 3830 w 5467"/>
                              <a:gd name="T89" fmla="*/ 4042 h 289"/>
                              <a:gd name="T90" fmla="*/ 3844 w 5467"/>
                              <a:gd name="T91" fmla="*/ 4065 h 289"/>
                              <a:gd name="T92" fmla="*/ 4851 w 5467"/>
                              <a:gd name="T93" fmla="*/ 3911 h 289"/>
                              <a:gd name="T94" fmla="*/ 4996 w 5467"/>
                              <a:gd name="T95" fmla="*/ 3884 h 289"/>
                              <a:gd name="T96" fmla="*/ 5040 w 5467"/>
                              <a:gd name="T97" fmla="*/ 4002 h 289"/>
                              <a:gd name="T98" fmla="*/ 5028 w 5467"/>
                              <a:gd name="T99" fmla="*/ 3956 h 289"/>
                              <a:gd name="T100" fmla="*/ 5066 w 5467"/>
                              <a:gd name="T101" fmla="*/ 4017 h 289"/>
                              <a:gd name="T102" fmla="*/ 5201 w 5467"/>
                              <a:gd name="T103" fmla="*/ 4004 h 289"/>
                              <a:gd name="T104" fmla="*/ 5203 w 5467"/>
                              <a:gd name="T105" fmla="*/ 3940 h 289"/>
                              <a:gd name="T106" fmla="*/ 5168 w 5467"/>
                              <a:gd name="T107" fmla="*/ 3900 h 289"/>
                              <a:gd name="T108" fmla="*/ 5228 w 5467"/>
                              <a:gd name="T109" fmla="*/ 3947 h 289"/>
                              <a:gd name="T110" fmla="*/ 5266 w 5467"/>
                              <a:gd name="T111" fmla="*/ 3900 h 289"/>
                              <a:gd name="T112" fmla="*/ 5266 w 5467"/>
                              <a:gd name="T113" fmla="*/ 3937 h 289"/>
                              <a:gd name="T114" fmla="*/ 5305 w 5467"/>
                              <a:gd name="T115" fmla="*/ 3926 h 289"/>
                              <a:gd name="T116" fmla="*/ 5382 w 5467"/>
                              <a:gd name="T117" fmla="*/ 3951 h 289"/>
                              <a:gd name="T118" fmla="*/ 5367 w 5467"/>
                              <a:gd name="T119" fmla="*/ 3964 h 289"/>
                              <a:gd name="T120" fmla="*/ 5382 w 5467"/>
                              <a:gd name="T121" fmla="*/ 3964 h 289"/>
                              <a:gd name="T122" fmla="*/ 5450 w 5467"/>
                              <a:gd name="T123" fmla="*/ 3906 h 28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467" h="289">
                                <a:moveTo>
                                  <a:pt x="0" y="187"/>
                                </a:moveTo>
                                <a:lnTo>
                                  <a:pt x="0" y="172"/>
                                </a:lnTo>
                                <a:lnTo>
                                  <a:pt x="2" y="160"/>
                                </a:lnTo>
                                <a:lnTo>
                                  <a:pt x="5" y="151"/>
                                </a:lnTo>
                                <a:lnTo>
                                  <a:pt x="8" y="141"/>
                                </a:lnTo>
                                <a:lnTo>
                                  <a:pt x="13" y="134"/>
                                </a:lnTo>
                                <a:lnTo>
                                  <a:pt x="19" y="129"/>
                                </a:lnTo>
                                <a:lnTo>
                                  <a:pt x="25" y="124"/>
                                </a:lnTo>
                                <a:lnTo>
                                  <a:pt x="33" y="121"/>
                                </a:lnTo>
                                <a:lnTo>
                                  <a:pt x="42" y="121"/>
                                </a:lnTo>
                                <a:lnTo>
                                  <a:pt x="49" y="121"/>
                                </a:lnTo>
                                <a:lnTo>
                                  <a:pt x="55" y="123"/>
                                </a:lnTo>
                                <a:lnTo>
                                  <a:pt x="61" y="126"/>
                                </a:lnTo>
                                <a:lnTo>
                                  <a:pt x="66" y="128"/>
                                </a:lnTo>
                                <a:lnTo>
                                  <a:pt x="70" y="132"/>
                                </a:lnTo>
                                <a:lnTo>
                                  <a:pt x="74" y="138"/>
                                </a:lnTo>
                                <a:lnTo>
                                  <a:pt x="77" y="143"/>
                                </a:lnTo>
                                <a:lnTo>
                                  <a:pt x="80" y="149"/>
                                </a:lnTo>
                                <a:lnTo>
                                  <a:pt x="82" y="157"/>
                                </a:lnTo>
                                <a:lnTo>
                                  <a:pt x="83" y="164"/>
                                </a:lnTo>
                                <a:lnTo>
                                  <a:pt x="84" y="175"/>
                                </a:lnTo>
                                <a:lnTo>
                                  <a:pt x="84" y="187"/>
                                </a:lnTo>
                                <a:lnTo>
                                  <a:pt x="84" y="202"/>
                                </a:lnTo>
                                <a:lnTo>
                                  <a:pt x="83" y="215"/>
                                </a:lnTo>
                                <a:lnTo>
                                  <a:pt x="80" y="224"/>
                                </a:lnTo>
                                <a:lnTo>
                                  <a:pt x="77" y="233"/>
                                </a:lnTo>
                                <a:lnTo>
                                  <a:pt x="72" y="240"/>
                                </a:lnTo>
                                <a:lnTo>
                                  <a:pt x="66" y="245"/>
                                </a:lnTo>
                                <a:lnTo>
                                  <a:pt x="60" y="251"/>
                                </a:lnTo>
                                <a:lnTo>
                                  <a:pt x="52" y="253"/>
                                </a:lnTo>
                                <a:lnTo>
                                  <a:pt x="42" y="253"/>
                                </a:lnTo>
                                <a:lnTo>
                                  <a:pt x="30" y="253"/>
                                </a:lnTo>
                                <a:lnTo>
                                  <a:pt x="20" y="249"/>
                                </a:lnTo>
                                <a:lnTo>
                                  <a:pt x="13" y="240"/>
                                </a:lnTo>
                                <a:lnTo>
                                  <a:pt x="8" y="230"/>
                                </a:lnTo>
                                <a:lnTo>
                                  <a:pt x="4" y="219"/>
                                </a:lnTo>
                                <a:lnTo>
                                  <a:pt x="1" y="204"/>
                                </a:lnTo>
                                <a:lnTo>
                                  <a:pt x="0" y="187"/>
                                </a:lnTo>
                                <a:close/>
                                <a:moveTo>
                                  <a:pt x="17" y="187"/>
                                </a:moveTo>
                                <a:lnTo>
                                  <a:pt x="17" y="202"/>
                                </a:lnTo>
                                <a:lnTo>
                                  <a:pt x="19" y="214"/>
                                </a:lnTo>
                                <a:lnTo>
                                  <a:pt x="21" y="223"/>
                                </a:lnTo>
                                <a:lnTo>
                                  <a:pt x="24" y="230"/>
                                </a:lnTo>
                                <a:lnTo>
                                  <a:pt x="29" y="237"/>
                                </a:lnTo>
                                <a:lnTo>
                                  <a:pt x="35" y="240"/>
                                </a:lnTo>
                                <a:lnTo>
                                  <a:pt x="42" y="240"/>
                                </a:lnTo>
                                <a:lnTo>
                                  <a:pt x="50" y="240"/>
                                </a:lnTo>
                                <a:lnTo>
                                  <a:pt x="56" y="237"/>
                                </a:lnTo>
                                <a:lnTo>
                                  <a:pt x="61" y="230"/>
                                </a:lnTo>
                                <a:lnTo>
                                  <a:pt x="64" y="223"/>
                                </a:lnTo>
                                <a:lnTo>
                                  <a:pt x="66" y="214"/>
                                </a:lnTo>
                                <a:lnTo>
                                  <a:pt x="68" y="202"/>
                                </a:lnTo>
                                <a:lnTo>
                                  <a:pt x="68" y="187"/>
                                </a:lnTo>
                                <a:lnTo>
                                  <a:pt x="68" y="173"/>
                                </a:lnTo>
                                <a:lnTo>
                                  <a:pt x="66" y="161"/>
                                </a:lnTo>
                                <a:lnTo>
                                  <a:pt x="64" y="152"/>
                                </a:lnTo>
                                <a:lnTo>
                                  <a:pt x="61" y="145"/>
                                </a:lnTo>
                                <a:lnTo>
                                  <a:pt x="56" y="138"/>
                                </a:lnTo>
                                <a:lnTo>
                                  <a:pt x="50" y="135"/>
                                </a:lnTo>
                                <a:lnTo>
                                  <a:pt x="42" y="135"/>
                                </a:lnTo>
                                <a:lnTo>
                                  <a:pt x="35" y="135"/>
                                </a:lnTo>
                                <a:lnTo>
                                  <a:pt x="29" y="138"/>
                                </a:lnTo>
                                <a:lnTo>
                                  <a:pt x="25" y="144"/>
                                </a:lnTo>
                                <a:lnTo>
                                  <a:pt x="21" y="151"/>
                                </a:lnTo>
                                <a:lnTo>
                                  <a:pt x="19" y="161"/>
                                </a:lnTo>
                                <a:lnTo>
                                  <a:pt x="17" y="173"/>
                                </a:lnTo>
                                <a:lnTo>
                                  <a:pt x="17" y="187"/>
                                </a:lnTo>
                                <a:close/>
                                <a:moveTo>
                                  <a:pt x="185" y="289"/>
                                </a:moveTo>
                                <a:lnTo>
                                  <a:pt x="179" y="280"/>
                                </a:lnTo>
                                <a:lnTo>
                                  <a:pt x="173" y="271"/>
                                </a:lnTo>
                                <a:lnTo>
                                  <a:pt x="168" y="261"/>
                                </a:lnTo>
                                <a:lnTo>
                                  <a:pt x="163" y="250"/>
                                </a:lnTo>
                                <a:lnTo>
                                  <a:pt x="159" y="239"/>
                                </a:lnTo>
                                <a:lnTo>
                                  <a:pt x="156" y="228"/>
                                </a:lnTo>
                                <a:lnTo>
                                  <a:pt x="155" y="216"/>
                                </a:lnTo>
                                <a:lnTo>
                                  <a:pt x="154" y="204"/>
                                </a:lnTo>
                                <a:lnTo>
                                  <a:pt x="154" y="194"/>
                                </a:lnTo>
                                <a:lnTo>
                                  <a:pt x="156" y="184"/>
                                </a:lnTo>
                                <a:lnTo>
                                  <a:pt x="158" y="174"/>
                                </a:lnTo>
                                <a:lnTo>
                                  <a:pt x="161" y="164"/>
                                </a:lnTo>
                                <a:lnTo>
                                  <a:pt x="165" y="153"/>
                                </a:lnTo>
                                <a:lnTo>
                                  <a:pt x="171" y="142"/>
                                </a:lnTo>
                                <a:lnTo>
                                  <a:pt x="177" y="131"/>
                                </a:lnTo>
                                <a:lnTo>
                                  <a:pt x="185" y="120"/>
                                </a:lnTo>
                                <a:lnTo>
                                  <a:pt x="196" y="120"/>
                                </a:lnTo>
                                <a:lnTo>
                                  <a:pt x="189" y="132"/>
                                </a:lnTo>
                                <a:lnTo>
                                  <a:pt x="185" y="141"/>
                                </a:lnTo>
                                <a:lnTo>
                                  <a:pt x="182" y="146"/>
                                </a:lnTo>
                                <a:lnTo>
                                  <a:pt x="179" y="154"/>
                                </a:lnTo>
                                <a:lnTo>
                                  <a:pt x="176" y="162"/>
                                </a:lnTo>
                                <a:lnTo>
                                  <a:pt x="174" y="171"/>
                                </a:lnTo>
                                <a:lnTo>
                                  <a:pt x="171" y="182"/>
                                </a:lnTo>
                                <a:lnTo>
                                  <a:pt x="170" y="193"/>
                                </a:lnTo>
                                <a:lnTo>
                                  <a:pt x="170" y="204"/>
                                </a:lnTo>
                                <a:lnTo>
                                  <a:pt x="172" y="225"/>
                                </a:lnTo>
                                <a:lnTo>
                                  <a:pt x="177" y="247"/>
                                </a:lnTo>
                                <a:lnTo>
                                  <a:pt x="185" y="268"/>
                                </a:lnTo>
                                <a:lnTo>
                                  <a:pt x="196" y="289"/>
                                </a:lnTo>
                                <a:lnTo>
                                  <a:pt x="185" y="289"/>
                                </a:lnTo>
                                <a:close/>
                                <a:moveTo>
                                  <a:pt x="210" y="187"/>
                                </a:moveTo>
                                <a:lnTo>
                                  <a:pt x="210" y="172"/>
                                </a:lnTo>
                                <a:lnTo>
                                  <a:pt x="212" y="160"/>
                                </a:lnTo>
                                <a:lnTo>
                                  <a:pt x="215" y="151"/>
                                </a:lnTo>
                                <a:lnTo>
                                  <a:pt x="218" y="141"/>
                                </a:lnTo>
                                <a:lnTo>
                                  <a:pt x="223" y="134"/>
                                </a:lnTo>
                                <a:lnTo>
                                  <a:pt x="229" y="129"/>
                                </a:lnTo>
                                <a:lnTo>
                                  <a:pt x="235" y="124"/>
                                </a:lnTo>
                                <a:lnTo>
                                  <a:pt x="243" y="121"/>
                                </a:lnTo>
                                <a:lnTo>
                                  <a:pt x="252" y="121"/>
                                </a:lnTo>
                                <a:lnTo>
                                  <a:pt x="259" y="121"/>
                                </a:lnTo>
                                <a:lnTo>
                                  <a:pt x="265" y="123"/>
                                </a:lnTo>
                                <a:lnTo>
                                  <a:pt x="271" y="126"/>
                                </a:lnTo>
                                <a:lnTo>
                                  <a:pt x="276" y="128"/>
                                </a:lnTo>
                                <a:lnTo>
                                  <a:pt x="280" y="132"/>
                                </a:lnTo>
                                <a:lnTo>
                                  <a:pt x="284" y="138"/>
                                </a:lnTo>
                                <a:lnTo>
                                  <a:pt x="287" y="143"/>
                                </a:lnTo>
                                <a:lnTo>
                                  <a:pt x="290" y="149"/>
                                </a:lnTo>
                                <a:lnTo>
                                  <a:pt x="292" y="157"/>
                                </a:lnTo>
                                <a:lnTo>
                                  <a:pt x="294" y="164"/>
                                </a:lnTo>
                                <a:lnTo>
                                  <a:pt x="294" y="175"/>
                                </a:lnTo>
                                <a:lnTo>
                                  <a:pt x="294" y="187"/>
                                </a:lnTo>
                                <a:lnTo>
                                  <a:pt x="294" y="202"/>
                                </a:lnTo>
                                <a:lnTo>
                                  <a:pt x="293" y="215"/>
                                </a:lnTo>
                                <a:lnTo>
                                  <a:pt x="290" y="224"/>
                                </a:lnTo>
                                <a:lnTo>
                                  <a:pt x="287" y="233"/>
                                </a:lnTo>
                                <a:lnTo>
                                  <a:pt x="282" y="240"/>
                                </a:lnTo>
                                <a:lnTo>
                                  <a:pt x="276" y="245"/>
                                </a:lnTo>
                                <a:lnTo>
                                  <a:pt x="270" y="251"/>
                                </a:lnTo>
                                <a:lnTo>
                                  <a:pt x="262" y="253"/>
                                </a:lnTo>
                                <a:lnTo>
                                  <a:pt x="252" y="253"/>
                                </a:lnTo>
                                <a:lnTo>
                                  <a:pt x="240" y="253"/>
                                </a:lnTo>
                                <a:lnTo>
                                  <a:pt x="230" y="249"/>
                                </a:lnTo>
                                <a:lnTo>
                                  <a:pt x="223" y="240"/>
                                </a:lnTo>
                                <a:lnTo>
                                  <a:pt x="218" y="230"/>
                                </a:lnTo>
                                <a:lnTo>
                                  <a:pt x="214" y="219"/>
                                </a:lnTo>
                                <a:lnTo>
                                  <a:pt x="211" y="204"/>
                                </a:lnTo>
                                <a:lnTo>
                                  <a:pt x="210" y="187"/>
                                </a:lnTo>
                                <a:close/>
                                <a:moveTo>
                                  <a:pt x="227" y="187"/>
                                </a:moveTo>
                                <a:lnTo>
                                  <a:pt x="227" y="202"/>
                                </a:lnTo>
                                <a:lnTo>
                                  <a:pt x="229" y="214"/>
                                </a:lnTo>
                                <a:lnTo>
                                  <a:pt x="231" y="223"/>
                                </a:lnTo>
                                <a:lnTo>
                                  <a:pt x="234" y="230"/>
                                </a:lnTo>
                                <a:lnTo>
                                  <a:pt x="239" y="237"/>
                                </a:lnTo>
                                <a:lnTo>
                                  <a:pt x="245" y="240"/>
                                </a:lnTo>
                                <a:lnTo>
                                  <a:pt x="252" y="240"/>
                                </a:lnTo>
                                <a:lnTo>
                                  <a:pt x="260" y="240"/>
                                </a:lnTo>
                                <a:lnTo>
                                  <a:pt x="266" y="237"/>
                                </a:lnTo>
                                <a:lnTo>
                                  <a:pt x="271" y="230"/>
                                </a:lnTo>
                                <a:lnTo>
                                  <a:pt x="274" y="223"/>
                                </a:lnTo>
                                <a:lnTo>
                                  <a:pt x="276" y="214"/>
                                </a:lnTo>
                                <a:lnTo>
                                  <a:pt x="278" y="202"/>
                                </a:lnTo>
                                <a:lnTo>
                                  <a:pt x="278" y="187"/>
                                </a:lnTo>
                                <a:lnTo>
                                  <a:pt x="278" y="173"/>
                                </a:lnTo>
                                <a:lnTo>
                                  <a:pt x="276" y="161"/>
                                </a:lnTo>
                                <a:lnTo>
                                  <a:pt x="274" y="152"/>
                                </a:lnTo>
                                <a:lnTo>
                                  <a:pt x="271" y="145"/>
                                </a:lnTo>
                                <a:lnTo>
                                  <a:pt x="266" y="138"/>
                                </a:lnTo>
                                <a:lnTo>
                                  <a:pt x="260" y="135"/>
                                </a:lnTo>
                                <a:lnTo>
                                  <a:pt x="252" y="135"/>
                                </a:lnTo>
                                <a:lnTo>
                                  <a:pt x="245" y="135"/>
                                </a:lnTo>
                                <a:lnTo>
                                  <a:pt x="239" y="138"/>
                                </a:lnTo>
                                <a:lnTo>
                                  <a:pt x="235" y="144"/>
                                </a:lnTo>
                                <a:lnTo>
                                  <a:pt x="231" y="151"/>
                                </a:lnTo>
                                <a:lnTo>
                                  <a:pt x="229" y="161"/>
                                </a:lnTo>
                                <a:lnTo>
                                  <a:pt x="227" y="173"/>
                                </a:lnTo>
                                <a:lnTo>
                                  <a:pt x="227" y="187"/>
                                </a:lnTo>
                                <a:close/>
                                <a:moveTo>
                                  <a:pt x="314" y="153"/>
                                </a:moveTo>
                                <a:lnTo>
                                  <a:pt x="314" y="144"/>
                                </a:lnTo>
                                <a:lnTo>
                                  <a:pt x="316" y="136"/>
                                </a:lnTo>
                                <a:lnTo>
                                  <a:pt x="320" y="129"/>
                                </a:lnTo>
                                <a:lnTo>
                                  <a:pt x="325" y="123"/>
                                </a:lnTo>
                                <a:lnTo>
                                  <a:pt x="332" y="120"/>
                                </a:lnTo>
                                <a:lnTo>
                                  <a:pt x="341" y="120"/>
                                </a:lnTo>
                                <a:lnTo>
                                  <a:pt x="349" y="120"/>
                                </a:lnTo>
                                <a:lnTo>
                                  <a:pt x="355" y="123"/>
                                </a:lnTo>
                                <a:lnTo>
                                  <a:pt x="361" y="128"/>
                                </a:lnTo>
                                <a:lnTo>
                                  <a:pt x="366" y="134"/>
                                </a:lnTo>
                                <a:lnTo>
                                  <a:pt x="369" y="143"/>
                                </a:lnTo>
                                <a:lnTo>
                                  <a:pt x="369" y="154"/>
                                </a:lnTo>
                                <a:lnTo>
                                  <a:pt x="369" y="165"/>
                                </a:lnTo>
                                <a:lnTo>
                                  <a:pt x="366" y="173"/>
                                </a:lnTo>
                                <a:lnTo>
                                  <a:pt x="361" y="179"/>
                                </a:lnTo>
                                <a:lnTo>
                                  <a:pt x="355" y="185"/>
                                </a:lnTo>
                                <a:lnTo>
                                  <a:pt x="349" y="188"/>
                                </a:lnTo>
                                <a:lnTo>
                                  <a:pt x="341" y="188"/>
                                </a:lnTo>
                                <a:lnTo>
                                  <a:pt x="333" y="188"/>
                                </a:lnTo>
                                <a:lnTo>
                                  <a:pt x="327" y="185"/>
                                </a:lnTo>
                                <a:lnTo>
                                  <a:pt x="321" y="179"/>
                                </a:lnTo>
                                <a:lnTo>
                                  <a:pt x="316" y="173"/>
                                </a:lnTo>
                                <a:lnTo>
                                  <a:pt x="314" y="165"/>
                                </a:lnTo>
                                <a:lnTo>
                                  <a:pt x="314" y="153"/>
                                </a:lnTo>
                                <a:close/>
                                <a:moveTo>
                                  <a:pt x="341" y="131"/>
                                </a:moveTo>
                                <a:lnTo>
                                  <a:pt x="337" y="131"/>
                                </a:lnTo>
                                <a:lnTo>
                                  <a:pt x="334" y="132"/>
                                </a:lnTo>
                                <a:lnTo>
                                  <a:pt x="331" y="136"/>
                                </a:lnTo>
                                <a:lnTo>
                                  <a:pt x="329" y="139"/>
                                </a:lnTo>
                                <a:lnTo>
                                  <a:pt x="327" y="145"/>
                                </a:lnTo>
                                <a:lnTo>
                                  <a:pt x="327" y="155"/>
                                </a:lnTo>
                                <a:lnTo>
                                  <a:pt x="327" y="163"/>
                                </a:lnTo>
                                <a:lnTo>
                                  <a:pt x="329" y="169"/>
                                </a:lnTo>
                                <a:lnTo>
                                  <a:pt x="331" y="172"/>
                                </a:lnTo>
                                <a:lnTo>
                                  <a:pt x="334" y="175"/>
                                </a:lnTo>
                                <a:lnTo>
                                  <a:pt x="337" y="177"/>
                                </a:lnTo>
                                <a:lnTo>
                                  <a:pt x="341" y="177"/>
                                </a:lnTo>
                                <a:lnTo>
                                  <a:pt x="345" y="177"/>
                                </a:lnTo>
                                <a:lnTo>
                                  <a:pt x="348" y="175"/>
                                </a:lnTo>
                                <a:lnTo>
                                  <a:pt x="351" y="172"/>
                                </a:lnTo>
                                <a:lnTo>
                                  <a:pt x="354" y="169"/>
                                </a:lnTo>
                                <a:lnTo>
                                  <a:pt x="355" y="162"/>
                                </a:lnTo>
                                <a:lnTo>
                                  <a:pt x="355" y="153"/>
                                </a:lnTo>
                                <a:lnTo>
                                  <a:pt x="355" y="145"/>
                                </a:lnTo>
                                <a:lnTo>
                                  <a:pt x="354" y="139"/>
                                </a:lnTo>
                                <a:lnTo>
                                  <a:pt x="351" y="136"/>
                                </a:lnTo>
                                <a:lnTo>
                                  <a:pt x="348" y="132"/>
                                </a:lnTo>
                                <a:lnTo>
                                  <a:pt x="345" y="131"/>
                                </a:lnTo>
                                <a:lnTo>
                                  <a:pt x="341" y="131"/>
                                </a:lnTo>
                                <a:close/>
                                <a:moveTo>
                                  <a:pt x="341" y="256"/>
                                </a:moveTo>
                                <a:lnTo>
                                  <a:pt x="412" y="120"/>
                                </a:lnTo>
                                <a:lnTo>
                                  <a:pt x="424" y="120"/>
                                </a:lnTo>
                                <a:lnTo>
                                  <a:pt x="354" y="256"/>
                                </a:lnTo>
                                <a:lnTo>
                                  <a:pt x="341" y="256"/>
                                </a:lnTo>
                                <a:close/>
                                <a:moveTo>
                                  <a:pt x="397" y="221"/>
                                </a:moveTo>
                                <a:lnTo>
                                  <a:pt x="397" y="211"/>
                                </a:lnTo>
                                <a:lnTo>
                                  <a:pt x="399" y="204"/>
                                </a:lnTo>
                                <a:lnTo>
                                  <a:pt x="404" y="197"/>
                                </a:lnTo>
                                <a:lnTo>
                                  <a:pt x="408" y="191"/>
                                </a:lnTo>
                                <a:lnTo>
                                  <a:pt x="415" y="187"/>
                                </a:lnTo>
                                <a:lnTo>
                                  <a:pt x="424" y="187"/>
                                </a:lnTo>
                                <a:lnTo>
                                  <a:pt x="432" y="187"/>
                                </a:lnTo>
                                <a:lnTo>
                                  <a:pt x="439" y="190"/>
                                </a:lnTo>
                                <a:lnTo>
                                  <a:pt x="444" y="196"/>
                                </a:lnTo>
                                <a:lnTo>
                                  <a:pt x="449" y="202"/>
                                </a:lnTo>
                                <a:lnTo>
                                  <a:pt x="452" y="210"/>
                                </a:lnTo>
                                <a:lnTo>
                                  <a:pt x="452" y="222"/>
                                </a:lnTo>
                                <a:lnTo>
                                  <a:pt x="452" y="232"/>
                                </a:lnTo>
                                <a:lnTo>
                                  <a:pt x="449" y="241"/>
                                </a:lnTo>
                                <a:lnTo>
                                  <a:pt x="444" y="247"/>
                                </a:lnTo>
                                <a:lnTo>
                                  <a:pt x="439" y="253"/>
                                </a:lnTo>
                                <a:lnTo>
                                  <a:pt x="432" y="256"/>
                                </a:lnTo>
                                <a:lnTo>
                                  <a:pt x="424" y="256"/>
                                </a:lnTo>
                                <a:lnTo>
                                  <a:pt x="416" y="256"/>
                                </a:lnTo>
                                <a:lnTo>
                                  <a:pt x="410" y="253"/>
                                </a:lnTo>
                                <a:lnTo>
                                  <a:pt x="405" y="247"/>
                                </a:lnTo>
                                <a:lnTo>
                                  <a:pt x="399" y="241"/>
                                </a:lnTo>
                                <a:lnTo>
                                  <a:pt x="397" y="232"/>
                                </a:lnTo>
                                <a:lnTo>
                                  <a:pt x="397" y="221"/>
                                </a:lnTo>
                                <a:close/>
                                <a:moveTo>
                                  <a:pt x="424" y="198"/>
                                </a:moveTo>
                                <a:lnTo>
                                  <a:pt x="420" y="198"/>
                                </a:lnTo>
                                <a:lnTo>
                                  <a:pt x="417" y="200"/>
                                </a:lnTo>
                                <a:lnTo>
                                  <a:pt x="415" y="203"/>
                                </a:lnTo>
                                <a:lnTo>
                                  <a:pt x="412" y="207"/>
                                </a:lnTo>
                                <a:lnTo>
                                  <a:pt x="411" y="213"/>
                                </a:lnTo>
                                <a:lnTo>
                                  <a:pt x="411" y="222"/>
                                </a:lnTo>
                                <a:lnTo>
                                  <a:pt x="411" y="230"/>
                                </a:lnTo>
                                <a:lnTo>
                                  <a:pt x="412" y="236"/>
                                </a:lnTo>
                                <a:lnTo>
                                  <a:pt x="415" y="240"/>
                                </a:lnTo>
                                <a:lnTo>
                                  <a:pt x="417" y="243"/>
                                </a:lnTo>
                                <a:lnTo>
                                  <a:pt x="421" y="245"/>
                                </a:lnTo>
                                <a:lnTo>
                                  <a:pt x="424" y="245"/>
                                </a:lnTo>
                                <a:lnTo>
                                  <a:pt x="428" y="245"/>
                                </a:lnTo>
                                <a:lnTo>
                                  <a:pt x="432" y="243"/>
                                </a:lnTo>
                                <a:lnTo>
                                  <a:pt x="434" y="240"/>
                                </a:lnTo>
                                <a:lnTo>
                                  <a:pt x="437" y="236"/>
                                </a:lnTo>
                                <a:lnTo>
                                  <a:pt x="438" y="230"/>
                                </a:lnTo>
                                <a:lnTo>
                                  <a:pt x="438" y="221"/>
                                </a:lnTo>
                                <a:lnTo>
                                  <a:pt x="438" y="213"/>
                                </a:lnTo>
                                <a:lnTo>
                                  <a:pt x="437" y="207"/>
                                </a:lnTo>
                                <a:lnTo>
                                  <a:pt x="434" y="203"/>
                                </a:lnTo>
                                <a:lnTo>
                                  <a:pt x="432" y="200"/>
                                </a:lnTo>
                                <a:lnTo>
                                  <a:pt x="428" y="198"/>
                                </a:lnTo>
                                <a:lnTo>
                                  <a:pt x="424" y="198"/>
                                </a:lnTo>
                                <a:close/>
                                <a:moveTo>
                                  <a:pt x="485" y="289"/>
                                </a:moveTo>
                                <a:lnTo>
                                  <a:pt x="474" y="289"/>
                                </a:lnTo>
                                <a:lnTo>
                                  <a:pt x="486" y="268"/>
                                </a:lnTo>
                                <a:lnTo>
                                  <a:pt x="494" y="247"/>
                                </a:lnTo>
                                <a:lnTo>
                                  <a:pt x="499" y="225"/>
                                </a:lnTo>
                                <a:lnTo>
                                  <a:pt x="500" y="204"/>
                                </a:lnTo>
                                <a:lnTo>
                                  <a:pt x="500" y="193"/>
                                </a:lnTo>
                                <a:lnTo>
                                  <a:pt x="499" y="182"/>
                                </a:lnTo>
                                <a:lnTo>
                                  <a:pt x="497" y="171"/>
                                </a:lnTo>
                                <a:lnTo>
                                  <a:pt x="495" y="163"/>
                                </a:lnTo>
                                <a:lnTo>
                                  <a:pt x="492" y="154"/>
                                </a:lnTo>
                                <a:lnTo>
                                  <a:pt x="488" y="146"/>
                                </a:lnTo>
                                <a:lnTo>
                                  <a:pt x="486" y="141"/>
                                </a:lnTo>
                                <a:lnTo>
                                  <a:pt x="481" y="132"/>
                                </a:lnTo>
                                <a:lnTo>
                                  <a:pt x="474" y="120"/>
                                </a:lnTo>
                                <a:lnTo>
                                  <a:pt x="485" y="120"/>
                                </a:lnTo>
                                <a:lnTo>
                                  <a:pt x="493" y="131"/>
                                </a:lnTo>
                                <a:lnTo>
                                  <a:pt x="500" y="142"/>
                                </a:lnTo>
                                <a:lnTo>
                                  <a:pt x="505" y="153"/>
                                </a:lnTo>
                                <a:lnTo>
                                  <a:pt x="510" y="164"/>
                                </a:lnTo>
                                <a:lnTo>
                                  <a:pt x="513" y="174"/>
                                </a:lnTo>
                                <a:lnTo>
                                  <a:pt x="515" y="184"/>
                                </a:lnTo>
                                <a:lnTo>
                                  <a:pt x="516" y="194"/>
                                </a:lnTo>
                                <a:lnTo>
                                  <a:pt x="517" y="204"/>
                                </a:lnTo>
                                <a:lnTo>
                                  <a:pt x="516" y="216"/>
                                </a:lnTo>
                                <a:lnTo>
                                  <a:pt x="514" y="228"/>
                                </a:lnTo>
                                <a:lnTo>
                                  <a:pt x="511" y="239"/>
                                </a:lnTo>
                                <a:lnTo>
                                  <a:pt x="507" y="250"/>
                                </a:lnTo>
                                <a:lnTo>
                                  <a:pt x="503" y="261"/>
                                </a:lnTo>
                                <a:lnTo>
                                  <a:pt x="497" y="271"/>
                                </a:lnTo>
                                <a:lnTo>
                                  <a:pt x="492" y="280"/>
                                </a:lnTo>
                                <a:lnTo>
                                  <a:pt x="485" y="289"/>
                                </a:lnTo>
                                <a:close/>
                                <a:moveTo>
                                  <a:pt x="1620" y="187"/>
                                </a:moveTo>
                                <a:lnTo>
                                  <a:pt x="1620" y="172"/>
                                </a:lnTo>
                                <a:lnTo>
                                  <a:pt x="1622" y="160"/>
                                </a:lnTo>
                                <a:lnTo>
                                  <a:pt x="1625" y="151"/>
                                </a:lnTo>
                                <a:lnTo>
                                  <a:pt x="1628" y="141"/>
                                </a:lnTo>
                                <a:lnTo>
                                  <a:pt x="1633" y="134"/>
                                </a:lnTo>
                                <a:lnTo>
                                  <a:pt x="1639" y="129"/>
                                </a:lnTo>
                                <a:lnTo>
                                  <a:pt x="1645" y="124"/>
                                </a:lnTo>
                                <a:lnTo>
                                  <a:pt x="1653" y="121"/>
                                </a:lnTo>
                                <a:lnTo>
                                  <a:pt x="1662" y="121"/>
                                </a:lnTo>
                                <a:lnTo>
                                  <a:pt x="1669" y="121"/>
                                </a:lnTo>
                                <a:lnTo>
                                  <a:pt x="1675" y="123"/>
                                </a:lnTo>
                                <a:lnTo>
                                  <a:pt x="1681" y="126"/>
                                </a:lnTo>
                                <a:lnTo>
                                  <a:pt x="1686" y="128"/>
                                </a:lnTo>
                                <a:lnTo>
                                  <a:pt x="1690" y="132"/>
                                </a:lnTo>
                                <a:lnTo>
                                  <a:pt x="1694" y="138"/>
                                </a:lnTo>
                                <a:lnTo>
                                  <a:pt x="1697" y="143"/>
                                </a:lnTo>
                                <a:lnTo>
                                  <a:pt x="1700" y="149"/>
                                </a:lnTo>
                                <a:lnTo>
                                  <a:pt x="1702" y="157"/>
                                </a:lnTo>
                                <a:lnTo>
                                  <a:pt x="1703" y="164"/>
                                </a:lnTo>
                                <a:lnTo>
                                  <a:pt x="1704" y="175"/>
                                </a:lnTo>
                                <a:lnTo>
                                  <a:pt x="1704" y="187"/>
                                </a:lnTo>
                                <a:lnTo>
                                  <a:pt x="1704" y="202"/>
                                </a:lnTo>
                                <a:lnTo>
                                  <a:pt x="1703" y="215"/>
                                </a:lnTo>
                                <a:lnTo>
                                  <a:pt x="1700" y="224"/>
                                </a:lnTo>
                                <a:lnTo>
                                  <a:pt x="1697" y="233"/>
                                </a:lnTo>
                                <a:lnTo>
                                  <a:pt x="1692" y="240"/>
                                </a:lnTo>
                                <a:lnTo>
                                  <a:pt x="1686" y="245"/>
                                </a:lnTo>
                                <a:lnTo>
                                  <a:pt x="1680" y="251"/>
                                </a:lnTo>
                                <a:lnTo>
                                  <a:pt x="1672" y="253"/>
                                </a:lnTo>
                                <a:lnTo>
                                  <a:pt x="1662" y="253"/>
                                </a:lnTo>
                                <a:lnTo>
                                  <a:pt x="1650" y="253"/>
                                </a:lnTo>
                                <a:lnTo>
                                  <a:pt x="1640" y="249"/>
                                </a:lnTo>
                                <a:lnTo>
                                  <a:pt x="1633" y="240"/>
                                </a:lnTo>
                                <a:lnTo>
                                  <a:pt x="1628" y="230"/>
                                </a:lnTo>
                                <a:lnTo>
                                  <a:pt x="1624" y="219"/>
                                </a:lnTo>
                                <a:lnTo>
                                  <a:pt x="1621" y="204"/>
                                </a:lnTo>
                                <a:lnTo>
                                  <a:pt x="1620" y="187"/>
                                </a:lnTo>
                                <a:close/>
                                <a:moveTo>
                                  <a:pt x="1637" y="187"/>
                                </a:moveTo>
                                <a:lnTo>
                                  <a:pt x="1637" y="202"/>
                                </a:lnTo>
                                <a:lnTo>
                                  <a:pt x="1639" y="214"/>
                                </a:lnTo>
                                <a:lnTo>
                                  <a:pt x="1641" y="223"/>
                                </a:lnTo>
                                <a:lnTo>
                                  <a:pt x="1644" y="230"/>
                                </a:lnTo>
                                <a:lnTo>
                                  <a:pt x="1649" y="237"/>
                                </a:lnTo>
                                <a:lnTo>
                                  <a:pt x="1655" y="240"/>
                                </a:lnTo>
                                <a:lnTo>
                                  <a:pt x="1662" y="240"/>
                                </a:lnTo>
                                <a:lnTo>
                                  <a:pt x="1670" y="240"/>
                                </a:lnTo>
                                <a:lnTo>
                                  <a:pt x="1676" y="237"/>
                                </a:lnTo>
                                <a:lnTo>
                                  <a:pt x="1681" y="230"/>
                                </a:lnTo>
                                <a:lnTo>
                                  <a:pt x="1684" y="223"/>
                                </a:lnTo>
                                <a:lnTo>
                                  <a:pt x="1686" y="214"/>
                                </a:lnTo>
                                <a:lnTo>
                                  <a:pt x="1688" y="202"/>
                                </a:lnTo>
                                <a:lnTo>
                                  <a:pt x="1688" y="187"/>
                                </a:lnTo>
                                <a:lnTo>
                                  <a:pt x="1688" y="173"/>
                                </a:lnTo>
                                <a:lnTo>
                                  <a:pt x="1686" y="161"/>
                                </a:lnTo>
                                <a:lnTo>
                                  <a:pt x="1684" y="152"/>
                                </a:lnTo>
                                <a:lnTo>
                                  <a:pt x="1681" y="145"/>
                                </a:lnTo>
                                <a:lnTo>
                                  <a:pt x="1676" y="138"/>
                                </a:lnTo>
                                <a:lnTo>
                                  <a:pt x="1670" y="135"/>
                                </a:lnTo>
                                <a:lnTo>
                                  <a:pt x="1662" y="135"/>
                                </a:lnTo>
                                <a:lnTo>
                                  <a:pt x="1655" y="135"/>
                                </a:lnTo>
                                <a:lnTo>
                                  <a:pt x="1649" y="138"/>
                                </a:lnTo>
                                <a:lnTo>
                                  <a:pt x="1645" y="144"/>
                                </a:lnTo>
                                <a:lnTo>
                                  <a:pt x="1641" y="151"/>
                                </a:lnTo>
                                <a:lnTo>
                                  <a:pt x="1639" y="161"/>
                                </a:lnTo>
                                <a:lnTo>
                                  <a:pt x="1637" y="173"/>
                                </a:lnTo>
                                <a:lnTo>
                                  <a:pt x="1637" y="187"/>
                                </a:lnTo>
                                <a:close/>
                                <a:moveTo>
                                  <a:pt x="1805" y="289"/>
                                </a:moveTo>
                                <a:lnTo>
                                  <a:pt x="1799" y="280"/>
                                </a:lnTo>
                                <a:lnTo>
                                  <a:pt x="1793" y="271"/>
                                </a:lnTo>
                                <a:lnTo>
                                  <a:pt x="1788" y="261"/>
                                </a:lnTo>
                                <a:lnTo>
                                  <a:pt x="1783" y="250"/>
                                </a:lnTo>
                                <a:lnTo>
                                  <a:pt x="1779" y="239"/>
                                </a:lnTo>
                                <a:lnTo>
                                  <a:pt x="1776" y="228"/>
                                </a:lnTo>
                                <a:lnTo>
                                  <a:pt x="1775" y="216"/>
                                </a:lnTo>
                                <a:lnTo>
                                  <a:pt x="1774" y="204"/>
                                </a:lnTo>
                                <a:lnTo>
                                  <a:pt x="1774" y="194"/>
                                </a:lnTo>
                                <a:lnTo>
                                  <a:pt x="1776" y="184"/>
                                </a:lnTo>
                                <a:lnTo>
                                  <a:pt x="1778" y="174"/>
                                </a:lnTo>
                                <a:lnTo>
                                  <a:pt x="1781" y="164"/>
                                </a:lnTo>
                                <a:lnTo>
                                  <a:pt x="1785" y="153"/>
                                </a:lnTo>
                                <a:lnTo>
                                  <a:pt x="1791" y="142"/>
                                </a:lnTo>
                                <a:lnTo>
                                  <a:pt x="1797" y="131"/>
                                </a:lnTo>
                                <a:lnTo>
                                  <a:pt x="1805" y="120"/>
                                </a:lnTo>
                                <a:lnTo>
                                  <a:pt x="1816" y="120"/>
                                </a:lnTo>
                                <a:lnTo>
                                  <a:pt x="1809" y="132"/>
                                </a:lnTo>
                                <a:lnTo>
                                  <a:pt x="1805" y="141"/>
                                </a:lnTo>
                                <a:lnTo>
                                  <a:pt x="1802" y="146"/>
                                </a:lnTo>
                                <a:lnTo>
                                  <a:pt x="1799" y="154"/>
                                </a:lnTo>
                                <a:lnTo>
                                  <a:pt x="1796" y="162"/>
                                </a:lnTo>
                                <a:lnTo>
                                  <a:pt x="1794" y="171"/>
                                </a:lnTo>
                                <a:lnTo>
                                  <a:pt x="1791" y="182"/>
                                </a:lnTo>
                                <a:lnTo>
                                  <a:pt x="1790" y="193"/>
                                </a:lnTo>
                                <a:lnTo>
                                  <a:pt x="1790" y="204"/>
                                </a:lnTo>
                                <a:lnTo>
                                  <a:pt x="1792" y="225"/>
                                </a:lnTo>
                                <a:lnTo>
                                  <a:pt x="1797" y="247"/>
                                </a:lnTo>
                                <a:lnTo>
                                  <a:pt x="1805" y="268"/>
                                </a:lnTo>
                                <a:lnTo>
                                  <a:pt x="1816" y="289"/>
                                </a:lnTo>
                                <a:lnTo>
                                  <a:pt x="1805" y="289"/>
                                </a:lnTo>
                                <a:close/>
                                <a:moveTo>
                                  <a:pt x="1830" y="187"/>
                                </a:moveTo>
                                <a:lnTo>
                                  <a:pt x="1830" y="172"/>
                                </a:lnTo>
                                <a:lnTo>
                                  <a:pt x="1832" y="160"/>
                                </a:lnTo>
                                <a:lnTo>
                                  <a:pt x="1835" y="151"/>
                                </a:lnTo>
                                <a:lnTo>
                                  <a:pt x="1838" y="141"/>
                                </a:lnTo>
                                <a:lnTo>
                                  <a:pt x="1843" y="134"/>
                                </a:lnTo>
                                <a:lnTo>
                                  <a:pt x="1849" y="129"/>
                                </a:lnTo>
                                <a:lnTo>
                                  <a:pt x="1855" y="124"/>
                                </a:lnTo>
                                <a:lnTo>
                                  <a:pt x="1863" y="121"/>
                                </a:lnTo>
                                <a:lnTo>
                                  <a:pt x="1872" y="121"/>
                                </a:lnTo>
                                <a:lnTo>
                                  <a:pt x="1879" y="121"/>
                                </a:lnTo>
                                <a:lnTo>
                                  <a:pt x="1885" y="123"/>
                                </a:lnTo>
                                <a:lnTo>
                                  <a:pt x="1891" y="126"/>
                                </a:lnTo>
                                <a:lnTo>
                                  <a:pt x="1896" y="128"/>
                                </a:lnTo>
                                <a:lnTo>
                                  <a:pt x="1900" y="132"/>
                                </a:lnTo>
                                <a:lnTo>
                                  <a:pt x="1904" y="138"/>
                                </a:lnTo>
                                <a:lnTo>
                                  <a:pt x="1907" y="143"/>
                                </a:lnTo>
                                <a:lnTo>
                                  <a:pt x="1910" y="149"/>
                                </a:lnTo>
                                <a:lnTo>
                                  <a:pt x="1912" y="157"/>
                                </a:lnTo>
                                <a:lnTo>
                                  <a:pt x="1914" y="164"/>
                                </a:lnTo>
                                <a:lnTo>
                                  <a:pt x="1914" y="175"/>
                                </a:lnTo>
                                <a:lnTo>
                                  <a:pt x="1914" y="187"/>
                                </a:lnTo>
                                <a:lnTo>
                                  <a:pt x="1914" y="202"/>
                                </a:lnTo>
                                <a:lnTo>
                                  <a:pt x="1913" y="215"/>
                                </a:lnTo>
                                <a:lnTo>
                                  <a:pt x="1910" y="224"/>
                                </a:lnTo>
                                <a:lnTo>
                                  <a:pt x="1907" y="233"/>
                                </a:lnTo>
                                <a:lnTo>
                                  <a:pt x="1902" y="240"/>
                                </a:lnTo>
                                <a:lnTo>
                                  <a:pt x="1896" y="245"/>
                                </a:lnTo>
                                <a:lnTo>
                                  <a:pt x="1890" y="251"/>
                                </a:lnTo>
                                <a:lnTo>
                                  <a:pt x="1882" y="253"/>
                                </a:lnTo>
                                <a:lnTo>
                                  <a:pt x="1872" y="253"/>
                                </a:lnTo>
                                <a:lnTo>
                                  <a:pt x="1860" y="253"/>
                                </a:lnTo>
                                <a:lnTo>
                                  <a:pt x="1850" y="249"/>
                                </a:lnTo>
                                <a:lnTo>
                                  <a:pt x="1843" y="240"/>
                                </a:lnTo>
                                <a:lnTo>
                                  <a:pt x="1838" y="230"/>
                                </a:lnTo>
                                <a:lnTo>
                                  <a:pt x="1834" y="219"/>
                                </a:lnTo>
                                <a:lnTo>
                                  <a:pt x="1831" y="204"/>
                                </a:lnTo>
                                <a:lnTo>
                                  <a:pt x="1830" y="187"/>
                                </a:lnTo>
                                <a:close/>
                                <a:moveTo>
                                  <a:pt x="1847" y="187"/>
                                </a:moveTo>
                                <a:lnTo>
                                  <a:pt x="1847" y="202"/>
                                </a:lnTo>
                                <a:lnTo>
                                  <a:pt x="1849" y="214"/>
                                </a:lnTo>
                                <a:lnTo>
                                  <a:pt x="1851" y="223"/>
                                </a:lnTo>
                                <a:lnTo>
                                  <a:pt x="1854" y="230"/>
                                </a:lnTo>
                                <a:lnTo>
                                  <a:pt x="1859" y="237"/>
                                </a:lnTo>
                                <a:lnTo>
                                  <a:pt x="1865" y="240"/>
                                </a:lnTo>
                                <a:lnTo>
                                  <a:pt x="1872" y="240"/>
                                </a:lnTo>
                                <a:lnTo>
                                  <a:pt x="1880" y="240"/>
                                </a:lnTo>
                                <a:lnTo>
                                  <a:pt x="1886" y="237"/>
                                </a:lnTo>
                                <a:lnTo>
                                  <a:pt x="1891" y="230"/>
                                </a:lnTo>
                                <a:lnTo>
                                  <a:pt x="1894" y="223"/>
                                </a:lnTo>
                                <a:lnTo>
                                  <a:pt x="1896" y="214"/>
                                </a:lnTo>
                                <a:lnTo>
                                  <a:pt x="1898" y="202"/>
                                </a:lnTo>
                                <a:lnTo>
                                  <a:pt x="1898" y="187"/>
                                </a:lnTo>
                                <a:lnTo>
                                  <a:pt x="1898" y="173"/>
                                </a:lnTo>
                                <a:lnTo>
                                  <a:pt x="1896" y="161"/>
                                </a:lnTo>
                                <a:lnTo>
                                  <a:pt x="1894" y="152"/>
                                </a:lnTo>
                                <a:lnTo>
                                  <a:pt x="1891" y="145"/>
                                </a:lnTo>
                                <a:lnTo>
                                  <a:pt x="1886" y="138"/>
                                </a:lnTo>
                                <a:lnTo>
                                  <a:pt x="1880" y="135"/>
                                </a:lnTo>
                                <a:lnTo>
                                  <a:pt x="1872" y="135"/>
                                </a:lnTo>
                                <a:lnTo>
                                  <a:pt x="1865" y="135"/>
                                </a:lnTo>
                                <a:lnTo>
                                  <a:pt x="1859" y="138"/>
                                </a:lnTo>
                                <a:lnTo>
                                  <a:pt x="1855" y="144"/>
                                </a:lnTo>
                                <a:lnTo>
                                  <a:pt x="1851" y="151"/>
                                </a:lnTo>
                                <a:lnTo>
                                  <a:pt x="1849" y="161"/>
                                </a:lnTo>
                                <a:lnTo>
                                  <a:pt x="1847" y="173"/>
                                </a:lnTo>
                                <a:lnTo>
                                  <a:pt x="1847" y="187"/>
                                </a:lnTo>
                                <a:close/>
                                <a:moveTo>
                                  <a:pt x="1934" y="153"/>
                                </a:moveTo>
                                <a:lnTo>
                                  <a:pt x="1934" y="144"/>
                                </a:lnTo>
                                <a:lnTo>
                                  <a:pt x="1936" y="136"/>
                                </a:lnTo>
                                <a:lnTo>
                                  <a:pt x="1940" y="129"/>
                                </a:lnTo>
                                <a:lnTo>
                                  <a:pt x="1945" y="123"/>
                                </a:lnTo>
                                <a:lnTo>
                                  <a:pt x="1952" y="120"/>
                                </a:lnTo>
                                <a:lnTo>
                                  <a:pt x="1961" y="120"/>
                                </a:lnTo>
                                <a:lnTo>
                                  <a:pt x="1969" y="120"/>
                                </a:lnTo>
                                <a:lnTo>
                                  <a:pt x="1975" y="123"/>
                                </a:lnTo>
                                <a:lnTo>
                                  <a:pt x="1981" y="128"/>
                                </a:lnTo>
                                <a:lnTo>
                                  <a:pt x="1986" y="134"/>
                                </a:lnTo>
                                <a:lnTo>
                                  <a:pt x="1989" y="143"/>
                                </a:lnTo>
                                <a:lnTo>
                                  <a:pt x="1989" y="154"/>
                                </a:lnTo>
                                <a:lnTo>
                                  <a:pt x="1989" y="165"/>
                                </a:lnTo>
                                <a:lnTo>
                                  <a:pt x="1986" y="173"/>
                                </a:lnTo>
                                <a:lnTo>
                                  <a:pt x="1981" y="179"/>
                                </a:lnTo>
                                <a:lnTo>
                                  <a:pt x="1975" y="185"/>
                                </a:lnTo>
                                <a:lnTo>
                                  <a:pt x="1969" y="188"/>
                                </a:lnTo>
                                <a:lnTo>
                                  <a:pt x="1961" y="188"/>
                                </a:lnTo>
                                <a:lnTo>
                                  <a:pt x="1953" y="188"/>
                                </a:lnTo>
                                <a:lnTo>
                                  <a:pt x="1947" y="185"/>
                                </a:lnTo>
                                <a:lnTo>
                                  <a:pt x="1941" y="179"/>
                                </a:lnTo>
                                <a:lnTo>
                                  <a:pt x="1936" y="173"/>
                                </a:lnTo>
                                <a:lnTo>
                                  <a:pt x="1934" y="165"/>
                                </a:lnTo>
                                <a:lnTo>
                                  <a:pt x="1934" y="153"/>
                                </a:lnTo>
                                <a:close/>
                                <a:moveTo>
                                  <a:pt x="1961" y="131"/>
                                </a:moveTo>
                                <a:lnTo>
                                  <a:pt x="1957" y="131"/>
                                </a:lnTo>
                                <a:lnTo>
                                  <a:pt x="1954" y="132"/>
                                </a:lnTo>
                                <a:lnTo>
                                  <a:pt x="1951" y="136"/>
                                </a:lnTo>
                                <a:lnTo>
                                  <a:pt x="1949" y="139"/>
                                </a:lnTo>
                                <a:lnTo>
                                  <a:pt x="1947" y="145"/>
                                </a:lnTo>
                                <a:lnTo>
                                  <a:pt x="1947" y="155"/>
                                </a:lnTo>
                                <a:lnTo>
                                  <a:pt x="1947" y="163"/>
                                </a:lnTo>
                                <a:lnTo>
                                  <a:pt x="1949" y="169"/>
                                </a:lnTo>
                                <a:lnTo>
                                  <a:pt x="1951" y="172"/>
                                </a:lnTo>
                                <a:lnTo>
                                  <a:pt x="1954" y="175"/>
                                </a:lnTo>
                                <a:lnTo>
                                  <a:pt x="1957" y="177"/>
                                </a:lnTo>
                                <a:lnTo>
                                  <a:pt x="1961" y="177"/>
                                </a:lnTo>
                                <a:lnTo>
                                  <a:pt x="1965" y="177"/>
                                </a:lnTo>
                                <a:lnTo>
                                  <a:pt x="1968" y="175"/>
                                </a:lnTo>
                                <a:lnTo>
                                  <a:pt x="1971" y="172"/>
                                </a:lnTo>
                                <a:lnTo>
                                  <a:pt x="1974" y="169"/>
                                </a:lnTo>
                                <a:lnTo>
                                  <a:pt x="1975" y="162"/>
                                </a:lnTo>
                                <a:lnTo>
                                  <a:pt x="1975" y="153"/>
                                </a:lnTo>
                                <a:lnTo>
                                  <a:pt x="1975" y="145"/>
                                </a:lnTo>
                                <a:lnTo>
                                  <a:pt x="1974" y="139"/>
                                </a:lnTo>
                                <a:lnTo>
                                  <a:pt x="1971" y="136"/>
                                </a:lnTo>
                                <a:lnTo>
                                  <a:pt x="1968" y="132"/>
                                </a:lnTo>
                                <a:lnTo>
                                  <a:pt x="1965" y="131"/>
                                </a:lnTo>
                                <a:lnTo>
                                  <a:pt x="1961" y="131"/>
                                </a:lnTo>
                                <a:close/>
                                <a:moveTo>
                                  <a:pt x="1961" y="256"/>
                                </a:moveTo>
                                <a:lnTo>
                                  <a:pt x="2032" y="120"/>
                                </a:lnTo>
                                <a:lnTo>
                                  <a:pt x="2044" y="120"/>
                                </a:lnTo>
                                <a:lnTo>
                                  <a:pt x="1974" y="256"/>
                                </a:lnTo>
                                <a:lnTo>
                                  <a:pt x="1961" y="256"/>
                                </a:lnTo>
                                <a:close/>
                                <a:moveTo>
                                  <a:pt x="2017" y="221"/>
                                </a:moveTo>
                                <a:lnTo>
                                  <a:pt x="2017" y="211"/>
                                </a:lnTo>
                                <a:lnTo>
                                  <a:pt x="2019" y="204"/>
                                </a:lnTo>
                                <a:lnTo>
                                  <a:pt x="2024" y="197"/>
                                </a:lnTo>
                                <a:lnTo>
                                  <a:pt x="2028" y="191"/>
                                </a:lnTo>
                                <a:lnTo>
                                  <a:pt x="2035" y="187"/>
                                </a:lnTo>
                                <a:lnTo>
                                  <a:pt x="2044" y="187"/>
                                </a:lnTo>
                                <a:lnTo>
                                  <a:pt x="2052" y="187"/>
                                </a:lnTo>
                                <a:lnTo>
                                  <a:pt x="2059" y="190"/>
                                </a:lnTo>
                                <a:lnTo>
                                  <a:pt x="2064" y="196"/>
                                </a:lnTo>
                                <a:lnTo>
                                  <a:pt x="2069" y="202"/>
                                </a:lnTo>
                                <a:lnTo>
                                  <a:pt x="2072" y="210"/>
                                </a:lnTo>
                                <a:lnTo>
                                  <a:pt x="2072" y="222"/>
                                </a:lnTo>
                                <a:lnTo>
                                  <a:pt x="2072" y="232"/>
                                </a:lnTo>
                                <a:lnTo>
                                  <a:pt x="2069" y="241"/>
                                </a:lnTo>
                                <a:lnTo>
                                  <a:pt x="2064" y="247"/>
                                </a:lnTo>
                                <a:lnTo>
                                  <a:pt x="2059" y="253"/>
                                </a:lnTo>
                                <a:lnTo>
                                  <a:pt x="2052" y="256"/>
                                </a:lnTo>
                                <a:lnTo>
                                  <a:pt x="2044" y="256"/>
                                </a:lnTo>
                                <a:lnTo>
                                  <a:pt x="2036" y="256"/>
                                </a:lnTo>
                                <a:lnTo>
                                  <a:pt x="2030" y="253"/>
                                </a:lnTo>
                                <a:lnTo>
                                  <a:pt x="2025" y="247"/>
                                </a:lnTo>
                                <a:lnTo>
                                  <a:pt x="2019" y="241"/>
                                </a:lnTo>
                                <a:lnTo>
                                  <a:pt x="2017" y="232"/>
                                </a:lnTo>
                                <a:lnTo>
                                  <a:pt x="2017" y="221"/>
                                </a:lnTo>
                                <a:close/>
                                <a:moveTo>
                                  <a:pt x="2044" y="198"/>
                                </a:moveTo>
                                <a:lnTo>
                                  <a:pt x="2040" y="198"/>
                                </a:lnTo>
                                <a:lnTo>
                                  <a:pt x="2037" y="200"/>
                                </a:lnTo>
                                <a:lnTo>
                                  <a:pt x="2035" y="203"/>
                                </a:lnTo>
                                <a:lnTo>
                                  <a:pt x="2032" y="207"/>
                                </a:lnTo>
                                <a:lnTo>
                                  <a:pt x="2031" y="213"/>
                                </a:lnTo>
                                <a:lnTo>
                                  <a:pt x="2031" y="222"/>
                                </a:lnTo>
                                <a:lnTo>
                                  <a:pt x="2031" y="230"/>
                                </a:lnTo>
                                <a:lnTo>
                                  <a:pt x="2032" y="236"/>
                                </a:lnTo>
                                <a:lnTo>
                                  <a:pt x="2035" y="240"/>
                                </a:lnTo>
                                <a:lnTo>
                                  <a:pt x="2037" y="243"/>
                                </a:lnTo>
                                <a:lnTo>
                                  <a:pt x="2041" y="245"/>
                                </a:lnTo>
                                <a:lnTo>
                                  <a:pt x="2044" y="245"/>
                                </a:lnTo>
                                <a:lnTo>
                                  <a:pt x="2048" y="245"/>
                                </a:lnTo>
                                <a:lnTo>
                                  <a:pt x="2052" y="243"/>
                                </a:lnTo>
                                <a:lnTo>
                                  <a:pt x="2054" y="240"/>
                                </a:lnTo>
                                <a:lnTo>
                                  <a:pt x="2057" y="236"/>
                                </a:lnTo>
                                <a:lnTo>
                                  <a:pt x="2058" y="230"/>
                                </a:lnTo>
                                <a:lnTo>
                                  <a:pt x="2058" y="221"/>
                                </a:lnTo>
                                <a:lnTo>
                                  <a:pt x="2058" y="213"/>
                                </a:lnTo>
                                <a:lnTo>
                                  <a:pt x="2057" y="207"/>
                                </a:lnTo>
                                <a:lnTo>
                                  <a:pt x="2054" y="203"/>
                                </a:lnTo>
                                <a:lnTo>
                                  <a:pt x="2052" y="200"/>
                                </a:lnTo>
                                <a:lnTo>
                                  <a:pt x="2048" y="198"/>
                                </a:lnTo>
                                <a:lnTo>
                                  <a:pt x="2044" y="198"/>
                                </a:lnTo>
                                <a:close/>
                                <a:moveTo>
                                  <a:pt x="2105" y="289"/>
                                </a:moveTo>
                                <a:lnTo>
                                  <a:pt x="2094" y="289"/>
                                </a:lnTo>
                                <a:lnTo>
                                  <a:pt x="2106" y="268"/>
                                </a:lnTo>
                                <a:lnTo>
                                  <a:pt x="2114" y="247"/>
                                </a:lnTo>
                                <a:lnTo>
                                  <a:pt x="2119" y="225"/>
                                </a:lnTo>
                                <a:lnTo>
                                  <a:pt x="2120" y="204"/>
                                </a:lnTo>
                                <a:lnTo>
                                  <a:pt x="2120" y="193"/>
                                </a:lnTo>
                                <a:lnTo>
                                  <a:pt x="2119" y="182"/>
                                </a:lnTo>
                                <a:lnTo>
                                  <a:pt x="2117" y="171"/>
                                </a:lnTo>
                                <a:lnTo>
                                  <a:pt x="2115" y="163"/>
                                </a:lnTo>
                                <a:lnTo>
                                  <a:pt x="2112" y="154"/>
                                </a:lnTo>
                                <a:lnTo>
                                  <a:pt x="2108" y="146"/>
                                </a:lnTo>
                                <a:lnTo>
                                  <a:pt x="2106" y="141"/>
                                </a:lnTo>
                                <a:lnTo>
                                  <a:pt x="2101" y="132"/>
                                </a:lnTo>
                                <a:lnTo>
                                  <a:pt x="2094" y="120"/>
                                </a:lnTo>
                                <a:lnTo>
                                  <a:pt x="2105" y="120"/>
                                </a:lnTo>
                                <a:lnTo>
                                  <a:pt x="2113" y="131"/>
                                </a:lnTo>
                                <a:lnTo>
                                  <a:pt x="2120" y="142"/>
                                </a:lnTo>
                                <a:lnTo>
                                  <a:pt x="2125" y="153"/>
                                </a:lnTo>
                                <a:lnTo>
                                  <a:pt x="2130" y="164"/>
                                </a:lnTo>
                                <a:lnTo>
                                  <a:pt x="2133" y="174"/>
                                </a:lnTo>
                                <a:lnTo>
                                  <a:pt x="2135" y="184"/>
                                </a:lnTo>
                                <a:lnTo>
                                  <a:pt x="2136" y="194"/>
                                </a:lnTo>
                                <a:lnTo>
                                  <a:pt x="2137" y="204"/>
                                </a:lnTo>
                                <a:lnTo>
                                  <a:pt x="2136" y="216"/>
                                </a:lnTo>
                                <a:lnTo>
                                  <a:pt x="2134" y="228"/>
                                </a:lnTo>
                                <a:lnTo>
                                  <a:pt x="2131" y="239"/>
                                </a:lnTo>
                                <a:lnTo>
                                  <a:pt x="2127" y="250"/>
                                </a:lnTo>
                                <a:lnTo>
                                  <a:pt x="2123" y="261"/>
                                </a:lnTo>
                                <a:lnTo>
                                  <a:pt x="2117" y="271"/>
                                </a:lnTo>
                                <a:lnTo>
                                  <a:pt x="2112" y="280"/>
                                </a:lnTo>
                                <a:lnTo>
                                  <a:pt x="2105" y="289"/>
                                </a:lnTo>
                                <a:close/>
                                <a:moveTo>
                                  <a:pt x="3263" y="189"/>
                                </a:moveTo>
                                <a:lnTo>
                                  <a:pt x="3263" y="205"/>
                                </a:lnTo>
                                <a:lnTo>
                                  <a:pt x="3178" y="205"/>
                                </a:lnTo>
                                <a:lnTo>
                                  <a:pt x="3178" y="201"/>
                                </a:lnTo>
                                <a:lnTo>
                                  <a:pt x="3179" y="197"/>
                                </a:lnTo>
                                <a:lnTo>
                                  <a:pt x="3180" y="194"/>
                                </a:lnTo>
                                <a:lnTo>
                                  <a:pt x="3182" y="188"/>
                                </a:lnTo>
                                <a:lnTo>
                                  <a:pt x="3186" y="182"/>
                                </a:lnTo>
                                <a:lnTo>
                                  <a:pt x="3190" y="177"/>
                                </a:lnTo>
                                <a:lnTo>
                                  <a:pt x="3195" y="171"/>
                                </a:lnTo>
                                <a:lnTo>
                                  <a:pt x="3202" y="164"/>
                                </a:lnTo>
                                <a:lnTo>
                                  <a:pt x="3211" y="157"/>
                                </a:lnTo>
                                <a:lnTo>
                                  <a:pt x="3225" y="146"/>
                                </a:lnTo>
                                <a:lnTo>
                                  <a:pt x="3235" y="136"/>
                                </a:lnTo>
                                <a:lnTo>
                                  <a:pt x="3239" y="130"/>
                                </a:lnTo>
                                <a:lnTo>
                                  <a:pt x="3244" y="123"/>
                                </a:lnTo>
                                <a:lnTo>
                                  <a:pt x="3247" y="117"/>
                                </a:lnTo>
                                <a:lnTo>
                                  <a:pt x="3247" y="111"/>
                                </a:lnTo>
                                <a:lnTo>
                                  <a:pt x="3247" y="104"/>
                                </a:lnTo>
                                <a:lnTo>
                                  <a:pt x="3245" y="99"/>
                                </a:lnTo>
                                <a:lnTo>
                                  <a:pt x="3240" y="95"/>
                                </a:lnTo>
                                <a:lnTo>
                                  <a:pt x="3236" y="91"/>
                                </a:lnTo>
                                <a:lnTo>
                                  <a:pt x="3230" y="88"/>
                                </a:lnTo>
                                <a:lnTo>
                                  <a:pt x="3223" y="88"/>
                                </a:lnTo>
                                <a:lnTo>
                                  <a:pt x="3215" y="88"/>
                                </a:lnTo>
                                <a:lnTo>
                                  <a:pt x="3209" y="91"/>
                                </a:lnTo>
                                <a:lnTo>
                                  <a:pt x="3204" y="95"/>
                                </a:lnTo>
                                <a:lnTo>
                                  <a:pt x="3200" y="100"/>
                                </a:lnTo>
                                <a:lnTo>
                                  <a:pt x="3197" y="106"/>
                                </a:lnTo>
                                <a:lnTo>
                                  <a:pt x="3197" y="114"/>
                                </a:lnTo>
                                <a:lnTo>
                                  <a:pt x="3181" y="113"/>
                                </a:lnTo>
                                <a:lnTo>
                                  <a:pt x="3182" y="100"/>
                                </a:lnTo>
                                <a:lnTo>
                                  <a:pt x="3186" y="91"/>
                                </a:lnTo>
                                <a:lnTo>
                                  <a:pt x="3194" y="85"/>
                                </a:lnTo>
                                <a:lnTo>
                                  <a:pt x="3201" y="78"/>
                                </a:lnTo>
                                <a:lnTo>
                                  <a:pt x="3211" y="75"/>
                                </a:lnTo>
                                <a:lnTo>
                                  <a:pt x="3223" y="75"/>
                                </a:lnTo>
                                <a:lnTo>
                                  <a:pt x="3235" y="75"/>
                                </a:lnTo>
                                <a:lnTo>
                                  <a:pt x="3245" y="79"/>
                                </a:lnTo>
                                <a:lnTo>
                                  <a:pt x="3252" y="86"/>
                                </a:lnTo>
                                <a:lnTo>
                                  <a:pt x="3260" y="92"/>
                                </a:lnTo>
                                <a:lnTo>
                                  <a:pt x="3263" y="101"/>
                                </a:lnTo>
                                <a:lnTo>
                                  <a:pt x="3263" y="111"/>
                                </a:lnTo>
                                <a:lnTo>
                                  <a:pt x="3263" y="116"/>
                                </a:lnTo>
                                <a:lnTo>
                                  <a:pt x="3262" y="121"/>
                                </a:lnTo>
                                <a:lnTo>
                                  <a:pt x="3260" y="126"/>
                                </a:lnTo>
                                <a:lnTo>
                                  <a:pt x="3258" y="131"/>
                                </a:lnTo>
                                <a:lnTo>
                                  <a:pt x="3254" y="137"/>
                                </a:lnTo>
                                <a:lnTo>
                                  <a:pt x="3249" y="142"/>
                                </a:lnTo>
                                <a:lnTo>
                                  <a:pt x="3245" y="148"/>
                                </a:lnTo>
                                <a:lnTo>
                                  <a:pt x="3236" y="155"/>
                                </a:lnTo>
                                <a:lnTo>
                                  <a:pt x="3225" y="165"/>
                                </a:lnTo>
                                <a:lnTo>
                                  <a:pt x="3216" y="173"/>
                                </a:lnTo>
                                <a:lnTo>
                                  <a:pt x="3209" y="178"/>
                                </a:lnTo>
                                <a:lnTo>
                                  <a:pt x="3207" y="181"/>
                                </a:lnTo>
                                <a:lnTo>
                                  <a:pt x="3204" y="184"/>
                                </a:lnTo>
                                <a:lnTo>
                                  <a:pt x="3202" y="187"/>
                                </a:lnTo>
                                <a:lnTo>
                                  <a:pt x="3200" y="189"/>
                                </a:lnTo>
                                <a:lnTo>
                                  <a:pt x="3263" y="189"/>
                                </a:lnTo>
                                <a:close/>
                                <a:moveTo>
                                  <a:pt x="3365" y="243"/>
                                </a:moveTo>
                                <a:lnTo>
                                  <a:pt x="3359" y="234"/>
                                </a:lnTo>
                                <a:lnTo>
                                  <a:pt x="3353" y="225"/>
                                </a:lnTo>
                                <a:lnTo>
                                  <a:pt x="3348" y="215"/>
                                </a:lnTo>
                                <a:lnTo>
                                  <a:pt x="3343" y="204"/>
                                </a:lnTo>
                                <a:lnTo>
                                  <a:pt x="3339" y="193"/>
                                </a:lnTo>
                                <a:lnTo>
                                  <a:pt x="3336" y="181"/>
                                </a:lnTo>
                                <a:lnTo>
                                  <a:pt x="3334" y="170"/>
                                </a:lnTo>
                                <a:lnTo>
                                  <a:pt x="3334" y="158"/>
                                </a:lnTo>
                                <a:lnTo>
                                  <a:pt x="3334" y="148"/>
                                </a:lnTo>
                                <a:lnTo>
                                  <a:pt x="3335" y="138"/>
                                </a:lnTo>
                                <a:lnTo>
                                  <a:pt x="3338" y="128"/>
                                </a:lnTo>
                                <a:lnTo>
                                  <a:pt x="3340" y="118"/>
                                </a:lnTo>
                                <a:lnTo>
                                  <a:pt x="3345" y="107"/>
                                </a:lnTo>
                                <a:lnTo>
                                  <a:pt x="3351" y="96"/>
                                </a:lnTo>
                                <a:lnTo>
                                  <a:pt x="3357" y="85"/>
                                </a:lnTo>
                                <a:lnTo>
                                  <a:pt x="3365" y="74"/>
                                </a:lnTo>
                                <a:lnTo>
                                  <a:pt x="3376" y="74"/>
                                </a:lnTo>
                                <a:lnTo>
                                  <a:pt x="3369" y="86"/>
                                </a:lnTo>
                                <a:lnTo>
                                  <a:pt x="3364" y="95"/>
                                </a:lnTo>
                                <a:lnTo>
                                  <a:pt x="3362" y="100"/>
                                </a:lnTo>
                                <a:lnTo>
                                  <a:pt x="3359" y="108"/>
                                </a:lnTo>
                                <a:lnTo>
                                  <a:pt x="3356" y="116"/>
                                </a:lnTo>
                                <a:lnTo>
                                  <a:pt x="3354" y="125"/>
                                </a:lnTo>
                                <a:lnTo>
                                  <a:pt x="3351" y="136"/>
                                </a:lnTo>
                                <a:lnTo>
                                  <a:pt x="3350" y="147"/>
                                </a:lnTo>
                                <a:lnTo>
                                  <a:pt x="3350" y="158"/>
                                </a:lnTo>
                                <a:lnTo>
                                  <a:pt x="3352" y="179"/>
                                </a:lnTo>
                                <a:lnTo>
                                  <a:pt x="3357" y="200"/>
                                </a:lnTo>
                                <a:lnTo>
                                  <a:pt x="3365" y="221"/>
                                </a:lnTo>
                                <a:lnTo>
                                  <a:pt x="3376" y="243"/>
                                </a:lnTo>
                                <a:lnTo>
                                  <a:pt x="3365" y="243"/>
                                </a:lnTo>
                                <a:close/>
                                <a:moveTo>
                                  <a:pt x="3473" y="189"/>
                                </a:moveTo>
                                <a:lnTo>
                                  <a:pt x="3473" y="205"/>
                                </a:lnTo>
                                <a:lnTo>
                                  <a:pt x="3388" y="205"/>
                                </a:lnTo>
                                <a:lnTo>
                                  <a:pt x="3388" y="201"/>
                                </a:lnTo>
                                <a:lnTo>
                                  <a:pt x="3389" y="197"/>
                                </a:lnTo>
                                <a:lnTo>
                                  <a:pt x="3390" y="194"/>
                                </a:lnTo>
                                <a:lnTo>
                                  <a:pt x="3392" y="188"/>
                                </a:lnTo>
                                <a:lnTo>
                                  <a:pt x="3396" y="182"/>
                                </a:lnTo>
                                <a:lnTo>
                                  <a:pt x="3400" y="177"/>
                                </a:lnTo>
                                <a:lnTo>
                                  <a:pt x="3405" y="171"/>
                                </a:lnTo>
                                <a:lnTo>
                                  <a:pt x="3412" y="164"/>
                                </a:lnTo>
                                <a:lnTo>
                                  <a:pt x="3421" y="157"/>
                                </a:lnTo>
                                <a:lnTo>
                                  <a:pt x="3435" y="146"/>
                                </a:lnTo>
                                <a:lnTo>
                                  <a:pt x="3445" y="136"/>
                                </a:lnTo>
                                <a:lnTo>
                                  <a:pt x="3450" y="130"/>
                                </a:lnTo>
                                <a:lnTo>
                                  <a:pt x="3454" y="123"/>
                                </a:lnTo>
                                <a:lnTo>
                                  <a:pt x="3457" y="117"/>
                                </a:lnTo>
                                <a:lnTo>
                                  <a:pt x="3457" y="111"/>
                                </a:lnTo>
                                <a:lnTo>
                                  <a:pt x="3457" y="104"/>
                                </a:lnTo>
                                <a:lnTo>
                                  <a:pt x="3455" y="99"/>
                                </a:lnTo>
                                <a:lnTo>
                                  <a:pt x="3450" y="95"/>
                                </a:lnTo>
                                <a:lnTo>
                                  <a:pt x="3446" y="91"/>
                                </a:lnTo>
                                <a:lnTo>
                                  <a:pt x="3440" y="88"/>
                                </a:lnTo>
                                <a:lnTo>
                                  <a:pt x="3433" y="88"/>
                                </a:lnTo>
                                <a:lnTo>
                                  <a:pt x="3425" y="88"/>
                                </a:lnTo>
                                <a:lnTo>
                                  <a:pt x="3419" y="91"/>
                                </a:lnTo>
                                <a:lnTo>
                                  <a:pt x="3414" y="95"/>
                                </a:lnTo>
                                <a:lnTo>
                                  <a:pt x="3410" y="100"/>
                                </a:lnTo>
                                <a:lnTo>
                                  <a:pt x="3408" y="106"/>
                                </a:lnTo>
                                <a:lnTo>
                                  <a:pt x="3407" y="114"/>
                                </a:lnTo>
                                <a:lnTo>
                                  <a:pt x="3391" y="113"/>
                                </a:lnTo>
                                <a:lnTo>
                                  <a:pt x="3392" y="100"/>
                                </a:lnTo>
                                <a:lnTo>
                                  <a:pt x="3396" y="91"/>
                                </a:lnTo>
                                <a:lnTo>
                                  <a:pt x="3404" y="85"/>
                                </a:lnTo>
                                <a:lnTo>
                                  <a:pt x="3411" y="78"/>
                                </a:lnTo>
                                <a:lnTo>
                                  <a:pt x="3421" y="75"/>
                                </a:lnTo>
                                <a:lnTo>
                                  <a:pt x="3433" y="75"/>
                                </a:lnTo>
                                <a:lnTo>
                                  <a:pt x="3445" y="75"/>
                                </a:lnTo>
                                <a:lnTo>
                                  <a:pt x="3455" y="79"/>
                                </a:lnTo>
                                <a:lnTo>
                                  <a:pt x="3462" y="86"/>
                                </a:lnTo>
                                <a:lnTo>
                                  <a:pt x="3470" y="92"/>
                                </a:lnTo>
                                <a:lnTo>
                                  <a:pt x="3473" y="101"/>
                                </a:lnTo>
                                <a:lnTo>
                                  <a:pt x="3473" y="111"/>
                                </a:lnTo>
                                <a:lnTo>
                                  <a:pt x="3473" y="116"/>
                                </a:lnTo>
                                <a:lnTo>
                                  <a:pt x="3472" y="121"/>
                                </a:lnTo>
                                <a:lnTo>
                                  <a:pt x="3470" y="126"/>
                                </a:lnTo>
                                <a:lnTo>
                                  <a:pt x="3468" y="131"/>
                                </a:lnTo>
                                <a:lnTo>
                                  <a:pt x="3464" y="137"/>
                                </a:lnTo>
                                <a:lnTo>
                                  <a:pt x="3460" y="142"/>
                                </a:lnTo>
                                <a:lnTo>
                                  <a:pt x="3455" y="148"/>
                                </a:lnTo>
                                <a:lnTo>
                                  <a:pt x="3446" y="155"/>
                                </a:lnTo>
                                <a:lnTo>
                                  <a:pt x="3435" y="165"/>
                                </a:lnTo>
                                <a:lnTo>
                                  <a:pt x="3426" y="173"/>
                                </a:lnTo>
                                <a:lnTo>
                                  <a:pt x="3420" y="178"/>
                                </a:lnTo>
                                <a:lnTo>
                                  <a:pt x="3417" y="181"/>
                                </a:lnTo>
                                <a:lnTo>
                                  <a:pt x="3414" y="184"/>
                                </a:lnTo>
                                <a:lnTo>
                                  <a:pt x="3412" y="187"/>
                                </a:lnTo>
                                <a:lnTo>
                                  <a:pt x="3410" y="189"/>
                                </a:lnTo>
                                <a:lnTo>
                                  <a:pt x="3473" y="189"/>
                                </a:lnTo>
                                <a:close/>
                                <a:moveTo>
                                  <a:pt x="3499" y="205"/>
                                </a:moveTo>
                                <a:lnTo>
                                  <a:pt x="3499" y="187"/>
                                </a:lnTo>
                                <a:lnTo>
                                  <a:pt x="3517" y="187"/>
                                </a:lnTo>
                                <a:lnTo>
                                  <a:pt x="3517" y="205"/>
                                </a:lnTo>
                                <a:lnTo>
                                  <a:pt x="3499" y="205"/>
                                </a:lnTo>
                                <a:close/>
                                <a:moveTo>
                                  <a:pt x="3541" y="93"/>
                                </a:moveTo>
                                <a:lnTo>
                                  <a:pt x="3541" y="78"/>
                                </a:lnTo>
                                <a:lnTo>
                                  <a:pt x="3625" y="78"/>
                                </a:lnTo>
                                <a:lnTo>
                                  <a:pt x="3625" y="90"/>
                                </a:lnTo>
                                <a:lnTo>
                                  <a:pt x="3619" y="97"/>
                                </a:lnTo>
                                <a:lnTo>
                                  <a:pt x="3613" y="105"/>
                                </a:lnTo>
                                <a:lnTo>
                                  <a:pt x="3606" y="114"/>
                                </a:lnTo>
                                <a:lnTo>
                                  <a:pt x="3600" y="125"/>
                                </a:lnTo>
                                <a:lnTo>
                                  <a:pt x="3595" y="136"/>
                                </a:lnTo>
                                <a:lnTo>
                                  <a:pt x="3590" y="147"/>
                                </a:lnTo>
                                <a:lnTo>
                                  <a:pt x="3585" y="158"/>
                                </a:lnTo>
                                <a:lnTo>
                                  <a:pt x="3582" y="169"/>
                                </a:lnTo>
                                <a:lnTo>
                                  <a:pt x="3579" y="180"/>
                                </a:lnTo>
                                <a:lnTo>
                                  <a:pt x="3577" y="192"/>
                                </a:lnTo>
                                <a:lnTo>
                                  <a:pt x="3576" y="205"/>
                                </a:lnTo>
                                <a:lnTo>
                                  <a:pt x="3559" y="205"/>
                                </a:lnTo>
                                <a:lnTo>
                                  <a:pt x="3560" y="195"/>
                                </a:lnTo>
                                <a:lnTo>
                                  <a:pt x="3562" y="182"/>
                                </a:lnTo>
                                <a:lnTo>
                                  <a:pt x="3565" y="168"/>
                                </a:lnTo>
                                <a:lnTo>
                                  <a:pt x="3569" y="157"/>
                                </a:lnTo>
                                <a:lnTo>
                                  <a:pt x="3572" y="147"/>
                                </a:lnTo>
                                <a:lnTo>
                                  <a:pt x="3577" y="137"/>
                                </a:lnTo>
                                <a:lnTo>
                                  <a:pt x="3582" y="126"/>
                                </a:lnTo>
                                <a:lnTo>
                                  <a:pt x="3587" y="117"/>
                                </a:lnTo>
                                <a:lnTo>
                                  <a:pt x="3593" y="108"/>
                                </a:lnTo>
                                <a:lnTo>
                                  <a:pt x="3599" y="100"/>
                                </a:lnTo>
                                <a:lnTo>
                                  <a:pt x="3604" y="93"/>
                                </a:lnTo>
                                <a:lnTo>
                                  <a:pt x="3541" y="93"/>
                                </a:lnTo>
                                <a:close/>
                                <a:moveTo>
                                  <a:pt x="3643" y="107"/>
                                </a:moveTo>
                                <a:lnTo>
                                  <a:pt x="3643" y="98"/>
                                </a:lnTo>
                                <a:lnTo>
                                  <a:pt x="3646" y="90"/>
                                </a:lnTo>
                                <a:lnTo>
                                  <a:pt x="3650" y="83"/>
                                </a:lnTo>
                                <a:lnTo>
                                  <a:pt x="3655" y="77"/>
                                </a:lnTo>
                                <a:lnTo>
                                  <a:pt x="3662" y="74"/>
                                </a:lnTo>
                                <a:lnTo>
                                  <a:pt x="3670" y="74"/>
                                </a:lnTo>
                                <a:lnTo>
                                  <a:pt x="3679" y="74"/>
                                </a:lnTo>
                                <a:lnTo>
                                  <a:pt x="3685" y="77"/>
                                </a:lnTo>
                                <a:lnTo>
                                  <a:pt x="3691" y="82"/>
                                </a:lnTo>
                                <a:lnTo>
                                  <a:pt x="3696" y="88"/>
                                </a:lnTo>
                                <a:lnTo>
                                  <a:pt x="3699" y="97"/>
                                </a:lnTo>
                                <a:lnTo>
                                  <a:pt x="3699" y="108"/>
                                </a:lnTo>
                                <a:lnTo>
                                  <a:pt x="3699" y="119"/>
                                </a:lnTo>
                                <a:lnTo>
                                  <a:pt x="3696" y="127"/>
                                </a:lnTo>
                                <a:lnTo>
                                  <a:pt x="3690" y="133"/>
                                </a:lnTo>
                                <a:lnTo>
                                  <a:pt x="3685" y="139"/>
                                </a:lnTo>
                                <a:lnTo>
                                  <a:pt x="3679" y="142"/>
                                </a:lnTo>
                                <a:lnTo>
                                  <a:pt x="3671" y="142"/>
                                </a:lnTo>
                                <a:lnTo>
                                  <a:pt x="3663" y="142"/>
                                </a:lnTo>
                                <a:lnTo>
                                  <a:pt x="3656" y="139"/>
                                </a:lnTo>
                                <a:lnTo>
                                  <a:pt x="3651" y="133"/>
                                </a:lnTo>
                                <a:lnTo>
                                  <a:pt x="3646" y="127"/>
                                </a:lnTo>
                                <a:lnTo>
                                  <a:pt x="3643" y="118"/>
                                </a:lnTo>
                                <a:lnTo>
                                  <a:pt x="3643" y="107"/>
                                </a:lnTo>
                                <a:close/>
                                <a:moveTo>
                                  <a:pt x="3671" y="85"/>
                                </a:moveTo>
                                <a:lnTo>
                                  <a:pt x="3667" y="85"/>
                                </a:lnTo>
                                <a:lnTo>
                                  <a:pt x="3664" y="86"/>
                                </a:lnTo>
                                <a:lnTo>
                                  <a:pt x="3661" y="90"/>
                                </a:lnTo>
                                <a:lnTo>
                                  <a:pt x="3659" y="93"/>
                                </a:lnTo>
                                <a:lnTo>
                                  <a:pt x="3657" y="99"/>
                                </a:lnTo>
                                <a:lnTo>
                                  <a:pt x="3657" y="108"/>
                                </a:lnTo>
                                <a:lnTo>
                                  <a:pt x="3657" y="117"/>
                                </a:lnTo>
                                <a:lnTo>
                                  <a:pt x="3659" y="122"/>
                                </a:lnTo>
                                <a:lnTo>
                                  <a:pt x="3661" y="126"/>
                                </a:lnTo>
                                <a:lnTo>
                                  <a:pt x="3664" y="129"/>
                                </a:lnTo>
                                <a:lnTo>
                                  <a:pt x="3667" y="131"/>
                                </a:lnTo>
                                <a:lnTo>
                                  <a:pt x="3671" y="131"/>
                                </a:lnTo>
                                <a:lnTo>
                                  <a:pt x="3675" y="131"/>
                                </a:lnTo>
                                <a:lnTo>
                                  <a:pt x="3678" y="129"/>
                                </a:lnTo>
                                <a:lnTo>
                                  <a:pt x="3681" y="126"/>
                                </a:lnTo>
                                <a:lnTo>
                                  <a:pt x="3683" y="122"/>
                                </a:lnTo>
                                <a:lnTo>
                                  <a:pt x="3685" y="116"/>
                                </a:lnTo>
                                <a:lnTo>
                                  <a:pt x="3685" y="107"/>
                                </a:lnTo>
                                <a:lnTo>
                                  <a:pt x="3685" y="99"/>
                                </a:lnTo>
                                <a:lnTo>
                                  <a:pt x="3683" y="93"/>
                                </a:lnTo>
                                <a:lnTo>
                                  <a:pt x="3681" y="90"/>
                                </a:lnTo>
                                <a:lnTo>
                                  <a:pt x="3678" y="86"/>
                                </a:lnTo>
                                <a:lnTo>
                                  <a:pt x="3675" y="85"/>
                                </a:lnTo>
                                <a:lnTo>
                                  <a:pt x="3671" y="85"/>
                                </a:lnTo>
                                <a:close/>
                                <a:moveTo>
                                  <a:pt x="3671" y="209"/>
                                </a:moveTo>
                                <a:lnTo>
                                  <a:pt x="3742" y="74"/>
                                </a:lnTo>
                                <a:lnTo>
                                  <a:pt x="3754" y="74"/>
                                </a:lnTo>
                                <a:lnTo>
                                  <a:pt x="3684" y="209"/>
                                </a:lnTo>
                                <a:lnTo>
                                  <a:pt x="3671" y="209"/>
                                </a:lnTo>
                                <a:close/>
                                <a:moveTo>
                                  <a:pt x="3727" y="174"/>
                                </a:moveTo>
                                <a:lnTo>
                                  <a:pt x="3727" y="165"/>
                                </a:lnTo>
                                <a:lnTo>
                                  <a:pt x="3729" y="157"/>
                                </a:lnTo>
                                <a:lnTo>
                                  <a:pt x="3734" y="151"/>
                                </a:lnTo>
                                <a:lnTo>
                                  <a:pt x="3738" y="145"/>
                                </a:lnTo>
                                <a:lnTo>
                                  <a:pt x="3745" y="141"/>
                                </a:lnTo>
                                <a:lnTo>
                                  <a:pt x="3754" y="141"/>
                                </a:lnTo>
                                <a:lnTo>
                                  <a:pt x="3762" y="141"/>
                                </a:lnTo>
                                <a:lnTo>
                                  <a:pt x="3769" y="144"/>
                                </a:lnTo>
                                <a:lnTo>
                                  <a:pt x="3774" y="150"/>
                                </a:lnTo>
                                <a:lnTo>
                                  <a:pt x="3779" y="156"/>
                                </a:lnTo>
                                <a:lnTo>
                                  <a:pt x="3782" y="164"/>
                                </a:lnTo>
                                <a:lnTo>
                                  <a:pt x="3782" y="175"/>
                                </a:lnTo>
                                <a:lnTo>
                                  <a:pt x="3782" y="186"/>
                                </a:lnTo>
                                <a:lnTo>
                                  <a:pt x="3779" y="195"/>
                                </a:lnTo>
                                <a:lnTo>
                                  <a:pt x="3774" y="201"/>
                                </a:lnTo>
                                <a:lnTo>
                                  <a:pt x="3769" y="206"/>
                                </a:lnTo>
                                <a:lnTo>
                                  <a:pt x="3762" y="209"/>
                                </a:lnTo>
                                <a:lnTo>
                                  <a:pt x="3754" y="209"/>
                                </a:lnTo>
                                <a:lnTo>
                                  <a:pt x="3746" y="209"/>
                                </a:lnTo>
                                <a:lnTo>
                                  <a:pt x="3740" y="207"/>
                                </a:lnTo>
                                <a:lnTo>
                                  <a:pt x="3735" y="201"/>
                                </a:lnTo>
                                <a:lnTo>
                                  <a:pt x="3729" y="195"/>
                                </a:lnTo>
                                <a:lnTo>
                                  <a:pt x="3727" y="186"/>
                                </a:lnTo>
                                <a:lnTo>
                                  <a:pt x="3727" y="174"/>
                                </a:lnTo>
                                <a:close/>
                                <a:moveTo>
                                  <a:pt x="3754" y="152"/>
                                </a:moveTo>
                                <a:lnTo>
                                  <a:pt x="3750" y="152"/>
                                </a:lnTo>
                                <a:lnTo>
                                  <a:pt x="3747" y="154"/>
                                </a:lnTo>
                                <a:lnTo>
                                  <a:pt x="3744" y="157"/>
                                </a:lnTo>
                                <a:lnTo>
                                  <a:pt x="3742" y="161"/>
                                </a:lnTo>
                                <a:lnTo>
                                  <a:pt x="3741" y="167"/>
                                </a:lnTo>
                                <a:lnTo>
                                  <a:pt x="3741" y="176"/>
                                </a:lnTo>
                                <a:lnTo>
                                  <a:pt x="3741" y="184"/>
                                </a:lnTo>
                                <a:lnTo>
                                  <a:pt x="3742" y="190"/>
                                </a:lnTo>
                                <a:lnTo>
                                  <a:pt x="3745" y="193"/>
                                </a:lnTo>
                                <a:lnTo>
                                  <a:pt x="3747" y="197"/>
                                </a:lnTo>
                                <a:lnTo>
                                  <a:pt x="3750" y="199"/>
                                </a:lnTo>
                                <a:lnTo>
                                  <a:pt x="3754" y="199"/>
                                </a:lnTo>
                                <a:lnTo>
                                  <a:pt x="3758" y="199"/>
                                </a:lnTo>
                                <a:lnTo>
                                  <a:pt x="3762" y="197"/>
                                </a:lnTo>
                                <a:lnTo>
                                  <a:pt x="3764" y="193"/>
                                </a:lnTo>
                                <a:lnTo>
                                  <a:pt x="3767" y="190"/>
                                </a:lnTo>
                                <a:lnTo>
                                  <a:pt x="3768" y="184"/>
                                </a:lnTo>
                                <a:lnTo>
                                  <a:pt x="3768" y="175"/>
                                </a:lnTo>
                                <a:lnTo>
                                  <a:pt x="3768" y="166"/>
                                </a:lnTo>
                                <a:lnTo>
                                  <a:pt x="3767" y="161"/>
                                </a:lnTo>
                                <a:lnTo>
                                  <a:pt x="3764" y="157"/>
                                </a:lnTo>
                                <a:lnTo>
                                  <a:pt x="3762" y="154"/>
                                </a:lnTo>
                                <a:lnTo>
                                  <a:pt x="3758" y="152"/>
                                </a:lnTo>
                                <a:lnTo>
                                  <a:pt x="3754" y="152"/>
                                </a:lnTo>
                                <a:close/>
                                <a:moveTo>
                                  <a:pt x="3815" y="243"/>
                                </a:moveTo>
                                <a:lnTo>
                                  <a:pt x="3804" y="243"/>
                                </a:lnTo>
                                <a:lnTo>
                                  <a:pt x="3815" y="221"/>
                                </a:lnTo>
                                <a:lnTo>
                                  <a:pt x="3824" y="200"/>
                                </a:lnTo>
                                <a:lnTo>
                                  <a:pt x="3829" y="179"/>
                                </a:lnTo>
                                <a:lnTo>
                                  <a:pt x="3830" y="158"/>
                                </a:lnTo>
                                <a:lnTo>
                                  <a:pt x="3830" y="147"/>
                                </a:lnTo>
                                <a:lnTo>
                                  <a:pt x="3829" y="136"/>
                                </a:lnTo>
                                <a:lnTo>
                                  <a:pt x="3826" y="125"/>
                                </a:lnTo>
                                <a:lnTo>
                                  <a:pt x="3824" y="117"/>
                                </a:lnTo>
                                <a:lnTo>
                                  <a:pt x="3822" y="108"/>
                                </a:lnTo>
                                <a:lnTo>
                                  <a:pt x="3818" y="100"/>
                                </a:lnTo>
                                <a:lnTo>
                                  <a:pt x="3816" y="95"/>
                                </a:lnTo>
                                <a:lnTo>
                                  <a:pt x="3811" y="86"/>
                                </a:lnTo>
                                <a:lnTo>
                                  <a:pt x="3804" y="74"/>
                                </a:lnTo>
                                <a:lnTo>
                                  <a:pt x="3815" y="74"/>
                                </a:lnTo>
                                <a:lnTo>
                                  <a:pt x="3823" y="85"/>
                                </a:lnTo>
                                <a:lnTo>
                                  <a:pt x="3830" y="96"/>
                                </a:lnTo>
                                <a:lnTo>
                                  <a:pt x="3835" y="107"/>
                                </a:lnTo>
                                <a:lnTo>
                                  <a:pt x="3840" y="118"/>
                                </a:lnTo>
                                <a:lnTo>
                                  <a:pt x="3843" y="128"/>
                                </a:lnTo>
                                <a:lnTo>
                                  <a:pt x="3845" y="138"/>
                                </a:lnTo>
                                <a:lnTo>
                                  <a:pt x="3846" y="148"/>
                                </a:lnTo>
                                <a:lnTo>
                                  <a:pt x="3846" y="158"/>
                                </a:lnTo>
                                <a:lnTo>
                                  <a:pt x="3846" y="170"/>
                                </a:lnTo>
                                <a:lnTo>
                                  <a:pt x="3844" y="181"/>
                                </a:lnTo>
                                <a:lnTo>
                                  <a:pt x="3841" y="193"/>
                                </a:lnTo>
                                <a:lnTo>
                                  <a:pt x="3837" y="204"/>
                                </a:lnTo>
                                <a:lnTo>
                                  <a:pt x="3833" y="215"/>
                                </a:lnTo>
                                <a:lnTo>
                                  <a:pt x="3827" y="225"/>
                                </a:lnTo>
                                <a:lnTo>
                                  <a:pt x="3822" y="234"/>
                                </a:lnTo>
                                <a:lnTo>
                                  <a:pt x="3815" y="243"/>
                                </a:lnTo>
                                <a:close/>
                                <a:moveTo>
                                  <a:pt x="4851" y="131"/>
                                </a:moveTo>
                                <a:lnTo>
                                  <a:pt x="4851" y="100"/>
                                </a:lnTo>
                                <a:lnTo>
                                  <a:pt x="4795" y="100"/>
                                </a:lnTo>
                                <a:lnTo>
                                  <a:pt x="4795" y="86"/>
                                </a:lnTo>
                                <a:lnTo>
                                  <a:pt x="4854" y="2"/>
                                </a:lnTo>
                                <a:lnTo>
                                  <a:pt x="4867" y="2"/>
                                </a:lnTo>
                                <a:lnTo>
                                  <a:pt x="4867" y="86"/>
                                </a:lnTo>
                                <a:lnTo>
                                  <a:pt x="4884" y="86"/>
                                </a:lnTo>
                                <a:lnTo>
                                  <a:pt x="4884" y="100"/>
                                </a:lnTo>
                                <a:lnTo>
                                  <a:pt x="4867" y="100"/>
                                </a:lnTo>
                                <a:lnTo>
                                  <a:pt x="4867" y="131"/>
                                </a:lnTo>
                                <a:lnTo>
                                  <a:pt x="4851" y="131"/>
                                </a:lnTo>
                                <a:close/>
                                <a:moveTo>
                                  <a:pt x="4851" y="86"/>
                                </a:moveTo>
                                <a:lnTo>
                                  <a:pt x="4851" y="27"/>
                                </a:lnTo>
                                <a:lnTo>
                                  <a:pt x="4811" y="86"/>
                                </a:lnTo>
                                <a:lnTo>
                                  <a:pt x="4851" y="86"/>
                                </a:lnTo>
                                <a:close/>
                                <a:moveTo>
                                  <a:pt x="4985" y="169"/>
                                </a:moveTo>
                                <a:lnTo>
                                  <a:pt x="4979" y="160"/>
                                </a:lnTo>
                                <a:lnTo>
                                  <a:pt x="4973" y="151"/>
                                </a:lnTo>
                                <a:lnTo>
                                  <a:pt x="4968" y="141"/>
                                </a:lnTo>
                                <a:lnTo>
                                  <a:pt x="4963" y="130"/>
                                </a:lnTo>
                                <a:lnTo>
                                  <a:pt x="4959" y="119"/>
                                </a:lnTo>
                                <a:lnTo>
                                  <a:pt x="4956" y="108"/>
                                </a:lnTo>
                                <a:lnTo>
                                  <a:pt x="4954" y="96"/>
                                </a:lnTo>
                                <a:lnTo>
                                  <a:pt x="4954" y="84"/>
                                </a:lnTo>
                                <a:lnTo>
                                  <a:pt x="4954" y="74"/>
                                </a:lnTo>
                                <a:lnTo>
                                  <a:pt x="4955" y="64"/>
                                </a:lnTo>
                                <a:lnTo>
                                  <a:pt x="4958" y="54"/>
                                </a:lnTo>
                                <a:lnTo>
                                  <a:pt x="4960" y="44"/>
                                </a:lnTo>
                                <a:lnTo>
                                  <a:pt x="4965" y="33"/>
                                </a:lnTo>
                                <a:lnTo>
                                  <a:pt x="4971" y="22"/>
                                </a:lnTo>
                                <a:lnTo>
                                  <a:pt x="4977" y="11"/>
                                </a:lnTo>
                                <a:lnTo>
                                  <a:pt x="4985" y="0"/>
                                </a:lnTo>
                                <a:lnTo>
                                  <a:pt x="4996" y="0"/>
                                </a:lnTo>
                                <a:lnTo>
                                  <a:pt x="4989" y="12"/>
                                </a:lnTo>
                                <a:lnTo>
                                  <a:pt x="4984" y="21"/>
                                </a:lnTo>
                                <a:lnTo>
                                  <a:pt x="4982" y="26"/>
                                </a:lnTo>
                                <a:lnTo>
                                  <a:pt x="4979" y="34"/>
                                </a:lnTo>
                                <a:lnTo>
                                  <a:pt x="4976" y="42"/>
                                </a:lnTo>
                                <a:lnTo>
                                  <a:pt x="4974" y="51"/>
                                </a:lnTo>
                                <a:lnTo>
                                  <a:pt x="4971" y="62"/>
                                </a:lnTo>
                                <a:lnTo>
                                  <a:pt x="4970" y="73"/>
                                </a:lnTo>
                                <a:lnTo>
                                  <a:pt x="4970" y="84"/>
                                </a:lnTo>
                                <a:lnTo>
                                  <a:pt x="4972" y="105"/>
                                </a:lnTo>
                                <a:lnTo>
                                  <a:pt x="4977" y="127"/>
                                </a:lnTo>
                                <a:lnTo>
                                  <a:pt x="4985" y="148"/>
                                </a:lnTo>
                                <a:lnTo>
                                  <a:pt x="4996" y="169"/>
                                </a:lnTo>
                                <a:lnTo>
                                  <a:pt x="4985" y="169"/>
                                </a:lnTo>
                                <a:close/>
                                <a:moveTo>
                                  <a:pt x="5010" y="97"/>
                                </a:moveTo>
                                <a:lnTo>
                                  <a:pt x="5027" y="96"/>
                                </a:lnTo>
                                <a:lnTo>
                                  <a:pt x="5028" y="104"/>
                                </a:lnTo>
                                <a:lnTo>
                                  <a:pt x="5031" y="110"/>
                                </a:lnTo>
                                <a:lnTo>
                                  <a:pt x="5035" y="114"/>
                                </a:lnTo>
                                <a:lnTo>
                                  <a:pt x="5040" y="118"/>
                                </a:lnTo>
                                <a:lnTo>
                                  <a:pt x="5045" y="120"/>
                                </a:lnTo>
                                <a:lnTo>
                                  <a:pt x="5052" y="120"/>
                                </a:lnTo>
                                <a:lnTo>
                                  <a:pt x="5059" y="120"/>
                                </a:lnTo>
                                <a:lnTo>
                                  <a:pt x="5066" y="117"/>
                                </a:lnTo>
                                <a:lnTo>
                                  <a:pt x="5071" y="111"/>
                                </a:lnTo>
                                <a:lnTo>
                                  <a:pt x="5076" y="106"/>
                                </a:lnTo>
                                <a:lnTo>
                                  <a:pt x="5079" y="98"/>
                                </a:lnTo>
                                <a:lnTo>
                                  <a:pt x="5079" y="89"/>
                                </a:lnTo>
                                <a:lnTo>
                                  <a:pt x="5079" y="80"/>
                                </a:lnTo>
                                <a:lnTo>
                                  <a:pt x="5076" y="72"/>
                                </a:lnTo>
                                <a:lnTo>
                                  <a:pt x="5071" y="67"/>
                                </a:lnTo>
                                <a:lnTo>
                                  <a:pt x="5066" y="62"/>
                                </a:lnTo>
                                <a:lnTo>
                                  <a:pt x="5060" y="59"/>
                                </a:lnTo>
                                <a:lnTo>
                                  <a:pt x="5051" y="59"/>
                                </a:lnTo>
                                <a:lnTo>
                                  <a:pt x="5046" y="59"/>
                                </a:lnTo>
                                <a:lnTo>
                                  <a:pt x="5042" y="61"/>
                                </a:lnTo>
                                <a:lnTo>
                                  <a:pt x="5038" y="63"/>
                                </a:lnTo>
                                <a:lnTo>
                                  <a:pt x="5033" y="65"/>
                                </a:lnTo>
                                <a:lnTo>
                                  <a:pt x="5030" y="68"/>
                                </a:lnTo>
                                <a:lnTo>
                                  <a:pt x="5028" y="72"/>
                                </a:lnTo>
                                <a:lnTo>
                                  <a:pt x="5013" y="70"/>
                                </a:lnTo>
                                <a:lnTo>
                                  <a:pt x="5026" y="4"/>
                                </a:lnTo>
                                <a:lnTo>
                                  <a:pt x="5090" y="4"/>
                                </a:lnTo>
                                <a:lnTo>
                                  <a:pt x="5090" y="19"/>
                                </a:lnTo>
                                <a:lnTo>
                                  <a:pt x="5038" y="19"/>
                                </a:lnTo>
                                <a:lnTo>
                                  <a:pt x="5031" y="54"/>
                                </a:lnTo>
                                <a:lnTo>
                                  <a:pt x="5039" y="48"/>
                                </a:lnTo>
                                <a:lnTo>
                                  <a:pt x="5047" y="45"/>
                                </a:lnTo>
                                <a:lnTo>
                                  <a:pt x="5056" y="45"/>
                                </a:lnTo>
                                <a:lnTo>
                                  <a:pt x="5067" y="45"/>
                                </a:lnTo>
                                <a:lnTo>
                                  <a:pt x="5076" y="49"/>
                                </a:lnTo>
                                <a:lnTo>
                                  <a:pt x="5084" y="57"/>
                                </a:lnTo>
                                <a:lnTo>
                                  <a:pt x="5092" y="65"/>
                                </a:lnTo>
                                <a:lnTo>
                                  <a:pt x="5096" y="75"/>
                                </a:lnTo>
                                <a:lnTo>
                                  <a:pt x="5096" y="87"/>
                                </a:lnTo>
                                <a:lnTo>
                                  <a:pt x="5096" y="99"/>
                                </a:lnTo>
                                <a:lnTo>
                                  <a:pt x="5092" y="109"/>
                                </a:lnTo>
                                <a:lnTo>
                                  <a:pt x="5085" y="117"/>
                                </a:lnTo>
                                <a:lnTo>
                                  <a:pt x="5077" y="128"/>
                                </a:lnTo>
                                <a:lnTo>
                                  <a:pt x="5066" y="133"/>
                                </a:lnTo>
                                <a:lnTo>
                                  <a:pt x="5052" y="133"/>
                                </a:lnTo>
                                <a:lnTo>
                                  <a:pt x="5040" y="133"/>
                                </a:lnTo>
                                <a:lnTo>
                                  <a:pt x="5030" y="130"/>
                                </a:lnTo>
                                <a:lnTo>
                                  <a:pt x="5023" y="123"/>
                                </a:lnTo>
                                <a:lnTo>
                                  <a:pt x="5016" y="117"/>
                                </a:lnTo>
                                <a:lnTo>
                                  <a:pt x="5011" y="108"/>
                                </a:lnTo>
                                <a:lnTo>
                                  <a:pt x="5010" y="97"/>
                                </a:lnTo>
                                <a:close/>
                                <a:moveTo>
                                  <a:pt x="5119" y="131"/>
                                </a:moveTo>
                                <a:lnTo>
                                  <a:pt x="5119" y="113"/>
                                </a:lnTo>
                                <a:lnTo>
                                  <a:pt x="5137" y="113"/>
                                </a:lnTo>
                                <a:lnTo>
                                  <a:pt x="5137" y="131"/>
                                </a:lnTo>
                                <a:lnTo>
                                  <a:pt x="5119" y="131"/>
                                </a:lnTo>
                                <a:close/>
                                <a:moveTo>
                                  <a:pt x="5160" y="97"/>
                                </a:moveTo>
                                <a:lnTo>
                                  <a:pt x="5176" y="95"/>
                                </a:lnTo>
                                <a:lnTo>
                                  <a:pt x="5178" y="104"/>
                                </a:lnTo>
                                <a:lnTo>
                                  <a:pt x="5181" y="110"/>
                                </a:lnTo>
                                <a:lnTo>
                                  <a:pt x="5186" y="114"/>
                                </a:lnTo>
                                <a:lnTo>
                                  <a:pt x="5190" y="118"/>
                                </a:lnTo>
                                <a:lnTo>
                                  <a:pt x="5195" y="120"/>
                                </a:lnTo>
                                <a:lnTo>
                                  <a:pt x="5201" y="120"/>
                                </a:lnTo>
                                <a:lnTo>
                                  <a:pt x="5209" y="120"/>
                                </a:lnTo>
                                <a:lnTo>
                                  <a:pt x="5215" y="117"/>
                                </a:lnTo>
                                <a:lnTo>
                                  <a:pt x="5220" y="112"/>
                                </a:lnTo>
                                <a:lnTo>
                                  <a:pt x="5225" y="107"/>
                                </a:lnTo>
                                <a:lnTo>
                                  <a:pt x="5228" y="101"/>
                                </a:lnTo>
                                <a:lnTo>
                                  <a:pt x="5228" y="93"/>
                                </a:lnTo>
                                <a:lnTo>
                                  <a:pt x="5228" y="86"/>
                                </a:lnTo>
                                <a:lnTo>
                                  <a:pt x="5226" y="80"/>
                                </a:lnTo>
                                <a:lnTo>
                                  <a:pt x="5221" y="75"/>
                                </a:lnTo>
                                <a:lnTo>
                                  <a:pt x="5216" y="70"/>
                                </a:lnTo>
                                <a:lnTo>
                                  <a:pt x="5210" y="68"/>
                                </a:lnTo>
                                <a:lnTo>
                                  <a:pt x="5203" y="68"/>
                                </a:lnTo>
                                <a:lnTo>
                                  <a:pt x="5200" y="68"/>
                                </a:lnTo>
                                <a:lnTo>
                                  <a:pt x="5196" y="69"/>
                                </a:lnTo>
                                <a:lnTo>
                                  <a:pt x="5192" y="70"/>
                                </a:lnTo>
                                <a:lnTo>
                                  <a:pt x="5193" y="56"/>
                                </a:lnTo>
                                <a:lnTo>
                                  <a:pt x="5194" y="56"/>
                                </a:lnTo>
                                <a:lnTo>
                                  <a:pt x="5195" y="56"/>
                                </a:lnTo>
                                <a:lnTo>
                                  <a:pt x="5196" y="56"/>
                                </a:lnTo>
                                <a:lnTo>
                                  <a:pt x="5203" y="56"/>
                                </a:lnTo>
                                <a:lnTo>
                                  <a:pt x="5209" y="54"/>
                                </a:lnTo>
                                <a:lnTo>
                                  <a:pt x="5214" y="51"/>
                                </a:lnTo>
                                <a:lnTo>
                                  <a:pt x="5220" y="47"/>
                                </a:lnTo>
                                <a:lnTo>
                                  <a:pt x="5222" y="42"/>
                                </a:lnTo>
                                <a:lnTo>
                                  <a:pt x="5222" y="35"/>
                                </a:lnTo>
                                <a:lnTo>
                                  <a:pt x="5222" y="29"/>
                                </a:lnTo>
                                <a:lnTo>
                                  <a:pt x="5220" y="24"/>
                                </a:lnTo>
                                <a:lnTo>
                                  <a:pt x="5216" y="20"/>
                                </a:lnTo>
                                <a:lnTo>
                                  <a:pt x="5212" y="16"/>
                                </a:lnTo>
                                <a:lnTo>
                                  <a:pt x="5207" y="14"/>
                                </a:lnTo>
                                <a:lnTo>
                                  <a:pt x="5201" y="14"/>
                                </a:lnTo>
                                <a:lnTo>
                                  <a:pt x="5195" y="14"/>
                                </a:lnTo>
                                <a:lnTo>
                                  <a:pt x="5190" y="16"/>
                                </a:lnTo>
                                <a:lnTo>
                                  <a:pt x="5186" y="20"/>
                                </a:lnTo>
                                <a:lnTo>
                                  <a:pt x="5182" y="24"/>
                                </a:lnTo>
                                <a:lnTo>
                                  <a:pt x="5179" y="30"/>
                                </a:lnTo>
                                <a:lnTo>
                                  <a:pt x="5178" y="38"/>
                                </a:lnTo>
                                <a:lnTo>
                                  <a:pt x="5162" y="35"/>
                                </a:lnTo>
                                <a:lnTo>
                                  <a:pt x="5164" y="24"/>
                                </a:lnTo>
                                <a:lnTo>
                                  <a:pt x="5168" y="16"/>
                                </a:lnTo>
                                <a:lnTo>
                                  <a:pt x="5175" y="10"/>
                                </a:lnTo>
                                <a:lnTo>
                                  <a:pt x="5182" y="4"/>
                                </a:lnTo>
                                <a:lnTo>
                                  <a:pt x="5191" y="1"/>
                                </a:lnTo>
                                <a:lnTo>
                                  <a:pt x="5201" y="1"/>
                                </a:lnTo>
                                <a:lnTo>
                                  <a:pt x="5208" y="1"/>
                                </a:lnTo>
                                <a:lnTo>
                                  <a:pt x="5214" y="3"/>
                                </a:lnTo>
                                <a:lnTo>
                                  <a:pt x="5220" y="6"/>
                                </a:lnTo>
                                <a:lnTo>
                                  <a:pt x="5226" y="9"/>
                                </a:lnTo>
                                <a:lnTo>
                                  <a:pt x="5231" y="13"/>
                                </a:lnTo>
                                <a:lnTo>
                                  <a:pt x="5234" y="18"/>
                                </a:lnTo>
                                <a:lnTo>
                                  <a:pt x="5237" y="24"/>
                                </a:lnTo>
                                <a:lnTo>
                                  <a:pt x="5238" y="29"/>
                                </a:lnTo>
                                <a:lnTo>
                                  <a:pt x="5238" y="35"/>
                                </a:lnTo>
                                <a:lnTo>
                                  <a:pt x="5238" y="41"/>
                                </a:lnTo>
                                <a:lnTo>
                                  <a:pt x="5237" y="46"/>
                                </a:lnTo>
                                <a:lnTo>
                                  <a:pt x="5234" y="50"/>
                                </a:lnTo>
                                <a:lnTo>
                                  <a:pt x="5231" y="55"/>
                                </a:lnTo>
                                <a:lnTo>
                                  <a:pt x="5227" y="58"/>
                                </a:lnTo>
                                <a:lnTo>
                                  <a:pt x="5221" y="61"/>
                                </a:lnTo>
                                <a:lnTo>
                                  <a:pt x="5228" y="63"/>
                                </a:lnTo>
                                <a:lnTo>
                                  <a:pt x="5234" y="66"/>
                                </a:lnTo>
                                <a:lnTo>
                                  <a:pt x="5238" y="72"/>
                                </a:lnTo>
                                <a:lnTo>
                                  <a:pt x="5243" y="78"/>
                                </a:lnTo>
                                <a:lnTo>
                                  <a:pt x="5245" y="84"/>
                                </a:lnTo>
                                <a:lnTo>
                                  <a:pt x="5245" y="93"/>
                                </a:lnTo>
                                <a:lnTo>
                                  <a:pt x="5245" y="104"/>
                                </a:lnTo>
                                <a:lnTo>
                                  <a:pt x="5241" y="114"/>
                                </a:lnTo>
                                <a:lnTo>
                                  <a:pt x="5232" y="121"/>
                                </a:lnTo>
                                <a:lnTo>
                                  <a:pt x="5224" y="129"/>
                                </a:lnTo>
                                <a:lnTo>
                                  <a:pt x="5214" y="133"/>
                                </a:lnTo>
                                <a:lnTo>
                                  <a:pt x="5201" y="133"/>
                                </a:lnTo>
                                <a:lnTo>
                                  <a:pt x="5190" y="133"/>
                                </a:lnTo>
                                <a:lnTo>
                                  <a:pt x="5181" y="130"/>
                                </a:lnTo>
                                <a:lnTo>
                                  <a:pt x="5173" y="123"/>
                                </a:lnTo>
                                <a:lnTo>
                                  <a:pt x="5166" y="116"/>
                                </a:lnTo>
                                <a:lnTo>
                                  <a:pt x="5161" y="108"/>
                                </a:lnTo>
                                <a:lnTo>
                                  <a:pt x="5160" y="97"/>
                                </a:lnTo>
                                <a:close/>
                                <a:moveTo>
                                  <a:pt x="5263" y="33"/>
                                </a:moveTo>
                                <a:lnTo>
                                  <a:pt x="5263" y="24"/>
                                </a:lnTo>
                                <a:lnTo>
                                  <a:pt x="5266" y="16"/>
                                </a:lnTo>
                                <a:lnTo>
                                  <a:pt x="5270" y="9"/>
                                </a:lnTo>
                                <a:lnTo>
                                  <a:pt x="5275" y="3"/>
                                </a:lnTo>
                                <a:lnTo>
                                  <a:pt x="5282" y="0"/>
                                </a:lnTo>
                                <a:lnTo>
                                  <a:pt x="5290" y="0"/>
                                </a:lnTo>
                                <a:lnTo>
                                  <a:pt x="5299" y="0"/>
                                </a:lnTo>
                                <a:lnTo>
                                  <a:pt x="5305" y="3"/>
                                </a:lnTo>
                                <a:lnTo>
                                  <a:pt x="5311" y="8"/>
                                </a:lnTo>
                                <a:lnTo>
                                  <a:pt x="5316" y="14"/>
                                </a:lnTo>
                                <a:lnTo>
                                  <a:pt x="5319" y="23"/>
                                </a:lnTo>
                                <a:lnTo>
                                  <a:pt x="5319" y="34"/>
                                </a:lnTo>
                                <a:lnTo>
                                  <a:pt x="5319" y="45"/>
                                </a:lnTo>
                                <a:lnTo>
                                  <a:pt x="5316" y="53"/>
                                </a:lnTo>
                                <a:lnTo>
                                  <a:pt x="5310" y="59"/>
                                </a:lnTo>
                                <a:lnTo>
                                  <a:pt x="5305" y="65"/>
                                </a:lnTo>
                                <a:lnTo>
                                  <a:pt x="5299" y="68"/>
                                </a:lnTo>
                                <a:lnTo>
                                  <a:pt x="5291" y="68"/>
                                </a:lnTo>
                                <a:lnTo>
                                  <a:pt x="5283" y="68"/>
                                </a:lnTo>
                                <a:lnTo>
                                  <a:pt x="5276" y="65"/>
                                </a:lnTo>
                                <a:lnTo>
                                  <a:pt x="5271" y="59"/>
                                </a:lnTo>
                                <a:lnTo>
                                  <a:pt x="5266" y="53"/>
                                </a:lnTo>
                                <a:lnTo>
                                  <a:pt x="5263" y="45"/>
                                </a:lnTo>
                                <a:lnTo>
                                  <a:pt x="5263" y="33"/>
                                </a:lnTo>
                                <a:close/>
                                <a:moveTo>
                                  <a:pt x="5291" y="11"/>
                                </a:moveTo>
                                <a:lnTo>
                                  <a:pt x="5287" y="11"/>
                                </a:lnTo>
                                <a:lnTo>
                                  <a:pt x="5284" y="12"/>
                                </a:lnTo>
                                <a:lnTo>
                                  <a:pt x="5281" y="16"/>
                                </a:lnTo>
                                <a:lnTo>
                                  <a:pt x="5279" y="19"/>
                                </a:lnTo>
                                <a:lnTo>
                                  <a:pt x="5277" y="25"/>
                                </a:lnTo>
                                <a:lnTo>
                                  <a:pt x="5277" y="35"/>
                                </a:lnTo>
                                <a:lnTo>
                                  <a:pt x="5277" y="43"/>
                                </a:lnTo>
                                <a:lnTo>
                                  <a:pt x="5279" y="49"/>
                                </a:lnTo>
                                <a:lnTo>
                                  <a:pt x="5281" y="52"/>
                                </a:lnTo>
                                <a:lnTo>
                                  <a:pt x="5284" y="55"/>
                                </a:lnTo>
                                <a:lnTo>
                                  <a:pt x="5287" y="57"/>
                                </a:lnTo>
                                <a:lnTo>
                                  <a:pt x="5291" y="57"/>
                                </a:lnTo>
                                <a:lnTo>
                                  <a:pt x="5295" y="57"/>
                                </a:lnTo>
                                <a:lnTo>
                                  <a:pt x="5298" y="55"/>
                                </a:lnTo>
                                <a:lnTo>
                                  <a:pt x="5301" y="52"/>
                                </a:lnTo>
                                <a:lnTo>
                                  <a:pt x="5303" y="49"/>
                                </a:lnTo>
                                <a:lnTo>
                                  <a:pt x="5305" y="42"/>
                                </a:lnTo>
                                <a:lnTo>
                                  <a:pt x="5305" y="33"/>
                                </a:lnTo>
                                <a:lnTo>
                                  <a:pt x="5305" y="25"/>
                                </a:lnTo>
                                <a:lnTo>
                                  <a:pt x="5303" y="19"/>
                                </a:lnTo>
                                <a:lnTo>
                                  <a:pt x="5301" y="16"/>
                                </a:lnTo>
                                <a:lnTo>
                                  <a:pt x="5298" y="12"/>
                                </a:lnTo>
                                <a:lnTo>
                                  <a:pt x="5295" y="11"/>
                                </a:lnTo>
                                <a:lnTo>
                                  <a:pt x="5291" y="11"/>
                                </a:lnTo>
                                <a:close/>
                                <a:moveTo>
                                  <a:pt x="5291" y="136"/>
                                </a:moveTo>
                                <a:lnTo>
                                  <a:pt x="5362" y="0"/>
                                </a:lnTo>
                                <a:lnTo>
                                  <a:pt x="5374" y="0"/>
                                </a:lnTo>
                                <a:lnTo>
                                  <a:pt x="5304" y="136"/>
                                </a:lnTo>
                                <a:lnTo>
                                  <a:pt x="5291" y="136"/>
                                </a:lnTo>
                                <a:close/>
                                <a:moveTo>
                                  <a:pt x="5347" y="101"/>
                                </a:moveTo>
                                <a:lnTo>
                                  <a:pt x="5347" y="91"/>
                                </a:lnTo>
                                <a:lnTo>
                                  <a:pt x="5349" y="84"/>
                                </a:lnTo>
                                <a:lnTo>
                                  <a:pt x="5354" y="77"/>
                                </a:lnTo>
                                <a:lnTo>
                                  <a:pt x="5358" y="71"/>
                                </a:lnTo>
                                <a:lnTo>
                                  <a:pt x="5365" y="67"/>
                                </a:lnTo>
                                <a:lnTo>
                                  <a:pt x="5374" y="67"/>
                                </a:lnTo>
                                <a:lnTo>
                                  <a:pt x="5382" y="67"/>
                                </a:lnTo>
                                <a:lnTo>
                                  <a:pt x="5389" y="70"/>
                                </a:lnTo>
                                <a:lnTo>
                                  <a:pt x="5394" y="76"/>
                                </a:lnTo>
                                <a:lnTo>
                                  <a:pt x="5399" y="82"/>
                                </a:lnTo>
                                <a:lnTo>
                                  <a:pt x="5402" y="90"/>
                                </a:lnTo>
                                <a:lnTo>
                                  <a:pt x="5402" y="102"/>
                                </a:lnTo>
                                <a:lnTo>
                                  <a:pt x="5402" y="112"/>
                                </a:lnTo>
                                <a:lnTo>
                                  <a:pt x="5399" y="121"/>
                                </a:lnTo>
                                <a:lnTo>
                                  <a:pt x="5394" y="127"/>
                                </a:lnTo>
                                <a:lnTo>
                                  <a:pt x="5389" y="133"/>
                                </a:lnTo>
                                <a:lnTo>
                                  <a:pt x="5382" y="136"/>
                                </a:lnTo>
                                <a:lnTo>
                                  <a:pt x="5374" y="136"/>
                                </a:lnTo>
                                <a:lnTo>
                                  <a:pt x="5366" y="136"/>
                                </a:lnTo>
                                <a:lnTo>
                                  <a:pt x="5360" y="133"/>
                                </a:lnTo>
                                <a:lnTo>
                                  <a:pt x="5355" y="127"/>
                                </a:lnTo>
                                <a:lnTo>
                                  <a:pt x="5349" y="121"/>
                                </a:lnTo>
                                <a:lnTo>
                                  <a:pt x="5347" y="112"/>
                                </a:lnTo>
                                <a:lnTo>
                                  <a:pt x="5347" y="101"/>
                                </a:lnTo>
                                <a:close/>
                                <a:moveTo>
                                  <a:pt x="5374" y="78"/>
                                </a:moveTo>
                                <a:lnTo>
                                  <a:pt x="5370" y="78"/>
                                </a:lnTo>
                                <a:lnTo>
                                  <a:pt x="5367" y="80"/>
                                </a:lnTo>
                                <a:lnTo>
                                  <a:pt x="5364" y="83"/>
                                </a:lnTo>
                                <a:lnTo>
                                  <a:pt x="5362" y="87"/>
                                </a:lnTo>
                                <a:lnTo>
                                  <a:pt x="5361" y="93"/>
                                </a:lnTo>
                                <a:lnTo>
                                  <a:pt x="5361" y="102"/>
                                </a:lnTo>
                                <a:lnTo>
                                  <a:pt x="5361" y="110"/>
                                </a:lnTo>
                                <a:lnTo>
                                  <a:pt x="5362" y="116"/>
                                </a:lnTo>
                                <a:lnTo>
                                  <a:pt x="5365" y="120"/>
                                </a:lnTo>
                                <a:lnTo>
                                  <a:pt x="5367" y="123"/>
                                </a:lnTo>
                                <a:lnTo>
                                  <a:pt x="5370" y="125"/>
                                </a:lnTo>
                                <a:lnTo>
                                  <a:pt x="5374" y="125"/>
                                </a:lnTo>
                                <a:lnTo>
                                  <a:pt x="5378" y="125"/>
                                </a:lnTo>
                                <a:lnTo>
                                  <a:pt x="5382" y="123"/>
                                </a:lnTo>
                                <a:lnTo>
                                  <a:pt x="5384" y="120"/>
                                </a:lnTo>
                                <a:lnTo>
                                  <a:pt x="5387" y="116"/>
                                </a:lnTo>
                                <a:lnTo>
                                  <a:pt x="5388" y="110"/>
                                </a:lnTo>
                                <a:lnTo>
                                  <a:pt x="5388" y="101"/>
                                </a:lnTo>
                                <a:lnTo>
                                  <a:pt x="5388" y="93"/>
                                </a:lnTo>
                                <a:lnTo>
                                  <a:pt x="5387" y="87"/>
                                </a:lnTo>
                                <a:lnTo>
                                  <a:pt x="5384" y="83"/>
                                </a:lnTo>
                                <a:lnTo>
                                  <a:pt x="5382" y="80"/>
                                </a:lnTo>
                                <a:lnTo>
                                  <a:pt x="5378" y="78"/>
                                </a:lnTo>
                                <a:lnTo>
                                  <a:pt x="5374" y="78"/>
                                </a:lnTo>
                                <a:close/>
                                <a:moveTo>
                                  <a:pt x="5435" y="169"/>
                                </a:moveTo>
                                <a:lnTo>
                                  <a:pt x="5424" y="169"/>
                                </a:lnTo>
                                <a:lnTo>
                                  <a:pt x="5435" y="148"/>
                                </a:lnTo>
                                <a:lnTo>
                                  <a:pt x="5444" y="127"/>
                                </a:lnTo>
                                <a:lnTo>
                                  <a:pt x="5449" y="105"/>
                                </a:lnTo>
                                <a:lnTo>
                                  <a:pt x="5450" y="84"/>
                                </a:lnTo>
                                <a:lnTo>
                                  <a:pt x="5450" y="73"/>
                                </a:lnTo>
                                <a:lnTo>
                                  <a:pt x="5449" y="62"/>
                                </a:lnTo>
                                <a:lnTo>
                                  <a:pt x="5446" y="51"/>
                                </a:lnTo>
                                <a:lnTo>
                                  <a:pt x="5444" y="43"/>
                                </a:lnTo>
                                <a:lnTo>
                                  <a:pt x="5442" y="34"/>
                                </a:lnTo>
                                <a:lnTo>
                                  <a:pt x="5438" y="26"/>
                                </a:lnTo>
                                <a:lnTo>
                                  <a:pt x="5436" y="21"/>
                                </a:lnTo>
                                <a:lnTo>
                                  <a:pt x="5431" y="12"/>
                                </a:lnTo>
                                <a:lnTo>
                                  <a:pt x="5424" y="0"/>
                                </a:lnTo>
                                <a:lnTo>
                                  <a:pt x="5435" y="0"/>
                                </a:lnTo>
                                <a:lnTo>
                                  <a:pt x="5443" y="11"/>
                                </a:lnTo>
                                <a:lnTo>
                                  <a:pt x="5450" y="22"/>
                                </a:lnTo>
                                <a:lnTo>
                                  <a:pt x="5455" y="33"/>
                                </a:lnTo>
                                <a:lnTo>
                                  <a:pt x="5460" y="44"/>
                                </a:lnTo>
                                <a:lnTo>
                                  <a:pt x="5463" y="54"/>
                                </a:lnTo>
                                <a:lnTo>
                                  <a:pt x="5465" y="64"/>
                                </a:lnTo>
                                <a:lnTo>
                                  <a:pt x="5466" y="74"/>
                                </a:lnTo>
                                <a:lnTo>
                                  <a:pt x="5466" y="84"/>
                                </a:lnTo>
                                <a:lnTo>
                                  <a:pt x="5466" y="96"/>
                                </a:lnTo>
                                <a:lnTo>
                                  <a:pt x="5464" y="108"/>
                                </a:lnTo>
                                <a:lnTo>
                                  <a:pt x="5461" y="119"/>
                                </a:lnTo>
                                <a:lnTo>
                                  <a:pt x="5457" y="130"/>
                                </a:lnTo>
                                <a:lnTo>
                                  <a:pt x="5453" y="141"/>
                                </a:lnTo>
                                <a:lnTo>
                                  <a:pt x="5447" y="151"/>
                                </a:lnTo>
                                <a:lnTo>
                                  <a:pt x="5442" y="160"/>
                                </a:lnTo>
                                <a:lnTo>
                                  <a:pt x="5435" y="169"/>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819410781" name="Picture 2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5257"/>
                            <a:ext cx="255" cy="300"/>
                          </a:xfrm>
                          <a:prstGeom prst="rect">
                            <a:avLst/>
                          </a:prstGeom>
                          <a:noFill/>
                          <a:ln>
                            <a:noFill/>
                          </a:ln>
                          <a:effectLst/>
                        </pic:spPr>
                      </pic:pic>
                      <wps:wsp>
                        <wps:cNvPr id="1165470417" name="Rectangle 200"/>
                        <wps:cNvSpPr>
                          <a:spLocks noChangeArrowheads="1"/>
                        </wps:cNvSpPr>
                        <wps:spPr bwMode="auto">
                          <a:xfrm>
                            <a:off x="2070" y="756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344954304" name="AutoShape 199"/>
                        <wps:cNvSpPr/>
                        <wps:spPr bwMode="auto">
                          <a:xfrm>
                            <a:off x="2069" y="7567"/>
                            <a:ext cx="8130" cy="2700"/>
                          </a:xfrm>
                          <a:custGeom>
                            <a:avLst/>
                            <a:gdLst>
                              <a:gd name="T0" fmla="*/ 3570 w 8130"/>
                              <a:gd name="T1" fmla="*/ 9352 h 2700"/>
                              <a:gd name="T2" fmla="*/ 0 w 8130"/>
                              <a:gd name="T3" fmla="*/ 9352 h 2700"/>
                              <a:gd name="T4" fmla="*/ 0 w 8130"/>
                              <a:gd name="T5" fmla="*/ 9367 h 2700"/>
                              <a:gd name="T6" fmla="*/ 3570 w 8130"/>
                              <a:gd name="T7" fmla="*/ 9367 h 2700"/>
                              <a:gd name="T8" fmla="*/ 3570 w 8130"/>
                              <a:gd name="T9" fmla="*/ 9352 h 2700"/>
                              <a:gd name="T10" fmla="*/ 3570 w 8130"/>
                              <a:gd name="T11" fmla="*/ 8467 h 2700"/>
                              <a:gd name="T12" fmla="*/ 0 w 8130"/>
                              <a:gd name="T13" fmla="*/ 8467 h 2700"/>
                              <a:gd name="T14" fmla="*/ 0 w 8130"/>
                              <a:gd name="T15" fmla="*/ 8482 h 2700"/>
                              <a:gd name="T16" fmla="*/ 3570 w 8130"/>
                              <a:gd name="T17" fmla="*/ 8482 h 2700"/>
                              <a:gd name="T18" fmla="*/ 3570 w 8130"/>
                              <a:gd name="T19" fmla="*/ 8467 h 2700"/>
                              <a:gd name="T20" fmla="*/ 5190 w 8130"/>
                              <a:gd name="T21" fmla="*/ 9352 h 2700"/>
                              <a:gd name="T22" fmla="*/ 4560 w 8130"/>
                              <a:gd name="T23" fmla="*/ 9352 h 2700"/>
                              <a:gd name="T24" fmla="*/ 4560 w 8130"/>
                              <a:gd name="T25" fmla="*/ 9367 h 2700"/>
                              <a:gd name="T26" fmla="*/ 5190 w 8130"/>
                              <a:gd name="T27" fmla="*/ 9367 h 2700"/>
                              <a:gd name="T28" fmla="*/ 5190 w 8130"/>
                              <a:gd name="T29" fmla="*/ 9352 h 2700"/>
                              <a:gd name="T30" fmla="*/ 5190 w 8130"/>
                              <a:gd name="T31" fmla="*/ 8467 h 2700"/>
                              <a:gd name="T32" fmla="*/ 4560 w 8130"/>
                              <a:gd name="T33" fmla="*/ 8467 h 2700"/>
                              <a:gd name="T34" fmla="*/ 4560 w 8130"/>
                              <a:gd name="T35" fmla="*/ 8482 h 2700"/>
                              <a:gd name="T36" fmla="*/ 5190 w 8130"/>
                              <a:gd name="T37" fmla="*/ 8482 h 2700"/>
                              <a:gd name="T38" fmla="*/ 5190 w 8130"/>
                              <a:gd name="T39" fmla="*/ 8467 h 2700"/>
                              <a:gd name="T40" fmla="*/ 6810 w 8130"/>
                              <a:gd name="T41" fmla="*/ 9352 h 2700"/>
                              <a:gd name="T42" fmla="*/ 6195 w 8130"/>
                              <a:gd name="T43" fmla="*/ 9352 h 2700"/>
                              <a:gd name="T44" fmla="*/ 6195 w 8130"/>
                              <a:gd name="T45" fmla="*/ 9367 h 2700"/>
                              <a:gd name="T46" fmla="*/ 6810 w 8130"/>
                              <a:gd name="T47" fmla="*/ 9367 h 2700"/>
                              <a:gd name="T48" fmla="*/ 6810 w 8130"/>
                              <a:gd name="T49" fmla="*/ 9352 h 2700"/>
                              <a:gd name="T50" fmla="*/ 8130 w 8130"/>
                              <a:gd name="T51" fmla="*/ 10252 h 2700"/>
                              <a:gd name="T52" fmla="*/ 0 w 8130"/>
                              <a:gd name="T53" fmla="*/ 10252 h 2700"/>
                              <a:gd name="T54" fmla="*/ 0 w 8130"/>
                              <a:gd name="T55" fmla="*/ 10267 h 2700"/>
                              <a:gd name="T56" fmla="*/ 8130 w 8130"/>
                              <a:gd name="T57" fmla="*/ 10267 h 2700"/>
                              <a:gd name="T58" fmla="*/ 8130 w 8130"/>
                              <a:gd name="T59" fmla="*/ 10252 h 2700"/>
                              <a:gd name="T60" fmla="*/ 8130 w 8130"/>
                              <a:gd name="T61" fmla="*/ 9352 h 2700"/>
                              <a:gd name="T62" fmla="*/ 7815 w 8130"/>
                              <a:gd name="T63" fmla="*/ 9352 h 2700"/>
                              <a:gd name="T64" fmla="*/ 7815 w 8130"/>
                              <a:gd name="T65" fmla="*/ 9367 h 2700"/>
                              <a:gd name="T66" fmla="*/ 8130 w 8130"/>
                              <a:gd name="T67" fmla="*/ 9367 h 2700"/>
                              <a:gd name="T68" fmla="*/ 8130 w 8130"/>
                              <a:gd name="T69" fmla="*/ 9352 h 2700"/>
                              <a:gd name="T70" fmla="*/ 8130 w 8130"/>
                              <a:gd name="T71" fmla="*/ 8467 h 2700"/>
                              <a:gd name="T72" fmla="*/ 6195 w 8130"/>
                              <a:gd name="T73" fmla="*/ 8467 h 2700"/>
                              <a:gd name="T74" fmla="*/ 6195 w 8130"/>
                              <a:gd name="T75" fmla="*/ 8482 h 2700"/>
                              <a:gd name="T76" fmla="*/ 8130 w 8130"/>
                              <a:gd name="T77" fmla="*/ 8482 h 2700"/>
                              <a:gd name="T78" fmla="*/ 8130 w 8130"/>
                              <a:gd name="T79" fmla="*/ 8467 h 2700"/>
                              <a:gd name="T80" fmla="*/ 8130 w 8130"/>
                              <a:gd name="T81" fmla="*/ 7567 h 2700"/>
                              <a:gd name="T82" fmla="*/ 0 w 8130"/>
                              <a:gd name="T83" fmla="*/ 7567 h 2700"/>
                              <a:gd name="T84" fmla="*/ 0 w 8130"/>
                              <a:gd name="T85" fmla="*/ 7582 h 2700"/>
                              <a:gd name="T86" fmla="*/ 8130 w 8130"/>
                              <a:gd name="T87" fmla="*/ 7582 h 2700"/>
                              <a:gd name="T88" fmla="*/ 8130 w 8130"/>
                              <a:gd name="T89" fmla="*/ 7567 h 27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130" h="2700">
                                <a:moveTo>
                                  <a:pt x="3570" y="1785"/>
                                </a:moveTo>
                                <a:lnTo>
                                  <a:pt x="0" y="1785"/>
                                </a:lnTo>
                                <a:lnTo>
                                  <a:pt x="0" y="1800"/>
                                </a:lnTo>
                                <a:lnTo>
                                  <a:pt x="3570" y="1800"/>
                                </a:lnTo>
                                <a:lnTo>
                                  <a:pt x="3570" y="1785"/>
                                </a:lnTo>
                                <a:close/>
                                <a:moveTo>
                                  <a:pt x="3570" y="900"/>
                                </a:moveTo>
                                <a:lnTo>
                                  <a:pt x="0" y="900"/>
                                </a:lnTo>
                                <a:lnTo>
                                  <a:pt x="0" y="915"/>
                                </a:lnTo>
                                <a:lnTo>
                                  <a:pt x="3570" y="915"/>
                                </a:lnTo>
                                <a:lnTo>
                                  <a:pt x="3570" y="900"/>
                                </a:lnTo>
                                <a:close/>
                                <a:moveTo>
                                  <a:pt x="5190" y="1785"/>
                                </a:moveTo>
                                <a:lnTo>
                                  <a:pt x="4560" y="1785"/>
                                </a:lnTo>
                                <a:lnTo>
                                  <a:pt x="4560" y="1800"/>
                                </a:lnTo>
                                <a:lnTo>
                                  <a:pt x="5190" y="1800"/>
                                </a:lnTo>
                                <a:lnTo>
                                  <a:pt x="5190" y="1785"/>
                                </a:lnTo>
                                <a:close/>
                                <a:moveTo>
                                  <a:pt x="5190" y="900"/>
                                </a:moveTo>
                                <a:lnTo>
                                  <a:pt x="4560" y="900"/>
                                </a:lnTo>
                                <a:lnTo>
                                  <a:pt x="4560" y="915"/>
                                </a:lnTo>
                                <a:lnTo>
                                  <a:pt x="5190" y="915"/>
                                </a:lnTo>
                                <a:lnTo>
                                  <a:pt x="5190" y="900"/>
                                </a:lnTo>
                                <a:close/>
                                <a:moveTo>
                                  <a:pt x="6810" y="1785"/>
                                </a:moveTo>
                                <a:lnTo>
                                  <a:pt x="6195" y="1785"/>
                                </a:lnTo>
                                <a:lnTo>
                                  <a:pt x="6195" y="1800"/>
                                </a:lnTo>
                                <a:lnTo>
                                  <a:pt x="6810" y="1800"/>
                                </a:lnTo>
                                <a:lnTo>
                                  <a:pt x="6810" y="1785"/>
                                </a:lnTo>
                                <a:close/>
                                <a:moveTo>
                                  <a:pt x="8130" y="2685"/>
                                </a:moveTo>
                                <a:lnTo>
                                  <a:pt x="0" y="2685"/>
                                </a:lnTo>
                                <a:lnTo>
                                  <a:pt x="0" y="2700"/>
                                </a:lnTo>
                                <a:lnTo>
                                  <a:pt x="8130" y="2700"/>
                                </a:lnTo>
                                <a:lnTo>
                                  <a:pt x="8130" y="2685"/>
                                </a:lnTo>
                                <a:close/>
                                <a:moveTo>
                                  <a:pt x="8130" y="1785"/>
                                </a:moveTo>
                                <a:lnTo>
                                  <a:pt x="7815" y="1785"/>
                                </a:lnTo>
                                <a:lnTo>
                                  <a:pt x="7815" y="1800"/>
                                </a:lnTo>
                                <a:lnTo>
                                  <a:pt x="8130" y="1800"/>
                                </a:lnTo>
                                <a:lnTo>
                                  <a:pt x="8130" y="1785"/>
                                </a:lnTo>
                                <a:close/>
                                <a:moveTo>
                                  <a:pt x="8130" y="900"/>
                                </a:moveTo>
                                <a:lnTo>
                                  <a:pt x="6195" y="900"/>
                                </a:lnTo>
                                <a:lnTo>
                                  <a:pt x="6195" y="915"/>
                                </a:lnTo>
                                <a:lnTo>
                                  <a:pt x="8130" y="915"/>
                                </a:lnTo>
                                <a:lnTo>
                                  <a:pt x="8130" y="90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905711897" name="AutoShape 198"/>
                        <wps:cNvSpPr/>
                        <wps:spPr bwMode="auto">
                          <a:xfrm>
                            <a:off x="2069" y="8017"/>
                            <a:ext cx="8130" cy="1800"/>
                          </a:xfrm>
                          <a:custGeom>
                            <a:avLst/>
                            <a:gdLst>
                              <a:gd name="T0" fmla="*/ 1935 w 8130"/>
                              <a:gd name="T1" fmla="*/ 9802 h 1800"/>
                              <a:gd name="T2" fmla="*/ 0 w 8130"/>
                              <a:gd name="T3" fmla="*/ 9802 h 1800"/>
                              <a:gd name="T4" fmla="*/ 0 w 8130"/>
                              <a:gd name="T5" fmla="*/ 9817 h 1800"/>
                              <a:gd name="T6" fmla="*/ 1935 w 8130"/>
                              <a:gd name="T7" fmla="*/ 9817 h 1800"/>
                              <a:gd name="T8" fmla="*/ 1935 w 8130"/>
                              <a:gd name="T9" fmla="*/ 9802 h 1800"/>
                              <a:gd name="T10" fmla="*/ 3570 w 8130"/>
                              <a:gd name="T11" fmla="*/ 9802 h 1800"/>
                              <a:gd name="T12" fmla="*/ 2940 w 8130"/>
                              <a:gd name="T13" fmla="*/ 9802 h 1800"/>
                              <a:gd name="T14" fmla="*/ 2940 w 8130"/>
                              <a:gd name="T15" fmla="*/ 9817 h 1800"/>
                              <a:gd name="T16" fmla="*/ 3570 w 8130"/>
                              <a:gd name="T17" fmla="*/ 9817 h 1800"/>
                              <a:gd name="T18" fmla="*/ 3570 w 8130"/>
                              <a:gd name="T19" fmla="*/ 9802 h 1800"/>
                              <a:gd name="T20" fmla="*/ 3570 w 8130"/>
                              <a:gd name="T21" fmla="*/ 8917 h 1800"/>
                              <a:gd name="T22" fmla="*/ 0 w 8130"/>
                              <a:gd name="T23" fmla="*/ 8917 h 1800"/>
                              <a:gd name="T24" fmla="*/ 0 w 8130"/>
                              <a:gd name="T25" fmla="*/ 8932 h 1800"/>
                              <a:gd name="T26" fmla="*/ 3570 w 8130"/>
                              <a:gd name="T27" fmla="*/ 8932 h 1800"/>
                              <a:gd name="T28" fmla="*/ 3570 w 8130"/>
                              <a:gd name="T29" fmla="*/ 8917 h 1800"/>
                              <a:gd name="T30" fmla="*/ 3570 w 8130"/>
                              <a:gd name="T31" fmla="*/ 8017 h 1800"/>
                              <a:gd name="T32" fmla="*/ 0 w 8130"/>
                              <a:gd name="T33" fmla="*/ 8017 h 1800"/>
                              <a:gd name="T34" fmla="*/ 0 w 8130"/>
                              <a:gd name="T35" fmla="*/ 8032 h 1800"/>
                              <a:gd name="T36" fmla="*/ 3570 w 8130"/>
                              <a:gd name="T37" fmla="*/ 8032 h 1800"/>
                              <a:gd name="T38" fmla="*/ 3570 w 8130"/>
                              <a:gd name="T39" fmla="*/ 8017 h 1800"/>
                              <a:gd name="T40" fmla="*/ 5190 w 8130"/>
                              <a:gd name="T41" fmla="*/ 9802 h 1800"/>
                              <a:gd name="T42" fmla="*/ 4560 w 8130"/>
                              <a:gd name="T43" fmla="*/ 9802 h 1800"/>
                              <a:gd name="T44" fmla="*/ 4560 w 8130"/>
                              <a:gd name="T45" fmla="*/ 9817 h 1800"/>
                              <a:gd name="T46" fmla="*/ 5190 w 8130"/>
                              <a:gd name="T47" fmla="*/ 9817 h 1800"/>
                              <a:gd name="T48" fmla="*/ 5190 w 8130"/>
                              <a:gd name="T49" fmla="*/ 9802 h 1800"/>
                              <a:gd name="T50" fmla="*/ 5190 w 8130"/>
                              <a:gd name="T51" fmla="*/ 8917 h 1800"/>
                              <a:gd name="T52" fmla="*/ 4560 w 8130"/>
                              <a:gd name="T53" fmla="*/ 8917 h 1800"/>
                              <a:gd name="T54" fmla="*/ 4560 w 8130"/>
                              <a:gd name="T55" fmla="*/ 8932 h 1800"/>
                              <a:gd name="T56" fmla="*/ 5190 w 8130"/>
                              <a:gd name="T57" fmla="*/ 8932 h 1800"/>
                              <a:gd name="T58" fmla="*/ 5190 w 8130"/>
                              <a:gd name="T59" fmla="*/ 8917 h 1800"/>
                              <a:gd name="T60" fmla="*/ 6810 w 8130"/>
                              <a:gd name="T61" fmla="*/ 9802 h 1800"/>
                              <a:gd name="T62" fmla="*/ 6195 w 8130"/>
                              <a:gd name="T63" fmla="*/ 9802 h 1800"/>
                              <a:gd name="T64" fmla="*/ 6195 w 8130"/>
                              <a:gd name="T65" fmla="*/ 9817 h 1800"/>
                              <a:gd name="T66" fmla="*/ 6810 w 8130"/>
                              <a:gd name="T67" fmla="*/ 9817 h 1800"/>
                              <a:gd name="T68" fmla="*/ 6810 w 8130"/>
                              <a:gd name="T69" fmla="*/ 9802 h 1800"/>
                              <a:gd name="T70" fmla="*/ 6810 w 8130"/>
                              <a:gd name="T71" fmla="*/ 8917 h 1800"/>
                              <a:gd name="T72" fmla="*/ 6195 w 8130"/>
                              <a:gd name="T73" fmla="*/ 8917 h 1800"/>
                              <a:gd name="T74" fmla="*/ 6195 w 8130"/>
                              <a:gd name="T75" fmla="*/ 8932 h 1800"/>
                              <a:gd name="T76" fmla="*/ 6810 w 8130"/>
                              <a:gd name="T77" fmla="*/ 8932 h 1800"/>
                              <a:gd name="T78" fmla="*/ 6810 w 8130"/>
                              <a:gd name="T79" fmla="*/ 8917 h 1800"/>
                              <a:gd name="T80" fmla="*/ 8130 w 8130"/>
                              <a:gd name="T81" fmla="*/ 9802 h 1800"/>
                              <a:gd name="T82" fmla="*/ 7815 w 8130"/>
                              <a:gd name="T83" fmla="*/ 9802 h 1800"/>
                              <a:gd name="T84" fmla="*/ 7815 w 8130"/>
                              <a:gd name="T85" fmla="*/ 9817 h 1800"/>
                              <a:gd name="T86" fmla="*/ 8130 w 8130"/>
                              <a:gd name="T87" fmla="*/ 9817 h 1800"/>
                              <a:gd name="T88" fmla="*/ 8130 w 8130"/>
                              <a:gd name="T89" fmla="*/ 9802 h 1800"/>
                              <a:gd name="T90" fmla="*/ 8130 w 8130"/>
                              <a:gd name="T91" fmla="*/ 8917 h 1800"/>
                              <a:gd name="T92" fmla="*/ 7815 w 8130"/>
                              <a:gd name="T93" fmla="*/ 8917 h 1800"/>
                              <a:gd name="T94" fmla="*/ 7815 w 8130"/>
                              <a:gd name="T95" fmla="*/ 8932 h 1800"/>
                              <a:gd name="T96" fmla="*/ 8130 w 8130"/>
                              <a:gd name="T97" fmla="*/ 8932 h 1800"/>
                              <a:gd name="T98" fmla="*/ 8130 w 8130"/>
                              <a:gd name="T99" fmla="*/ 8917 h 1800"/>
                              <a:gd name="T100" fmla="*/ 8130 w 8130"/>
                              <a:gd name="T101" fmla="*/ 8017 h 1800"/>
                              <a:gd name="T102" fmla="*/ 4560 w 8130"/>
                              <a:gd name="T103" fmla="*/ 8017 h 1800"/>
                              <a:gd name="T104" fmla="*/ 4560 w 8130"/>
                              <a:gd name="T105" fmla="*/ 8032 h 1800"/>
                              <a:gd name="T106" fmla="*/ 8130 w 8130"/>
                              <a:gd name="T107" fmla="*/ 8032 h 1800"/>
                              <a:gd name="T108" fmla="*/ 8130 w 8130"/>
                              <a:gd name="T109" fmla="*/ 8017 h 18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1800">
                                <a:moveTo>
                                  <a:pt x="1935" y="1785"/>
                                </a:moveTo>
                                <a:lnTo>
                                  <a:pt x="0" y="1785"/>
                                </a:lnTo>
                                <a:lnTo>
                                  <a:pt x="0" y="1800"/>
                                </a:lnTo>
                                <a:lnTo>
                                  <a:pt x="1935" y="1800"/>
                                </a:lnTo>
                                <a:lnTo>
                                  <a:pt x="1935" y="1785"/>
                                </a:lnTo>
                                <a:close/>
                                <a:moveTo>
                                  <a:pt x="3570" y="1785"/>
                                </a:moveTo>
                                <a:lnTo>
                                  <a:pt x="2940" y="1785"/>
                                </a:lnTo>
                                <a:lnTo>
                                  <a:pt x="2940" y="1800"/>
                                </a:lnTo>
                                <a:lnTo>
                                  <a:pt x="3570" y="1800"/>
                                </a:lnTo>
                                <a:lnTo>
                                  <a:pt x="3570" y="1785"/>
                                </a:lnTo>
                                <a:close/>
                                <a:moveTo>
                                  <a:pt x="3570" y="900"/>
                                </a:moveTo>
                                <a:lnTo>
                                  <a:pt x="0" y="900"/>
                                </a:lnTo>
                                <a:lnTo>
                                  <a:pt x="0" y="915"/>
                                </a:lnTo>
                                <a:lnTo>
                                  <a:pt x="3570" y="915"/>
                                </a:lnTo>
                                <a:lnTo>
                                  <a:pt x="3570" y="900"/>
                                </a:lnTo>
                                <a:close/>
                                <a:moveTo>
                                  <a:pt x="3570" y="0"/>
                                </a:moveTo>
                                <a:lnTo>
                                  <a:pt x="0" y="0"/>
                                </a:lnTo>
                                <a:lnTo>
                                  <a:pt x="0" y="15"/>
                                </a:lnTo>
                                <a:lnTo>
                                  <a:pt x="3570" y="15"/>
                                </a:lnTo>
                                <a:lnTo>
                                  <a:pt x="3570" y="0"/>
                                </a:lnTo>
                                <a:close/>
                                <a:moveTo>
                                  <a:pt x="5190" y="1785"/>
                                </a:moveTo>
                                <a:lnTo>
                                  <a:pt x="4560" y="1785"/>
                                </a:lnTo>
                                <a:lnTo>
                                  <a:pt x="4560" y="1800"/>
                                </a:lnTo>
                                <a:lnTo>
                                  <a:pt x="5190" y="1800"/>
                                </a:lnTo>
                                <a:lnTo>
                                  <a:pt x="5190" y="1785"/>
                                </a:lnTo>
                                <a:close/>
                                <a:moveTo>
                                  <a:pt x="5190" y="900"/>
                                </a:moveTo>
                                <a:lnTo>
                                  <a:pt x="4560" y="900"/>
                                </a:lnTo>
                                <a:lnTo>
                                  <a:pt x="4560" y="915"/>
                                </a:lnTo>
                                <a:lnTo>
                                  <a:pt x="5190" y="915"/>
                                </a:lnTo>
                                <a:lnTo>
                                  <a:pt x="5190" y="900"/>
                                </a:lnTo>
                                <a:close/>
                                <a:moveTo>
                                  <a:pt x="6810" y="1785"/>
                                </a:moveTo>
                                <a:lnTo>
                                  <a:pt x="6195" y="1785"/>
                                </a:lnTo>
                                <a:lnTo>
                                  <a:pt x="6195" y="1800"/>
                                </a:lnTo>
                                <a:lnTo>
                                  <a:pt x="6810" y="1800"/>
                                </a:lnTo>
                                <a:lnTo>
                                  <a:pt x="6810" y="1785"/>
                                </a:lnTo>
                                <a:close/>
                                <a:moveTo>
                                  <a:pt x="6810" y="900"/>
                                </a:moveTo>
                                <a:lnTo>
                                  <a:pt x="6195" y="900"/>
                                </a:lnTo>
                                <a:lnTo>
                                  <a:pt x="6195" y="915"/>
                                </a:lnTo>
                                <a:lnTo>
                                  <a:pt x="6810" y="915"/>
                                </a:lnTo>
                                <a:lnTo>
                                  <a:pt x="6810" y="900"/>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4560" y="0"/>
                                </a:lnTo>
                                <a:lnTo>
                                  <a:pt x="456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553975985" name="AutoShape 197"/>
                        <wps:cNvSpPr/>
                        <wps:spPr bwMode="auto">
                          <a:xfrm>
                            <a:off x="2384" y="7762"/>
                            <a:ext cx="7500" cy="2490"/>
                          </a:xfrm>
                          <a:custGeom>
                            <a:avLst/>
                            <a:gdLst>
                              <a:gd name="T0" fmla="*/ 1005 w 7500"/>
                              <a:gd name="T1" fmla="*/ 10087 h 2490"/>
                              <a:gd name="T2" fmla="*/ 0 w 7500"/>
                              <a:gd name="T3" fmla="*/ 10087 h 2490"/>
                              <a:gd name="T4" fmla="*/ 0 w 7500"/>
                              <a:gd name="T5" fmla="*/ 10252 h 2490"/>
                              <a:gd name="T6" fmla="*/ 1005 w 7500"/>
                              <a:gd name="T7" fmla="*/ 10252 h 2490"/>
                              <a:gd name="T8" fmla="*/ 1005 w 7500"/>
                              <a:gd name="T9" fmla="*/ 10087 h 2490"/>
                              <a:gd name="T10" fmla="*/ 4245 w 7500"/>
                              <a:gd name="T11" fmla="*/ 7762 h 2490"/>
                              <a:gd name="T12" fmla="*/ 3255 w 7500"/>
                              <a:gd name="T13" fmla="*/ 7762 h 2490"/>
                              <a:gd name="T14" fmla="*/ 3255 w 7500"/>
                              <a:gd name="T15" fmla="*/ 10252 h 2490"/>
                              <a:gd name="T16" fmla="*/ 4245 w 7500"/>
                              <a:gd name="T17" fmla="*/ 10252 h 2490"/>
                              <a:gd name="T18" fmla="*/ 4245 w 7500"/>
                              <a:gd name="T19" fmla="*/ 7762 h 2490"/>
                              <a:gd name="T20" fmla="*/ 5880 w 7500"/>
                              <a:gd name="T21" fmla="*/ 8302 h 2490"/>
                              <a:gd name="T22" fmla="*/ 4875 w 7500"/>
                              <a:gd name="T23" fmla="*/ 8302 h 2490"/>
                              <a:gd name="T24" fmla="*/ 4875 w 7500"/>
                              <a:gd name="T25" fmla="*/ 10252 h 2490"/>
                              <a:gd name="T26" fmla="*/ 5880 w 7500"/>
                              <a:gd name="T27" fmla="*/ 10252 h 2490"/>
                              <a:gd name="T28" fmla="*/ 5880 w 7500"/>
                              <a:gd name="T29" fmla="*/ 8302 h 2490"/>
                              <a:gd name="T30" fmla="*/ 7500 w 7500"/>
                              <a:gd name="T31" fmla="*/ 8842 h 2490"/>
                              <a:gd name="T32" fmla="*/ 6495 w 7500"/>
                              <a:gd name="T33" fmla="*/ 8842 h 2490"/>
                              <a:gd name="T34" fmla="*/ 6495 w 7500"/>
                              <a:gd name="T35" fmla="*/ 10252 h 2490"/>
                              <a:gd name="T36" fmla="*/ 7500 w 7500"/>
                              <a:gd name="T37" fmla="*/ 10252 h 2490"/>
                              <a:gd name="T38" fmla="*/ 7500 w 7500"/>
                              <a:gd name="T39" fmla="*/ 8842 h 249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500" h="2490">
                                <a:moveTo>
                                  <a:pt x="1005" y="2325"/>
                                </a:moveTo>
                                <a:lnTo>
                                  <a:pt x="0" y="2325"/>
                                </a:lnTo>
                                <a:lnTo>
                                  <a:pt x="0" y="2490"/>
                                </a:lnTo>
                                <a:lnTo>
                                  <a:pt x="1005" y="2490"/>
                                </a:lnTo>
                                <a:lnTo>
                                  <a:pt x="1005" y="2325"/>
                                </a:lnTo>
                                <a:close/>
                                <a:moveTo>
                                  <a:pt x="4245" y="0"/>
                                </a:moveTo>
                                <a:lnTo>
                                  <a:pt x="3255" y="0"/>
                                </a:lnTo>
                                <a:lnTo>
                                  <a:pt x="3255" y="2490"/>
                                </a:lnTo>
                                <a:lnTo>
                                  <a:pt x="4245" y="2490"/>
                                </a:lnTo>
                                <a:lnTo>
                                  <a:pt x="4245" y="0"/>
                                </a:lnTo>
                                <a:close/>
                                <a:moveTo>
                                  <a:pt x="5880" y="540"/>
                                </a:moveTo>
                                <a:lnTo>
                                  <a:pt x="4875" y="540"/>
                                </a:lnTo>
                                <a:lnTo>
                                  <a:pt x="4875" y="2490"/>
                                </a:lnTo>
                                <a:lnTo>
                                  <a:pt x="5880" y="2490"/>
                                </a:lnTo>
                                <a:lnTo>
                                  <a:pt x="5880" y="540"/>
                                </a:lnTo>
                                <a:close/>
                                <a:moveTo>
                                  <a:pt x="7500" y="1080"/>
                                </a:moveTo>
                                <a:lnTo>
                                  <a:pt x="6495" y="1080"/>
                                </a:lnTo>
                                <a:lnTo>
                                  <a:pt x="6495" y="2490"/>
                                </a:lnTo>
                                <a:lnTo>
                                  <a:pt x="7500" y="2490"/>
                                </a:lnTo>
                                <a:lnTo>
                                  <a:pt x="7500" y="1080"/>
                                </a:lnTo>
                                <a:close/>
                              </a:path>
                            </a:pathLst>
                          </a:custGeom>
                          <a:solidFill>
                            <a:srgbClr val="663AB6"/>
                          </a:solidFill>
                          <a:ln>
                            <a:noFill/>
                          </a:ln>
                          <a:effectLst/>
                        </wps:spPr>
                        <wps:bodyPr rot="0" vert="horz" wrap="square" lIns="91440" tIns="45720" rIns="91440" bIns="45720" anchor="t" anchorCtr="0" upright="1">
                          <a:noAutofit/>
                        </wps:bodyPr>
                      </wps:wsp>
                      <wps:wsp>
                        <wps:cNvPr id="422757031" name="Rectangle 196"/>
                        <wps:cNvSpPr>
                          <a:spLocks noChangeArrowheads="1"/>
                        </wps:cNvSpPr>
                        <wps:spPr bwMode="auto">
                          <a:xfrm>
                            <a:off x="2070" y="1025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909889237" name="Rectangle 195"/>
                        <wps:cNvSpPr>
                          <a:spLocks noChangeArrowheads="1"/>
                        </wps:cNvSpPr>
                        <wps:spPr bwMode="auto">
                          <a:xfrm>
                            <a:off x="2880" y="9907"/>
                            <a:ext cx="15" cy="180"/>
                          </a:xfrm>
                          <a:prstGeom prst="rect">
                            <a:avLst/>
                          </a:prstGeom>
                          <a:solidFill>
                            <a:srgbClr val="999999"/>
                          </a:solidFill>
                          <a:ln>
                            <a:noFill/>
                          </a:ln>
                          <a:effectLst/>
                        </wps:spPr>
                        <wps:bodyPr rot="0" vert="horz" wrap="square" lIns="91440" tIns="45720" rIns="91440" bIns="45720" anchor="t" anchorCtr="0" upright="1">
                          <a:noAutofit/>
                        </wps:bodyPr>
                      </wps:wsp>
                      <wps:wsp>
                        <wps:cNvPr id="1057060528" name="AutoShape 194"/>
                        <wps:cNvSpPr/>
                        <wps:spPr bwMode="auto">
                          <a:xfrm>
                            <a:off x="2545" y="9748"/>
                            <a:ext cx="669" cy="169"/>
                          </a:xfrm>
                          <a:custGeom>
                            <a:avLst/>
                            <a:gdLst>
                              <a:gd name="T0" fmla="*/ 2 w 669"/>
                              <a:gd name="T1" fmla="*/ 9869 h 169"/>
                              <a:gd name="T2" fmla="*/ 33 w 669"/>
                              <a:gd name="T3" fmla="*/ 9832 h 169"/>
                              <a:gd name="T4" fmla="*/ 69 w 669"/>
                              <a:gd name="T5" fmla="*/ 9786 h 169"/>
                              <a:gd name="T6" fmla="*/ 45 w 669"/>
                              <a:gd name="T7" fmla="*/ 9764 h 169"/>
                              <a:gd name="T8" fmla="*/ 19 w 669"/>
                              <a:gd name="T9" fmla="*/ 9789 h 169"/>
                              <a:gd name="T10" fmla="*/ 33 w 669"/>
                              <a:gd name="T11" fmla="*/ 9750 h 169"/>
                              <a:gd name="T12" fmla="*/ 85 w 669"/>
                              <a:gd name="T13" fmla="*/ 9776 h 169"/>
                              <a:gd name="T14" fmla="*/ 76 w 669"/>
                              <a:gd name="T15" fmla="*/ 9812 h 169"/>
                              <a:gd name="T16" fmla="*/ 31 w 669"/>
                              <a:gd name="T17" fmla="*/ 9853 h 169"/>
                              <a:gd name="T18" fmla="*/ 187 w 669"/>
                              <a:gd name="T19" fmla="*/ 9918 h 169"/>
                              <a:gd name="T20" fmla="*/ 158 w 669"/>
                              <a:gd name="T21" fmla="*/ 9857 h 169"/>
                              <a:gd name="T22" fmla="*/ 162 w 669"/>
                              <a:gd name="T23" fmla="*/ 9793 h 169"/>
                              <a:gd name="T24" fmla="*/ 191 w 669"/>
                              <a:gd name="T25" fmla="*/ 9761 h 169"/>
                              <a:gd name="T26" fmla="*/ 173 w 669"/>
                              <a:gd name="T27" fmla="*/ 9811 h 169"/>
                              <a:gd name="T28" fmla="*/ 198 w 669"/>
                              <a:gd name="T29" fmla="*/ 9918 h 169"/>
                              <a:gd name="T30" fmla="*/ 211 w 669"/>
                              <a:gd name="T31" fmla="*/ 9872 h 169"/>
                              <a:gd name="T32" fmla="*/ 234 w 669"/>
                              <a:gd name="T33" fmla="*/ 9840 h 169"/>
                              <a:gd name="T34" fmla="*/ 279 w 669"/>
                              <a:gd name="T35" fmla="*/ 9792 h 169"/>
                              <a:gd name="T36" fmla="*/ 262 w 669"/>
                              <a:gd name="T37" fmla="*/ 9764 h 169"/>
                              <a:gd name="T38" fmla="*/ 230 w 669"/>
                              <a:gd name="T39" fmla="*/ 9781 h 169"/>
                              <a:gd name="T40" fmla="*/ 233 w 669"/>
                              <a:gd name="T41" fmla="*/ 9754 h 169"/>
                              <a:gd name="T42" fmla="*/ 292 w 669"/>
                              <a:gd name="T43" fmla="*/ 9768 h 169"/>
                              <a:gd name="T44" fmla="*/ 290 w 669"/>
                              <a:gd name="T45" fmla="*/ 9806 h 169"/>
                              <a:gd name="T46" fmla="*/ 248 w 669"/>
                              <a:gd name="T47" fmla="*/ 9848 h 169"/>
                              <a:gd name="T48" fmla="*/ 295 w 669"/>
                              <a:gd name="T49" fmla="*/ 9865 h 169"/>
                              <a:gd name="T50" fmla="*/ 363 w 669"/>
                              <a:gd name="T51" fmla="*/ 9768 h 169"/>
                              <a:gd name="T52" fmla="*/ 428 w 669"/>
                              <a:gd name="T53" fmla="*/ 9789 h 169"/>
                              <a:gd name="T54" fmla="*/ 401 w 669"/>
                              <a:gd name="T55" fmla="*/ 9855 h 169"/>
                              <a:gd name="T56" fmla="*/ 387 w 669"/>
                              <a:gd name="T57" fmla="*/ 9843 h 169"/>
                              <a:gd name="T58" fmla="*/ 415 w 669"/>
                              <a:gd name="T59" fmla="*/ 9783 h 169"/>
                              <a:gd name="T60" fmla="*/ 468 w 669"/>
                              <a:gd name="T61" fmla="*/ 9765 h 169"/>
                              <a:gd name="T62" fmla="*/ 507 w 669"/>
                              <a:gd name="T63" fmla="*/ 9752 h 169"/>
                              <a:gd name="T64" fmla="*/ 518 w 669"/>
                              <a:gd name="T65" fmla="*/ 9802 h 169"/>
                              <a:gd name="T66" fmla="*/ 478 w 669"/>
                              <a:gd name="T67" fmla="*/ 9814 h 169"/>
                              <a:gd name="T68" fmla="*/ 489 w 669"/>
                              <a:gd name="T69" fmla="*/ 9760 h 169"/>
                              <a:gd name="T70" fmla="*/ 479 w 669"/>
                              <a:gd name="T71" fmla="*/ 9792 h 169"/>
                              <a:gd name="T72" fmla="*/ 497 w 669"/>
                              <a:gd name="T73" fmla="*/ 9806 h 169"/>
                              <a:gd name="T74" fmla="*/ 507 w 669"/>
                              <a:gd name="T75" fmla="*/ 9774 h 169"/>
                              <a:gd name="T76" fmla="*/ 493 w 669"/>
                              <a:gd name="T77" fmla="*/ 9885 h 169"/>
                              <a:gd name="T78" fmla="*/ 549 w 669"/>
                              <a:gd name="T79" fmla="*/ 9840 h 169"/>
                              <a:gd name="T80" fmla="*/ 584 w 669"/>
                              <a:gd name="T81" fmla="*/ 9816 h 169"/>
                              <a:gd name="T82" fmla="*/ 604 w 669"/>
                              <a:gd name="T83" fmla="*/ 9861 h 169"/>
                              <a:gd name="T84" fmla="*/ 568 w 669"/>
                              <a:gd name="T85" fmla="*/ 9885 h 169"/>
                              <a:gd name="T86" fmla="*/ 576 w 669"/>
                              <a:gd name="T87" fmla="*/ 9827 h 169"/>
                              <a:gd name="T88" fmla="*/ 563 w 669"/>
                              <a:gd name="T89" fmla="*/ 9851 h 169"/>
                              <a:gd name="T90" fmla="*/ 576 w 669"/>
                              <a:gd name="T91" fmla="*/ 9874 h 169"/>
                              <a:gd name="T92" fmla="*/ 590 w 669"/>
                              <a:gd name="T93" fmla="*/ 9850 h 169"/>
                              <a:gd name="T94" fmla="*/ 576 w 669"/>
                              <a:gd name="T95" fmla="*/ 9827 h 169"/>
                              <a:gd name="T96" fmla="*/ 652 w 669"/>
                              <a:gd name="T97" fmla="*/ 9833 h 169"/>
                              <a:gd name="T98" fmla="*/ 640 w 669"/>
                              <a:gd name="T99" fmla="*/ 9775 h 169"/>
                              <a:gd name="T100" fmla="*/ 652 w 669"/>
                              <a:gd name="T101" fmla="*/ 9771 h 169"/>
                              <a:gd name="T102" fmla="*/ 668 w 669"/>
                              <a:gd name="T103" fmla="*/ 9833 h 169"/>
                              <a:gd name="T104" fmla="*/ 649 w 669"/>
                              <a:gd name="T105" fmla="*/ 9900 h 16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69" h="169">
                                <a:moveTo>
                                  <a:pt x="85" y="116"/>
                                </a:moveTo>
                                <a:lnTo>
                                  <a:pt x="85" y="131"/>
                                </a:lnTo>
                                <a:lnTo>
                                  <a:pt x="0" y="131"/>
                                </a:lnTo>
                                <a:lnTo>
                                  <a:pt x="0" y="127"/>
                                </a:lnTo>
                                <a:lnTo>
                                  <a:pt x="1" y="123"/>
                                </a:lnTo>
                                <a:lnTo>
                                  <a:pt x="2" y="120"/>
                                </a:lnTo>
                                <a:lnTo>
                                  <a:pt x="4" y="114"/>
                                </a:lnTo>
                                <a:lnTo>
                                  <a:pt x="8" y="108"/>
                                </a:lnTo>
                                <a:lnTo>
                                  <a:pt x="12" y="103"/>
                                </a:lnTo>
                                <a:lnTo>
                                  <a:pt x="17" y="97"/>
                                </a:lnTo>
                                <a:lnTo>
                                  <a:pt x="24" y="91"/>
                                </a:lnTo>
                                <a:lnTo>
                                  <a:pt x="33" y="83"/>
                                </a:lnTo>
                                <a:lnTo>
                                  <a:pt x="47" y="72"/>
                                </a:lnTo>
                                <a:lnTo>
                                  <a:pt x="57" y="63"/>
                                </a:lnTo>
                                <a:lnTo>
                                  <a:pt x="61" y="56"/>
                                </a:lnTo>
                                <a:lnTo>
                                  <a:pt x="66" y="49"/>
                                </a:lnTo>
                                <a:lnTo>
                                  <a:pt x="69" y="43"/>
                                </a:lnTo>
                                <a:lnTo>
                                  <a:pt x="69" y="37"/>
                                </a:lnTo>
                                <a:lnTo>
                                  <a:pt x="69" y="31"/>
                                </a:lnTo>
                                <a:lnTo>
                                  <a:pt x="67" y="25"/>
                                </a:lnTo>
                                <a:lnTo>
                                  <a:pt x="62" y="21"/>
                                </a:lnTo>
                                <a:lnTo>
                                  <a:pt x="58" y="17"/>
                                </a:lnTo>
                                <a:lnTo>
                                  <a:pt x="52" y="15"/>
                                </a:lnTo>
                                <a:lnTo>
                                  <a:pt x="45" y="15"/>
                                </a:lnTo>
                                <a:lnTo>
                                  <a:pt x="37" y="15"/>
                                </a:lnTo>
                                <a:lnTo>
                                  <a:pt x="31" y="17"/>
                                </a:lnTo>
                                <a:lnTo>
                                  <a:pt x="26" y="21"/>
                                </a:lnTo>
                                <a:lnTo>
                                  <a:pt x="22" y="26"/>
                                </a:lnTo>
                                <a:lnTo>
                                  <a:pt x="19" y="32"/>
                                </a:lnTo>
                                <a:lnTo>
                                  <a:pt x="19" y="40"/>
                                </a:lnTo>
                                <a:lnTo>
                                  <a:pt x="3" y="39"/>
                                </a:lnTo>
                                <a:lnTo>
                                  <a:pt x="4" y="27"/>
                                </a:lnTo>
                                <a:lnTo>
                                  <a:pt x="8" y="17"/>
                                </a:lnTo>
                                <a:lnTo>
                                  <a:pt x="16" y="11"/>
                                </a:lnTo>
                                <a:lnTo>
                                  <a:pt x="23" y="5"/>
                                </a:lnTo>
                                <a:lnTo>
                                  <a:pt x="33" y="1"/>
                                </a:lnTo>
                                <a:lnTo>
                                  <a:pt x="45" y="1"/>
                                </a:lnTo>
                                <a:lnTo>
                                  <a:pt x="57" y="1"/>
                                </a:lnTo>
                                <a:lnTo>
                                  <a:pt x="67" y="5"/>
                                </a:lnTo>
                                <a:lnTo>
                                  <a:pt x="74" y="12"/>
                                </a:lnTo>
                                <a:lnTo>
                                  <a:pt x="82" y="19"/>
                                </a:lnTo>
                                <a:lnTo>
                                  <a:pt x="85" y="27"/>
                                </a:lnTo>
                                <a:lnTo>
                                  <a:pt x="85" y="37"/>
                                </a:lnTo>
                                <a:lnTo>
                                  <a:pt x="85" y="42"/>
                                </a:lnTo>
                                <a:lnTo>
                                  <a:pt x="84" y="47"/>
                                </a:lnTo>
                                <a:lnTo>
                                  <a:pt x="82" y="52"/>
                                </a:lnTo>
                                <a:lnTo>
                                  <a:pt x="80" y="57"/>
                                </a:lnTo>
                                <a:lnTo>
                                  <a:pt x="76" y="63"/>
                                </a:lnTo>
                                <a:lnTo>
                                  <a:pt x="71" y="68"/>
                                </a:lnTo>
                                <a:lnTo>
                                  <a:pt x="67" y="74"/>
                                </a:lnTo>
                                <a:lnTo>
                                  <a:pt x="58" y="81"/>
                                </a:lnTo>
                                <a:lnTo>
                                  <a:pt x="47" y="91"/>
                                </a:lnTo>
                                <a:lnTo>
                                  <a:pt x="38" y="99"/>
                                </a:lnTo>
                                <a:lnTo>
                                  <a:pt x="31" y="104"/>
                                </a:lnTo>
                                <a:lnTo>
                                  <a:pt x="29" y="107"/>
                                </a:lnTo>
                                <a:lnTo>
                                  <a:pt x="26" y="110"/>
                                </a:lnTo>
                                <a:lnTo>
                                  <a:pt x="24" y="113"/>
                                </a:lnTo>
                                <a:lnTo>
                                  <a:pt x="22" y="116"/>
                                </a:lnTo>
                                <a:lnTo>
                                  <a:pt x="85" y="116"/>
                                </a:lnTo>
                                <a:close/>
                                <a:moveTo>
                                  <a:pt x="187" y="169"/>
                                </a:moveTo>
                                <a:lnTo>
                                  <a:pt x="181" y="160"/>
                                </a:lnTo>
                                <a:lnTo>
                                  <a:pt x="175" y="151"/>
                                </a:lnTo>
                                <a:lnTo>
                                  <a:pt x="170" y="141"/>
                                </a:lnTo>
                                <a:lnTo>
                                  <a:pt x="165" y="130"/>
                                </a:lnTo>
                                <a:lnTo>
                                  <a:pt x="161" y="119"/>
                                </a:lnTo>
                                <a:lnTo>
                                  <a:pt x="158" y="108"/>
                                </a:lnTo>
                                <a:lnTo>
                                  <a:pt x="156" y="96"/>
                                </a:lnTo>
                                <a:lnTo>
                                  <a:pt x="156" y="84"/>
                                </a:lnTo>
                                <a:lnTo>
                                  <a:pt x="156" y="74"/>
                                </a:lnTo>
                                <a:lnTo>
                                  <a:pt x="157" y="64"/>
                                </a:lnTo>
                                <a:lnTo>
                                  <a:pt x="160" y="54"/>
                                </a:lnTo>
                                <a:lnTo>
                                  <a:pt x="162" y="44"/>
                                </a:lnTo>
                                <a:lnTo>
                                  <a:pt x="167" y="33"/>
                                </a:lnTo>
                                <a:lnTo>
                                  <a:pt x="173" y="22"/>
                                </a:lnTo>
                                <a:lnTo>
                                  <a:pt x="179" y="11"/>
                                </a:lnTo>
                                <a:lnTo>
                                  <a:pt x="187" y="0"/>
                                </a:lnTo>
                                <a:lnTo>
                                  <a:pt x="198" y="0"/>
                                </a:lnTo>
                                <a:lnTo>
                                  <a:pt x="191" y="12"/>
                                </a:lnTo>
                                <a:lnTo>
                                  <a:pt x="186" y="21"/>
                                </a:lnTo>
                                <a:lnTo>
                                  <a:pt x="184" y="26"/>
                                </a:lnTo>
                                <a:lnTo>
                                  <a:pt x="181" y="34"/>
                                </a:lnTo>
                                <a:lnTo>
                                  <a:pt x="178" y="42"/>
                                </a:lnTo>
                                <a:lnTo>
                                  <a:pt x="176" y="51"/>
                                </a:lnTo>
                                <a:lnTo>
                                  <a:pt x="173" y="62"/>
                                </a:lnTo>
                                <a:lnTo>
                                  <a:pt x="172" y="73"/>
                                </a:lnTo>
                                <a:lnTo>
                                  <a:pt x="172" y="84"/>
                                </a:lnTo>
                                <a:lnTo>
                                  <a:pt x="174" y="105"/>
                                </a:lnTo>
                                <a:lnTo>
                                  <a:pt x="179" y="127"/>
                                </a:lnTo>
                                <a:lnTo>
                                  <a:pt x="187" y="148"/>
                                </a:lnTo>
                                <a:lnTo>
                                  <a:pt x="198" y="169"/>
                                </a:lnTo>
                                <a:lnTo>
                                  <a:pt x="187" y="169"/>
                                </a:lnTo>
                                <a:close/>
                                <a:moveTo>
                                  <a:pt x="295" y="116"/>
                                </a:moveTo>
                                <a:lnTo>
                                  <a:pt x="295" y="131"/>
                                </a:lnTo>
                                <a:lnTo>
                                  <a:pt x="210" y="131"/>
                                </a:lnTo>
                                <a:lnTo>
                                  <a:pt x="210" y="127"/>
                                </a:lnTo>
                                <a:lnTo>
                                  <a:pt x="211" y="123"/>
                                </a:lnTo>
                                <a:lnTo>
                                  <a:pt x="212" y="120"/>
                                </a:lnTo>
                                <a:lnTo>
                                  <a:pt x="214" y="114"/>
                                </a:lnTo>
                                <a:lnTo>
                                  <a:pt x="218" y="108"/>
                                </a:lnTo>
                                <a:lnTo>
                                  <a:pt x="222" y="103"/>
                                </a:lnTo>
                                <a:lnTo>
                                  <a:pt x="227" y="97"/>
                                </a:lnTo>
                                <a:lnTo>
                                  <a:pt x="234" y="91"/>
                                </a:lnTo>
                                <a:lnTo>
                                  <a:pt x="243" y="83"/>
                                </a:lnTo>
                                <a:lnTo>
                                  <a:pt x="257" y="72"/>
                                </a:lnTo>
                                <a:lnTo>
                                  <a:pt x="267" y="63"/>
                                </a:lnTo>
                                <a:lnTo>
                                  <a:pt x="272" y="56"/>
                                </a:lnTo>
                                <a:lnTo>
                                  <a:pt x="276" y="49"/>
                                </a:lnTo>
                                <a:lnTo>
                                  <a:pt x="279" y="43"/>
                                </a:lnTo>
                                <a:lnTo>
                                  <a:pt x="279" y="37"/>
                                </a:lnTo>
                                <a:lnTo>
                                  <a:pt x="279" y="31"/>
                                </a:lnTo>
                                <a:lnTo>
                                  <a:pt x="277" y="25"/>
                                </a:lnTo>
                                <a:lnTo>
                                  <a:pt x="272" y="21"/>
                                </a:lnTo>
                                <a:lnTo>
                                  <a:pt x="268" y="17"/>
                                </a:lnTo>
                                <a:lnTo>
                                  <a:pt x="262" y="15"/>
                                </a:lnTo>
                                <a:lnTo>
                                  <a:pt x="255" y="15"/>
                                </a:lnTo>
                                <a:lnTo>
                                  <a:pt x="247" y="15"/>
                                </a:lnTo>
                                <a:lnTo>
                                  <a:pt x="241" y="17"/>
                                </a:lnTo>
                                <a:lnTo>
                                  <a:pt x="236" y="21"/>
                                </a:lnTo>
                                <a:lnTo>
                                  <a:pt x="232" y="26"/>
                                </a:lnTo>
                                <a:lnTo>
                                  <a:pt x="230" y="32"/>
                                </a:lnTo>
                                <a:lnTo>
                                  <a:pt x="229" y="40"/>
                                </a:lnTo>
                                <a:lnTo>
                                  <a:pt x="213" y="39"/>
                                </a:lnTo>
                                <a:lnTo>
                                  <a:pt x="214" y="27"/>
                                </a:lnTo>
                                <a:lnTo>
                                  <a:pt x="218" y="17"/>
                                </a:lnTo>
                                <a:lnTo>
                                  <a:pt x="226" y="11"/>
                                </a:lnTo>
                                <a:lnTo>
                                  <a:pt x="233" y="5"/>
                                </a:lnTo>
                                <a:lnTo>
                                  <a:pt x="243" y="1"/>
                                </a:lnTo>
                                <a:lnTo>
                                  <a:pt x="255" y="1"/>
                                </a:lnTo>
                                <a:lnTo>
                                  <a:pt x="267" y="1"/>
                                </a:lnTo>
                                <a:lnTo>
                                  <a:pt x="277" y="5"/>
                                </a:lnTo>
                                <a:lnTo>
                                  <a:pt x="284" y="12"/>
                                </a:lnTo>
                                <a:lnTo>
                                  <a:pt x="292" y="19"/>
                                </a:lnTo>
                                <a:lnTo>
                                  <a:pt x="295" y="27"/>
                                </a:lnTo>
                                <a:lnTo>
                                  <a:pt x="295" y="37"/>
                                </a:lnTo>
                                <a:lnTo>
                                  <a:pt x="295" y="42"/>
                                </a:lnTo>
                                <a:lnTo>
                                  <a:pt x="294" y="47"/>
                                </a:lnTo>
                                <a:lnTo>
                                  <a:pt x="292" y="52"/>
                                </a:lnTo>
                                <a:lnTo>
                                  <a:pt x="290" y="57"/>
                                </a:lnTo>
                                <a:lnTo>
                                  <a:pt x="286" y="63"/>
                                </a:lnTo>
                                <a:lnTo>
                                  <a:pt x="282" y="68"/>
                                </a:lnTo>
                                <a:lnTo>
                                  <a:pt x="277" y="74"/>
                                </a:lnTo>
                                <a:lnTo>
                                  <a:pt x="268" y="81"/>
                                </a:lnTo>
                                <a:lnTo>
                                  <a:pt x="257" y="91"/>
                                </a:lnTo>
                                <a:lnTo>
                                  <a:pt x="248" y="99"/>
                                </a:lnTo>
                                <a:lnTo>
                                  <a:pt x="242" y="104"/>
                                </a:lnTo>
                                <a:lnTo>
                                  <a:pt x="239" y="107"/>
                                </a:lnTo>
                                <a:lnTo>
                                  <a:pt x="236" y="110"/>
                                </a:lnTo>
                                <a:lnTo>
                                  <a:pt x="234" y="113"/>
                                </a:lnTo>
                                <a:lnTo>
                                  <a:pt x="232" y="116"/>
                                </a:lnTo>
                                <a:lnTo>
                                  <a:pt x="295" y="116"/>
                                </a:lnTo>
                                <a:close/>
                                <a:moveTo>
                                  <a:pt x="321" y="131"/>
                                </a:moveTo>
                                <a:lnTo>
                                  <a:pt x="321" y="113"/>
                                </a:lnTo>
                                <a:lnTo>
                                  <a:pt x="339" y="113"/>
                                </a:lnTo>
                                <a:lnTo>
                                  <a:pt x="339" y="131"/>
                                </a:lnTo>
                                <a:lnTo>
                                  <a:pt x="321" y="131"/>
                                </a:lnTo>
                                <a:close/>
                                <a:moveTo>
                                  <a:pt x="363" y="19"/>
                                </a:moveTo>
                                <a:lnTo>
                                  <a:pt x="363" y="4"/>
                                </a:lnTo>
                                <a:lnTo>
                                  <a:pt x="447" y="4"/>
                                </a:lnTo>
                                <a:lnTo>
                                  <a:pt x="447" y="16"/>
                                </a:lnTo>
                                <a:lnTo>
                                  <a:pt x="441" y="23"/>
                                </a:lnTo>
                                <a:lnTo>
                                  <a:pt x="435" y="31"/>
                                </a:lnTo>
                                <a:lnTo>
                                  <a:pt x="428" y="40"/>
                                </a:lnTo>
                                <a:lnTo>
                                  <a:pt x="422" y="51"/>
                                </a:lnTo>
                                <a:lnTo>
                                  <a:pt x="417" y="62"/>
                                </a:lnTo>
                                <a:lnTo>
                                  <a:pt x="412" y="73"/>
                                </a:lnTo>
                                <a:lnTo>
                                  <a:pt x="407" y="84"/>
                                </a:lnTo>
                                <a:lnTo>
                                  <a:pt x="404" y="95"/>
                                </a:lnTo>
                                <a:lnTo>
                                  <a:pt x="401" y="106"/>
                                </a:lnTo>
                                <a:lnTo>
                                  <a:pt x="399" y="118"/>
                                </a:lnTo>
                                <a:lnTo>
                                  <a:pt x="398" y="131"/>
                                </a:lnTo>
                                <a:lnTo>
                                  <a:pt x="381" y="131"/>
                                </a:lnTo>
                                <a:lnTo>
                                  <a:pt x="382" y="121"/>
                                </a:lnTo>
                                <a:lnTo>
                                  <a:pt x="384" y="108"/>
                                </a:lnTo>
                                <a:lnTo>
                                  <a:pt x="387" y="94"/>
                                </a:lnTo>
                                <a:lnTo>
                                  <a:pt x="391" y="83"/>
                                </a:lnTo>
                                <a:lnTo>
                                  <a:pt x="394" y="73"/>
                                </a:lnTo>
                                <a:lnTo>
                                  <a:pt x="399" y="63"/>
                                </a:lnTo>
                                <a:lnTo>
                                  <a:pt x="404" y="53"/>
                                </a:lnTo>
                                <a:lnTo>
                                  <a:pt x="409" y="43"/>
                                </a:lnTo>
                                <a:lnTo>
                                  <a:pt x="415" y="34"/>
                                </a:lnTo>
                                <a:lnTo>
                                  <a:pt x="421" y="26"/>
                                </a:lnTo>
                                <a:lnTo>
                                  <a:pt x="426" y="19"/>
                                </a:lnTo>
                                <a:lnTo>
                                  <a:pt x="363" y="19"/>
                                </a:lnTo>
                                <a:close/>
                                <a:moveTo>
                                  <a:pt x="465" y="33"/>
                                </a:moveTo>
                                <a:lnTo>
                                  <a:pt x="465" y="24"/>
                                </a:lnTo>
                                <a:lnTo>
                                  <a:pt x="468" y="16"/>
                                </a:lnTo>
                                <a:lnTo>
                                  <a:pt x="472" y="9"/>
                                </a:lnTo>
                                <a:lnTo>
                                  <a:pt x="477" y="3"/>
                                </a:lnTo>
                                <a:lnTo>
                                  <a:pt x="484" y="0"/>
                                </a:lnTo>
                                <a:lnTo>
                                  <a:pt x="492" y="0"/>
                                </a:lnTo>
                                <a:lnTo>
                                  <a:pt x="501" y="0"/>
                                </a:lnTo>
                                <a:lnTo>
                                  <a:pt x="507" y="3"/>
                                </a:lnTo>
                                <a:lnTo>
                                  <a:pt x="513" y="8"/>
                                </a:lnTo>
                                <a:lnTo>
                                  <a:pt x="518" y="14"/>
                                </a:lnTo>
                                <a:lnTo>
                                  <a:pt x="521" y="23"/>
                                </a:lnTo>
                                <a:lnTo>
                                  <a:pt x="521" y="34"/>
                                </a:lnTo>
                                <a:lnTo>
                                  <a:pt x="521" y="45"/>
                                </a:lnTo>
                                <a:lnTo>
                                  <a:pt x="518" y="53"/>
                                </a:lnTo>
                                <a:lnTo>
                                  <a:pt x="512" y="59"/>
                                </a:lnTo>
                                <a:lnTo>
                                  <a:pt x="507" y="65"/>
                                </a:lnTo>
                                <a:lnTo>
                                  <a:pt x="501" y="68"/>
                                </a:lnTo>
                                <a:lnTo>
                                  <a:pt x="493" y="68"/>
                                </a:lnTo>
                                <a:lnTo>
                                  <a:pt x="485" y="68"/>
                                </a:lnTo>
                                <a:lnTo>
                                  <a:pt x="478" y="65"/>
                                </a:lnTo>
                                <a:lnTo>
                                  <a:pt x="473" y="59"/>
                                </a:lnTo>
                                <a:lnTo>
                                  <a:pt x="468" y="53"/>
                                </a:lnTo>
                                <a:lnTo>
                                  <a:pt x="465" y="45"/>
                                </a:lnTo>
                                <a:lnTo>
                                  <a:pt x="465" y="33"/>
                                </a:lnTo>
                                <a:close/>
                                <a:moveTo>
                                  <a:pt x="493" y="11"/>
                                </a:moveTo>
                                <a:lnTo>
                                  <a:pt x="489" y="11"/>
                                </a:lnTo>
                                <a:lnTo>
                                  <a:pt x="486" y="12"/>
                                </a:lnTo>
                                <a:lnTo>
                                  <a:pt x="483" y="16"/>
                                </a:lnTo>
                                <a:lnTo>
                                  <a:pt x="481" y="19"/>
                                </a:lnTo>
                                <a:lnTo>
                                  <a:pt x="479" y="25"/>
                                </a:lnTo>
                                <a:lnTo>
                                  <a:pt x="479" y="35"/>
                                </a:lnTo>
                                <a:lnTo>
                                  <a:pt x="479" y="43"/>
                                </a:lnTo>
                                <a:lnTo>
                                  <a:pt x="481" y="49"/>
                                </a:lnTo>
                                <a:lnTo>
                                  <a:pt x="483" y="52"/>
                                </a:lnTo>
                                <a:lnTo>
                                  <a:pt x="486" y="55"/>
                                </a:lnTo>
                                <a:lnTo>
                                  <a:pt x="489" y="57"/>
                                </a:lnTo>
                                <a:lnTo>
                                  <a:pt x="493" y="57"/>
                                </a:lnTo>
                                <a:lnTo>
                                  <a:pt x="497" y="57"/>
                                </a:lnTo>
                                <a:lnTo>
                                  <a:pt x="500" y="55"/>
                                </a:lnTo>
                                <a:lnTo>
                                  <a:pt x="503" y="52"/>
                                </a:lnTo>
                                <a:lnTo>
                                  <a:pt x="505" y="49"/>
                                </a:lnTo>
                                <a:lnTo>
                                  <a:pt x="507" y="42"/>
                                </a:lnTo>
                                <a:lnTo>
                                  <a:pt x="507" y="33"/>
                                </a:lnTo>
                                <a:lnTo>
                                  <a:pt x="507" y="25"/>
                                </a:lnTo>
                                <a:lnTo>
                                  <a:pt x="505" y="19"/>
                                </a:lnTo>
                                <a:lnTo>
                                  <a:pt x="503" y="16"/>
                                </a:lnTo>
                                <a:lnTo>
                                  <a:pt x="500" y="12"/>
                                </a:lnTo>
                                <a:lnTo>
                                  <a:pt x="497" y="11"/>
                                </a:lnTo>
                                <a:lnTo>
                                  <a:pt x="493" y="11"/>
                                </a:lnTo>
                                <a:close/>
                                <a:moveTo>
                                  <a:pt x="493" y="136"/>
                                </a:moveTo>
                                <a:lnTo>
                                  <a:pt x="564" y="0"/>
                                </a:lnTo>
                                <a:lnTo>
                                  <a:pt x="576" y="0"/>
                                </a:lnTo>
                                <a:lnTo>
                                  <a:pt x="506" y="136"/>
                                </a:lnTo>
                                <a:lnTo>
                                  <a:pt x="493" y="136"/>
                                </a:lnTo>
                                <a:close/>
                                <a:moveTo>
                                  <a:pt x="549" y="101"/>
                                </a:moveTo>
                                <a:lnTo>
                                  <a:pt x="549" y="91"/>
                                </a:lnTo>
                                <a:lnTo>
                                  <a:pt x="551" y="84"/>
                                </a:lnTo>
                                <a:lnTo>
                                  <a:pt x="556" y="77"/>
                                </a:lnTo>
                                <a:lnTo>
                                  <a:pt x="560" y="71"/>
                                </a:lnTo>
                                <a:lnTo>
                                  <a:pt x="567" y="67"/>
                                </a:lnTo>
                                <a:lnTo>
                                  <a:pt x="576" y="67"/>
                                </a:lnTo>
                                <a:lnTo>
                                  <a:pt x="584" y="67"/>
                                </a:lnTo>
                                <a:lnTo>
                                  <a:pt x="591" y="70"/>
                                </a:lnTo>
                                <a:lnTo>
                                  <a:pt x="596" y="76"/>
                                </a:lnTo>
                                <a:lnTo>
                                  <a:pt x="601" y="82"/>
                                </a:lnTo>
                                <a:lnTo>
                                  <a:pt x="604" y="90"/>
                                </a:lnTo>
                                <a:lnTo>
                                  <a:pt x="604" y="102"/>
                                </a:lnTo>
                                <a:lnTo>
                                  <a:pt x="604" y="112"/>
                                </a:lnTo>
                                <a:lnTo>
                                  <a:pt x="601" y="121"/>
                                </a:lnTo>
                                <a:lnTo>
                                  <a:pt x="596" y="127"/>
                                </a:lnTo>
                                <a:lnTo>
                                  <a:pt x="591" y="133"/>
                                </a:lnTo>
                                <a:lnTo>
                                  <a:pt x="584" y="136"/>
                                </a:lnTo>
                                <a:lnTo>
                                  <a:pt x="576" y="136"/>
                                </a:lnTo>
                                <a:lnTo>
                                  <a:pt x="568" y="136"/>
                                </a:lnTo>
                                <a:lnTo>
                                  <a:pt x="562" y="133"/>
                                </a:lnTo>
                                <a:lnTo>
                                  <a:pt x="557" y="127"/>
                                </a:lnTo>
                                <a:lnTo>
                                  <a:pt x="551" y="121"/>
                                </a:lnTo>
                                <a:lnTo>
                                  <a:pt x="549" y="112"/>
                                </a:lnTo>
                                <a:lnTo>
                                  <a:pt x="549" y="101"/>
                                </a:lnTo>
                                <a:close/>
                                <a:moveTo>
                                  <a:pt x="576" y="78"/>
                                </a:moveTo>
                                <a:lnTo>
                                  <a:pt x="572" y="78"/>
                                </a:lnTo>
                                <a:lnTo>
                                  <a:pt x="569" y="80"/>
                                </a:lnTo>
                                <a:lnTo>
                                  <a:pt x="566" y="83"/>
                                </a:lnTo>
                                <a:lnTo>
                                  <a:pt x="564" y="87"/>
                                </a:lnTo>
                                <a:lnTo>
                                  <a:pt x="563" y="93"/>
                                </a:lnTo>
                                <a:lnTo>
                                  <a:pt x="563" y="102"/>
                                </a:lnTo>
                                <a:lnTo>
                                  <a:pt x="563" y="110"/>
                                </a:lnTo>
                                <a:lnTo>
                                  <a:pt x="564" y="116"/>
                                </a:lnTo>
                                <a:lnTo>
                                  <a:pt x="567" y="120"/>
                                </a:lnTo>
                                <a:lnTo>
                                  <a:pt x="569" y="123"/>
                                </a:lnTo>
                                <a:lnTo>
                                  <a:pt x="572" y="125"/>
                                </a:lnTo>
                                <a:lnTo>
                                  <a:pt x="576" y="125"/>
                                </a:lnTo>
                                <a:lnTo>
                                  <a:pt x="580" y="125"/>
                                </a:lnTo>
                                <a:lnTo>
                                  <a:pt x="584" y="123"/>
                                </a:lnTo>
                                <a:lnTo>
                                  <a:pt x="586" y="120"/>
                                </a:lnTo>
                                <a:lnTo>
                                  <a:pt x="589" y="116"/>
                                </a:lnTo>
                                <a:lnTo>
                                  <a:pt x="590" y="110"/>
                                </a:lnTo>
                                <a:lnTo>
                                  <a:pt x="590" y="101"/>
                                </a:lnTo>
                                <a:lnTo>
                                  <a:pt x="590" y="93"/>
                                </a:lnTo>
                                <a:lnTo>
                                  <a:pt x="589" y="87"/>
                                </a:lnTo>
                                <a:lnTo>
                                  <a:pt x="586" y="83"/>
                                </a:lnTo>
                                <a:lnTo>
                                  <a:pt x="584" y="80"/>
                                </a:lnTo>
                                <a:lnTo>
                                  <a:pt x="580" y="78"/>
                                </a:lnTo>
                                <a:lnTo>
                                  <a:pt x="576" y="78"/>
                                </a:lnTo>
                                <a:close/>
                                <a:moveTo>
                                  <a:pt x="637" y="169"/>
                                </a:moveTo>
                                <a:lnTo>
                                  <a:pt x="626" y="169"/>
                                </a:lnTo>
                                <a:lnTo>
                                  <a:pt x="637" y="148"/>
                                </a:lnTo>
                                <a:lnTo>
                                  <a:pt x="646" y="127"/>
                                </a:lnTo>
                                <a:lnTo>
                                  <a:pt x="651" y="105"/>
                                </a:lnTo>
                                <a:lnTo>
                                  <a:pt x="652" y="84"/>
                                </a:lnTo>
                                <a:lnTo>
                                  <a:pt x="652" y="73"/>
                                </a:lnTo>
                                <a:lnTo>
                                  <a:pt x="651" y="62"/>
                                </a:lnTo>
                                <a:lnTo>
                                  <a:pt x="648" y="51"/>
                                </a:lnTo>
                                <a:lnTo>
                                  <a:pt x="646" y="43"/>
                                </a:lnTo>
                                <a:lnTo>
                                  <a:pt x="644" y="34"/>
                                </a:lnTo>
                                <a:lnTo>
                                  <a:pt x="640" y="26"/>
                                </a:lnTo>
                                <a:lnTo>
                                  <a:pt x="638" y="21"/>
                                </a:lnTo>
                                <a:lnTo>
                                  <a:pt x="633" y="12"/>
                                </a:lnTo>
                                <a:lnTo>
                                  <a:pt x="626" y="0"/>
                                </a:lnTo>
                                <a:lnTo>
                                  <a:pt x="637" y="0"/>
                                </a:lnTo>
                                <a:lnTo>
                                  <a:pt x="645" y="11"/>
                                </a:lnTo>
                                <a:lnTo>
                                  <a:pt x="652" y="22"/>
                                </a:lnTo>
                                <a:lnTo>
                                  <a:pt x="657" y="33"/>
                                </a:lnTo>
                                <a:lnTo>
                                  <a:pt x="662" y="44"/>
                                </a:lnTo>
                                <a:lnTo>
                                  <a:pt x="665" y="54"/>
                                </a:lnTo>
                                <a:lnTo>
                                  <a:pt x="667" y="64"/>
                                </a:lnTo>
                                <a:lnTo>
                                  <a:pt x="668" y="74"/>
                                </a:lnTo>
                                <a:lnTo>
                                  <a:pt x="668" y="84"/>
                                </a:lnTo>
                                <a:lnTo>
                                  <a:pt x="668" y="96"/>
                                </a:lnTo>
                                <a:lnTo>
                                  <a:pt x="666" y="108"/>
                                </a:lnTo>
                                <a:lnTo>
                                  <a:pt x="663" y="119"/>
                                </a:lnTo>
                                <a:lnTo>
                                  <a:pt x="659" y="130"/>
                                </a:lnTo>
                                <a:lnTo>
                                  <a:pt x="655" y="141"/>
                                </a:lnTo>
                                <a:lnTo>
                                  <a:pt x="649" y="151"/>
                                </a:lnTo>
                                <a:lnTo>
                                  <a:pt x="644" y="160"/>
                                </a:lnTo>
                                <a:lnTo>
                                  <a:pt x="637" y="169"/>
                                </a:lnTo>
                                <a:close/>
                              </a:path>
                            </a:pathLst>
                          </a:custGeom>
                          <a:noFill/>
                          <a:ln w="28575">
                            <a:solidFill>
                              <a:srgbClr val="FFFFFF"/>
                            </a:solidFill>
                            <a:round/>
                          </a:ln>
                          <a:effectLst/>
                        </wps:spPr>
                        <wps:bodyPr rot="0" vert="horz" wrap="square" lIns="91440" tIns="45720" rIns="91440" bIns="45720" anchor="t" anchorCtr="0" upright="1">
                          <a:noAutofit/>
                        </wps:bodyPr>
                      </wps:wsp>
                    </wpg:wgp>
                  </a:graphicData>
                </a:graphic>
              </wp:anchor>
            </w:drawing>
          </mc:Choice>
          <mc:Fallback>
            <w:pict>
              <v:group id="Group 193" o:spid="_x0000_s1026" o:spt="203" style="position:absolute;left:0pt;margin-left:57.75pt;margin-top:-3.4pt;height:555pt;width:480pt;mso-position-horizontal-relative:page;z-index:-251610112;mso-width-relative:page;mso-height-relative:page;" coordorigin="1155,-68" coordsize="9600,11100" o:gfxdata="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&#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">
                <o:lock v:ext="edit" aspectratio="f"/>
                <v:shape id="AutoShape 210" o:spid="_x0000_s1026" o:spt="100" style="position:absolute;left:1162;top:-61;height:11085;width:9585;" filled="f" stroked="t" coordsize="9585,11085" o:gfxdata="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n6H74A&#10;AADhAAAADwAAAAAAAAABACAAAAAiAAAAZHJzL2Rvd25yZXYueG1sUEsBAhQAFAAAAAgAh07iQDMv&#10;BZ47AAAAOQAAABAAAAAAAAAAAQAgAAAADQEAAGRycy9zaGFwZXhtbC54bWxQSwUGAAAAAAYABgBb&#10;AQAAtwMAAAAA&#10;" path="m0,5062l0,112,0,105,1,97,3,90,4,83,6,76,9,69,12,62,15,56,19,50,24,43,28,38,33,32,39,27,44,23,50,18,57,14,63,11,70,8,77,5,84,3,91,2,98,0,106,0,113,0,9473,0,9480,0,9488,0,9495,2,9502,3,9509,5,9516,8,9523,11,9529,14,9535,18,9542,23,9547,27,9553,32,9558,38,9562,43,9567,50,9571,56,9574,62,9577,69,9580,76,9582,83,9583,90,9585,97,9585,105,9585,112,9585,5062,9585,5069,9585,5077,9583,5084,9582,5091,9580,5098,9577,5105,9574,5112,9571,5118,9567,5125,9562,5131,9558,5136,9553,5142,9547,5147,9542,5151,9535,5156,9529,5160,9523,5163,9516,5166,9509,5169,9502,5171,9495,5172,9488,5174,9480,5175,9473,5175,113,5175,106,5175,98,5174,91,5172,84,5171,77,5169,70,5166,63,5163,57,5160,50,5156,44,5151,39,5147,33,5142,28,5136,24,5131,19,5125,15,5118,12,5112,9,5105,6,5098,4,5091,3,5084,1,5077,0,5069,0,5062xm0,10972l0,5302,0,5295,1,5287,3,5280,4,5273,6,5266,9,5259,12,5252,15,5246,19,5240,24,5233,28,5228,33,5222,39,5217,44,5213,50,5208,57,5204,63,5201,70,5198,77,5195,84,5193,91,5192,98,5190,106,5190,113,5190,9473,5190,9480,5190,9488,5190,9495,5192,9502,5193,9509,5195,9516,5198,9523,5201,9529,5204,9535,5208,9542,5213,9547,5217,9553,5222,9558,5228,9562,5233,9567,5240,9571,5246,9574,5252,9577,5259,9580,5266,9582,5273,9583,5280,9585,5287,9585,5295,9585,5302,9585,10972,9585,10979,9585,10987,9583,10994,9582,11001,9580,11008,9577,11015,9574,11022,9571,11028,9567,11035,9562,11041,9558,11046,9553,11052,9547,11057,9542,11061,9535,11066,9529,11070,9523,11073,9516,11076,9509,11079,9502,11081,9495,11082,9488,11084,9480,11085,9473,11085,113,11085,106,11085,98,11084,91,11082,84,11081,77,11079,70,11076,63,11073,57,11070,50,11066,44,11061,39,11057,33,11052,28,11046,24,11041,19,11035,15,11028,12,11022,9,11015,6,11008,4,11001,3,10994,1,10987,0,10979,0,10972xe">
                  <v:path o:connectlocs="1,37;9,9;24,-17;44,-37;70,-52;98,-60;9480,-60;9509,-55;9535,-42;9558,-22;9574,2;9583,30;9585,5002;9582,5031;9571,5058;9553,5082;9529,5100;9502,5111;9473,5115;91,5112;63,5103;39,5087;19,5065;6,5038;0,5009;0,5235;6,5206;19,5180;39,5157;63,5141;91,5132;9473,5130;9502,5133;9529,5144;9553,5162;9571,5186;9582,5213;9585,5242;9583,10934;9574,10962;9558,10986;9535,11006;9509,11019;9480,11025;98,11024;70,11016;44,11001;24,10981;9,10955;1,10927" o:connectangles="0,0,0,0,0,0,0,0,0,0,0,0,0,0,0,0,0,0,0,0,0,0,0,0,0,0,0,0,0,0,0,0,0,0,0,0,0,0,0,0,0,0,0,0,0,0,0,0,0,0"/>
                  <v:fill on="f" focussize="0,0"/>
                  <v:stroke color="#D9DBDF" joinstyle="round"/>
                  <v:imagedata o:title=""/>
                  <o:lock v:ext="edit" aspectratio="f"/>
                </v:shape>
                <v:shape id="Picture 209" o:spid="_x0000_s1026" o:spt="75" type="#_x0000_t75" style="position:absolute;left:9525;top:67;height:300;width:255;" filled="f" o:preferrelative="t" stroked="f" coordsize="21600,21600" o:gfxdata="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LV4rwwAAAOIAAAAPAAAAAAAAAAEAIAAAACIAAABkcnMvZG93bnJldi54bWxQSwECFAAUAAAACACH&#10;TuJAMy8FnjsAAAA5AAAAEAAAAAAAAAABACAAAAASAQAAZHJzL3NoYXBleG1sLnhtbFBLBQYAAAAA&#10;BgAGAFsBAAC8AwAAAAA=&#10;">
                  <v:fill on="f" focussize="0,0"/>
                  <v:stroke on="f"/>
                  <v:imagedata r:id="rId110" o:title=""/>
                  <o:lock v:ext="edit" aspectratio="t"/>
                </v:shape>
                <v:rect id="Rectangle 208" o:spid="_x0000_s1026" o:spt="1" style="position:absolute;left:2070;top:1657;height:2700;width:8130;" filled="f" stroked="t" coordsize="21600,21600" o:gfxdata="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sJX&#10;5sEAAADjAAAADwAAAAAAAAABACAAAAAiAAAAZHJzL2Rvd25yZXYueG1sUEsBAhQAFAAAAAgAh07i&#10;QDMvBZ47AAAAOQAAABAAAAAAAAAAAQAgAAAAEAEAAGRycy9zaGFwZXhtbC54bWxQSwUGAAAAAAYA&#10;BgBbAQAAugMAAAAA&#10;">
                  <v:fill on="f" focussize="0,0"/>
                  <v:stroke color="#EDEDED" miterlimit="8" joinstyle="miter"/>
                  <v:imagedata o:title=""/>
                  <o:lock v:ext="edit" aspectratio="f"/>
                </v:rect>
                <v:shape id="AutoShape 207" o:spid="_x0000_s1026" o:spt="100" style="position:absolute;left:2069;top:1657;height:2700;width:8130;" fillcolor="#EDEDED" filled="t" stroked="f" coordsize="8130,2700" o:gfxdata="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oMdt/FAAAA4wAAAA8AAAAAAAAAAQAgAAAAIgAAAGRycy9kb3ducmV2LnhtbFBLAQIUABQAAAAI&#10;AIdO4kAzLwWeOwAAADkAAAAQAAAAAAAAAAEAIAAAABQBAABkcnMvc2hhcGV4bWwueG1sUEsFBgAA&#10;AAAGAAYAWwEAAL4DAAAAAA==&#10;" path="m6810,2010l0,2010,0,2025,6810,2025,6810,2010xm6810,1350l0,1350,0,1365,6810,1365,6810,1350xm6810,675l0,675,0,690,6810,690,6810,675xm8130,2685l0,2685,0,2700,8130,2700,8130,2685xm8130,2010l7815,2010,7815,2025,8130,2025,8130,2010xm8130,1350l7815,1350,7815,1365,8130,1365,8130,1350xm8130,675l7815,675,7815,690,8130,690,8130,675xm8130,0l0,0,0,15,8130,15,8130,0xe">
                  <v:path o:connectlocs="6810,3667;0,3667;0,3682;6810,3682;6810,3667;6810,3007;0,3007;0,3022;6810,3022;6810,3007;6810,2332;0,2332;0,2347;6810,2347;6810,2332;8130,4342;0,4342;0,4357;8130,4357;8130,4342;8130,3667;7815,3667;7815,3682;8130,3682;8130,3667;8130,3007;7815,3007;7815,3022;8130,3022;8130,3007;8130,2332;7815,2332;7815,2347;8130,2347;8130,2332;8130,1657;0,1657;0,1672;8130,1672;8130,1657" o:connectangles="0,0,0,0,0,0,0,0,0,0,0,0,0,0,0,0,0,0,0,0,0,0,0,0,0,0,0,0,0,0,0,0,0,0,0,0,0,0,0,0"/>
                  <v:fill on="t" focussize="0,0"/>
                  <v:stroke on="f"/>
                  <v:imagedata o:title=""/>
                  <o:lock v:ext="edit" aspectratio="f"/>
                </v:shape>
                <v:shape id="AutoShape 206" o:spid="_x0000_s1026" o:spt="100" style="position:absolute;left:2069;top:1987;height:2040;width:8130;" fillcolor="#F7F7F7" filled="t" stroked="f" coordsize="8130,2040" o:gfxdata="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Vjki&#10;wAAAAOMAAAAPAAAAAAAAAAEAIAAAACIAAABkcnMvZG93bnJldi54bWxQSwECFAAUAAAACACHTuJA&#10;My8FnjsAAAA5AAAAEAAAAAAAAAABACAAAAAPAQAAZHJzL3NoYXBleG1sLnhtbFBLBQYAAAAABgAG&#10;AFsBAAC5AwAAAAA=&#10;" path="m6810,2025l0,2025,0,2040,6810,2040,6810,2025xm6810,1350l0,1350,0,1365,6810,1365,6810,1350xm6810,675l0,675,0,690,6810,690,6810,675xm8130,2025l7815,2025,7815,2040,8130,2040,8130,2025xm8130,1350l7815,1350,7815,1365,8130,1365,8130,1350xm8130,675l7815,675,7815,690,8130,690,8130,675xm8130,0l0,0,0,15,8130,15,8130,0xe">
                  <v:path o:connectlocs="6810,4012;0,4012;0,4027;6810,4027;6810,4012;6810,3337;0,3337;0,3352;6810,3352;6810,3337;6810,2662;0,2662;0,2677;6810,2677;6810,2662;8130,4012;7815,4012;7815,4027;8130,4027;8130,4012;8130,3337;7815,3337;7815,3352;8130,3352;8130,3337;8130,2662;7815,2662;7815,2677;8130,2677;8130,2662;8130,1987;0,1987;0,2002;8130,2002;8130,1987" o:connectangles="0,0,0,0,0,0,0,0,0,0,0,0,0,0,0,0,0,0,0,0,0,0,0,0,0,0,0,0,0,0,0,0,0,0,0"/>
                  <v:fill on="t" focussize="0,0"/>
                  <v:stroke on="f"/>
                  <v:imagedata o:title=""/>
                  <o:lock v:ext="edit" aspectratio="f"/>
                </v:shape>
                <v:shape id="AutoShape 205" o:spid="_x0000_s1026" o:spt="100" style="position:absolute;left:2384;top:2047;height:2303;width:7500;" fillcolor="#663AB6" filled="t" stroked="f" coordsize="7500,2303" o:gfxdata="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dxqZwwAAAOIAAAAPAAAAAAAAAAEAIAAAACIAAABkcnMvZG93bnJldi54bWxQSwECFAAUAAAACACH&#10;TuJAMy8FnjsAAAA5AAAAEAAAAAAAAAABACAAAAASAQAAZHJzL3NoYXBleG1sLnhtbFBLBQYAAAAA&#10;BgAGAFsBAAC8AwAAAAA=&#10;" path="m1005,2295l0,2295,0,2303,1005,2303,1005,2295xm2625,2295l1620,2295,1620,2303,2625,2303,2625,2295xm4245,2249l3255,2249,3255,2303,4245,2303,4245,2249xm5880,2175l4875,2175,4875,2295,5880,2295,5880,2175xm7500,0l6495,0,6495,2295,7500,2295,7500,0xe">
                  <v:path o:connectlocs="1005,4342;0,4342;0,4350;1005,4350;1005,4342;2625,4342;1620,4342;1620,4350;2625,4350;2625,4342;4245,4296;3255,4296;3255,4350;4245,4350;4245,4296;5880,4222;4875,4222;4875,4342;5880,4342;5880,4222;7500,2047;6495,2047;6495,4342;7500,4342;7500,2047" o:connectangles="0,0,0,0,0,0,0,0,0,0,0,0,0,0,0,0,0,0,0,0,0,0,0,0,0"/>
                  <v:fill on="t" focussize="0,0"/>
                  <v:stroke on="f"/>
                  <v:imagedata o:title=""/>
                  <o:lock v:ext="edit" aspectratio="f"/>
                </v:shape>
                <v:rect id="Rectangle 204" o:spid="_x0000_s1026" o:spt="1" style="position:absolute;left:2070;top:4342;height:15;width:8130;" fillcolor="#333333" filled="t" stroked="f" coordsize="21600,21600" o:gfxdata="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SBzFwwAAAOIAAAAPAAAAAAAAAAEAIAAAACIAAABkcnMvZG93bnJldi54bWxQSwECFAAUAAAACACH&#10;TuJAMy8FnjsAAAA5AAAAEAAAAAAAAAABACAAAAASAQAAZHJzL3NoYXBleG1sLnhtbFBLBQYAAAAA&#10;BgAGAFsBAAC8AwAAAAA=&#10;">
                  <v:fill on="t" focussize="0,0"/>
                  <v:stroke on="f"/>
                  <v:imagedata o:title=""/>
                  <o:lock v:ext="edit" aspectratio="f"/>
                </v:rect>
                <v:shape id="AutoShape 203" o:spid="_x0000_s1026" o:spt="100" style="position:absolute;left:2879;top:4042;height:300;width:4890;" fillcolor="#999999" filled="t" stroked="f" coordsize="4890,300" o:gfxdata="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X&#10;W+DCAAAA4wAAAA8AAAAAAAAAAQAgAAAAIgAAAGRycy9kb3ducmV2LnhtbFBLAQIUABQAAAAIAIdO&#10;4kAzLwWeOwAAADkAAAAQAAAAAAAAAAEAIAAAABEBAABkcnMvc2hhcGV4bWwueG1sUEsFBgAAAAAG&#10;AAYAWwEAALsDAAAAAA==&#10;" path="m15,120l0,120,0,300,15,300,15,120xm1635,120l1620,120,1620,300,1635,300,1635,120xm3270,74l3255,74,3255,254,3270,254,3270,74xm4890,0l4875,0,4875,180,4890,180,4890,0xe">
                  <v:path o:connectlocs="15,4162;0,4162;0,4342;15,4342;15,4162;1635,4162;1620,4162;1620,4342;1635,4342;1635,4162;3270,4116;3255,4116;3255,4296;3270,4296;3270,4116;4890,4042;4875,4042;4875,4222;4890,4222;4890,4042" o:connectangles="0,0,0,0,0,0,0,0,0,0,0,0,0,0,0,0,0,0,0,0"/>
                  <v:fill on="t" focussize="0,0"/>
                  <v:stroke on="f"/>
                  <v:imagedata o:title=""/>
                  <o:lock v:ext="edit" aspectratio="f"/>
                </v:shape>
                <v:shape id="AutoShape 202" o:spid="_x0000_s1026" o:spt="100" style="position:absolute;left:2622;top:3883;height:289;width:5467;" filled="f" stroked="t" coordsize="5467,289" o:gfxdata="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43fYDFAAAA4wAAAA8AAAAAAAAAAQAgAAAAIgAAAGRycy9kb3ducmV2LnhtbFBLAQIUABQAAAAI&#10;AIdO4kAzLwWeOwAAADkAAAAQAAAAAAAAAAEAIAAAABQBAABkcnMvc2hhcGV4bWwueG1sUEsFBgAA&#10;AAAGAAYAWwEAAL4DAAAAAA==&#10;" path="m0,187l0,172,2,160,5,151,8,141,13,134,19,129,25,124,33,121,42,121,49,121,55,123,61,126,66,128,70,132,74,138,77,143,80,149,82,157,83,164,84,175,84,187,84,202,83,215,80,224,77,233,72,240,66,245,60,251,52,253,42,253,30,253,20,249,13,240,8,230,4,219,1,204,0,187xm17,187l17,202,19,214,21,223,24,230,29,237,35,240,42,240,50,240,56,237,61,230,64,223,66,214,68,202,68,187,68,173,66,161,64,152,61,145,56,138,50,135,42,135,35,135,29,138,25,144,21,151,19,161,17,173,17,187xm185,289l179,280,173,271,168,261,163,250,159,239,156,228,155,216,154,204,154,194,156,184,158,174,161,164,165,153,171,142,177,131,185,120,196,120,189,132,185,141,182,146,179,154,176,162,174,171,171,182,170,193,170,204,172,225,177,247,185,268,196,289,185,289xm210,187l210,172,212,160,215,151,218,141,223,134,229,129,235,124,243,121,252,121,259,121,265,123,271,126,276,128,280,132,284,138,287,143,290,149,292,157,294,164,294,175,294,187,294,202,293,215,290,224,287,233,282,240,276,245,270,251,262,253,252,253,240,253,230,249,223,240,218,230,214,219,211,204,210,187xm227,187l227,202,229,214,231,223,234,230,239,237,245,240,252,240,260,240,266,237,271,230,274,223,276,214,278,202,278,187,278,173,276,161,274,152,271,145,266,138,260,135,252,135,245,135,239,138,235,144,231,151,229,161,227,173,227,187xm314,153l314,144,316,136,320,129,325,123,332,120,341,120,349,120,355,123,361,128,366,134,369,143,369,154,369,165,366,173,361,179,355,185,349,188,341,188,333,188,327,185,321,179,316,173,314,165,314,153xm341,131l337,131,334,132,331,136,329,139,327,145,327,155,327,163,329,169,331,172,334,175,337,177,341,177,345,177,348,175,351,172,354,169,355,162,355,153,355,145,354,139,351,136,348,132,345,131,341,131xm341,256l412,120,424,120,354,256,341,256xm397,221l397,211,399,204,404,197,408,191,415,187,424,187,432,187,439,190,444,196,449,202,452,210,452,222,452,232,449,241,444,247,439,253,432,256,424,256,416,256,410,253,405,247,399,241,397,232,397,221xm424,198l420,198,417,200,415,203,412,207,411,213,411,222,411,230,412,236,415,240,417,243,421,245,424,245,428,245,432,243,434,240,437,236,438,230,438,221,438,213,437,207,434,203,432,200,428,198,424,198xm485,289l474,289,486,268,494,247,499,225,500,204,500,193,499,182,497,171,495,163,492,154,488,146,486,141,481,132,474,120,485,120,493,131,500,142,505,153,510,164,513,174,515,184,516,194,517,204,516,216,514,228,511,239,507,250,503,261,497,271,492,280,485,289xm1620,187l1620,172,1622,160,1625,151,1628,141,1633,134,1639,129,1645,124,1653,121,1662,121,1669,121,1675,123,1681,126,1686,128,1690,132,1694,138,1697,143,1700,149,1702,157,1703,164,1704,175,1704,187,1704,202,1703,215,1700,224,1697,233,1692,240,1686,245,1680,251,1672,253,1662,253,1650,253,1640,249,1633,240,1628,230,1624,219,1621,204,1620,187xm1637,187l1637,202,1639,214,1641,223,1644,230,1649,237,1655,240,1662,240,1670,240,1676,237,1681,230,1684,223,1686,214,1688,202,1688,187,1688,173,1686,161,1684,152,1681,145,1676,138,1670,135,1662,135,1655,135,1649,138,1645,144,1641,151,1639,161,1637,173,1637,187xm1805,289l1799,280,1793,271,1788,261,1783,250,1779,239,1776,228,1775,216,1774,204,1774,194,1776,184,1778,174,1781,164,1785,153,1791,142,1797,131,1805,120,1816,120,1809,132,1805,141,1802,146,1799,154,1796,162,1794,171,1791,182,1790,193,1790,204,1792,225,1797,247,1805,268,1816,289,1805,289xm1830,187l1830,172,1832,160,1835,151,1838,141,1843,134,1849,129,1855,124,1863,121,1872,121,1879,121,1885,123,1891,126,1896,128,1900,132,1904,138,1907,143,1910,149,1912,157,1914,164,1914,175,1914,187,1914,202,1913,215,1910,224,1907,233,1902,240,1896,245,1890,251,1882,253,1872,253,1860,253,1850,249,1843,240,1838,230,1834,219,1831,204,1830,187xm1847,187l1847,202,1849,214,1851,223,1854,230,1859,237,1865,240,1872,240,1880,240,1886,237,1891,230,1894,223,1896,214,1898,202,1898,187,1898,173,1896,161,1894,152,1891,145,1886,138,1880,135,1872,135,1865,135,1859,138,1855,144,1851,151,1849,161,1847,173,1847,187xm1934,153l1934,144,1936,136,1940,129,1945,123,1952,120,1961,120,1969,120,1975,123,1981,128,1986,134,1989,143,1989,154,1989,165,1986,173,1981,179,1975,185,1969,188,1961,188,1953,188,1947,185,1941,179,1936,173,1934,165,1934,153xm1961,131l1957,131,1954,132,1951,136,1949,139,1947,145,1947,155,1947,163,1949,169,1951,172,1954,175,1957,177,1961,177,1965,177,1968,175,1971,172,1974,169,1975,162,1975,153,1975,145,1974,139,1971,136,1968,132,1965,131,1961,131xm1961,256l2032,120,2044,120,1974,256,1961,256xm2017,221l2017,211,2019,204,2024,197,2028,191,2035,187,2044,187,2052,187,2059,190,2064,196,2069,202,2072,210,2072,222,2072,232,2069,241,2064,247,2059,253,2052,256,2044,256,2036,256,2030,253,2025,247,2019,241,2017,232,2017,221xm2044,198l2040,198,2037,200,2035,203,2032,207,2031,213,2031,222,2031,230,2032,236,2035,240,2037,243,2041,245,2044,245,2048,245,2052,243,2054,240,2057,236,2058,230,2058,221,2058,213,2057,207,2054,203,2052,200,2048,198,2044,198xm2105,289l2094,289,2106,268,2114,247,2119,225,2120,204,2120,193,2119,182,2117,171,2115,163,2112,154,2108,146,2106,141,2101,132,2094,120,2105,120,2113,131,2120,142,2125,153,2130,164,2133,174,2135,184,2136,194,2137,204,2136,216,2134,228,2131,239,2127,250,2123,261,2117,271,2112,280,2105,289xm3263,189l3263,205,3178,205,3178,201,3179,197,3180,194,3182,188,3186,182,3190,177,3195,171,3202,164,3211,157,3225,146,3235,136,3239,130,3244,123,3247,117,3247,111,3247,104,3245,99,3240,95,3236,91,3230,88,3223,88,3215,88,3209,91,3204,95,3200,100,3197,106,3197,114,3181,113,3182,100,3186,91,3194,85,3201,78,3211,75,3223,75,3235,75,3245,79,3252,86,3260,92,3263,101,3263,111,3263,116,3262,121,3260,126,3258,131,3254,137,3249,142,3245,148,3236,155,3225,165,3216,173,3209,178,3207,181,3204,184,3202,187,3200,189,3263,189xm3365,243l3359,234,3353,225,3348,215,3343,204,3339,193,3336,181,3334,170,3334,158,3334,148,3335,138,3338,128,3340,118,3345,107,3351,96,3357,85,3365,74,3376,74,3369,86,3364,95,3362,100,3359,108,3356,116,3354,125,3351,136,3350,147,3350,158,3352,179,3357,200,3365,221,3376,243,3365,243xm3473,189l3473,205,3388,205,3388,201,3389,197,3390,194,3392,188,3396,182,3400,177,3405,171,3412,164,3421,157,3435,146,3445,136,3450,130,3454,123,3457,117,3457,111,3457,104,3455,99,3450,95,3446,91,3440,88,3433,88,3425,88,3419,91,3414,95,3410,100,3408,106,3407,114,3391,113,3392,100,3396,91,3404,85,3411,78,3421,75,3433,75,3445,75,3455,79,3462,86,3470,92,3473,101,3473,111,3473,116,3472,121,3470,126,3468,131,3464,137,3460,142,3455,148,3446,155,3435,165,3426,173,3420,178,3417,181,3414,184,3412,187,3410,189,3473,189xm3499,205l3499,187,3517,187,3517,205,3499,205xm3541,93l3541,78,3625,78,3625,90,3619,97,3613,105,3606,114,3600,125,3595,136,3590,147,3585,158,3582,169,3579,180,3577,192,3576,205,3559,205,3560,195,3562,182,3565,168,3569,157,3572,147,3577,137,3582,126,3587,117,3593,108,3599,100,3604,93,3541,93xm3643,107l3643,98,3646,90,3650,83,3655,77,3662,74,3670,74,3679,74,3685,77,3691,82,3696,88,3699,97,3699,108,3699,119,3696,127,3690,133,3685,139,3679,142,3671,142,3663,142,3656,139,3651,133,3646,127,3643,118,3643,107xm3671,85l3667,85,3664,86,3661,90,3659,93,3657,99,3657,108,3657,117,3659,122,3661,126,3664,129,3667,131,3671,131,3675,131,3678,129,3681,126,3683,122,3685,116,3685,107,3685,99,3683,93,3681,90,3678,86,3675,85,3671,85xm3671,209l3742,74,3754,74,3684,209,3671,209xm3727,174l3727,165,3729,157,3734,151,3738,145,3745,141,3754,141,3762,141,3769,144,3774,150,3779,156,3782,164,3782,175,3782,186,3779,195,3774,201,3769,206,3762,209,3754,209,3746,209,3740,207,3735,201,3729,195,3727,186,3727,174xm3754,152l3750,152,3747,154,3744,157,3742,161,3741,167,3741,176,3741,184,3742,190,3745,193,3747,197,3750,199,3754,199,3758,199,3762,197,3764,193,3767,190,3768,184,3768,175,3768,166,3767,161,3764,157,3762,154,3758,152,3754,152xm3815,243l3804,243,3815,221,3824,200,3829,179,3830,158,3830,147,3829,136,3826,125,3824,117,3822,108,3818,100,3816,95,3811,86,3804,74,3815,74,3823,85,3830,96,3835,107,3840,118,3843,128,3845,138,3846,148,3846,158,3846,170,3844,181,3841,193,3837,204,3833,215,3827,225,3822,234,3815,243xm4851,131l4851,100,4795,100,4795,86,4854,2,4867,2,4867,86,4884,86,4884,100,4867,100,4867,131,4851,131xm4851,86l4851,27,4811,86,4851,86xm4985,169l4979,160,4973,151,4968,141,4963,130,4959,119,4956,108,4954,96,4954,84,4954,74,4955,64,4958,54,4960,44,4965,33,4971,22,4977,11,4985,0,4996,0,4989,12,4984,21,4982,26,4979,34,4976,42,4974,51,4971,62,4970,73,4970,84,4972,105,4977,127,4985,148,4996,169,4985,169xm5010,97l5027,96,5028,104,5031,110,5035,114,5040,118,5045,120,5052,120,5059,120,5066,117,5071,111,5076,106,5079,98,5079,89,5079,80,5076,72,5071,67,5066,62,5060,59,5051,59,5046,59,5042,61,5038,63,5033,65,5030,68,5028,72,5013,70,5026,4,5090,4,5090,19,5038,19,5031,54,5039,48,5047,45,5056,45,5067,45,5076,49,5084,57,5092,65,5096,75,5096,87,5096,99,5092,109,5085,117,5077,128,5066,133,5052,133,5040,133,5030,130,5023,123,5016,117,5011,108,5010,97xm5119,131l5119,113,5137,113,5137,131,5119,131xm5160,97l5176,95,5178,104,5181,110,5186,114,5190,118,5195,120,5201,120,5209,120,5215,117,5220,112,5225,107,5228,101,5228,93,5228,86,5226,80,5221,75,5216,70,5210,68,5203,68,5200,68,5196,69,5192,70,5193,56,5194,56,5195,56,5196,56,5203,56,5209,54,5214,51,5220,47,5222,42,5222,35,5222,29,5220,24,5216,20,5212,16,5207,14,5201,14,5195,14,5190,16,5186,20,5182,24,5179,30,5178,38,5162,35,5164,24,5168,16,5175,10,5182,4,5191,1,5201,1,5208,1,5214,3,5220,6,5226,9,5231,13,5234,18,5237,24,5238,29,5238,35,5238,41,5237,46,5234,50,5231,55,5227,58,5221,61,5228,63,5234,66,5238,72,5243,78,5245,84,5245,93,5245,104,5241,114,5232,121,5224,129,5214,133,5201,133,5190,133,5181,130,5173,123,5166,116,5161,108,5160,97xm5263,33l5263,24,5266,16,5270,9,5275,3,5282,0,5290,0,5299,0,5305,3,5311,8,5316,14,5319,23,5319,34,5319,45,5316,53,5310,59,5305,65,5299,68,5291,68,5283,68,5276,65,5271,59,5266,53,5263,45,5263,33xm5291,11l5287,11,5284,12,5281,16,5279,19,5277,25,5277,35,5277,43,5279,49,5281,52,5284,55,5287,57,5291,57,5295,57,5298,55,5301,52,5303,49,5305,42,5305,33,5305,25,5303,19,5301,16,5298,12,5295,11,5291,11xm5291,136l5362,0,5374,0,5304,136,5291,136xm5347,101l5347,91,5349,84,5354,77,5358,71,5365,67,5374,67,5382,67,5389,70,5394,76,5399,82,5402,90,5402,102,5402,112,5399,121,5394,127,5389,133,5382,136,5374,136,5366,136,5360,133,5355,127,5349,121,5347,112,5347,101xm5374,78l5370,78,5367,80,5364,83,5362,87,5361,93,5361,102,5361,110,5362,116,5365,120,5367,123,5370,125,5374,125,5378,125,5382,123,5384,120,5387,116,5388,110,5388,101,5388,93,5387,87,5384,83,5382,80,5378,78,5374,78xm5435,169l5424,169,5435,148,5444,127,5449,105,5450,84,5450,73,5449,62,5446,51,5444,43,5442,34,5438,26,5436,21,5431,12,5424,0,5435,0,5443,11,5450,22,5455,33,5460,44,5463,54,5465,64,5466,74,5466,84,5466,96,5464,108,5461,119,5457,130,5453,141,5447,151,5442,160,5435,169xe">
                  <v:path o:connectlocs="83,4048;17,4086;42,4019;161,4048;210,4071;294,4059;229,4098;245,4019;369,4049;329,4053;354,4140;424,4140;428,4129;497,4055;503,4145;1697,4027;1621,4088;1681,4029;1774,4078;1805,4152;1910,4033;1830,4071;1886,4022;1986,4018;1947,4029;1961,4140;2064,4131;2037,4127;2120,4088;2134,4112;3235,4020;3194,3969;3209,4062;3351,3980;3388,4089;3440,3972;3473,3995;3517,4089;3565,4052;3696,3972;3657,3983;3671,4093;3774,4085;3747,4081;3830,4042;3844,4065;4851,3911;4996,3884;5040,4002;5028,3956;5066,4017;5201,4004;5203,3940;5168,3900;5228,3947;5266,3900;5266,3937;5305,3926;5382,3951;5367,3964;5382,3964;5450,3906" o:connectangles="0,0,0,0,0,0,0,0,0,0,0,0,0,0,0,0,0,0,0,0,0,0,0,0,0,0,0,0,0,0,0,0,0,0,0,0,0,0,0,0,0,0,0,0,0,0,0,0,0,0,0,0,0,0,0,0,0,0,0,0,0,0"/>
                  <v:fill on="f" focussize="0,0"/>
                  <v:stroke weight="2.25pt" color="#FFFFFF" joinstyle="round"/>
                  <v:imagedata o:title=""/>
                  <o:lock v:ext="edit" aspectratio="f"/>
                </v:shape>
                <v:shape id="Picture 201" o:spid="_x0000_s1026" o:spt="75" type="#_x0000_t75" style="position:absolute;left:9525;top:5257;height:300;width:255;" filled="f" o:preferrelative="t" stroked="f" coordsize="21600,21600" o:gfxdata="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KZNSA8cAAADiAAAADwAAAAAAAAABACAAAAAiAAAAZHJzL2Rvd25yZXYueG1sUEsBAhQAFAAA&#10;AAgAh07iQDMvBZ47AAAAOQAAABAAAAAAAAAAAQAgAAAAFgEAAGRycy9zaGFwZXhtbC54bWxQSwUG&#10;AAAAAAYABgBbAQAAwAMAAAAA&#10;">
                  <v:fill on="f" focussize="0,0"/>
                  <v:stroke on="f"/>
                  <v:imagedata r:id="rId110" o:title=""/>
                  <o:lock v:ext="edit" aspectratio="t"/>
                </v:shape>
                <v:rect id="Rectangle 200" o:spid="_x0000_s1026" o:spt="1" style="position:absolute;left:2070;top:7567;height:2700;width:8130;" filled="f" stroked="t" coordsize="21600,21600" o:gfxdata="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R6V&#10;wAAAAOMAAAAPAAAAAAAAAAEAIAAAACIAAABkcnMvZG93bnJldi54bWxQSwECFAAUAAAACACHTuJA&#10;My8FnjsAAAA5AAAAEAAAAAAAAAABACAAAAAPAQAAZHJzL3NoYXBleG1sLnhtbFBLBQYAAAAABgAG&#10;AFsBAAC5AwAAAAA=&#10;">
                  <v:fill on="f" focussize="0,0"/>
                  <v:stroke color="#EDEDED" miterlimit="8" joinstyle="miter"/>
                  <v:imagedata o:title=""/>
                  <o:lock v:ext="edit" aspectratio="f"/>
                </v:rect>
                <v:shape id="AutoShape 199" o:spid="_x0000_s1026" o:spt="100" style="position:absolute;left:2069;top:7567;height:2700;width:8130;" fillcolor="#EDEDED" filled="t" stroked="f" coordsize="8130,2700" o:gfxdata="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vuLVcQAAADiAAAADwAAAAAAAAABACAAAAAiAAAAZHJzL2Rvd25yZXYueG1sUEsBAhQAFAAAAAgA&#10;h07iQDMvBZ47AAAAOQAAABAAAAAAAAAAAQAgAAAAEwEAAGRycy9zaGFwZXhtbC54bWxQSwUGAAAA&#10;AAYABgBbAQAAvQMAAAAA&#10;" path="m3570,1785l0,1785,0,1800,3570,1800,3570,1785xm3570,900l0,900,0,915,3570,915,3570,900xm5190,1785l4560,1785,4560,1800,5190,1800,5190,1785xm5190,900l4560,900,4560,915,5190,915,5190,900xm6810,1785l6195,1785,6195,1800,6810,1800,6810,1785xm8130,2685l0,2685,0,2700,8130,2700,8130,2685xm8130,1785l7815,1785,7815,1800,8130,1800,8130,1785xm8130,900l6195,900,6195,915,8130,915,8130,900xm8130,0l0,0,0,15,8130,15,8130,0xe">
                  <v:path o:connectlocs="3570,9352;0,9352;0,9367;3570,9367;3570,9352;3570,8467;0,8467;0,8482;3570,8482;3570,8467;5190,9352;4560,9352;4560,9367;5190,9367;5190,9352;5190,8467;4560,8467;4560,8482;5190,8482;5190,8467;6810,9352;6195,9352;6195,9367;6810,9367;6810,9352;8130,10252;0,10252;0,10267;8130,10267;8130,10252;8130,9352;7815,9352;7815,9367;8130,9367;8130,9352;8130,8467;6195,8467;6195,8482;8130,8482;8130,8467;8130,7567;0,7567;0,7582;8130,7582;8130,7567" o:connectangles="0,0,0,0,0,0,0,0,0,0,0,0,0,0,0,0,0,0,0,0,0,0,0,0,0,0,0,0,0,0,0,0,0,0,0,0,0,0,0,0,0,0,0,0,0"/>
                  <v:fill on="t" focussize="0,0"/>
                  <v:stroke on="f"/>
                  <v:imagedata o:title=""/>
                  <o:lock v:ext="edit" aspectratio="f"/>
                </v:shape>
                <v:shape id="AutoShape 198" o:spid="_x0000_s1026" o:spt="100" style="position:absolute;left:2069;top:8017;height:1800;width:8130;" fillcolor="#F7F7F7" filled="t" stroked="f" coordsize="8130,1800" o:gfxdata="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yX&#10;h8EAAADjAAAADwAAAAAAAAABACAAAAAiAAAAZHJzL2Rvd25yZXYueG1sUEsBAhQAFAAAAAgAh07i&#10;QDMvBZ47AAAAOQAAABAAAAAAAAAAAQAgAAAAEAEAAGRycy9zaGFwZXhtbC54bWxQSwUGAAAAAAYA&#10;BgBbAQAAugMAAAAA&#10;" path="m1935,1785l0,1785,0,1800,1935,1800,1935,1785xm3570,1785l2940,1785,2940,1800,3570,1800,3570,1785xm3570,900l0,900,0,915,3570,915,3570,900xm3570,0l0,0,0,15,3570,15,3570,0xm5190,1785l4560,1785,4560,1800,5190,1800,5190,1785xm5190,900l4560,900,4560,915,5190,915,5190,900xm6810,1785l6195,1785,6195,1800,6810,1800,6810,1785xm6810,900l6195,900,6195,915,6810,915,6810,900xm8130,1785l7815,1785,7815,1800,8130,1800,8130,1785xm8130,900l7815,900,7815,915,8130,915,8130,900xm8130,0l4560,0,4560,15,8130,15,8130,0xe">
                  <v:path o:connectlocs="1935,9802;0,9802;0,9817;1935,9817;1935,9802;3570,9802;2940,9802;2940,9817;3570,9817;3570,9802;3570,8917;0,8917;0,8932;3570,8932;3570,8917;3570,8017;0,8017;0,8032;3570,8032;3570,8017;5190,9802;4560,9802;4560,9817;5190,9817;5190,9802;5190,8917;4560,8917;4560,8932;5190,8932;5190,8917;6810,9802;6195,9802;6195,9817;6810,9817;6810,9802;6810,8917;6195,8917;6195,8932;6810,8932;6810,8917;8130,9802;7815,9802;7815,9817;8130,9817;8130,9802;8130,8917;7815,8917;7815,8932;8130,8932;8130,8917;8130,8017;4560,8017;4560,8032;8130,8032;8130,8017" o:connectangles="0,0,0,0,0,0,0,0,0,0,0,0,0,0,0,0,0,0,0,0,0,0,0,0,0,0,0,0,0,0,0,0,0,0,0,0,0,0,0,0,0,0,0,0,0,0,0,0,0,0,0,0,0,0,0"/>
                  <v:fill on="t" focussize="0,0"/>
                  <v:stroke on="f"/>
                  <v:imagedata o:title=""/>
                  <o:lock v:ext="edit" aspectratio="f"/>
                </v:shape>
                <v:shape id="AutoShape 197" o:spid="_x0000_s1026" o:spt="100" style="position:absolute;left:2384;top:7762;height:2490;width:7500;" fillcolor="#663AB6" filled="t" stroked="f" coordsize="7500,2490" o:gfxdata="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K7&#10;ccEAAADjAAAADwAAAAAAAAABACAAAAAiAAAAZHJzL2Rvd25yZXYueG1sUEsBAhQAFAAAAAgAh07i&#10;QDMvBZ47AAAAOQAAABAAAAAAAAAAAQAgAAAAEAEAAGRycy9zaGFwZXhtbC54bWxQSwUGAAAAAAYA&#10;BgBbAQAAugMAAAAA&#10;" path="m1005,2325l0,2325,0,2490,1005,2490,1005,2325xm4245,0l3255,0,3255,2490,4245,2490,4245,0xm5880,540l4875,540,4875,2490,5880,2490,5880,540xm7500,1080l6495,1080,6495,2490,7500,2490,7500,1080xe">
                  <v:path o:connectlocs="1005,10087;0,10087;0,10252;1005,10252;1005,10087;4245,7762;3255,7762;3255,10252;4245,10252;4245,7762;5880,8302;4875,8302;4875,10252;5880,10252;5880,8302;7500,8842;6495,8842;6495,10252;7500,10252;7500,8842" o:connectangles="0,0,0,0,0,0,0,0,0,0,0,0,0,0,0,0,0,0,0,0"/>
                  <v:fill on="t" focussize="0,0"/>
                  <v:stroke on="f"/>
                  <v:imagedata o:title=""/>
                  <o:lock v:ext="edit" aspectratio="f"/>
                </v:shape>
                <v:rect id="Rectangle 196" o:spid="_x0000_s1026" o:spt="1" style="position:absolute;left:2070;top:10252;height:15;width:8130;" fillcolor="#333333" filled="t" stroked="f" coordsize="21600,21600" o:gfxdata="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WJ1CsQAAADiAAAADwAAAAAAAAABACAAAAAiAAAAZHJzL2Rvd25yZXYueG1sUEsBAhQAFAAAAAgA&#10;h07iQDMvBZ47AAAAOQAAABAAAAAAAAAAAQAgAAAAEwEAAGRycy9zaGFwZXhtbC54bWxQSwUGAAAA&#10;AAYABgBbAQAAvQMAAAAA&#10;">
                  <v:fill on="t" focussize="0,0"/>
                  <v:stroke on="f"/>
                  <v:imagedata o:title=""/>
                  <o:lock v:ext="edit" aspectratio="f"/>
                </v:rect>
                <v:rect id="Rectangle 195" o:spid="_x0000_s1026" o:spt="1" style="position:absolute;left:2880;top:9907;height:180;width:15;" fillcolor="#999999" filled="t" stroked="f" coordsize="21600,21600" o:gfxdata="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6&#10;qyrCAAAA4gAAAA8AAAAAAAAAAQAgAAAAIgAAAGRycy9kb3ducmV2LnhtbFBLAQIUABQAAAAIAIdO&#10;4kAzLwWeOwAAADkAAAAQAAAAAAAAAAEAIAAAABEBAABkcnMvc2hhcGV4bWwueG1sUEsFBgAAAAAG&#10;AAYAWwEAALsDAAAAAA==&#10;">
                  <v:fill on="t" focussize="0,0"/>
                  <v:stroke on="f"/>
                  <v:imagedata o:title=""/>
                  <o:lock v:ext="edit" aspectratio="f"/>
                </v:rect>
                <v:shape id="AutoShape 194" o:spid="_x0000_s1026" o:spt="100" style="position:absolute;left:2545;top:9748;height:169;width:669;" filled="f" stroked="t" coordsize="669,169" o:gfxdata="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Hu&#10;G+PCAAAA4wAAAA8AAAAAAAAAAQAgAAAAIgAAAGRycy9kb3ducmV2LnhtbFBLAQIUABQAAAAIAIdO&#10;4kAzLwWeOwAAADkAAAAQAAAAAAAAAAEAIAAAABEBAABkcnMvc2hhcGV4bWwueG1sUEsFBgAAAAAG&#10;AAYAWwEAALsDAAAAAA==&#10;" path="m85,116l85,131,0,131,0,127,1,123,2,120,4,114,8,108,12,103,17,97,24,91,33,83,47,72,57,63,61,56,66,49,69,43,69,37,69,31,67,25,62,21,58,17,52,15,45,15,37,15,31,17,26,21,22,26,19,32,19,40,3,39,4,27,8,17,16,11,23,5,33,1,45,1,57,1,67,5,74,12,82,19,85,27,85,37,85,42,84,47,82,52,80,57,76,63,71,68,67,74,58,81,47,91,38,99,31,104,29,107,26,110,24,113,22,116,85,116xm187,169l181,160,175,151,170,141,165,130,161,119,158,108,156,96,156,84,156,74,157,64,160,54,162,44,167,33,173,22,179,11,187,0,198,0,191,12,186,21,184,26,181,34,178,42,176,51,173,62,172,73,172,84,174,105,179,127,187,148,198,169,187,169xm295,116l295,131,210,131,210,127,211,123,212,120,214,114,218,108,222,103,227,97,234,91,243,83,257,72,267,63,272,56,276,49,279,43,279,37,279,31,277,25,272,21,268,17,262,15,255,15,247,15,241,17,236,21,232,26,230,32,229,40,213,39,214,27,218,17,226,11,233,5,243,1,255,1,267,1,277,5,284,12,292,19,295,27,295,37,295,42,294,47,292,52,290,57,286,63,282,68,277,74,268,81,257,91,248,99,242,104,239,107,236,110,234,113,232,116,295,116xm321,131l321,113,339,113,339,131,321,131xm363,19l363,4,447,4,447,16,441,23,435,31,428,40,422,51,417,62,412,73,407,84,404,95,401,106,399,118,398,131,381,131,382,121,384,108,387,94,391,83,394,73,399,63,404,53,409,43,415,34,421,26,426,19,363,19xm465,33l465,24,468,16,472,9,477,3,484,0,492,0,501,0,507,3,513,8,518,14,521,23,521,34,521,45,518,53,512,59,507,65,501,68,493,68,485,68,478,65,473,59,468,53,465,45,465,33xm493,11l489,11,486,12,483,16,481,19,479,25,479,35,479,43,481,49,483,52,486,55,489,57,493,57,497,57,500,55,503,52,505,49,507,42,507,33,507,25,505,19,503,16,500,12,497,11,493,11xm493,136l564,0,576,0,506,136,493,136xm549,101l549,91,551,84,556,77,560,71,567,67,576,67,584,67,591,70,596,76,601,82,604,90,604,102,604,112,601,121,596,127,591,133,584,136,576,136,568,136,562,133,557,127,551,121,549,112,549,101xm576,78l572,78,569,80,566,83,564,87,563,93,563,102,563,110,564,116,567,120,569,123,572,125,576,125,580,125,584,123,586,120,589,116,590,110,590,101,590,93,589,87,586,83,584,80,580,78,576,78xm637,169l626,169,637,148,646,127,651,105,652,84,652,73,651,62,648,51,646,43,644,34,640,26,638,21,633,12,626,0,637,0,645,11,652,22,657,33,662,44,665,54,667,64,668,74,668,84,668,96,666,108,663,119,659,130,655,141,649,151,644,160,637,169xe">
                  <v:path o:connectlocs="2,9869;33,9832;69,9786;45,9764;19,9789;33,9750;85,9776;76,9812;31,9853;187,9918;158,9857;162,9793;191,9761;173,9811;198,9918;211,9872;234,9840;279,9792;262,9764;230,9781;233,9754;292,9768;290,9806;248,9848;295,9865;363,9768;428,9789;401,9855;387,9843;415,9783;468,9765;507,9752;518,9802;478,9814;489,9760;479,9792;497,9806;507,9774;493,9885;549,9840;584,9816;604,9861;568,9885;576,9827;563,9851;576,9874;590,9850;576,9827;652,9833;640,9775;652,9771;668,9833;649,9900" o:connectangles="0,0,0,0,0,0,0,0,0,0,0,0,0,0,0,0,0,0,0,0,0,0,0,0,0,0,0,0,0,0,0,0,0,0,0,0,0,0,0,0,0,0,0,0,0,0,0,0,0,0,0,0,0"/>
                  <v:fill on="f" focussize="0,0"/>
                  <v:stroke weight="2.25pt" color="#FFFFFF" joinstyle="round"/>
                  <v:imagedata o:title=""/>
                  <o:lock v:ext="edit" aspectratio="f"/>
                </v:shape>
              </v:group>
            </w:pict>
          </mc:Fallback>
        </mc:AlternateContent>
      </w:r>
      <w:r>
        <w:rPr>
          <w:rFonts w:eastAsia="Roboto"/>
          <w:color w:val="202024"/>
          <w:szCs w:val="22"/>
        </w:rPr>
        <w:t>For</w:t>
      </w:r>
      <w:r>
        <w:rPr>
          <w:rFonts w:eastAsia="Roboto"/>
          <w:color w:val="202024"/>
          <w:spacing w:val="11"/>
          <w:szCs w:val="22"/>
        </w:rPr>
        <w:t xml:space="preserve"> </w:t>
      </w:r>
      <w:r>
        <w:rPr>
          <w:rFonts w:eastAsia="Roboto"/>
          <w:color w:val="202024"/>
          <w:szCs w:val="22"/>
        </w:rPr>
        <w:t>effective</w:t>
      </w:r>
      <w:r>
        <w:rPr>
          <w:rFonts w:eastAsia="Roboto"/>
          <w:color w:val="202024"/>
          <w:spacing w:val="12"/>
          <w:szCs w:val="22"/>
        </w:rPr>
        <w:t xml:space="preserve"> </w:t>
      </w:r>
      <w:r>
        <w:rPr>
          <w:rFonts w:eastAsia="Roboto"/>
          <w:color w:val="202024"/>
          <w:szCs w:val="22"/>
        </w:rPr>
        <w:t>tax</w:t>
      </w:r>
      <w:r>
        <w:rPr>
          <w:rFonts w:eastAsia="Roboto"/>
          <w:color w:val="202024"/>
          <w:spacing w:val="12"/>
          <w:szCs w:val="22"/>
        </w:rPr>
        <w:t xml:space="preserve"> </w:t>
      </w:r>
      <w:r>
        <w:rPr>
          <w:rFonts w:eastAsia="Roboto"/>
          <w:color w:val="202024"/>
          <w:szCs w:val="22"/>
        </w:rPr>
        <w:t>compliance,</w:t>
      </w:r>
      <w:r>
        <w:rPr>
          <w:rFonts w:eastAsia="Roboto"/>
          <w:color w:val="202024"/>
          <w:spacing w:val="12"/>
          <w:szCs w:val="22"/>
        </w:rPr>
        <w:t xml:space="preserve"> </w:t>
      </w:r>
      <w:r>
        <w:rPr>
          <w:rFonts w:eastAsia="Roboto"/>
          <w:color w:val="202024"/>
          <w:szCs w:val="22"/>
        </w:rPr>
        <w:t>how</w:t>
      </w:r>
      <w:r>
        <w:rPr>
          <w:rFonts w:eastAsia="Roboto"/>
          <w:color w:val="202024"/>
          <w:spacing w:val="12"/>
          <w:szCs w:val="22"/>
        </w:rPr>
        <w:t xml:space="preserve"> </w:t>
      </w:r>
      <w:r>
        <w:rPr>
          <w:rFonts w:eastAsia="Roboto"/>
          <w:color w:val="202024"/>
          <w:szCs w:val="22"/>
        </w:rPr>
        <w:t>important</w:t>
      </w:r>
      <w:r>
        <w:rPr>
          <w:rFonts w:eastAsia="Roboto"/>
          <w:color w:val="202024"/>
          <w:spacing w:val="12"/>
          <w:szCs w:val="22"/>
        </w:rPr>
        <w:t xml:space="preserve"> </w:t>
      </w:r>
      <w:r>
        <w:rPr>
          <w:rFonts w:eastAsia="Roboto"/>
          <w:color w:val="202024"/>
          <w:szCs w:val="22"/>
        </w:rPr>
        <w:t>is</w:t>
      </w:r>
      <w:r>
        <w:rPr>
          <w:rFonts w:eastAsia="Roboto"/>
          <w:color w:val="202024"/>
          <w:spacing w:val="12"/>
          <w:szCs w:val="22"/>
        </w:rPr>
        <w:t xml:space="preserve"> </w:t>
      </w:r>
      <w:r>
        <w:rPr>
          <w:rFonts w:eastAsia="Roboto"/>
          <w:color w:val="202024"/>
          <w:szCs w:val="22"/>
        </w:rPr>
        <w:t>it</w:t>
      </w:r>
      <w:r>
        <w:rPr>
          <w:rFonts w:eastAsia="Roboto"/>
          <w:color w:val="202024"/>
          <w:spacing w:val="12"/>
          <w:szCs w:val="22"/>
        </w:rPr>
        <w:t xml:space="preserve"> </w:t>
      </w:r>
      <w:r>
        <w:rPr>
          <w:rFonts w:eastAsia="Roboto"/>
          <w:color w:val="202024"/>
          <w:szCs w:val="22"/>
        </w:rPr>
        <w:t>for</w:t>
      </w:r>
      <w:r>
        <w:rPr>
          <w:rFonts w:eastAsia="Roboto"/>
          <w:color w:val="202024"/>
          <w:spacing w:val="12"/>
          <w:szCs w:val="22"/>
        </w:rPr>
        <w:t xml:space="preserve"> </w:t>
      </w:r>
      <w:r>
        <w:rPr>
          <w:rFonts w:eastAsia="Roboto"/>
          <w:color w:val="202024"/>
          <w:szCs w:val="22"/>
        </w:rPr>
        <w:t>taxing</w:t>
      </w:r>
      <w:r>
        <w:rPr>
          <w:rFonts w:eastAsia="Roboto"/>
          <w:color w:val="202024"/>
          <w:spacing w:val="12"/>
          <w:szCs w:val="22"/>
        </w:rPr>
        <w:t xml:space="preserve"> </w:t>
      </w:r>
      <w:r>
        <w:rPr>
          <w:rFonts w:eastAsia="Roboto"/>
          <w:color w:val="202024"/>
          <w:szCs w:val="22"/>
        </w:rPr>
        <w:t>provisions,</w:t>
      </w:r>
      <w:r>
        <w:rPr>
          <w:rFonts w:eastAsia="Roboto"/>
          <w:color w:val="202024"/>
          <w:spacing w:val="-57"/>
          <w:szCs w:val="22"/>
        </w:rPr>
        <w:t xml:space="preserve"> </w:t>
      </w:r>
      <w:r>
        <w:rPr>
          <w:rFonts w:eastAsia="Roboto"/>
          <w:color w:val="202024"/>
          <w:szCs w:val="22"/>
        </w:rPr>
        <w:t>words</w:t>
      </w:r>
      <w:r>
        <w:rPr>
          <w:rFonts w:eastAsia="Roboto"/>
          <w:color w:val="202024"/>
          <w:spacing w:val="6"/>
          <w:szCs w:val="22"/>
        </w:rPr>
        <w:t xml:space="preserve"> </w:t>
      </w:r>
      <w:r>
        <w:rPr>
          <w:rFonts w:eastAsia="Roboto"/>
          <w:color w:val="202024"/>
          <w:szCs w:val="22"/>
        </w:rPr>
        <w:t>and</w:t>
      </w:r>
      <w:r>
        <w:rPr>
          <w:rFonts w:eastAsia="Roboto"/>
          <w:color w:val="202024"/>
          <w:spacing w:val="7"/>
          <w:szCs w:val="22"/>
        </w:rPr>
        <w:t xml:space="preserve"> </w:t>
      </w:r>
      <w:r>
        <w:rPr>
          <w:rFonts w:eastAsia="Roboto"/>
          <w:color w:val="202024"/>
          <w:szCs w:val="22"/>
        </w:rPr>
        <w:t>concepts</w:t>
      </w:r>
      <w:r>
        <w:rPr>
          <w:rFonts w:eastAsia="Roboto"/>
          <w:color w:val="202024"/>
          <w:spacing w:val="7"/>
          <w:szCs w:val="22"/>
        </w:rPr>
        <w:t xml:space="preserve"> </w:t>
      </w:r>
      <w:r>
        <w:rPr>
          <w:rFonts w:eastAsia="Roboto"/>
          <w:color w:val="202024"/>
          <w:szCs w:val="22"/>
        </w:rPr>
        <w:t>to</w:t>
      </w:r>
      <w:r>
        <w:rPr>
          <w:rFonts w:eastAsia="Roboto"/>
          <w:color w:val="202024"/>
          <w:spacing w:val="7"/>
          <w:szCs w:val="22"/>
        </w:rPr>
        <w:t xml:space="preserve"> </w:t>
      </w:r>
      <w:r>
        <w:rPr>
          <w:rFonts w:eastAsia="Roboto"/>
          <w:color w:val="202024"/>
          <w:szCs w:val="22"/>
        </w:rPr>
        <w:t>be</w:t>
      </w:r>
      <w:r>
        <w:rPr>
          <w:rFonts w:eastAsia="Roboto"/>
          <w:color w:val="202024"/>
          <w:spacing w:val="7"/>
          <w:szCs w:val="22"/>
        </w:rPr>
        <w:t xml:space="preserve"> </w:t>
      </w:r>
      <w:r>
        <w:rPr>
          <w:rFonts w:eastAsia="Roboto"/>
          <w:color w:val="202024"/>
          <w:szCs w:val="22"/>
        </w:rPr>
        <w:t>clearly</w:t>
      </w:r>
      <w:r>
        <w:rPr>
          <w:rFonts w:eastAsia="Roboto"/>
          <w:color w:val="202024"/>
          <w:spacing w:val="7"/>
          <w:szCs w:val="22"/>
        </w:rPr>
        <w:t xml:space="preserve"> </w:t>
      </w:r>
      <w:r>
        <w:rPr>
          <w:rFonts w:eastAsia="Roboto"/>
          <w:color w:val="202024"/>
          <w:szCs w:val="22"/>
        </w:rPr>
        <w:t>defined</w:t>
      </w:r>
      <w:r>
        <w:rPr>
          <w:rFonts w:eastAsia="Roboto"/>
          <w:color w:val="202024"/>
          <w:spacing w:val="7"/>
          <w:szCs w:val="22"/>
        </w:rPr>
        <w:t xml:space="preserve"> </w:t>
      </w:r>
      <w:r>
        <w:rPr>
          <w:rFonts w:eastAsia="Roboto"/>
          <w:color w:val="202024"/>
          <w:szCs w:val="22"/>
        </w:rPr>
        <w:t>and</w:t>
      </w:r>
      <w:r>
        <w:rPr>
          <w:rFonts w:eastAsia="Roboto"/>
          <w:color w:val="202024"/>
          <w:spacing w:val="7"/>
          <w:szCs w:val="22"/>
        </w:rPr>
        <w:t xml:space="preserve"> </w:t>
      </w:r>
      <w:r>
        <w:rPr>
          <w:rFonts w:eastAsia="Roboto"/>
          <w:color w:val="202024"/>
          <w:szCs w:val="22"/>
        </w:rPr>
        <w:t>principle</w:t>
      </w:r>
      <w:r>
        <w:rPr>
          <w:rFonts w:eastAsia="Roboto"/>
          <w:color w:val="202024"/>
          <w:spacing w:val="7"/>
          <w:szCs w:val="22"/>
        </w:rPr>
        <w:t xml:space="preserve"> </w:t>
      </w:r>
      <w:r>
        <w:rPr>
          <w:rFonts w:eastAsia="Roboto"/>
          <w:color w:val="202024"/>
          <w:szCs w:val="22"/>
        </w:rPr>
        <w:t>based?</w:t>
      </w:r>
    </w:p>
    <w:p w14:paraId="0017849A">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2146B74D">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30F2D706">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8174" w:space="622"/>
            <w:col w:w="784"/>
          </w:cols>
        </w:sectPr>
      </w:pPr>
    </w:p>
    <w:p w14:paraId="6F2FBE52">
      <w:pPr>
        <w:widowControl w:val="0"/>
        <w:autoSpaceDE w:val="0"/>
        <w:autoSpaceDN w:val="0"/>
        <w:spacing w:before="10"/>
        <w:rPr>
          <w:rFonts w:ascii="Lucida Sans Unicode" w:hAnsi="Roboto" w:eastAsia="Roboto" w:cs="Roboto"/>
          <w:sz w:val="21"/>
          <w:szCs w:val="21"/>
        </w:rPr>
      </w:pPr>
    </w:p>
    <w:p w14:paraId="15A53206">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80</w:t>
      </w:r>
    </w:p>
    <w:p w14:paraId="7D7CC8BF">
      <w:pPr>
        <w:widowControl w:val="0"/>
        <w:autoSpaceDE w:val="0"/>
        <w:autoSpaceDN w:val="0"/>
        <w:rPr>
          <w:rFonts w:ascii="Arial MT" w:hAnsi="Roboto" w:eastAsia="Roboto" w:cs="Roboto"/>
          <w:sz w:val="20"/>
          <w:szCs w:val="21"/>
        </w:rPr>
      </w:pPr>
    </w:p>
    <w:p w14:paraId="372E4CE9">
      <w:pPr>
        <w:widowControl w:val="0"/>
        <w:autoSpaceDE w:val="0"/>
        <w:autoSpaceDN w:val="0"/>
        <w:spacing w:before="4"/>
        <w:rPr>
          <w:rFonts w:ascii="Arial MT" w:hAnsi="Roboto" w:eastAsia="Roboto" w:cs="Roboto"/>
          <w:sz w:val="20"/>
          <w:szCs w:val="21"/>
        </w:rPr>
      </w:pPr>
    </w:p>
    <w:p w14:paraId="06495480">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07392" behindDoc="0" locked="0" layoutInCell="1" allowOverlap="1">
                <wp:simplePos x="0" y="0"/>
                <wp:positionH relativeFrom="page">
                  <wp:posOffset>5638800</wp:posOffset>
                </wp:positionH>
                <wp:positionV relativeFrom="paragraph">
                  <wp:posOffset>-144780</wp:posOffset>
                </wp:positionV>
                <wp:extent cx="638175" cy="1485900"/>
                <wp:effectExtent l="0" t="0" r="0" b="0"/>
                <wp:wrapNone/>
                <wp:docPr id="1265253350" name="Text Box 77"/>
                <wp:cNvGraphicFramePr/>
                <a:graphic xmlns:a="http://schemas.openxmlformats.org/drawingml/2006/main">
                  <a:graphicData uri="http://schemas.microsoft.com/office/word/2010/wordprocessingShape">
                    <wps:wsp>
                      <wps:cNvSpPr txBox="1">
                        <a:spLocks noChangeArrowheads="1"/>
                      </wps:cNvSpPr>
                      <wps:spPr bwMode="auto">
                        <a:xfrm>
                          <a:off x="0" y="0"/>
                          <a:ext cx="638175" cy="1485900"/>
                        </a:xfrm>
                        <a:prstGeom prst="rect">
                          <a:avLst/>
                        </a:prstGeom>
                        <a:solidFill>
                          <a:srgbClr val="663AB6"/>
                        </a:solidFill>
                        <a:ln>
                          <a:noFill/>
                        </a:ln>
                        <a:effectLst/>
                      </wps:spPr>
                      <wps:txbx>
                        <w:txbxContent>
                          <w:p w14:paraId="06B29ABC">
                            <w:pPr>
                              <w:spacing w:before="59"/>
                              <w:rPr>
                                <w:rFonts w:ascii="Arial MT"/>
                                <w:sz w:val="18"/>
                              </w:rPr>
                            </w:pPr>
                            <w:r>
                              <w:rPr>
                                <w:rFonts w:ascii="Arial MT"/>
                                <w:color w:val="FFFFFF"/>
                                <w:sz w:val="18"/>
                              </w:rPr>
                              <w:t>69 (92%)</w:t>
                            </w:r>
                          </w:p>
                        </w:txbxContent>
                      </wps:txbx>
                      <wps:bodyPr rot="0" vert="horz" wrap="square" lIns="0" tIns="0" rIns="0" bIns="0" anchor="t" anchorCtr="0" upright="1">
                        <a:noAutofit/>
                      </wps:bodyPr>
                    </wps:wsp>
                  </a:graphicData>
                </a:graphic>
              </wp:anchor>
            </w:drawing>
          </mc:Choice>
          <mc:Fallback>
            <w:pict>
              <v:shape id="Text Box 77" o:spid="_x0000_s1026" o:spt="202" type="#_x0000_t202" style="position:absolute;left:0pt;margin-left:444pt;margin-top:-11.4pt;height:117pt;width:50.25pt;mso-position-horizontal-relative:page;z-index:251707392;mso-width-relative:page;mso-height-relative:page;" fillcolor="#663AB6" filled="t" stroked="f" coordsize="21600,21600" o:gfxdata="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X5c&#10;WtgAAAALAQAADwAAAAAAAAABACAAAAAiAAAAZHJzL2Rvd25yZXYueG1sUEsBAhQAFAAAAAgAh07i&#10;QMX7qCIiAgAARQQAAA4AAAAAAAAAAQAgAAAAJwEAAGRycy9lMm9Eb2MueG1sUEsFBgAAAAAGAAYA&#10;WQEAALsFAAAAAA==&#10;">
                <v:fill on="t" focussize="0,0"/>
                <v:stroke on="f"/>
                <v:imagedata o:title=""/>
                <o:lock v:ext="edit" aspectratio="f"/>
                <v:textbox inset="0mm,0mm,0mm,0mm">
                  <w:txbxContent>
                    <w:p w14:paraId="06B29ABC">
                      <w:pPr>
                        <w:spacing w:before="59"/>
                        <w:rPr>
                          <w:rFonts w:ascii="Arial MT"/>
                          <w:sz w:val="18"/>
                        </w:rPr>
                      </w:pPr>
                      <w:r>
                        <w:rPr>
                          <w:rFonts w:ascii="Arial MT"/>
                          <w:color w:val="FFFFFF"/>
                          <w:sz w:val="18"/>
                        </w:rPr>
                        <w:t>69 (92%)</w:t>
                      </w:r>
                    </w:p>
                  </w:txbxContent>
                </v:textbox>
              </v:shape>
            </w:pict>
          </mc:Fallback>
        </mc:AlternateContent>
      </w:r>
      <w:r>
        <w:rPr>
          <w:rFonts w:ascii="Arial MT" w:hAnsi="Roboto" w:eastAsia="Roboto" w:cs="Roboto"/>
          <w:color w:val="444444"/>
          <w:sz w:val="18"/>
          <w:szCs w:val="22"/>
        </w:rPr>
        <w:t>60</w:t>
      </w:r>
    </w:p>
    <w:p w14:paraId="463B5B69">
      <w:pPr>
        <w:widowControl w:val="0"/>
        <w:autoSpaceDE w:val="0"/>
        <w:autoSpaceDN w:val="0"/>
        <w:rPr>
          <w:rFonts w:ascii="Arial MT" w:hAnsi="Roboto" w:eastAsia="Roboto" w:cs="Roboto"/>
          <w:sz w:val="20"/>
          <w:szCs w:val="21"/>
        </w:rPr>
      </w:pPr>
    </w:p>
    <w:p w14:paraId="6E2EABB9">
      <w:pPr>
        <w:widowControl w:val="0"/>
        <w:autoSpaceDE w:val="0"/>
        <w:autoSpaceDN w:val="0"/>
        <w:spacing w:before="5"/>
        <w:rPr>
          <w:rFonts w:ascii="Arial MT" w:hAnsi="Roboto" w:eastAsia="Roboto" w:cs="Roboto"/>
          <w:sz w:val="20"/>
          <w:szCs w:val="21"/>
        </w:rPr>
      </w:pPr>
    </w:p>
    <w:p w14:paraId="0F7EDD95">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40</w:t>
      </w:r>
    </w:p>
    <w:p w14:paraId="11075CE5">
      <w:pPr>
        <w:widowControl w:val="0"/>
        <w:autoSpaceDE w:val="0"/>
        <w:autoSpaceDN w:val="0"/>
        <w:rPr>
          <w:rFonts w:ascii="Arial MT" w:hAnsi="Roboto" w:eastAsia="Roboto" w:cs="Roboto"/>
          <w:sz w:val="20"/>
          <w:szCs w:val="21"/>
        </w:rPr>
      </w:pPr>
    </w:p>
    <w:p w14:paraId="628386C5">
      <w:pPr>
        <w:widowControl w:val="0"/>
        <w:autoSpaceDE w:val="0"/>
        <w:autoSpaceDN w:val="0"/>
        <w:rPr>
          <w:rFonts w:ascii="Arial MT" w:hAnsi="Roboto" w:eastAsia="Roboto" w:cs="Roboto"/>
          <w:sz w:val="20"/>
          <w:szCs w:val="22"/>
        </w:rPr>
        <w:sectPr>
          <w:type w:val="continuous"/>
          <w:pgSz w:w="11900" w:h="16840"/>
          <w:pgMar w:top="480" w:right="1280" w:bottom="1680" w:left="1040" w:header="720" w:footer="720" w:gutter="0"/>
          <w:cols w:space="720" w:num="1"/>
        </w:sectPr>
      </w:pPr>
    </w:p>
    <w:p w14:paraId="6AD61BA4">
      <w:pPr>
        <w:widowControl w:val="0"/>
        <w:autoSpaceDE w:val="0"/>
        <w:autoSpaceDN w:val="0"/>
        <w:spacing w:before="4"/>
        <w:rPr>
          <w:rFonts w:ascii="Arial MT" w:hAnsi="Roboto" w:eastAsia="Roboto" w:cs="Roboto"/>
          <w:sz w:val="20"/>
          <w:szCs w:val="21"/>
        </w:rPr>
      </w:pPr>
    </w:p>
    <w:p w14:paraId="32EF47E2">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20A572C2">
      <w:pPr>
        <w:widowControl w:val="0"/>
        <w:autoSpaceDE w:val="0"/>
        <w:autoSpaceDN w:val="0"/>
        <w:spacing w:before="3"/>
        <w:rPr>
          <w:rFonts w:ascii="Arial MT" w:hAnsi="Roboto" w:eastAsia="Roboto" w:cs="Roboto"/>
          <w:sz w:val="16"/>
          <w:szCs w:val="21"/>
        </w:rPr>
      </w:pPr>
    </w:p>
    <w:p w14:paraId="06304529">
      <w:pPr>
        <w:widowControl w:val="0"/>
        <w:tabs>
          <w:tab w:val="left" w:pos="3194"/>
        </w:tabs>
        <w:autoSpaceDE w:val="0"/>
        <w:autoSpaceDN w:val="0"/>
        <w:rPr>
          <w:rFonts w:ascii="Arial MT" w:hAnsi="Roboto" w:eastAsia="Roboto" w:cs="Roboto"/>
          <w:sz w:val="18"/>
          <w:szCs w:val="22"/>
        </w:rPr>
      </w:pPr>
      <w:r>
        <w:rPr>
          <w:rFonts w:ascii="Arial MT" w:hAnsi="Roboto" w:eastAsia="Roboto" w:cs="Roboto"/>
          <w:sz w:val="18"/>
          <w:szCs w:val="22"/>
        </w:rPr>
        <w:t>0 (0%)</w:t>
      </w:r>
      <w:r>
        <w:rPr>
          <w:rFonts w:ascii="Arial MT" w:hAnsi="Roboto" w:eastAsia="Roboto" w:cs="Roboto"/>
          <w:sz w:val="18"/>
          <w:szCs w:val="22"/>
        </w:rPr>
        <w:tab/>
      </w:r>
      <w:r>
        <w:rPr>
          <w:rFonts w:ascii="Arial MT" w:hAnsi="Roboto" w:eastAsia="Roboto" w:cs="Roboto"/>
          <w:sz w:val="18"/>
          <w:szCs w:val="22"/>
        </w:rPr>
        <w:t>0 (0%)</w:t>
      </w:r>
    </w:p>
    <w:p w14:paraId="04D9F0B8">
      <w:pPr>
        <w:widowControl w:val="0"/>
        <w:autoSpaceDE w:val="0"/>
        <w:autoSpaceDN w:val="0"/>
        <w:spacing w:before="70"/>
        <w:rPr>
          <w:rFonts w:ascii="Arial MT" w:hAnsi="Roboto" w:eastAsia="Roboto" w:cs="Roboto"/>
          <w:sz w:val="18"/>
          <w:szCs w:val="22"/>
        </w:rPr>
      </w:pPr>
      <w:r>
        <w:rPr>
          <w:rFonts w:ascii="Arial MT" w:hAnsi="Roboto" w:eastAsia="Roboto" w:cs="Roboto"/>
          <w:color w:val="444444"/>
          <w:sz w:val="18"/>
          <w:szCs w:val="22"/>
        </w:rPr>
        <w:t>0</w:t>
      </w:r>
    </w:p>
    <w:p w14:paraId="37F46683">
      <w:pPr>
        <w:widowControl w:val="0"/>
        <w:autoSpaceDE w:val="0"/>
        <w:autoSpaceDN w:val="0"/>
        <w:rPr>
          <w:rFonts w:ascii="Arial MT" w:hAnsi="Roboto" w:eastAsia="Roboto" w:cs="Roboto"/>
          <w:sz w:val="20"/>
          <w:szCs w:val="21"/>
        </w:rPr>
      </w:pPr>
      <w:r>
        <w:rPr>
          <w:rFonts w:ascii="Roboto" w:hAnsi="Roboto" w:eastAsia="Roboto" w:cs="Roboto"/>
          <w:sz w:val="21"/>
          <w:szCs w:val="21"/>
        </w:rPr>
        <w:br w:type="column"/>
      </w:r>
    </w:p>
    <w:p w14:paraId="360D74C0">
      <w:pPr>
        <w:widowControl w:val="0"/>
        <w:autoSpaceDE w:val="0"/>
        <w:autoSpaceDN w:val="0"/>
        <w:rPr>
          <w:rFonts w:ascii="Arial MT" w:hAnsi="Roboto" w:eastAsia="Roboto" w:cs="Roboto"/>
          <w:sz w:val="20"/>
          <w:szCs w:val="21"/>
        </w:rPr>
      </w:pPr>
    </w:p>
    <w:p w14:paraId="3D44B654">
      <w:pPr>
        <w:widowControl w:val="0"/>
        <w:autoSpaceDE w:val="0"/>
        <w:autoSpaceDN w:val="0"/>
        <w:spacing w:before="122"/>
        <w:rPr>
          <w:rFonts w:ascii="Arial MT" w:hAnsi="Roboto" w:eastAsia="Roboto" w:cs="Roboto"/>
          <w:sz w:val="18"/>
          <w:szCs w:val="22"/>
        </w:rPr>
      </w:pPr>
      <w:r>
        <w:rPr>
          <w:rFonts w:ascii="Arial MT" w:hAnsi="Roboto" w:eastAsia="Roboto" w:cs="Roboto"/>
          <w:color w:val="202024"/>
          <w:sz w:val="18"/>
          <w:szCs w:val="22"/>
        </w:rPr>
        <w:t xml:space="preserve">2 </w:t>
      </w:r>
      <w:r>
        <w:rPr>
          <w:rFonts w:ascii="Arial MT" w:hAnsi="Roboto" w:eastAsia="Roboto" w:cs="Roboto"/>
          <w:color w:val="232327"/>
          <w:sz w:val="18"/>
          <w:szCs w:val="22"/>
        </w:rPr>
        <w:t>(2.7%)</w:t>
      </w:r>
    </w:p>
    <w:p w14:paraId="1013806C">
      <w:pPr>
        <w:widowControl w:val="0"/>
        <w:autoSpaceDE w:val="0"/>
        <w:autoSpaceDN w:val="0"/>
        <w:rPr>
          <w:rFonts w:ascii="Arial MT" w:hAnsi="Roboto" w:eastAsia="Roboto" w:cs="Roboto"/>
          <w:sz w:val="20"/>
          <w:szCs w:val="21"/>
        </w:rPr>
      </w:pPr>
      <w:r>
        <w:rPr>
          <w:rFonts w:ascii="Roboto" w:hAnsi="Roboto" w:eastAsia="Roboto" w:cs="Roboto"/>
          <w:sz w:val="21"/>
          <w:szCs w:val="21"/>
        </w:rPr>
        <w:br w:type="column"/>
      </w:r>
    </w:p>
    <w:p w14:paraId="573262C9">
      <w:pPr>
        <w:widowControl w:val="0"/>
        <w:autoSpaceDE w:val="0"/>
        <w:autoSpaceDN w:val="0"/>
        <w:spacing w:before="2"/>
        <w:rPr>
          <w:rFonts w:ascii="Arial MT" w:hAnsi="Roboto" w:eastAsia="Roboto" w:cs="Roboto"/>
          <w:szCs w:val="21"/>
        </w:rPr>
      </w:pPr>
    </w:p>
    <w:p w14:paraId="430491A9">
      <w:pPr>
        <w:widowControl w:val="0"/>
        <w:autoSpaceDE w:val="0"/>
        <w:autoSpaceDN w:val="0"/>
        <w:rPr>
          <w:rFonts w:ascii="Arial MT" w:hAnsi="Roboto" w:eastAsia="Roboto" w:cs="Roboto"/>
          <w:sz w:val="18"/>
          <w:szCs w:val="22"/>
        </w:rPr>
      </w:pPr>
      <w:r>
        <w:rPr>
          <w:rFonts w:ascii="Arial MT" w:hAnsi="Roboto" w:eastAsia="Roboto" w:cs="Roboto"/>
          <w:color w:val="202024"/>
          <w:sz w:val="18"/>
          <w:szCs w:val="22"/>
        </w:rPr>
        <w:t xml:space="preserve">4 </w:t>
      </w:r>
      <w:r>
        <w:rPr>
          <w:rFonts w:ascii="Arial MT" w:hAnsi="Roboto" w:eastAsia="Roboto" w:cs="Roboto"/>
          <w:sz w:val="18"/>
          <w:szCs w:val="22"/>
        </w:rPr>
        <w:t>(5.3%)</w:t>
      </w:r>
    </w:p>
    <w:p w14:paraId="2154D5AA">
      <w:pPr>
        <w:widowControl w:val="0"/>
        <w:autoSpaceDE w:val="0"/>
        <w:autoSpaceDN w:val="0"/>
        <w:rPr>
          <w:rFonts w:ascii="Arial MT" w:hAnsi="Roboto" w:eastAsia="Roboto" w:cs="Roboto"/>
          <w:sz w:val="18"/>
          <w:szCs w:val="22"/>
        </w:rPr>
        <w:sectPr>
          <w:type w:val="continuous"/>
          <w:pgSz w:w="11900" w:h="16840"/>
          <w:pgMar w:top="480" w:right="1280" w:bottom="1680" w:left="1040" w:header="720" w:footer="720" w:gutter="0"/>
          <w:cols w:equalWidth="0" w:num="3">
            <w:col w:w="3766" w:space="339"/>
            <w:col w:w="1370" w:space="250"/>
            <w:col w:w="3855"/>
          </w:cols>
        </w:sectPr>
      </w:pPr>
    </w:p>
    <w:p w14:paraId="4E95A95B">
      <w:pPr>
        <w:widowControl w:val="0"/>
        <w:tabs>
          <w:tab w:val="left" w:pos="3421"/>
          <w:tab w:val="left" w:pos="5044"/>
          <w:tab w:val="left" w:pos="6667"/>
          <w:tab w:val="left" w:pos="8290"/>
        </w:tabs>
        <w:autoSpaceDE w:val="0"/>
        <w:autoSpaceDN w:val="0"/>
        <w:spacing w:line="203"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5E8EF6A7">
      <w:pPr>
        <w:widowControl w:val="0"/>
        <w:autoSpaceDE w:val="0"/>
        <w:autoSpaceDN w:val="0"/>
        <w:rPr>
          <w:rFonts w:ascii="Arial MT" w:hAnsi="Roboto" w:eastAsia="Roboto" w:cs="Roboto"/>
          <w:sz w:val="20"/>
          <w:szCs w:val="21"/>
        </w:rPr>
      </w:pPr>
    </w:p>
    <w:p w14:paraId="2D994268">
      <w:pPr>
        <w:widowControl w:val="0"/>
        <w:autoSpaceDE w:val="0"/>
        <w:autoSpaceDN w:val="0"/>
        <w:spacing w:before="7"/>
        <w:rPr>
          <w:rFonts w:ascii="Arial MT" w:hAnsi="Roboto" w:eastAsia="Roboto" w:cs="Roboto"/>
          <w:sz w:val="26"/>
          <w:szCs w:val="21"/>
        </w:rPr>
      </w:pPr>
    </w:p>
    <w:p w14:paraId="6B954C2C">
      <w:pPr>
        <w:widowControl w:val="0"/>
        <w:autoSpaceDE w:val="0"/>
        <w:autoSpaceDN w:val="0"/>
        <w:rPr>
          <w:rFonts w:ascii="Arial MT" w:hAnsi="Roboto" w:eastAsia="Roboto" w:cs="Roboto"/>
          <w:sz w:val="26"/>
          <w:szCs w:val="22"/>
        </w:rPr>
        <w:sectPr>
          <w:type w:val="continuous"/>
          <w:pgSz w:w="11900" w:h="16840"/>
          <w:pgMar w:top="480" w:right="1280" w:bottom="1680" w:left="1040" w:header="720" w:footer="720" w:gutter="0"/>
          <w:cols w:space="720" w:num="1"/>
        </w:sectPr>
      </w:pPr>
    </w:p>
    <w:p w14:paraId="59981D42">
      <w:pPr>
        <w:widowControl w:val="0"/>
        <w:numPr>
          <w:ilvl w:val="0"/>
          <w:numId w:val="46"/>
        </w:numPr>
        <w:tabs>
          <w:tab w:val="left" w:pos="522"/>
        </w:tabs>
        <w:autoSpaceDE w:val="0"/>
        <w:autoSpaceDN w:val="0"/>
        <w:spacing w:before="95" w:line="300" w:lineRule="auto"/>
        <w:ind w:right="38" w:firstLine="0"/>
        <w:jc w:val="both"/>
        <w:outlineLvl w:val="0"/>
        <w:rPr>
          <w:rFonts w:eastAsia="Roboto"/>
        </w:rPr>
      </w:pPr>
      <w:r>
        <w:rPr>
          <w:rFonts w:eastAsia="Roboto"/>
          <w:color w:val="202024"/>
        </w:rPr>
        <w:t>To</w:t>
      </w:r>
      <w:r>
        <w:rPr>
          <w:rFonts w:eastAsia="Roboto"/>
          <w:color w:val="202024"/>
          <w:spacing w:val="8"/>
        </w:rPr>
        <w:t xml:space="preserve"> </w:t>
      </w:r>
      <w:r>
        <w:rPr>
          <w:rFonts w:eastAsia="Roboto"/>
          <w:color w:val="202024"/>
        </w:rPr>
        <w:t>what</w:t>
      </w:r>
      <w:r>
        <w:rPr>
          <w:rFonts w:eastAsia="Roboto"/>
          <w:color w:val="202024"/>
          <w:spacing w:val="7"/>
        </w:rPr>
        <w:t xml:space="preserve"> </w:t>
      </w:r>
      <w:r>
        <w:rPr>
          <w:rFonts w:eastAsia="Roboto"/>
          <w:color w:val="202024"/>
        </w:rPr>
        <w:t>extent</w:t>
      </w:r>
      <w:r>
        <w:rPr>
          <w:rFonts w:eastAsia="Roboto"/>
          <w:color w:val="202024"/>
          <w:spacing w:val="8"/>
        </w:rPr>
        <w:t xml:space="preserve"> </w:t>
      </w:r>
      <w:r>
        <w:rPr>
          <w:rFonts w:eastAsia="Roboto"/>
          <w:color w:val="202024"/>
        </w:rPr>
        <w:t>does</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interaction</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different</w:t>
      </w:r>
      <w:r>
        <w:rPr>
          <w:rFonts w:eastAsia="Roboto"/>
          <w:color w:val="202024"/>
          <w:spacing w:val="8"/>
        </w:rPr>
        <w:t xml:space="preserve"> </w:t>
      </w:r>
      <w:r>
        <w:rPr>
          <w:rFonts w:eastAsia="Roboto"/>
          <w:color w:val="202024"/>
        </w:rPr>
        <w:t>tax</w:t>
      </w:r>
      <w:r>
        <w:rPr>
          <w:rFonts w:eastAsia="Roboto"/>
          <w:color w:val="202024"/>
          <w:spacing w:val="8"/>
        </w:rPr>
        <w:t xml:space="preserve"> </w:t>
      </w:r>
      <w:r>
        <w:rPr>
          <w:rFonts w:eastAsia="Roboto"/>
          <w:color w:val="202024"/>
        </w:rPr>
        <w:t>rates</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fiscal</w:t>
      </w:r>
      <w:r>
        <w:rPr>
          <w:rFonts w:eastAsia="Roboto"/>
          <w:color w:val="202024"/>
          <w:spacing w:val="1"/>
        </w:rPr>
        <w:t xml:space="preserve"> </w:t>
      </w:r>
      <w:r>
        <w:rPr>
          <w:rFonts w:eastAsia="Roboto"/>
          <w:color w:val="202024"/>
        </w:rPr>
        <w:t>systems</w:t>
      </w:r>
      <w:r>
        <w:rPr>
          <w:rFonts w:eastAsia="Roboto"/>
          <w:color w:val="202024"/>
          <w:spacing w:val="9"/>
        </w:rPr>
        <w:t xml:space="preserve"> </w:t>
      </w:r>
      <w:r>
        <w:rPr>
          <w:rFonts w:eastAsia="Roboto"/>
          <w:color w:val="202024"/>
        </w:rPr>
        <w:t>in</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Nigeria</w:t>
      </w:r>
      <w:r>
        <w:rPr>
          <w:rFonts w:eastAsia="Roboto"/>
          <w:color w:val="202024"/>
          <w:spacing w:val="9"/>
        </w:rPr>
        <w:t xml:space="preserve"> </w:t>
      </w:r>
      <w:r>
        <w:rPr>
          <w:rFonts w:eastAsia="Roboto"/>
          <w:color w:val="202024"/>
        </w:rPr>
        <w:t>Petroleum</w:t>
      </w:r>
      <w:r>
        <w:rPr>
          <w:rFonts w:eastAsia="Roboto"/>
          <w:color w:val="202024"/>
          <w:spacing w:val="10"/>
        </w:rPr>
        <w:t xml:space="preserve"> </w:t>
      </w:r>
      <w:r>
        <w:rPr>
          <w:rFonts w:eastAsia="Roboto"/>
          <w:color w:val="202024"/>
        </w:rPr>
        <w:t>tax</w:t>
      </w:r>
      <w:r>
        <w:rPr>
          <w:rFonts w:eastAsia="Roboto"/>
          <w:color w:val="202024"/>
          <w:spacing w:val="9"/>
        </w:rPr>
        <w:t xml:space="preserve"> </w:t>
      </w:r>
      <w:r>
        <w:rPr>
          <w:rFonts w:eastAsia="Roboto"/>
          <w:color w:val="202024"/>
        </w:rPr>
        <w:t>system</w:t>
      </w:r>
      <w:r>
        <w:rPr>
          <w:rFonts w:eastAsia="Roboto"/>
          <w:color w:val="202024"/>
          <w:spacing w:val="10"/>
        </w:rPr>
        <w:t xml:space="preserve"> </w:t>
      </w:r>
      <w:r>
        <w:rPr>
          <w:rFonts w:eastAsia="Roboto"/>
          <w:color w:val="202024"/>
        </w:rPr>
        <w:t>over</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years,</w:t>
      </w:r>
      <w:r>
        <w:rPr>
          <w:rFonts w:eastAsia="Roboto"/>
          <w:color w:val="202024"/>
          <w:spacing w:val="9"/>
        </w:rPr>
        <w:t xml:space="preserve"> </w:t>
      </w:r>
      <w:r>
        <w:rPr>
          <w:rFonts w:eastAsia="Roboto"/>
          <w:color w:val="202024"/>
        </w:rPr>
        <w:t>i.e.</w:t>
      </w:r>
      <w:r>
        <w:rPr>
          <w:rFonts w:eastAsia="Roboto"/>
          <w:color w:val="202024"/>
          <w:spacing w:val="10"/>
        </w:rPr>
        <w:t xml:space="preserve"> </w:t>
      </w:r>
      <w:r>
        <w:rPr>
          <w:rFonts w:eastAsia="Roboto"/>
          <w:color w:val="202024"/>
        </w:rPr>
        <w:t>(65.75%,</w:t>
      </w:r>
      <w:r>
        <w:rPr>
          <w:rFonts w:eastAsia="Roboto"/>
          <w:color w:val="202024"/>
          <w:spacing w:val="1"/>
        </w:rPr>
        <w:t xml:space="preserve"> </w:t>
      </w:r>
      <w:r>
        <w:rPr>
          <w:rFonts w:eastAsia="Roboto"/>
          <w:color w:val="202024"/>
        </w:rPr>
        <w:t>85%,</w:t>
      </w:r>
      <w:r>
        <w:rPr>
          <w:rFonts w:eastAsia="Roboto"/>
          <w:color w:val="202024"/>
          <w:spacing w:val="9"/>
        </w:rPr>
        <w:t xml:space="preserve"> </w:t>
      </w:r>
      <w:r>
        <w:rPr>
          <w:rFonts w:eastAsia="Roboto"/>
          <w:color w:val="202024"/>
        </w:rPr>
        <w:t>50%</w:t>
      </w:r>
      <w:r>
        <w:rPr>
          <w:rFonts w:eastAsia="Roboto"/>
          <w:color w:val="202024"/>
          <w:spacing w:val="10"/>
        </w:rPr>
        <w:t xml:space="preserve"> </w:t>
      </w:r>
      <w:r>
        <w:rPr>
          <w:rFonts w:eastAsia="Roboto"/>
          <w:color w:val="202024"/>
        </w:rPr>
        <w:t>or</w:t>
      </w:r>
      <w:r>
        <w:rPr>
          <w:rFonts w:eastAsia="Roboto"/>
          <w:color w:val="202024"/>
          <w:spacing w:val="10"/>
        </w:rPr>
        <w:t xml:space="preserve"> </w:t>
      </w:r>
      <w:r>
        <w:rPr>
          <w:rFonts w:eastAsia="Roboto"/>
          <w:color w:val="202024"/>
        </w:rPr>
        <w:t>30%</w:t>
      </w:r>
      <w:r>
        <w:rPr>
          <w:rFonts w:eastAsia="Roboto"/>
          <w:color w:val="202024"/>
          <w:spacing w:val="9"/>
        </w:rPr>
        <w:t xml:space="preserve"> </w:t>
      </w:r>
      <w:r>
        <w:rPr>
          <w:rFonts w:eastAsia="Roboto"/>
          <w:color w:val="202024"/>
        </w:rPr>
        <w:t>),</w:t>
      </w:r>
      <w:r>
        <w:rPr>
          <w:rFonts w:eastAsia="Roboto"/>
          <w:color w:val="202024"/>
          <w:spacing w:val="18"/>
        </w:rPr>
        <w:t xml:space="preserve"> </w:t>
      </w:r>
      <w:r>
        <w:rPr>
          <w:rFonts w:eastAsia="Roboto"/>
          <w:color w:val="202024"/>
        </w:rPr>
        <w:t>affect</w:t>
      </w:r>
      <w:r>
        <w:rPr>
          <w:rFonts w:eastAsia="Roboto"/>
          <w:color w:val="202024"/>
          <w:spacing w:val="10"/>
        </w:rPr>
        <w:t xml:space="preserve"> </w:t>
      </w:r>
      <w:r>
        <w:rPr>
          <w:rFonts w:eastAsia="Roboto"/>
          <w:color w:val="202024"/>
        </w:rPr>
        <w:t>clarity</w:t>
      </w:r>
      <w:r>
        <w:rPr>
          <w:rFonts w:eastAsia="Roboto"/>
          <w:color w:val="202024"/>
          <w:spacing w:val="10"/>
        </w:rPr>
        <w:t xml:space="preserve"> </w:t>
      </w:r>
      <w:r>
        <w:rPr>
          <w:rFonts w:eastAsia="Roboto"/>
          <w:color w:val="202024"/>
        </w:rPr>
        <w:t>and</w:t>
      </w:r>
      <w:r>
        <w:rPr>
          <w:rFonts w:eastAsia="Roboto"/>
          <w:color w:val="202024"/>
          <w:spacing w:val="9"/>
        </w:rPr>
        <w:t xml:space="preserve"> </w:t>
      </w:r>
      <w:r>
        <w:rPr>
          <w:rFonts w:eastAsia="Roboto"/>
          <w:color w:val="202024"/>
        </w:rPr>
        <w:t>certainty</w:t>
      </w:r>
      <w:r>
        <w:rPr>
          <w:rFonts w:eastAsia="Roboto"/>
          <w:color w:val="202024"/>
          <w:spacing w:val="10"/>
        </w:rPr>
        <w:t xml:space="preserve"> </w:t>
      </w:r>
      <w:r>
        <w:rPr>
          <w:rFonts w:eastAsia="Roboto"/>
          <w:color w:val="202024"/>
        </w:rPr>
        <w:t>in</w:t>
      </w:r>
      <w:r>
        <w:rPr>
          <w:rFonts w:eastAsia="Roboto"/>
          <w:color w:val="202024"/>
          <w:spacing w:val="10"/>
        </w:rPr>
        <w:t xml:space="preserve"> </w:t>
      </w:r>
      <w:r>
        <w:rPr>
          <w:rFonts w:eastAsia="Roboto"/>
          <w:color w:val="202024"/>
        </w:rPr>
        <w:t>Nigeria</w:t>
      </w:r>
      <w:r>
        <w:rPr>
          <w:rFonts w:eastAsia="Roboto"/>
          <w:color w:val="202024"/>
          <w:spacing w:val="10"/>
        </w:rPr>
        <w:t xml:space="preserve"> </w:t>
      </w:r>
      <w:r>
        <w:rPr>
          <w:rFonts w:eastAsia="Roboto"/>
          <w:color w:val="202024"/>
        </w:rPr>
        <w:t>upstream</w:t>
      </w:r>
      <w:r>
        <w:rPr>
          <w:rFonts w:eastAsia="Roboto"/>
          <w:color w:val="202024"/>
          <w:spacing w:val="9"/>
        </w:rPr>
        <w:t xml:space="preserve"> </w:t>
      </w:r>
      <w:r>
        <w:rPr>
          <w:rFonts w:eastAsia="Roboto"/>
          <w:color w:val="202024"/>
        </w:rPr>
        <w:t>oil</w:t>
      </w:r>
      <w:r>
        <w:rPr>
          <w:rFonts w:eastAsia="Roboto"/>
          <w:color w:val="202024"/>
          <w:spacing w:val="10"/>
        </w:rPr>
        <w:t xml:space="preserve"> </w:t>
      </w:r>
      <w:r>
        <w:rPr>
          <w:rFonts w:eastAsia="Roboto"/>
          <w:color w:val="202024"/>
        </w:rPr>
        <w:t>and</w:t>
      </w:r>
      <w:r>
        <w:rPr>
          <w:rFonts w:eastAsia="Roboto"/>
          <w:color w:val="202024"/>
          <w:spacing w:val="-57"/>
        </w:rPr>
        <w:t xml:space="preserve"> </w:t>
      </w:r>
      <w:r>
        <w:rPr>
          <w:rFonts w:eastAsia="Roboto"/>
          <w:color w:val="202024"/>
        </w:rPr>
        <w:t>gas</w:t>
      </w:r>
      <w:r>
        <w:rPr>
          <w:rFonts w:eastAsia="Roboto"/>
          <w:color w:val="202024"/>
          <w:spacing w:val="5"/>
        </w:rPr>
        <w:t xml:space="preserve"> </w:t>
      </w:r>
      <w:r>
        <w:rPr>
          <w:rFonts w:eastAsia="Roboto"/>
          <w:color w:val="202024"/>
        </w:rPr>
        <w:t>taxation?</w:t>
      </w:r>
    </w:p>
    <w:p w14:paraId="3BA74EC2">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1C8543E4">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3F8A4C62">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8172" w:space="624"/>
            <w:col w:w="784"/>
          </w:cols>
        </w:sectPr>
      </w:pPr>
    </w:p>
    <w:p w14:paraId="37A11B2D">
      <w:pPr>
        <w:widowControl w:val="0"/>
        <w:autoSpaceDE w:val="0"/>
        <w:autoSpaceDN w:val="0"/>
        <w:spacing w:before="9"/>
        <w:rPr>
          <w:rFonts w:ascii="Lucida Sans Unicode" w:hAnsi="Roboto" w:eastAsia="Roboto" w:cs="Roboto"/>
          <w:sz w:val="21"/>
          <w:szCs w:val="21"/>
        </w:rPr>
      </w:pPr>
    </w:p>
    <w:p w14:paraId="3A9C6371">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30</w:t>
      </w:r>
    </w:p>
    <w:p w14:paraId="1C9FB494">
      <w:pPr>
        <w:widowControl w:val="0"/>
        <w:autoSpaceDE w:val="0"/>
        <w:autoSpaceDN w:val="0"/>
        <w:rPr>
          <w:rFonts w:ascii="Arial MT" w:hAnsi="Roboto" w:eastAsia="Roboto" w:cs="Roboto"/>
          <w:sz w:val="20"/>
          <w:szCs w:val="21"/>
        </w:rPr>
      </w:pPr>
    </w:p>
    <w:p w14:paraId="35DF5307">
      <w:pPr>
        <w:widowControl w:val="0"/>
        <w:autoSpaceDE w:val="0"/>
        <w:autoSpaceDN w:val="0"/>
        <w:rPr>
          <w:rFonts w:ascii="Arial MT" w:hAnsi="Roboto" w:eastAsia="Roboto" w:cs="Roboto"/>
          <w:sz w:val="20"/>
          <w:szCs w:val="21"/>
        </w:rPr>
      </w:pPr>
    </w:p>
    <w:p w14:paraId="53811566">
      <w:pPr>
        <w:widowControl w:val="0"/>
        <w:autoSpaceDE w:val="0"/>
        <w:autoSpaceDN w:val="0"/>
        <w:spacing w:before="10"/>
        <w:rPr>
          <w:rFonts w:ascii="Arial MT" w:hAnsi="Roboto" w:eastAsia="Roboto" w:cs="Roboto"/>
          <w:sz w:val="19"/>
          <w:szCs w:val="21"/>
        </w:rPr>
      </w:pPr>
    </w:p>
    <w:p w14:paraId="1A1ECC70">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08416" behindDoc="0" locked="0" layoutInCell="1" allowOverlap="1">
                <wp:simplePos x="0" y="0"/>
                <wp:positionH relativeFrom="page">
                  <wp:posOffset>4610100</wp:posOffset>
                </wp:positionH>
                <wp:positionV relativeFrom="paragraph">
                  <wp:posOffset>-39370</wp:posOffset>
                </wp:positionV>
                <wp:extent cx="638175" cy="1238250"/>
                <wp:effectExtent l="0" t="0" r="0" b="0"/>
                <wp:wrapNone/>
                <wp:docPr id="1853620999" name="Text Box 76"/>
                <wp:cNvGraphicFramePr/>
                <a:graphic xmlns:a="http://schemas.openxmlformats.org/drawingml/2006/main">
                  <a:graphicData uri="http://schemas.microsoft.com/office/word/2010/wordprocessingShape">
                    <wps:wsp>
                      <wps:cNvSpPr txBox="1">
                        <a:spLocks noChangeArrowheads="1"/>
                      </wps:cNvSpPr>
                      <wps:spPr bwMode="auto">
                        <a:xfrm>
                          <a:off x="0" y="0"/>
                          <a:ext cx="638175" cy="1238250"/>
                        </a:xfrm>
                        <a:prstGeom prst="rect">
                          <a:avLst/>
                        </a:prstGeom>
                        <a:solidFill>
                          <a:srgbClr val="663AB6"/>
                        </a:solidFill>
                        <a:ln>
                          <a:noFill/>
                        </a:ln>
                        <a:effectLst/>
                      </wps:spPr>
                      <wps:txbx>
                        <w:txbxContent>
                          <w:p w14:paraId="0FF034C0">
                            <w:pPr>
                              <w:spacing w:before="14"/>
                              <w:rPr>
                                <w:rFonts w:ascii="Arial MT"/>
                                <w:sz w:val="18"/>
                              </w:rPr>
                            </w:pPr>
                            <w:r>
                              <w:rPr>
                                <w:rFonts w:ascii="Arial MT"/>
                                <w:color w:val="FFFFFF"/>
                                <w:sz w:val="18"/>
                              </w:rPr>
                              <w:t>22 (29.3%)</w:t>
                            </w:r>
                          </w:p>
                        </w:txbxContent>
                      </wps:txbx>
                      <wps:bodyPr rot="0" vert="horz" wrap="square" lIns="0" tIns="0" rIns="0" bIns="0" anchor="t" anchorCtr="0" upright="1">
                        <a:noAutofit/>
                      </wps:bodyPr>
                    </wps:wsp>
                  </a:graphicData>
                </a:graphic>
              </wp:anchor>
            </w:drawing>
          </mc:Choice>
          <mc:Fallback>
            <w:pict>
              <v:shape id="Text Box 76" o:spid="_x0000_s1026" o:spt="202" type="#_x0000_t202" style="position:absolute;left:0pt;margin-left:363pt;margin-top:-3.1pt;height:97.5pt;width:50.25pt;mso-position-horizontal-relative:page;z-index:251708416;mso-width-relative:page;mso-height-relative:page;" fillcolor="#663AB6" filled="t" stroked="f" coordsize="21600,21600" o:gfxdata="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8ZO&#10;tdcAAAAKAQAADwAAAAAAAAABACAAAAAiAAAAZHJzL2Rvd25yZXYueG1sUEsBAhQAFAAAAAgAh07i&#10;QILLzsQjAgAARQQAAA4AAAAAAAAAAQAgAAAAJgEAAGRycy9lMm9Eb2MueG1sUEsFBgAAAAAGAAYA&#10;WQEAALsFAAAAAA==&#10;">
                <v:fill on="t" focussize="0,0"/>
                <v:stroke on="f"/>
                <v:imagedata o:title=""/>
                <o:lock v:ext="edit" aspectratio="f"/>
                <v:textbox inset="0mm,0mm,0mm,0mm">
                  <w:txbxContent>
                    <w:p w14:paraId="0FF034C0">
                      <w:pPr>
                        <w:spacing w:before="14"/>
                        <w:rPr>
                          <w:rFonts w:ascii="Arial MT"/>
                          <w:sz w:val="18"/>
                        </w:rPr>
                      </w:pPr>
                      <w:r>
                        <w:rPr>
                          <w:rFonts w:ascii="Arial MT"/>
                          <w:color w:val="FFFFFF"/>
                          <w:sz w:val="18"/>
                        </w:rPr>
                        <w:t>22 (29.3%)</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page">
                  <wp:posOffset>3581400</wp:posOffset>
                </wp:positionH>
                <wp:positionV relativeFrom="paragraph">
                  <wp:posOffset>-382270</wp:posOffset>
                </wp:positionV>
                <wp:extent cx="628650" cy="1581150"/>
                <wp:effectExtent l="0" t="0" r="0" b="0"/>
                <wp:wrapNone/>
                <wp:docPr id="2141360596" name="Text Box 75"/>
                <wp:cNvGraphicFramePr/>
                <a:graphic xmlns:a="http://schemas.openxmlformats.org/drawingml/2006/main">
                  <a:graphicData uri="http://schemas.microsoft.com/office/word/2010/wordprocessingShape">
                    <wps:wsp>
                      <wps:cNvSpPr txBox="1">
                        <a:spLocks noChangeArrowheads="1"/>
                      </wps:cNvSpPr>
                      <wps:spPr bwMode="auto">
                        <a:xfrm>
                          <a:off x="0" y="0"/>
                          <a:ext cx="628650" cy="1581150"/>
                        </a:xfrm>
                        <a:prstGeom prst="rect">
                          <a:avLst/>
                        </a:prstGeom>
                        <a:solidFill>
                          <a:srgbClr val="663AB6"/>
                        </a:solidFill>
                        <a:ln>
                          <a:noFill/>
                        </a:ln>
                        <a:effectLst/>
                      </wps:spPr>
                      <wps:txbx>
                        <w:txbxContent>
                          <w:p w14:paraId="4624F6BC">
                            <w:pPr>
                              <w:spacing w:before="14"/>
                              <w:rPr>
                                <w:rFonts w:ascii="Arial MT"/>
                                <w:sz w:val="18"/>
                              </w:rPr>
                            </w:pPr>
                            <w:r>
                              <w:rPr>
                                <w:rFonts w:ascii="Arial MT"/>
                                <w:color w:val="FFFFFF"/>
                                <w:sz w:val="18"/>
                              </w:rPr>
                              <w:t>28 (37.3%)</w:t>
                            </w:r>
                          </w:p>
                        </w:txbxContent>
                      </wps:txbx>
                      <wps:bodyPr rot="0" vert="horz" wrap="square" lIns="0" tIns="0" rIns="0" bIns="0" anchor="t" anchorCtr="0" upright="1">
                        <a:noAutofit/>
                      </wps:bodyPr>
                    </wps:wsp>
                  </a:graphicData>
                </a:graphic>
              </wp:anchor>
            </w:drawing>
          </mc:Choice>
          <mc:Fallback>
            <w:pict>
              <v:shape id="Text Box 75" o:spid="_x0000_s1026" o:spt="202" type="#_x0000_t202" style="position:absolute;left:0pt;margin-left:282pt;margin-top:-30.1pt;height:124.5pt;width:49.5pt;mso-position-horizontal-relative:page;z-index:251709440;mso-width-relative:page;mso-height-relative:page;" fillcolor="#663AB6" filled="t" stroked="f" coordsize="21600,21600" o:gfxdata="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UgTf1wAA&#10;AAsBAAAPAAAAAAAAAAEAIAAAACIAAABkcnMvZG93bnJldi54bWxQSwECFAAUAAAACACHTuJAvd1b&#10;Vx8CAABFBAAADgAAAAAAAAABACAAAAAmAQAAZHJzL2Uyb0RvYy54bWxQSwUGAAAAAAYABgBZAQAA&#10;twUAAAAA&#10;">
                <v:fill on="t" focussize="0,0"/>
                <v:stroke on="f"/>
                <v:imagedata o:title=""/>
                <o:lock v:ext="edit" aspectratio="f"/>
                <v:textbox inset="0mm,0mm,0mm,0mm">
                  <w:txbxContent>
                    <w:p w14:paraId="4624F6BC">
                      <w:pPr>
                        <w:spacing w:before="14"/>
                        <w:rPr>
                          <w:rFonts w:ascii="Arial MT"/>
                          <w:sz w:val="18"/>
                        </w:rPr>
                      </w:pPr>
                      <w:r>
                        <w:rPr>
                          <w:rFonts w:ascii="Arial MT"/>
                          <w:color w:val="FFFFFF"/>
                          <w:sz w:val="18"/>
                        </w:rPr>
                        <w:t>28 (37.3%)</w:t>
                      </w:r>
                    </w:p>
                  </w:txbxContent>
                </v:textbox>
              </v:shape>
            </w:pict>
          </mc:Fallback>
        </mc:AlternateContent>
      </w:r>
      <w:r>
        <w:rPr>
          <w:rFonts w:ascii="Arial MT" w:hAnsi="Roboto" w:eastAsia="Roboto" w:cs="Roboto"/>
          <w:color w:val="444444"/>
          <w:sz w:val="18"/>
          <w:szCs w:val="22"/>
        </w:rPr>
        <w:t>20</w:t>
      </w:r>
    </w:p>
    <w:p w14:paraId="2A95AB1F">
      <w:pPr>
        <w:widowControl w:val="0"/>
        <w:autoSpaceDE w:val="0"/>
        <w:autoSpaceDN w:val="0"/>
        <w:rPr>
          <w:rFonts w:ascii="Arial MT" w:hAnsi="Roboto" w:eastAsia="Roboto" w:cs="Roboto"/>
          <w:sz w:val="20"/>
          <w:szCs w:val="21"/>
        </w:rPr>
      </w:pPr>
    </w:p>
    <w:p w14:paraId="4AD29436">
      <w:pPr>
        <w:widowControl w:val="0"/>
        <w:autoSpaceDE w:val="0"/>
        <w:autoSpaceDN w:val="0"/>
        <w:rPr>
          <w:rFonts w:ascii="Arial MT" w:hAnsi="Roboto" w:eastAsia="Roboto" w:cs="Roboto"/>
          <w:sz w:val="20"/>
          <w:szCs w:val="21"/>
        </w:rPr>
      </w:pPr>
    </w:p>
    <w:p w14:paraId="0B8CAE31">
      <w:pPr>
        <w:widowControl w:val="0"/>
        <w:autoSpaceDE w:val="0"/>
        <w:autoSpaceDN w:val="0"/>
        <w:spacing w:before="9"/>
        <w:rPr>
          <w:rFonts w:ascii="Arial MT" w:hAnsi="Roboto" w:eastAsia="Roboto" w:cs="Roboto"/>
          <w:sz w:val="19"/>
          <w:szCs w:val="21"/>
        </w:rPr>
      </w:pPr>
    </w:p>
    <w:p w14:paraId="2F0347B9">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710464" behindDoc="0" locked="0" layoutInCell="1" allowOverlap="1">
                <wp:simplePos x="0" y="0"/>
                <wp:positionH relativeFrom="page">
                  <wp:posOffset>5638800</wp:posOffset>
                </wp:positionH>
                <wp:positionV relativeFrom="paragraph">
                  <wp:posOffset>-264160</wp:posOffset>
                </wp:positionV>
                <wp:extent cx="638175" cy="895350"/>
                <wp:effectExtent l="0" t="0" r="0" b="0"/>
                <wp:wrapNone/>
                <wp:docPr id="1377773010" name="Text Box 74"/>
                <wp:cNvGraphicFramePr/>
                <a:graphic xmlns:a="http://schemas.openxmlformats.org/drawingml/2006/main">
                  <a:graphicData uri="http://schemas.microsoft.com/office/word/2010/wordprocessingShape">
                    <wps:wsp>
                      <wps:cNvSpPr txBox="1">
                        <a:spLocks noChangeArrowheads="1"/>
                      </wps:cNvSpPr>
                      <wps:spPr bwMode="auto">
                        <a:xfrm>
                          <a:off x="0" y="0"/>
                          <a:ext cx="638175" cy="895350"/>
                        </a:xfrm>
                        <a:prstGeom prst="rect">
                          <a:avLst/>
                        </a:prstGeom>
                        <a:solidFill>
                          <a:srgbClr val="663AB6"/>
                        </a:solidFill>
                        <a:ln>
                          <a:noFill/>
                        </a:ln>
                        <a:effectLst/>
                      </wps:spPr>
                      <wps:txbx>
                        <w:txbxContent>
                          <w:p w14:paraId="772FBC7F">
                            <w:pPr>
                              <w:spacing w:before="14"/>
                              <w:rPr>
                                <w:rFonts w:ascii="Arial MT"/>
                                <w:sz w:val="18"/>
                              </w:rPr>
                            </w:pPr>
                            <w:r>
                              <w:rPr>
                                <w:rFonts w:ascii="Arial MT"/>
                                <w:color w:val="FFFFFF"/>
                                <w:sz w:val="18"/>
                              </w:rPr>
                              <w:t>16 (21.3%)</w:t>
                            </w:r>
                          </w:p>
                        </w:txbxContent>
                      </wps:txbx>
                      <wps:bodyPr rot="0" vert="horz" wrap="square" lIns="0" tIns="0" rIns="0" bIns="0" anchor="t" anchorCtr="0" upright="1">
                        <a:noAutofit/>
                      </wps:bodyPr>
                    </wps:wsp>
                  </a:graphicData>
                </a:graphic>
              </wp:anchor>
            </w:drawing>
          </mc:Choice>
          <mc:Fallback>
            <w:pict>
              <v:shape id="Text Box 74" o:spid="_x0000_s1026" o:spt="202" type="#_x0000_t202" style="position:absolute;left:0pt;margin-left:444pt;margin-top:-20.8pt;height:70.5pt;width:50.25pt;mso-position-horizontal-relative:page;z-index:251710464;mso-width-relative:page;mso-height-relative:page;" fillcolor="#663AB6" filled="t" stroked="f" coordsize="21600,21600" o:gfxdata="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JrDHY&#10;AAAACgEAAA8AAAAAAAAAAQAgAAAAIgAAAGRycy9kb3ducmV2LnhtbFBLAQIUABQAAAAIAIdO4kAk&#10;4yraIAIAAEQEAAAOAAAAAAAAAAEAIAAAACcBAABkcnMvZTJvRG9jLnhtbFBLBQYAAAAABgAGAFkB&#10;AAC5BQAAAAA=&#10;">
                <v:fill on="t" focussize="0,0"/>
                <v:stroke on="f"/>
                <v:imagedata o:title=""/>
                <o:lock v:ext="edit" aspectratio="f"/>
                <v:textbox inset="0mm,0mm,0mm,0mm">
                  <w:txbxContent>
                    <w:p w14:paraId="772FBC7F">
                      <w:pPr>
                        <w:spacing w:before="14"/>
                        <w:rPr>
                          <w:rFonts w:ascii="Arial MT"/>
                          <w:sz w:val="18"/>
                        </w:rPr>
                      </w:pPr>
                      <w:r>
                        <w:rPr>
                          <w:rFonts w:ascii="Arial MT"/>
                          <w:color w:val="FFFFFF"/>
                          <w:sz w:val="18"/>
                        </w:rPr>
                        <w:t>16 (21.3%)</w:t>
                      </w:r>
                    </w:p>
                  </w:txbxContent>
                </v:textbox>
              </v:shape>
            </w:pict>
          </mc:Fallback>
        </mc:AlternateContent>
      </w:r>
      <w:r>
        <w:rPr>
          <w:rFonts w:ascii="Arial MT" w:hAnsi="Roboto" w:eastAsia="Roboto" w:cs="Roboto"/>
          <w:color w:val="444444"/>
          <w:sz w:val="18"/>
          <w:szCs w:val="22"/>
        </w:rPr>
        <w:t>10</w:t>
      </w:r>
    </w:p>
    <w:p w14:paraId="2BE34758">
      <w:pPr>
        <w:widowControl w:val="0"/>
        <w:autoSpaceDE w:val="0"/>
        <w:autoSpaceDN w:val="0"/>
        <w:spacing w:before="3"/>
        <w:rPr>
          <w:rFonts w:ascii="Arial MT" w:hAnsi="Roboto" w:eastAsia="Roboto" w:cs="Roboto"/>
          <w:sz w:val="21"/>
          <w:szCs w:val="21"/>
        </w:rPr>
      </w:pPr>
    </w:p>
    <w:p w14:paraId="4934CB37">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11488" behindDoc="0" locked="0" layoutInCell="1" allowOverlap="1">
                <wp:simplePos x="0" y="0"/>
                <wp:positionH relativeFrom="page">
                  <wp:posOffset>2543175</wp:posOffset>
                </wp:positionH>
                <wp:positionV relativeFrom="paragraph">
                  <wp:posOffset>-46990</wp:posOffset>
                </wp:positionV>
                <wp:extent cx="638175" cy="390525"/>
                <wp:effectExtent l="0" t="0" r="0" b="0"/>
                <wp:wrapNone/>
                <wp:docPr id="2111324284" name="Text Box 73"/>
                <wp:cNvGraphicFramePr/>
                <a:graphic xmlns:a="http://schemas.openxmlformats.org/drawingml/2006/main">
                  <a:graphicData uri="http://schemas.microsoft.com/office/word/2010/wordprocessingShape">
                    <wps:wsp>
                      <wps:cNvSpPr txBox="1">
                        <a:spLocks noChangeArrowheads="1"/>
                      </wps:cNvSpPr>
                      <wps:spPr bwMode="auto">
                        <a:xfrm>
                          <a:off x="0" y="0"/>
                          <a:ext cx="638175" cy="390525"/>
                        </a:xfrm>
                        <a:prstGeom prst="rect">
                          <a:avLst/>
                        </a:prstGeom>
                        <a:solidFill>
                          <a:srgbClr val="663AB6"/>
                        </a:solidFill>
                        <a:ln>
                          <a:noFill/>
                        </a:ln>
                        <a:effectLst/>
                      </wps:spPr>
                      <wps:txbx>
                        <w:txbxContent>
                          <w:p w14:paraId="49F4A4CD">
                            <w:pPr>
                              <w:spacing w:before="14"/>
                              <w:rPr>
                                <w:rFonts w:ascii="Arial MT"/>
                                <w:sz w:val="18"/>
                              </w:rPr>
                            </w:pPr>
                            <w:r>
                              <w:rPr>
                                <w:rFonts w:ascii="Arial MT"/>
                                <w:color w:val="FFFFFF"/>
                                <w:sz w:val="18"/>
                              </w:rPr>
                              <w:t>7 (9.3%)</w:t>
                            </w:r>
                          </w:p>
                        </w:txbxContent>
                      </wps:txbx>
                      <wps:bodyPr rot="0" vert="horz" wrap="square" lIns="0" tIns="0" rIns="0" bIns="0" anchor="t" anchorCtr="0" upright="1">
                        <a:noAutofit/>
                      </wps:bodyPr>
                    </wps:wsp>
                  </a:graphicData>
                </a:graphic>
              </wp:anchor>
            </w:drawing>
          </mc:Choice>
          <mc:Fallback>
            <w:pict>
              <v:shape id="Text Box 73" o:spid="_x0000_s1026" o:spt="202" type="#_x0000_t202" style="position:absolute;left:0pt;margin-left:200.25pt;margin-top:-3.7pt;height:30.75pt;width:50.25pt;mso-position-horizontal-relative:page;z-index:251711488;mso-width-relative:page;mso-height-relative:page;" fillcolor="#663AB6" filled="t" stroked="f" coordsize="21600,21600" o:gfxdata="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erCbbV&#10;AAAACQEAAA8AAAAAAAAAAQAgAAAAIgAAAGRycy9kb3ducmV2LnhtbFBLAQIUABQAAAAIAIdO4kA2&#10;9o/YIwIAAEQEAAAOAAAAAAAAAAEAIAAAACQBAABkcnMvZTJvRG9jLnhtbFBLBQYAAAAABgAGAFkB&#10;AAC5BQAAAAA=&#10;">
                <v:fill on="t" focussize="0,0"/>
                <v:stroke on="f"/>
                <v:imagedata o:title=""/>
                <o:lock v:ext="edit" aspectratio="f"/>
                <v:textbox inset="0mm,0mm,0mm,0mm">
                  <w:txbxContent>
                    <w:p w14:paraId="49F4A4CD">
                      <w:pPr>
                        <w:spacing w:before="14"/>
                        <w:rPr>
                          <w:rFonts w:ascii="Arial MT"/>
                          <w:sz w:val="18"/>
                        </w:rPr>
                      </w:pPr>
                      <w:r>
                        <w:rPr>
                          <w:rFonts w:ascii="Arial MT"/>
                          <w:color w:val="FFFFFF"/>
                          <w:sz w:val="18"/>
                        </w:rPr>
                        <w:t>7 (9.3%)</w:t>
                      </w:r>
                    </w:p>
                  </w:txbxContent>
                </v:textbox>
              </v:shape>
            </w:pict>
          </mc:Fallback>
        </mc:AlternateContent>
      </w:r>
      <w:r>
        <w:rPr>
          <w:rFonts w:ascii="Arial MT" w:hAnsi="Roboto" w:eastAsia="Roboto" w:cs="Roboto"/>
          <w:sz w:val="18"/>
          <w:szCs w:val="22"/>
        </w:rPr>
        <w:t>2 (2.7%)</w:t>
      </w:r>
    </w:p>
    <w:p w14:paraId="0964EB6E">
      <w:pPr>
        <w:widowControl w:val="0"/>
        <w:autoSpaceDE w:val="0"/>
        <w:autoSpaceDN w:val="0"/>
        <w:spacing w:before="4"/>
        <w:rPr>
          <w:rFonts w:ascii="Arial MT" w:hAnsi="Roboto" w:eastAsia="Roboto" w:cs="Roboto"/>
          <w:sz w:val="12"/>
          <w:szCs w:val="21"/>
        </w:rPr>
      </w:pPr>
    </w:p>
    <w:p w14:paraId="7FA88465">
      <w:pPr>
        <w:widowControl w:val="0"/>
        <w:autoSpaceDE w:val="0"/>
        <w:autoSpaceDN w:val="0"/>
        <w:spacing w:before="94" w:line="205" w:lineRule="exact"/>
        <w:rPr>
          <w:rFonts w:ascii="Arial MT" w:hAnsi="Roboto" w:eastAsia="Roboto" w:cs="Roboto"/>
          <w:sz w:val="18"/>
          <w:szCs w:val="22"/>
        </w:rPr>
      </w:pPr>
      <w:r>
        <w:rPr>
          <w:rFonts w:ascii="Arial MT" w:hAnsi="Roboto" w:eastAsia="Roboto" w:cs="Roboto"/>
          <w:color w:val="444444"/>
          <w:sz w:val="18"/>
          <w:szCs w:val="22"/>
        </w:rPr>
        <w:t>0</w:t>
      </w:r>
    </w:p>
    <w:p w14:paraId="7EEC01AF">
      <w:pPr>
        <w:widowControl w:val="0"/>
        <w:tabs>
          <w:tab w:val="left" w:pos="3421"/>
          <w:tab w:val="left" w:pos="5044"/>
          <w:tab w:val="left" w:pos="6667"/>
          <w:tab w:val="left" w:pos="8290"/>
        </w:tabs>
        <w:autoSpaceDE w:val="0"/>
        <w:autoSpaceDN w:val="0"/>
        <w:spacing w:line="205"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3F09A576">
      <w:pPr>
        <w:widowControl w:val="0"/>
        <w:autoSpaceDE w:val="0"/>
        <w:autoSpaceDN w:val="0"/>
        <w:spacing w:line="205" w:lineRule="exact"/>
        <w:rPr>
          <w:rFonts w:ascii="Arial MT" w:hAnsi="Roboto" w:eastAsia="Roboto" w:cs="Roboto"/>
          <w:sz w:val="18"/>
          <w:szCs w:val="22"/>
        </w:rPr>
        <w:sectPr>
          <w:type w:val="continuous"/>
          <w:pgSz w:w="11900" w:h="16840"/>
          <w:pgMar w:top="480" w:right="1280" w:bottom="1680" w:left="1040" w:header="720" w:footer="720" w:gutter="0"/>
          <w:cols w:space="720" w:num="1"/>
        </w:sectPr>
      </w:pPr>
    </w:p>
    <w:p w14:paraId="701D88B0">
      <w:pPr>
        <w:widowControl w:val="0"/>
        <w:autoSpaceDE w:val="0"/>
        <w:autoSpaceDN w:val="0"/>
        <w:spacing w:before="4"/>
        <w:rPr>
          <w:rFonts w:ascii="Arial MT" w:hAnsi="Roboto" w:eastAsia="Roboto" w:cs="Roboto"/>
          <w:sz w:val="12"/>
          <w:szCs w:val="21"/>
        </w:rPr>
      </w:pPr>
    </w:p>
    <w:p w14:paraId="3811CC90">
      <w:pPr>
        <w:widowControl w:val="0"/>
        <w:autoSpaceDE w:val="0"/>
        <w:autoSpaceDN w:val="0"/>
        <w:rPr>
          <w:rFonts w:ascii="Arial MT" w:hAnsi="Roboto" w:eastAsia="Roboto" w:cs="Roboto"/>
          <w:sz w:val="12"/>
          <w:szCs w:val="22"/>
        </w:rPr>
        <w:sectPr>
          <w:pgSz w:w="11900" w:h="16840"/>
          <w:pgMar w:top="480" w:right="1280" w:bottom="1680" w:left="1040" w:header="269" w:footer="1490" w:gutter="0"/>
          <w:cols w:space="720" w:num="1"/>
        </w:sectPr>
      </w:pPr>
    </w:p>
    <w:p w14:paraId="1DE17746">
      <w:pPr>
        <w:widowControl w:val="0"/>
        <w:numPr>
          <w:ilvl w:val="0"/>
          <w:numId w:val="46"/>
        </w:numPr>
        <w:tabs>
          <w:tab w:val="left" w:pos="527"/>
        </w:tabs>
        <w:autoSpaceDE w:val="0"/>
        <w:autoSpaceDN w:val="0"/>
        <w:spacing w:before="94" w:line="300" w:lineRule="auto"/>
        <w:ind w:right="38" w:firstLine="0"/>
        <w:jc w:val="both"/>
        <w:outlineLvl w:val="0"/>
        <w:rPr>
          <w:rFonts w:eastAsia="Roboto"/>
        </w:rPr>
      </w:pPr>
      <w:r>
        <mc:AlternateContent>
          <mc:Choice Requires="wpg">
            <w:drawing>
              <wp:anchor distT="0" distB="0" distL="114300" distR="114300" simplePos="0" relativeHeight="251712512" behindDoc="1" locked="0" layoutInCell="1" allowOverlap="1">
                <wp:simplePos x="0" y="0"/>
                <wp:positionH relativeFrom="page">
                  <wp:posOffset>733425</wp:posOffset>
                </wp:positionH>
                <wp:positionV relativeFrom="paragraph">
                  <wp:posOffset>-43180</wp:posOffset>
                </wp:positionV>
                <wp:extent cx="6096000" cy="7734300"/>
                <wp:effectExtent l="9525" t="8890" r="0" b="635"/>
                <wp:wrapNone/>
                <wp:docPr id="1461317513" name="Group 171"/>
                <wp:cNvGraphicFramePr/>
                <a:graphic xmlns:a="http://schemas.openxmlformats.org/drawingml/2006/main">
                  <a:graphicData uri="http://schemas.microsoft.com/office/word/2010/wordprocessingGroup">
                    <wpg:wgp>
                      <wpg:cNvGrpSpPr/>
                      <wpg:grpSpPr>
                        <a:xfrm>
                          <a:off x="0" y="0"/>
                          <a:ext cx="6096000" cy="7734300"/>
                          <a:chOff x="1155" y="-68"/>
                          <a:chExt cx="9600" cy="12180"/>
                        </a:xfrm>
                        <a:effectLst/>
                      </wpg:grpSpPr>
                      <wps:wsp>
                        <wps:cNvPr id="302925908" name="AutoShape 187"/>
                        <wps:cNvSpPr/>
                        <wps:spPr bwMode="auto">
                          <a:xfrm>
                            <a:off x="1162" y="-61"/>
                            <a:ext cx="9585" cy="12165"/>
                          </a:xfrm>
                          <a:custGeom>
                            <a:avLst/>
                            <a:gdLst>
                              <a:gd name="T0" fmla="*/ 1 w 9585"/>
                              <a:gd name="T1" fmla="*/ 37 h 12165"/>
                              <a:gd name="T2" fmla="*/ 9 w 9585"/>
                              <a:gd name="T3" fmla="*/ 9 h 12165"/>
                              <a:gd name="T4" fmla="*/ 24 w 9585"/>
                              <a:gd name="T5" fmla="*/ -17 h 12165"/>
                              <a:gd name="T6" fmla="*/ 44 w 9585"/>
                              <a:gd name="T7" fmla="*/ -37 h 12165"/>
                              <a:gd name="T8" fmla="*/ 70 w 9585"/>
                              <a:gd name="T9" fmla="*/ -52 h 12165"/>
                              <a:gd name="T10" fmla="*/ 98 w 9585"/>
                              <a:gd name="T11" fmla="*/ -60 h 12165"/>
                              <a:gd name="T12" fmla="*/ 9480 w 9585"/>
                              <a:gd name="T13" fmla="*/ -60 h 12165"/>
                              <a:gd name="T14" fmla="*/ 9509 w 9585"/>
                              <a:gd name="T15" fmla="*/ -55 h 12165"/>
                              <a:gd name="T16" fmla="*/ 9535 w 9585"/>
                              <a:gd name="T17" fmla="*/ -42 h 12165"/>
                              <a:gd name="T18" fmla="*/ 9558 w 9585"/>
                              <a:gd name="T19" fmla="*/ -22 h 12165"/>
                              <a:gd name="T20" fmla="*/ 9574 w 9585"/>
                              <a:gd name="T21" fmla="*/ 2 h 12165"/>
                              <a:gd name="T22" fmla="*/ 9583 w 9585"/>
                              <a:gd name="T23" fmla="*/ 30 h 12165"/>
                              <a:gd name="T24" fmla="*/ 9585 w 9585"/>
                              <a:gd name="T25" fmla="*/ 6082 h 12165"/>
                              <a:gd name="T26" fmla="*/ 9582 w 9585"/>
                              <a:gd name="T27" fmla="*/ 6111 h 12165"/>
                              <a:gd name="T28" fmla="*/ 9571 w 9585"/>
                              <a:gd name="T29" fmla="*/ 6138 h 12165"/>
                              <a:gd name="T30" fmla="*/ 9553 w 9585"/>
                              <a:gd name="T31" fmla="*/ 6162 h 12165"/>
                              <a:gd name="T32" fmla="*/ 9529 w 9585"/>
                              <a:gd name="T33" fmla="*/ 6180 h 12165"/>
                              <a:gd name="T34" fmla="*/ 9502 w 9585"/>
                              <a:gd name="T35" fmla="*/ 6191 h 12165"/>
                              <a:gd name="T36" fmla="*/ 9473 w 9585"/>
                              <a:gd name="T37" fmla="*/ 6195 h 12165"/>
                              <a:gd name="T38" fmla="*/ 91 w 9585"/>
                              <a:gd name="T39" fmla="*/ 6192 h 12165"/>
                              <a:gd name="T40" fmla="*/ 63 w 9585"/>
                              <a:gd name="T41" fmla="*/ 6183 h 12165"/>
                              <a:gd name="T42" fmla="*/ 39 w 9585"/>
                              <a:gd name="T43" fmla="*/ 6167 h 12165"/>
                              <a:gd name="T44" fmla="*/ 19 w 9585"/>
                              <a:gd name="T45" fmla="*/ 6145 h 12165"/>
                              <a:gd name="T46" fmla="*/ 6 w 9585"/>
                              <a:gd name="T47" fmla="*/ 6118 h 12165"/>
                              <a:gd name="T48" fmla="*/ 0 w 9585"/>
                              <a:gd name="T49" fmla="*/ 6089 h 12165"/>
                              <a:gd name="T50" fmla="*/ 0 w 9585"/>
                              <a:gd name="T51" fmla="*/ 6315 h 12165"/>
                              <a:gd name="T52" fmla="*/ 6 w 9585"/>
                              <a:gd name="T53" fmla="*/ 6286 h 12165"/>
                              <a:gd name="T54" fmla="*/ 19 w 9585"/>
                              <a:gd name="T55" fmla="*/ 6260 h 12165"/>
                              <a:gd name="T56" fmla="*/ 39 w 9585"/>
                              <a:gd name="T57" fmla="*/ 6237 h 12165"/>
                              <a:gd name="T58" fmla="*/ 63 w 9585"/>
                              <a:gd name="T59" fmla="*/ 6221 h 12165"/>
                              <a:gd name="T60" fmla="*/ 91 w 9585"/>
                              <a:gd name="T61" fmla="*/ 6212 h 12165"/>
                              <a:gd name="T62" fmla="*/ 9473 w 9585"/>
                              <a:gd name="T63" fmla="*/ 6210 h 12165"/>
                              <a:gd name="T64" fmla="*/ 9502 w 9585"/>
                              <a:gd name="T65" fmla="*/ 6213 h 12165"/>
                              <a:gd name="T66" fmla="*/ 9529 w 9585"/>
                              <a:gd name="T67" fmla="*/ 6224 h 12165"/>
                              <a:gd name="T68" fmla="*/ 9553 w 9585"/>
                              <a:gd name="T69" fmla="*/ 6242 h 12165"/>
                              <a:gd name="T70" fmla="*/ 9571 w 9585"/>
                              <a:gd name="T71" fmla="*/ 6266 h 12165"/>
                              <a:gd name="T72" fmla="*/ 9582 w 9585"/>
                              <a:gd name="T73" fmla="*/ 6293 h 12165"/>
                              <a:gd name="T74" fmla="*/ 9585 w 9585"/>
                              <a:gd name="T75" fmla="*/ 6322 h 12165"/>
                              <a:gd name="T76" fmla="*/ 9583 w 9585"/>
                              <a:gd name="T77" fmla="*/ 12014 h 12165"/>
                              <a:gd name="T78" fmla="*/ 9574 w 9585"/>
                              <a:gd name="T79" fmla="*/ 12042 h 12165"/>
                              <a:gd name="T80" fmla="*/ 9558 w 9585"/>
                              <a:gd name="T81" fmla="*/ 12066 h 12165"/>
                              <a:gd name="T82" fmla="*/ 9535 w 9585"/>
                              <a:gd name="T83" fmla="*/ 12086 h 12165"/>
                              <a:gd name="T84" fmla="*/ 9509 w 9585"/>
                              <a:gd name="T85" fmla="*/ 12099 h 12165"/>
                              <a:gd name="T86" fmla="*/ 9480 w 9585"/>
                              <a:gd name="T87" fmla="*/ 12105 h 12165"/>
                              <a:gd name="T88" fmla="*/ 98 w 9585"/>
                              <a:gd name="T89" fmla="*/ 12104 h 12165"/>
                              <a:gd name="T90" fmla="*/ 70 w 9585"/>
                              <a:gd name="T91" fmla="*/ 12096 h 12165"/>
                              <a:gd name="T92" fmla="*/ 44 w 9585"/>
                              <a:gd name="T93" fmla="*/ 12081 h 12165"/>
                              <a:gd name="T94" fmla="*/ 24 w 9585"/>
                              <a:gd name="T95" fmla="*/ 12061 h 12165"/>
                              <a:gd name="T96" fmla="*/ 9 w 9585"/>
                              <a:gd name="T97" fmla="*/ 12035 h 12165"/>
                              <a:gd name="T98" fmla="*/ 1 w 9585"/>
                              <a:gd name="T99" fmla="*/ 12007 h 1216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585" h="12165">
                                <a:moveTo>
                                  <a:pt x="0" y="6142"/>
                                </a:moveTo>
                                <a:lnTo>
                                  <a:pt x="0" y="112"/>
                                </a:lnTo>
                                <a:lnTo>
                                  <a:pt x="0" y="105"/>
                                </a:lnTo>
                                <a:lnTo>
                                  <a:pt x="1" y="97"/>
                                </a:lnTo>
                                <a:lnTo>
                                  <a:pt x="3" y="90"/>
                                </a:lnTo>
                                <a:lnTo>
                                  <a:pt x="4" y="83"/>
                                </a:lnTo>
                                <a:lnTo>
                                  <a:pt x="6" y="76"/>
                                </a:lnTo>
                                <a:lnTo>
                                  <a:pt x="9" y="69"/>
                                </a:lnTo>
                                <a:lnTo>
                                  <a:pt x="12" y="62"/>
                                </a:lnTo>
                                <a:lnTo>
                                  <a:pt x="15" y="56"/>
                                </a:lnTo>
                                <a:lnTo>
                                  <a:pt x="19" y="50"/>
                                </a:lnTo>
                                <a:lnTo>
                                  <a:pt x="24" y="43"/>
                                </a:lnTo>
                                <a:lnTo>
                                  <a:pt x="28" y="38"/>
                                </a:lnTo>
                                <a:lnTo>
                                  <a:pt x="33" y="32"/>
                                </a:lnTo>
                                <a:lnTo>
                                  <a:pt x="39" y="27"/>
                                </a:lnTo>
                                <a:lnTo>
                                  <a:pt x="44" y="23"/>
                                </a:lnTo>
                                <a:lnTo>
                                  <a:pt x="50" y="18"/>
                                </a:lnTo>
                                <a:lnTo>
                                  <a:pt x="57" y="14"/>
                                </a:lnTo>
                                <a:lnTo>
                                  <a:pt x="63" y="11"/>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8"/>
                                </a:lnTo>
                                <a:lnTo>
                                  <a:pt x="9542" y="23"/>
                                </a:lnTo>
                                <a:lnTo>
                                  <a:pt x="9547" y="27"/>
                                </a:lnTo>
                                <a:lnTo>
                                  <a:pt x="9553" y="32"/>
                                </a:lnTo>
                                <a:lnTo>
                                  <a:pt x="9558" y="38"/>
                                </a:lnTo>
                                <a:lnTo>
                                  <a:pt x="9562" y="43"/>
                                </a:lnTo>
                                <a:lnTo>
                                  <a:pt x="9567" y="50"/>
                                </a:lnTo>
                                <a:lnTo>
                                  <a:pt x="9571" y="56"/>
                                </a:lnTo>
                                <a:lnTo>
                                  <a:pt x="9574" y="62"/>
                                </a:lnTo>
                                <a:lnTo>
                                  <a:pt x="9577" y="69"/>
                                </a:lnTo>
                                <a:lnTo>
                                  <a:pt x="9580" y="76"/>
                                </a:lnTo>
                                <a:lnTo>
                                  <a:pt x="9582" y="83"/>
                                </a:lnTo>
                                <a:lnTo>
                                  <a:pt x="9583" y="90"/>
                                </a:lnTo>
                                <a:lnTo>
                                  <a:pt x="9585" y="97"/>
                                </a:lnTo>
                                <a:lnTo>
                                  <a:pt x="9585" y="105"/>
                                </a:lnTo>
                                <a:lnTo>
                                  <a:pt x="9585" y="112"/>
                                </a:lnTo>
                                <a:lnTo>
                                  <a:pt x="9585" y="6142"/>
                                </a:lnTo>
                                <a:lnTo>
                                  <a:pt x="9585" y="6149"/>
                                </a:lnTo>
                                <a:lnTo>
                                  <a:pt x="9585" y="6157"/>
                                </a:lnTo>
                                <a:lnTo>
                                  <a:pt x="9583" y="6164"/>
                                </a:lnTo>
                                <a:lnTo>
                                  <a:pt x="9582" y="6171"/>
                                </a:lnTo>
                                <a:lnTo>
                                  <a:pt x="9580" y="6178"/>
                                </a:lnTo>
                                <a:lnTo>
                                  <a:pt x="9577" y="6185"/>
                                </a:lnTo>
                                <a:lnTo>
                                  <a:pt x="9574" y="6192"/>
                                </a:lnTo>
                                <a:lnTo>
                                  <a:pt x="9571" y="6198"/>
                                </a:lnTo>
                                <a:lnTo>
                                  <a:pt x="9567" y="6205"/>
                                </a:lnTo>
                                <a:lnTo>
                                  <a:pt x="9562" y="6211"/>
                                </a:lnTo>
                                <a:lnTo>
                                  <a:pt x="9558" y="6216"/>
                                </a:lnTo>
                                <a:lnTo>
                                  <a:pt x="9553" y="6222"/>
                                </a:lnTo>
                                <a:lnTo>
                                  <a:pt x="9547" y="6227"/>
                                </a:lnTo>
                                <a:lnTo>
                                  <a:pt x="9542" y="6231"/>
                                </a:lnTo>
                                <a:lnTo>
                                  <a:pt x="9535" y="6236"/>
                                </a:lnTo>
                                <a:lnTo>
                                  <a:pt x="9529" y="6240"/>
                                </a:lnTo>
                                <a:lnTo>
                                  <a:pt x="9523" y="6243"/>
                                </a:lnTo>
                                <a:lnTo>
                                  <a:pt x="9516" y="6246"/>
                                </a:lnTo>
                                <a:lnTo>
                                  <a:pt x="9509" y="6249"/>
                                </a:lnTo>
                                <a:lnTo>
                                  <a:pt x="9502" y="6251"/>
                                </a:lnTo>
                                <a:lnTo>
                                  <a:pt x="9495" y="6252"/>
                                </a:lnTo>
                                <a:lnTo>
                                  <a:pt x="9488" y="6254"/>
                                </a:lnTo>
                                <a:lnTo>
                                  <a:pt x="9480" y="6255"/>
                                </a:lnTo>
                                <a:lnTo>
                                  <a:pt x="9473" y="6255"/>
                                </a:lnTo>
                                <a:lnTo>
                                  <a:pt x="113" y="6255"/>
                                </a:lnTo>
                                <a:lnTo>
                                  <a:pt x="106" y="6255"/>
                                </a:lnTo>
                                <a:lnTo>
                                  <a:pt x="98" y="6254"/>
                                </a:lnTo>
                                <a:lnTo>
                                  <a:pt x="91" y="6252"/>
                                </a:lnTo>
                                <a:lnTo>
                                  <a:pt x="84" y="6251"/>
                                </a:lnTo>
                                <a:lnTo>
                                  <a:pt x="77" y="6249"/>
                                </a:lnTo>
                                <a:lnTo>
                                  <a:pt x="70" y="6246"/>
                                </a:lnTo>
                                <a:lnTo>
                                  <a:pt x="63" y="6243"/>
                                </a:lnTo>
                                <a:lnTo>
                                  <a:pt x="57" y="6240"/>
                                </a:lnTo>
                                <a:lnTo>
                                  <a:pt x="50" y="6236"/>
                                </a:lnTo>
                                <a:lnTo>
                                  <a:pt x="44" y="6231"/>
                                </a:lnTo>
                                <a:lnTo>
                                  <a:pt x="39" y="6227"/>
                                </a:lnTo>
                                <a:lnTo>
                                  <a:pt x="33" y="6222"/>
                                </a:lnTo>
                                <a:lnTo>
                                  <a:pt x="28" y="6216"/>
                                </a:lnTo>
                                <a:lnTo>
                                  <a:pt x="24" y="6211"/>
                                </a:lnTo>
                                <a:lnTo>
                                  <a:pt x="19" y="6205"/>
                                </a:lnTo>
                                <a:lnTo>
                                  <a:pt x="15" y="6198"/>
                                </a:lnTo>
                                <a:lnTo>
                                  <a:pt x="12" y="6192"/>
                                </a:lnTo>
                                <a:lnTo>
                                  <a:pt x="9" y="6185"/>
                                </a:lnTo>
                                <a:lnTo>
                                  <a:pt x="6" y="6178"/>
                                </a:lnTo>
                                <a:lnTo>
                                  <a:pt x="4" y="6171"/>
                                </a:lnTo>
                                <a:lnTo>
                                  <a:pt x="3" y="6164"/>
                                </a:lnTo>
                                <a:lnTo>
                                  <a:pt x="1" y="6157"/>
                                </a:lnTo>
                                <a:lnTo>
                                  <a:pt x="0" y="6149"/>
                                </a:lnTo>
                                <a:lnTo>
                                  <a:pt x="0" y="6142"/>
                                </a:lnTo>
                                <a:close/>
                                <a:moveTo>
                                  <a:pt x="0" y="12052"/>
                                </a:moveTo>
                                <a:lnTo>
                                  <a:pt x="0" y="6382"/>
                                </a:lnTo>
                                <a:lnTo>
                                  <a:pt x="0" y="6375"/>
                                </a:lnTo>
                                <a:lnTo>
                                  <a:pt x="1" y="6367"/>
                                </a:lnTo>
                                <a:lnTo>
                                  <a:pt x="3" y="6360"/>
                                </a:lnTo>
                                <a:lnTo>
                                  <a:pt x="4" y="6353"/>
                                </a:lnTo>
                                <a:lnTo>
                                  <a:pt x="6" y="6346"/>
                                </a:lnTo>
                                <a:lnTo>
                                  <a:pt x="9" y="6339"/>
                                </a:lnTo>
                                <a:lnTo>
                                  <a:pt x="12" y="6332"/>
                                </a:lnTo>
                                <a:lnTo>
                                  <a:pt x="15" y="6326"/>
                                </a:lnTo>
                                <a:lnTo>
                                  <a:pt x="19" y="6320"/>
                                </a:lnTo>
                                <a:lnTo>
                                  <a:pt x="24" y="6313"/>
                                </a:lnTo>
                                <a:lnTo>
                                  <a:pt x="28" y="6308"/>
                                </a:lnTo>
                                <a:lnTo>
                                  <a:pt x="33" y="6302"/>
                                </a:lnTo>
                                <a:lnTo>
                                  <a:pt x="39" y="6297"/>
                                </a:lnTo>
                                <a:lnTo>
                                  <a:pt x="44" y="6293"/>
                                </a:lnTo>
                                <a:lnTo>
                                  <a:pt x="50" y="6288"/>
                                </a:lnTo>
                                <a:lnTo>
                                  <a:pt x="57" y="6284"/>
                                </a:lnTo>
                                <a:lnTo>
                                  <a:pt x="63" y="6281"/>
                                </a:lnTo>
                                <a:lnTo>
                                  <a:pt x="70" y="6278"/>
                                </a:lnTo>
                                <a:lnTo>
                                  <a:pt x="77" y="6275"/>
                                </a:lnTo>
                                <a:lnTo>
                                  <a:pt x="84" y="6273"/>
                                </a:lnTo>
                                <a:lnTo>
                                  <a:pt x="91" y="6272"/>
                                </a:lnTo>
                                <a:lnTo>
                                  <a:pt x="98" y="6270"/>
                                </a:lnTo>
                                <a:lnTo>
                                  <a:pt x="106" y="6270"/>
                                </a:lnTo>
                                <a:lnTo>
                                  <a:pt x="113" y="6270"/>
                                </a:lnTo>
                                <a:lnTo>
                                  <a:pt x="9473" y="6270"/>
                                </a:lnTo>
                                <a:lnTo>
                                  <a:pt x="9480" y="6270"/>
                                </a:lnTo>
                                <a:lnTo>
                                  <a:pt x="9488" y="6270"/>
                                </a:lnTo>
                                <a:lnTo>
                                  <a:pt x="9495" y="6272"/>
                                </a:lnTo>
                                <a:lnTo>
                                  <a:pt x="9502" y="6273"/>
                                </a:lnTo>
                                <a:lnTo>
                                  <a:pt x="9509" y="6275"/>
                                </a:lnTo>
                                <a:lnTo>
                                  <a:pt x="9516" y="6278"/>
                                </a:lnTo>
                                <a:lnTo>
                                  <a:pt x="9523" y="6281"/>
                                </a:lnTo>
                                <a:lnTo>
                                  <a:pt x="9529" y="6284"/>
                                </a:lnTo>
                                <a:lnTo>
                                  <a:pt x="9535" y="6288"/>
                                </a:lnTo>
                                <a:lnTo>
                                  <a:pt x="9542" y="6293"/>
                                </a:lnTo>
                                <a:lnTo>
                                  <a:pt x="9547" y="6297"/>
                                </a:lnTo>
                                <a:lnTo>
                                  <a:pt x="9553" y="6302"/>
                                </a:lnTo>
                                <a:lnTo>
                                  <a:pt x="9558" y="6308"/>
                                </a:lnTo>
                                <a:lnTo>
                                  <a:pt x="9562" y="6313"/>
                                </a:lnTo>
                                <a:lnTo>
                                  <a:pt x="9567" y="6320"/>
                                </a:lnTo>
                                <a:lnTo>
                                  <a:pt x="9571" y="6326"/>
                                </a:lnTo>
                                <a:lnTo>
                                  <a:pt x="9574" y="6332"/>
                                </a:lnTo>
                                <a:lnTo>
                                  <a:pt x="9577" y="6339"/>
                                </a:lnTo>
                                <a:lnTo>
                                  <a:pt x="9580" y="6346"/>
                                </a:lnTo>
                                <a:lnTo>
                                  <a:pt x="9582" y="6353"/>
                                </a:lnTo>
                                <a:lnTo>
                                  <a:pt x="9583" y="6360"/>
                                </a:lnTo>
                                <a:lnTo>
                                  <a:pt x="9585" y="6367"/>
                                </a:lnTo>
                                <a:lnTo>
                                  <a:pt x="9585" y="6375"/>
                                </a:lnTo>
                                <a:lnTo>
                                  <a:pt x="9585" y="6382"/>
                                </a:lnTo>
                                <a:lnTo>
                                  <a:pt x="9585" y="12052"/>
                                </a:lnTo>
                                <a:lnTo>
                                  <a:pt x="9585" y="12059"/>
                                </a:lnTo>
                                <a:lnTo>
                                  <a:pt x="9585" y="12067"/>
                                </a:lnTo>
                                <a:lnTo>
                                  <a:pt x="9583" y="12074"/>
                                </a:lnTo>
                                <a:lnTo>
                                  <a:pt x="9582" y="12081"/>
                                </a:lnTo>
                                <a:lnTo>
                                  <a:pt x="9580" y="12088"/>
                                </a:lnTo>
                                <a:lnTo>
                                  <a:pt x="9577" y="12095"/>
                                </a:lnTo>
                                <a:lnTo>
                                  <a:pt x="9574" y="12102"/>
                                </a:lnTo>
                                <a:lnTo>
                                  <a:pt x="9571" y="12108"/>
                                </a:lnTo>
                                <a:lnTo>
                                  <a:pt x="9567" y="12115"/>
                                </a:lnTo>
                                <a:lnTo>
                                  <a:pt x="9562" y="12121"/>
                                </a:lnTo>
                                <a:lnTo>
                                  <a:pt x="9558" y="12126"/>
                                </a:lnTo>
                                <a:lnTo>
                                  <a:pt x="9553" y="12132"/>
                                </a:lnTo>
                                <a:lnTo>
                                  <a:pt x="9547" y="12137"/>
                                </a:lnTo>
                                <a:lnTo>
                                  <a:pt x="9542" y="12141"/>
                                </a:lnTo>
                                <a:lnTo>
                                  <a:pt x="9535" y="12146"/>
                                </a:lnTo>
                                <a:lnTo>
                                  <a:pt x="9529" y="12150"/>
                                </a:lnTo>
                                <a:lnTo>
                                  <a:pt x="9523" y="12153"/>
                                </a:lnTo>
                                <a:lnTo>
                                  <a:pt x="9516" y="12156"/>
                                </a:lnTo>
                                <a:lnTo>
                                  <a:pt x="9509" y="12159"/>
                                </a:lnTo>
                                <a:lnTo>
                                  <a:pt x="9502" y="12161"/>
                                </a:lnTo>
                                <a:lnTo>
                                  <a:pt x="9495" y="12162"/>
                                </a:lnTo>
                                <a:lnTo>
                                  <a:pt x="9488" y="12164"/>
                                </a:lnTo>
                                <a:lnTo>
                                  <a:pt x="9480" y="12165"/>
                                </a:lnTo>
                                <a:lnTo>
                                  <a:pt x="9473" y="12165"/>
                                </a:lnTo>
                                <a:lnTo>
                                  <a:pt x="113" y="12165"/>
                                </a:lnTo>
                                <a:lnTo>
                                  <a:pt x="106" y="12165"/>
                                </a:lnTo>
                                <a:lnTo>
                                  <a:pt x="98" y="12164"/>
                                </a:lnTo>
                                <a:lnTo>
                                  <a:pt x="91" y="12162"/>
                                </a:lnTo>
                                <a:lnTo>
                                  <a:pt x="84" y="12161"/>
                                </a:lnTo>
                                <a:lnTo>
                                  <a:pt x="77" y="12159"/>
                                </a:lnTo>
                                <a:lnTo>
                                  <a:pt x="70" y="12156"/>
                                </a:lnTo>
                                <a:lnTo>
                                  <a:pt x="63" y="12153"/>
                                </a:lnTo>
                                <a:lnTo>
                                  <a:pt x="57" y="12150"/>
                                </a:lnTo>
                                <a:lnTo>
                                  <a:pt x="50" y="12146"/>
                                </a:lnTo>
                                <a:lnTo>
                                  <a:pt x="44" y="12141"/>
                                </a:lnTo>
                                <a:lnTo>
                                  <a:pt x="39" y="12137"/>
                                </a:lnTo>
                                <a:lnTo>
                                  <a:pt x="33" y="12132"/>
                                </a:lnTo>
                                <a:lnTo>
                                  <a:pt x="28" y="12126"/>
                                </a:lnTo>
                                <a:lnTo>
                                  <a:pt x="24" y="12121"/>
                                </a:lnTo>
                                <a:lnTo>
                                  <a:pt x="19" y="12115"/>
                                </a:lnTo>
                                <a:lnTo>
                                  <a:pt x="15" y="12108"/>
                                </a:lnTo>
                                <a:lnTo>
                                  <a:pt x="12" y="12102"/>
                                </a:lnTo>
                                <a:lnTo>
                                  <a:pt x="9" y="12095"/>
                                </a:lnTo>
                                <a:lnTo>
                                  <a:pt x="6" y="12088"/>
                                </a:lnTo>
                                <a:lnTo>
                                  <a:pt x="4" y="12081"/>
                                </a:lnTo>
                                <a:lnTo>
                                  <a:pt x="3" y="12074"/>
                                </a:lnTo>
                                <a:lnTo>
                                  <a:pt x="1" y="12067"/>
                                </a:lnTo>
                                <a:lnTo>
                                  <a:pt x="0" y="12059"/>
                                </a:lnTo>
                                <a:lnTo>
                                  <a:pt x="0" y="12052"/>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176042329" name="Picture 1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7"/>
                            <a:ext cx="255" cy="300"/>
                          </a:xfrm>
                          <a:prstGeom prst="rect">
                            <a:avLst/>
                          </a:prstGeom>
                          <a:noFill/>
                          <a:ln>
                            <a:noFill/>
                          </a:ln>
                          <a:effectLst/>
                        </pic:spPr>
                      </pic:pic>
                      <wps:wsp>
                        <wps:cNvPr id="1595682814" name="Rectangle 185"/>
                        <wps:cNvSpPr>
                          <a:spLocks noChangeArrowheads="1"/>
                        </wps:cNvSpPr>
                        <wps:spPr bwMode="auto">
                          <a:xfrm>
                            <a:off x="2070" y="273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856305238" name="AutoShape 184"/>
                        <wps:cNvSpPr/>
                        <wps:spPr bwMode="auto">
                          <a:xfrm>
                            <a:off x="2069" y="2737"/>
                            <a:ext cx="8130" cy="2700"/>
                          </a:xfrm>
                          <a:custGeom>
                            <a:avLst/>
                            <a:gdLst>
                              <a:gd name="T0" fmla="*/ 3570 w 8130"/>
                              <a:gd name="T1" fmla="*/ 4747 h 2700"/>
                              <a:gd name="T2" fmla="*/ 0 w 8130"/>
                              <a:gd name="T3" fmla="*/ 4747 h 2700"/>
                              <a:gd name="T4" fmla="*/ 0 w 8130"/>
                              <a:gd name="T5" fmla="*/ 4762 h 2700"/>
                              <a:gd name="T6" fmla="*/ 3570 w 8130"/>
                              <a:gd name="T7" fmla="*/ 4762 h 2700"/>
                              <a:gd name="T8" fmla="*/ 3570 w 8130"/>
                              <a:gd name="T9" fmla="*/ 4747 h 2700"/>
                              <a:gd name="T10" fmla="*/ 5190 w 8130"/>
                              <a:gd name="T11" fmla="*/ 4747 h 2700"/>
                              <a:gd name="T12" fmla="*/ 4560 w 8130"/>
                              <a:gd name="T13" fmla="*/ 4747 h 2700"/>
                              <a:gd name="T14" fmla="*/ 4560 w 8130"/>
                              <a:gd name="T15" fmla="*/ 4762 h 2700"/>
                              <a:gd name="T16" fmla="*/ 5190 w 8130"/>
                              <a:gd name="T17" fmla="*/ 4762 h 2700"/>
                              <a:gd name="T18" fmla="*/ 5190 w 8130"/>
                              <a:gd name="T19" fmla="*/ 4747 h 2700"/>
                              <a:gd name="T20" fmla="*/ 5190 w 8130"/>
                              <a:gd name="T21" fmla="*/ 4087 h 2700"/>
                              <a:gd name="T22" fmla="*/ 0 w 8130"/>
                              <a:gd name="T23" fmla="*/ 4087 h 2700"/>
                              <a:gd name="T24" fmla="*/ 0 w 8130"/>
                              <a:gd name="T25" fmla="*/ 4102 h 2700"/>
                              <a:gd name="T26" fmla="*/ 5190 w 8130"/>
                              <a:gd name="T27" fmla="*/ 4102 h 2700"/>
                              <a:gd name="T28" fmla="*/ 5190 w 8130"/>
                              <a:gd name="T29" fmla="*/ 4087 h 2700"/>
                              <a:gd name="T30" fmla="*/ 5190 w 8130"/>
                              <a:gd name="T31" fmla="*/ 3412 h 2700"/>
                              <a:gd name="T32" fmla="*/ 0 w 8130"/>
                              <a:gd name="T33" fmla="*/ 3412 h 2700"/>
                              <a:gd name="T34" fmla="*/ 0 w 8130"/>
                              <a:gd name="T35" fmla="*/ 3427 h 2700"/>
                              <a:gd name="T36" fmla="*/ 5190 w 8130"/>
                              <a:gd name="T37" fmla="*/ 3427 h 2700"/>
                              <a:gd name="T38" fmla="*/ 5190 w 8130"/>
                              <a:gd name="T39" fmla="*/ 3412 h 2700"/>
                              <a:gd name="T40" fmla="*/ 6810 w 8130"/>
                              <a:gd name="T41" fmla="*/ 4747 h 2700"/>
                              <a:gd name="T42" fmla="*/ 6195 w 8130"/>
                              <a:gd name="T43" fmla="*/ 4747 h 2700"/>
                              <a:gd name="T44" fmla="*/ 6195 w 8130"/>
                              <a:gd name="T45" fmla="*/ 4762 h 2700"/>
                              <a:gd name="T46" fmla="*/ 6810 w 8130"/>
                              <a:gd name="T47" fmla="*/ 4762 h 2700"/>
                              <a:gd name="T48" fmla="*/ 6810 w 8130"/>
                              <a:gd name="T49" fmla="*/ 4747 h 2700"/>
                              <a:gd name="T50" fmla="*/ 6810 w 8130"/>
                              <a:gd name="T51" fmla="*/ 4087 h 2700"/>
                              <a:gd name="T52" fmla="*/ 6195 w 8130"/>
                              <a:gd name="T53" fmla="*/ 4087 h 2700"/>
                              <a:gd name="T54" fmla="*/ 6195 w 8130"/>
                              <a:gd name="T55" fmla="*/ 4102 h 2700"/>
                              <a:gd name="T56" fmla="*/ 6810 w 8130"/>
                              <a:gd name="T57" fmla="*/ 4102 h 2700"/>
                              <a:gd name="T58" fmla="*/ 6810 w 8130"/>
                              <a:gd name="T59" fmla="*/ 4087 h 2700"/>
                              <a:gd name="T60" fmla="*/ 8130 w 8130"/>
                              <a:gd name="T61" fmla="*/ 5422 h 2700"/>
                              <a:gd name="T62" fmla="*/ 0 w 8130"/>
                              <a:gd name="T63" fmla="*/ 5422 h 2700"/>
                              <a:gd name="T64" fmla="*/ 0 w 8130"/>
                              <a:gd name="T65" fmla="*/ 5437 h 2700"/>
                              <a:gd name="T66" fmla="*/ 8130 w 8130"/>
                              <a:gd name="T67" fmla="*/ 5437 h 2700"/>
                              <a:gd name="T68" fmla="*/ 8130 w 8130"/>
                              <a:gd name="T69" fmla="*/ 5422 h 2700"/>
                              <a:gd name="T70" fmla="*/ 8130 w 8130"/>
                              <a:gd name="T71" fmla="*/ 4747 h 2700"/>
                              <a:gd name="T72" fmla="*/ 7815 w 8130"/>
                              <a:gd name="T73" fmla="*/ 4747 h 2700"/>
                              <a:gd name="T74" fmla="*/ 7815 w 8130"/>
                              <a:gd name="T75" fmla="*/ 4762 h 2700"/>
                              <a:gd name="T76" fmla="*/ 8130 w 8130"/>
                              <a:gd name="T77" fmla="*/ 4762 h 2700"/>
                              <a:gd name="T78" fmla="*/ 8130 w 8130"/>
                              <a:gd name="T79" fmla="*/ 4747 h 2700"/>
                              <a:gd name="T80" fmla="*/ 8130 w 8130"/>
                              <a:gd name="T81" fmla="*/ 4087 h 2700"/>
                              <a:gd name="T82" fmla="*/ 7815 w 8130"/>
                              <a:gd name="T83" fmla="*/ 4087 h 2700"/>
                              <a:gd name="T84" fmla="*/ 7815 w 8130"/>
                              <a:gd name="T85" fmla="*/ 4102 h 2700"/>
                              <a:gd name="T86" fmla="*/ 8130 w 8130"/>
                              <a:gd name="T87" fmla="*/ 4102 h 2700"/>
                              <a:gd name="T88" fmla="*/ 8130 w 8130"/>
                              <a:gd name="T89" fmla="*/ 4087 h 2700"/>
                              <a:gd name="T90" fmla="*/ 8130 w 8130"/>
                              <a:gd name="T91" fmla="*/ 3412 h 2700"/>
                              <a:gd name="T92" fmla="*/ 6195 w 8130"/>
                              <a:gd name="T93" fmla="*/ 3412 h 2700"/>
                              <a:gd name="T94" fmla="*/ 6195 w 8130"/>
                              <a:gd name="T95" fmla="*/ 3427 h 2700"/>
                              <a:gd name="T96" fmla="*/ 8130 w 8130"/>
                              <a:gd name="T97" fmla="*/ 3427 h 2700"/>
                              <a:gd name="T98" fmla="*/ 8130 w 8130"/>
                              <a:gd name="T99" fmla="*/ 3412 h 2700"/>
                              <a:gd name="T100" fmla="*/ 8130 w 8130"/>
                              <a:gd name="T101" fmla="*/ 2737 h 2700"/>
                              <a:gd name="T102" fmla="*/ 0 w 8130"/>
                              <a:gd name="T103" fmla="*/ 2737 h 2700"/>
                              <a:gd name="T104" fmla="*/ 0 w 8130"/>
                              <a:gd name="T105" fmla="*/ 2752 h 2700"/>
                              <a:gd name="T106" fmla="*/ 8130 w 8130"/>
                              <a:gd name="T107" fmla="*/ 2752 h 2700"/>
                              <a:gd name="T108" fmla="*/ 8130 w 8130"/>
                              <a:gd name="T109" fmla="*/ 2737 h 27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700">
                                <a:moveTo>
                                  <a:pt x="3570" y="2010"/>
                                </a:moveTo>
                                <a:lnTo>
                                  <a:pt x="0" y="2010"/>
                                </a:lnTo>
                                <a:lnTo>
                                  <a:pt x="0" y="2025"/>
                                </a:lnTo>
                                <a:lnTo>
                                  <a:pt x="3570" y="2025"/>
                                </a:lnTo>
                                <a:lnTo>
                                  <a:pt x="3570" y="2010"/>
                                </a:lnTo>
                                <a:close/>
                                <a:moveTo>
                                  <a:pt x="5190" y="2010"/>
                                </a:moveTo>
                                <a:lnTo>
                                  <a:pt x="4560" y="2010"/>
                                </a:lnTo>
                                <a:lnTo>
                                  <a:pt x="4560" y="2025"/>
                                </a:lnTo>
                                <a:lnTo>
                                  <a:pt x="5190" y="2025"/>
                                </a:lnTo>
                                <a:lnTo>
                                  <a:pt x="5190" y="2010"/>
                                </a:lnTo>
                                <a:close/>
                                <a:moveTo>
                                  <a:pt x="5190" y="1350"/>
                                </a:moveTo>
                                <a:lnTo>
                                  <a:pt x="0" y="1350"/>
                                </a:lnTo>
                                <a:lnTo>
                                  <a:pt x="0" y="1365"/>
                                </a:lnTo>
                                <a:lnTo>
                                  <a:pt x="5190" y="1365"/>
                                </a:lnTo>
                                <a:lnTo>
                                  <a:pt x="5190" y="1350"/>
                                </a:lnTo>
                                <a:close/>
                                <a:moveTo>
                                  <a:pt x="5190" y="675"/>
                                </a:moveTo>
                                <a:lnTo>
                                  <a:pt x="0" y="675"/>
                                </a:lnTo>
                                <a:lnTo>
                                  <a:pt x="0" y="690"/>
                                </a:lnTo>
                                <a:lnTo>
                                  <a:pt x="5190" y="690"/>
                                </a:lnTo>
                                <a:lnTo>
                                  <a:pt x="5190" y="675"/>
                                </a:lnTo>
                                <a:close/>
                                <a:moveTo>
                                  <a:pt x="6810" y="2010"/>
                                </a:moveTo>
                                <a:lnTo>
                                  <a:pt x="6195" y="2010"/>
                                </a:lnTo>
                                <a:lnTo>
                                  <a:pt x="6195" y="2025"/>
                                </a:lnTo>
                                <a:lnTo>
                                  <a:pt x="6810" y="2025"/>
                                </a:lnTo>
                                <a:lnTo>
                                  <a:pt x="6810" y="2010"/>
                                </a:lnTo>
                                <a:close/>
                                <a:moveTo>
                                  <a:pt x="6810" y="1350"/>
                                </a:moveTo>
                                <a:lnTo>
                                  <a:pt x="6195" y="1350"/>
                                </a:lnTo>
                                <a:lnTo>
                                  <a:pt x="6195" y="1365"/>
                                </a:lnTo>
                                <a:lnTo>
                                  <a:pt x="6810" y="1365"/>
                                </a:lnTo>
                                <a:lnTo>
                                  <a:pt x="6810" y="1350"/>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6195" y="675"/>
                                </a:lnTo>
                                <a:lnTo>
                                  <a:pt x="619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280052436" name="AutoShape 183"/>
                        <wps:cNvSpPr/>
                        <wps:spPr bwMode="auto">
                          <a:xfrm>
                            <a:off x="2069" y="3067"/>
                            <a:ext cx="8130" cy="2040"/>
                          </a:xfrm>
                          <a:custGeom>
                            <a:avLst/>
                            <a:gdLst>
                              <a:gd name="T0" fmla="*/ 3570 w 8130"/>
                              <a:gd name="T1" fmla="*/ 5092 h 2040"/>
                              <a:gd name="T2" fmla="*/ 0 w 8130"/>
                              <a:gd name="T3" fmla="*/ 5092 h 2040"/>
                              <a:gd name="T4" fmla="*/ 0 w 8130"/>
                              <a:gd name="T5" fmla="*/ 5107 h 2040"/>
                              <a:gd name="T6" fmla="*/ 3570 w 8130"/>
                              <a:gd name="T7" fmla="*/ 5107 h 2040"/>
                              <a:gd name="T8" fmla="*/ 3570 w 8130"/>
                              <a:gd name="T9" fmla="*/ 5092 h 2040"/>
                              <a:gd name="T10" fmla="*/ 5190 w 8130"/>
                              <a:gd name="T11" fmla="*/ 5092 h 2040"/>
                              <a:gd name="T12" fmla="*/ 4560 w 8130"/>
                              <a:gd name="T13" fmla="*/ 5092 h 2040"/>
                              <a:gd name="T14" fmla="*/ 4560 w 8130"/>
                              <a:gd name="T15" fmla="*/ 5107 h 2040"/>
                              <a:gd name="T16" fmla="*/ 5190 w 8130"/>
                              <a:gd name="T17" fmla="*/ 5107 h 2040"/>
                              <a:gd name="T18" fmla="*/ 5190 w 8130"/>
                              <a:gd name="T19" fmla="*/ 5092 h 2040"/>
                              <a:gd name="T20" fmla="*/ 5190 w 8130"/>
                              <a:gd name="T21" fmla="*/ 4417 h 2040"/>
                              <a:gd name="T22" fmla="*/ 0 w 8130"/>
                              <a:gd name="T23" fmla="*/ 4417 h 2040"/>
                              <a:gd name="T24" fmla="*/ 0 w 8130"/>
                              <a:gd name="T25" fmla="*/ 4432 h 2040"/>
                              <a:gd name="T26" fmla="*/ 5190 w 8130"/>
                              <a:gd name="T27" fmla="*/ 4432 h 2040"/>
                              <a:gd name="T28" fmla="*/ 5190 w 8130"/>
                              <a:gd name="T29" fmla="*/ 4417 h 2040"/>
                              <a:gd name="T30" fmla="*/ 5190 w 8130"/>
                              <a:gd name="T31" fmla="*/ 3742 h 2040"/>
                              <a:gd name="T32" fmla="*/ 0 w 8130"/>
                              <a:gd name="T33" fmla="*/ 3742 h 2040"/>
                              <a:gd name="T34" fmla="*/ 0 w 8130"/>
                              <a:gd name="T35" fmla="*/ 3757 h 2040"/>
                              <a:gd name="T36" fmla="*/ 5190 w 8130"/>
                              <a:gd name="T37" fmla="*/ 3757 h 2040"/>
                              <a:gd name="T38" fmla="*/ 5190 w 8130"/>
                              <a:gd name="T39" fmla="*/ 3742 h 2040"/>
                              <a:gd name="T40" fmla="*/ 6810 w 8130"/>
                              <a:gd name="T41" fmla="*/ 5092 h 2040"/>
                              <a:gd name="T42" fmla="*/ 6195 w 8130"/>
                              <a:gd name="T43" fmla="*/ 5092 h 2040"/>
                              <a:gd name="T44" fmla="*/ 6195 w 8130"/>
                              <a:gd name="T45" fmla="*/ 5107 h 2040"/>
                              <a:gd name="T46" fmla="*/ 6810 w 8130"/>
                              <a:gd name="T47" fmla="*/ 5107 h 2040"/>
                              <a:gd name="T48" fmla="*/ 6810 w 8130"/>
                              <a:gd name="T49" fmla="*/ 5092 h 2040"/>
                              <a:gd name="T50" fmla="*/ 6810 w 8130"/>
                              <a:gd name="T51" fmla="*/ 4417 h 2040"/>
                              <a:gd name="T52" fmla="*/ 6195 w 8130"/>
                              <a:gd name="T53" fmla="*/ 4417 h 2040"/>
                              <a:gd name="T54" fmla="*/ 6195 w 8130"/>
                              <a:gd name="T55" fmla="*/ 4432 h 2040"/>
                              <a:gd name="T56" fmla="*/ 6810 w 8130"/>
                              <a:gd name="T57" fmla="*/ 4432 h 2040"/>
                              <a:gd name="T58" fmla="*/ 6810 w 8130"/>
                              <a:gd name="T59" fmla="*/ 4417 h 2040"/>
                              <a:gd name="T60" fmla="*/ 8130 w 8130"/>
                              <a:gd name="T61" fmla="*/ 5092 h 2040"/>
                              <a:gd name="T62" fmla="*/ 7815 w 8130"/>
                              <a:gd name="T63" fmla="*/ 5092 h 2040"/>
                              <a:gd name="T64" fmla="*/ 7815 w 8130"/>
                              <a:gd name="T65" fmla="*/ 5107 h 2040"/>
                              <a:gd name="T66" fmla="*/ 8130 w 8130"/>
                              <a:gd name="T67" fmla="*/ 5107 h 2040"/>
                              <a:gd name="T68" fmla="*/ 8130 w 8130"/>
                              <a:gd name="T69" fmla="*/ 5092 h 2040"/>
                              <a:gd name="T70" fmla="*/ 8130 w 8130"/>
                              <a:gd name="T71" fmla="*/ 4417 h 2040"/>
                              <a:gd name="T72" fmla="*/ 7815 w 8130"/>
                              <a:gd name="T73" fmla="*/ 4417 h 2040"/>
                              <a:gd name="T74" fmla="*/ 7815 w 8130"/>
                              <a:gd name="T75" fmla="*/ 4432 h 2040"/>
                              <a:gd name="T76" fmla="*/ 8130 w 8130"/>
                              <a:gd name="T77" fmla="*/ 4432 h 2040"/>
                              <a:gd name="T78" fmla="*/ 8130 w 8130"/>
                              <a:gd name="T79" fmla="*/ 4417 h 2040"/>
                              <a:gd name="T80" fmla="*/ 8130 w 8130"/>
                              <a:gd name="T81" fmla="*/ 3742 h 2040"/>
                              <a:gd name="T82" fmla="*/ 6195 w 8130"/>
                              <a:gd name="T83" fmla="*/ 3742 h 2040"/>
                              <a:gd name="T84" fmla="*/ 6195 w 8130"/>
                              <a:gd name="T85" fmla="*/ 3757 h 2040"/>
                              <a:gd name="T86" fmla="*/ 8130 w 8130"/>
                              <a:gd name="T87" fmla="*/ 3757 h 2040"/>
                              <a:gd name="T88" fmla="*/ 8130 w 8130"/>
                              <a:gd name="T89" fmla="*/ 3742 h 2040"/>
                              <a:gd name="T90" fmla="*/ 8130 w 8130"/>
                              <a:gd name="T91" fmla="*/ 3067 h 2040"/>
                              <a:gd name="T92" fmla="*/ 0 w 8130"/>
                              <a:gd name="T93" fmla="*/ 3067 h 2040"/>
                              <a:gd name="T94" fmla="*/ 0 w 8130"/>
                              <a:gd name="T95" fmla="*/ 3082 h 2040"/>
                              <a:gd name="T96" fmla="*/ 8130 w 8130"/>
                              <a:gd name="T97" fmla="*/ 3082 h 2040"/>
                              <a:gd name="T98" fmla="*/ 8130 w 8130"/>
                              <a:gd name="T99" fmla="*/ 3067 h 20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30" h="2040">
                                <a:moveTo>
                                  <a:pt x="3570" y="2025"/>
                                </a:moveTo>
                                <a:lnTo>
                                  <a:pt x="0" y="2025"/>
                                </a:lnTo>
                                <a:lnTo>
                                  <a:pt x="0" y="2040"/>
                                </a:lnTo>
                                <a:lnTo>
                                  <a:pt x="3570" y="2040"/>
                                </a:lnTo>
                                <a:lnTo>
                                  <a:pt x="3570" y="2025"/>
                                </a:lnTo>
                                <a:close/>
                                <a:moveTo>
                                  <a:pt x="5190" y="2025"/>
                                </a:moveTo>
                                <a:lnTo>
                                  <a:pt x="4560" y="2025"/>
                                </a:lnTo>
                                <a:lnTo>
                                  <a:pt x="4560" y="2040"/>
                                </a:lnTo>
                                <a:lnTo>
                                  <a:pt x="5190" y="2040"/>
                                </a:lnTo>
                                <a:lnTo>
                                  <a:pt x="5190" y="2025"/>
                                </a:lnTo>
                                <a:close/>
                                <a:moveTo>
                                  <a:pt x="5190" y="1350"/>
                                </a:moveTo>
                                <a:lnTo>
                                  <a:pt x="0" y="1350"/>
                                </a:lnTo>
                                <a:lnTo>
                                  <a:pt x="0" y="1365"/>
                                </a:lnTo>
                                <a:lnTo>
                                  <a:pt x="5190" y="1365"/>
                                </a:lnTo>
                                <a:lnTo>
                                  <a:pt x="5190" y="1350"/>
                                </a:lnTo>
                                <a:close/>
                                <a:moveTo>
                                  <a:pt x="5190" y="675"/>
                                </a:moveTo>
                                <a:lnTo>
                                  <a:pt x="0" y="675"/>
                                </a:lnTo>
                                <a:lnTo>
                                  <a:pt x="0" y="690"/>
                                </a:lnTo>
                                <a:lnTo>
                                  <a:pt x="5190" y="690"/>
                                </a:lnTo>
                                <a:lnTo>
                                  <a:pt x="5190" y="675"/>
                                </a:lnTo>
                                <a:close/>
                                <a:moveTo>
                                  <a:pt x="6810" y="2025"/>
                                </a:moveTo>
                                <a:lnTo>
                                  <a:pt x="6195" y="2025"/>
                                </a:lnTo>
                                <a:lnTo>
                                  <a:pt x="6195" y="2040"/>
                                </a:lnTo>
                                <a:lnTo>
                                  <a:pt x="6810" y="2040"/>
                                </a:lnTo>
                                <a:lnTo>
                                  <a:pt x="6810" y="2025"/>
                                </a:lnTo>
                                <a:close/>
                                <a:moveTo>
                                  <a:pt x="6810" y="1350"/>
                                </a:moveTo>
                                <a:lnTo>
                                  <a:pt x="6195" y="1350"/>
                                </a:lnTo>
                                <a:lnTo>
                                  <a:pt x="6195" y="1365"/>
                                </a:lnTo>
                                <a:lnTo>
                                  <a:pt x="6810" y="1365"/>
                                </a:lnTo>
                                <a:lnTo>
                                  <a:pt x="6810" y="1350"/>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6195" y="675"/>
                                </a:lnTo>
                                <a:lnTo>
                                  <a:pt x="619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260446299" name="AutoShape 182"/>
                        <wps:cNvSpPr/>
                        <wps:spPr bwMode="auto">
                          <a:xfrm>
                            <a:off x="2384" y="5242"/>
                            <a:ext cx="2625" cy="180"/>
                          </a:xfrm>
                          <a:custGeom>
                            <a:avLst/>
                            <a:gdLst>
                              <a:gd name="T0" fmla="*/ 1005 w 2625"/>
                              <a:gd name="T1" fmla="*/ 5302 h 180"/>
                              <a:gd name="T2" fmla="*/ 0 w 2625"/>
                              <a:gd name="T3" fmla="*/ 5302 h 180"/>
                              <a:gd name="T4" fmla="*/ 0 w 2625"/>
                              <a:gd name="T5" fmla="*/ 5422 h 180"/>
                              <a:gd name="T6" fmla="*/ 1005 w 2625"/>
                              <a:gd name="T7" fmla="*/ 5422 h 180"/>
                              <a:gd name="T8" fmla="*/ 1005 w 2625"/>
                              <a:gd name="T9" fmla="*/ 5302 h 180"/>
                              <a:gd name="T10" fmla="*/ 2625 w 2625"/>
                              <a:gd name="T11" fmla="*/ 5242 h 180"/>
                              <a:gd name="T12" fmla="*/ 1620 w 2625"/>
                              <a:gd name="T13" fmla="*/ 5242 h 180"/>
                              <a:gd name="T14" fmla="*/ 1620 w 2625"/>
                              <a:gd name="T15" fmla="*/ 5422 h 180"/>
                              <a:gd name="T16" fmla="*/ 2625 w 2625"/>
                              <a:gd name="T17" fmla="*/ 5422 h 180"/>
                              <a:gd name="T18" fmla="*/ 2625 w 2625"/>
                              <a:gd name="T19" fmla="*/ 5242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25" h="180">
                                <a:moveTo>
                                  <a:pt x="1005" y="60"/>
                                </a:moveTo>
                                <a:lnTo>
                                  <a:pt x="0" y="60"/>
                                </a:lnTo>
                                <a:lnTo>
                                  <a:pt x="0" y="180"/>
                                </a:lnTo>
                                <a:lnTo>
                                  <a:pt x="1005" y="180"/>
                                </a:lnTo>
                                <a:lnTo>
                                  <a:pt x="1005" y="60"/>
                                </a:lnTo>
                                <a:close/>
                                <a:moveTo>
                                  <a:pt x="2625" y="0"/>
                                </a:moveTo>
                                <a:lnTo>
                                  <a:pt x="1620" y="0"/>
                                </a:lnTo>
                                <a:lnTo>
                                  <a:pt x="1620" y="180"/>
                                </a:lnTo>
                                <a:lnTo>
                                  <a:pt x="2625" y="180"/>
                                </a:lnTo>
                                <a:lnTo>
                                  <a:pt x="2625" y="0"/>
                                </a:lnTo>
                                <a:close/>
                              </a:path>
                            </a:pathLst>
                          </a:custGeom>
                          <a:solidFill>
                            <a:srgbClr val="663AB6"/>
                          </a:solidFill>
                          <a:ln>
                            <a:noFill/>
                          </a:ln>
                          <a:effectLst/>
                        </wps:spPr>
                        <wps:bodyPr rot="0" vert="horz" wrap="square" lIns="91440" tIns="45720" rIns="91440" bIns="45720" anchor="t" anchorCtr="0" upright="1">
                          <a:noAutofit/>
                        </wps:bodyPr>
                      </wps:wsp>
                      <wps:wsp>
                        <wps:cNvPr id="1986680149" name="Rectangle 181"/>
                        <wps:cNvSpPr>
                          <a:spLocks noChangeArrowheads="1"/>
                        </wps:cNvSpPr>
                        <wps:spPr bwMode="auto">
                          <a:xfrm>
                            <a:off x="2070" y="542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1215933831" name="AutoShape 180"/>
                        <wps:cNvSpPr/>
                        <wps:spPr bwMode="auto">
                          <a:xfrm>
                            <a:off x="2879" y="5062"/>
                            <a:ext cx="1635" cy="240"/>
                          </a:xfrm>
                          <a:custGeom>
                            <a:avLst/>
                            <a:gdLst>
                              <a:gd name="T0" fmla="*/ 15 w 1635"/>
                              <a:gd name="T1" fmla="*/ 5122 h 240"/>
                              <a:gd name="T2" fmla="*/ 0 w 1635"/>
                              <a:gd name="T3" fmla="*/ 5122 h 240"/>
                              <a:gd name="T4" fmla="*/ 0 w 1635"/>
                              <a:gd name="T5" fmla="*/ 5302 h 240"/>
                              <a:gd name="T6" fmla="*/ 15 w 1635"/>
                              <a:gd name="T7" fmla="*/ 5302 h 240"/>
                              <a:gd name="T8" fmla="*/ 15 w 1635"/>
                              <a:gd name="T9" fmla="*/ 5122 h 240"/>
                              <a:gd name="T10" fmla="*/ 1635 w 1635"/>
                              <a:gd name="T11" fmla="*/ 5062 h 240"/>
                              <a:gd name="T12" fmla="*/ 1620 w 1635"/>
                              <a:gd name="T13" fmla="*/ 5062 h 240"/>
                              <a:gd name="T14" fmla="*/ 1620 w 1635"/>
                              <a:gd name="T15" fmla="*/ 5242 h 240"/>
                              <a:gd name="T16" fmla="*/ 1635 w 1635"/>
                              <a:gd name="T17" fmla="*/ 5242 h 240"/>
                              <a:gd name="T18" fmla="*/ 1635 w 1635"/>
                              <a:gd name="T19" fmla="*/ 5062 h 2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5" h="240">
                                <a:moveTo>
                                  <a:pt x="15" y="60"/>
                                </a:moveTo>
                                <a:lnTo>
                                  <a:pt x="0" y="60"/>
                                </a:lnTo>
                                <a:lnTo>
                                  <a:pt x="0" y="240"/>
                                </a:lnTo>
                                <a:lnTo>
                                  <a:pt x="15" y="240"/>
                                </a:lnTo>
                                <a:lnTo>
                                  <a:pt x="15" y="60"/>
                                </a:lnTo>
                                <a:close/>
                                <a:moveTo>
                                  <a:pt x="1635" y="0"/>
                                </a:moveTo>
                                <a:lnTo>
                                  <a:pt x="1620" y="0"/>
                                </a:lnTo>
                                <a:lnTo>
                                  <a:pt x="1620" y="180"/>
                                </a:lnTo>
                                <a:lnTo>
                                  <a:pt x="1635" y="180"/>
                                </a:lnTo>
                                <a:lnTo>
                                  <a:pt x="1635" y="0"/>
                                </a:lnTo>
                                <a:close/>
                              </a:path>
                            </a:pathLst>
                          </a:custGeom>
                          <a:solidFill>
                            <a:srgbClr val="999999"/>
                          </a:solidFill>
                          <a:ln>
                            <a:noFill/>
                          </a:ln>
                          <a:effectLst/>
                        </wps:spPr>
                        <wps:bodyPr rot="0" vert="horz" wrap="square" lIns="91440" tIns="45720" rIns="91440" bIns="45720" anchor="t" anchorCtr="0" upright="1">
                          <a:noAutofit/>
                        </wps:bodyPr>
                      </wps:wsp>
                      <wps:wsp>
                        <wps:cNvPr id="765981475" name="AutoShape 179"/>
                        <wps:cNvSpPr/>
                        <wps:spPr bwMode="auto">
                          <a:xfrm>
                            <a:off x="2545" y="4903"/>
                            <a:ext cx="2214" cy="229"/>
                          </a:xfrm>
                          <a:custGeom>
                            <a:avLst/>
                            <a:gdLst>
                              <a:gd name="T0" fmla="*/ 17 w 2214"/>
                              <a:gd name="T1" fmla="*/ 5061 h 229"/>
                              <a:gd name="T2" fmla="*/ 67 w 2214"/>
                              <a:gd name="T3" fmla="*/ 4989 h 229"/>
                              <a:gd name="T4" fmla="*/ 19 w 2214"/>
                              <a:gd name="T5" fmla="*/ 5004 h 229"/>
                              <a:gd name="T6" fmla="*/ 74 w 2214"/>
                              <a:gd name="T7" fmla="*/ 4976 h 229"/>
                              <a:gd name="T8" fmla="*/ 67 w 2214"/>
                              <a:gd name="T9" fmla="*/ 5038 h 229"/>
                              <a:gd name="T10" fmla="*/ 187 w 2214"/>
                              <a:gd name="T11" fmla="*/ 5133 h 229"/>
                              <a:gd name="T12" fmla="*/ 157 w 2214"/>
                              <a:gd name="T13" fmla="*/ 5028 h 229"/>
                              <a:gd name="T14" fmla="*/ 184 w 2214"/>
                              <a:gd name="T15" fmla="*/ 4990 h 229"/>
                              <a:gd name="T16" fmla="*/ 198 w 2214"/>
                              <a:gd name="T17" fmla="*/ 5133 h 229"/>
                              <a:gd name="T18" fmla="*/ 222 w 2214"/>
                              <a:gd name="T19" fmla="*/ 5067 h 229"/>
                              <a:gd name="T20" fmla="*/ 279 w 2214"/>
                              <a:gd name="T21" fmla="*/ 4995 h 229"/>
                              <a:gd name="T22" fmla="*/ 230 w 2214"/>
                              <a:gd name="T23" fmla="*/ 4996 h 229"/>
                              <a:gd name="T24" fmla="*/ 277 w 2214"/>
                              <a:gd name="T25" fmla="*/ 4969 h 229"/>
                              <a:gd name="T26" fmla="*/ 282 w 2214"/>
                              <a:gd name="T27" fmla="*/ 5032 h 229"/>
                              <a:gd name="T28" fmla="*/ 295 w 2214"/>
                              <a:gd name="T29" fmla="*/ 5080 h 229"/>
                              <a:gd name="T30" fmla="*/ 441 w 2214"/>
                              <a:gd name="T31" fmla="*/ 4987 h 229"/>
                              <a:gd name="T32" fmla="*/ 398 w 2214"/>
                              <a:gd name="T33" fmla="*/ 5095 h 229"/>
                              <a:gd name="T34" fmla="*/ 415 w 2214"/>
                              <a:gd name="T35" fmla="*/ 4998 h 229"/>
                              <a:gd name="T36" fmla="*/ 492 w 2214"/>
                              <a:gd name="T37" fmla="*/ 4964 h 229"/>
                              <a:gd name="T38" fmla="*/ 507 w 2214"/>
                              <a:gd name="T39" fmla="*/ 5029 h 229"/>
                              <a:gd name="T40" fmla="*/ 489 w 2214"/>
                              <a:gd name="T41" fmla="*/ 4975 h 229"/>
                              <a:gd name="T42" fmla="*/ 489 w 2214"/>
                              <a:gd name="T43" fmla="*/ 5021 h 229"/>
                              <a:gd name="T44" fmla="*/ 503 w 2214"/>
                              <a:gd name="T45" fmla="*/ 4980 h 229"/>
                              <a:gd name="T46" fmla="*/ 549 w 2214"/>
                              <a:gd name="T47" fmla="*/ 5055 h 229"/>
                              <a:gd name="T48" fmla="*/ 604 w 2214"/>
                              <a:gd name="T49" fmla="*/ 5054 h 229"/>
                              <a:gd name="T50" fmla="*/ 557 w 2214"/>
                              <a:gd name="T51" fmla="*/ 5091 h 229"/>
                              <a:gd name="T52" fmla="*/ 563 w 2214"/>
                              <a:gd name="T53" fmla="*/ 5066 h 229"/>
                              <a:gd name="T54" fmla="*/ 589 w 2214"/>
                              <a:gd name="T55" fmla="*/ 5080 h 229"/>
                              <a:gd name="T56" fmla="*/ 626 w 2214"/>
                              <a:gd name="T57" fmla="*/ 5133 h 229"/>
                              <a:gd name="T58" fmla="*/ 640 w 2214"/>
                              <a:gd name="T59" fmla="*/ 4990 h 229"/>
                              <a:gd name="T60" fmla="*/ 667 w 2214"/>
                              <a:gd name="T61" fmla="*/ 5028 h 229"/>
                              <a:gd name="T62" fmla="*/ 637 w 2214"/>
                              <a:gd name="T63" fmla="*/ 5133 h 229"/>
                              <a:gd name="T64" fmla="*/ 1752 w 2214"/>
                              <a:gd name="T65" fmla="*/ 5021 h 229"/>
                              <a:gd name="T66" fmla="*/ 1740 w 2214"/>
                              <a:gd name="T67" fmla="*/ 4972 h 229"/>
                              <a:gd name="T68" fmla="*/ 1751 w 2214"/>
                              <a:gd name="T69" fmla="*/ 4955 h 229"/>
                              <a:gd name="T70" fmla="*/ 1732 w 2214"/>
                              <a:gd name="T71" fmla="*/ 4918 h 229"/>
                              <a:gd name="T72" fmla="*/ 1719 w 2214"/>
                              <a:gd name="T73" fmla="*/ 4908 h 229"/>
                              <a:gd name="T74" fmla="*/ 1776 w 2214"/>
                              <a:gd name="T75" fmla="*/ 4933 h 229"/>
                              <a:gd name="T76" fmla="*/ 1776 w 2214"/>
                              <a:gd name="T77" fmla="*/ 4976 h 229"/>
                              <a:gd name="T78" fmla="*/ 1727 w 2214"/>
                              <a:gd name="T79" fmla="*/ 5037 h 229"/>
                              <a:gd name="T80" fmla="*/ 1860 w 2214"/>
                              <a:gd name="T81" fmla="*/ 5034 h 229"/>
                              <a:gd name="T82" fmla="*/ 1868 w 2214"/>
                              <a:gd name="T83" fmla="*/ 4926 h 229"/>
                              <a:gd name="T84" fmla="*/ 1868 w 2214"/>
                              <a:gd name="T85" fmla="*/ 4966 h 229"/>
                              <a:gd name="T86" fmla="*/ 1902 w 2214"/>
                              <a:gd name="T87" fmla="*/ 5004 h 229"/>
                              <a:gd name="T88" fmla="*/ 1958 w 2214"/>
                              <a:gd name="T89" fmla="*/ 4990 h 229"/>
                              <a:gd name="T90" fmla="*/ 2038 w 2214"/>
                              <a:gd name="T91" fmla="*/ 4904 h 229"/>
                              <a:gd name="T92" fmla="*/ 2052 w 2214"/>
                              <a:gd name="T93" fmla="*/ 4969 h 229"/>
                              <a:gd name="T94" fmla="*/ 2034 w 2214"/>
                              <a:gd name="T95" fmla="*/ 4915 h 229"/>
                              <a:gd name="T96" fmla="*/ 2034 w 2214"/>
                              <a:gd name="T97" fmla="*/ 4961 h 229"/>
                              <a:gd name="T98" fmla="*/ 2048 w 2214"/>
                              <a:gd name="T99" fmla="*/ 4920 h 229"/>
                              <a:gd name="T100" fmla="*/ 2094 w 2214"/>
                              <a:gd name="T101" fmla="*/ 4995 h 229"/>
                              <a:gd name="T102" fmla="*/ 2149 w 2214"/>
                              <a:gd name="T103" fmla="*/ 4994 h 229"/>
                              <a:gd name="T104" fmla="*/ 2102 w 2214"/>
                              <a:gd name="T105" fmla="*/ 5031 h 229"/>
                              <a:gd name="T106" fmla="*/ 2108 w 2214"/>
                              <a:gd name="T107" fmla="*/ 5006 h 229"/>
                              <a:gd name="T108" fmla="*/ 2134 w 2214"/>
                              <a:gd name="T109" fmla="*/ 5020 h 229"/>
                              <a:gd name="T110" fmla="*/ 2171 w 2214"/>
                              <a:gd name="T111" fmla="*/ 5073 h 229"/>
                              <a:gd name="T112" fmla="*/ 2185 w 2214"/>
                              <a:gd name="T113" fmla="*/ 4930 h 229"/>
                              <a:gd name="T114" fmla="*/ 2212 w 2214"/>
                              <a:gd name="T115" fmla="*/ 4968 h 229"/>
                              <a:gd name="T116" fmla="*/ 2182 w 2214"/>
                              <a:gd name="T117" fmla="*/ 5073 h 22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14" h="229">
                                <a:moveTo>
                                  <a:pt x="85" y="176"/>
                                </a:moveTo>
                                <a:lnTo>
                                  <a:pt x="85" y="191"/>
                                </a:lnTo>
                                <a:lnTo>
                                  <a:pt x="0" y="191"/>
                                </a:lnTo>
                                <a:lnTo>
                                  <a:pt x="0" y="187"/>
                                </a:lnTo>
                                <a:lnTo>
                                  <a:pt x="1" y="183"/>
                                </a:lnTo>
                                <a:lnTo>
                                  <a:pt x="2" y="180"/>
                                </a:lnTo>
                                <a:lnTo>
                                  <a:pt x="4" y="174"/>
                                </a:lnTo>
                                <a:lnTo>
                                  <a:pt x="8" y="168"/>
                                </a:lnTo>
                                <a:lnTo>
                                  <a:pt x="12" y="163"/>
                                </a:lnTo>
                                <a:lnTo>
                                  <a:pt x="17" y="157"/>
                                </a:lnTo>
                                <a:lnTo>
                                  <a:pt x="24" y="151"/>
                                </a:lnTo>
                                <a:lnTo>
                                  <a:pt x="33" y="143"/>
                                </a:lnTo>
                                <a:lnTo>
                                  <a:pt x="47" y="132"/>
                                </a:lnTo>
                                <a:lnTo>
                                  <a:pt x="57" y="123"/>
                                </a:lnTo>
                                <a:lnTo>
                                  <a:pt x="61" y="116"/>
                                </a:lnTo>
                                <a:lnTo>
                                  <a:pt x="66" y="109"/>
                                </a:lnTo>
                                <a:lnTo>
                                  <a:pt x="69" y="103"/>
                                </a:lnTo>
                                <a:lnTo>
                                  <a:pt x="69" y="97"/>
                                </a:lnTo>
                                <a:lnTo>
                                  <a:pt x="69" y="91"/>
                                </a:lnTo>
                                <a:lnTo>
                                  <a:pt x="67" y="85"/>
                                </a:lnTo>
                                <a:lnTo>
                                  <a:pt x="62" y="81"/>
                                </a:lnTo>
                                <a:lnTo>
                                  <a:pt x="58" y="77"/>
                                </a:lnTo>
                                <a:lnTo>
                                  <a:pt x="52" y="75"/>
                                </a:lnTo>
                                <a:lnTo>
                                  <a:pt x="45" y="75"/>
                                </a:lnTo>
                                <a:lnTo>
                                  <a:pt x="37" y="75"/>
                                </a:lnTo>
                                <a:lnTo>
                                  <a:pt x="31" y="77"/>
                                </a:lnTo>
                                <a:lnTo>
                                  <a:pt x="26" y="81"/>
                                </a:lnTo>
                                <a:lnTo>
                                  <a:pt x="22" y="86"/>
                                </a:lnTo>
                                <a:lnTo>
                                  <a:pt x="19" y="92"/>
                                </a:lnTo>
                                <a:lnTo>
                                  <a:pt x="19" y="100"/>
                                </a:lnTo>
                                <a:lnTo>
                                  <a:pt x="3" y="99"/>
                                </a:lnTo>
                                <a:lnTo>
                                  <a:pt x="4" y="87"/>
                                </a:lnTo>
                                <a:lnTo>
                                  <a:pt x="8" y="77"/>
                                </a:lnTo>
                                <a:lnTo>
                                  <a:pt x="16" y="71"/>
                                </a:lnTo>
                                <a:lnTo>
                                  <a:pt x="23" y="65"/>
                                </a:lnTo>
                                <a:lnTo>
                                  <a:pt x="33" y="61"/>
                                </a:lnTo>
                                <a:lnTo>
                                  <a:pt x="45" y="61"/>
                                </a:lnTo>
                                <a:lnTo>
                                  <a:pt x="57" y="61"/>
                                </a:lnTo>
                                <a:lnTo>
                                  <a:pt x="67" y="65"/>
                                </a:lnTo>
                                <a:lnTo>
                                  <a:pt x="74" y="72"/>
                                </a:lnTo>
                                <a:lnTo>
                                  <a:pt x="82" y="79"/>
                                </a:lnTo>
                                <a:lnTo>
                                  <a:pt x="85" y="87"/>
                                </a:lnTo>
                                <a:lnTo>
                                  <a:pt x="85" y="97"/>
                                </a:lnTo>
                                <a:lnTo>
                                  <a:pt x="85" y="102"/>
                                </a:lnTo>
                                <a:lnTo>
                                  <a:pt x="84" y="107"/>
                                </a:lnTo>
                                <a:lnTo>
                                  <a:pt x="82" y="112"/>
                                </a:lnTo>
                                <a:lnTo>
                                  <a:pt x="80" y="117"/>
                                </a:lnTo>
                                <a:lnTo>
                                  <a:pt x="76" y="123"/>
                                </a:lnTo>
                                <a:lnTo>
                                  <a:pt x="71" y="128"/>
                                </a:lnTo>
                                <a:lnTo>
                                  <a:pt x="67" y="134"/>
                                </a:lnTo>
                                <a:lnTo>
                                  <a:pt x="58" y="141"/>
                                </a:lnTo>
                                <a:lnTo>
                                  <a:pt x="47" y="151"/>
                                </a:lnTo>
                                <a:lnTo>
                                  <a:pt x="38" y="159"/>
                                </a:lnTo>
                                <a:lnTo>
                                  <a:pt x="31" y="164"/>
                                </a:lnTo>
                                <a:lnTo>
                                  <a:pt x="29" y="167"/>
                                </a:lnTo>
                                <a:lnTo>
                                  <a:pt x="26" y="170"/>
                                </a:lnTo>
                                <a:lnTo>
                                  <a:pt x="24" y="173"/>
                                </a:lnTo>
                                <a:lnTo>
                                  <a:pt x="22" y="176"/>
                                </a:lnTo>
                                <a:lnTo>
                                  <a:pt x="85" y="176"/>
                                </a:lnTo>
                                <a:close/>
                                <a:moveTo>
                                  <a:pt x="187" y="229"/>
                                </a:moveTo>
                                <a:lnTo>
                                  <a:pt x="181" y="220"/>
                                </a:lnTo>
                                <a:lnTo>
                                  <a:pt x="175" y="211"/>
                                </a:lnTo>
                                <a:lnTo>
                                  <a:pt x="170" y="201"/>
                                </a:lnTo>
                                <a:lnTo>
                                  <a:pt x="165" y="190"/>
                                </a:lnTo>
                                <a:lnTo>
                                  <a:pt x="161" y="179"/>
                                </a:lnTo>
                                <a:lnTo>
                                  <a:pt x="158" y="168"/>
                                </a:lnTo>
                                <a:lnTo>
                                  <a:pt x="156" y="156"/>
                                </a:lnTo>
                                <a:lnTo>
                                  <a:pt x="156" y="144"/>
                                </a:lnTo>
                                <a:lnTo>
                                  <a:pt x="156" y="134"/>
                                </a:lnTo>
                                <a:lnTo>
                                  <a:pt x="157" y="124"/>
                                </a:lnTo>
                                <a:lnTo>
                                  <a:pt x="160" y="114"/>
                                </a:lnTo>
                                <a:lnTo>
                                  <a:pt x="162" y="104"/>
                                </a:lnTo>
                                <a:lnTo>
                                  <a:pt x="167" y="93"/>
                                </a:lnTo>
                                <a:lnTo>
                                  <a:pt x="173" y="82"/>
                                </a:lnTo>
                                <a:lnTo>
                                  <a:pt x="179" y="71"/>
                                </a:lnTo>
                                <a:lnTo>
                                  <a:pt x="187" y="60"/>
                                </a:lnTo>
                                <a:lnTo>
                                  <a:pt x="198" y="60"/>
                                </a:lnTo>
                                <a:lnTo>
                                  <a:pt x="191" y="72"/>
                                </a:lnTo>
                                <a:lnTo>
                                  <a:pt x="186" y="81"/>
                                </a:lnTo>
                                <a:lnTo>
                                  <a:pt x="184" y="86"/>
                                </a:lnTo>
                                <a:lnTo>
                                  <a:pt x="181" y="94"/>
                                </a:lnTo>
                                <a:lnTo>
                                  <a:pt x="178" y="102"/>
                                </a:lnTo>
                                <a:lnTo>
                                  <a:pt x="176" y="111"/>
                                </a:lnTo>
                                <a:lnTo>
                                  <a:pt x="173" y="122"/>
                                </a:lnTo>
                                <a:lnTo>
                                  <a:pt x="172" y="133"/>
                                </a:lnTo>
                                <a:lnTo>
                                  <a:pt x="172" y="144"/>
                                </a:lnTo>
                                <a:lnTo>
                                  <a:pt x="174" y="165"/>
                                </a:lnTo>
                                <a:lnTo>
                                  <a:pt x="179" y="187"/>
                                </a:lnTo>
                                <a:lnTo>
                                  <a:pt x="187" y="208"/>
                                </a:lnTo>
                                <a:lnTo>
                                  <a:pt x="198" y="229"/>
                                </a:lnTo>
                                <a:lnTo>
                                  <a:pt x="187" y="229"/>
                                </a:lnTo>
                                <a:close/>
                                <a:moveTo>
                                  <a:pt x="295" y="176"/>
                                </a:moveTo>
                                <a:lnTo>
                                  <a:pt x="295" y="191"/>
                                </a:lnTo>
                                <a:lnTo>
                                  <a:pt x="210" y="191"/>
                                </a:lnTo>
                                <a:lnTo>
                                  <a:pt x="210" y="187"/>
                                </a:lnTo>
                                <a:lnTo>
                                  <a:pt x="211" y="183"/>
                                </a:lnTo>
                                <a:lnTo>
                                  <a:pt x="212" y="180"/>
                                </a:lnTo>
                                <a:lnTo>
                                  <a:pt x="214" y="174"/>
                                </a:lnTo>
                                <a:lnTo>
                                  <a:pt x="218" y="168"/>
                                </a:lnTo>
                                <a:lnTo>
                                  <a:pt x="222" y="163"/>
                                </a:lnTo>
                                <a:lnTo>
                                  <a:pt x="227" y="157"/>
                                </a:lnTo>
                                <a:lnTo>
                                  <a:pt x="234" y="151"/>
                                </a:lnTo>
                                <a:lnTo>
                                  <a:pt x="243" y="143"/>
                                </a:lnTo>
                                <a:lnTo>
                                  <a:pt x="257" y="132"/>
                                </a:lnTo>
                                <a:lnTo>
                                  <a:pt x="267" y="123"/>
                                </a:lnTo>
                                <a:lnTo>
                                  <a:pt x="272" y="116"/>
                                </a:lnTo>
                                <a:lnTo>
                                  <a:pt x="276" y="109"/>
                                </a:lnTo>
                                <a:lnTo>
                                  <a:pt x="279" y="103"/>
                                </a:lnTo>
                                <a:lnTo>
                                  <a:pt x="279" y="97"/>
                                </a:lnTo>
                                <a:lnTo>
                                  <a:pt x="279" y="91"/>
                                </a:lnTo>
                                <a:lnTo>
                                  <a:pt x="277" y="85"/>
                                </a:lnTo>
                                <a:lnTo>
                                  <a:pt x="272" y="81"/>
                                </a:lnTo>
                                <a:lnTo>
                                  <a:pt x="268" y="77"/>
                                </a:lnTo>
                                <a:lnTo>
                                  <a:pt x="262" y="75"/>
                                </a:lnTo>
                                <a:lnTo>
                                  <a:pt x="255" y="75"/>
                                </a:lnTo>
                                <a:lnTo>
                                  <a:pt x="247" y="75"/>
                                </a:lnTo>
                                <a:lnTo>
                                  <a:pt x="241" y="77"/>
                                </a:lnTo>
                                <a:lnTo>
                                  <a:pt x="236" y="81"/>
                                </a:lnTo>
                                <a:lnTo>
                                  <a:pt x="232" y="86"/>
                                </a:lnTo>
                                <a:lnTo>
                                  <a:pt x="230" y="92"/>
                                </a:lnTo>
                                <a:lnTo>
                                  <a:pt x="229" y="100"/>
                                </a:lnTo>
                                <a:lnTo>
                                  <a:pt x="213" y="99"/>
                                </a:lnTo>
                                <a:lnTo>
                                  <a:pt x="214" y="87"/>
                                </a:lnTo>
                                <a:lnTo>
                                  <a:pt x="218" y="77"/>
                                </a:lnTo>
                                <a:lnTo>
                                  <a:pt x="226" y="71"/>
                                </a:lnTo>
                                <a:lnTo>
                                  <a:pt x="233" y="65"/>
                                </a:lnTo>
                                <a:lnTo>
                                  <a:pt x="243" y="61"/>
                                </a:lnTo>
                                <a:lnTo>
                                  <a:pt x="255" y="61"/>
                                </a:lnTo>
                                <a:lnTo>
                                  <a:pt x="267" y="61"/>
                                </a:lnTo>
                                <a:lnTo>
                                  <a:pt x="277" y="65"/>
                                </a:lnTo>
                                <a:lnTo>
                                  <a:pt x="284" y="72"/>
                                </a:lnTo>
                                <a:lnTo>
                                  <a:pt x="292" y="79"/>
                                </a:lnTo>
                                <a:lnTo>
                                  <a:pt x="295" y="87"/>
                                </a:lnTo>
                                <a:lnTo>
                                  <a:pt x="295" y="97"/>
                                </a:lnTo>
                                <a:lnTo>
                                  <a:pt x="295" y="102"/>
                                </a:lnTo>
                                <a:lnTo>
                                  <a:pt x="294" y="107"/>
                                </a:lnTo>
                                <a:lnTo>
                                  <a:pt x="292" y="112"/>
                                </a:lnTo>
                                <a:lnTo>
                                  <a:pt x="290" y="117"/>
                                </a:lnTo>
                                <a:lnTo>
                                  <a:pt x="286" y="123"/>
                                </a:lnTo>
                                <a:lnTo>
                                  <a:pt x="282" y="128"/>
                                </a:lnTo>
                                <a:lnTo>
                                  <a:pt x="277" y="134"/>
                                </a:lnTo>
                                <a:lnTo>
                                  <a:pt x="268" y="141"/>
                                </a:lnTo>
                                <a:lnTo>
                                  <a:pt x="257" y="151"/>
                                </a:lnTo>
                                <a:lnTo>
                                  <a:pt x="248" y="159"/>
                                </a:lnTo>
                                <a:lnTo>
                                  <a:pt x="242" y="164"/>
                                </a:lnTo>
                                <a:lnTo>
                                  <a:pt x="239" y="167"/>
                                </a:lnTo>
                                <a:lnTo>
                                  <a:pt x="236" y="170"/>
                                </a:lnTo>
                                <a:lnTo>
                                  <a:pt x="234" y="173"/>
                                </a:lnTo>
                                <a:lnTo>
                                  <a:pt x="232" y="176"/>
                                </a:lnTo>
                                <a:lnTo>
                                  <a:pt x="295" y="176"/>
                                </a:lnTo>
                                <a:close/>
                                <a:moveTo>
                                  <a:pt x="321" y="191"/>
                                </a:moveTo>
                                <a:lnTo>
                                  <a:pt x="321" y="173"/>
                                </a:lnTo>
                                <a:lnTo>
                                  <a:pt x="339" y="173"/>
                                </a:lnTo>
                                <a:lnTo>
                                  <a:pt x="339" y="191"/>
                                </a:lnTo>
                                <a:lnTo>
                                  <a:pt x="321" y="191"/>
                                </a:lnTo>
                                <a:close/>
                                <a:moveTo>
                                  <a:pt x="363" y="79"/>
                                </a:moveTo>
                                <a:lnTo>
                                  <a:pt x="363" y="64"/>
                                </a:lnTo>
                                <a:lnTo>
                                  <a:pt x="447" y="64"/>
                                </a:lnTo>
                                <a:lnTo>
                                  <a:pt x="447" y="76"/>
                                </a:lnTo>
                                <a:lnTo>
                                  <a:pt x="441" y="83"/>
                                </a:lnTo>
                                <a:lnTo>
                                  <a:pt x="435" y="91"/>
                                </a:lnTo>
                                <a:lnTo>
                                  <a:pt x="428" y="100"/>
                                </a:lnTo>
                                <a:lnTo>
                                  <a:pt x="422" y="111"/>
                                </a:lnTo>
                                <a:lnTo>
                                  <a:pt x="417" y="122"/>
                                </a:lnTo>
                                <a:lnTo>
                                  <a:pt x="412" y="133"/>
                                </a:lnTo>
                                <a:lnTo>
                                  <a:pt x="407" y="144"/>
                                </a:lnTo>
                                <a:lnTo>
                                  <a:pt x="404" y="155"/>
                                </a:lnTo>
                                <a:lnTo>
                                  <a:pt x="401" y="166"/>
                                </a:lnTo>
                                <a:lnTo>
                                  <a:pt x="399" y="178"/>
                                </a:lnTo>
                                <a:lnTo>
                                  <a:pt x="398" y="191"/>
                                </a:lnTo>
                                <a:lnTo>
                                  <a:pt x="381" y="191"/>
                                </a:lnTo>
                                <a:lnTo>
                                  <a:pt x="382" y="181"/>
                                </a:lnTo>
                                <a:lnTo>
                                  <a:pt x="384" y="168"/>
                                </a:lnTo>
                                <a:lnTo>
                                  <a:pt x="387" y="154"/>
                                </a:lnTo>
                                <a:lnTo>
                                  <a:pt x="391" y="143"/>
                                </a:lnTo>
                                <a:lnTo>
                                  <a:pt x="394" y="133"/>
                                </a:lnTo>
                                <a:lnTo>
                                  <a:pt x="399" y="123"/>
                                </a:lnTo>
                                <a:lnTo>
                                  <a:pt x="404" y="113"/>
                                </a:lnTo>
                                <a:lnTo>
                                  <a:pt x="409" y="103"/>
                                </a:lnTo>
                                <a:lnTo>
                                  <a:pt x="415" y="94"/>
                                </a:lnTo>
                                <a:lnTo>
                                  <a:pt x="421" y="86"/>
                                </a:lnTo>
                                <a:lnTo>
                                  <a:pt x="426" y="79"/>
                                </a:lnTo>
                                <a:lnTo>
                                  <a:pt x="363" y="79"/>
                                </a:lnTo>
                                <a:close/>
                                <a:moveTo>
                                  <a:pt x="465" y="93"/>
                                </a:moveTo>
                                <a:lnTo>
                                  <a:pt x="465" y="84"/>
                                </a:lnTo>
                                <a:lnTo>
                                  <a:pt x="468" y="76"/>
                                </a:lnTo>
                                <a:lnTo>
                                  <a:pt x="472" y="69"/>
                                </a:lnTo>
                                <a:lnTo>
                                  <a:pt x="477" y="63"/>
                                </a:lnTo>
                                <a:lnTo>
                                  <a:pt x="484" y="60"/>
                                </a:lnTo>
                                <a:lnTo>
                                  <a:pt x="492" y="60"/>
                                </a:lnTo>
                                <a:lnTo>
                                  <a:pt x="501" y="60"/>
                                </a:lnTo>
                                <a:lnTo>
                                  <a:pt x="507" y="63"/>
                                </a:lnTo>
                                <a:lnTo>
                                  <a:pt x="513" y="68"/>
                                </a:lnTo>
                                <a:lnTo>
                                  <a:pt x="518" y="74"/>
                                </a:lnTo>
                                <a:lnTo>
                                  <a:pt x="521" y="83"/>
                                </a:lnTo>
                                <a:lnTo>
                                  <a:pt x="521" y="94"/>
                                </a:lnTo>
                                <a:lnTo>
                                  <a:pt x="521" y="105"/>
                                </a:lnTo>
                                <a:lnTo>
                                  <a:pt x="518" y="113"/>
                                </a:lnTo>
                                <a:lnTo>
                                  <a:pt x="512" y="119"/>
                                </a:lnTo>
                                <a:lnTo>
                                  <a:pt x="507" y="125"/>
                                </a:lnTo>
                                <a:lnTo>
                                  <a:pt x="501" y="128"/>
                                </a:lnTo>
                                <a:lnTo>
                                  <a:pt x="493" y="128"/>
                                </a:lnTo>
                                <a:lnTo>
                                  <a:pt x="485" y="128"/>
                                </a:lnTo>
                                <a:lnTo>
                                  <a:pt x="478" y="125"/>
                                </a:lnTo>
                                <a:lnTo>
                                  <a:pt x="473" y="119"/>
                                </a:lnTo>
                                <a:lnTo>
                                  <a:pt x="468" y="113"/>
                                </a:lnTo>
                                <a:lnTo>
                                  <a:pt x="465" y="105"/>
                                </a:lnTo>
                                <a:lnTo>
                                  <a:pt x="465" y="93"/>
                                </a:lnTo>
                                <a:close/>
                                <a:moveTo>
                                  <a:pt x="493" y="71"/>
                                </a:moveTo>
                                <a:lnTo>
                                  <a:pt x="489" y="71"/>
                                </a:lnTo>
                                <a:lnTo>
                                  <a:pt x="486" y="72"/>
                                </a:lnTo>
                                <a:lnTo>
                                  <a:pt x="483" y="76"/>
                                </a:lnTo>
                                <a:lnTo>
                                  <a:pt x="481" y="79"/>
                                </a:lnTo>
                                <a:lnTo>
                                  <a:pt x="479" y="85"/>
                                </a:lnTo>
                                <a:lnTo>
                                  <a:pt x="479" y="95"/>
                                </a:lnTo>
                                <a:lnTo>
                                  <a:pt x="479" y="103"/>
                                </a:lnTo>
                                <a:lnTo>
                                  <a:pt x="481" y="109"/>
                                </a:lnTo>
                                <a:lnTo>
                                  <a:pt x="483" y="112"/>
                                </a:lnTo>
                                <a:lnTo>
                                  <a:pt x="486" y="115"/>
                                </a:lnTo>
                                <a:lnTo>
                                  <a:pt x="489" y="117"/>
                                </a:lnTo>
                                <a:lnTo>
                                  <a:pt x="493" y="117"/>
                                </a:lnTo>
                                <a:lnTo>
                                  <a:pt x="497" y="117"/>
                                </a:lnTo>
                                <a:lnTo>
                                  <a:pt x="500" y="115"/>
                                </a:lnTo>
                                <a:lnTo>
                                  <a:pt x="503" y="112"/>
                                </a:lnTo>
                                <a:lnTo>
                                  <a:pt x="505" y="109"/>
                                </a:lnTo>
                                <a:lnTo>
                                  <a:pt x="507" y="102"/>
                                </a:lnTo>
                                <a:lnTo>
                                  <a:pt x="507" y="93"/>
                                </a:lnTo>
                                <a:lnTo>
                                  <a:pt x="507" y="85"/>
                                </a:lnTo>
                                <a:lnTo>
                                  <a:pt x="505" y="79"/>
                                </a:lnTo>
                                <a:lnTo>
                                  <a:pt x="503" y="76"/>
                                </a:lnTo>
                                <a:lnTo>
                                  <a:pt x="500" y="72"/>
                                </a:lnTo>
                                <a:lnTo>
                                  <a:pt x="497" y="71"/>
                                </a:lnTo>
                                <a:lnTo>
                                  <a:pt x="493" y="71"/>
                                </a:lnTo>
                                <a:close/>
                                <a:moveTo>
                                  <a:pt x="493" y="196"/>
                                </a:moveTo>
                                <a:lnTo>
                                  <a:pt x="564" y="60"/>
                                </a:lnTo>
                                <a:lnTo>
                                  <a:pt x="576" y="60"/>
                                </a:lnTo>
                                <a:lnTo>
                                  <a:pt x="506" y="196"/>
                                </a:lnTo>
                                <a:lnTo>
                                  <a:pt x="493" y="196"/>
                                </a:lnTo>
                                <a:close/>
                                <a:moveTo>
                                  <a:pt x="549" y="161"/>
                                </a:moveTo>
                                <a:lnTo>
                                  <a:pt x="549" y="151"/>
                                </a:lnTo>
                                <a:lnTo>
                                  <a:pt x="551" y="144"/>
                                </a:lnTo>
                                <a:lnTo>
                                  <a:pt x="556" y="137"/>
                                </a:lnTo>
                                <a:lnTo>
                                  <a:pt x="560" y="131"/>
                                </a:lnTo>
                                <a:lnTo>
                                  <a:pt x="567" y="127"/>
                                </a:lnTo>
                                <a:lnTo>
                                  <a:pt x="576" y="127"/>
                                </a:lnTo>
                                <a:lnTo>
                                  <a:pt x="584" y="127"/>
                                </a:lnTo>
                                <a:lnTo>
                                  <a:pt x="591" y="130"/>
                                </a:lnTo>
                                <a:lnTo>
                                  <a:pt x="596" y="136"/>
                                </a:lnTo>
                                <a:lnTo>
                                  <a:pt x="601" y="142"/>
                                </a:lnTo>
                                <a:lnTo>
                                  <a:pt x="604" y="150"/>
                                </a:lnTo>
                                <a:lnTo>
                                  <a:pt x="604" y="162"/>
                                </a:lnTo>
                                <a:lnTo>
                                  <a:pt x="604" y="172"/>
                                </a:lnTo>
                                <a:lnTo>
                                  <a:pt x="601" y="181"/>
                                </a:lnTo>
                                <a:lnTo>
                                  <a:pt x="596" y="187"/>
                                </a:lnTo>
                                <a:lnTo>
                                  <a:pt x="591" y="193"/>
                                </a:lnTo>
                                <a:lnTo>
                                  <a:pt x="584" y="196"/>
                                </a:lnTo>
                                <a:lnTo>
                                  <a:pt x="576" y="196"/>
                                </a:lnTo>
                                <a:lnTo>
                                  <a:pt x="568" y="196"/>
                                </a:lnTo>
                                <a:lnTo>
                                  <a:pt x="562" y="193"/>
                                </a:lnTo>
                                <a:lnTo>
                                  <a:pt x="557" y="187"/>
                                </a:lnTo>
                                <a:lnTo>
                                  <a:pt x="551" y="181"/>
                                </a:lnTo>
                                <a:lnTo>
                                  <a:pt x="549" y="172"/>
                                </a:lnTo>
                                <a:lnTo>
                                  <a:pt x="549" y="161"/>
                                </a:lnTo>
                                <a:close/>
                                <a:moveTo>
                                  <a:pt x="576" y="138"/>
                                </a:moveTo>
                                <a:lnTo>
                                  <a:pt x="572" y="138"/>
                                </a:lnTo>
                                <a:lnTo>
                                  <a:pt x="569" y="140"/>
                                </a:lnTo>
                                <a:lnTo>
                                  <a:pt x="566" y="143"/>
                                </a:lnTo>
                                <a:lnTo>
                                  <a:pt x="564" y="147"/>
                                </a:lnTo>
                                <a:lnTo>
                                  <a:pt x="563" y="153"/>
                                </a:lnTo>
                                <a:lnTo>
                                  <a:pt x="563" y="162"/>
                                </a:lnTo>
                                <a:lnTo>
                                  <a:pt x="563" y="170"/>
                                </a:lnTo>
                                <a:lnTo>
                                  <a:pt x="564" y="176"/>
                                </a:lnTo>
                                <a:lnTo>
                                  <a:pt x="567" y="180"/>
                                </a:lnTo>
                                <a:lnTo>
                                  <a:pt x="569" y="183"/>
                                </a:lnTo>
                                <a:lnTo>
                                  <a:pt x="572" y="185"/>
                                </a:lnTo>
                                <a:lnTo>
                                  <a:pt x="576" y="185"/>
                                </a:lnTo>
                                <a:lnTo>
                                  <a:pt x="580" y="185"/>
                                </a:lnTo>
                                <a:lnTo>
                                  <a:pt x="584" y="183"/>
                                </a:lnTo>
                                <a:lnTo>
                                  <a:pt x="586" y="180"/>
                                </a:lnTo>
                                <a:lnTo>
                                  <a:pt x="589" y="176"/>
                                </a:lnTo>
                                <a:lnTo>
                                  <a:pt x="590" y="170"/>
                                </a:lnTo>
                                <a:lnTo>
                                  <a:pt x="590" y="161"/>
                                </a:lnTo>
                                <a:lnTo>
                                  <a:pt x="590" y="153"/>
                                </a:lnTo>
                                <a:lnTo>
                                  <a:pt x="589" y="147"/>
                                </a:lnTo>
                                <a:lnTo>
                                  <a:pt x="586" y="143"/>
                                </a:lnTo>
                                <a:lnTo>
                                  <a:pt x="584" y="140"/>
                                </a:lnTo>
                                <a:lnTo>
                                  <a:pt x="580" y="138"/>
                                </a:lnTo>
                                <a:lnTo>
                                  <a:pt x="576" y="138"/>
                                </a:lnTo>
                                <a:close/>
                                <a:moveTo>
                                  <a:pt x="637" y="229"/>
                                </a:moveTo>
                                <a:lnTo>
                                  <a:pt x="626" y="229"/>
                                </a:lnTo>
                                <a:lnTo>
                                  <a:pt x="637" y="208"/>
                                </a:lnTo>
                                <a:lnTo>
                                  <a:pt x="646" y="187"/>
                                </a:lnTo>
                                <a:lnTo>
                                  <a:pt x="651" y="165"/>
                                </a:lnTo>
                                <a:lnTo>
                                  <a:pt x="652" y="144"/>
                                </a:lnTo>
                                <a:lnTo>
                                  <a:pt x="652" y="133"/>
                                </a:lnTo>
                                <a:lnTo>
                                  <a:pt x="651" y="122"/>
                                </a:lnTo>
                                <a:lnTo>
                                  <a:pt x="648" y="111"/>
                                </a:lnTo>
                                <a:lnTo>
                                  <a:pt x="646" y="103"/>
                                </a:lnTo>
                                <a:lnTo>
                                  <a:pt x="644" y="94"/>
                                </a:lnTo>
                                <a:lnTo>
                                  <a:pt x="640" y="86"/>
                                </a:lnTo>
                                <a:lnTo>
                                  <a:pt x="638" y="81"/>
                                </a:lnTo>
                                <a:lnTo>
                                  <a:pt x="633" y="72"/>
                                </a:lnTo>
                                <a:lnTo>
                                  <a:pt x="626" y="60"/>
                                </a:lnTo>
                                <a:lnTo>
                                  <a:pt x="637" y="60"/>
                                </a:lnTo>
                                <a:lnTo>
                                  <a:pt x="645" y="71"/>
                                </a:lnTo>
                                <a:lnTo>
                                  <a:pt x="652" y="82"/>
                                </a:lnTo>
                                <a:lnTo>
                                  <a:pt x="657" y="93"/>
                                </a:lnTo>
                                <a:lnTo>
                                  <a:pt x="662" y="104"/>
                                </a:lnTo>
                                <a:lnTo>
                                  <a:pt x="665" y="114"/>
                                </a:lnTo>
                                <a:lnTo>
                                  <a:pt x="667" y="124"/>
                                </a:lnTo>
                                <a:lnTo>
                                  <a:pt x="668" y="134"/>
                                </a:lnTo>
                                <a:lnTo>
                                  <a:pt x="668" y="144"/>
                                </a:lnTo>
                                <a:lnTo>
                                  <a:pt x="668" y="156"/>
                                </a:lnTo>
                                <a:lnTo>
                                  <a:pt x="666" y="168"/>
                                </a:lnTo>
                                <a:lnTo>
                                  <a:pt x="663" y="179"/>
                                </a:lnTo>
                                <a:lnTo>
                                  <a:pt x="659" y="190"/>
                                </a:lnTo>
                                <a:lnTo>
                                  <a:pt x="655" y="201"/>
                                </a:lnTo>
                                <a:lnTo>
                                  <a:pt x="649" y="211"/>
                                </a:lnTo>
                                <a:lnTo>
                                  <a:pt x="644" y="220"/>
                                </a:lnTo>
                                <a:lnTo>
                                  <a:pt x="637" y="229"/>
                                </a:lnTo>
                                <a:close/>
                                <a:moveTo>
                                  <a:pt x="1697" y="97"/>
                                </a:moveTo>
                                <a:lnTo>
                                  <a:pt x="1713" y="95"/>
                                </a:lnTo>
                                <a:lnTo>
                                  <a:pt x="1715" y="104"/>
                                </a:lnTo>
                                <a:lnTo>
                                  <a:pt x="1718" y="110"/>
                                </a:lnTo>
                                <a:lnTo>
                                  <a:pt x="1723" y="114"/>
                                </a:lnTo>
                                <a:lnTo>
                                  <a:pt x="1727" y="118"/>
                                </a:lnTo>
                                <a:lnTo>
                                  <a:pt x="1732" y="120"/>
                                </a:lnTo>
                                <a:lnTo>
                                  <a:pt x="1739" y="120"/>
                                </a:lnTo>
                                <a:lnTo>
                                  <a:pt x="1746" y="120"/>
                                </a:lnTo>
                                <a:lnTo>
                                  <a:pt x="1752" y="117"/>
                                </a:lnTo>
                                <a:lnTo>
                                  <a:pt x="1757" y="112"/>
                                </a:lnTo>
                                <a:lnTo>
                                  <a:pt x="1763" y="107"/>
                                </a:lnTo>
                                <a:lnTo>
                                  <a:pt x="1765" y="101"/>
                                </a:lnTo>
                                <a:lnTo>
                                  <a:pt x="1765" y="93"/>
                                </a:lnTo>
                                <a:lnTo>
                                  <a:pt x="1765" y="86"/>
                                </a:lnTo>
                                <a:lnTo>
                                  <a:pt x="1763" y="80"/>
                                </a:lnTo>
                                <a:lnTo>
                                  <a:pt x="1758" y="75"/>
                                </a:lnTo>
                                <a:lnTo>
                                  <a:pt x="1753" y="70"/>
                                </a:lnTo>
                                <a:lnTo>
                                  <a:pt x="1747" y="68"/>
                                </a:lnTo>
                                <a:lnTo>
                                  <a:pt x="1740" y="68"/>
                                </a:lnTo>
                                <a:lnTo>
                                  <a:pt x="1737" y="68"/>
                                </a:lnTo>
                                <a:lnTo>
                                  <a:pt x="1733" y="69"/>
                                </a:lnTo>
                                <a:lnTo>
                                  <a:pt x="1729" y="70"/>
                                </a:lnTo>
                                <a:lnTo>
                                  <a:pt x="1730" y="56"/>
                                </a:lnTo>
                                <a:lnTo>
                                  <a:pt x="1731" y="56"/>
                                </a:lnTo>
                                <a:lnTo>
                                  <a:pt x="1732" y="56"/>
                                </a:lnTo>
                                <a:lnTo>
                                  <a:pt x="1733" y="56"/>
                                </a:lnTo>
                                <a:lnTo>
                                  <a:pt x="1740" y="56"/>
                                </a:lnTo>
                                <a:lnTo>
                                  <a:pt x="1746" y="54"/>
                                </a:lnTo>
                                <a:lnTo>
                                  <a:pt x="1751" y="51"/>
                                </a:lnTo>
                                <a:lnTo>
                                  <a:pt x="1757" y="47"/>
                                </a:lnTo>
                                <a:lnTo>
                                  <a:pt x="1759" y="42"/>
                                </a:lnTo>
                                <a:lnTo>
                                  <a:pt x="1759" y="35"/>
                                </a:lnTo>
                                <a:lnTo>
                                  <a:pt x="1759" y="29"/>
                                </a:lnTo>
                                <a:lnTo>
                                  <a:pt x="1757" y="24"/>
                                </a:lnTo>
                                <a:lnTo>
                                  <a:pt x="1753" y="20"/>
                                </a:lnTo>
                                <a:lnTo>
                                  <a:pt x="1749" y="16"/>
                                </a:lnTo>
                                <a:lnTo>
                                  <a:pt x="1744" y="14"/>
                                </a:lnTo>
                                <a:lnTo>
                                  <a:pt x="1738" y="14"/>
                                </a:lnTo>
                                <a:lnTo>
                                  <a:pt x="1732" y="14"/>
                                </a:lnTo>
                                <a:lnTo>
                                  <a:pt x="1727" y="16"/>
                                </a:lnTo>
                                <a:lnTo>
                                  <a:pt x="1723" y="20"/>
                                </a:lnTo>
                                <a:lnTo>
                                  <a:pt x="1719" y="24"/>
                                </a:lnTo>
                                <a:lnTo>
                                  <a:pt x="1716" y="30"/>
                                </a:lnTo>
                                <a:lnTo>
                                  <a:pt x="1715" y="38"/>
                                </a:lnTo>
                                <a:lnTo>
                                  <a:pt x="1699" y="35"/>
                                </a:lnTo>
                                <a:lnTo>
                                  <a:pt x="1701" y="24"/>
                                </a:lnTo>
                                <a:lnTo>
                                  <a:pt x="1705" y="16"/>
                                </a:lnTo>
                                <a:lnTo>
                                  <a:pt x="1712" y="10"/>
                                </a:lnTo>
                                <a:lnTo>
                                  <a:pt x="1719" y="4"/>
                                </a:lnTo>
                                <a:lnTo>
                                  <a:pt x="1728" y="1"/>
                                </a:lnTo>
                                <a:lnTo>
                                  <a:pt x="1738" y="1"/>
                                </a:lnTo>
                                <a:lnTo>
                                  <a:pt x="1745" y="1"/>
                                </a:lnTo>
                                <a:lnTo>
                                  <a:pt x="1751" y="3"/>
                                </a:lnTo>
                                <a:lnTo>
                                  <a:pt x="1757" y="6"/>
                                </a:lnTo>
                                <a:lnTo>
                                  <a:pt x="1763" y="9"/>
                                </a:lnTo>
                                <a:lnTo>
                                  <a:pt x="1768" y="13"/>
                                </a:lnTo>
                                <a:lnTo>
                                  <a:pt x="1771" y="18"/>
                                </a:lnTo>
                                <a:lnTo>
                                  <a:pt x="1774" y="24"/>
                                </a:lnTo>
                                <a:lnTo>
                                  <a:pt x="1776" y="29"/>
                                </a:lnTo>
                                <a:lnTo>
                                  <a:pt x="1776" y="35"/>
                                </a:lnTo>
                                <a:lnTo>
                                  <a:pt x="1776" y="41"/>
                                </a:lnTo>
                                <a:lnTo>
                                  <a:pt x="1774" y="46"/>
                                </a:lnTo>
                                <a:lnTo>
                                  <a:pt x="1771" y="50"/>
                                </a:lnTo>
                                <a:lnTo>
                                  <a:pt x="1768" y="55"/>
                                </a:lnTo>
                                <a:lnTo>
                                  <a:pt x="1764" y="58"/>
                                </a:lnTo>
                                <a:lnTo>
                                  <a:pt x="1758" y="61"/>
                                </a:lnTo>
                                <a:lnTo>
                                  <a:pt x="1765" y="63"/>
                                </a:lnTo>
                                <a:lnTo>
                                  <a:pt x="1771" y="66"/>
                                </a:lnTo>
                                <a:lnTo>
                                  <a:pt x="1776" y="72"/>
                                </a:lnTo>
                                <a:lnTo>
                                  <a:pt x="1780" y="78"/>
                                </a:lnTo>
                                <a:lnTo>
                                  <a:pt x="1782" y="84"/>
                                </a:lnTo>
                                <a:lnTo>
                                  <a:pt x="1782" y="93"/>
                                </a:lnTo>
                                <a:lnTo>
                                  <a:pt x="1782" y="104"/>
                                </a:lnTo>
                                <a:lnTo>
                                  <a:pt x="1778" y="114"/>
                                </a:lnTo>
                                <a:lnTo>
                                  <a:pt x="1770" y="121"/>
                                </a:lnTo>
                                <a:lnTo>
                                  <a:pt x="1761" y="129"/>
                                </a:lnTo>
                                <a:lnTo>
                                  <a:pt x="1751" y="133"/>
                                </a:lnTo>
                                <a:lnTo>
                                  <a:pt x="1738" y="133"/>
                                </a:lnTo>
                                <a:lnTo>
                                  <a:pt x="1727" y="133"/>
                                </a:lnTo>
                                <a:lnTo>
                                  <a:pt x="1718" y="130"/>
                                </a:lnTo>
                                <a:lnTo>
                                  <a:pt x="1710" y="123"/>
                                </a:lnTo>
                                <a:lnTo>
                                  <a:pt x="1703" y="116"/>
                                </a:lnTo>
                                <a:lnTo>
                                  <a:pt x="1699" y="108"/>
                                </a:lnTo>
                                <a:lnTo>
                                  <a:pt x="1697" y="97"/>
                                </a:lnTo>
                                <a:close/>
                                <a:moveTo>
                                  <a:pt x="1882" y="169"/>
                                </a:moveTo>
                                <a:lnTo>
                                  <a:pt x="1876" y="160"/>
                                </a:lnTo>
                                <a:lnTo>
                                  <a:pt x="1870" y="151"/>
                                </a:lnTo>
                                <a:lnTo>
                                  <a:pt x="1865" y="141"/>
                                </a:lnTo>
                                <a:lnTo>
                                  <a:pt x="1860" y="130"/>
                                </a:lnTo>
                                <a:lnTo>
                                  <a:pt x="1856" y="119"/>
                                </a:lnTo>
                                <a:lnTo>
                                  <a:pt x="1853" y="108"/>
                                </a:lnTo>
                                <a:lnTo>
                                  <a:pt x="1852" y="96"/>
                                </a:lnTo>
                                <a:lnTo>
                                  <a:pt x="1851" y="84"/>
                                </a:lnTo>
                                <a:lnTo>
                                  <a:pt x="1851" y="74"/>
                                </a:lnTo>
                                <a:lnTo>
                                  <a:pt x="1853" y="64"/>
                                </a:lnTo>
                                <a:lnTo>
                                  <a:pt x="1855" y="54"/>
                                </a:lnTo>
                                <a:lnTo>
                                  <a:pt x="1858" y="44"/>
                                </a:lnTo>
                                <a:lnTo>
                                  <a:pt x="1862" y="33"/>
                                </a:lnTo>
                                <a:lnTo>
                                  <a:pt x="1868" y="22"/>
                                </a:lnTo>
                                <a:lnTo>
                                  <a:pt x="1874" y="11"/>
                                </a:lnTo>
                                <a:lnTo>
                                  <a:pt x="1882" y="0"/>
                                </a:lnTo>
                                <a:lnTo>
                                  <a:pt x="1893" y="0"/>
                                </a:lnTo>
                                <a:lnTo>
                                  <a:pt x="1886" y="12"/>
                                </a:lnTo>
                                <a:lnTo>
                                  <a:pt x="1882" y="21"/>
                                </a:lnTo>
                                <a:lnTo>
                                  <a:pt x="1879" y="26"/>
                                </a:lnTo>
                                <a:lnTo>
                                  <a:pt x="1876" y="34"/>
                                </a:lnTo>
                                <a:lnTo>
                                  <a:pt x="1873" y="42"/>
                                </a:lnTo>
                                <a:lnTo>
                                  <a:pt x="1871" y="51"/>
                                </a:lnTo>
                                <a:lnTo>
                                  <a:pt x="1868" y="62"/>
                                </a:lnTo>
                                <a:lnTo>
                                  <a:pt x="1867" y="73"/>
                                </a:lnTo>
                                <a:lnTo>
                                  <a:pt x="1867" y="84"/>
                                </a:lnTo>
                                <a:lnTo>
                                  <a:pt x="1869" y="105"/>
                                </a:lnTo>
                                <a:lnTo>
                                  <a:pt x="1874" y="127"/>
                                </a:lnTo>
                                <a:lnTo>
                                  <a:pt x="1882" y="148"/>
                                </a:lnTo>
                                <a:lnTo>
                                  <a:pt x="1893" y="169"/>
                                </a:lnTo>
                                <a:lnTo>
                                  <a:pt x="1882" y="169"/>
                                </a:lnTo>
                                <a:close/>
                                <a:moveTo>
                                  <a:pt x="1958" y="131"/>
                                </a:moveTo>
                                <a:lnTo>
                                  <a:pt x="1958" y="100"/>
                                </a:lnTo>
                                <a:lnTo>
                                  <a:pt x="1902" y="100"/>
                                </a:lnTo>
                                <a:lnTo>
                                  <a:pt x="1902" y="86"/>
                                </a:lnTo>
                                <a:lnTo>
                                  <a:pt x="1961" y="2"/>
                                </a:lnTo>
                                <a:lnTo>
                                  <a:pt x="1974" y="2"/>
                                </a:lnTo>
                                <a:lnTo>
                                  <a:pt x="1974" y="86"/>
                                </a:lnTo>
                                <a:lnTo>
                                  <a:pt x="1991" y="86"/>
                                </a:lnTo>
                                <a:lnTo>
                                  <a:pt x="1991" y="100"/>
                                </a:lnTo>
                                <a:lnTo>
                                  <a:pt x="1974" y="100"/>
                                </a:lnTo>
                                <a:lnTo>
                                  <a:pt x="1974" y="131"/>
                                </a:lnTo>
                                <a:lnTo>
                                  <a:pt x="1958" y="131"/>
                                </a:lnTo>
                                <a:close/>
                                <a:moveTo>
                                  <a:pt x="1958" y="86"/>
                                </a:moveTo>
                                <a:lnTo>
                                  <a:pt x="1958" y="27"/>
                                </a:lnTo>
                                <a:lnTo>
                                  <a:pt x="1918" y="86"/>
                                </a:lnTo>
                                <a:lnTo>
                                  <a:pt x="1958" y="86"/>
                                </a:lnTo>
                                <a:close/>
                                <a:moveTo>
                                  <a:pt x="2011" y="33"/>
                                </a:moveTo>
                                <a:lnTo>
                                  <a:pt x="2011" y="24"/>
                                </a:lnTo>
                                <a:lnTo>
                                  <a:pt x="2013" y="16"/>
                                </a:lnTo>
                                <a:lnTo>
                                  <a:pt x="2017" y="9"/>
                                </a:lnTo>
                                <a:lnTo>
                                  <a:pt x="2022" y="3"/>
                                </a:lnTo>
                                <a:lnTo>
                                  <a:pt x="2029" y="0"/>
                                </a:lnTo>
                                <a:lnTo>
                                  <a:pt x="2038" y="0"/>
                                </a:lnTo>
                                <a:lnTo>
                                  <a:pt x="2046" y="0"/>
                                </a:lnTo>
                                <a:lnTo>
                                  <a:pt x="2052" y="3"/>
                                </a:lnTo>
                                <a:lnTo>
                                  <a:pt x="2058" y="8"/>
                                </a:lnTo>
                                <a:lnTo>
                                  <a:pt x="2063" y="14"/>
                                </a:lnTo>
                                <a:lnTo>
                                  <a:pt x="2066" y="23"/>
                                </a:lnTo>
                                <a:lnTo>
                                  <a:pt x="2066" y="34"/>
                                </a:lnTo>
                                <a:lnTo>
                                  <a:pt x="2066" y="45"/>
                                </a:lnTo>
                                <a:lnTo>
                                  <a:pt x="2063" y="53"/>
                                </a:lnTo>
                                <a:lnTo>
                                  <a:pt x="2058" y="59"/>
                                </a:lnTo>
                                <a:lnTo>
                                  <a:pt x="2052" y="65"/>
                                </a:lnTo>
                                <a:lnTo>
                                  <a:pt x="2046" y="68"/>
                                </a:lnTo>
                                <a:lnTo>
                                  <a:pt x="2038" y="68"/>
                                </a:lnTo>
                                <a:lnTo>
                                  <a:pt x="2030" y="68"/>
                                </a:lnTo>
                                <a:lnTo>
                                  <a:pt x="2024" y="65"/>
                                </a:lnTo>
                                <a:lnTo>
                                  <a:pt x="2018" y="59"/>
                                </a:lnTo>
                                <a:lnTo>
                                  <a:pt x="2013" y="53"/>
                                </a:lnTo>
                                <a:lnTo>
                                  <a:pt x="2011" y="45"/>
                                </a:lnTo>
                                <a:lnTo>
                                  <a:pt x="2011" y="33"/>
                                </a:lnTo>
                                <a:close/>
                                <a:moveTo>
                                  <a:pt x="2038" y="11"/>
                                </a:moveTo>
                                <a:lnTo>
                                  <a:pt x="2034" y="11"/>
                                </a:lnTo>
                                <a:lnTo>
                                  <a:pt x="2031" y="12"/>
                                </a:lnTo>
                                <a:lnTo>
                                  <a:pt x="2028" y="16"/>
                                </a:lnTo>
                                <a:lnTo>
                                  <a:pt x="2026" y="19"/>
                                </a:lnTo>
                                <a:lnTo>
                                  <a:pt x="2024" y="25"/>
                                </a:lnTo>
                                <a:lnTo>
                                  <a:pt x="2024" y="35"/>
                                </a:lnTo>
                                <a:lnTo>
                                  <a:pt x="2024" y="43"/>
                                </a:lnTo>
                                <a:lnTo>
                                  <a:pt x="2026" y="49"/>
                                </a:lnTo>
                                <a:lnTo>
                                  <a:pt x="2028" y="52"/>
                                </a:lnTo>
                                <a:lnTo>
                                  <a:pt x="2031" y="55"/>
                                </a:lnTo>
                                <a:lnTo>
                                  <a:pt x="2034" y="57"/>
                                </a:lnTo>
                                <a:lnTo>
                                  <a:pt x="2038" y="57"/>
                                </a:lnTo>
                                <a:lnTo>
                                  <a:pt x="2042" y="57"/>
                                </a:lnTo>
                                <a:lnTo>
                                  <a:pt x="2045" y="55"/>
                                </a:lnTo>
                                <a:lnTo>
                                  <a:pt x="2048" y="52"/>
                                </a:lnTo>
                                <a:lnTo>
                                  <a:pt x="2051" y="49"/>
                                </a:lnTo>
                                <a:lnTo>
                                  <a:pt x="2052" y="42"/>
                                </a:lnTo>
                                <a:lnTo>
                                  <a:pt x="2052" y="33"/>
                                </a:lnTo>
                                <a:lnTo>
                                  <a:pt x="2052" y="25"/>
                                </a:lnTo>
                                <a:lnTo>
                                  <a:pt x="2051" y="19"/>
                                </a:lnTo>
                                <a:lnTo>
                                  <a:pt x="2048" y="16"/>
                                </a:lnTo>
                                <a:lnTo>
                                  <a:pt x="2045" y="12"/>
                                </a:lnTo>
                                <a:lnTo>
                                  <a:pt x="2042" y="11"/>
                                </a:lnTo>
                                <a:lnTo>
                                  <a:pt x="2038" y="11"/>
                                </a:lnTo>
                                <a:close/>
                                <a:moveTo>
                                  <a:pt x="2038" y="136"/>
                                </a:moveTo>
                                <a:lnTo>
                                  <a:pt x="2109" y="0"/>
                                </a:lnTo>
                                <a:lnTo>
                                  <a:pt x="2121" y="0"/>
                                </a:lnTo>
                                <a:lnTo>
                                  <a:pt x="2051" y="136"/>
                                </a:lnTo>
                                <a:lnTo>
                                  <a:pt x="2038" y="136"/>
                                </a:lnTo>
                                <a:close/>
                                <a:moveTo>
                                  <a:pt x="2094" y="101"/>
                                </a:moveTo>
                                <a:lnTo>
                                  <a:pt x="2094" y="91"/>
                                </a:lnTo>
                                <a:lnTo>
                                  <a:pt x="2096" y="84"/>
                                </a:lnTo>
                                <a:lnTo>
                                  <a:pt x="2101" y="77"/>
                                </a:lnTo>
                                <a:lnTo>
                                  <a:pt x="2105" y="71"/>
                                </a:lnTo>
                                <a:lnTo>
                                  <a:pt x="2112" y="67"/>
                                </a:lnTo>
                                <a:lnTo>
                                  <a:pt x="2121" y="67"/>
                                </a:lnTo>
                                <a:lnTo>
                                  <a:pt x="2129" y="67"/>
                                </a:lnTo>
                                <a:lnTo>
                                  <a:pt x="2136" y="70"/>
                                </a:lnTo>
                                <a:lnTo>
                                  <a:pt x="2141" y="76"/>
                                </a:lnTo>
                                <a:lnTo>
                                  <a:pt x="2146" y="82"/>
                                </a:lnTo>
                                <a:lnTo>
                                  <a:pt x="2149" y="90"/>
                                </a:lnTo>
                                <a:lnTo>
                                  <a:pt x="2149" y="102"/>
                                </a:lnTo>
                                <a:lnTo>
                                  <a:pt x="2149" y="112"/>
                                </a:lnTo>
                                <a:lnTo>
                                  <a:pt x="2146" y="121"/>
                                </a:lnTo>
                                <a:lnTo>
                                  <a:pt x="2141" y="127"/>
                                </a:lnTo>
                                <a:lnTo>
                                  <a:pt x="2136" y="133"/>
                                </a:lnTo>
                                <a:lnTo>
                                  <a:pt x="2129" y="136"/>
                                </a:lnTo>
                                <a:lnTo>
                                  <a:pt x="2121" y="136"/>
                                </a:lnTo>
                                <a:lnTo>
                                  <a:pt x="2113" y="136"/>
                                </a:lnTo>
                                <a:lnTo>
                                  <a:pt x="2107" y="133"/>
                                </a:lnTo>
                                <a:lnTo>
                                  <a:pt x="2102" y="127"/>
                                </a:lnTo>
                                <a:lnTo>
                                  <a:pt x="2096" y="121"/>
                                </a:lnTo>
                                <a:lnTo>
                                  <a:pt x="2094" y="112"/>
                                </a:lnTo>
                                <a:lnTo>
                                  <a:pt x="2094" y="101"/>
                                </a:lnTo>
                                <a:close/>
                                <a:moveTo>
                                  <a:pt x="2121" y="78"/>
                                </a:moveTo>
                                <a:lnTo>
                                  <a:pt x="2117" y="78"/>
                                </a:lnTo>
                                <a:lnTo>
                                  <a:pt x="2114" y="80"/>
                                </a:lnTo>
                                <a:lnTo>
                                  <a:pt x="2112" y="83"/>
                                </a:lnTo>
                                <a:lnTo>
                                  <a:pt x="2109" y="87"/>
                                </a:lnTo>
                                <a:lnTo>
                                  <a:pt x="2108" y="93"/>
                                </a:lnTo>
                                <a:lnTo>
                                  <a:pt x="2108" y="102"/>
                                </a:lnTo>
                                <a:lnTo>
                                  <a:pt x="2108" y="110"/>
                                </a:lnTo>
                                <a:lnTo>
                                  <a:pt x="2109" y="116"/>
                                </a:lnTo>
                                <a:lnTo>
                                  <a:pt x="2112" y="120"/>
                                </a:lnTo>
                                <a:lnTo>
                                  <a:pt x="2114" y="123"/>
                                </a:lnTo>
                                <a:lnTo>
                                  <a:pt x="2118" y="125"/>
                                </a:lnTo>
                                <a:lnTo>
                                  <a:pt x="2121" y="125"/>
                                </a:lnTo>
                                <a:lnTo>
                                  <a:pt x="2125" y="125"/>
                                </a:lnTo>
                                <a:lnTo>
                                  <a:pt x="2129" y="123"/>
                                </a:lnTo>
                                <a:lnTo>
                                  <a:pt x="2131" y="120"/>
                                </a:lnTo>
                                <a:lnTo>
                                  <a:pt x="2134" y="116"/>
                                </a:lnTo>
                                <a:lnTo>
                                  <a:pt x="2135" y="110"/>
                                </a:lnTo>
                                <a:lnTo>
                                  <a:pt x="2135" y="101"/>
                                </a:lnTo>
                                <a:lnTo>
                                  <a:pt x="2135" y="93"/>
                                </a:lnTo>
                                <a:lnTo>
                                  <a:pt x="2134" y="87"/>
                                </a:lnTo>
                                <a:lnTo>
                                  <a:pt x="2131" y="83"/>
                                </a:lnTo>
                                <a:lnTo>
                                  <a:pt x="2129" y="80"/>
                                </a:lnTo>
                                <a:lnTo>
                                  <a:pt x="2125" y="78"/>
                                </a:lnTo>
                                <a:lnTo>
                                  <a:pt x="2121" y="78"/>
                                </a:lnTo>
                                <a:close/>
                                <a:moveTo>
                                  <a:pt x="2182" y="169"/>
                                </a:moveTo>
                                <a:lnTo>
                                  <a:pt x="2171" y="169"/>
                                </a:lnTo>
                                <a:lnTo>
                                  <a:pt x="2183" y="148"/>
                                </a:lnTo>
                                <a:lnTo>
                                  <a:pt x="2191" y="127"/>
                                </a:lnTo>
                                <a:lnTo>
                                  <a:pt x="2196" y="105"/>
                                </a:lnTo>
                                <a:lnTo>
                                  <a:pt x="2197" y="84"/>
                                </a:lnTo>
                                <a:lnTo>
                                  <a:pt x="2197" y="73"/>
                                </a:lnTo>
                                <a:lnTo>
                                  <a:pt x="2196" y="62"/>
                                </a:lnTo>
                                <a:lnTo>
                                  <a:pt x="2194" y="51"/>
                                </a:lnTo>
                                <a:lnTo>
                                  <a:pt x="2192" y="43"/>
                                </a:lnTo>
                                <a:lnTo>
                                  <a:pt x="2189" y="34"/>
                                </a:lnTo>
                                <a:lnTo>
                                  <a:pt x="2185" y="26"/>
                                </a:lnTo>
                                <a:lnTo>
                                  <a:pt x="2183" y="21"/>
                                </a:lnTo>
                                <a:lnTo>
                                  <a:pt x="2178" y="12"/>
                                </a:lnTo>
                                <a:lnTo>
                                  <a:pt x="2171" y="0"/>
                                </a:lnTo>
                                <a:lnTo>
                                  <a:pt x="2182" y="0"/>
                                </a:lnTo>
                                <a:lnTo>
                                  <a:pt x="2190" y="11"/>
                                </a:lnTo>
                                <a:lnTo>
                                  <a:pt x="2197" y="22"/>
                                </a:lnTo>
                                <a:lnTo>
                                  <a:pt x="2202" y="33"/>
                                </a:lnTo>
                                <a:lnTo>
                                  <a:pt x="2207" y="44"/>
                                </a:lnTo>
                                <a:lnTo>
                                  <a:pt x="2210" y="54"/>
                                </a:lnTo>
                                <a:lnTo>
                                  <a:pt x="2212" y="64"/>
                                </a:lnTo>
                                <a:lnTo>
                                  <a:pt x="2213" y="74"/>
                                </a:lnTo>
                                <a:lnTo>
                                  <a:pt x="2214" y="84"/>
                                </a:lnTo>
                                <a:lnTo>
                                  <a:pt x="2213" y="96"/>
                                </a:lnTo>
                                <a:lnTo>
                                  <a:pt x="2211" y="108"/>
                                </a:lnTo>
                                <a:lnTo>
                                  <a:pt x="2208" y="119"/>
                                </a:lnTo>
                                <a:lnTo>
                                  <a:pt x="2204" y="130"/>
                                </a:lnTo>
                                <a:lnTo>
                                  <a:pt x="2200" y="141"/>
                                </a:lnTo>
                                <a:lnTo>
                                  <a:pt x="2194" y="151"/>
                                </a:lnTo>
                                <a:lnTo>
                                  <a:pt x="2189" y="160"/>
                                </a:lnTo>
                                <a:lnTo>
                                  <a:pt x="2182" y="169"/>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857234981" name="Picture 1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337"/>
                            <a:ext cx="255" cy="300"/>
                          </a:xfrm>
                          <a:prstGeom prst="rect">
                            <a:avLst/>
                          </a:prstGeom>
                          <a:noFill/>
                          <a:ln>
                            <a:noFill/>
                          </a:ln>
                          <a:effectLst/>
                        </pic:spPr>
                      </pic:pic>
                      <wps:wsp>
                        <wps:cNvPr id="1746394434" name="Rectangle 177"/>
                        <wps:cNvSpPr>
                          <a:spLocks noChangeArrowheads="1"/>
                        </wps:cNvSpPr>
                        <wps:spPr bwMode="auto">
                          <a:xfrm>
                            <a:off x="2070" y="864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707137452" name="AutoShape 176"/>
                        <wps:cNvSpPr/>
                        <wps:spPr bwMode="auto">
                          <a:xfrm>
                            <a:off x="2069" y="8647"/>
                            <a:ext cx="8130" cy="2700"/>
                          </a:xfrm>
                          <a:custGeom>
                            <a:avLst/>
                            <a:gdLst>
                              <a:gd name="T0" fmla="*/ 6810 w 8130"/>
                              <a:gd name="T1" fmla="*/ 10432 h 2700"/>
                              <a:gd name="T2" fmla="*/ 0 w 8130"/>
                              <a:gd name="T3" fmla="*/ 10432 h 2700"/>
                              <a:gd name="T4" fmla="*/ 0 w 8130"/>
                              <a:gd name="T5" fmla="*/ 10447 h 2700"/>
                              <a:gd name="T6" fmla="*/ 6810 w 8130"/>
                              <a:gd name="T7" fmla="*/ 10447 h 2700"/>
                              <a:gd name="T8" fmla="*/ 6810 w 8130"/>
                              <a:gd name="T9" fmla="*/ 10432 h 2700"/>
                              <a:gd name="T10" fmla="*/ 6810 w 8130"/>
                              <a:gd name="T11" fmla="*/ 9547 h 2700"/>
                              <a:gd name="T12" fmla="*/ 0 w 8130"/>
                              <a:gd name="T13" fmla="*/ 9547 h 2700"/>
                              <a:gd name="T14" fmla="*/ 0 w 8130"/>
                              <a:gd name="T15" fmla="*/ 9562 h 2700"/>
                              <a:gd name="T16" fmla="*/ 6810 w 8130"/>
                              <a:gd name="T17" fmla="*/ 9562 h 2700"/>
                              <a:gd name="T18" fmla="*/ 6810 w 8130"/>
                              <a:gd name="T19" fmla="*/ 9547 h 2700"/>
                              <a:gd name="T20" fmla="*/ 8130 w 8130"/>
                              <a:gd name="T21" fmla="*/ 11332 h 2700"/>
                              <a:gd name="T22" fmla="*/ 0 w 8130"/>
                              <a:gd name="T23" fmla="*/ 11332 h 2700"/>
                              <a:gd name="T24" fmla="*/ 0 w 8130"/>
                              <a:gd name="T25" fmla="*/ 11347 h 2700"/>
                              <a:gd name="T26" fmla="*/ 8130 w 8130"/>
                              <a:gd name="T27" fmla="*/ 11347 h 2700"/>
                              <a:gd name="T28" fmla="*/ 8130 w 8130"/>
                              <a:gd name="T29" fmla="*/ 11332 h 2700"/>
                              <a:gd name="T30" fmla="*/ 8130 w 8130"/>
                              <a:gd name="T31" fmla="*/ 10432 h 2700"/>
                              <a:gd name="T32" fmla="*/ 7815 w 8130"/>
                              <a:gd name="T33" fmla="*/ 10432 h 2700"/>
                              <a:gd name="T34" fmla="*/ 7815 w 8130"/>
                              <a:gd name="T35" fmla="*/ 10447 h 2700"/>
                              <a:gd name="T36" fmla="*/ 8130 w 8130"/>
                              <a:gd name="T37" fmla="*/ 10447 h 2700"/>
                              <a:gd name="T38" fmla="*/ 8130 w 8130"/>
                              <a:gd name="T39" fmla="*/ 10432 h 2700"/>
                              <a:gd name="T40" fmla="*/ 8130 w 8130"/>
                              <a:gd name="T41" fmla="*/ 9547 h 2700"/>
                              <a:gd name="T42" fmla="*/ 7815 w 8130"/>
                              <a:gd name="T43" fmla="*/ 9547 h 2700"/>
                              <a:gd name="T44" fmla="*/ 7815 w 8130"/>
                              <a:gd name="T45" fmla="*/ 9562 h 2700"/>
                              <a:gd name="T46" fmla="*/ 8130 w 8130"/>
                              <a:gd name="T47" fmla="*/ 9562 h 2700"/>
                              <a:gd name="T48" fmla="*/ 8130 w 8130"/>
                              <a:gd name="T49" fmla="*/ 9547 h 2700"/>
                              <a:gd name="T50" fmla="*/ 8130 w 8130"/>
                              <a:gd name="T51" fmla="*/ 8647 h 2700"/>
                              <a:gd name="T52" fmla="*/ 0 w 8130"/>
                              <a:gd name="T53" fmla="*/ 8647 h 2700"/>
                              <a:gd name="T54" fmla="*/ 0 w 8130"/>
                              <a:gd name="T55" fmla="*/ 8662 h 2700"/>
                              <a:gd name="T56" fmla="*/ 8130 w 8130"/>
                              <a:gd name="T57" fmla="*/ 8662 h 2700"/>
                              <a:gd name="T58" fmla="*/ 8130 w 8130"/>
                              <a:gd name="T59" fmla="*/ 8647 h 27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30" h="2700">
                                <a:moveTo>
                                  <a:pt x="6810" y="1785"/>
                                </a:moveTo>
                                <a:lnTo>
                                  <a:pt x="0" y="1785"/>
                                </a:lnTo>
                                <a:lnTo>
                                  <a:pt x="0" y="1800"/>
                                </a:lnTo>
                                <a:lnTo>
                                  <a:pt x="6810" y="1800"/>
                                </a:lnTo>
                                <a:lnTo>
                                  <a:pt x="6810" y="1785"/>
                                </a:lnTo>
                                <a:close/>
                                <a:moveTo>
                                  <a:pt x="6810" y="900"/>
                                </a:moveTo>
                                <a:lnTo>
                                  <a:pt x="0" y="900"/>
                                </a:lnTo>
                                <a:lnTo>
                                  <a:pt x="0" y="915"/>
                                </a:lnTo>
                                <a:lnTo>
                                  <a:pt x="6810" y="915"/>
                                </a:lnTo>
                                <a:lnTo>
                                  <a:pt x="6810" y="900"/>
                                </a:lnTo>
                                <a:close/>
                                <a:moveTo>
                                  <a:pt x="8130" y="2685"/>
                                </a:moveTo>
                                <a:lnTo>
                                  <a:pt x="0" y="2685"/>
                                </a:lnTo>
                                <a:lnTo>
                                  <a:pt x="0" y="2700"/>
                                </a:lnTo>
                                <a:lnTo>
                                  <a:pt x="8130" y="2700"/>
                                </a:lnTo>
                                <a:lnTo>
                                  <a:pt x="8130" y="2685"/>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689310834" name="AutoShape 175"/>
                        <wps:cNvSpPr/>
                        <wps:spPr bwMode="auto">
                          <a:xfrm>
                            <a:off x="2069" y="9097"/>
                            <a:ext cx="8130" cy="1800"/>
                          </a:xfrm>
                          <a:custGeom>
                            <a:avLst/>
                            <a:gdLst>
                              <a:gd name="T0" fmla="*/ 5190 w 8130"/>
                              <a:gd name="T1" fmla="*/ 10882 h 1800"/>
                              <a:gd name="T2" fmla="*/ 0 w 8130"/>
                              <a:gd name="T3" fmla="*/ 10882 h 1800"/>
                              <a:gd name="T4" fmla="*/ 0 w 8130"/>
                              <a:gd name="T5" fmla="*/ 10897 h 1800"/>
                              <a:gd name="T6" fmla="*/ 5190 w 8130"/>
                              <a:gd name="T7" fmla="*/ 10897 h 1800"/>
                              <a:gd name="T8" fmla="*/ 5190 w 8130"/>
                              <a:gd name="T9" fmla="*/ 10882 h 1800"/>
                              <a:gd name="T10" fmla="*/ 6810 w 8130"/>
                              <a:gd name="T11" fmla="*/ 10882 h 1800"/>
                              <a:gd name="T12" fmla="*/ 6195 w 8130"/>
                              <a:gd name="T13" fmla="*/ 10882 h 1800"/>
                              <a:gd name="T14" fmla="*/ 6195 w 8130"/>
                              <a:gd name="T15" fmla="*/ 10897 h 1800"/>
                              <a:gd name="T16" fmla="*/ 6810 w 8130"/>
                              <a:gd name="T17" fmla="*/ 10897 h 1800"/>
                              <a:gd name="T18" fmla="*/ 6810 w 8130"/>
                              <a:gd name="T19" fmla="*/ 10882 h 1800"/>
                              <a:gd name="T20" fmla="*/ 6810 w 8130"/>
                              <a:gd name="T21" fmla="*/ 9997 h 1800"/>
                              <a:gd name="T22" fmla="*/ 0 w 8130"/>
                              <a:gd name="T23" fmla="*/ 9997 h 1800"/>
                              <a:gd name="T24" fmla="*/ 0 w 8130"/>
                              <a:gd name="T25" fmla="*/ 10012 h 1800"/>
                              <a:gd name="T26" fmla="*/ 6810 w 8130"/>
                              <a:gd name="T27" fmla="*/ 10012 h 1800"/>
                              <a:gd name="T28" fmla="*/ 6810 w 8130"/>
                              <a:gd name="T29" fmla="*/ 9997 h 1800"/>
                              <a:gd name="T30" fmla="*/ 8130 w 8130"/>
                              <a:gd name="T31" fmla="*/ 10882 h 1800"/>
                              <a:gd name="T32" fmla="*/ 7815 w 8130"/>
                              <a:gd name="T33" fmla="*/ 10882 h 1800"/>
                              <a:gd name="T34" fmla="*/ 7815 w 8130"/>
                              <a:gd name="T35" fmla="*/ 10897 h 1800"/>
                              <a:gd name="T36" fmla="*/ 8130 w 8130"/>
                              <a:gd name="T37" fmla="*/ 10897 h 1800"/>
                              <a:gd name="T38" fmla="*/ 8130 w 8130"/>
                              <a:gd name="T39" fmla="*/ 10882 h 1800"/>
                              <a:gd name="T40" fmla="*/ 8130 w 8130"/>
                              <a:gd name="T41" fmla="*/ 9997 h 1800"/>
                              <a:gd name="T42" fmla="*/ 7815 w 8130"/>
                              <a:gd name="T43" fmla="*/ 9997 h 1800"/>
                              <a:gd name="T44" fmla="*/ 7815 w 8130"/>
                              <a:gd name="T45" fmla="*/ 10012 h 1800"/>
                              <a:gd name="T46" fmla="*/ 8130 w 8130"/>
                              <a:gd name="T47" fmla="*/ 10012 h 1800"/>
                              <a:gd name="T48" fmla="*/ 8130 w 8130"/>
                              <a:gd name="T49" fmla="*/ 9997 h 1800"/>
                              <a:gd name="T50" fmla="*/ 8130 w 8130"/>
                              <a:gd name="T51" fmla="*/ 9097 h 1800"/>
                              <a:gd name="T52" fmla="*/ 0 w 8130"/>
                              <a:gd name="T53" fmla="*/ 9097 h 1800"/>
                              <a:gd name="T54" fmla="*/ 0 w 8130"/>
                              <a:gd name="T55" fmla="*/ 9112 h 1800"/>
                              <a:gd name="T56" fmla="*/ 8130 w 8130"/>
                              <a:gd name="T57" fmla="*/ 9112 h 1800"/>
                              <a:gd name="T58" fmla="*/ 8130 w 8130"/>
                              <a:gd name="T59" fmla="*/ 9097 h 18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30" h="1800">
                                <a:moveTo>
                                  <a:pt x="5190" y="1785"/>
                                </a:moveTo>
                                <a:lnTo>
                                  <a:pt x="0" y="1785"/>
                                </a:lnTo>
                                <a:lnTo>
                                  <a:pt x="0" y="1800"/>
                                </a:lnTo>
                                <a:lnTo>
                                  <a:pt x="5190" y="1800"/>
                                </a:lnTo>
                                <a:lnTo>
                                  <a:pt x="5190" y="1785"/>
                                </a:lnTo>
                                <a:close/>
                                <a:moveTo>
                                  <a:pt x="6810" y="1785"/>
                                </a:moveTo>
                                <a:lnTo>
                                  <a:pt x="6195" y="1785"/>
                                </a:lnTo>
                                <a:lnTo>
                                  <a:pt x="6195" y="1800"/>
                                </a:lnTo>
                                <a:lnTo>
                                  <a:pt x="6810" y="1800"/>
                                </a:lnTo>
                                <a:lnTo>
                                  <a:pt x="6810" y="1785"/>
                                </a:lnTo>
                                <a:close/>
                                <a:moveTo>
                                  <a:pt x="6810" y="900"/>
                                </a:moveTo>
                                <a:lnTo>
                                  <a:pt x="0" y="900"/>
                                </a:lnTo>
                                <a:lnTo>
                                  <a:pt x="0" y="915"/>
                                </a:lnTo>
                                <a:lnTo>
                                  <a:pt x="6810" y="915"/>
                                </a:lnTo>
                                <a:lnTo>
                                  <a:pt x="6810" y="900"/>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635361044" name="Rectangle 174"/>
                        <wps:cNvSpPr>
                          <a:spLocks noChangeArrowheads="1"/>
                        </wps:cNvSpPr>
                        <wps:spPr bwMode="auto">
                          <a:xfrm>
                            <a:off x="2385" y="11302"/>
                            <a:ext cx="1005" cy="30"/>
                          </a:xfrm>
                          <a:prstGeom prst="rect">
                            <a:avLst/>
                          </a:prstGeom>
                          <a:solidFill>
                            <a:srgbClr val="663AB6"/>
                          </a:solidFill>
                          <a:ln>
                            <a:noFill/>
                          </a:ln>
                          <a:effectLst/>
                        </wps:spPr>
                        <wps:bodyPr rot="0" vert="horz" wrap="square" lIns="91440" tIns="45720" rIns="91440" bIns="45720" anchor="t" anchorCtr="0" upright="1">
                          <a:noAutofit/>
                        </wps:bodyPr>
                      </wps:wsp>
                      <wps:wsp>
                        <wps:cNvPr id="153752962" name="Rectangle 173"/>
                        <wps:cNvSpPr>
                          <a:spLocks noChangeArrowheads="1"/>
                        </wps:cNvSpPr>
                        <wps:spPr bwMode="auto">
                          <a:xfrm>
                            <a:off x="2880" y="11122"/>
                            <a:ext cx="15" cy="180"/>
                          </a:xfrm>
                          <a:prstGeom prst="rect">
                            <a:avLst/>
                          </a:prstGeom>
                          <a:solidFill>
                            <a:srgbClr val="999999"/>
                          </a:solidFill>
                          <a:ln>
                            <a:noFill/>
                          </a:ln>
                          <a:effectLst/>
                        </wps:spPr>
                        <wps:bodyPr rot="0" vert="horz" wrap="square" lIns="91440" tIns="45720" rIns="91440" bIns="45720" anchor="t" anchorCtr="0" upright="1">
                          <a:noAutofit/>
                        </wps:bodyPr>
                      </wps:wsp>
                      <wps:wsp>
                        <wps:cNvPr id="1278664306" name="AutoShape 172"/>
                        <wps:cNvSpPr/>
                        <wps:spPr bwMode="auto">
                          <a:xfrm>
                            <a:off x="2559" y="10963"/>
                            <a:ext cx="655" cy="169"/>
                          </a:xfrm>
                          <a:custGeom>
                            <a:avLst/>
                            <a:gdLst>
                              <a:gd name="T0" fmla="*/ 23 w 655"/>
                              <a:gd name="T1" fmla="*/ 11001 h 169"/>
                              <a:gd name="T2" fmla="*/ 0 w 655"/>
                              <a:gd name="T3" fmla="*/ 10998 h 169"/>
                              <a:gd name="T4" fmla="*/ 35 w 655"/>
                              <a:gd name="T5" fmla="*/ 10971 h 169"/>
                              <a:gd name="T6" fmla="*/ 167 w 655"/>
                              <a:gd name="T7" fmla="*/ 11124 h 169"/>
                              <a:gd name="T8" fmla="*/ 144 w 655"/>
                              <a:gd name="T9" fmla="*/ 11072 h 169"/>
                              <a:gd name="T10" fmla="*/ 146 w 655"/>
                              <a:gd name="T11" fmla="*/ 11018 h 169"/>
                              <a:gd name="T12" fmla="*/ 173 w 655"/>
                              <a:gd name="T13" fmla="*/ 10964 h 169"/>
                              <a:gd name="T14" fmla="*/ 167 w 655"/>
                              <a:gd name="T15" fmla="*/ 10998 h 169"/>
                              <a:gd name="T16" fmla="*/ 158 w 655"/>
                              <a:gd name="T17" fmla="*/ 11048 h 169"/>
                              <a:gd name="T18" fmla="*/ 173 w 655"/>
                              <a:gd name="T19" fmla="*/ 11133 h 169"/>
                              <a:gd name="T20" fmla="*/ 233 w 655"/>
                              <a:gd name="T21" fmla="*/ 11001 h 169"/>
                              <a:gd name="T22" fmla="*/ 210 w 655"/>
                              <a:gd name="T23" fmla="*/ 10998 h 169"/>
                              <a:gd name="T24" fmla="*/ 245 w 655"/>
                              <a:gd name="T25" fmla="*/ 10971 h 169"/>
                              <a:gd name="T26" fmla="*/ 307 w 655"/>
                              <a:gd name="T27" fmla="*/ 11077 h 169"/>
                              <a:gd name="T28" fmla="*/ 364 w 655"/>
                              <a:gd name="T29" fmla="*/ 11059 h 169"/>
                              <a:gd name="T30" fmla="*/ 383 w 655"/>
                              <a:gd name="T31" fmla="*/ 11084 h 169"/>
                              <a:gd name="T32" fmla="*/ 413 w 655"/>
                              <a:gd name="T33" fmla="*/ 11071 h 169"/>
                              <a:gd name="T34" fmla="*/ 409 w 655"/>
                              <a:gd name="T35" fmla="*/ 11039 h 169"/>
                              <a:gd name="T36" fmla="*/ 384 w 655"/>
                              <a:gd name="T37" fmla="*/ 11033 h 169"/>
                              <a:gd name="T38" fmla="*/ 384 w 655"/>
                              <a:gd name="T39" fmla="*/ 11020 h 169"/>
                              <a:gd name="T40" fmla="*/ 410 w 655"/>
                              <a:gd name="T41" fmla="*/ 11006 h 169"/>
                              <a:gd name="T42" fmla="*/ 400 w 655"/>
                              <a:gd name="T43" fmla="*/ 10980 h 169"/>
                              <a:gd name="T44" fmla="*/ 374 w 655"/>
                              <a:gd name="T45" fmla="*/ 10984 h 169"/>
                              <a:gd name="T46" fmla="*/ 352 w 655"/>
                              <a:gd name="T47" fmla="*/ 10988 h 169"/>
                              <a:gd name="T48" fmla="*/ 389 w 655"/>
                              <a:gd name="T49" fmla="*/ 10965 h 169"/>
                              <a:gd name="T50" fmla="*/ 419 w 655"/>
                              <a:gd name="T51" fmla="*/ 10977 h 169"/>
                              <a:gd name="T52" fmla="*/ 426 w 655"/>
                              <a:gd name="T53" fmla="*/ 11005 h 169"/>
                              <a:gd name="T54" fmla="*/ 409 w 655"/>
                              <a:gd name="T55" fmla="*/ 11025 h 169"/>
                              <a:gd name="T56" fmla="*/ 433 w 655"/>
                              <a:gd name="T57" fmla="*/ 11048 h 169"/>
                              <a:gd name="T58" fmla="*/ 412 w 655"/>
                              <a:gd name="T59" fmla="*/ 11093 h 169"/>
                              <a:gd name="T60" fmla="*/ 361 w 655"/>
                              <a:gd name="T61" fmla="*/ 11087 h 169"/>
                              <a:gd name="T62" fmla="*/ 451 w 655"/>
                              <a:gd name="T63" fmla="*/ 10988 h 169"/>
                              <a:gd name="T64" fmla="*/ 478 w 655"/>
                              <a:gd name="T65" fmla="*/ 10964 h 169"/>
                              <a:gd name="T66" fmla="*/ 507 w 655"/>
                              <a:gd name="T67" fmla="*/ 10987 h 169"/>
                              <a:gd name="T68" fmla="*/ 493 w 655"/>
                              <a:gd name="T69" fmla="*/ 11029 h 169"/>
                              <a:gd name="T70" fmla="*/ 459 w 655"/>
                              <a:gd name="T71" fmla="*/ 11023 h 169"/>
                              <a:gd name="T72" fmla="*/ 475 w 655"/>
                              <a:gd name="T73" fmla="*/ 10975 h 169"/>
                              <a:gd name="T74" fmla="*/ 465 w 655"/>
                              <a:gd name="T75" fmla="*/ 10999 h 169"/>
                              <a:gd name="T76" fmla="*/ 475 w 655"/>
                              <a:gd name="T77" fmla="*/ 11021 h 169"/>
                              <a:gd name="T78" fmla="*/ 491 w 655"/>
                              <a:gd name="T79" fmla="*/ 11013 h 169"/>
                              <a:gd name="T80" fmla="*/ 489 w 655"/>
                              <a:gd name="T81" fmla="*/ 10980 h 169"/>
                              <a:gd name="T82" fmla="*/ 550 w 655"/>
                              <a:gd name="T83" fmla="*/ 10964 h 169"/>
                              <a:gd name="T84" fmla="*/ 535 w 655"/>
                              <a:gd name="T85" fmla="*/ 11055 h 169"/>
                              <a:gd name="T86" fmla="*/ 562 w 655"/>
                              <a:gd name="T87" fmla="*/ 11031 h 169"/>
                              <a:gd name="T88" fmla="*/ 590 w 655"/>
                              <a:gd name="T89" fmla="*/ 11054 h 169"/>
                              <a:gd name="T90" fmla="*/ 577 w 655"/>
                              <a:gd name="T91" fmla="*/ 11097 h 169"/>
                              <a:gd name="T92" fmla="*/ 543 w 655"/>
                              <a:gd name="T93" fmla="*/ 11091 h 169"/>
                              <a:gd name="T94" fmla="*/ 558 w 655"/>
                              <a:gd name="T95" fmla="*/ 11042 h 169"/>
                              <a:gd name="T96" fmla="*/ 549 w 655"/>
                              <a:gd name="T97" fmla="*/ 11066 h 169"/>
                              <a:gd name="T98" fmla="*/ 558 w 655"/>
                              <a:gd name="T99" fmla="*/ 11089 h 169"/>
                              <a:gd name="T100" fmla="*/ 575 w 655"/>
                              <a:gd name="T101" fmla="*/ 11080 h 169"/>
                              <a:gd name="T102" fmla="*/ 572 w 655"/>
                              <a:gd name="T103" fmla="*/ 11047 h 169"/>
                              <a:gd name="T104" fmla="*/ 612 w 655"/>
                              <a:gd name="T105" fmla="*/ 11133 h 169"/>
                              <a:gd name="T106" fmla="*/ 638 w 655"/>
                              <a:gd name="T107" fmla="*/ 11037 h 169"/>
                              <a:gd name="T108" fmla="*/ 626 w 655"/>
                              <a:gd name="T109" fmla="*/ 10990 h 169"/>
                              <a:gd name="T110" fmla="*/ 631 w 655"/>
                              <a:gd name="T111" fmla="*/ 10975 h 169"/>
                              <a:gd name="T112" fmla="*/ 653 w 655"/>
                              <a:gd name="T113" fmla="*/ 11028 h 169"/>
                              <a:gd name="T114" fmla="*/ 649 w 655"/>
                              <a:gd name="T115" fmla="*/ 11083 h 169"/>
                              <a:gd name="T116" fmla="*/ 623 w 655"/>
                              <a:gd name="T117" fmla="*/ 11133 h 16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55" h="169">
                                <a:moveTo>
                                  <a:pt x="48" y="131"/>
                                </a:moveTo>
                                <a:lnTo>
                                  <a:pt x="32" y="131"/>
                                </a:lnTo>
                                <a:lnTo>
                                  <a:pt x="32" y="30"/>
                                </a:lnTo>
                                <a:lnTo>
                                  <a:pt x="28" y="34"/>
                                </a:lnTo>
                                <a:lnTo>
                                  <a:pt x="23" y="37"/>
                                </a:lnTo>
                                <a:lnTo>
                                  <a:pt x="17" y="41"/>
                                </a:lnTo>
                                <a:lnTo>
                                  <a:pt x="11" y="45"/>
                                </a:lnTo>
                                <a:lnTo>
                                  <a:pt x="5" y="47"/>
                                </a:lnTo>
                                <a:lnTo>
                                  <a:pt x="0" y="49"/>
                                </a:lnTo>
                                <a:lnTo>
                                  <a:pt x="0" y="34"/>
                                </a:lnTo>
                                <a:lnTo>
                                  <a:pt x="9" y="30"/>
                                </a:lnTo>
                                <a:lnTo>
                                  <a:pt x="17" y="25"/>
                                </a:lnTo>
                                <a:lnTo>
                                  <a:pt x="23" y="19"/>
                                </a:lnTo>
                                <a:lnTo>
                                  <a:pt x="30" y="13"/>
                                </a:lnTo>
                                <a:lnTo>
                                  <a:pt x="35" y="7"/>
                                </a:lnTo>
                                <a:lnTo>
                                  <a:pt x="38" y="1"/>
                                </a:lnTo>
                                <a:lnTo>
                                  <a:pt x="48" y="1"/>
                                </a:lnTo>
                                <a:lnTo>
                                  <a:pt x="48" y="131"/>
                                </a:lnTo>
                                <a:close/>
                                <a:moveTo>
                                  <a:pt x="173" y="169"/>
                                </a:moveTo>
                                <a:lnTo>
                                  <a:pt x="167" y="160"/>
                                </a:lnTo>
                                <a:lnTo>
                                  <a:pt x="161" y="151"/>
                                </a:lnTo>
                                <a:lnTo>
                                  <a:pt x="156" y="141"/>
                                </a:lnTo>
                                <a:lnTo>
                                  <a:pt x="151" y="130"/>
                                </a:lnTo>
                                <a:lnTo>
                                  <a:pt x="147" y="119"/>
                                </a:lnTo>
                                <a:lnTo>
                                  <a:pt x="144" y="108"/>
                                </a:lnTo>
                                <a:lnTo>
                                  <a:pt x="142" y="96"/>
                                </a:lnTo>
                                <a:lnTo>
                                  <a:pt x="142" y="84"/>
                                </a:lnTo>
                                <a:lnTo>
                                  <a:pt x="142" y="74"/>
                                </a:lnTo>
                                <a:lnTo>
                                  <a:pt x="143" y="64"/>
                                </a:lnTo>
                                <a:lnTo>
                                  <a:pt x="146" y="54"/>
                                </a:lnTo>
                                <a:lnTo>
                                  <a:pt x="148" y="44"/>
                                </a:lnTo>
                                <a:lnTo>
                                  <a:pt x="153" y="33"/>
                                </a:lnTo>
                                <a:lnTo>
                                  <a:pt x="159" y="22"/>
                                </a:lnTo>
                                <a:lnTo>
                                  <a:pt x="165" y="11"/>
                                </a:lnTo>
                                <a:lnTo>
                                  <a:pt x="173" y="0"/>
                                </a:lnTo>
                                <a:lnTo>
                                  <a:pt x="184" y="0"/>
                                </a:lnTo>
                                <a:lnTo>
                                  <a:pt x="177" y="12"/>
                                </a:lnTo>
                                <a:lnTo>
                                  <a:pt x="172" y="21"/>
                                </a:lnTo>
                                <a:lnTo>
                                  <a:pt x="170" y="26"/>
                                </a:lnTo>
                                <a:lnTo>
                                  <a:pt x="167" y="34"/>
                                </a:lnTo>
                                <a:lnTo>
                                  <a:pt x="164" y="42"/>
                                </a:lnTo>
                                <a:lnTo>
                                  <a:pt x="162" y="51"/>
                                </a:lnTo>
                                <a:lnTo>
                                  <a:pt x="159" y="62"/>
                                </a:lnTo>
                                <a:lnTo>
                                  <a:pt x="158" y="73"/>
                                </a:lnTo>
                                <a:lnTo>
                                  <a:pt x="158" y="84"/>
                                </a:lnTo>
                                <a:lnTo>
                                  <a:pt x="160" y="105"/>
                                </a:lnTo>
                                <a:lnTo>
                                  <a:pt x="165" y="127"/>
                                </a:lnTo>
                                <a:lnTo>
                                  <a:pt x="173" y="148"/>
                                </a:lnTo>
                                <a:lnTo>
                                  <a:pt x="184" y="169"/>
                                </a:lnTo>
                                <a:lnTo>
                                  <a:pt x="173" y="169"/>
                                </a:lnTo>
                                <a:close/>
                                <a:moveTo>
                                  <a:pt x="258" y="131"/>
                                </a:moveTo>
                                <a:lnTo>
                                  <a:pt x="242" y="131"/>
                                </a:lnTo>
                                <a:lnTo>
                                  <a:pt x="242" y="30"/>
                                </a:lnTo>
                                <a:lnTo>
                                  <a:pt x="238" y="34"/>
                                </a:lnTo>
                                <a:lnTo>
                                  <a:pt x="233" y="37"/>
                                </a:lnTo>
                                <a:lnTo>
                                  <a:pt x="227" y="41"/>
                                </a:lnTo>
                                <a:lnTo>
                                  <a:pt x="221" y="45"/>
                                </a:lnTo>
                                <a:lnTo>
                                  <a:pt x="215" y="47"/>
                                </a:lnTo>
                                <a:lnTo>
                                  <a:pt x="210" y="49"/>
                                </a:lnTo>
                                <a:lnTo>
                                  <a:pt x="210" y="34"/>
                                </a:lnTo>
                                <a:lnTo>
                                  <a:pt x="219" y="30"/>
                                </a:lnTo>
                                <a:lnTo>
                                  <a:pt x="227" y="25"/>
                                </a:lnTo>
                                <a:lnTo>
                                  <a:pt x="234" y="19"/>
                                </a:lnTo>
                                <a:lnTo>
                                  <a:pt x="240" y="13"/>
                                </a:lnTo>
                                <a:lnTo>
                                  <a:pt x="245" y="7"/>
                                </a:lnTo>
                                <a:lnTo>
                                  <a:pt x="248" y="1"/>
                                </a:lnTo>
                                <a:lnTo>
                                  <a:pt x="258" y="1"/>
                                </a:lnTo>
                                <a:lnTo>
                                  <a:pt x="258" y="131"/>
                                </a:lnTo>
                                <a:close/>
                                <a:moveTo>
                                  <a:pt x="307" y="131"/>
                                </a:moveTo>
                                <a:lnTo>
                                  <a:pt x="307" y="113"/>
                                </a:lnTo>
                                <a:lnTo>
                                  <a:pt x="325" y="113"/>
                                </a:lnTo>
                                <a:lnTo>
                                  <a:pt x="325" y="131"/>
                                </a:lnTo>
                                <a:lnTo>
                                  <a:pt x="307" y="131"/>
                                </a:lnTo>
                                <a:close/>
                                <a:moveTo>
                                  <a:pt x="348" y="97"/>
                                </a:moveTo>
                                <a:lnTo>
                                  <a:pt x="364" y="95"/>
                                </a:lnTo>
                                <a:lnTo>
                                  <a:pt x="366" y="104"/>
                                </a:lnTo>
                                <a:lnTo>
                                  <a:pt x="369" y="110"/>
                                </a:lnTo>
                                <a:lnTo>
                                  <a:pt x="374" y="114"/>
                                </a:lnTo>
                                <a:lnTo>
                                  <a:pt x="378" y="118"/>
                                </a:lnTo>
                                <a:lnTo>
                                  <a:pt x="383" y="120"/>
                                </a:lnTo>
                                <a:lnTo>
                                  <a:pt x="389" y="120"/>
                                </a:lnTo>
                                <a:lnTo>
                                  <a:pt x="397" y="120"/>
                                </a:lnTo>
                                <a:lnTo>
                                  <a:pt x="403" y="117"/>
                                </a:lnTo>
                                <a:lnTo>
                                  <a:pt x="408" y="112"/>
                                </a:lnTo>
                                <a:lnTo>
                                  <a:pt x="413" y="107"/>
                                </a:lnTo>
                                <a:lnTo>
                                  <a:pt x="416" y="101"/>
                                </a:lnTo>
                                <a:lnTo>
                                  <a:pt x="416" y="93"/>
                                </a:lnTo>
                                <a:lnTo>
                                  <a:pt x="416" y="86"/>
                                </a:lnTo>
                                <a:lnTo>
                                  <a:pt x="414" y="80"/>
                                </a:lnTo>
                                <a:lnTo>
                                  <a:pt x="409" y="75"/>
                                </a:lnTo>
                                <a:lnTo>
                                  <a:pt x="404" y="70"/>
                                </a:lnTo>
                                <a:lnTo>
                                  <a:pt x="398" y="68"/>
                                </a:lnTo>
                                <a:lnTo>
                                  <a:pt x="391" y="68"/>
                                </a:lnTo>
                                <a:lnTo>
                                  <a:pt x="388" y="68"/>
                                </a:lnTo>
                                <a:lnTo>
                                  <a:pt x="384" y="69"/>
                                </a:lnTo>
                                <a:lnTo>
                                  <a:pt x="380" y="70"/>
                                </a:lnTo>
                                <a:lnTo>
                                  <a:pt x="381" y="56"/>
                                </a:lnTo>
                                <a:lnTo>
                                  <a:pt x="382" y="56"/>
                                </a:lnTo>
                                <a:lnTo>
                                  <a:pt x="383" y="56"/>
                                </a:lnTo>
                                <a:lnTo>
                                  <a:pt x="384" y="56"/>
                                </a:lnTo>
                                <a:lnTo>
                                  <a:pt x="391" y="56"/>
                                </a:lnTo>
                                <a:lnTo>
                                  <a:pt x="397" y="54"/>
                                </a:lnTo>
                                <a:lnTo>
                                  <a:pt x="402" y="51"/>
                                </a:lnTo>
                                <a:lnTo>
                                  <a:pt x="408" y="47"/>
                                </a:lnTo>
                                <a:lnTo>
                                  <a:pt x="410" y="42"/>
                                </a:lnTo>
                                <a:lnTo>
                                  <a:pt x="410" y="35"/>
                                </a:lnTo>
                                <a:lnTo>
                                  <a:pt x="410" y="29"/>
                                </a:lnTo>
                                <a:lnTo>
                                  <a:pt x="408" y="24"/>
                                </a:lnTo>
                                <a:lnTo>
                                  <a:pt x="404" y="20"/>
                                </a:lnTo>
                                <a:lnTo>
                                  <a:pt x="400" y="16"/>
                                </a:lnTo>
                                <a:lnTo>
                                  <a:pt x="395" y="14"/>
                                </a:lnTo>
                                <a:lnTo>
                                  <a:pt x="389" y="14"/>
                                </a:lnTo>
                                <a:lnTo>
                                  <a:pt x="383" y="14"/>
                                </a:lnTo>
                                <a:lnTo>
                                  <a:pt x="378" y="16"/>
                                </a:lnTo>
                                <a:lnTo>
                                  <a:pt x="374" y="20"/>
                                </a:lnTo>
                                <a:lnTo>
                                  <a:pt x="370" y="24"/>
                                </a:lnTo>
                                <a:lnTo>
                                  <a:pt x="367" y="30"/>
                                </a:lnTo>
                                <a:lnTo>
                                  <a:pt x="366" y="38"/>
                                </a:lnTo>
                                <a:lnTo>
                                  <a:pt x="350" y="35"/>
                                </a:lnTo>
                                <a:lnTo>
                                  <a:pt x="352" y="24"/>
                                </a:lnTo>
                                <a:lnTo>
                                  <a:pt x="356" y="16"/>
                                </a:lnTo>
                                <a:lnTo>
                                  <a:pt x="363" y="10"/>
                                </a:lnTo>
                                <a:lnTo>
                                  <a:pt x="370" y="4"/>
                                </a:lnTo>
                                <a:lnTo>
                                  <a:pt x="379" y="1"/>
                                </a:lnTo>
                                <a:lnTo>
                                  <a:pt x="389" y="1"/>
                                </a:lnTo>
                                <a:lnTo>
                                  <a:pt x="396" y="1"/>
                                </a:lnTo>
                                <a:lnTo>
                                  <a:pt x="402" y="3"/>
                                </a:lnTo>
                                <a:lnTo>
                                  <a:pt x="408" y="6"/>
                                </a:lnTo>
                                <a:lnTo>
                                  <a:pt x="414" y="9"/>
                                </a:lnTo>
                                <a:lnTo>
                                  <a:pt x="419" y="13"/>
                                </a:lnTo>
                                <a:lnTo>
                                  <a:pt x="422" y="18"/>
                                </a:lnTo>
                                <a:lnTo>
                                  <a:pt x="425" y="24"/>
                                </a:lnTo>
                                <a:lnTo>
                                  <a:pt x="426" y="29"/>
                                </a:lnTo>
                                <a:lnTo>
                                  <a:pt x="426" y="35"/>
                                </a:lnTo>
                                <a:lnTo>
                                  <a:pt x="426" y="41"/>
                                </a:lnTo>
                                <a:lnTo>
                                  <a:pt x="425" y="46"/>
                                </a:lnTo>
                                <a:lnTo>
                                  <a:pt x="422" y="50"/>
                                </a:lnTo>
                                <a:lnTo>
                                  <a:pt x="419" y="55"/>
                                </a:lnTo>
                                <a:lnTo>
                                  <a:pt x="415" y="58"/>
                                </a:lnTo>
                                <a:lnTo>
                                  <a:pt x="409" y="61"/>
                                </a:lnTo>
                                <a:lnTo>
                                  <a:pt x="416" y="63"/>
                                </a:lnTo>
                                <a:lnTo>
                                  <a:pt x="422" y="66"/>
                                </a:lnTo>
                                <a:lnTo>
                                  <a:pt x="426" y="72"/>
                                </a:lnTo>
                                <a:lnTo>
                                  <a:pt x="431" y="78"/>
                                </a:lnTo>
                                <a:lnTo>
                                  <a:pt x="433" y="84"/>
                                </a:lnTo>
                                <a:lnTo>
                                  <a:pt x="433" y="93"/>
                                </a:lnTo>
                                <a:lnTo>
                                  <a:pt x="433" y="104"/>
                                </a:lnTo>
                                <a:lnTo>
                                  <a:pt x="429" y="114"/>
                                </a:lnTo>
                                <a:lnTo>
                                  <a:pt x="420" y="121"/>
                                </a:lnTo>
                                <a:lnTo>
                                  <a:pt x="412" y="129"/>
                                </a:lnTo>
                                <a:lnTo>
                                  <a:pt x="402" y="133"/>
                                </a:lnTo>
                                <a:lnTo>
                                  <a:pt x="389" y="133"/>
                                </a:lnTo>
                                <a:lnTo>
                                  <a:pt x="378" y="133"/>
                                </a:lnTo>
                                <a:lnTo>
                                  <a:pt x="369" y="130"/>
                                </a:lnTo>
                                <a:lnTo>
                                  <a:pt x="361" y="123"/>
                                </a:lnTo>
                                <a:lnTo>
                                  <a:pt x="354" y="116"/>
                                </a:lnTo>
                                <a:lnTo>
                                  <a:pt x="349" y="108"/>
                                </a:lnTo>
                                <a:lnTo>
                                  <a:pt x="348" y="97"/>
                                </a:lnTo>
                                <a:close/>
                                <a:moveTo>
                                  <a:pt x="451" y="33"/>
                                </a:moveTo>
                                <a:lnTo>
                                  <a:pt x="451" y="24"/>
                                </a:lnTo>
                                <a:lnTo>
                                  <a:pt x="454" y="16"/>
                                </a:lnTo>
                                <a:lnTo>
                                  <a:pt x="458" y="9"/>
                                </a:lnTo>
                                <a:lnTo>
                                  <a:pt x="463" y="3"/>
                                </a:lnTo>
                                <a:lnTo>
                                  <a:pt x="470" y="0"/>
                                </a:lnTo>
                                <a:lnTo>
                                  <a:pt x="478" y="0"/>
                                </a:lnTo>
                                <a:lnTo>
                                  <a:pt x="487" y="0"/>
                                </a:lnTo>
                                <a:lnTo>
                                  <a:pt x="493" y="3"/>
                                </a:lnTo>
                                <a:lnTo>
                                  <a:pt x="499" y="8"/>
                                </a:lnTo>
                                <a:lnTo>
                                  <a:pt x="504" y="14"/>
                                </a:lnTo>
                                <a:lnTo>
                                  <a:pt x="507" y="23"/>
                                </a:lnTo>
                                <a:lnTo>
                                  <a:pt x="507" y="34"/>
                                </a:lnTo>
                                <a:lnTo>
                                  <a:pt x="507" y="45"/>
                                </a:lnTo>
                                <a:lnTo>
                                  <a:pt x="504" y="53"/>
                                </a:lnTo>
                                <a:lnTo>
                                  <a:pt x="498" y="59"/>
                                </a:lnTo>
                                <a:lnTo>
                                  <a:pt x="493" y="65"/>
                                </a:lnTo>
                                <a:lnTo>
                                  <a:pt x="487" y="68"/>
                                </a:lnTo>
                                <a:lnTo>
                                  <a:pt x="479" y="68"/>
                                </a:lnTo>
                                <a:lnTo>
                                  <a:pt x="471" y="68"/>
                                </a:lnTo>
                                <a:lnTo>
                                  <a:pt x="464" y="65"/>
                                </a:lnTo>
                                <a:lnTo>
                                  <a:pt x="459" y="59"/>
                                </a:lnTo>
                                <a:lnTo>
                                  <a:pt x="454" y="53"/>
                                </a:lnTo>
                                <a:lnTo>
                                  <a:pt x="451" y="45"/>
                                </a:lnTo>
                                <a:lnTo>
                                  <a:pt x="451" y="33"/>
                                </a:lnTo>
                                <a:close/>
                                <a:moveTo>
                                  <a:pt x="479" y="11"/>
                                </a:moveTo>
                                <a:lnTo>
                                  <a:pt x="475" y="11"/>
                                </a:lnTo>
                                <a:lnTo>
                                  <a:pt x="472" y="12"/>
                                </a:lnTo>
                                <a:lnTo>
                                  <a:pt x="469" y="16"/>
                                </a:lnTo>
                                <a:lnTo>
                                  <a:pt x="467" y="19"/>
                                </a:lnTo>
                                <a:lnTo>
                                  <a:pt x="465" y="25"/>
                                </a:lnTo>
                                <a:lnTo>
                                  <a:pt x="465" y="35"/>
                                </a:lnTo>
                                <a:lnTo>
                                  <a:pt x="465" y="43"/>
                                </a:lnTo>
                                <a:lnTo>
                                  <a:pt x="467" y="49"/>
                                </a:lnTo>
                                <a:lnTo>
                                  <a:pt x="469" y="52"/>
                                </a:lnTo>
                                <a:lnTo>
                                  <a:pt x="472" y="55"/>
                                </a:lnTo>
                                <a:lnTo>
                                  <a:pt x="475" y="57"/>
                                </a:lnTo>
                                <a:lnTo>
                                  <a:pt x="479" y="57"/>
                                </a:lnTo>
                                <a:lnTo>
                                  <a:pt x="483" y="57"/>
                                </a:lnTo>
                                <a:lnTo>
                                  <a:pt x="486" y="55"/>
                                </a:lnTo>
                                <a:lnTo>
                                  <a:pt x="489" y="52"/>
                                </a:lnTo>
                                <a:lnTo>
                                  <a:pt x="491" y="49"/>
                                </a:lnTo>
                                <a:lnTo>
                                  <a:pt x="493" y="42"/>
                                </a:lnTo>
                                <a:lnTo>
                                  <a:pt x="493" y="33"/>
                                </a:lnTo>
                                <a:lnTo>
                                  <a:pt x="493" y="25"/>
                                </a:lnTo>
                                <a:lnTo>
                                  <a:pt x="491" y="19"/>
                                </a:lnTo>
                                <a:lnTo>
                                  <a:pt x="489" y="16"/>
                                </a:lnTo>
                                <a:lnTo>
                                  <a:pt x="486" y="12"/>
                                </a:lnTo>
                                <a:lnTo>
                                  <a:pt x="483" y="11"/>
                                </a:lnTo>
                                <a:lnTo>
                                  <a:pt x="479" y="11"/>
                                </a:lnTo>
                                <a:close/>
                                <a:moveTo>
                                  <a:pt x="479" y="136"/>
                                </a:moveTo>
                                <a:lnTo>
                                  <a:pt x="550" y="0"/>
                                </a:lnTo>
                                <a:lnTo>
                                  <a:pt x="562" y="0"/>
                                </a:lnTo>
                                <a:lnTo>
                                  <a:pt x="492" y="136"/>
                                </a:lnTo>
                                <a:lnTo>
                                  <a:pt x="479" y="136"/>
                                </a:lnTo>
                                <a:close/>
                                <a:moveTo>
                                  <a:pt x="535" y="101"/>
                                </a:moveTo>
                                <a:lnTo>
                                  <a:pt x="535" y="91"/>
                                </a:lnTo>
                                <a:lnTo>
                                  <a:pt x="537" y="84"/>
                                </a:lnTo>
                                <a:lnTo>
                                  <a:pt x="542" y="77"/>
                                </a:lnTo>
                                <a:lnTo>
                                  <a:pt x="546" y="71"/>
                                </a:lnTo>
                                <a:lnTo>
                                  <a:pt x="553" y="67"/>
                                </a:lnTo>
                                <a:lnTo>
                                  <a:pt x="562" y="67"/>
                                </a:lnTo>
                                <a:lnTo>
                                  <a:pt x="570" y="67"/>
                                </a:lnTo>
                                <a:lnTo>
                                  <a:pt x="577" y="70"/>
                                </a:lnTo>
                                <a:lnTo>
                                  <a:pt x="582" y="76"/>
                                </a:lnTo>
                                <a:lnTo>
                                  <a:pt x="587" y="82"/>
                                </a:lnTo>
                                <a:lnTo>
                                  <a:pt x="590" y="90"/>
                                </a:lnTo>
                                <a:lnTo>
                                  <a:pt x="590" y="102"/>
                                </a:lnTo>
                                <a:lnTo>
                                  <a:pt x="590" y="112"/>
                                </a:lnTo>
                                <a:lnTo>
                                  <a:pt x="587" y="121"/>
                                </a:lnTo>
                                <a:lnTo>
                                  <a:pt x="582" y="127"/>
                                </a:lnTo>
                                <a:lnTo>
                                  <a:pt x="577" y="133"/>
                                </a:lnTo>
                                <a:lnTo>
                                  <a:pt x="570" y="136"/>
                                </a:lnTo>
                                <a:lnTo>
                                  <a:pt x="562" y="136"/>
                                </a:lnTo>
                                <a:lnTo>
                                  <a:pt x="554" y="136"/>
                                </a:lnTo>
                                <a:lnTo>
                                  <a:pt x="548" y="133"/>
                                </a:lnTo>
                                <a:lnTo>
                                  <a:pt x="543" y="127"/>
                                </a:lnTo>
                                <a:lnTo>
                                  <a:pt x="537" y="121"/>
                                </a:lnTo>
                                <a:lnTo>
                                  <a:pt x="535" y="112"/>
                                </a:lnTo>
                                <a:lnTo>
                                  <a:pt x="535" y="101"/>
                                </a:lnTo>
                                <a:close/>
                                <a:moveTo>
                                  <a:pt x="562" y="78"/>
                                </a:moveTo>
                                <a:lnTo>
                                  <a:pt x="558" y="78"/>
                                </a:lnTo>
                                <a:lnTo>
                                  <a:pt x="555" y="80"/>
                                </a:lnTo>
                                <a:lnTo>
                                  <a:pt x="552" y="83"/>
                                </a:lnTo>
                                <a:lnTo>
                                  <a:pt x="550" y="87"/>
                                </a:lnTo>
                                <a:lnTo>
                                  <a:pt x="549" y="93"/>
                                </a:lnTo>
                                <a:lnTo>
                                  <a:pt x="549" y="102"/>
                                </a:lnTo>
                                <a:lnTo>
                                  <a:pt x="549" y="110"/>
                                </a:lnTo>
                                <a:lnTo>
                                  <a:pt x="550" y="116"/>
                                </a:lnTo>
                                <a:lnTo>
                                  <a:pt x="553" y="120"/>
                                </a:lnTo>
                                <a:lnTo>
                                  <a:pt x="555" y="123"/>
                                </a:lnTo>
                                <a:lnTo>
                                  <a:pt x="558" y="125"/>
                                </a:lnTo>
                                <a:lnTo>
                                  <a:pt x="562" y="125"/>
                                </a:lnTo>
                                <a:lnTo>
                                  <a:pt x="566" y="125"/>
                                </a:lnTo>
                                <a:lnTo>
                                  <a:pt x="570" y="123"/>
                                </a:lnTo>
                                <a:lnTo>
                                  <a:pt x="572" y="120"/>
                                </a:lnTo>
                                <a:lnTo>
                                  <a:pt x="575" y="116"/>
                                </a:lnTo>
                                <a:lnTo>
                                  <a:pt x="576" y="110"/>
                                </a:lnTo>
                                <a:lnTo>
                                  <a:pt x="576" y="101"/>
                                </a:lnTo>
                                <a:lnTo>
                                  <a:pt x="576" y="93"/>
                                </a:lnTo>
                                <a:lnTo>
                                  <a:pt x="575" y="87"/>
                                </a:lnTo>
                                <a:lnTo>
                                  <a:pt x="572" y="83"/>
                                </a:lnTo>
                                <a:lnTo>
                                  <a:pt x="570" y="80"/>
                                </a:lnTo>
                                <a:lnTo>
                                  <a:pt x="566" y="78"/>
                                </a:lnTo>
                                <a:lnTo>
                                  <a:pt x="562" y="78"/>
                                </a:lnTo>
                                <a:close/>
                                <a:moveTo>
                                  <a:pt x="623" y="169"/>
                                </a:moveTo>
                                <a:lnTo>
                                  <a:pt x="612" y="169"/>
                                </a:lnTo>
                                <a:lnTo>
                                  <a:pt x="623" y="148"/>
                                </a:lnTo>
                                <a:lnTo>
                                  <a:pt x="632" y="127"/>
                                </a:lnTo>
                                <a:lnTo>
                                  <a:pt x="637" y="105"/>
                                </a:lnTo>
                                <a:lnTo>
                                  <a:pt x="638" y="84"/>
                                </a:lnTo>
                                <a:lnTo>
                                  <a:pt x="638" y="73"/>
                                </a:lnTo>
                                <a:lnTo>
                                  <a:pt x="637" y="62"/>
                                </a:lnTo>
                                <a:lnTo>
                                  <a:pt x="634" y="51"/>
                                </a:lnTo>
                                <a:lnTo>
                                  <a:pt x="632" y="43"/>
                                </a:lnTo>
                                <a:lnTo>
                                  <a:pt x="630" y="34"/>
                                </a:lnTo>
                                <a:lnTo>
                                  <a:pt x="626" y="26"/>
                                </a:lnTo>
                                <a:lnTo>
                                  <a:pt x="624" y="21"/>
                                </a:lnTo>
                                <a:lnTo>
                                  <a:pt x="619" y="12"/>
                                </a:lnTo>
                                <a:lnTo>
                                  <a:pt x="612" y="0"/>
                                </a:lnTo>
                                <a:lnTo>
                                  <a:pt x="623" y="0"/>
                                </a:lnTo>
                                <a:lnTo>
                                  <a:pt x="631" y="11"/>
                                </a:lnTo>
                                <a:lnTo>
                                  <a:pt x="638" y="22"/>
                                </a:lnTo>
                                <a:lnTo>
                                  <a:pt x="643" y="33"/>
                                </a:lnTo>
                                <a:lnTo>
                                  <a:pt x="648" y="44"/>
                                </a:lnTo>
                                <a:lnTo>
                                  <a:pt x="651" y="54"/>
                                </a:lnTo>
                                <a:lnTo>
                                  <a:pt x="653" y="64"/>
                                </a:lnTo>
                                <a:lnTo>
                                  <a:pt x="654" y="74"/>
                                </a:lnTo>
                                <a:lnTo>
                                  <a:pt x="654" y="84"/>
                                </a:lnTo>
                                <a:lnTo>
                                  <a:pt x="654" y="96"/>
                                </a:lnTo>
                                <a:lnTo>
                                  <a:pt x="652" y="108"/>
                                </a:lnTo>
                                <a:lnTo>
                                  <a:pt x="649" y="119"/>
                                </a:lnTo>
                                <a:lnTo>
                                  <a:pt x="645" y="130"/>
                                </a:lnTo>
                                <a:lnTo>
                                  <a:pt x="641" y="141"/>
                                </a:lnTo>
                                <a:lnTo>
                                  <a:pt x="635" y="151"/>
                                </a:lnTo>
                                <a:lnTo>
                                  <a:pt x="630" y="160"/>
                                </a:lnTo>
                                <a:lnTo>
                                  <a:pt x="623" y="169"/>
                                </a:lnTo>
                                <a:close/>
                              </a:path>
                            </a:pathLst>
                          </a:custGeom>
                          <a:noFill/>
                          <a:ln w="28575">
                            <a:solidFill>
                              <a:srgbClr val="FFFFFF"/>
                            </a:solidFill>
                            <a:round/>
                          </a:ln>
                          <a:effectLst/>
                        </wps:spPr>
                        <wps:bodyPr rot="0" vert="horz" wrap="square" lIns="91440" tIns="45720" rIns="91440" bIns="45720" anchor="t" anchorCtr="0" upright="1">
                          <a:noAutofit/>
                        </wps:bodyPr>
                      </wps:wsp>
                    </wpg:wgp>
                  </a:graphicData>
                </a:graphic>
              </wp:anchor>
            </w:drawing>
          </mc:Choice>
          <mc:Fallback>
            <w:pict>
              <v:group id="Group 171" o:spid="_x0000_s1026" o:spt="203" style="position:absolute;left:0pt;margin-left:57.75pt;margin-top:-3.4pt;height:609pt;width:480pt;mso-position-horizontal-relative:page;z-index:-251603968;mso-width-relative:page;mso-height-relative:page;" coordorigin="1155,-68" coordsize="9600,12180" o:gfxdata="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">
                <o:lock v:ext="edit" aspectratio="f"/>
                <v:shape id="AutoShape 187" o:spid="_x0000_s1026" o:spt="100" style="position:absolute;left:1162;top:-61;height:12165;width:9585;" filled="f" stroked="t" coordsize="9585,12165" o:gfxdata="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z8/&#10;wAAAAOIAAAAPAAAAAAAAAAEAIAAAACIAAABkcnMvZG93bnJldi54bWxQSwECFAAUAAAACACHTuJA&#10;My8FnjsAAAA5AAAAEAAAAAAAAAABACAAAAAPAQAAZHJzL3NoYXBleG1sLnhtbFBLBQYAAAAABgAG&#10;AFsBAAC5AwAAAAA=&#10;" path="m0,6142l0,112,0,105,1,97,3,90,4,83,6,76,9,69,12,62,15,56,19,50,24,43,28,38,33,32,39,27,44,23,50,18,57,14,63,11,70,8,77,5,84,3,91,2,98,0,106,0,113,0,9473,0,9480,0,9488,0,9495,2,9502,3,9509,5,9516,8,9523,11,9529,14,9535,18,9542,23,9547,27,9553,32,9558,38,9562,43,9567,50,9571,56,9574,62,9577,69,9580,76,9582,83,9583,90,9585,97,9585,105,9585,112,9585,6142,9585,6149,9585,6157,9583,6164,9582,6171,9580,6178,9577,6185,9574,6192,9571,6198,9567,6205,9562,6211,9558,6216,9553,6222,9547,6227,9542,6231,9535,6236,9529,6240,9523,6243,9516,6246,9509,6249,9502,6251,9495,6252,9488,6254,9480,6255,9473,6255,113,6255,106,6255,98,6254,91,6252,84,6251,77,6249,70,6246,63,6243,57,6240,50,6236,44,6231,39,6227,33,6222,28,6216,24,6211,19,6205,15,6198,12,6192,9,6185,6,6178,4,6171,3,6164,1,6157,0,6149,0,6142xm0,12052l0,6382,0,6375,1,6367,3,6360,4,6353,6,6346,9,6339,12,6332,15,6326,19,6320,24,6313,28,6308,33,6302,39,6297,44,6293,50,6288,57,6284,63,6281,70,6278,77,6275,84,6273,91,6272,98,6270,106,6270,113,6270,9473,6270,9480,6270,9488,6270,9495,6272,9502,6273,9509,6275,9516,6278,9523,6281,9529,6284,9535,6288,9542,6293,9547,6297,9553,6302,9558,6308,9562,6313,9567,6320,9571,6326,9574,6332,9577,6339,9580,6346,9582,6353,9583,6360,9585,6367,9585,6375,9585,6382,9585,12052,9585,12059,9585,12067,9583,12074,9582,12081,9580,12088,9577,12095,9574,12102,9571,12108,9567,12115,9562,12121,9558,12126,9553,12132,9547,12137,9542,12141,9535,12146,9529,12150,9523,12153,9516,12156,9509,12159,9502,12161,9495,12162,9488,12164,9480,12165,9473,12165,113,12165,106,12165,98,12164,91,12162,84,12161,77,12159,70,12156,63,12153,57,12150,50,12146,44,12141,39,12137,33,12132,28,12126,24,12121,19,12115,15,12108,12,12102,9,12095,6,12088,4,12081,3,12074,1,12067,0,12059,0,12052xe">
                  <v:path o:connectlocs="1,37;9,9;24,-17;44,-37;70,-52;98,-60;9480,-60;9509,-55;9535,-42;9558,-22;9574,2;9583,30;9585,6082;9582,6111;9571,6138;9553,6162;9529,6180;9502,6191;9473,6195;91,6192;63,6183;39,6167;19,6145;6,6118;0,6089;0,6315;6,6286;19,6260;39,6237;63,6221;91,6212;9473,6210;9502,6213;9529,6224;9553,6242;9571,6266;9582,6293;9585,6322;9583,12014;9574,12042;9558,12066;9535,12086;9509,12099;9480,12105;98,12104;70,12096;44,12081;24,12061;9,12035;1,12007" o:connectangles="0,0,0,0,0,0,0,0,0,0,0,0,0,0,0,0,0,0,0,0,0,0,0,0,0,0,0,0,0,0,0,0,0,0,0,0,0,0,0,0,0,0,0,0,0,0,0,0,0,0"/>
                  <v:fill on="f" focussize="0,0"/>
                  <v:stroke color="#D9DBDF" joinstyle="round"/>
                  <v:imagedata o:title=""/>
                  <o:lock v:ext="edit" aspectratio="f"/>
                </v:shape>
                <v:shape id="Picture 186" o:spid="_x0000_s1026" o:spt="75" type="#_x0000_t75" style="position:absolute;left:9525;top:67;height:300;width:255;" filled="f" o:preferrelative="t" stroked="f" coordsize="21600,21600" o:gfxdata="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BWUUwwAAAOIAAAAPAAAAAAAAAAEAIAAAACIAAABkcnMvZG93bnJldi54bWxQSwECFAAUAAAACACH&#10;TuJAMy8FnjsAAAA5AAAAEAAAAAAAAAABACAAAAASAQAAZHJzL3NoYXBleG1sLnhtbFBLBQYAAAAA&#10;BgAGAFsBAAC8AwAAAAA=&#10;">
                  <v:fill on="f" focussize="0,0"/>
                  <v:stroke on="f"/>
                  <v:imagedata r:id="rId110" o:title=""/>
                  <o:lock v:ext="edit" aspectratio="t"/>
                </v:shape>
                <v:rect id="Rectangle 185" o:spid="_x0000_s1026" o:spt="1" style="position:absolute;left:2070;top:2737;height:2700;width:8130;" filled="f" stroked="t" coordsize="21600,21600" o:gfxdata="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1X&#10;N8EAAADjAAAADwAAAAAAAAABACAAAAAiAAAAZHJzL2Rvd25yZXYueG1sUEsBAhQAFAAAAAgAh07i&#10;QDMvBZ47AAAAOQAAABAAAAAAAAAAAQAgAAAAEAEAAGRycy9zaGFwZXhtbC54bWxQSwUGAAAAAAYA&#10;BgBbAQAAugMAAAAA&#10;">
                  <v:fill on="f" focussize="0,0"/>
                  <v:stroke color="#EDEDED" miterlimit="8" joinstyle="miter"/>
                  <v:imagedata o:title=""/>
                  <o:lock v:ext="edit" aspectratio="f"/>
                </v:rect>
                <v:shape id="AutoShape 184" o:spid="_x0000_s1026" o:spt="100" style="position:absolute;left:2069;top:2737;height:2700;width:8130;" fillcolor="#EDEDED" filled="t" stroked="f" coordsize="8130,2700" o:gfxdata="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1VD77xgAAAOMAAAAPAAAAAAAAAAEAIAAAACIAAABkcnMvZG93bnJldi54bWxQSwECFAAUAAAA&#10;CACHTuJAMy8FnjsAAAA5AAAAEAAAAAAAAAABACAAAAAVAQAAZHJzL3NoYXBleG1sLnhtbFBLBQYA&#10;AAAABgAGAFsBAAC/AwAAAAA=&#10;" path="m3570,2010l0,2010,0,2025,3570,2025,3570,2010xm5190,2010l4560,2010,4560,2025,5190,2025,5190,2010xm5190,1350l0,1350,0,1365,5190,1365,5190,1350xm5190,675l0,675,0,690,5190,690,5190,675xm6810,2010l6195,2010,6195,2025,6810,2025,6810,2010xm6810,1350l6195,1350,6195,1365,6810,1365,6810,1350xm8130,2685l0,2685,0,2700,8130,2700,8130,2685xm8130,2010l7815,2010,7815,2025,8130,2025,8130,2010xm8130,1350l7815,1350,7815,1365,8130,1365,8130,1350xm8130,675l6195,675,6195,690,8130,690,8130,675xm8130,0l0,0,0,15,8130,15,8130,0xe">
                  <v:path o:connectlocs="3570,4747;0,4747;0,4762;3570,4762;3570,4747;5190,4747;4560,4747;4560,4762;5190,4762;5190,4747;5190,4087;0,4087;0,4102;5190,4102;5190,4087;5190,3412;0,3412;0,3427;5190,3427;5190,3412;6810,4747;6195,4747;6195,4762;6810,4762;6810,4747;6810,4087;6195,4087;6195,4102;6810,4102;6810,4087;8130,5422;0,5422;0,5437;8130,5437;8130,5422;8130,4747;7815,4747;7815,4762;8130,4762;8130,4747;8130,4087;7815,4087;7815,4102;8130,4102;8130,4087;8130,3412;6195,3412;6195,3427;8130,3427;8130,3412;8130,2737;0,2737;0,2752;8130,2752;8130,2737" o:connectangles="0,0,0,0,0,0,0,0,0,0,0,0,0,0,0,0,0,0,0,0,0,0,0,0,0,0,0,0,0,0,0,0,0,0,0,0,0,0,0,0,0,0,0,0,0,0,0,0,0,0,0,0,0,0,0"/>
                  <v:fill on="t" focussize="0,0"/>
                  <v:stroke on="f"/>
                  <v:imagedata o:title=""/>
                  <o:lock v:ext="edit" aspectratio="f"/>
                </v:shape>
                <v:shape id="AutoShape 183" o:spid="_x0000_s1026" o:spt="100" style="position:absolute;left:2069;top:3067;height:2040;width:8130;" fillcolor="#F7F7F7" filled="t" stroked="f" coordsize="8130,2040" o:gfxdata="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rq&#10;hsEAAADiAAAADwAAAAAAAAABACAAAAAiAAAAZHJzL2Rvd25yZXYueG1sUEsBAhQAFAAAAAgAh07i&#10;QDMvBZ47AAAAOQAAABAAAAAAAAAAAQAgAAAAEAEAAGRycy9zaGFwZXhtbC54bWxQSwUGAAAAAAYA&#10;BgBbAQAAugMAAAAA&#10;" path="m3570,2025l0,2025,0,2040,3570,2040,3570,2025xm5190,2025l4560,2025,4560,2040,5190,2040,5190,2025xm5190,1350l0,1350,0,1365,5190,1365,5190,1350xm5190,675l0,675,0,690,5190,690,5190,675xm6810,2025l6195,2025,6195,2040,6810,2040,6810,2025xm6810,1350l6195,1350,6195,1365,6810,1365,6810,1350xm8130,2025l7815,2025,7815,2040,8130,2040,8130,2025xm8130,1350l7815,1350,7815,1365,8130,1365,8130,1350xm8130,675l6195,675,6195,690,8130,690,8130,675xm8130,0l0,0,0,15,8130,15,8130,0xe">
                  <v:path o:connectlocs="3570,5092;0,5092;0,5107;3570,5107;3570,5092;5190,5092;4560,5092;4560,5107;5190,5107;5190,5092;5190,4417;0,4417;0,4432;5190,4432;5190,4417;5190,3742;0,3742;0,3757;5190,3757;5190,3742;6810,5092;6195,5092;6195,5107;6810,5107;6810,5092;6810,4417;6195,4417;6195,4432;6810,4432;6810,4417;8130,5092;7815,5092;7815,5107;8130,5107;8130,5092;8130,4417;7815,4417;7815,4432;8130,4432;8130,4417;8130,3742;6195,3742;6195,3757;8130,3757;8130,3742;8130,3067;0,3067;0,3082;8130,3082;8130,3067" o:connectangles="0,0,0,0,0,0,0,0,0,0,0,0,0,0,0,0,0,0,0,0,0,0,0,0,0,0,0,0,0,0,0,0,0,0,0,0,0,0,0,0,0,0,0,0,0,0,0,0,0,0"/>
                  <v:fill on="t" focussize="0,0"/>
                  <v:stroke on="f"/>
                  <v:imagedata o:title=""/>
                  <o:lock v:ext="edit" aspectratio="f"/>
                </v:shape>
                <v:shape id="AutoShape 182" o:spid="_x0000_s1026" o:spt="100" style="position:absolute;left:2384;top:5242;height:180;width:2625;" fillcolor="#663AB6" filled="t" stroked="f" coordsize="2625,180" o:gfxdata="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V&#10;9sEAAADjAAAADwAAAAAAAAABACAAAAAiAAAAZHJzL2Rvd25yZXYueG1sUEsBAhQAFAAAAAgAh07i&#10;QDMvBZ47AAAAOQAAABAAAAAAAAAAAQAgAAAAEAEAAGRycy9zaGFwZXhtbC54bWxQSwUGAAAAAAYA&#10;BgBbAQAAugMAAAAA&#10;" path="m1005,60l0,60,0,180,1005,180,1005,60xm2625,0l1620,0,1620,180,2625,180,2625,0xe">
                  <v:path o:connectlocs="1005,5302;0,5302;0,5422;1005,5422;1005,5302;2625,5242;1620,5242;1620,5422;2625,5422;2625,5242" o:connectangles="0,0,0,0,0,0,0,0,0,0"/>
                  <v:fill on="t" focussize="0,0"/>
                  <v:stroke on="f"/>
                  <v:imagedata o:title=""/>
                  <o:lock v:ext="edit" aspectratio="f"/>
                </v:shape>
                <v:rect id="Rectangle 181" o:spid="_x0000_s1026" o:spt="1" style="position:absolute;left:2070;top:5422;height:15;width:8130;" fillcolor="#333333" filled="t" stroked="f" coordsize="21600,21600" o:gfxdata="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YPd&#10;68EAAADjAAAADwAAAAAAAAABACAAAAAiAAAAZHJzL2Rvd25yZXYueG1sUEsBAhQAFAAAAAgAh07i&#10;QDMvBZ47AAAAOQAAABAAAAAAAAAAAQAgAAAAEAEAAGRycy9zaGFwZXhtbC54bWxQSwUGAAAAAAYA&#10;BgBbAQAAugMAAAAA&#10;">
                  <v:fill on="t" focussize="0,0"/>
                  <v:stroke on="f"/>
                  <v:imagedata o:title=""/>
                  <o:lock v:ext="edit" aspectratio="f"/>
                </v:rect>
                <v:shape id="AutoShape 180" o:spid="_x0000_s1026" o:spt="100" style="position:absolute;left:2879;top:5062;height:240;width:1635;" fillcolor="#999999" filled="t" stroked="f" coordsize="1635,240" o:gfxdata="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2B&#10;CcvCAAAA4wAAAA8AAAAAAAAAAQAgAAAAIgAAAGRycy9kb3ducmV2LnhtbFBLAQIUABQAAAAIAIdO&#10;4kAzLwWeOwAAADkAAAAQAAAAAAAAAAEAIAAAABEBAABkcnMvc2hhcGV4bWwueG1sUEsFBgAAAAAG&#10;AAYAWwEAALsDAAAAAA==&#10;" path="m15,60l0,60,0,240,15,240,15,60xm1635,0l1620,0,1620,180,1635,180,1635,0xe">
                  <v:path o:connectlocs="15,5122;0,5122;0,5302;15,5302;15,5122;1635,5062;1620,5062;1620,5242;1635,5242;1635,5062" o:connectangles="0,0,0,0,0,0,0,0,0,0"/>
                  <v:fill on="t" focussize="0,0"/>
                  <v:stroke on="f"/>
                  <v:imagedata o:title=""/>
                  <o:lock v:ext="edit" aspectratio="f"/>
                </v:shape>
                <v:shape id="AutoShape 179" o:spid="_x0000_s1026" o:spt="100" style="position:absolute;left:2545;top:4903;height:229;width:2214;" filled="f" stroked="t" coordsize="2214,229" o:gfxdata="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WJ62MQAAADiAAAADwAAAAAAAAABACAAAAAiAAAAZHJzL2Rvd25yZXYueG1sUEsBAhQAFAAAAAgA&#10;h07iQDMvBZ47AAAAOQAAABAAAAAAAAAAAQAgAAAAEwEAAGRycy9zaGFwZXhtbC54bWxQSwUGAAAA&#10;AAYABgBbAQAAvQMAAAAA&#10;" path="m85,176l85,191,0,191,0,187,1,183,2,180,4,174,8,168,12,163,17,157,24,151,33,143,47,132,57,123,61,116,66,109,69,103,69,97,69,91,67,85,62,81,58,77,52,75,45,75,37,75,31,77,26,81,22,86,19,92,19,100,3,99,4,87,8,77,16,71,23,65,33,61,45,61,57,61,67,65,74,72,82,79,85,87,85,97,85,102,84,107,82,112,80,117,76,123,71,128,67,134,58,141,47,151,38,159,31,164,29,167,26,170,24,173,22,176,85,176xm187,229l181,220,175,211,170,201,165,190,161,179,158,168,156,156,156,144,156,134,157,124,160,114,162,104,167,93,173,82,179,71,187,60,198,60,191,72,186,81,184,86,181,94,178,102,176,111,173,122,172,133,172,144,174,165,179,187,187,208,198,229,187,229xm295,176l295,191,210,191,210,187,211,183,212,180,214,174,218,168,222,163,227,157,234,151,243,143,257,132,267,123,272,116,276,109,279,103,279,97,279,91,277,85,272,81,268,77,262,75,255,75,247,75,241,77,236,81,232,86,230,92,229,100,213,99,214,87,218,77,226,71,233,65,243,61,255,61,267,61,277,65,284,72,292,79,295,87,295,97,295,102,294,107,292,112,290,117,286,123,282,128,277,134,268,141,257,151,248,159,242,164,239,167,236,170,234,173,232,176,295,176xm321,191l321,173,339,173,339,191,321,191xm363,79l363,64,447,64,447,76,441,83,435,91,428,100,422,111,417,122,412,133,407,144,404,155,401,166,399,178,398,191,381,191,382,181,384,168,387,154,391,143,394,133,399,123,404,113,409,103,415,94,421,86,426,79,363,79xm465,93l465,84,468,76,472,69,477,63,484,60,492,60,501,60,507,63,513,68,518,74,521,83,521,94,521,105,518,113,512,119,507,125,501,128,493,128,485,128,478,125,473,119,468,113,465,105,465,93xm493,71l489,71,486,72,483,76,481,79,479,85,479,95,479,103,481,109,483,112,486,115,489,117,493,117,497,117,500,115,503,112,505,109,507,102,507,93,507,85,505,79,503,76,500,72,497,71,493,71xm493,196l564,60,576,60,506,196,493,196xm549,161l549,151,551,144,556,137,560,131,567,127,576,127,584,127,591,130,596,136,601,142,604,150,604,162,604,172,601,181,596,187,591,193,584,196,576,196,568,196,562,193,557,187,551,181,549,172,549,161xm576,138l572,138,569,140,566,143,564,147,563,153,563,162,563,170,564,176,567,180,569,183,572,185,576,185,580,185,584,183,586,180,589,176,590,170,590,161,590,153,589,147,586,143,584,140,580,138,576,138xm637,229l626,229,637,208,646,187,651,165,652,144,652,133,651,122,648,111,646,103,644,94,640,86,638,81,633,72,626,60,637,60,645,71,652,82,657,93,662,104,665,114,667,124,668,134,668,144,668,156,666,168,663,179,659,190,655,201,649,211,644,220,637,229xm1697,97l1713,95,1715,104,1718,110,1723,114,1727,118,1732,120,1739,120,1746,120,1752,117,1757,112,1763,107,1765,101,1765,93,1765,86,1763,80,1758,75,1753,70,1747,68,1740,68,1737,68,1733,69,1729,70,1730,56,1731,56,1732,56,1733,56,1740,56,1746,54,1751,51,1757,47,1759,42,1759,35,1759,29,1757,24,1753,20,1749,16,1744,14,1738,14,1732,14,1727,16,1723,20,1719,24,1716,30,1715,38,1699,35,1701,24,1705,16,1712,10,1719,4,1728,1,1738,1,1745,1,1751,3,1757,6,1763,9,1768,13,1771,18,1774,24,1776,29,1776,35,1776,41,1774,46,1771,50,1768,55,1764,58,1758,61,1765,63,1771,66,1776,72,1780,78,1782,84,1782,93,1782,104,1778,114,1770,121,1761,129,1751,133,1738,133,1727,133,1718,130,1710,123,1703,116,1699,108,1697,97xm1882,169l1876,160,1870,151,1865,141,1860,130,1856,119,1853,108,1852,96,1851,84,1851,74,1853,64,1855,54,1858,44,1862,33,1868,22,1874,11,1882,0,1893,0,1886,12,1882,21,1879,26,1876,34,1873,42,1871,51,1868,62,1867,73,1867,84,1869,105,1874,127,1882,148,1893,169,1882,169xm1958,131l1958,100,1902,100,1902,86,1961,2,1974,2,1974,86,1991,86,1991,100,1974,100,1974,131,1958,131xm1958,86l1958,27,1918,86,1958,86xm2011,33l2011,24,2013,16,2017,9,2022,3,2029,0,2038,0,2046,0,2052,3,2058,8,2063,14,2066,23,2066,34,2066,45,2063,53,2058,59,2052,65,2046,68,2038,68,2030,68,2024,65,2018,59,2013,53,2011,45,2011,33xm2038,11l2034,11,2031,12,2028,16,2026,19,2024,25,2024,35,2024,43,2026,49,2028,52,2031,55,2034,57,2038,57,2042,57,2045,55,2048,52,2051,49,2052,42,2052,33,2052,25,2051,19,2048,16,2045,12,2042,11,2038,11xm2038,136l2109,0,2121,0,2051,136,2038,136xm2094,101l2094,91,2096,84,2101,77,2105,71,2112,67,2121,67,2129,67,2136,70,2141,76,2146,82,2149,90,2149,102,2149,112,2146,121,2141,127,2136,133,2129,136,2121,136,2113,136,2107,133,2102,127,2096,121,2094,112,2094,101xm2121,78l2117,78,2114,80,2112,83,2109,87,2108,93,2108,102,2108,110,2109,116,2112,120,2114,123,2118,125,2121,125,2125,125,2129,123,2131,120,2134,116,2135,110,2135,101,2135,93,2134,87,2131,83,2129,80,2125,78,2121,78xm2182,169l2171,169,2183,148,2191,127,2196,105,2197,84,2197,73,2196,62,2194,51,2192,43,2189,34,2185,26,2183,21,2178,12,2171,0,2182,0,2190,11,2197,22,2202,33,2207,44,2210,54,2212,64,2213,74,2214,84,2213,96,2211,108,2208,119,2204,130,2200,141,2194,151,2189,160,2182,169xe">
                  <v:path o:connectlocs="17,5061;67,4989;19,5004;74,4976;67,5038;187,5133;157,5028;184,4990;198,5133;222,5067;279,4995;230,4996;277,4969;282,5032;295,5080;441,4987;398,5095;415,4998;492,4964;507,5029;489,4975;489,5021;503,4980;549,5055;604,5054;557,5091;563,5066;589,5080;626,5133;640,4990;667,5028;637,5133;1752,5021;1740,4972;1751,4955;1732,4918;1719,4908;1776,4933;1776,4976;1727,5037;1860,5034;1868,4926;1868,4966;1902,5004;1958,4990;2038,4904;2052,4969;2034,4915;2034,4961;2048,4920;2094,4995;2149,4994;2102,5031;2108,5006;2134,5020;2171,5073;2185,4930;2212,4968;2182,5073" o:connectangles="0,0,0,0,0,0,0,0,0,0,0,0,0,0,0,0,0,0,0,0,0,0,0,0,0,0,0,0,0,0,0,0,0,0,0,0,0,0,0,0,0,0,0,0,0,0,0,0,0,0,0,0,0,0,0,0,0,0,0"/>
                  <v:fill on="f" focussize="0,0"/>
                  <v:stroke weight="2.25pt" color="#FFFFFF" joinstyle="round"/>
                  <v:imagedata o:title=""/>
                  <o:lock v:ext="edit" aspectratio="f"/>
                </v:shape>
                <v:shape id="Picture 178" o:spid="_x0000_s1026" o:spt="75" type="#_x0000_t75" style="position:absolute;left:9525;top:6337;height:300;width:255;" filled="f" o:preferrelative="t" stroked="f" coordsize="21600,21600" o:gfxdata="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MouZJLIAAAA4gAAAA8AAAAAAAAAAQAgAAAAIgAAAGRycy9kb3ducmV2LnhtbFBLAQIUABQA&#10;AAAIAIdO4kAzLwWeOwAAADkAAAAQAAAAAAAAAAEAIAAAABcBAABkcnMvc2hhcGV4bWwueG1sUEsF&#10;BgAAAAAGAAYAWwEAAMEDAAAAAA==&#10;">
                  <v:fill on="f" focussize="0,0"/>
                  <v:stroke on="f"/>
                  <v:imagedata r:id="rId110" o:title=""/>
                  <o:lock v:ext="edit" aspectratio="t"/>
                </v:shape>
                <v:rect id="Rectangle 177" o:spid="_x0000_s1026" o:spt="1" style="position:absolute;left:2070;top:8647;height:2700;width:8130;" filled="f" stroked="t" coordsize="21600,21600" o:gfxdata="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quh&#10;EsEAAADjAAAADwAAAAAAAAABACAAAAAiAAAAZHJzL2Rvd25yZXYueG1sUEsBAhQAFAAAAAgAh07i&#10;QDMvBZ47AAAAOQAAABAAAAAAAAAAAQAgAAAAEAEAAGRycy9zaGFwZXhtbC54bWxQSwUGAAAAAAYA&#10;BgBbAQAAugMAAAAA&#10;">
                  <v:fill on="f" focussize="0,0"/>
                  <v:stroke color="#EDEDED" miterlimit="8" joinstyle="miter"/>
                  <v:imagedata o:title=""/>
                  <o:lock v:ext="edit" aspectratio="f"/>
                </v:rect>
                <v:shape id="AutoShape 176" o:spid="_x0000_s1026" o:spt="100" style="position:absolute;left:2069;top:8647;height:2700;width:8130;" fillcolor="#EDEDED" filled="t" stroked="f" coordsize="8130,2700" o:gfxdata="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H2&#10;G7HCAAAA4wAAAA8AAAAAAAAAAQAgAAAAIgAAAGRycy9kb3ducmV2LnhtbFBLAQIUABQAAAAIAIdO&#10;4kAzLwWeOwAAADkAAAAQAAAAAAAAAAEAIAAAABEBAABkcnMvc2hhcGV4bWwueG1sUEsFBgAAAAAG&#10;AAYAWwEAALsDAAAAAA==&#10;" path="m6810,1785l0,1785,0,1800,6810,1800,6810,1785xm6810,900l0,900,0,915,6810,915,6810,900xm8130,2685l0,2685,0,2700,8130,2700,8130,2685xm8130,1785l7815,1785,7815,1800,8130,1800,8130,1785xm8130,900l7815,900,7815,915,8130,915,8130,900xm8130,0l0,0,0,15,8130,15,8130,0xe">
                  <v:path o:connectlocs="6810,10432;0,10432;0,10447;6810,10447;6810,10432;6810,9547;0,9547;0,9562;6810,9562;6810,9547;8130,11332;0,11332;0,11347;8130,11347;8130,11332;8130,10432;7815,10432;7815,10447;8130,10447;8130,10432;8130,9547;7815,9547;7815,9562;8130,9562;8130,9547;8130,8647;0,8647;0,8662;8130,8662;8130,8647" o:connectangles="0,0,0,0,0,0,0,0,0,0,0,0,0,0,0,0,0,0,0,0,0,0,0,0,0,0,0,0,0,0"/>
                  <v:fill on="t" focussize="0,0"/>
                  <v:stroke on="f"/>
                  <v:imagedata o:title=""/>
                  <o:lock v:ext="edit" aspectratio="f"/>
                </v:shape>
                <v:shape id="AutoShape 175" o:spid="_x0000_s1026" o:spt="100" style="position:absolute;left:2069;top:9097;height:1800;width:8130;" fillcolor="#F7F7F7" filled="t" stroked="f" coordsize="8130,1800" o:gfxdata="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ExPRwwAAAOIAAAAPAAAAAAAAAAEAIAAAACIAAABkcnMvZG93bnJldi54bWxQSwECFAAUAAAACACH&#10;TuJAMy8FnjsAAAA5AAAAEAAAAAAAAAABACAAAAASAQAAZHJzL3NoYXBleG1sLnhtbFBLBQYAAAAA&#10;BgAGAFsBAAC8AwAAAAA=&#10;" path="m5190,1785l0,1785,0,1800,5190,1800,5190,1785xm6810,1785l6195,1785,6195,1800,6810,1800,6810,1785xm6810,900l0,900,0,915,6810,915,6810,900xm8130,1785l7815,1785,7815,1800,8130,1800,8130,1785xm8130,900l7815,900,7815,915,8130,915,8130,900xm8130,0l0,0,0,15,8130,15,8130,0xe">
                  <v:path o:connectlocs="5190,10882;0,10882;0,10897;5190,10897;5190,10882;6810,10882;6195,10882;6195,10897;6810,10897;6810,10882;6810,9997;0,9997;0,10012;6810,10012;6810,9997;8130,10882;7815,10882;7815,10897;8130,10897;8130,10882;8130,9997;7815,9997;7815,10012;8130,10012;8130,9997;8130,9097;0,9097;0,9112;8130,9112;8130,9097" o:connectangles="0,0,0,0,0,0,0,0,0,0,0,0,0,0,0,0,0,0,0,0,0,0,0,0,0,0,0,0,0,0"/>
                  <v:fill on="t" focussize="0,0"/>
                  <v:stroke on="f"/>
                  <v:imagedata o:title=""/>
                  <o:lock v:ext="edit" aspectratio="f"/>
                </v:shape>
                <v:rect id="Rectangle 174" o:spid="_x0000_s1026" o:spt="1" style="position:absolute;left:2385;top:11302;height:30;width:1005;" fillcolor="#663AB6" filled="t" stroked="f" coordsize="21600,21600" o:gfxdata="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70mpMQAAADiAAAADwAAAAAAAAABACAAAAAiAAAAZHJzL2Rvd25yZXYueG1sUEsBAhQAFAAAAAgA&#10;h07iQDMvBZ47AAAAOQAAABAAAAAAAAAAAQAgAAAAEwEAAGRycy9zaGFwZXhtbC54bWxQSwUGAAAA&#10;AAYABgBbAQAAvQMAAAAA&#10;">
                  <v:fill on="t" focussize="0,0"/>
                  <v:stroke on="f"/>
                  <v:imagedata o:title=""/>
                  <o:lock v:ext="edit" aspectratio="f"/>
                </v:rect>
                <v:rect id="Rectangle 173" o:spid="_x0000_s1026" o:spt="1" style="position:absolute;left:2880;top:11122;height:180;width:15;" fillcolor="#999999" filled="t" stroked="f" coordsize="21600,21600" o:gfxdata="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M90C/&#10;AAAA4gAAAA8AAAAAAAAAAQAgAAAAIgAAAGRycy9kb3ducmV2LnhtbFBLAQIUABQAAAAIAIdO4kAz&#10;LwWeOwAAADkAAAAQAAAAAAAAAAEAIAAAAA4BAABkcnMvc2hhcGV4bWwueG1sUEsFBgAAAAAGAAYA&#10;WwEAALgDAAAAAA==&#10;">
                  <v:fill on="t" focussize="0,0"/>
                  <v:stroke on="f"/>
                  <v:imagedata o:title=""/>
                  <o:lock v:ext="edit" aspectratio="f"/>
                </v:rect>
                <v:shape id="AutoShape 172" o:spid="_x0000_s1026" o:spt="100" style="position:absolute;left:2559;top:10963;height:169;width:655;" filled="f" stroked="t" coordsize="655,169" o:gfxdata="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ua3&#10;hsEAAADjAAAADwAAAAAAAAABACAAAAAiAAAAZHJzL2Rvd25yZXYueG1sUEsBAhQAFAAAAAgAh07i&#10;QDMvBZ47AAAAOQAAABAAAAAAAAAAAQAgAAAAEAEAAGRycy9zaGFwZXhtbC54bWxQSwUGAAAAAAYA&#10;BgBbAQAAugMAAAAA&#10;" path="m48,131l32,131,32,30,28,34,23,37,17,41,11,45,5,47,0,49,0,34,9,30,17,25,23,19,30,13,35,7,38,1,48,1,48,131xm173,169l167,160,161,151,156,141,151,130,147,119,144,108,142,96,142,84,142,74,143,64,146,54,148,44,153,33,159,22,165,11,173,0,184,0,177,12,172,21,170,26,167,34,164,42,162,51,159,62,158,73,158,84,160,105,165,127,173,148,184,169,173,169xm258,131l242,131,242,30,238,34,233,37,227,41,221,45,215,47,210,49,210,34,219,30,227,25,234,19,240,13,245,7,248,1,258,1,258,131xm307,131l307,113,325,113,325,131,307,131xm348,97l364,95,366,104,369,110,374,114,378,118,383,120,389,120,397,120,403,117,408,112,413,107,416,101,416,93,416,86,414,80,409,75,404,70,398,68,391,68,388,68,384,69,380,70,381,56,382,56,383,56,384,56,391,56,397,54,402,51,408,47,410,42,410,35,410,29,408,24,404,20,400,16,395,14,389,14,383,14,378,16,374,20,370,24,367,30,366,38,350,35,352,24,356,16,363,10,370,4,379,1,389,1,396,1,402,3,408,6,414,9,419,13,422,18,425,24,426,29,426,35,426,41,425,46,422,50,419,55,415,58,409,61,416,63,422,66,426,72,431,78,433,84,433,93,433,104,429,114,420,121,412,129,402,133,389,133,378,133,369,130,361,123,354,116,349,108,348,97xm451,33l451,24,454,16,458,9,463,3,470,0,478,0,487,0,493,3,499,8,504,14,507,23,507,34,507,45,504,53,498,59,493,65,487,68,479,68,471,68,464,65,459,59,454,53,451,45,451,33xm479,11l475,11,472,12,469,16,467,19,465,25,465,35,465,43,467,49,469,52,472,55,475,57,479,57,483,57,486,55,489,52,491,49,493,42,493,33,493,25,491,19,489,16,486,12,483,11,479,11xm479,136l550,0,562,0,492,136,479,136xm535,101l535,91,537,84,542,77,546,71,553,67,562,67,570,67,577,70,582,76,587,82,590,90,590,102,590,112,587,121,582,127,577,133,570,136,562,136,554,136,548,133,543,127,537,121,535,112,535,101xm562,78l558,78,555,80,552,83,550,87,549,93,549,102,549,110,550,116,553,120,555,123,558,125,562,125,566,125,570,123,572,120,575,116,576,110,576,101,576,93,575,87,572,83,570,80,566,78,562,78xm623,169l612,169,623,148,632,127,637,105,638,84,638,73,637,62,634,51,632,43,630,34,626,26,624,21,619,12,612,0,623,0,631,11,638,22,643,33,648,44,651,54,653,64,654,74,654,84,654,96,652,108,649,119,645,130,641,141,635,151,630,160,623,169xe">
                  <v:path o:connectlocs="23,11001;0,10998;35,10971;167,11124;144,11072;146,11018;173,10964;167,10998;158,11048;173,11133;233,11001;210,10998;245,10971;307,11077;364,11059;383,11084;413,11071;409,11039;384,11033;384,11020;410,11006;400,10980;374,10984;352,10988;389,10965;419,10977;426,11005;409,11025;433,11048;412,11093;361,11087;451,10988;478,10964;507,10987;493,11029;459,11023;475,10975;465,10999;475,11021;491,11013;489,10980;550,10964;535,11055;562,11031;590,11054;577,11097;543,11091;558,11042;549,11066;558,11089;575,11080;572,11047;612,11133;638,11037;626,10990;631,10975;653,11028;649,11083;623,11133" o:connectangles="0,0,0,0,0,0,0,0,0,0,0,0,0,0,0,0,0,0,0,0,0,0,0,0,0,0,0,0,0,0,0,0,0,0,0,0,0,0,0,0,0,0,0,0,0,0,0,0,0,0,0,0,0,0,0,0,0,0,0"/>
                  <v:fill on="f" focussize="0,0"/>
                  <v:stroke weight="2.25pt" color="#FFFFFF" joinstyle="round"/>
                  <v:imagedata o:title=""/>
                  <o:lock v:ext="edit" aspectratio="f"/>
                </v:shape>
              </v:group>
            </w:pict>
          </mc:Fallback>
        </mc:AlternateContent>
      </w:r>
      <w:r>
        <w:rPr>
          <w:rFonts w:eastAsia="Roboto"/>
          <w:color w:val="202024"/>
        </w:rPr>
        <w:t>In</w:t>
      </w:r>
      <w:r>
        <w:rPr>
          <w:rFonts w:eastAsia="Roboto"/>
          <w:color w:val="202024"/>
          <w:spacing w:val="7"/>
        </w:rPr>
        <w:t xml:space="preserve"> </w:t>
      </w:r>
      <w:r>
        <w:rPr>
          <w:rFonts w:eastAsia="Roboto"/>
          <w:color w:val="202024"/>
        </w:rPr>
        <w:t>your</w:t>
      </w:r>
      <w:r>
        <w:rPr>
          <w:rFonts w:eastAsia="Roboto"/>
          <w:color w:val="202024"/>
          <w:spacing w:val="8"/>
        </w:rPr>
        <w:t xml:space="preserve"> </w:t>
      </w:r>
      <w:r>
        <w:rPr>
          <w:rFonts w:eastAsia="Roboto"/>
          <w:color w:val="202024"/>
        </w:rPr>
        <w:t>view</w:t>
      </w:r>
      <w:r>
        <w:rPr>
          <w:rFonts w:eastAsia="Roboto"/>
          <w:color w:val="202024"/>
          <w:spacing w:val="8"/>
        </w:rPr>
        <w:t xml:space="preserve"> </w:t>
      </w:r>
      <w:r>
        <w:rPr>
          <w:rFonts w:eastAsia="Roboto"/>
          <w:color w:val="202024"/>
        </w:rPr>
        <w:t>how</w:t>
      </w:r>
      <w:r>
        <w:rPr>
          <w:rFonts w:eastAsia="Roboto"/>
          <w:color w:val="202024"/>
          <w:spacing w:val="7"/>
        </w:rPr>
        <w:t xml:space="preserve"> </w:t>
      </w:r>
      <w:r>
        <w:rPr>
          <w:rFonts w:eastAsia="Roboto"/>
          <w:color w:val="202024"/>
        </w:rPr>
        <w:t>significant</w:t>
      </w:r>
      <w:r>
        <w:rPr>
          <w:rFonts w:eastAsia="Roboto"/>
          <w:color w:val="202024"/>
          <w:spacing w:val="8"/>
        </w:rPr>
        <w:t xml:space="preserve"> </w:t>
      </w:r>
      <w:r>
        <w:rPr>
          <w:rFonts w:eastAsia="Roboto"/>
          <w:color w:val="202024"/>
        </w:rPr>
        <w:t>or</w:t>
      </w:r>
      <w:r>
        <w:rPr>
          <w:rFonts w:eastAsia="Roboto"/>
          <w:color w:val="202024"/>
          <w:spacing w:val="8"/>
        </w:rPr>
        <w:t xml:space="preserve"> </w:t>
      </w:r>
      <w:r>
        <w:rPr>
          <w:rFonts w:eastAsia="Roboto"/>
          <w:color w:val="202024"/>
        </w:rPr>
        <w:t>important</w:t>
      </w:r>
      <w:r>
        <w:rPr>
          <w:rFonts w:eastAsia="Roboto"/>
          <w:color w:val="202024"/>
          <w:spacing w:val="8"/>
        </w:rPr>
        <w:t xml:space="preserve"> </w:t>
      </w:r>
      <w:r>
        <w:rPr>
          <w:rFonts w:eastAsia="Roboto"/>
          <w:color w:val="202024"/>
        </w:rPr>
        <w:t>is</w:t>
      </w:r>
      <w:r>
        <w:rPr>
          <w:rFonts w:eastAsia="Roboto"/>
          <w:color w:val="202024"/>
          <w:spacing w:val="14"/>
        </w:rPr>
        <w:t xml:space="preserve"> </w:t>
      </w:r>
      <w:r>
        <w:rPr>
          <w:rFonts w:eastAsia="Roboto"/>
          <w:color w:val="202024"/>
        </w:rPr>
        <w:t>the</w:t>
      </w:r>
      <w:r>
        <w:rPr>
          <w:rFonts w:eastAsia="Roboto"/>
          <w:color w:val="202024"/>
          <w:spacing w:val="7"/>
        </w:rPr>
        <w:t xml:space="preserve"> </w:t>
      </w:r>
      <w:r>
        <w:rPr>
          <w:rFonts w:eastAsia="Roboto"/>
          <w:color w:val="202024"/>
        </w:rPr>
        <w:t>introduction</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57"/>
        </w:rPr>
        <w:t xml:space="preserve"> </w:t>
      </w:r>
      <w:r>
        <w:rPr>
          <w:rFonts w:eastAsia="Roboto"/>
          <w:color w:val="202024"/>
        </w:rPr>
        <w:t>two</w:t>
      </w:r>
      <w:r>
        <w:rPr>
          <w:rFonts w:eastAsia="Roboto"/>
          <w:color w:val="202024"/>
          <w:spacing w:val="7"/>
        </w:rPr>
        <w:t xml:space="preserve"> </w:t>
      </w:r>
      <w:r>
        <w:rPr>
          <w:rFonts w:eastAsia="Roboto"/>
          <w:color w:val="202024"/>
        </w:rPr>
        <w:t>tier</w:t>
      </w:r>
      <w:r>
        <w:rPr>
          <w:rFonts w:eastAsia="Roboto"/>
          <w:color w:val="202024"/>
          <w:spacing w:val="7"/>
        </w:rPr>
        <w:t xml:space="preserve"> </w:t>
      </w:r>
      <w:r>
        <w:rPr>
          <w:rFonts w:eastAsia="Roboto"/>
          <w:color w:val="202024"/>
        </w:rPr>
        <w:t>hydrocarbon</w:t>
      </w:r>
      <w:r>
        <w:rPr>
          <w:rFonts w:eastAsia="Roboto"/>
          <w:color w:val="202024"/>
          <w:spacing w:val="8"/>
        </w:rPr>
        <w:t xml:space="preserve"> </w:t>
      </w:r>
      <w:r>
        <w:rPr>
          <w:rFonts w:eastAsia="Roboto"/>
          <w:color w:val="202024"/>
        </w:rPr>
        <w:t>and</w:t>
      </w:r>
      <w:r>
        <w:rPr>
          <w:rFonts w:eastAsia="Roboto"/>
          <w:color w:val="202024"/>
          <w:spacing w:val="7"/>
        </w:rPr>
        <w:t xml:space="preserve"> </w:t>
      </w:r>
      <w:r>
        <w:rPr>
          <w:rFonts w:eastAsia="Roboto"/>
          <w:color w:val="202024"/>
        </w:rPr>
        <w:t>corporate</w:t>
      </w:r>
      <w:r>
        <w:rPr>
          <w:rFonts w:eastAsia="Roboto"/>
          <w:color w:val="202024"/>
          <w:spacing w:val="8"/>
        </w:rPr>
        <w:t xml:space="preserve"> </w:t>
      </w:r>
      <w:r>
        <w:rPr>
          <w:rFonts w:eastAsia="Roboto"/>
          <w:color w:val="202024"/>
        </w:rPr>
        <w:t>income</w:t>
      </w:r>
      <w:r>
        <w:rPr>
          <w:rFonts w:eastAsia="Roboto"/>
          <w:color w:val="202024"/>
          <w:spacing w:val="7"/>
        </w:rPr>
        <w:t xml:space="preserve"> </w:t>
      </w:r>
      <w:r>
        <w:rPr>
          <w:rFonts w:eastAsia="Roboto"/>
          <w:color w:val="202024"/>
        </w:rPr>
        <w:t>tax</w:t>
      </w:r>
      <w:r>
        <w:rPr>
          <w:rFonts w:eastAsia="Roboto"/>
          <w:color w:val="202024"/>
          <w:spacing w:val="8"/>
        </w:rPr>
        <w:t xml:space="preserve"> </w:t>
      </w:r>
      <w:r>
        <w:rPr>
          <w:rFonts w:eastAsia="Roboto"/>
          <w:color w:val="202024"/>
        </w:rPr>
        <w:t>regime</w:t>
      </w:r>
      <w:r>
        <w:rPr>
          <w:rFonts w:eastAsia="Roboto"/>
          <w:color w:val="202024"/>
          <w:spacing w:val="7"/>
        </w:rPr>
        <w:t xml:space="preserve"> </w:t>
      </w:r>
      <w:r>
        <w:rPr>
          <w:rFonts w:eastAsia="Roboto"/>
          <w:color w:val="202024"/>
        </w:rPr>
        <w:t>to</w:t>
      </w:r>
      <w:r>
        <w:rPr>
          <w:rFonts w:eastAsia="Roboto"/>
          <w:color w:val="202024"/>
          <w:spacing w:val="8"/>
        </w:rPr>
        <w:t xml:space="preserve"> </w:t>
      </w:r>
      <w:r>
        <w:rPr>
          <w:rFonts w:eastAsia="Roboto"/>
          <w:color w:val="202024"/>
        </w:rPr>
        <w:t>Nigeria</w:t>
      </w:r>
      <w:r>
        <w:rPr>
          <w:rFonts w:eastAsia="Roboto"/>
          <w:color w:val="202024"/>
          <w:spacing w:val="1"/>
        </w:rPr>
        <w:t xml:space="preserve"> </w:t>
      </w:r>
      <w:r>
        <w:rPr>
          <w:rFonts w:eastAsia="Roboto"/>
          <w:color w:val="202024"/>
        </w:rPr>
        <w:t>upstream</w:t>
      </w:r>
      <w:r>
        <w:rPr>
          <w:rFonts w:eastAsia="Roboto"/>
          <w:color w:val="202024"/>
          <w:spacing w:val="8"/>
        </w:rPr>
        <w:t xml:space="preserve"> </w:t>
      </w:r>
      <w:r>
        <w:rPr>
          <w:rFonts w:eastAsia="Roboto"/>
          <w:color w:val="202024"/>
        </w:rPr>
        <w:t>oil</w:t>
      </w:r>
      <w:r>
        <w:rPr>
          <w:rFonts w:eastAsia="Roboto"/>
          <w:color w:val="202024"/>
          <w:spacing w:val="9"/>
        </w:rPr>
        <w:t xml:space="preserve"> </w:t>
      </w:r>
      <w:r>
        <w:rPr>
          <w:rFonts w:eastAsia="Roboto"/>
          <w:color w:val="202024"/>
        </w:rPr>
        <w:t>and</w:t>
      </w:r>
      <w:r>
        <w:rPr>
          <w:rFonts w:eastAsia="Roboto"/>
          <w:color w:val="202024"/>
          <w:spacing w:val="8"/>
        </w:rPr>
        <w:t xml:space="preserve"> </w:t>
      </w:r>
      <w:r>
        <w:rPr>
          <w:rFonts w:eastAsia="Roboto"/>
          <w:color w:val="202024"/>
        </w:rPr>
        <w:t>gas</w:t>
      </w:r>
      <w:r>
        <w:rPr>
          <w:rFonts w:eastAsia="Roboto"/>
          <w:color w:val="202024"/>
          <w:spacing w:val="9"/>
        </w:rPr>
        <w:t xml:space="preserve"> </w:t>
      </w:r>
      <w:r>
        <w:rPr>
          <w:rFonts w:eastAsia="Roboto"/>
          <w:color w:val="202024"/>
        </w:rPr>
        <w:t>taxation</w:t>
      </w:r>
      <w:r>
        <w:rPr>
          <w:rFonts w:eastAsia="Roboto"/>
          <w:color w:val="202024"/>
          <w:spacing w:val="8"/>
        </w:rPr>
        <w:t xml:space="preserve"> </w:t>
      </w:r>
      <w:r>
        <w:rPr>
          <w:rFonts w:eastAsia="Roboto"/>
          <w:color w:val="202024"/>
        </w:rPr>
        <w:t>by</w:t>
      </w:r>
      <w:r>
        <w:rPr>
          <w:rFonts w:eastAsia="Roboto"/>
          <w:color w:val="202024"/>
          <w:spacing w:val="9"/>
        </w:rPr>
        <w:t xml:space="preserve"> </w:t>
      </w:r>
      <w:r>
        <w:rPr>
          <w:rFonts w:eastAsia="Roboto"/>
          <w:color w:val="202024"/>
        </w:rPr>
        <w:t>Petroleum</w:t>
      </w:r>
      <w:r>
        <w:rPr>
          <w:rFonts w:eastAsia="Roboto"/>
          <w:color w:val="202024"/>
          <w:spacing w:val="8"/>
        </w:rPr>
        <w:t xml:space="preserve"> </w:t>
      </w:r>
      <w:r>
        <w:rPr>
          <w:rFonts w:eastAsia="Roboto"/>
          <w:color w:val="202024"/>
        </w:rPr>
        <w:t>Industry</w:t>
      </w:r>
      <w:r>
        <w:rPr>
          <w:rFonts w:eastAsia="Roboto"/>
          <w:color w:val="202024"/>
          <w:spacing w:val="9"/>
        </w:rPr>
        <w:t xml:space="preserve"> </w:t>
      </w:r>
      <w:r>
        <w:rPr>
          <w:rFonts w:eastAsia="Roboto"/>
          <w:color w:val="202024"/>
        </w:rPr>
        <w:t>Act</w:t>
      </w:r>
      <w:r>
        <w:rPr>
          <w:rFonts w:eastAsia="Roboto"/>
          <w:color w:val="202024"/>
          <w:spacing w:val="8"/>
        </w:rPr>
        <w:t xml:space="preserve"> </w:t>
      </w:r>
      <w:r>
        <w:rPr>
          <w:rFonts w:eastAsia="Roboto"/>
          <w:color w:val="202024"/>
        </w:rPr>
        <w:t>(PIA),</w:t>
      </w:r>
      <w:r>
        <w:rPr>
          <w:rFonts w:eastAsia="Roboto"/>
          <w:color w:val="202024"/>
          <w:spacing w:val="16"/>
        </w:rPr>
        <w:t xml:space="preserve"> </w:t>
      </w:r>
      <w:r>
        <w:rPr>
          <w:rFonts w:eastAsia="Roboto"/>
          <w:color w:val="202024"/>
        </w:rPr>
        <w:t>on</w:t>
      </w:r>
      <w:r>
        <w:rPr>
          <w:rFonts w:eastAsia="Roboto"/>
          <w:color w:val="202024"/>
          <w:spacing w:val="9"/>
        </w:rPr>
        <w:t xml:space="preserve"> </w:t>
      </w:r>
      <w:r>
        <w:rPr>
          <w:rFonts w:eastAsia="Roboto"/>
          <w:color w:val="202024"/>
        </w:rPr>
        <w:t>the</w:t>
      </w:r>
      <w:r>
        <w:rPr>
          <w:rFonts w:eastAsia="Roboto"/>
          <w:color w:val="202024"/>
          <w:spacing w:val="1"/>
        </w:rPr>
        <w:t xml:space="preserve"> </w:t>
      </w:r>
      <w:r>
        <w:rPr>
          <w:rFonts w:eastAsia="Roboto"/>
          <w:color w:val="202024"/>
        </w:rPr>
        <w:t>effective</w:t>
      </w:r>
      <w:r>
        <w:rPr>
          <w:rFonts w:eastAsia="Roboto"/>
          <w:color w:val="202024"/>
          <w:spacing w:val="9"/>
        </w:rPr>
        <w:t xml:space="preserve"> </w:t>
      </w:r>
      <w:r>
        <w:rPr>
          <w:rFonts w:eastAsia="Roboto"/>
          <w:color w:val="202024"/>
        </w:rPr>
        <w:t>tax</w:t>
      </w:r>
      <w:r>
        <w:rPr>
          <w:rFonts w:eastAsia="Roboto"/>
          <w:color w:val="202024"/>
          <w:spacing w:val="9"/>
        </w:rPr>
        <w:t xml:space="preserve"> </w:t>
      </w:r>
      <w:r>
        <w:rPr>
          <w:rFonts w:eastAsia="Roboto"/>
          <w:color w:val="202024"/>
        </w:rPr>
        <w:t>rate</w:t>
      </w:r>
      <w:r>
        <w:rPr>
          <w:rFonts w:eastAsia="Roboto"/>
          <w:color w:val="202024"/>
          <w:spacing w:val="10"/>
        </w:rPr>
        <w:t xml:space="preserve"> </w:t>
      </w:r>
      <w:r>
        <w:rPr>
          <w:rFonts w:eastAsia="Roboto"/>
          <w:color w:val="202024"/>
        </w:rPr>
        <w:t>(ETR),</w:t>
      </w:r>
      <w:r>
        <w:rPr>
          <w:rFonts w:eastAsia="Roboto"/>
          <w:color w:val="202024"/>
          <w:spacing w:val="9"/>
        </w:rPr>
        <w:t xml:space="preserve"> </w:t>
      </w:r>
      <w:r>
        <w:rPr>
          <w:rFonts w:eastAsia="Roboto"/>
          <w:color w:val="202024"/>
        </w:rPr>
        <w:t>as</w:t>
      </w:r>
      <w:r>
        <w:rPr>
          <w:rFonts w:eastAsia="Roboto"/>
          <w:color w:val="202024"/>
          <w:spacing w:val="10"/>
        </w:rPr>
        <w:t xml:space="preserve"> </w:t>
      </w:r>
      <w:r>
        <w:rPr>
          <w:rFonts w:eastAsia="Roboto"/>
          <w:color w:val="202024"/>
        </w:rPr>
        <w:t>well</w:t>
      </w:r>
      <w:r>
        <w:rPr>
          <w:rFonts w:eastAsia="Roboto"/>
          <w:color w:val="202024"/>
          <w:spacing w:val="9"/>
        </w:rPr>
        <w:t xml:space="preserve"> </w:t>
      </w:r>
      <w:r>
        <w:rPr>
          <w:rFonts w:eastAsia="Roboto"/>
          <w:color w:val="202024"/>
        </w:rPr>
        <w:t>as</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clarity,</w:t>
      </w:r>
      <w:r>
        <w:rPr>
          <w:rFonts w:eastAsia="Roboto"/>
          <w:color w:val="202024"/>
          <w:spacing w:val="10"/>
        </w:rPr>
        <w:t xml:space="preserve"> </w:t>
      </w:r>
      <w:r>
        <w:rPr>
          <w:rFonts w:eastAsia="Roboto"/>
          <w:color w:val="202024"/>
        </w:rPr>
        <w:t>certainty</w:t>
      </w:r>
      <w:r>
        <w:rPr>
          <w:rFonts w:eastAsia="Roboto"/>
          <w:color w:val="202024"/>
          <w:spacing w:val="9"/>
        </w:rPr>
        <w:t xml:space="preserve"> </w:t>
      </w:r>
      <w:r>
        <w:rPr>
          <w:rFonts w:eastAsia="Roboto"/>
          <w:color w:val="202024"/>
        </w:rPr>
        <w:t>and</w:t>
      </w:r>
      <w:r>
        <w:rPr>
          <w:rFonts w:eastAsia="Roboto"/>
          <w:color w:val="202024"/>
          <w:spacing w:val="10"/>
        </w:rPr>
        <w:t xml:space="preserve"> </w:t>
      </w:r>
      <w:r>
        <w:rPr>
          <w:rFonts w:eastAsia="Roboto"/>
          <w:color w:val="202024"/>
        </w:rPr>
        <w:t>consistent</w:t>
      </w:r>
      <w:r>
        <w:rPr>
          <w:rFonts w:eastAsia="Roboto"/>
          <w:color w:val="202024"/>
          <w:spacing w:val="1"/>
        </w:rPr>
        <w:t xml:space="preserve"> </w:t>
      </w:r>
      <w:r>
        <w:rPr>
          <w:rFonts w:eastAsia="Roboto"/>
          <w:color w:val="202024"/>
        </w:rPr>
        <w:t>understanding</w:t>
      </w:r>
      <w:r>
        <w:rPr>
          <w:rFonts w:eastAsia="Roboto"/>
          <w:color w:val="202024"/>
          <w:spacing w:val="7"/>
        </w:rPr>
        <w:t xml:space="preserve"> </w:t>
      </w:r>
      <w:r>
        <w:rPr>
          <w:rFonts w:eastAsia="Roboto"/>
          <w:color w:val="202024"/>
        </w:rPr>
        <w:t>and</w:t>
      </w:r>
      <w:r>
        <w:rPr>
          <w:rFonts w:eastAsia="Roboto"/>
          <w:color w:val="202024"/>
          <w:spacing w:val="8"/>
        </w:rPr>
        <w:t xml:space="preserve"> </w:t>
      </w:r>
      <w:r>
        <w:rPr>
          <w:rFonts w:eastAsia="Roboto"/>
          <w:color w:val="202024"/>
        </w:rPr>
        <w:t>administration</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upstream</w:t>
      </w:r>
      <w:r>
        <w:rPr>
          <w:rFonts w:eastAsia="Roboto"/>
          <w:color w:val="202024"/>
          <w:spacing w:val="8"/>
        </w:rPr>
        <w:t xml:space="preserve"> </w:t>
      </w:r>
      <w:r>
        <w:rPr>
          <w:rFonts w:eastAsia="Roboto"/>
          <w:color w:val="202024"/>
        </w:rPr>
        <w:t>oil</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gas</w:t>
      </w:r>
      <w:r>
        <w:rPr>
          <w:rFonts w:eastAsia="Roboto"/>
          <w:color w:val="202024"/>
          <w:spacing w:val="8"/>
        </w:rPr>
        <w:t xml:space="preserve"> </w:t>
      </w:r>
      <w:r>
        <w:rPr>
          <w:rFonts w:eastAsia="Roboto"/>
          <w:color w:val="202024"/>
        </w:rPr>
        <w:t>taxation.</w:t>
      </w:r>
    </w:p>
    <w:p w14:paraId="6DA96C6D">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17B1940D">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12897358">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7818" w:space="978"/>
            <w:col w:w="784"/>
          </w:cols>
        </w:sectPr>
      </w:pPr>
    </w:p>
    <w:p w14:paraId="3E1AA86C">
      <w:pPr>
        <w:widowControl w:val="0"/>
        <w:autoSpaceDE w:val="0"/>
        <w:autoSpaceDN w:val="0"/>
        <w:spacing w:before="10"/>
        <w:rPr>
          <w:rFonts w:ascii="Lucida Sans Unicode" w:hAnsi="Roboto" w:eastAsia="Roboto" w:cs="Roboto"/>
          <w:sz w:val="21"/>
          <w:szCs w:val="21"/>
        </w:rPr>
      </w:pPr>
    </w:p>
    <w:p w14:paraId="1FBC0C94">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40</w:t>
      </w:r>
    </w:p>
    <w:p w14:paraId="0C3B5F56">
      <w:pPr>
        <w:widowControl w:val="0"/>
        <w:autoSpaceDE w:val="0"/>
        <w:autoSpaceDN w:val="0"/>
        <w:rPr>
          <w:rFonts w:ascii="Arial MT" w:hAnsi="Roboto" w:eastAsia="Roboto" w:cs="Roboto"/>
          <w:sz w:val="20"/>
          <w:szCs w:val="21"/>
        </w:rPr>
      </w:pPr>
    </w:p>
    <w:p w14:paraId="5CC52A5A">
      <w:pPr>
        <w:widowControl w:val="0"/>
        <w:autoSpaceDE w:val="0"/>
        <w:autoSpaceDN w:val="0"/>
        <w:spacing w:before="4"/>
        <w:rPr>
          <w:rFonts w:ascii="Arial MT" w:hAnsi="Roboto" w:eastAsia="Roboto" w:cs="Roboto"/>
          <w:sz w:val="20"/>
          <w:szCs w:val="21"/>
        </w:rPr>
      </w:pPr>
    </w:p>
    <w:p w14:paraId="12F69CCF">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13536" behindDoc="0" locked="0" layoutInCell="1" allowOverlap="1">
                <wp:simplePos x="0" y="0"/>
                <wp:positionH relativeFrom="page">
                  <wp:posOffset>4610100</wp:posOffset>
                </wp:positionH>
                <wp:positionV relativeFrom="paragraph">
                  <wp:posOffset>-59055</wp:posOffset>
                </wp:positionV>
                <wp:extent cx="638175" cy="1400175"/>
                <wp:effectExtent l="0" t="0" r="0" b="0"/>
                <wp:wrapNone/>
                <wp:docPr id="1959520438" name="Text Box 72"/>
                <wp:cNvGraphicFramePr/>
                <a:graphic xmlns:a="http://schemas.openxmlformats.org/drawingml/2006/main">
                  <a:graphicData uri="http://schemas.microsoft.com/office/word/2010/wordprocessingShape">
                    <wps:wsp>
                      <wps:cNvSpPr txBox="1">
                        <a:spLocks noChangeArrowheads="1"/>
                      </wps:cNvSpPr>
                      <wps:spPr bwMode="auto">
                        <a:xfrm>
                          <a:off x="0" y="0"/>
                          <a:ext cx="638175" cy="1400175"/>
                        </a:xfrm>
                        <a:prstGeom prst="rect">
                          <a:avLst/>
                        </a:prstGeom>
                        <a:solidFill>
                          <a:srgbClr val="663AB6"/>
                        </a:solidFill>
                        <a:ln>
                          <a:noFill/>
                        </a:ln>
                        <a:effectLst/>
                      </wps:spPr>
                      <wps:txbx>
                        <w:txbxContent>
                          <w:p w14:paraId="7E0C0259">
                            <w:pPr>
                              <w:spacing w:before="14"/>
                              <w:rPr>
                                <w:rFonts w:ascii="Arial MT"/>
                                <w:sz w:val="18"/>
                              </w:rPr>
                            </w:pPr>
                            <w:r>
                              <w:rPr>
                                <w:rFonts w:ascii="Arial MT"/>
                                <w:color w:val="FFFFFF"/>
                                <w:sz w:val="18"/>
                              </w:rPr>
                              <w:t>33 (44%)</w:t>
                            </w:r>
                          </w:p>
                        </w:txbxContent>
                      </wps:txbx>
                      <wps:bodyPr rot="0" vert="horz" wrap="square" lIns="0" tIns="0" rIns="0" bIns="0" anchor="t" anchorCtr="0" upright="1">
                        <a:noAutofit/>
                      </wps:bodyPr>
                    </wps:wsp>
                  </a:graphicData>
                </a:graphic>
              </wp:anchor>
            </w:drawing>
          </mc:Choice>
          <mc:Fallback>
            <w:pict>
              <v:shape id="Text Box 72" o:spid="_x0000_s1026" o:spt="202" type="#_x0000_t202" style="position:absolute;left:0pt;margin-left:363pt;margin-top:-4.65pt;height:110.25pt;width:50.25pt;mso-position-horizontal-relative:page;z-index:251713536;mso-width-relative:page;mso-height-relative:page;" fillcolor="#663AB6" filled="t" stroked="f" coordsize="21600,21600" o:gfxdata="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d+ktgA&#10;AAAKAQAADwAAAAAAAAABACAAAAAiAAAAZHJzL2Rvd25yZXYueG1sUEsBAhQAFAAAAAgAh07iQNeL&#10;iOgfAgAARQQAAA4AAAAAAAAAAQAgAAAAJwEAAGRycy9lMm9Eb2MueG1sUEsFBgAAAAAGAAYAWQEA&#10;ALgFAAAAAA==&#10;">
                <v:fill on="t" focussize="0,0"/>
                <v:stroke on="f"/>
                <v:imagedata o:title=""/>
                <o:lock v:ext="edit" aspectratio="f"/>
                <v:textbox inset="0mm,0mm,0mm,0mm">
                  <w:txbxContent>
                    <w:p w14:paraId="7E0C0259">
                      <w:pPr>
                        <w:spacing w:before="14"/>
                        <w:rPr>
                          <w:rFonts w:ascii="Arial MT"/>
                          <w:sz w:val="18"/>
                        </w:rPr>
                      </w:pPr>
                      <w:r>
                        <w:rPr>
                          <w:rFonts w:ascii="Arial MT"/>
                          <w:color w:val="FFFFFF"/>
                          <w:sz w:val="18"/>
                        </w:rPr>
                        <w:t>33 (44%)</w:t>
                      </w:r>
                    </w:p>
                  </w:txbxContent>
                </v:textbox>
              </v:shape>
            </w:pict>
          </mc:Fallback>
        </mc:AlternateContent>
      </w:r>
      <w:r>
        <w:rPr>
          <w:rFonts w:ascii="Arial MT" w:hAnsi="Roboto" w:eastAsia="Roboto" w:cs="Roboto"/>
          <w:color w:val="444444"/>
          <w:sz w:val="18"/>
          <w:szCs w:val="22"/>
        </w:rPr>
        <w:t>30</w:t>
      </w:r>
    </w:p>
    <w:p w14:paraId="19EA6A13">
      <w:pPr>
        <w:widowControl w:val="0"/>
        <w:autoSpaceDE w:val="0"/>
        <w:autoSpaceDN w:val="0"/>
        <w:rPr>
          <w:rFonts w:ascii="Arial MT" w:hAnsi="Roboto" w:eastAsia="Roboto" w:cs="Roboto"/>
          <w:sz w:val="20"/>
          <w:szCs w:val="21"/>
        </w:rPr>
      </w:pPr>
    </w:p>
    <w:p w14:paraId="50F40935">
      <w:pPr>
        <w:widowControl w:val="0"/>
        <w:autoSpaceDE w:val="0"/>
        <w:autoSpaceDN w:val="0"/>
        <w:spacing w:before="4"/>
        <w:rPr>
          <w:rFonts w:ascii="Arial MT" w:hAnsi="Roboto" w:eastAsia="Roboto" w:cs="Roboto"/>
          <w:sz w:val="20"/>
          <w:szCs w:val="21"/>
        </w:rPr>
      </w:pPr>
    </w:p>
    <w:p w14:paraId="3D1219D6">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714560" behindDoc="0" locked="0" layoutInCell="1" allowOverlap="1">
                <wp:simplePos x="0" y="0"/>
                <wp:positionH relativeFrom="page">
                  <wp:posOffset>5638800</wp:posOffset>
                </wp:positionH>
                <wp:positionV relativeFrom="paragraph">
                  <wp:posOffset>-141605</wp:posOffset>
                </wp:positionV>
                <wp:extent cx="638175" cy="1057275"/>
                <wp:effectExtent l="0" t="0" r="0" b="0"/>
                <wp:wrapNone/>
                <wp:docPr id="412363241" name="Text Box 71"/>
                <wp:cNvGraphicFramePr/>
                <a:graphic xmlns:a="http://schemas.openxmlformats.org/drawingml/2006/main">
                  <a:graphicData uri="http://schemas.microsoft.com/office/word/2010/wordprocessingShape">
                    <wps:wsp>
                      <wps:cNvSpPr txBox="1">
                        <a:spLocks noChangeArrowheads="1"/>
                      </wps:cNvSpPr>
                      <wps:spPr bwMode="auto">
                        <a:xfrm>
                          <a:off x="0" y="0"/>
                          <a:ext cx="638175" cy="1057275"/>
                        </a:xfrm>
                        <a:prstGeom prst="rect">
                          <a:avLst/>
                        </a:prstGeom>
                        <a:solidFill>
                          <a:srgbClr val="663AB6"/>
                        </a:solidFill>
                        <a:ln>
                          <a:noFill/>
                        </a:ln>
                        <a:effectLst/>
                      </wps:spPr>
                      <wps:txbx>
                        <w:txbxContent>
                          <w:p w14:paraId="2FCB649A">
                            <w:pPr>
                              <w:spacing w:before="14"/>
                              <w:rPr>
                                <w:rFonts w:ascii="Arial MT"/>
                                <w:sz w:val="18"/>
                              </w:rPr>
                            </w:pPr>
                            <w:r>
                              <w:rPr>
                                <w:rFonts w:ascii="Arial MT"/>
                                <w:color w:val="FFFFFF"/>
                                <w:sz w:val="18"/>
                              </w:rPr>
                              <w:t>25 (33.3%)</w:t>
                            </w:r>
                          </w:p>
                        </w:txbxContent>
                      </wps:txbx>
                      <wps:bodyPr rot="0" vert="horz" wrap="square" lIns="0" tIns="0" rIns="0" bIns="0" anchor="t" anchorCtr="0" upright="1">
                        <a:noAutofit/>
                      </wps:bodyPr>
                    </wps:wsp>
                  </a:graphicData>
                </a:graphic>
              </wp:anchor>
            </w:drawing>
          </mc:Choice>
          <mc:Fallback>
            <w:pict>
              <v:shape id="Text Box 71" o:spid="_x0000_s1026" o:spt="202" type="#_x0000_t202" style="position:absolute;left:0pt;margin-left:444pt;margin-top:-11.15pt;height:83.25pt;width:50.25pt;mso-position-horizontal-relative:page;z-index:251714560;mso-width-relative:page;mso-height-relative:page;" fillcolor="#663AB6" filled="t" stroked="f" coordsize="21600,21600" o:gfxdata="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FkpD&#10;2AAAAAsBAAAPAAAAAAAAAAEAIAAAACIAAABkcnMvZG93bnJldi54bWxQSwECFAAUAAAACACHTuJA&#10;Q77isiECAABEBAAADgAAAAAAAAABACAAAAAnAQAAZHJzL2Uyb0RvYy54bWxQSwUGAAAAAAYABgBZ&#10;AQAAugUAAAAA&#10;">
                <v:fill on="t" focussize="0,0"/>
                <v:stroke on="f"/>
                <v:imagedata o:title=""/>
                <o:lock v:ext="edit" aspectratio="f"/>
                <v:textbox inset="0mm,0mm,0mm,0mm">
                  <w:txbxContent>
                    <w:p w14:paraId="2FCB649A">
                      <w:pPr>
                        <w:spacing w:before="14"/>
                        <w:rPr>
                          <w:rFonts w:ascii="Arial MT"/>
                          <w:sz w:val="18"/>
                        </w:rPr>
                      </w:pPr>
                      <w:r>
                        <w:rPr>
                          <w:rFonts w:ascii="Arial MT"/>
                          <w:color w:val="FFFFFF"/>
                          <w:sz w:val="18"/>
                        </w:rPr>
                        <w:t>25 (33.3%)</w:t>
                      </w:r>
                    </w:p>
                  </w:txbxContent>
                </v:textbox>
              </v:shape>
            </w:pict>
          </mc:Fallback>
        </mc:AlternateContent>
      </w:r>
      <w:r>
        <w:rPr>
          <w:rFonts w:ascii="Arial MT" w:hAnsi="Roboto" w:eastAsia="Roboto" w:cs="Roboto"/>
          <w:color w:val="444444"/>
          <w:sz w:val="18"/>
          <w:szCs w:val="22"/>
        </w:rPr>
        <w:t>20</w:t>
      </w:r>
    </w:p>
    <w:p w14:paraId="7A75E993">
      <w:pPr>
        <w:widowControl w:val="0"/>
        <w:autoSpaceDE w:val="0"/>
        <w:autoSpaceDN w:val="0"/>
        <w:rPr>
          <w:rFonts w:ascii="Arial MT" w:hAnsi="Roboto" w:eastAsia="Roboto" w:cs="Roboto"/>
          <w:sz w:val="20"/>
          <w:szCs w:val="21"/>
        </w:rPr>
      </w:pPr>
    </w:p>
    <w:p w14:paraId="188EAD82">
      <w:pPr>
        <w:widowControl w:val="0"/>
        <w:autoSpaceDE w:val="0"/>
        <w:autoSpaceDN w:val="0"/>
        <w:rPr>
          <w:rFonts w:ascii="Arial MT" w:hAnsi="Roboto" w:eastAsia="Roboto" w:cs="Roboto"/>
          <w:sz w:val="20"/>
          <w:szCs w:val="22"/>
        </w:rPr>
        <w:sectPr>
          <w:type w:val="continuous"/>
          <w:pgSz w:w="11900" w:h="16840"/>
          <w:pgMar w:top="480" w:right="1280" w:bottom="1680" w:left="1040" w:header="720" w:footer="720" w:gutter="0"/>
          <w:cols w:space="720" w:num="1"/>
        </w:sectPr>
      </w:pPr>
    </w:p>
    <w:p w14:paraId="34A30681">
      <w:pPr>
        <w:widowControl w:val="0"/>
        <w:autoSpaceDE w:val="0"/>
        <w:autoSpaceDN w:val="0"/>
        <w:spacing w:before="4"/>
        <w:rPr>
          <w:rFonts w:ascii="Arial MT" w:hAnsi="Roboto" w:eastAsia="Roboto" w:cs="Roboto"/>
          <w:sz w:val="20"/>
          <w:szCs w:val="21"/>
        </w:rPr>
      </w:pPr>
    </w:p>
    <w:p w14:paraId="6D3D5821">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10</w:t>
      </w:r>
    </w:p>
    <w:p w14:paraId="656ADEF3">
      <w:pPr>
        <w:widowControl w:val="0"/>
        <w:autoSpaceDE w:val="0"/>
        <w:autoSpaceDN w:val="0"/>
        <w:spacing w:before="67"/>
        <w:rPr>
          <w:rFonts w:ascii="Arial MT" w:hAnsi="Roboto" w:eastAsia="Roboto" w:cs="Roboto"/>
          <w:sz w:val="18"/>
          <w:szCs w:val="22"/>
        </w:rPr>
      </w:pPr>
      <w:r>
        <w:rPr>
          <w:rFonts w:ascii="Arial MT" w:hAnsi="Roboto" w:eastAsia="Roboto" w:cs="Roboto"/>
          <w:sz w:val="18"/>
          <w:szCs w:val="22"/>
        </w:rPr>
        <w:t xml:space="preserve">2 </w:t>
      </w:r>
      <w:r>
        <w:rPr>
          <w:rFonts w:ascii="Arial MT" w:hAnsi="Roboto" w:eastAsia="Roboto" w:cs="Roboto"/>
          <w:color w:val="202024"/>
          <w:sz w:val="18"/>
          <w:szCs w:val="22"/>
        </w:rPr>
        <w:t>(2.7%)</w:t>
      </w:r>
    </w:p>
    <w:p w14:paraId="4FF7FEF2">
      <w:pPr>
        <w:widowControl w:val="0"/>
        <w:autoSpaceDE w:val="0"/>
        <w:autoSpaceDN w:val="0"/>
        <w:spacing w:before="6"/>
        <w:rPr>
          <w:rFonts w:ascii="Arial MT" w:hAnsi="Roboto" w:eastAsia="Roboto" w:cs="Roboto"/>
          <w:sz w:val="16"/>
          <w:szCs w:val="21"/>
        </w:rPr>
      </w:pPr>
    </w:p>
    <w:p w14:paraId="77FC6E9D">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0</w:t>
      </w:r>
    </w:p>
    <w:p w14:paraId="2A2C8209">
      <w:pPr>
        <w:widowControl w:val="0"/>
        <w:autoSpaceDE w:val="0"/>
        <w:autoSpaceDN w:val="0"/>
        <w:rPr>
          <w:rFonts w:ascii="Arial MT" w:hAnsi="Roboto" w:eastAsia="Roboto" w:cs="Roboto"/>
          <w:sz w:val="20"/>
          <w:szCs w:val="21"/>
        </w:rPr>
      </w:pPr>
      <w:r>
        <w:rPr>
          <w:rFonts w:ascii="Roboto" w:hAnsi="Roboto" w:eastAsia="Roboto" w:cs="Roboto"/>
          <w:sz w:val="21"/>
          <w:szCs w:val="21"/>
        </w:rPr>
        <w:br w:type="column"/>
      </w:r>
    </w:p>
    <w:p w14:paraId="088556A2">
      <w:pPr>
        <w:widowControl w:val="0"/>
        <w:autoSpaceDE w:val="0"/>
        <w:autoSpaceDN w:val="0"/>
        <w:spacing w:before="10"/>
        <w:rPr>
          <w:rFonts w:ascii="Arial MT" w:hAnsi="Roboto" w:eastAsia="Roboto" w:cs="Roboto"/>
          <w:sz w:val="18"/>
          <w:szCs w:val="21"/>
        </w:rPr>
      </w:pPr>
    </w:p>
    <w:p w14:paraId="7E5943A3">
      <w:pPr>
        <w:widowControl w:val="0"/>
        <w:autoSpaceDE w:val="0"/>
        <w:autoSpaceDN w:val="0"/>
        <w:spacing w:before="1"/>
        <w:rPr>
          <w:rFonts w:ascii="Arial MT" w:hAnsi="Roboto" w:eastAsia="Roboto" w:cs="Roboto"/>
          <w:sz w:val="18"/>
          <w:szCs w:val="22"/>
        </w:rPr>
      </w:pPr>
      <w:r>
        <w:rPr>
          <w:rFonts w:ascii="Arial MT" w:hAnsi="Roboto" w:eastAsia="Roboto" w:cs="Roboto"/>
          <w:sz w:val="18"/>
          <w:szCs w:val="22"/>
        </w:rPr>
        <w:t xml:space="preserve">3 </w:t>
      </w:r>
      <w:r>
        <w:rPr>
          <w:rFonts w:ascii="Arial MT" w:hAnsi="Roboto" w:eastAsia="Roboto" w:cs="Roboto"/>
          <w:color w:val="202024"/>
          <w:sz w:val="18"/>
          <w:szCs w:val="22"/>
        </w:rPr>
        <w:t>(4%)</w:t>
      </w:r>
    </w:p>
    <w:p w14:paraId="4184CCA9">
      <w:pPr>
        <w:widowControl w:val="0"/>
        <w:autoSpaceDE w:val="0"/>
        <w:autoSpaceDN w:val="0"/>
        <w:rPr>
          <w:rFonts w:ascii="Arial MT" w:hAnsi="Roboto" w:eastAsia="Roboto" w:cs="Roboto"/>
          <w:sz w:val="18"/>
          <w:szCs w:val="22"/>
        </w:rPr>
        <w:sectPr>
          <w:type w:val="continuous"/>
          <w:pgSz w:w="11900" w:h="16840"/>
          <w:pgMar w:top="480" w:right="1280" w:bottom="1680" w:left="1040" w:header="720" w:footer="720" w:gutter="0"/>
          <w:cols w:equalWidth="0" w:num="2">
            <w:col w:w="2220" w:space="325"/>
            <w:col w:w="7035"/>
          </w:cols>
        </w:sectPr>
      </w:pPr>
    </w:p>
    <w:p w14:paraId="1EAC4065">
      <w:pPr>
        <w:widowControl w:val="0"/>
        <w:tabs>
          <w:tab w:val="left" w:pos="3421"/>
          <w:tab w:val="left" w:pos="5044"/>
          <w:tab w:val="left" w:pos="6667"/>
          <w:tab w:val="left" w:pos="8290"/>
        </w:tabs>
        <w:autoSpaceDE w:val="0"/>
        <w:autoSpaceDN w:val="0"/>
        <w:spacing w:line="203" w:lineRule="exact"/>
        <w:rPr>
          <w:rFonts w:ascii="Arial MT" w:hAnsi="Roboto" w:eastAsia="Roboto" w:cs="Roboto"/>
          <w:sz w:val="18"/>
          <w:szCs w:val="22"/>
        </w:rPr>
      </w:pPr>
      <w:r>
        <mc:AlternateContent>
          <mc:Choice Requires="wps">
            <w:drawing>
              <wp:anchor distT="0" distB="0" distL="114300" distR="114300" simplePos="0" relativeHeight="251715584" behindDoc="0" locked="0" layoutInCell="1" allowOverlap="1">
                <wp:simplePos x="0" y="0"/>
                <wp:positionH relativeFrom="page">
                  <wp:posOffset>3581400</wp:posOffset>
                </wp:positionH>
                <wp:positionV relativeFrom="paragraph">
                  <wp:posOffset>-573405</wp:posOffset>
                </wp:positionV>
                <wp:extent cx="628650" cy="504825"/>
                <wp:effectExtent l="0" t="0" r="0" b="0"/>
                <wp:wrapNone/>
                <wp:docPr id="514276044" name="Text Box 70"/>
                <wp:cNvGraphicFramePr/>
                <a:graphic xmlns:a="http://schemas.openxmlformats.org/drawingml/2006/main">
                  <a:graphicData uri="http://schemas.microsoft.com/office/word/2010/wordprocessingShape">
                    <wps:wsp>
                      <wps:cNvSpPr txBox="1">
                        <a:spLocks noChangeArrowheads="1"/>
                      </wps:cNvSpPr>
                      <wps:spPr bwMode="auto">
                        <a:xfrm>
                          <a:off x="0" y="0"/>
                          <a:ext cx="628650" cy="504825"/>
                        </a:xfrm>
                        <a:prstGeom prst="rect">
                          <a:avLst/>
                        </a:prstGeom>
                        <a:solidFill>
                          <a:srgbClr val="663AB6"/>
                        </a:solidFill>
                        <a:ln>
                          <a:noFill/>
                        </a:ln>
                        <a:effectLst/>
                      </wps:spPr>
                      <wps:txbx>
                        <w:txbxContent>
                          <w:p w14:paraId="186CE7E0">
                            <w:pPr>
                              <w:spacing w:before="14"/>
                              <w:rPr>
                                <w:rFonts w:ascii="Arial MT"/>
                                <w:sz w:val="18"/>
                              </w:rPr>
                            </w:pPr>
                            <w:r>
                              <w:rPr>
                                <w:rFonts w:ascii="Arial MT"/>
                                <w:color w:val="FFFFFF"/>
                                <w:sz w:val="18"/>
                              </w:rPr>
                              <w:t>12 (16%)</w:t>
                            </w:r>
                          </w:p>
                        </w:txbxContent>
                      </wps:txbx>
                      <wps:bodyPr rot="0" vert="horz" wrap="square" lIns="0" tIns="0" rIns="0" bIns="0" anchor="t" anchorCtr="0" upright="1">
                        <a:noAutofit/>
                      </wps:bodyPr>
                    </wps:wsp>
                  </a:graphicData>
                </a:graphic>
              </wp:anchor>
            </w:drawing>
          </mc:Choice>
          <mc:Fallback>
            <w:pict>
              <v:shape id="Text Box 70" o:spid="_x0000_s1026" o:spt="202" type="#_x0000_t202" style="position:absolute;left:0pt;margin-left:282pt;margin-top:-45.15pt;height:39.75pt;width:49.5pt;mso-position-horizontal-relative:page;z-index:251715584;mso-width-relative:page;mso-height-relative:page;" fillcolor="#663AB6" filled="t" stroked="f" coordsize="21600,21600" o:gfxdata="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IUHH9gA&#10;AAALAQAADwAAAAAAAAABACAAAAAiAAAAZHJzL2Rvd25yZXYueG1sUEsBAhQAFAAAAAgAh07iQGEI&#10;KC4fAgAAQwQAAA4AAAAAAAAAAQAgAAAAJwEAAGRycy9lMm9Eb2MueG1sUEsFBgAAAAAGAAYAWQEA&#10;ALgFAAAAAA==&#10;">
                <v:fill on="t" focussize="0,0"/>
                <v:stroke on="f"/>
                <v:imagedata o:title=""/>
                <o:lock v:ext="edit" aspectratio="f"/>
                <v:textbox inset="0mm,0mm,0mm,0mm">
                  <w:txbxContent>
                    <w:p w14:paraId="186CE7E0">
                      <w:pPr>
                        <w:spacing w:before="14"/>
                        <w:rPr>
                          <w:rFonts w:ascii="Arial MT"/>
                          <w:sz w:val="18"/>
                        </w:rPr>
                      </w:pPr>
                      <w:r>
                        <w:rPr>
                          <w:rFonts w:ascii="Arial MT"/>
                          <w:color w:val="FFFFFF"/>
                          <w:sz w:val="18"/>
                        </w:rPr>
                        <w:t>12 (16%)</w:t>
                      </w:r>
                    </w:p>
                  </w:txbxContent>
                </v:textbox>
              </v:shape>
            </w:pict>
          </mc:Fallback>
        </mc:AlternateContent>
      </w: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512F23BA">
      <w:pPr>
        <w:widowControl w:val="0"/>
        <w:autoSpaceDE w:val="0"/>
        <w:autoSpaceDN w:val="0"/>
        <w:rPr>
          <w:rFonts w:ascii="Arial MT" w:hAnsi="Roboto" w:eastAsia="Roboto" w:cs="Roboto"/>
          <w:sz w:val="20"/>
          <w:szCs w:val="21"/>
        </w:rPr>
      </w:pPr>
    </w:p>
    <w:p w14:paraId="187A89E3">
      <w:pPr>
        <w:widowControl w:val="0"/>
        <w:autoSpaceDE w:val="0"/>
        <w:autoSpaceDN w:val="0"/>
        <w:spacing w:before="7"/>
        <w:rPr>
          <w:rFonts w:ascii="Arial MT" w:hAnsi="Roboto" w:eastAsia="Roboto" w:cs="Roboto"/>
          <w:sz w:val="26"/>
          <w:szCs w:val="21"/>
        </w:rPr>
      </w:pPr>
    </w:p>
    <w:p w14:paraId="300891D9">
      <w:pPr>
        <w:widowControl w:val="0"/>
        <w:autoSpaceDE w:val="0"/>
        <w:autoSpaceDN w:val="0"/>
        <w:rPr>
          <w:rFonts w:ascii="Arial MT" w:hAnsi="Roboto" w:eastAsia="Roboto" w:cs="Roboto"/>
          <w:sz w:val="26"/>
          <w:szCs w:val="22"/>
        </w:rPr>
        <w:sectPr>
          <w:type w:val="continuous"/>
          <w:pgSz w:w="11900" w:h="16840"/>
          <w:pgMar w:top="480" w:right="1280" w:bottom="1680" w:left="1040" w:header="720" w:footer="720" w:gutter="0"/>
          <w:cols w:space="720" w:num="1"/>
        </w:sectPr>
      </w:pPr>
    </w:p>
    <w:p w14:paraId="53CFF724">
      <w:pPr>
        <w:widowControl w:val="0"/>
        <w:numPr>
          <w:ilvl w:val="0"/>
          <w:numId w:val="46"/>
        </w:numPr>
        <w:tabs>
          <w:tab w:val="left" w:pos="527"/>
        </w:tabs>
        <w:autoSpaceDE w:val="0"/>
        <w:autoSpaceDN w:val="0"/>
        <w:spacing w:before="95" w:line="300" w:lineRule="auto"/>
        <w:ind w:right="38" w:firstLine="0"/>
        <w:jc w:val="both"/>
        <w:outlineLvl w:val="0"/>
        <w:rPr>
          <w:rFonts w:eastAsia="Roboto"/>
        </w:rPr>
      </w:pPr>
      <w:r>
        <w:rPr>
          <w:rFonts w:eastAsia="Roboto"/>
          <w:color w:val="202024"/>
        </w:rPr>
        <w:t>In</w:t>
      </w:r>
      <w:r>
        <w:rPr>
          <w:rFonts w:eastAsia="Roboto"/>
          <w:color w:val="202024"/>
          <w:spacing w:val="6"/>
        </w:rPr>
        <w:t xml:space="preserve"> </w:t>
      </w:r>
      <w:r>
        <w:rPr>
          <w:rFonts w:eastAsia="Roboto"/>
          <w:color w:val="202024"/>
        </w:rPr>
        <w:t>your</w:t>
      </w:r>
      <w:r>
        <w:rPr>
          <w:rFonts w:eastAsia="Roboto"/>
          <w:color w:val="202024"/>
          <w:spacing w:val="7"/>
        </w:rPr>
        <w:t xml:space="preserve"> </w:t>
      </w:r>
      <w:r>
        <w:rPr>
          <w:rFonts w:eastAsia="Roboto"/>
          <w:color w:val="202024"/>
        </w:rPr>
        <w:t>experience,</w:t>
      </w:r>
      <w:r>
        <w:rPr>
          <w:rFonts w:eastAsia="Roboto"/>
          <w:color w:val="202024"/>
          <w:spacing w:val="7"/>
        </w:rPr>
        <w:t xml:space="preserve"> </w:t>
      </w:r>
      <w:r>
        <w:rPr>
          <w:rFonts w:eastAsia="Roboto"/>
          <w:color w:val="202024"/>
        </w:rPr>
        <w:t>how</w:t>
      </w:r>
      <w:r>
        <w:rPr>
          <w:rFonts w:eastAsia="Roboto"/>
          <w:color w:val="202024"/>
          <w:spacing w:val="7"/>
        </w:rPr>
        <w:t xml:space="preserve"> </w:t>
      </w:r>
      <w:r>
        <w:rPr>
          <w:rFonts w:eastAsia="Roboto"/>
          <w:color w:val="202024"/>
        </w:rPr>
        <w:t>important</w:t>
      </w:r>
      <w:r>
        <w:rPr>
          <w:rFonts w:eastAsia="Roboto"/>
          <w:color w:val="202024"/>
          <w:spacing w:val="7"/>
        </w:rPr>
        <w:t xml:space="preserve"> </w:t>
      </w:r>
      <w:r>
        <w:rPr>
          <w:rFonts w:eastAsia="Roboto"/>
          <w:color w:val="202024"/>
        </w:rPr>
        <w:t>are</w:t>
      </w:r>
      <w:r>
        <w:rPr>
          <w:rFonts w:eastAsia="Roboto"/>
          <w:color w:val="202024"/>
          <w:spacing w:val="7"/>
        </w:rPr>
        <w:t xml:space="preserve"> </w:t>
      </w:r>
      <w:r>
        <w:rPr>
          <w:rFonts w:eastAsia="Roboto"/>
          <w:color w:val="202024"/>
        </w:rPr>
        <w:t>clear</w:t>
      </w:r>
      <w:r>
        <w:rPr>
          <w:rFonts w:eastAsia="Roboto"/>
          <w:color w:val="202024"/>
          <w:spacing w:val="7"/>
        </w:rPr>
        <w:t xml:space="preserve"> </w:t>
      </w:r>
      <w:r>
        <w:rPr>
          <w:rFonts w:eastAsia="Roboto"/>
          <w:color w:val="202024"/>
        </w:rPr>
        <w:t>FIRS</w:t>
      </w:r>
      <w:r>
        <w:rPr>
          <w:rFonts w:eastAsia="Roboto"/>
          <w:color w:val="202024"/>
          <w:spacing w:val="6"/>
        </w:rPr>
        <w:t xml:space="preserve"> </w:t>
      </w:r>
      <w:r>
        <w:rPr>
          <w:rFonts w:eastAsia="Roboto"/>
          <w:color w:val="202024"/>
        </w:rPr>
        <w:t>circulars</w:t>
      </w:r>
      <w:r>
        <w:rPr>
          <w:rFonts w:eastAsia="Roboto"/>
          <w:color w:val="202024"/>
          <w:spacing w:val="7"/>
        </w:rPr>
        <w:t xml:space="preserve"> </w:t>
      </w:r>
      <w:r>
        <w:rPr>
          <w:rFonts w:eastAsia="Roboto"/>
          <w:color w:val="202024"/>
        </w:rPr>
        <w:t>and</w:t>
      </w:r>
      <w:r>
        <w:rPr>
          <w:rFonts w:eastAsia="Roboto"/>
          <w:color w:val="202024"/>
          <w:spacing w:val="1"/>
        </w:rPr>
        <w:t xml:space="preserve"> </w:t>
      </w:r>
      <w:r>
        <w:rPr>
          <w:rFonts w:eastAsia="Roboto"/>
          <w:color w:val="202024"/>
        </w:rPr>
        <w:t>guidelines</w:t>
      </w:r>
      <w:r>
        <w:rPr>
          <w:rFonts w:eastAsia="Roboto"/>
          <w:color w:val="202024"/>
          <w:spacing w:val="7"/>
        </w:rPr>
        <w:t xml:space="preserve"> </w:t>
      </w:r>
      <w:r>
        <w:rPr>
          <w:rFonts w:eastAsia="Roboto"/>
          <w:color w:val="202024"/>
        </w:rPr>
        <w:t>which</w:t>
      </w:r>
      <w:r>
        <w:rPr>
          <w:rFonts w:eastAsia="Roboto"/>
          <w:color w:val="202024"/>
          <w:spacing w:val="8"/>
        </w:rPr>
        <w:t xml:space="preserve"> </w:t>
      </w:r>
      <w:r>
        <w:rPr>
          <w:rFonts w:eastAsia="Roboto"/>
          <w:color w:val="202024"/>
        </w:rPr>
        <w:t>are</w:t>
      </w:r>
      <w:r>
        <w:rPr>
          <w:rFonts w:eastAsia="Roboto"/>
          <w:color w:val="202024"/>
          <w:spacing w:val="7"/>
        </w:rPr>
        <w:t xml:space="preserve"> </w:t>
      </w:r>
      <w:r>
        <w:rPr>
          <w:rFonts w:eastAsia="Roboto"/>
          <w:color w:val="202024"/>
        </w:rPr>
        <w:t>consistent</w:t>
      </w:r>
      <w:r>
        <w:rPr>
          <w:rFonts w:eastAsia="Roboto"/>
          <w:color w:val="202024"/>
          <w:spacing w:val="8"/>
        </w:rPr>
        <w:t xml:space="preserve"> </w:t>
      </w:r>
      <w:r>
        <w:rPr>
          <w:rFonts w:eastAsia="Roboto"/>
          <w:color w:val="202024"/>
        </w:rPr>
        <w:t>with</w:t>
      </w:r>
      <w:r>
        <w:rPr>
          <w:rFonts w:eastAsia="Roboto"/>
          <w:color w:val="202024"/>
          <w:spacing w:val="7"/>
        </w:rPr>
        <w:t xml:space="preserve"> </w:t>
      </w:r>
      <w:r>
        <w:rPr>
          <w:rFonts w:eastAsia="Roboto"/>
          <w:color w:val="202024"/>
        </w:rPr>
        <w:t>tax</w:t>
      </w:r>
      <w:r>
        <w:rPr>
          <w:rFonts w:eastAsia="Roboto"/>
          <w:color w:val="202024"/>
          <w:spacing w:val="8"/>
        </w:rPr>
        <w:t xml:space="preserve"> </w:t>
      </w:r>
      <w:r>
        <w:rPr>
          <w:rFonts w:eastAsia="Roboto"/>
          <w:color w:val="202024"/>
        </w:rPr>
        <w:t>legislation,</w:t>
      </w:r>
      <w:r>
        <w:rPr>
          <w:rFonts w:eastAsia="Roboto"/>
          <w:color w:val="202024"/>
          <w:spacing w:val="7"/>
        </w:rPr>
        <w:t xml:space="preserve"> </w:t>
      </w:r>
      <w:r>
        <w:rPr>
          <w:rFonts w:eastAsia="Roboto"/>
          <w:color w:val="202024"/>
        </w:rPr>
        <w:t>in</w:t>
      </w:r>
      <w:r>
        <w:rPr>
          <w:rFonts w:eastAsia="Roboto"/>
          <w:color w:val="202024"/>
          <w:spacing w:val="8"/>
        </w:rPr>
        <w:t xml:space="preserve"> </w:t>
      </w:r>
      <w:r>
        <w:rPr>
          <w:rFonts w:eastAsia="Roboto"/>
          <w:color w:val="202024"/>
        </w:rPr>
        <w:t>achieving</w:t>
      </w:r>
      <w:r>
        <w:rPr>
          <w:rFonts w:eastAsia="Roboto"/>
          <w:color w:val="202024"/>
          <w:spacing w:val="8"/>
        </w:rPr>
        <w:t xml:space="preserve"> </w:t>
      </w:r>
      <w:r>
        <w:rPr>
          <w:rFonts w:eastAsia="Roboto"/>
          <w:color w:val="202024"/>
        </w:rPr>
        <w:t>clarity,</w:t>
      </w:r>
      <w:r>
        <w:rPr>
          <w:rFonts w:eastAsia="Roboto"/>
          <w:color w:val="202024"/>
          <w:spacing w:val="-57"/>
        </w:rPr>
        <w:t xml:space="preserve"> </w:t>
      </w:r>
      <w:r>
        <w:rPr>
          <w:rFonts w:eastAsia="Roboto"/>
          <w:color w:val="202024"/>
        </w:rPr>
        <w:t>certainty</w:t>
      </w:r>
      <w:r>
        <w:rPr>
          <w:rFonts w:eastAsia="Roboto"/>
          <w:color w:val="202024"/>
          <w:spacing w:val="10"/>
        </w:rPr>
        <w:t xml:space="preserve"> </w:t>
      </w:r>
      <w:r>
        <w:rPr>
          <w:rFonts w:eastAsia="Roboto"/>
          <w:color w:val="202024"/>
        </w:rPr>
        <w:t>and</w:t>
      </w:r>
      <w:r>
        <w:rPr>
          <w:rFonts w:eastAsia="Roboto"/>
          <w:color w:val="202024"/>
          <w:spacing w:val="11"/>
        </w:rPr>
        <w:t xml:space="preserve"> </w:t>
      </w:r>
      <w:r>
        <w:rPr>
          <w:rFonts w:eastAsia="Roboto"/>
          <w:color w:val="202024"/>
        </w:rPr>
        <w:t>consistent</w:t>
      </w:r>
      <w:r>
        <w:rPr>
          <w:rFonts w:eastAsia="Roboto"/>
          <w:color w:val="202024"/>
          <w:spacing w:val="11"/>
        </w:rPr>
        <w:t xml:space="preserve"> </w:t>
      </w:r>
      <w:r>
        <w:rPr>
          <w:rFonts w:eastAsia="Roboto"/>
          <w:color w:val="202024"/>
        </w:rPr>
        <w:t>understanding</w:t>
      </w:r>
      <w:r>
        <w:rPr>
          <w:rFonts w:eastAsia="Roboto"/>
          <w:color w:val="202024"/>
          <w:spacing w:val="10"/>
        </w:rPr>
        <w:t xml:space="preserve"> </w:t>
      </w:r>
      <w:r>
        <w:rPr>
          <w:rFonts w:eastAsia="Roboto"/>
          <w:color w:val="202024"/>
        </w:rPr>
        <w:t>of</w:t>
      </w:r>
      <w:r>
        <w:rPr>
          <w:rFonts w:eastAsia="Roboto"/>
          <w:color w:val="202024"/>
          <w:spacing w:val="11"/>
        </w:rPr>
        <w:t xml:space="preserve"> </w:t>
      </w:r>
      <w:r>
        <w:rPr>
          <w:rFonts w:eastAsia="Roboto"/>
          <w:color w:val="202024"/>
        </w:rPr>
        <w:t>Nigeria</w:t>
      </w:r>
      <w:r>
        <w:rPr>
          <w:rFonts w:eastAsia="Roboto"/>
          <w:color w:val="202024"/>
          <w:spacing w:val="11"/>
        </w:rPr>
        <w:t xml:space="preserve"> </w:t>
      </w:r>
      <w:r>
        <w:rPr>
          <w:rFonts w:eastAsia="Roboto"/>
          <w:color w:val="202024"/>
        </w:rPr>
        <w:t>upstream</w:t>
      </w:r>
      <w:r>
        <w:rPr>
          <w:rFonts w:eastAsia="Roboto"/>
          <w:color w:val="202024"/>
          <w:spacing w:val="10"/>
        </w:rPr>
        <w:t xml:space="preserve"> </w:t>
      </w:r>
      <w:r>
        <w:rPr>
          <w:rFonts w:eastAsia="Roboto"/>
          <w:color w:val="202024"/>
        </w:rPr>
        <w:t>oil</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gas</w:t>
      </w:r>
      <w:r>
        <w:rPr>
          <w:rFonts w:eastAsia="Roboto"/>
          <w:color w:val="202024"/>
          <w:spacing w:val="-57"/>
        </w:rPr>
        <w:t xml:space="preserve"> </w:t>
      </w:r>
      <w:r>
        <w:rPr>
          <w:rFonts w:eastAsia="Roboto"/>
          <w:color w:val="202024"/>
        </w:rPr>
        <w:t>tax</w:t>
      </w:r>
      <w:r>
        <w:rPr>
          <w:rFonts w:eastAsia="Roboto"/>
          <w:color w:val="202024"/>
          <w:spacing w:val="5"/>
        </w:rPr>
        <w:t xml:space="preserve"> </w:t>
      </w:r>
      <w:r>
        <w:rPr>
          <w:rFonts w:eastAsia="Roboto"/>
          <w:color w:val="202024"/>
        </w:rPr>
        <w:t>legislation.</w:t>
      </w:r>
    </w:p>
    <w:p w14:paraId="6C48FA97">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46C25CE1">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2971FE7A">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7924" w:space="873"/>
            <w:col w:w="783"/>
          </w:cols>
        </w:sectPr>
      </w:pPr>
    </w:p>
    <w:p w14:paraId="153C66E3">
      <w:pPr>
        <w:widowControl w:val="0"/>
        <w:autoSpaceDE w:val="0"/>
        <w:autoSpaceDN w:val="0"/>
        <w:spacing w:before="9"/>
        <w:rPr>
          <w:rFonts w:ascii="Lucida Sans Unicode" w:hAnsi="Roboto" w:eastAsia="Roboto" w:cs="Roboto"/>
          <w:sz w:val="21"/>
          <w:szCs w:val="21"/>
        </w:rPr>
      </w:pPr>
    </w:p>
    <w:p w14:paraId="4943E0C4">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60</w:t>
      </w:r>
    </w:p>
    <w:p w14:paraId="4C1291EC">
      <w:pPr>
        <w:widowControl w:val="0"/>
        <w:autoSpaceDE w:val="0"/>
        <w:autoSpaceDN w:val="0"/>
        <w:rPr>
          <w:rFonts w:ascii="Arial MT" w:hAnsi="Roboto" w:eastAsia="Roboto" w:cs="Roboto"/>
          <w:sz w:val="20"/>
          <w:szCs w:val="21"/>
        </w:rPr>
      </w:pPr>
    </w:p>
    <w:p w14:paraId="7F74F8F3">
      <w:pPr>
        <w:widowControl w:val="0"/>
        <w:autoSpaceDE w:val="0"/>
        <w:autoSpaceDN w:val="0"/>
        <w:rPr>
          <w:rFonts w:ascii="Arial MT" w:hAnsi="Roboto" w:eastAsia="Roboto" w:cs="Roboto"/>
          <w:sz w:val="20"/>
          <w:szCs w:val="21"/>
        </w:rPr>
      </w:pPr>
    </w:p>
    <w:p w14:paraId="457F89E6">
      <w:pPr>
        <w:widowControl w:val="0"/>
        <w:autoSpaceDE w:val="0"/>
        <w:autoSpaceDN w:val="0"/>
        <w:spacing w:before="10"/>
        <w:rPr>
          <w:rFonts w:ascii="Arial MT" w:hAnsi="Roboto" w:eastAsia="Roboto" w:cs="Roboto"/>
          <w:sz w:val="19"/>
          <w:szCs w:val="21"/>
        </w:rPr>
      </w:pPr>
    </w:p>
    <w:p w14:paraId="48DA0DB4">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16608" behindDoc="1" locked="0" layoutInCell="1" allowOverlap="1">
                <wp:simplePos x="0" y="0"/>
                <wp:positionH relativeFrom="page">
                  <wp:posOffset>5638800</wp:posOffset>
                </wp:positionH>
                <wp:positionV relativeFrom="paragraph">
                  <wp:posOffset>-39370</wp:posOffset>
                </wp:positionV>
                <wp:extent cx="638175" cy="1238250"/>
                <wp:effectExtent l="0" t="0" r="0" b="0"/>
                <wp:wrapNone/>
                <wp:docPr id="95284986" name="Text Box 69"/>
                <wp:cNvGraphicFramePr/>
                <a:graphic xmlns:a="http://schemas.openxmlformats.org/drawingml/2006/main">
                  <a:graphicData uri="http://schemas.microsoft.com/office/word/2010/wordprocessingShape">
                    <wps:wsp>
                      <wps:cNvSpPr txBox="1">
                        <a:spLocks noChangeArrowheads="1"/>
                      </wps:cNvSpPr>
                      <wps:spPr bwMode="auto">
                        <a:xfrm>
                          <a:off x="0" y="0"/>
                          <a:ext cx="638175" cy="1238250"/>
                        </a:xfrm>
                        <a:prstGeom prst="rect">
                          <a:avLst/>
                        </a:prstGeom>
                        <a:solidFill>
                          <a:srgbClr val="663AB6"/>
                        </a:solidFill>
                        <a:ln>
                          <a:noFill/>
                        </a:ln>
                        <a:effectLst/>
                      </wps:spPr>
                      <wps:txbx>
                        <w:txbxContent>
                          <w:p w14:paraId="4703A5A6">
                            <w:pPr>
                              <w:spacing w:before="14"/>
                              <w:rPr>
                                <w:rFonts w:ascii="Arial MT"/>
                                <w:sz w:val="18"/>
                              </w:rPr>
                            </w:pPr>
                            <w:r>
                              <w:rPr>
                                <w:rFonts w:ascii="Arial MT"/>
                                <w:color w:val="FFFFFF"/>
                                <w:sz w:val="18"/>
                              </w:rPr>
                              <w:t>44 (58.7%)</w:t>
                            </w:r>
                          </w:p>
                        </w:txbxContent>
                      </wps:txbx>
                      <wps:bodyPr rot="0" vert="horz" wrap="square" lIns="0" tIns="0" rIns="0" bIns="0" anchor="t" anchorCtr="0" upright="1">
                        <a:noAutofit/>
                      </wps:bodyPr>
                    </wps:wsp>
                  </a:graphicData>
                </a:graphic>
              </wp:anchor>
            </w:drawing>
          </mc:Choice>
          <mc:Fallback>
            <w:pict>
              <v:shape id="Text Box 69" o:spid="_x0000_s1026" o:spt="202" type="#_x0000_t202" style="position:absolute;left:0pt;margin-left:444pt;margin-top:-3.1pt;height:97.5pt;width:50.25pt;mso-position-horizontal-relative:page;z-index:-251599872;mso-width-relative:page;mso-height-relative:page;" fillcolor="#663AB6" filled="t" stroked="f" coordsize="21600,21600" o:gfxdata="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Mv6/tYA&#10;AAAKAQAADwAAAAAAAAABACAAAAAiAAAAZHJzL2Rvd25yZXYueG1sUEsBAhQAFAAAAAgAh07iQF7b&#10;kM4hAgAAQwQAAA4AAAAAAAAAAQAgAAAAJQEAAGRycy9lMm9Eb2MueG1sUEsFBgAAAAAGAAYAWQEA&#10;ALgFAAAAAA==&#10;">
                <v:fill on="t" focussize="0,0"/>
                <v:stroke on="f"/>
                <v:imagedata o:title=""/>
                <o:lock v:ext="edit" aspectratio="f"/>
                <v:textbox inset="0mm,0mm,0mm,0mm">
                  <w:txbxContent>
                    <w:p w14:paraId="4703A5A6">
                      <w:pPr>
                        <w:spacing w:before="14"/>
                        <w:rPr>
                          <w:rFonts w:ascii="Arial MT"/>
                          <w:sz w:val="18"/>
                        </w:rPr>
                      </w:pPr>
                      <w:r>
                        <w:rPr>
                          <w:rFonts w:ascii="Arial MT"/>
                          <w:color w:val="FFFFFF"/>
                          <w:sz w:val="18"/>
                        </w:rPr>
                        <w:t>44 (58.7%)</w:t>
                      </w:r>
                    </w:p>
                  </w:txbxContent>
                </v:textbox>
              </v:shape>
            </w:pict>
          </mc:Fallback>
        </mc:AlternateContent>
      </w:r>
      <w:r>
        <w:rPr>
          <w:rFonts w:ascii="Arial MT" w:hAnsi="Roboto" w:eastAsia="Roboto" w:cs="Roboto"/>
          <w:color w:val="444444"/>
          <w:sz w:val="18"/>
          <w:szCs w:val="22"/>
        </w:rPr>
        <w:t>40</w:t>
      </w:r>
    </w:p>
    <w:p w14:paraId="704C815D">
      <w:pPr>
        <w:widowControl w:val="0"/>
        <w:autoSpaceDE w:val="0"/>
        <w:autoSpaceDN w:val="0"/>
        <w:rPr>
          <w:rFonts w:ascii="Arial MT" w:hAnsi="Roboto" w:eastAsia="Roboto" w:cs="Roboto"/>
          <w:sz w:val="20"/>
          <w:szCs w:val="21"/>
        </w:rPr>
      </w:pPr>
    </w:p>
    <w:p w14:paraId="420BB7DC">
      <w:pPr>
        <w:widowControl w:val="0"/>
        <w:autoSpaceDE w:val="0"/>
        <w:autoSpaceDN w:val="0"/>
        <w:rPr>
          <w:rFonts w:ascii="Arial MT" w:hAnsi="Roboto" w:eastAsia="Roboto" w:cs="Roboto"/>
          <w:sz w:val="20"/>
          <w:szCs w:val="21"/>
        </w:rPr>
      </w:pPr>
    </w:p>
    <w:p w14:paraId="56993C20">
      <w:pPr>
        <w:widowControl w:val="0"/>
        <w:autoSpaceDE w:val="0"/>
        <w:autoSpaceDN w:val="0"/>
        <w:spacing w:before="9"/>
        <w:rPr>
          <w:rFonts w:ascii="Arial MT" w:hAnsi="Roboto" w:eastAsia="Roboto" w:cs="Roboto"/>
          <w:sz w:val="19"/>
          <w:szCs w:val="21"/>
        </w:rPr>
      </w:pPr>
    </w:p>
    <w:p w14:paraId="4FA48339">
      <w:pPr>
        <w:widowControl w:val="0"/>
        <w:autoSpaceDE w:val="0"/>
        <w:autoSpaceDN w:val="0"/>
        <w:spacing w:before="1"/>
        <w:rPr>
          <w:rFonts w:ascii="Arial MT" w:hAnsi="Roboto" w:eastAsia="Roboto" w:cs="Roboto"/>
          <w:sz w:val="18"/>
          <w:szCs w:val="22"/>
        </w:rPr>
      </w:pPr>
      <w:r>
        <w:rPr>
          <w:rFonts w:ascii="Arial MT" w:hAnsi="Roboto" w:eastAsia="Roboto" w:cs="Roboto"/>
          <w:color w:val="444444"/>
          <w:sz w:val="18"/>
          <w:szCs w:val="22"/>
        </w:rPr>
        <w:t>20</w:t>
      </w:r>
    </w:p>
    <w:p w14:paraId="754AF540">
      <w:pPr>
        <w:widowControl w:val="0"/>
        <w:autoSpaceDE w:val="0"/>
        <w:autoSpaceDN w:val="0"/>
        <w:spacing w:before="10"/>
        <w:rPr>
          <w:rFonts w:ascii="Arial MT" w:hAnsi="Roboto" w:eastAsia="Roboto" w:cs="Roboto"/>
          <w:szCs w:val="21"/>
        </w:rPr>
      </w:pPr>
    </w:p>
    <w:p w14:paraId="57AF8665">
      <w:pPr>
        <w:widowControl w:val="0"/>
        <w:autoSpaceDE w:val="0"/>
        <w:autoSpaceDN w:val="0"/>
        <w:spacing w:before="94"/>
        <w:rPr>
          <w:rFonts w:ascii="Arial MT" w:hAnsi="Roboto" w:eastAsia="Roboto" w:cs="Roboto"/>
          <w:sz w:val="18"/>
          <w:szCs w:val="22"/>
        </w:rPr>
      </w:pPr>
      <w:r>
        <mc:AlternateContent>
          <mc:Choice Requires="wps">
            <w:drawing>
              <wp:anchor distT="0" distB="0" distL="114300" distR="114300" simplePos="0" relativeHeight="251717632" behindDoc="1" locked="0" layoutInCell="1" allowOverlap="1">
                <wp:simplePos x="0" y="0"/>
                <wp:positionH relativeFrom="page">
                  <wp:posOffset>3581400</wp:posOffset>
                </wp:positionH>
                <wp:positionV relativeFrom="paragraph">
                  <wp:posOffset>41275</wp:posOffset>
                </wp:positionV>
                <wp:extent cx="628650" cy="276225"/>
                <wp:effectExtent l="0" t="0" r="0" b="0"/>
                <wp:wrapNone/>
                <wp:docPr id="2117677992" name="Text Box 68"/>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solidFill>
                          <a:srgbClr val="663AB6"/>
                        </a:solidFill>
                        <a:ln>
                          <a:noFill/>
                        </a:ln>
                        <a:effectLst/>
                      </wps:spPr>
                      <wps:txbx>
                        <w:txbxContent>
                          <w:p w14:paraId="21F33AE1">
                            <w:pPr>
                              <w:spacing w:before="14"/>
                              <w:rPr>
                                <w:rFonts w:ascii="Arial MT"/>
                                <w:sz w:val="18"/>
                              </w:rPr>
                            </w:pPr>
                            <w:r>
                              <w:rPr>
                                <w:rFonts w:ascii="Arial MT"/>
                                <w:color w:val="FFFFFF"/>
                                <w:sz w:val="18"/>
                              </w:rPr>
                              <w:t>10 (13.3%)</w:t>
                            </w:r>
                          </w:p>
                        </w:txbxContent>
                      </wps:txbx>
                      <wps:bodyPr rot="0" vert="horz" wrap="square" lIns="0" tIns="0" rIns="0" bIns="0" anchor="t" anchorCtr="0" upright="1">
                        <a:noAutofit/>
                      </wps:bodyPr>
                    </wps:wsp>
                  </a:graphicData>
                </a:graphic>
              </wp:anchor>
            </w:drawing>
          </mc:Choice>
          <mc:Fallback>
            <w:pict>
              <v:shape id="Text Box 68" o:spid="_x0000_s1026" o:spt="202" type="#_x0000_t202" style="position:absolute;left:0pt;margin-left:282pt;margin-top:3.25pt;height:21.75pt;width:49.5pt;mso-position-horizontal-relative:page;z-index:-251598848;mso-width-relative:page;mso-height-relative:page;" fillcolor="#663AB6" filled="t" stroked="f" coordsize="21600,21600" o:gfxdata="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smxrUAAAA&#10;CAEAAA8AAAAAAAAAAQAgAAAAIgAAAGRycy9kb3ducmV2LnhtbFBLAQIUABQAAAAIAIdO4kCY2DG7&#10;IQIAAEQEAAAOAAAAAAAAAAEAIAAAACMBAABkcnMvZTJvRG9jLnhtbFBLBQYAAAAABgAGAFkBAAC2&#10;BQAAAAA=&#10;">
                <v:fill on="t" focussize="0,0"/>
                <v:stroke on="f"/>
                <v:imagedata o:title=""/>
                <o:lock v:ext="edit" aspectratio="f"/>
                <v:textbox inset="0mm,0mm,0mm,0mm">
                  <w:txbxContent>
                    <w:p w14:paraId="21F33AE1">
                      <w:pPr>
                        <w:spacing w:before="14"/>
                        <w:rPr>
                          <w:rFonts w:ascii="Arial MT"/>
                          <w:sz w:val="18"/>
                        </w:rPr>
                      </w:pPr>
                      <w:r>
                        <w:rPr>
                          <w:rFonts w:ascii="Arial MT"/>
                          <w:color w:val="FFFFFF"/>
                          <w:sz w:val="18"/>
                        </w:rPr>
                        <w:t>10 (13.3%)</w:t>
                      </w:r>
                    </w:p>
                  </w:txbxContent>
                </v:textbox>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4610100</wp:posOffset>
                </wp:positionH>
                <wp:positionV relativeFrom="paragraph">
                  <wp:posOffset>-101600</wp:posOffset>
                </wp:positionV>
                <wp:extent cx="638175" cy="419100"/>
                <wp:effectExtent l="0" t="0" r="0" b="0"/>
                <wp:wrapNone/>
                <wp:docPr id="493068445" name="Text Box 67"/>
                <wp:cNvGraphicFramePr/>
                <a:graphic xmlns:a="http://schemas.openxmlformats.org/drawingml/2006/main">
                  <a:graphicData uri="http://schemas.microsoft.com/office/word/2010/wordprocessingShape">
                    <wps:wsp>
                      <wps:cNvSpPr txBox="1">
                        <a:spLocks noChangeArrowheads="1"/>
                      </wps:cNvSpPr>
                      <wps:spPr bwMode="auto">
                        <a:xfrm>
                          <a:off x="0" y="0"/>
                          <a:ext cx="638175" cy="419100"/>
                        </a:xfrm>
                        <a:prstGeom prst="rect">
                          <a:avLst/>
                        </a:prstGeom>
                        <a:solidFill>
                          <a:srgbClr val="663AB6"/>
                        </a:solidFill>
                        <a:ln>
                          <a:noFill/>
                        </a:ln>
                        <a:effectLst/>
                      </wps:spPr>
                      <wps:txbx>
                        <w:txbxContent>
                          <w:p w14:paraId="60D1DF4E">
                            <w:pPr>
                              <w:spacing w:before="14"/>
                              <w:rPr>
                                <w:rFonts w:ascii="Arial MT"/>
                                <w:sz w:val="18"/>
                              </w:rPr>
                            </w:pPr>
                            <w:r>
                              <w:rPr>
                                <w:rFonts w:ascii="Arial MT"/>
                                <w:color w:val="FFFFFF"/>
                                <w:sz w:val="18"/>
                              </w:rPr>
                              <w:t>15 (20%)</w:t>
                            </w:r>
                          </w:p>
                        </w:txbxContent>
                      </wps:txbx>
                      <wps:bodyPr rot="0" vert="horz" wrap="square" lIns="0" tIns="0" rIns="0" bIns="0" anchor="t" anchorCtr="0" upright="1">
                        <a:noAutofit/>
                      </wps:bodyPr>
                    </wps:wsp>
                  </a:graphicData>
                </a:graphic>
              </wp:anchor>
            </w:drawing>
          </mc:Choice>
          <mc:Fallback>
            <w:pict>
              <v:shape id="Text Box 67" o:spid="_x0000_s1026" o:spt="202" type="#_x0000_t202" style="position:absolute;left:0pt;margin-left:363pt;margin-top:-8pt;height:33pt;width:50.25pt;mso-position-horizontal-relative:page;z-index:-251597824;mso-width-relative:page;mso-height-relative:page;" fillcolor="#663AB6" filled="t" stroked="f" coordsize="21600,21600" o:gfxdata="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gQFrX&#10;AAAACgEAAA8AAAAAAAAAAQAgAAAAIgAAAGRycy9kb3ducmV2LnhtbFBLAQIUABQAAAAIAIdO4kC+&#10;HqdeIQIAAEMEAAAOAAAAAAAAAAEAIAAAACYBAABkcnMvZTJvRG9jLnhtbFBLBQYAAAAABgAGAFkB&#10;AAC5BQAAAAA=&#10;">
                <v:fill on="t" focussize="0,0"/>
                <v:stroke on="f"/>
                <v:imagedata o:title=""/>
                <o:lock v:ext="edit" aspectratio="f"/>
                <v:textbox inset="0mm,0mm,0mm,0mm">
                  <w:txbxContent>
                    <w:p w14:paraId="60D1DF4E">
                      <w:pPr>
                        <w:spacing w:before="14"/>
                        <w:rPr>
                          <w:rFonts w:ascii="Arial MT"/>
                          <w:sz w:val="18"/>
                        </w:rPr>
                      </w:pPr>
                      <w:r>
                        <w:rPr>
                          <w:rFonts w:ascii="Arial MT"/>
                          <w:color w:val="FFFFFF"/>
                          <w:sz w:val="18"/>
                        </w:rPr>
                        <w:t>15 (20%)</w:t>
                      </w:r>
                    </w:p>
                  </w:txbxContent>
                </v:textbox>
              </v:shape>
            </w:pict>
          </mc:Fallback>
        </mc:AlternateContent>
      </w:r>
      <w:r>
        <w:rPr>
          <w:rFonts w:ascii="Arial MT" w:hAnsi="Roboto" w:eastAsia="Roboto" w:cs="Roboto"/>
          <w:sz w:val="18"/>
          <w:szCs w:val="22"/>
        </w:rPr>
        <w:t>1 (1.3%)</w:t>
      </w:r>
    </w:p>
    <w:p w14:paraId="03C3AB22">
      <w:pPr>
        <w:widowControl w:val="0"/>
        <w:tabs>
          <w:tab w:val="left" w:pos="2964"/>
          <w:tab w:val="left" w:pos="9159"/>
        </w:tabs>
        <w:autoSpaceDE w:val="0"/>
        <w:autoSpaceDN w:val="0"/>
        <w:spacing w:before="4" w:line="237" w:lineRule="auto"/>
        <w:rPr>
          <w:rFonts w:ascii="Arial MT" w:hAnsi="Roboto" w:eastAsia="Roboto" w:cs="Roboto"/>
          <w:sz w:val="18"/>
          <w:szCs w:val="22"/>
        </w:rPr>
      </w:pPr>
      <w:r>
        <w:rPr>
          <w:rFonts w:ascii="Arial MT" w:hAnsi="Roboto" w:eastAsia="Roboto" w:cs="Roboto"/>
          <w:color w:val="444444"/>
          <w:position w:val="-9"/>
          <w:sz w:val="18"/>
          <w:szCs w:val="22"/>
        </w:rPr>
        <w:t>0</w:t>
      </w:r>
      <w:r>
        <w:rPr>
          <w:rFonts w:hAnsi="Roboto" w:eastAsia="Roboto" w:cs="Roboto"/>
          <w:color w:val="FFFFFF"/>
          <w:sz w:val="18"/>
          <w:szCs w:val="22"/>
          <w:u w:val="single" w:color="333333"/>
          <w:shd w:val="clear" w:color="auto" w:fill="663AB6"/>
        </w:rPr>
        <w:tab/>
      </w:r>
      <w:r>
        <w:rPr>
          <w:rFonts w:ascii="Arial MT" w:hAnsi="Roboto" w:eastAsia="Roboto" w:cs="Roboto"/>
          <w:color w:val="FFFFFF"/>
          <w:sz w:val="18"/>
          <w:szCs w:val="22"/>
          <w:u w:val="single" w:color="333333"/>
          <w:shd w:val="clear" w:color="auto" w:fill="663AB6"/>
        </w:rPr>
        <w:t>5 (6.7%)</w:t>
      </w:r>
      <w:r>
        <w:rPr>
          <w:rFonts w:ascii="Arial MT" w:hAnsi="Roboto" w:eastAsia="Roboto" w:cs="Roboto"/>
          <w:color w:val="FFFFFF"/>
          <w:sz w:val="18"/>
          <w:szCs w:val="22"/>
          <w:u w:val="single" w:color="333333"/>
          <w:shd w:val="clear" w:color="auto" w:fill="663AB6"/>
        </w:rPr>
        <w:tab/>
      </w:r>
    </w:p>
    <w:p w14:paraId="0488F40C">
      <w:pPr>
        <w:widowControl w:val="0"/>
        <w:tabs>
          <w:tab w:val="left" w:pos="3421"/>
          <w:tab w:val="left" w:pos="5044"/>
          <w:tab w:val="left" w:pos="6667"/>
          <w:tab w:val="left" w:pos="8290"/>
        </w:tabs>
        <w:autoSpaceDE w:val="0"/>
        <w:autoSpaceDN w:val="0"/>
        <w:spacing w:line="201"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150728C9">
      <w:pPr>
        <w:widowControl w:val="0"/>
        <w:autoSpaceDE w:val="0"/>
        <w:autoSpaceDN w:val="0"/>
        <w:spacing w:line="201" w:lineRule="exact"/>
        <w:rPr>
          <w:rFonts w:ascii="Arial MT" w:hAnsi="Roboto" w:eastAsia="Roboto" w:cs="Roboto"/>
          <w:sz w:val="18"/>
          <w:szCs w:val="22"/>
        </w:rPr>
        <w:sectPr>
          <w:type w:val="continuous"/>
          <w:pgSz w:w="11900" w:h="16840"/>
          <w:pgMar w:top="480" w:right="1280" w:bottom="1680" w:left="1040" w:header="720" w:footer="720" w:gutter="0"/>
          <w:cols w:space="720" w:num="1"/>
        </w:sectPr>
      </w:pPr>
    </w:p>
    <w:p w14:paraId="4EB451E1">
      <w:pPr>
        <w:widowControl w:val="0"/>
        <w:autoSpaceDE w:val="0"/>
        <w:autoSpaceDN w:val="0"/>
        <w:spacing w:before="4"/>
        <w:rPr>
          <w:rFonts w:ascii="Arial MT" w:hAnsi="Roboto" w:eastAsia="Roboto" w:cs="Roboto"/>
          <w:sz w:val="12"/>
          <w:szCs w:val="21"/>
        </w:rPr>
      </w:pPr>
      <w:r>
        <w:rPr>
          <w:rFonts w:ascii="Roboto" w:hAnsi="Roboto" w:eastAsia="Roboto" w:cs="Roboto"/>
          <w:sz w:val="21"/>
          <w:szCs w:val="21"/>
        </w:rPr>
        <w:drawing>
          <wp:anchor distT="0" distB="0" distL="0" distR="0" simplePos="0" relativeHeight="251719680" behindDoc="1" locked="0" layoutInCell="1" allowOverlap="1">
            <wp:simplePos x="0" y="0"/>
            <wp:positionH relativeFrom="page">
              <wp:posOffset>733425</wp:posOffset>
            </wp:positionH>
            <wp:positionV relativeFrom="page">
              <wp:posOffset>352425</wp:posOffset>
            </wp:positionV>
            <wp:extent cx="6276975" cy="9982200"/>
            <wp:effectExtent l="0" t="0" r="0" b="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a:picLocks noChangeAspect="1"/>
                    </pic:cNvPicPr>
                  </pic:nvPicPr>
                  <pic:blipFill>
                    <a:blip r:embed="rId114"/>
                    <a:stretch>
                      <a:fillRect/>
                    </a:stretch>
                  </pic:blipFill>
                  <pic:spPr>
                    <a:xfrm>
                      <a:off x="0" y="0"/>
                      <a:ext cx="6276975" cy="9982200"/>
                    </a:xfrm>
                    <a:prstGeom prst="rect">
                      <a:avLst/>
                    </a:prstGeom>
                    <a:noFill/>
                    <a:ln>
                      <a:noFill/>
                    </a:ln>
                  </pic:spPr>
                </pic:pic>
              </a:graphicData>
            </a:graphic>
          </wp:anchor>
        </w:drawing>
      </w:r>
    </w:p>
    <w:p w14:paraId="76B5FAAE">
      <w:pPr>
        <w:widowControl w:val="0"/>
        <w:autoSpaceDE w:val="0"/>
        <w:autoSpaceDN w:val="0"/>
        <w:spacing w:before="94"/>
        <w:jc w:val="both"/>
        <w:outlineLvl w:val="0"/>
        <w:rPr>
          <w:rFonts w:eastAsia="Roboto"/>
        </w:rPr>
      </w:pPr>
      <w:r>
        <w:rPr>
          <w:rFonts w:eastAsia="Roboto"/>
          <w:color w:val="202024"/>
        </w:rPr>
        <w:t>Please</w:t>
      </w:r>
      <w:r>
        <w:rPr>
          <w:rFonts w:eastAsia="Roboto"/>
          <w:color w:val="202024"/>
          <w:spacing w:val="11"/>
        </w:rPr>
        <w:t xml:space="preserve"> </w:t>
      </w:r>
      <w:r>
        <w:rPr>
          <w:rFonts w:eastAsia="Roboto"/>
          <w:color w:val="202024"/>
        </w:rPr>
        <w:t>add</w:t>
      </w:r>
      <w:r>
        <w:rPr>
          <w:rFonts w:eastAsia="Roboto"/>
          <w:color w:val="202024"/>
          <w:spacing w:val="12"/>
        </w:rPr>
        <w:t xml:space="preserve"> </w:t>
      </w:r>
      <w:r>
        <w:rPr>
          <w:rFonts w:eastAsia="Roboto"/>
          <w:color w:val="202024"/>
        </w:rPr>
        <w:t>any</w:t>
      </w:r>
      <w:r>
        <w:rPr>
          <w:rFonts w:eastAsia="Roboto"/>
          <w:color w:val="202024"/>
          <w:spacing w:val="12"/>
        </w:rPr>
        <w:t xml:space="preserve"> </w:t>
      </w:r>
      <w:r>
        <w:rPr>
          <w:rFonts w:eastAsia="Roboto"/>
          <w:color w:val="202024"/>
        </w:rPr>
        <w:t>other</w:t>
      </w:r>
      <w:r>
        <w:rPr>
          <w:rFonts w:eastAsia="Roboto"/>
          <w:color w:val="202024"/>
          <w:spacing w:val="11"/>
        </w:rPr>
        <w:t xml:space="preserve"> </w:t>
      </w:r>
      <w:r>
        <w:rPr>
          <w:rFonts w:eastAsia="Roboto"/>
          <w:color w:val="202024"/>
        </w:rPr>
        <w:t>comments</w:t>
      </w:r>
      <w:r>
        <w:rPr>
          <w:rFonts w:eastAsia="Roboto"/>
          <w:color w:val="202024"/>
          <w:spacing w:val="12"/>
        </w:rPr>
        <w:t xml:space="preserve"> </w:t>
      </w:r>
      <w:r>
        <w:rPr>
          <w:rFonts w:eastAsia="Roboto"/>
          <w:color w:val="202024"/>
        </w:rPr>
        <w:t>below_3:</w:t>
      </w:r>
    </w:p>
    <w:p w14:paraId="3E5ECC2A">
      <w:pPr>
        <w:widowControl w:val="0"/>
        <w:autoSpaceDE w:val="0"/>
        <w:autoSpaceDN w:val="0"/>
        <w:spacing w:before="174"/>
        <w:jc w:val="both"/>
        <w:rPr>
          <w:rFonts w:eastAsia="Roboto"/>
        </w:rPr>
      </w:pPr>
      <w:r>
        <w:rPr>
          <w:rFonts w:eastAsia="Roboto"/>
          <w:color w:val="202024"/>
        </w:rPr>
        <w:t>14</w:t>
      </w:r>
      <w:r>
        <w:rPr>
          <w:rFonts w:eastAsia="Roboto"/>
          <w:color w:val="202024"/>
          <w:spacing w:val="20"/>
        </w:rPr>
        <w:t xml:space="preserve"> </w:t>
      </w:r>
      <w:r>
        <w:rPr>
          <w:rFonts w:eastAsia="Roboto"/>
          <w:color w:val="202024"/>
        </w:rPr>
        <w:t>responses</w:t>
      </w:r>
    </w:p>
    <w:p w14:paraId="55CB30E9">
      <w:pPr>
        <w:widowControl w:val="0"/>
        <w:autoSpaceDE w:val="0"/>
        <w:autoSpaceDN w:val="0"/>
        <w:jc w:val="both"/>
        <w:rPr>
          <w:rFonts w:eastAsia="Roboto"/>
        </w:rPr>
      </w:pPr>
    </w:p>
    <w:p w14:paraId="6F2049B0">
      <w:pPr>
        <w:widowControl w:val="0"/>
        <w:autoSpaceDE w:val="0"/>
        <w:autoSpaceDN w:val="0"/>
        <w:spacing w:before="8"/>
        <w:jc w:val="both"/>
        <w:rPr>
          <w:rFonts w:eastAsia="Roboto"/>
        </w:rPr>
      </w:pPr>
    </w:p>
    <w:p w14:paraId="44B7C61F">
      <w:pPr>
        <w:widowControl w:val="0"/>
        <w:autoSpaceDE w:val="0"/>
        <w:autoSpaceDN w:val="0"/>
        <w:spacing w:line="285" w:lineRule="auto"/>
        <w:ind w:right="448"/>
        <w:jc w:val="both"/>
        <w:rPr>
          <w:rFonts w:eastAsia="Roboto"/>
        </w:rPr>
      </w:pPr>
      <w:r>
        <w:rPr>
          <w:rFonts w:eastAsia="Roboto"/>
          <w:color w:val="202024"/>
        </w:rPr>
        <w:t>FIRS</w:t>
      </w:r>
      <w:r>
        <w:rPr>
          <w:rFonts w:eastAsia="Roboto"/>
          <w:color w:val="202024"/>
          <w:spacing w:val="7"/>
        </w:rPr>
        <w:t xml:space="preserve"> </w:t>
      </w:r>
      <w:r>
        <w:rPr>
          <w:rFonts w:eastAsia="Roboto"/>
          <w:color w:val="202024"/>
        </w:rPr>
        <w:t>circulars</w:t>
      </w:r>
      <w:r>
        <w:rPr>
          <w:rFonts w:eastAsia="Roboto"/>
          <w:color w:val="202024"/>
          <w:spacing w:val="8"/>
        </w:rPr>
        <w:t xml:space="preserve"> </w:t>
      </w:r>
      <w:r>
        <w:rPr>
          <w:rFonts w:eastAsia="Roboto"/>
          <w:color w:val="202024"/>
        </w:rPr>
        <w:t>are</w:t>
      </w:r>
      <w:r>
        <w:rPr>
          <w:rFonts w:eastAsia="Roboto"/>
          <w:color w:val="202024"/>
          <w:spacing w:val="8"/>
        </w:rPr>
        <w:t xml:space="preserve"> </w:t>
      </w:r>
      <w:r>
        <w:rPr>
          <w:rFonts w:eastAsia="Roboto"/>
          <w:color w:val="202024"/>
        </w:rPr>
        <w:t>usually</w:t>
      </w:r>
      <w:r>
        <w:rPr>
          <w:rFonts w:eastAsia="Roboto"/>
          <w:color w:val="202024"/>
          <w:spacing w:val="8"/>
        </w:rPr>
        <w:t xml:space="preserve"> </w:t>
      </w:r>
      <w:r>
        <w:rPr>
          <w:rFonts w:eastAsia="Roboto"/>
          <w:color w:val="202024"/>
        </w:rPr>
        <w:t>one</w:t>
      </w:r>
      <w:r>
        <w:rPr>
          <w:rFonts w:eastAsia="Roboto"/>
          <w:color w:val="202024"/>
          <w:spacing w:val="8"/>
        </w:rPr>
        <w:t xml:space="preserve"> </w:t>
      </w:r>
      <w:r>
        <w:rPr>
          <w:rFonts w:eastAsia="Roboto"/>
          <w:color w:val="202024"/>
        </w:rPr>
        <w:t>sided</w:t>
      </w:r>
      <w:r>
        <w:rPr>
          <w:rFonts w:eastAsia="Roboto"/>
          <w:color w:val="202024"/>
          <w:spacing w:val="8"/>
        </w:rPr>
        <w:t xml:space="preserve"> </w:t>
      </w:r>
      <w:r>
        <w:rPr>
          <w:rFonts w:eastAsia="Roboto"/>
          <w:color w:val="202024"/>
        </w:rPr>
        <w:t>as</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taxman</w:t>
      </w:r>
      <w:r>
        <w:rPr>
          <w:rFonts w:eastAsia="Roboto"/>
          <w:color w:val="202024"/>
          <w:spacing w:val="8"/>
        </w:rPr>
        <w:t xml:space="preserve"> </w:t>
      </w:r>
      <w:r>
        <w:rPr>
          <w:rFonts w:eastAsia="Roboto"/>
          <w:color w:val="202024"/>
        </w:rPr>
        <w:t>seeks</w:t>
      </w:r>
      <w:r>
        <w:rPr>
          <w:rFonts w:eastAsia="Roboto"/>
          <w:color w:val="202024"/>
          <w:spacing w:val="8"/>
        </w:rPr>
        <w:t xml:space="preserve"> </w:t>
      </w:r>
      <w:r>
        <w:rPr>
          <w:rFonts w:eastAsia="Roboto"/>
          <w:color w:val="202024"/>
        </w:rPr>
        <w:t>to</w:t>
      </w:r>
      <w:r>
        <w:rPr>
          <w:rFonts w:eastAsia="Roboto"/>
          <w:color w:val="202024"/>
          <w:spacing w:val="8"/>
        </w:rPr>
        <w:t xml:space="preserve"> </w:t>
      </w:r>
      <w:r>
        <w:rPr>
          <w:rFonts w:eastAsia="Roboto"/>
          <w:color w:val="202024"/>
        </w:rPr>
        <w:t>adopt</w:t>
      </w:r>
      <w:r>
        <w:rPr>
          <w:rFonts w:eastAsia="Roboto"/>
          <w:color w:val="202024"/>
          <w:spacing w:val="8"/>
        </w:rPr>
        <w:t xml:space="preserve"> </w:t>
      </w:r>
      <w:r>
        <w:rPr>
          <w:rFonts w:eastAsia="Roboto"/>
          <w:color w:val="202024"/>
        </w:rPr>
        <w:t>a</w:t>
      </w:r>
      <w:r>
        <w:rPr>
          <w:rFonts w:eastAsia="Roboto"/>
          <w:color w:val="202024"/>
          <w:spacing w:val="7"/>
        </w:rPr>
        <w:t xml:space="preserve"> </w:t>
      </w:r>
      <w:r>
        <w:rPr>
          <w:rFonts w:eastAsia="Roboto"/>
          <w:color w:val="202024"/>
        </w:rPr>
        <w:t>position</w:t>
      </w:r>
      <w:r>
        <w:rPr>
          <w:rFonts w:eastAsia="Roboto"/>
          <w:color w:val="202024"/>
          <w:spacing w:val="8"/>
        </w:rPr>
        <w:t xml:space="preserve"> </w:t>
      </w:r>
      <w:r>
        <w:rPr>
          <w:rFonts w:eastAsia="Roboto"/>
          <w:color w:val="202024"/>
        </w:rPr>
        <w:t>that</w:t>
      </w:r>
      <w:r>
        <w:rPr>
          <w:rFonts w:eastAsia="Roboto"/>
          <w:color w:val="202024"/>
          <w:spacing w:val="8"/>
        </w:rPr>
        <w:t xml:space="preserve"> </w:t>
      </w:r>
      <w:r>
        <w:rPr>
          <w:rFonts w:eastAsia="Roboto"/>
          <w:color w:val="202024"/>
        </w:rPr>
        <w:t>helps</w:t>
      </w:r>
      <w:r>
        <w:rPr>
          <w:rFonts w:eastAsia="Roboto"/>
          <w:color w:val="202024"/>
          <w:spacing w:val="8"/>
        </w:rPr>
        <w:t xml:space="preserve"> </w:t>
      </w:r>
      <w:r>
        <w:rPr>
          <w:rFonts w:eastAsia="Roboto"/>
          <w:color w:val="202024"/>
        </w:rPr>
        <w:t>with</w:t>
      </w:r>
      <w:r>
        <w:rPr>
          <w:rFonts w:eastAsia="Roboto"/>
          <w:color w:val="202024"/>
          <w:spacing w:val="1"/>
        </w:rPr>
        <w:t xml:space="preserve"> </w:t>
      </w:r>
      <w:r>
        <w:rPr>
          <w:rFonts w:eastAsia="Roboto"/>
          <w:color w:val="202024"/>
        </w:rPr>
        <w:t>revenue</w:t>
      </w:r>
      <w:r>
        <w:rPr>
          <w:rFonts w:eastAsia="Roboto"/>
          <w:color w:val="202024"/>
          <w:spacing w:val="10"/>
        </w:rPr>
        <w:t xml:space="preserve"> </w:t>
      </w:r>
      <w:r>
        <w:rPr>
          <w:rFonts w:eastAsia="Roboto"/>
          <w:color w:val="202024"/>
        </w:rPr>
        <w:t>maximization.</w:t>
      </w:r>
      <w:r>
        <w:rPr>
          <w:rFonts w:eastAsia="Roboto"/>
          <w:color w:val="202024"/>
          <w:spacing w:val="6"/>
        </w:rPr>
        <w:t xml:space="preserve"> </w:t>
      </w:r>
      <w:r>
        <w:rPr>
          <w:rFonts w:eastAsia="Roboto"/>
          <w:color w:val="202024"/>
        </w:rPr>
        <w:t>The</w:t>
      </w:r>
      <w:r>
        <w:rPr>
          <w:rFonts w:eastAsia="Roboto"/>
          <w:color w:val="202024"/>
          <w:spacing w:val="10"/>
        </w:rPr>
        <w:t xml:space="preserve"> </w:t>
      </w:r>
      <w:r>
        <w:rPr>
          <w:rFonts w:eastAsia="Roboto"/>
          <w:color w:val="202024"/>
        </w:rPr>
        <w:t>court</w:t>
      </w:r>
      <w:r>
        <w:rPr>
          <w:rFonts w:eastAsia="Roboto"/>
          <w:color w:val="202024"/>
          <w:spacing w:val="10"/>
        </w:rPr>
        <w:t xml:space="preserve"> </w:t>
      </w:r>
      <w:r>
        <w:rPr>
          <w:rFonts w:eastAsia="Roboto"/>
          <w:color w:val="202024"/>
        </w:rPr>
        <w:t>has</w:t>
      </w:r>
      <w:r>
        <w:rPr>
          <w:rFonts w:eastAsia="Roboto"/>
          <w:color w:val="202024"/>
          <w:spacing w:val="10"/>
        </w:rPr>
        <w:t xml:space="preserve"> </w:t>
      </w:r>
      <w:r>
        <w:rPr>
          <w:rFonts w:eastAsia="Roboto"/>
          <w:color w:val="202024"/>
        </w:rPr>
        <w:t>also</w:t>
      </w:r>
      <w:r>
        <w:rPr>
          <w:rFonts w:eastAsia="Roboto"/>
          <w:color w:val="202024"/>
          <w:spacing w:val="11"/>
        </w:rPr>
        <w:t xml:space="preserve"> </w:t>
      </w:r>
      <w:r>
        <w:rPr>
          <w:rFonts w:eastAsia="Roboto"/>
          <w:color w:val="202024"/>
        </w:rPr>
        <w:t>disregarded</w:t>
      </w:r>
      <w:r>
        <w:rPr>
          <w:rFonts w:eastAsia="Roboto"/>
          <w:color w:val="202024"/>
          <w:spacing w:val="10"/>
        </w:rPr>
        <w:t xml:space="preserve"> </w:t>
      </w:r>
      <w:r>
        <w:rPr>
          <w:rFonts w:eastAsia="Roboto"/>
          <w:color w:val="202024"/>
        </w:rPr>
        <w:t>those</w:t>
      </w:r>
      <w:r>
        <w:rPr>
          <w:rFonts w:eastAsia="Roboto"/>
          <w:color w:val="202024"/>
          <w:spacing w:val="10"/>
        </w:rPr>
        <w:t xml:space="preserve"> </w:t>
      </w:r>
      <w:r>
        <w:rPr>
          <w:rFonts w:eastAsia="Roboto"/>
          <w:color w:val="202024"/>
        </w:rPr>
        <w:t>circulars</w:t>
      </w:r>
      <w:r>
        <w:rPr>
          <w:rFonts w:eastAsia="Roboto"/>
          <w:color w:val="202024"/>
          <w:spacing w:val="10"/>
        </w:rPr>
        <w:t xml:space="preserve"> </w:t>
      </w:r>
      <w:r>
        <w:rPr>
          <w:rFonts w:eastAsia="Roboto"/>
          <w:color w:val="202024"/>
        </w:rPr>
        <w:t>in</w:t>
      </w:r>
      <w:r>
        <w:rPr>
          <w:rFonts w:eastAsia="Roboto"/>
          <w:color w:val="202024"/>
          <w:spacing w:val="10"/>
        </w:rPr>
        <w:t xml:space="preserve"> </w:t>
      </w:r>
      <w:r>
        <w:rPr>
          <w:rFonts w:eastAsia="Roboto"/>
          <w:color w:val="202024"/>
        </w:rPr>
        <w:t>the</w:t>
      </w:r>
      <w:r>
        <w:rPr>
          <w:rFonts w:eastAsia="Roboto"/>
          <w:color w:val="202024"/>
          <w:spacing w:val="11"/>
        </w:rPr>
        <w:t xml:space="preserve"> </w:t>
      </w:r>
      <w:r>
        <w:rPr>
          <w:rFonts w:eastAsia="Roboto"/>
          <w:color w:val="202024"/>
        </w:rPr>
        <w:t>past</w:t>
      </w:r>
      <w:r>
        <w:rPr>
          <w:rFonts w:eastAsia="Roboto"/>
          <w:color w:val="202024"/>
          <w:spacing w:val="10"/>
        </w:rPr>
        <w:t xml:space="preserve"> </w:t>
      </w:r>
      <w:r>
        <w:rPr>
          <w:rFonts w:eastAsia="Roboto"/>
          <w:color w:val="202024"/>
        </w:rPr>
        <w:t>thus</w:t>
      </w:r>
      <w:r>
        <w:rPr>
          <w:rFonts w:eastAsia="Roboto"/>
          <w:color w:val="202024"/>
          <w:spacing w:val="10"/>
        </w:rPr>
        <w:t xml:space="preserve"> </w:t>
      </w:r>
      <w:r>
        <w:rPr>
          <w:rFonts w:eastAsia="Roboto"/>
          <w:color w:val="202024"/>
        </w:rPr>
        <w:t>it</w:t>
      </w:r>
      <w:r>
        <w:rPr>
          <w:rFonts w:eastAsia="Roboto"/>
          <w:color w:val="202024"/>
          <w:spacing w:val="10"/>
        </w:rPr>
        <w:t xml:space="preserve"> </w:t>
      </w:r>
      <w:r>
        <w:rPr>
          <w:rFonts w:eastAsia="Roboto"/>
          <w:color w:val="202024"/>
        </w:rPr>
        <w:t>fails</w:t>
      </w:r>
      <w:r>
        <w:rPr>
          <w:rFonts w:eastAsia="Roboto"/>
          <w:color w:val="202024"/>
          <w:spacing w:val="-49"/>
        </w:rPr>
        <w:t xml:space="preserve"> </w:t>
      </w:r>
      <w:r>
        <w:rPr>
          <w:rFonts w:eastAsia="Roboto"/>
          <w:color w:val="202024"/>
        </w:rPr>
        <w:t>to</w:t>
      </w:r>
      <w:r>
        <w:rPr>
          <w:rFonts w:eastAsia="Roboto"/>
          <w:color w:val="202024"/>
          <w:spacing w:val="5"/>
        </w:rPr>
        <w:t xml:space="preserve"> </w:t>
      </w:r>
      <w:r>
        <w:rPr>
          <w:rFonts w:eastAsia="Roboto"/>
          <w:color w:val="202024"/>
        </w:rPr>
        <w:t>provided</w:t>
      </w:r>
      <w:r>
        <w:rPr>
          <w:rFonts w:eastAsia="Roboto"/>
          <w:color w:val="202024"/>
          <w:spacing w:val="5"/>
        </w:rPr>
        <w:t xml:space="preserve"> </w:t>
      </w:r>
      <w:r>
        <w:rPr>
          <w:rFonts w:eastAsia="Roboto"/>
          <w:color w:val="202024"/>
        </w:rPr>
        <w:t>required</w:t>
      </w:r>
      <w:r>
        <w:rPr>
          <w:rFonts w:eastAsia="Roboto"/>
          <w:color w:val="202024"/>
          <w:spacing w:val="5"/>
        </w:rPr>
        <w:t xml:space="preserve"> </w:t>
      </w:r>
      <w:r>
        <w:rPr>
          <w:rFonts w:eastAsia="Roboto"/>
          <w:color w:val="202024"/>
        </w:rPr>
        <w:t>certainty</w:t>
      </w:r>
    </w:p>
    <w:p w14:paraId="59385D5D">
      <w:pPr>
        <w:widowControl w:val="0"/>
        <w:autoSpaceDE w:val="0"/>
        <w:autoSpaceDN w:val="0"/>
        <w:jc w:val="both"/>
        <w:rPr>
          <w:rFonts w:eastAsia="Roboto"/>
        </w:rPr>
      </w:pPr>
    </w:p>
    <w:p w14:paraId="6262AB46">
      <w:pPr>
        <w:widowControl w:val="0"/>
        <w:autoSpaceDE w:val="0"/>
        <w:autoSpaceDN w:val="0"/>
        <w:spacing w:line="285" w:lineRule="auto"/>
        <w:ind w:right="272"/>
        <w:jc w:val="both"/>
        <w:rPr>
          <w:rFonts w:eastAsia="Roboto"/>
        </w:rPr>
      </w:pPr>
      <w:r>
        <w:rPr>
          <w:rFonts w:eastAsia="Roboto"/>
          <w:color w:val="202024"/>
        </w:rPr>
        <w:t>FIRS</w:t>
      </w:r>
      <w:r>
        <w:rPr>
          <w:rFonts w:eastAsia="Roboto"/>
          <w:color w:val="202024"/>
          <w:spacing w:val="8"/>
        </w:rPr>
        <w:t xml:space="preserve"> </w:t>
      </w:r>
      <w:r>
        <w:rPr>
          <w:rFonts w:eastAsia="Roboto"/>
          <w:color w:val="202024"/>
        </w:rPr>
        <w:t>circulars</w:t>
      </w:r>
      <w:r>
        <w:rPr>
          <w:rFonts w:eastAsia="Roboto"/>
          <w:color w:val="202024"/>
          <w:spacing w:val="8"/>
        </w:rPr>
        <w:t xml:space="preserve"> </w:t>
      </w:r>
      <w:r>
        <w:rPr>
          <w:rFonts w:eastAsia="Roboto"/>
          <w:color w:val="202024"/>
        </w:rPr>
        <w:t>are</w:t>
      </w:r>
      <w:r>
        <w:rPr>
          <w:rFonts w:eastAsia="Roboto"/>
          <w:color w:val="202024"/>
          <w:spacing w:val="8"/>
        </w:rPr>
        <w:t xml:space="preserve"> </w:t>
      </w:r>
      <w:r>
        <w:rPr>
          <w:rFonts w:eastAsia="Roboto"/>
          <w:color w:val="202024"/>
        </w:rPr>
        <w:t>important</w:t>
      </w:r>
      <w:r>
        <w:rPr>
          <w:rFonts w:eastAsia="Roboto"/>
          <w:color w:val="202024"/>
          <w:spacing w:val="8"/>
        </w:rPr>
        <w:t xml:space="preserve"> </w:t>
      </w:r>
      <w:r>
        <w:rPr>
          <w:rFonts w:eastAsia="Roboto"/>
          <w:color w:val="202024"/>
        </w:rPr>
        <w:t>in</w:t>
      </w:r>
      <w:r>
        <w:rPr>
          <w:rFonts w:eastAsia="Roboto"/>
          <w:color w:val="202024"/>
          <w:spacing w:val="8"/>
        </w:rPr>
        <w:t xml:space="preserve"> </w:t>
      </w:r>
      <w:r>
        <w:rPr>
          <w:rFonts w:eastAsia="Roboto"/>
          <w:color w:val="202024"/>
        </w:rPr>
        <w:t>providing</w:t>
      </w:r>
      <w:r>
        <w:rPr>
          <w:rFonts w:eastAsia="Roboto"/>
          <w:color w:val="202024"/>
          <w:spacing w:val="8"/>
        </w:rPr>
        <w:t xml:space="preserve"> </w:t>
      </w:r>
      <w:r>
        <w:rPr>
          <w:rFonts w:eastAsia="Roboto"/>
          <w:color w:val="202024"/>
        </w:rPr>
        <w:t>further</w:t>
      </w:r>
      <w:r>
        <w:rPr>
          <w:rFonts w:eastAsia="Roboto"/>
          <w:color w:val="202024"/>
          <w:spacing w:val="8"/>
        </w:rPr>
        <w:t xml:space="preserve"> </w:t>
      </w:r>
      <w:r>
        <w:rPr>
          <w:rFonts w:eastAsia="Roboto"/>
          <w:color w:val="202024"/>
        </w:rPr>
        <w:t>clarity</w:t>
      </w:r>
      <w:r>
        <w:rPr>
          <w:rFonts w:eastAsia="Roboto"/>
          <w:color w:val="202024"/>
          <w:spacing w:val="8"/>
        </w:rPr>
        <w:t xml:space="preserve"> </w:t>
      </w:r>
      <w:r>
        <w:rPr>
          <w:rFonts w:eastAsia="Roboto"/>
          <w:color w:val="202024"/>
        </w:rPr>
        <w:t>to</w:t>
      </w:r>
      <w:r>
        <w:rPr>
          <w:rFonts w:eastAsia="Roboto"/>
          <w:color w:val="202024"/>
          <w:spacing w:val="8"/>
        </w:rPr>
        <w:t xml:space="preserve"> </w:t>
      </w:r>
      <w:r>
        <w:rPr>
          <w:rFonts w:eastAsia="Roboto"/>
          <w:color w:val="202024"/>
        </w:rPr>
        <w:t>tax</w:t>
      </w:r>
      <w:r>
        <w:rPr>
          <w:rFonts w:eastAsia="Roboto"/>
          <w:color w:val="202024"/>
          <w:spacing w:val="8"/>
        </w:rPr>
        <w:t xml:space="preserve"> </w:t>
      </w:r>
      <w:r>
        <w:rPr>
          <w:rFonts w:eastAsia="Roboto"/>
          <w:color w:val="202024"/>
        </w:rPr>
        <w:t>laws.</w:t>
      </w:r>
      <w:r>
        <w:rPr>
          <w:rFonts w:eastAsia="Roboto"/>
          <w:color w:val="202024"/>
          <w:spacing w:val="8"/>
        </w:rPr>
        <w:t xml:space="preserve"> </w:t>
      </w:r>
      <w:r>
        <w:rPr>
          <w:rFonts w:eastAsia="Roboto"/>
          <w:color w:val="202024"/>
        </w:rPr>
        <w:t>Unfortunately,</w:t>
      </w:r>
      <w:r>
        <w:rPr>
          <w:rFonts w:eastAsia="Roboto"/>
          <w:color w:val="202024"/>
          <w:spacing w:val="8"/>
        </w:rPr>
        <w:t xml:space="preserve"> </w:t>
      </w:r>
      <w:r>
        <w:rPr>
          <w:rFonts w:eastAsia="Roboto"/>
          <w:color w:val="202024"/>
        </w:rPr>
        <w:t>some</w:t>
      </w:r>
      <w:r>
        <w:rPr>
          <w:rFonts w:eastAsia="Roboto"/>
          <w:color w:val="202024"/>
          <w:spacing w:val="8"/>
        </w:rPr>
        <w:t xml:space="preserve"> </w:t>
      </w:r>
      <w:r>
        <w:rPr>
          <w:rFonts w:eastAsia="Roboto"/>
          <w:color w:val="202024"/>
        </w:rPr>
        <w:t>of</w:t>
      </w:r>
      <w:r>
        <w:rPr>
          <w:rFonts w:eastAsia="Roboto"/>
          <w:color w:val="202024"/>
          <w:spacing w:val="1"/>
        </w:rPr>
        <w:t xml:space="preserve"> </w:t>
      </w:r>
      <w:r>
        <w:rPr>
          <w:rFonts w:eastAsia="Roboto"/>
          <w:color w:val="202024"/>
        </w:rPr>
        <w:t>these</w:t>
      </w:r>
      <w:r>
        <w:rPr>
          <w:rFonts w:eastAsia="Roboto"/>
          <w:color w:val="202024"/>
          <w:spacing w:val="9"/>
        </w:rPr>
        <w:t xml:space="preserve"> </w:t>
      </w:r>
      <w:r>
        <w:rPr>
          <w:rFonts w:eastAsia="Roboto"/>
          <w:color w:val="202024"/>
        </w:rPr>
        <w:t>circulars</w:t>
      </w:r>
      <w:r>
        <w:rPr>
          <w:rFonts w:eastAsia="Roboto"/>
          <w:color w:val="202024"/>
          <w:spacing w:val="9"/>
        </w:rPr>
        <w:t xml:space="preserve"> </w:t>
      </w:r>
      <w:r>
        <w:rPr>
          <w:rFonts w:eastAsia="Roboto"/>
          <w:color w:val="202024"/>
        </w:rPr>
        <w:t>tend</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create</w:t>
      </w:r>
      <w:r>
        <w:rPr>
          <w:rFonts w:eastAsia="Roboto"/>
          <w:color w:val="202024"/>
          <w:spacing w:val="10"/>
        </w:rPr>
        <w:t xml:space="preserve"> </w:t>
      </w:r>
      <w:r>
        <w:rPr>
          <w:rFonts w:eastAsia="Roboto"/>
          <w:color w:val="202024"/>
        </w:rPr>
        <w:t>further</w:t>
      </w:r>
      <w:r>
        <w:rPr>
          <w:rFonts w:eastAsia="Roboto"/>
          <w:color w:val="202024"/>
          <w:spacing w:val="9"/>
        </w:rPr>
        <w:t xml:space="preserve"> </w:t>
      </w:r>
      <w:r>
        <w:rPr>
          <w:rFonts w:eastAsia="Roboto"/>
          <w:color w:val="202024"/>
        </w:rPr>
        <w:t>confusions</w:t>
      </w:r>
      <w:r>
        <w:rPr>
          <w:rFonts w:eastAsia="Roboto"/>
          <w:color w:val="202024"/>
          <w:spacing w:val="9"/>
        </w:rPr>
        <w:t xml:space="preserve"> </w:t>
      </w:r>
      <w:r>
        <w:rPr>
          <w:rFonts w:eastAsia="Roboto"/>
          <w:color w:val="202024"/>
        </w:rPr>
        <w:t>for</w:t>
      </w:r>
      <w:r>
        <w:rPr>
          <w:rFonts w:eastAsia="Roboto"/>
          <w:color w:val="202024"/>
          <w:spacing w:val="9"/>
        </w:rPr>
        <w:t xml:space="preserve"> </w:t>
      </w:r>
      <w:r>
        <w:rPr>
          <w:rFonts w:eastAsia="Roboto"/>
          <w:color w:val="202024"/>
        </w:rPr>
        <w:t>tax</w:t>
      </w:r>
      <w:r>
        <w:rPr>
          <w:rFonts w:eastAsia="Roboto"/>
          <w:color w:val="202024"/>
          <w:spacing w:val="10"/>
        </w:rPr>
        <w:t xml:space="preserve"> </w:t>
      </w:r>
      <w:r>
        <w:rPr>
          <w:rFonts w:eastAsia="Roboto"/>
          <w:color w:val="202024"/>
        </w:rPr>
        <w:t>payers</w:t>
      </w:r>
      <w:r>
        <w:rPr>
          <w:rFonts w:eastAsia="Roboto"/>
          <w:color w:val="202024"/>
          <w:spacing w:val="9"/>
        </w:rPr>
        <w:t xml:space="preserve"> </w:t>
      </w:r>
      <w:r>
        <w:rPr>
          <w:rFonts w:eastAsia="Roboto"/>
          <w:color w:val="202024"/>
        </w:rPr>
        <w:t>as</w:t>
      </w:r>
      <w:r>
        <w:rPr>
          <w:rFonts w:eastAsia="Roboto"/>
          <w:color w:val="202024"/>
          <w:spacing w:val="9"/>
        </w:rPr>
        <w:t xml:space="preserve"> </w:t>
      </w:r>
      <w:r>
        <w:rPr>
          <w:rFonts w:eastAsia="Roboto"/>
          <w:color w:val="202024"/>
        </w:rPr>
        <w:t>they</w:t>
      </w:r>
      <w:r>
        <w:rPr>
          <w:rFonts w:eastAsia="Roboto"/>
          <w:color w:val="202024"/>
          <w:spacing w:val="9"/>
        </w:rPr>
        <w:t xml:space="preserve"> </w:t>
      </w:r>
      <w:r>
        <w:rPr>
          <w:rFonts w:eastAsia="Roboto"/>
          <w:color w:val="202024"/>
        </w:rPr>
        <w:t>are</w:t>
      </w:r>
      <w:r>
        <w:rPr>
          <w:rFonts w:eastAsia="Roboto"/>
          <w:color w:val="202024"/>
          <w:spacing w:val="10"/>
        </w:rPr>
        <w:t xml:space="preserve"> </w:t>
      </w:r>
      <w:r>
        <w:rPr>
          <w:rFonts w:eastAsia="Roboto"/>
          <w:color w:val="202024"/>
        </w:rPr>
        <w:t>at</w:t>
      </w:r>
      <w:r>
        <w:rPr>
          <w:rFonts w:eastAsia="Roboto"/>
          <w:color w:val="202024"/>
          <w:spacing w:val="9"/>
        </w:rPr>
        <w:t xml:space="preserve"> </w:t>
      </w:r>
      <w:r>
        <w:rPr>
          <w:rFonts w:eastAsia="Roboto"/>
          <w:color w:val="202024"/>
        </w:rPr>
        <w:t>variance</w:t>
      </w:r>
      <w:r>
        <w:rPr>
          <w:rFonts w:eastAsia="Roboto"/>
          <w:color w:val="202024"/>
          <w:spacing w:val="9"/>
        </w:rPr>
        <w:t xml:space="preserve"> </w:t>
      </w:r>
      <w:r>
        <w:rPr>
          <w:rFonts w:eastAsia="Roboto"/>
          <w:color w:val="202024"/>
        </w:rPr>
        <w:t>with</w:t>
      </w:r>
      <w:r>
        <w:rPr>
          <w:rFonts w:eastAsia="Roboto"/>
          <w:color w:val="202024"/>
          <w:spacing w:val="9"/>
        </w:rPr>
        <w:t xml:space="preserve"> </w:t>
      </w:r>
      <w:r>
        <w:rPr>
          <w:rFonts w:eastAsia="Roboto"/>
          <w:color w:val="202024"/>
        </w:rPr>
        <w:t>the</w:t>
      </w:r>
      <w:r>
        <w:rPr>
          <w:rFonts w:eastAsia="Roboto"/>
          <w:color w:val="202024"/>
          <w:spacing w:val="-49"/>
        </w:rPr>
        <w:t xml:space="preserve"> </w:t>
      </w:r>
      <w:r>
        <w:rPr>
          <w:rFonts w:eastAsia="Roboto"/>
          <w:color w:val="202024"/>
        </w:rPr>
        <w:t>underlying</w:t>
      </w:r>
      <w:r>
        <w:rPr>
          <w:rFonts w:eastAsia="Roboto"/>
          <w:color w:val="202024"/>
          <w:spacing w:val="5"/>
        </w:rPr>
        <w:t xml:space="preserve"> </w:t>
      </w:r>
      <w:r>
        <w:rPr>
          <w:rFonts w:eastAsia="Roboto"/>
          <w:color w:val="202024"/>
        </w:rPr>
        <w:t>tax</w:t>
      </w:r>
      <w:r>
        <w:rPr>
          <w:rFonts w:eastAsia="Roboto"/>
          <w:color w:val="202024"/>
          <w:spacing w:val="5"/>
        </w:rPr>
        <w:t xml:space="preserve"> </w:t>
      </w:r>
      <w:r>
        <w:rPr>
          <w:rFonts w:eastAsia="Roboto"/>
          <w:color w:val="202024"/>
        </w:rPr>
        <w:t>laws.</w:t>
      </w:r>
    </w:p>
    <w:p w14:paraId="7E518B3F">
      <w:pPr>
        <w:widowControl w:val="0"/>
        <w:autoSpaceDE w:val="0"/>
        <w:autoSpaceDN w:val="0"/>
        <w:jc w:val="both"/>
        <w:rPr>
          <w:rFonts w:eastAsia="Roboto"/>
        </w:rPr>
      </w:pPr>
    </w:p>
    <w:p w14:paraId="1957E288">
      <w:pPr>
        <w:widowControl w:val="0"/>
        <w:autoSpaceDE w:val="0"/>
        <w:autoSpaceDN w:val="0"/>
        <w:spacing w:line="285" w:lineRule="auto"/>
        <w:ind w:right="272"/>
        <w:jc w:val="both"/>
        <w:rPr>
          <w:rFonts w:eastAsia="Roboto"/>
        </w:rPr>
      </w:pPr>
      <w:r>
        <w:rPr>
          <w:rFonts w:eastAsia="Roboto"/>
          <w:color w:val="202024"/>
        </w:rPr>
        <w:t>The</w:t>
      </w:r>
      <w:r>
        <w:rPr>
          <w:rFonts w:eastAsia="Roboto"/>
          <w:color w:val="202024"/>
          <w:spacing w:val="12"/>
        </w:rPr>
        <w:t xml:space="preserve"> </w:t>
      </w:r>
      <w:r>
        <w:rPr>
          <w:rFonts w:eastAsia="Roboto"/>
          <w:color w:val="202024"/>
        </w:rPr>
        <w:t>passage</w:t>
      </w:r>
      <w:r>
        <w:rPr>
          <w:rFonts w:eastAsia="Roboto"/>
          <w:color w:val="202024"/>
          <w:spacing w:val="13"/>
        </w:rPr>
        <w:t xml:space="preserve"> </w:t>
      </w:r>
      <w:r>
        <w:rPr>
          <w:rFonts w:eastAsia="Roboto"/>
          <w:color w:val="202024"/>
        </w:rPr>
        <w:t>of</w:t>
      </w:r>
      <w:r>
        <w:rPr>
          <w:rFonts w:eastAsia="Roboto"/>
          <w:color w:val="202024"/>
          <w:spacing w:val="12"/>
        </w:rPr>
        <w:t xml:space="preserve"> </w:t>
      </w:r>
      <w:r>
        <w:rPr>
          <w:rFonts w:eastAsia="Roboto"/>
          <w:color w:val="202024"/>
        </w:rPr>
        <w:t>the</w:t>
      </w:r>
      <w:r>
        <w:rPr>
          <w:rFonts w:eastAsia="Roboto"/>
          <w:color w:val="202024"/>
          <w:spacing w:val="13"/>
        </w:rPr>
        <w:t xml:space="preserve"> </w:t>
      </w:r>
      <w:r>
        <w:rPr>
          <w:rFonts w:eastAsia="Roboto"/>
          <w:color w:val="202024"/>
        </w:rPr>
        <w:t>PIA,</w:t>
      </w:r>
      <w:r>
        <w:rPr>
          <w:rFonts w:eastAsia="Roboto"/>
          <w:color w:val="202024"/>
          <w:spacing w:val="12"/>
        </w:rPr>
        <w:t xml:space="preserve"> </w:t>
      </w:r>
      <w:r>
        <w:rPr>
          <w:rFonts w:eastAsia="Roboto"/>
          <w:color w:val="202024"/>
        </w:rPr>
        <w:t>if</w:t>
      </w:r>
      <w:r>
        <w:rPr>
          <w:rFonts w:eastAsia="Roboto"/>
          <w:color w:val="202024"/>
          <w:spacing w:val="13"/>
        </w:rPr>
        <w:t xml:space="preserve"> </w:t>
      </w:r>
      <w:r>
        <w:rPr>
          <w:rFonts w:eastAsia="Roboto"/>
          <w:color w:val="202024"/>
        </w:rPr>
        <w:t>effectively</w:t>
      </w:r>
      <w:r>
        <w:rPr>
          <w:rFonts w:eastAsia="Roboto"/>
          <w:color w:val="202024"/>
          <w:spacing w:val="12"/>
        </w:rPr>
        <w:t xml:space="preserve"> </w:t>
      </w:r>
      <w:r>
        <w:rPr>
          <w:rFonts w:eastAsia="Roboto"/>
          <w:color w:val="202024"/>
        </w:rPr>
        <w:t>administered</w:t>
      </w:r>
      <w:r>
        <w:rPr>
          <w:rFonts w:eastAsia="Roboto"/>
          <w:color w:val="202024"/>
          <w:spacing w:val="13"/>
        </w:rPr>
        <w:t xml:space="preserve"> </w:t>
      </w:r>
      <w:r>
        <w:rPr>
          <w:rFonts w:eastAsia="Roboto"/>
          <w:color w:val="202024"/>
        </w:rPr>
        <w:t>should</w:t>
      </w:r>
      <w:r>
        <w:rPr>
          <w:rFonts w:eastAsia="Roboto"/>
          <w:color w:val="202024"/>
          <w:spacing w:val="12"/>
        </w:rPr>
        <w:t xml:space="preserve"> </w:t>
      </w:r>
      <w:r>
        <w:rPr>
          <w:rFonts w:eastAsia="Roboto"/>
          <w:color w:val="202024"/>
        </w:rPr>
        <w:t>provide</w:t>
      </w:r>
      <w:r>
        <w:rPr>
          <w:rFonts w:eastAsia="Roboto"/>
          <w:color w:val="202024"/>
          <w:spacing w:val="13"/>
        </w:rPr>
        <w:t xml:space="preserve"> </w:t>
      </w:r>
      <w:r>
        <w:rPr>
          <w:rFonts w:eastAsia="Roboto"/>
          <w:color w:val="202024"/>
        </w:rPr>
        <w:t>clarity</w:t>
      </w:r>
      <w:r>
        <w:rPr>
          <w:rFonts w:eastAsia="Roboto"/>
          <w:color w:val="202024"/>
          <w:spacing w:val="13"/>
        </w:rPr>
        <w:t xml:space="preserve"> </w:t>
      </w:r>
      <w:r>
        <w:rPr>
          <w:rFonts w:eastAsia="Roboto"/>
          <w:color w:val="202024"/>
        </w:rPr>
        <w:t>around</w:t>
      </w:r>
      <w:r>
        <w:rPr>
          <w:rFonts w:eastAsia="Roboto"/>
          <w:color w:val="202024"/>
          <w:spacing w:val="12"/>
        </w:rPr>
        <w:t xml:space="preserve"> </w:t>
      </w:r>
      <w:r>
        <w:rPr>
          <w:rFonts w:eastAsia="Roboto"/>
          <w:color w:val="202024"/>
        </w:rPr>
        <w:t>fiscals</w:t>
      </w:r>
      <w:r>
        <w:rPr>
          <w:rFonts w:eastAsia="Roboto"/>
          <w:color w:val="202024"/>
          <w:spacing w:val="13"/>
        </w:rPr>
        <w:t xml:space="preserve"> </w:t>
      </w:r>
      <w:r>
        <w:rPr>
          <w:rFonts w:eastAsia="Roboto"/>
          <w:color w:val="202024"/>
        </w:rPr>
        <w:t>and</w:t>
      </w:r>
      <w:r>
        <w:rPr>
          <w:rFonts w:eastAsia="Roboto"/>
          <w:color w:val="202024"/>
          <w:spacing w:val="-50"/>
        </w:rPr>
        <w:t xml:space="preserve"> </w:t>
      </w:r>
      <w:r>
        <w:rPr>
          <w:rFonts w:eastAsia="Roboto"/>
          <w:color w:val="202024"/>
        </w:rPr>
        <w:t>also</w:t>
      </w:r>
      <w:r>
        <w:rPr>
          <w:rFonts w:eastAsia="Roboto"/>
          <w:color w:val="202024"/>
          <w:spacing w:val="10"/>
        </w:rPr>
        <w:t xml:space="preserve"> </w:t>
      </w:r>
      <w:r>
        <w:rPr>
          <w:rFonts w:eastAsia="Roboto"/>
          <w:color w:val="202024"/>
        </w:rPr>
        <w:t>harmonize</w:t>
      </w:r>
      <w:r>
        <w:rPr>
          <w:rFonts w:eastAsia="Roboto"/>
          <w:color w:val="202024"/>
          <w:spacing w:val="10"/>
        </w:rPr>
        <w:t xml:space="preserve"> </w:t>
      </w:r>
      <w:r>
        <w:rPr>
          <w:rFonts w:eastAsia="Roboto"/>
          <w:color w:val="202024"/>
        </w:rPr>
        <w:t>fiscals</w:t>
      </w:r>
      <w:r>
        <w:rPr>
          <w:rFonts w:eastAsia="Roboto"/>
          <w:color w:val="202024"/>
          <w:spacing w:val="10"/>
        </w:rPr>
        <w:t xml:space="preserve"> </w:t>
      </w:r>
      <w:r>
        <w:rPr>
          <w:rFonts w:eastAsia="Roboto"/>
          <w:color w:val="202024"/>
        </w:rPr>
        <w:t>across</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value</w:t>
      </w:r>
      <w:r>
        <w:rPr>
          <w:rFonts w:eastAsia="Roboto"/>
          <w:color w:val="202024"/>
          <w:spacing w:val="11"/>
        </w:rPr>
        <w:t xml:space="preserve"> </w:t>
      </w:r>
      <w:r>
        <w:rPr>
          <w:rFonts w:eastAsia="Roboto"/>
          <w:color w:val="202024"/>
        </w:rPr>
        <w:t>chain.</w:t>
      </w:r>
      <w:r>
        <w:rPr>
          <w:rFonts w:eastAsia="Roboto"/>
          <w:color w:val="202024"/>
          <w:spacing w:val="10"/>
        </w:rPr>
        <w:t xml:space="preserve"> </w:t>
      </w:r>
      <w:r>
        <w:rPr>
          <w:rFonts w:eastAsia="Roboto"/>
          <w:color w:val="202024"/>
        </w:rPr>
        <w:t>However,</w:t>
      </w:r>
      <w:r>
        <w:rPr>
          <w:rFonts w:eastAsia="Roboto"/>
          <w:color w:val="202024"/>
          <w:spacing w:val="10"/>
        </w:rPr>
        <w:t xml:space="preserve"> </w:t>
      </w:r>
      <w:r>
        <w:rPr>
          <w:rFonts w:eastAsia="Roboto"/>
          <w:color w:val="202024"/>
        </w:rPr>
        <w:t>there</w:t>
      </w:r>
      <w:r>
        <w:rPr>
          <w:rFonts w:eastAsia="Roboto"/>
          <w:color w:val="202024"/>
          <w:spacing w:val="10"/>
        </w:rPr>
        <w:t xml:space="preserve"> </w:t>
      </w:r>
      <w:r>
        <w:rPr>
          <w:rFonts w:eastAsia="Roboto"/>
          <w:color w:val="202024"/>
        </w:rPr>
        <w:t>should</w:t>
      </w:r>
      <w:r>
        <w:rPr>
          <w:rFonts w:eastAsia="Roboto"/>
          <w:color w:val="202024"/>
          <w:spacing w:val="10"/>
        </w:rPr>
        <w:t xml:space="preserve"> </w:t>
      </w:r>
      <w:r>
        <w:rPr>
          <w:rFonts w:eastAsia="Roboto"/>
          <w:color w:val="202024"/>
        </w:rPr>
        <w:t>be</w:t>
      </w:r>
      <w:r>
        <w:rPr>
          <w:rFonts w:eastAsia="Roboto"/>
          <w:color w:val="202024"/>
          <w:spacing w:val="11"/>
        </w:rPr>
        <w:t xml:space="preserve"> </w:t>
      </w:r>
      <w:r>
        <w:rPr>
          <w:rFonts w:eastAsia="Roboto"/>
          <w:color w:val="202024"/>
        </w:rPr>
        <w:t>clears</w:t>
      </w:r>
      <w:r>
        <w:rPr>
          <w:rFonts w:eastAsia="Roboto"/>
          <w:color w:val="202024"/>
          <w:spacing w:val="10"/>
        </w:rPr>
        <w:t xml:space="preserve"> </w:t>
      </w:r>
      <w:r>
        <w:rPr>
          <w:rFonts w:eastAsia="Roboto"/>
          <w:color w:val="202024"/>
        </w:rPr>
        <w:t>operational</w:t>
      </w:r>
      <w:r>
        <w:rPr>
          <w:rFonts w:eastAsia="Roboto"/>
          <w:color w:val="202024"/>
          <w:spacing w:val="1"/>
        </w:rPr>
        <w:t xml:space="preserve"> </w:t>
      </w:r>
      <w:r>
        <w:rPr>
          <w:rFonts w:eastAsia="Roboto"/>
          <w:color w:val="202024"/>
        </w:rPr>
        <w:t>guidelines</w:t>
      </w:r>
      <w:r>
        <w:rPr>
          <w:rFonts w:eastAsia="Roboto"/>
          <w:color w:val="202024"/>
          <w:spacing w:val="10"/>
        </w:rPr>
        <w:t xml:space="preserve"> </w:t>
      </w:r>
      <w:r>
        <w:rPr>
          <w:rFonts w:eastAsia="Roboto"/>
          <w:color w:val="202024"/>
        </w:rPr>
        <w:t>which</w:t>
      </w:r>
      <w:r>
        <w:rPr>
          <w:rFonts w:eastAsia="Roboto"/>
          <w:color w:val="202024"/>
          <w:spacing w:val="10"/>
        </w:rPr>
        <w:t xml:space="preserve"> </w:t>
      </w:r>
      <w:r>
        <w:rPr>
          <w:rFonts w:eastAsia="Roboto"/>
          <w:color w:val="202024"/>
        </w:rPr>
        <w:t>should</w:t>
      </w:r>
      <w:r>
        <w:rPr>
          <w:rFonts w:eastAsia="Roboto"/>
          <w:color w:val="202024"/>
          <w:spacing w:val="10"/>
        </w:rPr>
        <w:t xml:space="preserve"> </w:t>
      </w:r>
      <w:r>
        <w:rPr>
          <w:rFonts w:eastAsia="Roboto"/>
          <w:color w:val="202024"/>
        </w:rPr>
        <w:t>provide</w:t>
      </w:r>
      <w:r>
        <w:rPr>
          <w:rFonts w:eastAsia="Roboto"/>
          <w:color w:val="202024"/>
          <w:spacing w:val="10"/>
        </w:rPr>
        <w:t xml:space="preserve"> </w:t>
      </w:r>
      <w:r>
        <w:rPr>
          <w:rFonts w:eastAsia="Roboto"/>
          <w:color w:val="202024"/>
        </w:rPr>
        <w:t>clear</w:t>
      </w:r>
      <w:r>
        <w:rPr>
          <w:rFonts w:eastAsia="Roboto"/>
          <w:color w:val="202024"/>
          <w:spacing w:val="10"/>
        </w:rPr>
        <w:t xml:space="preserve"> </w:t>
      </w:r>
      <w:r>
        <w:rPr>
          <w:rFonts w:eastAsia="Roboto"/>
          <w:color w:val="202024"/>
        </w:rPr>
        <w:t>guidelines</w:t>
      </w:r>
      <w:r>
        <w:rPr>
          <w:rFonts w:eastAsia="Roboto"/>
          <w:color w:val="202024"/>
          <w:spacing w:val="10"/>
        </w:rPr>
        <w:t xml:space="preserve"> </w:t>
      </w:r>
      <w:r>
        <w:rPr>
          <w:rFonts w:eastAsia="Roboto"/>
          <w:color w:val="202024"/>
        </w:rPr>
        <w:t>on</w:t>
      </w:r>
      <w:r>
        <w:rPr>
          <w:rFonts w:eastAsia="Roboto"/>
          <w:color w:val="202024"/>
          <w:spacing w:val="10"/>
        </w:rPr>
        <w:t xml:space="preserve"> </w:t>
      </w:r>
      <w:r>
        <w:rPr>
          <w:rFonts w:eastAsia="Roboto"/>
          <w:color w:val="202024"/>
        </w:rPr>
        <w:t>the</w:t>
      </w:r>
      <w:r>
        <w:rPr>
          <w:rFonts w:eastAsia="Roboto"/>
          <w:color w:val="202024"/>
          <w:spacing w:val="11"/>
        </w:rPr>
        <w:t xml:space="preserve"> </w:t>
      </w:r>
      <w:r>
        <w:rPr>
          <w:rFonts w:eastAsia="Roboto"/>
          <w:color w:val="202024"/>
        </w:rPr>
        <w:t>administration</w:t>
      </w:r>
      <w:r>
        <w:rPr>
          <w:rFonts w:eastAsia="Roboto"/>
          <w:color w:val="202024"/>
          <w:spacing w:val="10"/>
        </w:rPr>
        <w:t xml:space="preserve"> </w:t>
      </w:r>
      <w:r>
        <w:rPr>
          <w:rFonts w:eastAsia="Roboto"/>
          <w:color w:val="202024"/>
        </w:rPr>
        <w:t>of</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fiscals</w:t>
      </w:r>
      <w:r>
        <w:rPr>
          <w:rFonts w:eastAsia="Roboto"/>
          <w:color w:val="202024"/>
          <w:spacing w:val="10"/>
        </w:rPr>
        <w:t xml:space="preserve"> </w:t>
      </w:r>
      <w:r>
        <w:rPr>
          <w:rFonts w:eastAsia="Roboto"/>
          <w:color w:val="202024"/>
        </w:rPr>
        <w:t>given</w:t>
      </w:r>
      <w:r>
        <w:rPr>
          <w:rFonts w:eastAsia="Roboto"/>
          <w:color w:val="202024"/>
          <w:spacing w:val="1"/>
        </w:rPr>
        <w:t xml:space="preserve"> </w:t>
      </w:r>
      <w:r>
        <w:rPr>
          <w:rFonts w:eastAsia="Roboto"/>
          <w:color w:val="202024"/>
        </w:rPr>
        <w:t>some</w:t>
      </w:r>
      <w:r>
        <w:rPr>
          <w:rFonts w:eastAsia="Roboto"/>
          <w:color w:val="202024"/>
          <w:spacing w:val="5"/>
        </w:rPr>
        <w:t xml:space="preserve"> </w:t>
      </w:r>
      <w:r>
        <w:rPr>
          <w:rFonts w:eastAsia="Roboto"/>
          <w:color w:val="202024"/>
        </w:rPr>
        <w:t>grey</w:t>
      </w:r>
      <w:r>
        <w:rPr>
          <w:rFonts w:eastAsia="Roboto"/>
          <w:color w:val="202024"/>
          <w:spacing w:val="5"/>
        </w:rPr>
        <w:t xml:space="preserve"> </w:t>
      </w:r>
      <w:r>
        <w:rPr>
          <w:rFonts w:eastAsia="Roboto"/>
          <w:color w:val="202024"/>
        </w:rPr>
        <w:t>areas</w:t>
      </w:r>
      <w:r>
        <w:rPr>
          <w:rFonts w:eastAsia="Roboto"/>
          <w:color w:val="202024"/>
          <w:spacing w:val="5"/>
        </w:rPr>
        <w:t xml:space="preserve"> </w:t>
      </w:r>
      <w:r>
        <w:rPr>
          <w:rFonts w:eastAsia="Roboto"/>
          <w:color w:val="202024"/>
        </w:rPr>
        <w:t>within</w:t>
      </w:r>
      <w:r>
        <w:rPr>
          <w:rFonts w:eastAsia="Roboto"/>
          <w:color w:val="202024"/>
          <w:spacing w:val="5"/>
        </w:rPr>
        <w:t xml:space="preserve"> </w:t>
      </w:r>
      <w:r>
        <w:rPr>
          <w:rFonts w:eastAsia="Roboto"/>
          <w:color w:val="202024"/>
        </w:rPr>
        <w:t>the</w:t>
      </w:r>
      <w:r>
        <w:rPr>
          <w:rFonts w:eastAsia="Roboto"/>
          <w:color w:val="202024"/>
          <w:spacing w:val="6"/>
        </w:rPr>
        <w:t xml:space="preserve"> </w:t>
      </w:r>
      <w:r>
        <w:rPr>
          <w:rFonts w:eastAsia="Roboto"/>
          <w:color w:val="202024"/>
        </w:rPr>
        <w:t>Act.</w:t>
      </w:r>
    </w:p>
    <w:p w14:paraId="5B9A2B95">
      <w:pPr>
        <w:widowControl w:val="0"/>
        <w:autoSpaceDE w:val="0"/>
        <w:autoSpaceDN w:val="0"/>
        <w:jc w:val="both"/>
        <w:rPr>
          <w:rFonts w:eastAsia="Roboto"/>
        </w:rPr>
      </w:pPr>
    </w:p>
    <w:p w14:paraId="4486EB77">
      <w:pPr>
        <w:widowControl w:val="0"/>
        <w:autoSpaceDE w:val="0"/>
        <w:autoSpaceDN w:val="0"/>
        <w:spacing w:line="285" w:lineRule="auto"/>
        <w:ind w:right="218"/>
        <w:jc w:val="both"/>
        <w:rPr>
          <w:rFonts w:eastAsia="Roboto"/>
        </w:rPr>
      </w:pPr>
      <w:r>
        <w:rPr>
          <w:rFonts w:eastAsia="Roboto"/>
          <w:color w:val="202024"/>
        </w:rPr>
        <w:t>In</w:t>
      </w:r>
      <w:r>
        <w:rPr>
          <w:rFonts w:eastAsia="Roboto"/>
          <w:color w:val="202024"/>
          <w:spacing w:val="13"/>
        </w:rPr>
        <w:t xml:space="preserve"> </w:t>
      </w:r>
      <w:r>
        <w:rPr>
          <w:rFonts w:eastAsia="Roboto"/>
          <w:color w:val="202024"/>
        </w:rPr>
        <w:t>my</w:t>
      </w:r>
      <w:r>
        <w:rPr>
          <w:rFonts w:eastAsia="Roboto"/>
          <w:color w:val="202024"/>
          <w:spacing w:val="13"/>
        </w:rPr>
        <w:t xml:space="preserve"> </w:t>
      </w:r>
      <w:r>
        <w:rPr>
          <w:rFonts w:eastAsia="Roboto"/>
          <w:color w:val="202024"/>
        </w:rPr>
        <w:t>(modest)</w:t>
      </w:r>
      <w:r>
        <w:rPr>
          <w:rFonts w:eastAsia="Roboto"/>
          <w:color w:val="202024"/>
          <w:spacing w:val="13"/>
        </w:rPr>
        <w:t xml:space="preserve"> </w:t>
      </w:r>
      <w:r>
        <w:rPr>
          <w:rFonts w:eastAsia="Roboto"/>
          <w:color w:val="202024"/>
        </w:rPr>
        <w:t>experience</w:t>
      </w:r>
      <w:r>
        <w:rPr>
          <w:rFonts w:eastAsia="Roboto"/>
          <w:color w:val="202024"/>
          <w:spacing w:val="14"/>
        </w:rPr>
        <w:t xml:space="preserve"> </w:t>
      </w:r>
      <w:r>
        <w:rPr>
          <w:rFonts w:eastAsia="Roboto"/>
          <w:color w:val="202024"/>
        </w:rPr>
        <w:t>advising</w:t>
      </w:r>
      <w:r>
        <w:rPr>
          <w:rFonts w:eastAsia="Roboto"/>
          <w:color w:val="202024"/>
          <w:spacing w:val="13"/>
        </w:rPr>
        <w:t xml:space="preserve"> </w:t>
      </w:r>
      <w:r>
        <w:rPr>
          <w:rFonts w:eastAsia="Roboto"/>
          <w:color w:val="202024"/>
        </w:rPr>
        <w:t>on</w:t>
      </w:r>
      <w:r>
        <w:rPr>
          <w:rFonts w:eastAsia="Roboto"/>
          <w:color w:val="202024"/>
          <w:spacing w:val="13"/>
        </w:rPr>
        <w:t xml:space="preserve"> </w:t>
      </w:r>
      <w:r>
        <w:rPr>
          <w:rFonts w:eastAsia="Roboto"/>
          <w:color w:val="202024"/>
        </w:rPr>
        <w:t>tax</w:t>
      </w:r>
      <w:r>
        <w:rPr>
          <w:rFonts w:eastAsia="Roboto"/>
          <w:color w:val="202024"/>
          <w:spacing w:val="13"/>
        </w:rPr>
        <w:t xml:space="preserve"> </w:t>
      </w:r>
      <w:r>
        <w:rPr>
          <w:rFonts w:eastAsia="Roboto"/>
          <w:color w:val="202024"/>
        </w:rPr>
        <w:t>compliance,</w:t>
      </w:r>
      <w:r>
        <w:rPr>
          <w:rFonts w:eastAsia="Roboto"/>
          <w:color w:val="202024"/>
          <w:spacing w:val="14"/>
        </w:rPr>
        <w:t xml:space="preserve"> </w:t>
      </w:r>
      <w:r>
        <w:rPr>
          <w:rFonts w:eastAsia="Roboto"/>
          <w:color w:val="202024"/>
        </w:rPr>
        <w:t>the</w:t>
      </w:r>
      <w:r>
        <w:rPr>
          <w:rFonts w:eastAsia="Roboto"/>
          <w:color w:val="202024"/>
          <w:spacing w:val="13"/>
        </w:rPr>
        <w:t xml:space="preserve"> </w:t>
      </w:r>
      <w:r>
        <w:rPr>
          <w:rFonts w:eastAsia="Roboto"/>
          <w:color w:val="202024"/>
        </w:rPr>
        <w:t>understanding</w:t>
      </w:r>
      <w:r>
        <w:rPr>
          <w:rFonts w:eastAsia="Roboto"/>
          <w:color w:val="202024"/>
          <w:spacing w:val="13"/>
        </w:rPr>
        <w:t xml:space="preserve"> </w:t>
      </w:r>
      <w:r>
        <w:rPr>
          <w:rFonts w:eastAsia="Roboto"/>
          <w:color w:val="202024"/>
        </w:rPr>
        <w:t>and</w:t>
      </w:r>
      <w:r>
        <w:rPr>
          <w:rFonts w:eastAsia="Roboto"/>
          <w:color w:val="202024"/>
          <w:spacing w:val="14"/>
        </w:rPr>
        <w:t xml:space="preserve"> </w:t>
      </w:r>
      <w:r>
        <w:rPr>
          <w:rFonts w:eastAsia="Roboto"/>
          <w:color w:val="202024"/>
        </w:rPr>
        <w:t>interpretation</w:t>
      </w:r>
      <w:r>
        <w:rPr>
          <w:rFonts w:eastAsia="Roboto"/>
          <w:color w:val="202024"/>
          <w:spacing w:val="13"/>
        </w:rPr>
        <w:t xml:space="preserve"> </w:t>
      </w:r>
      <w:r>
        <w:rPr>
          <w:rFonts w:eastAsia="Roboto"/>
          <w:color w:val="202024"/>
        </w:rPr>
        <w:t>of</w:t>
      </w:r>
      <w:r>
        <w:rPr>
          <w:rFonts w:eastAsia="Roboto"/>
          <w:color w:val="202024"/>
          <w:spacing w:val="-49"/>
        </w:rPr>
        <w:t xml:space="preserve"> </w:t>
      </w:r>
      <w:r>
        <w:rPr>
          <w:rFonts w:eastAsia="Roboto"/>
          <w:color w:val="202024"/>
        </w:rPr>
        <w:t>Upstream</w:t>
      </w:r>
      <w:r>
        <w:rPr>
          <w:rFonts w:eastAsia="Roboto"/>
          <w:color w:val="202024"/>
          <w:spacing w:val="7"/>
        </w:rPr>
        <w:t xml:space="preserve"> </w:t>
      </w:r>
      <w:r>
        <w:rPr>
          <w:rFonts w:eastAsia="Roboto"/>
          <w:color w:val="202024"/>
        </w:rPr>
        <w:t>oil</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gas</w:t>
      </w:r>
      <w:r>
        <w:rPr>
          <w:rFonts w:eastAsia="Roboto"/>
          <w:color w:val="202024"/>
          <w:spacing w:val="7"/>
        </w:rPr>
        <w:t xml:space="preserve"> </w:t>
      </w:r>
      <w:r>
        <w:rPr>
          <w:rFonts w:eastAsia="Roboto"/>
          <w:color w:val="202024"/>
        </w:rPr>
        <w:t>tax</w:t>
      </w:r>
      <w:r>
        <w:rPr>
          <w:rFonts w:eastAsia="Roboto"/>
          <w:color w:val="202024"/>
          <w:spacing w:val="7"/>
        </w:rPr>
        <w:t xml:space="preserve"> </w:t>
      </w:r>
      <w:r>
        <w:rPr>
          <w:rFonts w:eastAsia="Roboto"/>
          <w:color w:val="202024"/>
        </w:rPr>
        <w:t>legislation</w:t>
      </w:r>
      <w:r>
        <w:rPr>
          <w:rFonts w:eastAsia="Roboto"/>
          <w:color w:val="202024"/>
          <w:spacing w:val="7"/>
        </w:rPr>
        <w:t xml:space="preserve"> </w:t>
      </w:r>
      <w:r>
        <w:rPr>
          <w:rFonts w:eastAsia="Roboto"/>
          <w:color w:val="202024"/>
        </w:rPr>
        <w:t>is</w:t>
      </w:r>
      <w:r>
        <w:rPr>
          <w:rFonts w:eastAsia="Roboto"/>
          <w:color w:val="202024"/>
          <w:spacing w:val="7"/>
        </w:rPr>
        <w:t xml:space="preserve"> </w:t>
      </w:r>
      <w:r>
        <w:rPr>
          <w:rFonts w:eastAsia="Roboto"/>
          <w:color w:val="202024"/>
        </w:rPr>
        <w:t>at</w:t>
      </w:r>
      <w:r>
        <w:rPr>
          <w:rFonts w:eastAsia="Roboto"/>
          <w:color w:val="202024"/>
          <w:spacing w:val="8"/>
        </w:rPr>
        <w:t xml:space="preserve"> </w:t>
      </w:r>
      <w:r>
        <w:rPr>
          <w:rFonts w:eastAsia="Roboto"/>
          <w:color w:val="202024"/>
        </w:rPr>
        <w:t>a</w:t>
      </w:r>
      <w:r>
        <w:rPr>
          <w:rFonts w:eastAsia="Roboto"/>
          <w:color w:val="202024"/>
          <w:spacing w:val="7"/>
        </w:rPr>
        <w:t xml:space="preserve"> </w:t>
      </w:r>
      <w:r>
        <w:rPr>
          <w:rFonts w:eastAsia="Roboto"/>
          <w:color w:val="202024"/>
        </w:rPr>
        <w:t>fairly</w:t>
      </w:r>
      <w:r>
        <w:rPr>
          <w:rFonts w:eastAsia="Roboto"/>
          <w:color w:val="202024"/>
          <w:spacing w:val="7"/>
        </w:rPr>
        <w:t xml:space="preserve"> </w:t>
      </w:r>
      <w:r>
        <w:rPr>
          <w:rFonts w:eastAsia="Roboto"/>
          <w:color w:val="202024"/>
        </w:rPr>
        <w:t>low</w:t>
      </w:r>
      <w:r>
        <w:rPr>
          <w:rFonts w:eastAsia="Roboto"/>
          <w:color w:val="202024"/>
          <w:spacing w:val="7"/>
        </w:rPr>
        <w:t xml:space="preserve"> </w:t>
      </w:r>
      <w:r>
        <w:rPr>
          <w:rFonts w:eastAsia="Roboto"/>
          <w:color w:val="202024"/>
        </w:rPr>
        <w:t>level,</w:t>
      </w:r>
      <w:r>
        <w:rPr>
          <w:rFonts w:eastAsia="Roboto"/>
          <w:color w:val="202024"/>
          <w:spacing w:val="7"/>
        </w:rPr>
        <w:t xml:space="preserve"> </w:t>
      </w:r>
      <w:r>
        <w:rPr>
          <w:rFonts w:eastAsia="Roboto"/>
          <w:color w:val="202024"/>
        </w:rPr>
        <w:t>by</w:t>
      </w:r>
      <w:r>
        <w:rPr>
          <w:rFonts w:eastAsia="Roboto"/>
          <w:color w:val="202024"/>
          <w:spacing w:val="7"/>
        </w:rPr>
        <w:t xml:space="preserve"> </w:t>
      </w:r>
      <w:r>
        <w:rPr>
          <w:rFonts w:eastAsia="Roboto"/>
          <w:color w:val="202024"/>
        </w:rPr>
        <w:t>both</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tax</w:t>
      </w:r>
      <w:r>
        <w:rPr>
          <w:rFonts w:eastAsia="Roboto"/>
          <w:color w:val="202024"/>
          <w:spacing w:val="8"/>
        </w:rPr>
        <w:t xml:space="preserve"> </w:t>
      </w:r>
      <w:r>
        <w:rPr>
          <w:rFonts w:eastAsia="Roboto"/>
          <w:color w:val="202024"/>
        </w:rPr>
        <w:t>authorities</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tax</w:t>
      </w:r>
      <w:r>
        <w:rPr>
          <w:rFonts w:eastAsia="Roboto"/>
          <w:color w:val="202024"/>
          <w:spacing w:val="1"/>
        </w:rPr>
        <w:t xml:space="preserve"> </w:t>
      </w:r>
      <w:r>
        <w:rPr>
          <w:rFonts w:eastAsia="Roboto"/>
          <w:color w:val="202024"/>
        </w:rPr>
        <w:t>payers.</w:t>
      </w:r>
      <w:r>
        <w:rPr>
          <w:rFonts w:eastAsia="Roboto"/>
          <w:color w:val="202024"/>
          <w:spacing w:val="10"/>
        </w:rPr>
        <w:t xml:space="preserve"> </w:t>
      </w:r>
      <w:r>
        <w:rPr>
          <w:rFonts w:eastAsia="Roboto"/>
          <w:color w:val="202024"/>
        </w:rPr>
        <w:t>I</w:t>
      </w:r>
      <w:r>
        <w:rPr>
          <w:rFonts w:eastAsia="Roboto"/>
          <w:color w:val="202024"/>
          <w:spacing w:val="10"/>
        </w:rPr>
        <w:t xml:space="preserve"> </w:t>
      </w:r>
      <w:r>
        <w:rPr>
          <w:rFonts w:eastAsia="Roboto"/>
          <w:color w:val="202024"/>
        </w:rPr>
        <w:t>do</w:t>
      </w:r>
      <w:r>
        <w:rPr>
          <w:rFonts w:eastAsia="Roboto"/>
          <w:color w:val="202024"/>
          <w:spacing w:val="10"/>
        </w:rPr>
        <w:t xml:space="preserve"> </w:t>
      </w:r>
      <w:r>
        <w:rPr>
          <w:rFonts w:eastAsia="Roboto"/>
          <w:color w:val="202024"/>
        </w:rPr>
        <w:t>not</w:t>
      </w:r>
      <w:r>
        <w:rPr>
          <w:rFonts w:eastAsia="Roboto"/>
          <w:color w:val="202024"/>
          <w:spacing w:val="10"/>
        </w:rPr>
        <w:t xml:space="preserve"> </w:t>
      </w:r>
      <w:r>
        <w:rPr>
          <w:rFonts w:eastAsia="Roboto"/>
          <w:color w:val="202024"/>
        </w:rPr>
        <w:t>know</w:t>
      </w:r>
      <w:r>
        <w:rPr>
          <w:rFonts w:eastAsia="Roboto"/>
          <w:color w:val="202024"/>
          <w:spacing w:val="10"/>
        </w:rPr>
        <w:t xml:space="preserve"> </w:t>
      </w:r>
      <w:r>
        <w:rPr>
          <w:rFonts w:eastAsia="Roboto"/>
          <w:color w:val="202024"/>
        </w:rPr>
        <w:t>if</w:t>
      </w:r>
      <w:r>
        <w:rPr>
          <w:rFonts w:eastAsia="Roboto"/>
          <w:color w:val="202024"/>
          <w:spacing w:val="11"/>
        </w:rPr>
        <w:t xml:space="preserve"> </w:t>
      </w:r>
      <w:r>
        <w:rPr>
          <w:rFonts w:eastAsia="Roboto"/>
          <w:color w:val="202024"/>
        </w:rPr>
        <w:t>this</w:t>
      </w:r>
      <w:r>
        <w:rPr>
          <w:rFonts w:eastAsia="Roboto"/>
          <w:color w:val="202024"/>
          <w:spacing w:val="10"/>
        </w:rPr>
        <w:t xml:space="preserve"> </w:t>
      </w:r>
      <w:r>
        <w:rPr>
          <w:rFonts w:eastAsia="Roboto"/>
          <w:color w:val="202024"/>
        </w:rPr>
        <w:t>is</w:t>
      </w:r>
      <w:r>
        <w:rPr>
          <w:rFonts w:eastAsia="Roboto"/>
          <w:color w:val="202024"/>
          <w:spacing w:val="10"/>
        </w:rPr>
        <w:t xml:space="preserve"> </w:t>
      </w:r>
      <w:r>
        <w:rPr>
          <w:rFonts w:eastAsia="Roboto"/>
          <w:color w:val="202024"/>
        </w:rPr>
        <w:t>intentional</w:t>
      </w:r>
      <w:r>
        <w:rPr>
          <w:rFonts w:eastAsia="Roboto"/>
          <w:color w:val="202024"/>
          <w:spacing w:val="10"/>
        </w:rPr>
        <w:t xml:space="preserve"> </w:t>
      </w:r>
      <w:r>
        <w:rPr>
          <w:rFonts w:eastAsia="Roboto"/>
          <w:color w:val="202024"/>
        </w:rPr>
        <w:t>on</w:t>
      </w:r>
      <w:r>
        <w:rPr>
          <w:rFonts w:eastAsia="Roboto"/>
          <w:color w:val="202024"/>
          <w:spacing w:val="10"/>
        </w:rPr>
        <w:t xml:space="preserve"> </w:t>
      </w:r>
      <w:r>
        <w:rPr>
          <w:rFonts w:eastAsia="Roboto"/>
          <w:color w:val="202024"/>
        </w:rPr>
        <w:t>the</w:t>
      </w:r>
      <w:r>
        <w:rPr>
          <w:rFonts w:eastAsia="Roboto"/>
          <w:color w:val="202024"/>
          <w:spacing w:val="11"/>
        </w:rPr>
        <w:t xml:space="preserve"> </w:t>
      </w:r>
      <w:r>
        <w:rPr>
          <w:rFonts w:eastAsia="Roboto"/>
          <w:color w:val="202024"/>
        </w:rPr>
        <w:t>part</w:t>
      </w:r>
      <w:r>
        <w:rPr>
          <w:rFonts w:eastAsia="Roboto"/>
          <w:color w:val="202024"/>
          <w:spacing w:val="10"/>
        </w:rPr>
        <w:t xml:space="preserve"> </w:t>
      </w:r>
      <w:r>
        <w:rPr>
          <w:rFonts w:eastAsia="Roboto"/>
          <w:color w:val="202024"/>
        </w:rPr>
        <w:t>of</w:t>
      </w:r>
      <w:r>
        <w:rPr>
          <w:rFonts w:eastAsia="Roboto"/>
          <w:color w:val="202024"/>
          <w:spacing w:val="10"/>
        </w:rPr>
        <w:t xml:space="preserve"> </w:t>
      </w:r>
      <w:r>
        <w:rPr>
          <w:rFonts w:eastAsia="Roboto"/>
          <w:color w:val="202024"/>
        </w:rPr>
        <w:t>the</w:t>
      </w:r>
      <w:r>
        <w:rPr>
          <w:rFonts w:eastAsia="Roboto"/>
          <w:color w:val="202024"/>
          <w:spacing w:val="10"/>
        </w:rPr>
        <w:t xml:space="preserve"> </w:t>
      </w:r>
      <w:r>
        <w:rPr>
          <w:rFonts w:eastAsia="Roboto"/>
          <w:color w:val="202024"/>
        </w:rPr>
        <w:t>tax</w:t>
      </w:r>
      <w:r>
        <w:rPr>
          <w:rFonts w:eastAsia="Roboto"/>
          <w:color w:val="202024"/>
          <w:spacing w:val="10"/>
        </w:rPr>
        <w:t xml:space="preserve"> </w:t>
      </w:r>
      <w:r>
        <w:rPr>
          <w:rFonts w:eastAsia="Roboto"/>
          <w:color w:val="202024"/>
        </w:rPr>
        <w:t>authorities,</w:t>
      </w:r>
      <w:r>
        <w:rPr>
          <w:rFonts w:eastAsia="Roboto"/>
          <w:color w:val="202024"/>
          <w:spacing w:val="11"/>
        </w:rPr>
        <w:t xml:space="preserve"> </w:t>
      </w:r>
      <w:r>
        <w:rPr>
          <w:rFonts w:eastAsia="Roboto"/>
          <w:color w:val="202024"/>
        </w:rPr>
        <w:t>so</w:t>
      </w:r>
      <w:r>
        <w:rPr>
          <w:rFonts w:eastAsia="Roboto"/>
          <w:color w:val="202024"/>
          <w:spacing w:val="10"/>
        </w:rPr>
        <w:t xml:space="preserve"> </w:t>
      </w:r>
      <w:r>
        <w:rPr>
          <w:rFonts w:eastAsia="Roboto"/>
          <w:color w:val="202024"/>
        </w:rPr>
        <w:t>that</w:t>
      </w:r>
      <w:r>
        <w:rPr>
          <w:rFonts w:eastAsia="Roboto"/>
          <w:color w:val="202024"/>
          <w:spacing w:val="10"/>
        </w:rPr>
        <w:t xml:space="preserve"> </w:t>
      </w:r>
      <w:r>
        <w:rPr>
          <w:rFonts w:eastAsia="Roboto"/>
          <w:color w:val="202024"/>
        </w:rPr>
        <w:t>they</w:t>
      </w:r>
      <w:r>
        <w:rPr>
          <w:rFonts w:eastAsia="Roboto"/>
          <w:color w:val="202024"/>
          <w:spacing w:val="10"/>
        </w:rPr>
        <w:t xml:space="preserve"> </w:t>
      </w:r>
      <w:r>
        <w:rPr>
          <w:rFonts w:eastAsia="Roboto"/>
          <w:color w:val="202024"/>
        </w:rPr>
        <w:t>are</w:t>
      </w:r>
      <w:r>
        <w:rPr>
          <w:rFonts w:eastAsia="Roboto"/>
          <w:color w:val="202024"/>
          <w:spacing w:val="1"/>
        </w:rPr>
        <w:t xml:space="preserve"> </w:t>
      </w:r>
      <w:r>
        <w:rPr>
          <w:rFonts w:eastAsia="Roboto"/>
          <w:color w:val="202024"/>
        </w:rPr>
        <w:t>able</w:t>
      </w:r>
      <w:r>
        <w:rPr>
          <w:rFonts w:eastAsia="Roboto"/>
          <w:color w:val="202024"/>
          <w:spacing w:val="7"/>
        </w:rPr>
        <w:t xml:space="preserve"> </w:t>
      </w:r>
      <w:r>
        <w:rPr>
          <w:rFonts w:eastAsia="Roboto"/>
          <w:color w:val="202024"/>
        </w:rPr>
        <w:t>to</w:t>
      </w:r>
      <w:r>
        <w:rPr>
          <w:rFonts w:eastAsia="Roboto"/>
          <w:color w:val="202024"/>
          <w:spacing w:val="7"/>
        </w:rPr>
        <w:t xml:space="preserve"> </w:t>
      </w:r>
      <w:r>
        <w:rPr>
          <w:rFonts w:eastAsia="Roboto"/>
          <w:color w:val="202024"/>
        </w:rPr>
        <w:t>impose</w:t>
      </w:r>
      <w:r>
        <w:rPr>
          <w:rFonts w:eastAsia="Roboto"/>
          <w:color w:val="202024"/>
          <w:spacing w:val="7"/>
        </w:rPr>
        <w:t xml:space="preserve"> </w:t>
      </w:r>
      <w:r>
        <w:rPr>
          <w:rFonts w:eastAsia="Roboto"/>
          <w:color w:val="202024"/>
        </w:rPr>
        <w:t>their</w:t>
      </w:r>
      <w:r>
        <w:rPr>
          <w:rFonts w:eastAsia="Roboto"/>
          <w:color w:val="202024"/>
          <w:spacing w:val="7"/>
        </w:rPr>
        <w:t xml:space="preserve"> </w:t>
      </w:r>
      <w:r>
        <w:rPr>
          <w:rFonts w:eastAsia="Roboto"/>
          <w:color w:val="202024"/>
        </w:rPr>
        <w:t>own</w:t>
      </w:r>
      <w:r>
        <w:rPr>
          <w:rFonts w:eastAsia="Roboto"/>
          <w:color w:val="202024"/>
          <w:spacing w:val="7"/>
        </w:rPr>
        <w:t xml:space="preserve"> </w:t>
      </w:r>
      <w:r>
        <w:rPr>
          <w:rFonts w:eastAsia="Roboto"/>
          <w:color w:val="202024"/>
        </w:rPr>
        <w:t>(limited)</w:t>
      </w:r>
      <w:r>
        <w:rPr>
          <w:rFonts w:eastAsia="Roboto"/>
          <w:color w:val="202024"/>
          <w:spacing w:val="7"/>
        </w:rPr>
        <w:t xml:space="preserve"> </w:t>
      </w:r>
      <w:r>
        <w:rPr>
          <w:rFonts w:eastAsia="Roboto"/>
          <w:color w:val="202024"/>
        </w:rPr>
        <w:t>understanding</w:t>
      </w:r>
      <w:r>
        <w:rPr>
          <w:rFonts w:eastAsia="Roboto"/>
          <w:color w:val="202024"/>
          <w:spacing w:val="7"/>
        </w:rPr>
        <w:t xml:space="preserve"> </w:t>
      </w:r>
      <w:r>
        <w:rPr>
          <w:rFonts w:eastAsia="Roboto"/>
          <w:color w:val="202024"/>
        </w:rPr>
        <w:t>on</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taxpayer.</w:t>
      </w:r>
      <w:r>
        <w:rPr>
          <w:rFonts w:eastAsia="Roboto"/>
          <w:color w:val="202024"/>
          <w:spacing w:val="7"/>
        </w:rPr>
        <w:t xml:space="preserve"> </w:t>
      </w:r>
      <w:r>
        <w:rPr>
          <w:rFonts w:eastAsia="Roboto"/>
          <w:color w:val="202024"/>
        </w:rPr>
        <w:t>I</w:t>
      </w:r>
      <w:r>
        <w:rPr>
          <w:rFonts w:eastAsia="Roboto"/>
          <w:color w:val="202024"/>
          <w:spacing w:val="7"/>
        </w:rPr>
        <w:t xml:space="preserve"> </w:t>
      </w:r>
      <w:r>
        <w:rPr>
          <w:rFonts w:eastAsia="Roboto"/>
          <w:color w:val="202024"/>
        </w:rPr>
        <w:t>have</w:t>
      </w:r>
      <w:r>
        <w:rPr>
          <w:rFonts w:eastAsia="Roboto"/>
          <w:color w:val="202024"/>
          <w:spacing w:val="7"/>
        </w:rPr>
        <w:t xml:space="preserve"> </w:t>
      </w:r>
      <w:r>
        <w:rPr>
          <w:rFonts w:eastAsia="Roboto"/>
          <w:color w:val="202024"/>
        </w:rPr>
        <w:t>had</w:t>
      </w:r>
      <w:r>
        <w:rPr>
          <w:rFonts w:eastAsia="Roboto"/>
          <w:color w:val="202024"/>
          <w:spacing w:val="7"/>
        </w:rPr>
        <w:t xml:space="preserve"> </w:t>
      </w:r>
      <w:r>
        <w:rPr>
          <w:rFonts w:eastAsia="Roboto"/>
          <w:color w:val="202024"/>
        </w:rPr>
        <w:t>a</w:t>
      </w:r>
      <w:r>
        <w:rPr>
          <w:rFonts w:eastAsia="Roboto"/>
          <w:color w:val="202024"/>
          <w:spacing w:val="7"/>
        </w:rPr>
        <w:t xml:space="preserve"> </w:t>
      </w:r>
      <w:r>
        <w:rPr>
          <w:rFonts w:eastAsia="Roboto"/>
          <w:color w:val="202024"/>
        </w:rPr>
        <w:t>recent</w:t>
      </w:r>
      <w:r>
        <w:rPr>
          <w:rFonts w:eastAsia="Roboto"/>
          <w:color w:val="202024"/>
          <w:spacing w:val="1"/>
        </w:rPr>
        <w:t xml:space="preserve"> </w:t>
      </w:r>
      <w:r>
        <w:rPr>
          <w:rFonts w:eastAsia="Roboto"/>
          <w:color w:val="202024"/>
        </w:rPr>
        <w:t>experience</w:t>
      </w:r>
      <w:r>
        <w:rPr>
          <w:rFonts w:eastAsia="Roboto"/>
          <w:color w:val="202024"/>
          <w:spacing w:val="9"/>
        </w:rPr>
        <w:t xml:space="preserve"> </w:t>
      </w:r>
      <w:r>
        <w:rPr>
          <w:rFonts w:eastAsia="Roboto"/>
          <w:color w:val="202024"/>
        </w:rPr>
        <w:t>in</w:t>
      </w:r>
      <w:r>
        <w:rPr>
          <w:rFonts w:eastAsia="Roboto"/>
          <w:color w:val="202024"/>
          <w:spacing w:val="10"/>
        </w:rPr>
        <w:t xml:space="preserve"> </w:t>
      </w:r>
      <w:r>
        <w:rPr>
          <w:rFonts w:eastAsia="Roboto"/>
          <w:color w:val="202024"/>
        </w:rPr>
        <w:t>which</w:t>
      </w:r>
      <w:r>
        <w:rPr>
          <w:rFonts w:eastAsia="Roboto"/>
          <w:color w:val="202024"/>
          <w:spacing w:val="10"/>
        </w:rPr>
        <w:t xml:space="preserve"> </w:t>
      </w:r>
      <w:r>
        <w:rPr>
          <w:rFonts w:eastAsia="Roboto"/>
          <w:color w:val="202024"/>
        </w:rPr>
        <w:t>a</w:t>
      </w:r>
      <w:r>
        <w:rPr>
          <w:rFonts w:eastAsia="Roboto"/>
          <w:color w:val="202024"/>
          <w:spacing w:val="10"/>
        </w:rPr>
        <w:t xml:space="preserve"> </w:t>
      </w:r>
      <w:r>
        <w:rPr>
          <w:rFonts w:eastAsia="Roboto"/>
          <w:color w:val="202024"/>
        </w:rPr>
        <w:t>particular</w:t>
      </w:r>
      <w:r>
        <w:rPr>
          <w:rFonts w:eastAsia="Roboto"/>
          <w:color w:val="202024"/>
          <w:spacing w:val="10"/>
        </w:rPr>
        <w:t xml:space="preserve"> </w:t>
      </w:r>
      <w:r>
        <w:rPr>
          <w:rFonts w:eastAsia="Roboto"/>
          <w:color w:val="202024"/>
        </w:rPr>
        <w:t>tax</w:t>
      </w:r>
      <w:r>
        <w:rPr>
          <w:rFonts w:eastAsia="Roboto"/>
          <w:color w:val="202024"/>
          <w:spacing w:val="10"/>
        </w:rPr>
        <w:t xml:space="preserve"> </w:t>
      </w:r>
      <w:r>
        <w:rPr>
          <w:rFonts w:eastAsia="Roboto"/>
          <w:color w:val="202024"/>
        </w:rPr>
        <w:t>authority</w:t>
      </w:r>
      <w:r>
        <w:rPr>
          <w:rFonts w:eastAsia="Roboto"/>
          <w:color w:val="202024"/>
          <w:spacing w:val="10"/>
        </w:rPr>
        <w:t xml:space="preserve"> </w:t>
      </w:r>
      <w:r>
        <w:rPr>
          <w:rFonts w:eastAsia="Roboto"/>
          <w:color w:val="202024"/>
        </w:rPr>
        <w:t>imposed</w:t>
      </w:r>
      <w:r>
        <w:rPr>
          <w:rFonts w:eastAsia="Roboto"/>
          <w:color w:val="202024"/>
          <w:spacing w:val="9"/>
        </w:rPr>
        <w:t xml:space="preserve"> </w:t>
      </w:r>
      <w:r>
        <w:rPr>
          <w:rFonts w:eastAsia="Roboto"/>
          <w:color w:val="202024"/>
        </w:rPr>
        <w:t>its</w:t>
      </w:r>
      <w:r>
        <w:rPr>
          <w:rFonts w:eastAsia="Roboto"/>
          <w:color w:val="202024"/>
          <w:spacing w:val="10"/>
        </w:rPr>
        <w:t xml:space="preserve"> </w:t>
      </w:r>
      <w:r>
        <w:rPr>
          <w:rFonts w:eastAsia="Roboto"/>
          <w:color w:val="202024"/>
        </w:rPr>
        <w:t>own</w:t>
      </w:r>
      <w:r>
        <w:rPr>
          <w:rFonts w:eastAsia="Roboto"/>
          <w:color w:val="202024"/>
          <w:spacing w:val="10"/>
        </w:rPr>
        <w:t xml:space="preserve"> </w:t>
      </w:r>
      <w:r>
        <w:rPr>
          <w:rFonts w:eastAsia="Roboto"/>
          <w:color w:val="202024"/>
        </w:rPr>
        <w:t>interpretation</w:t>
      </w:r>
      <w:r>
        <w:rPr>
          <w:rFonts w:eastAsia="Roboto"/>
          <w:color w:val="202024"/>
          <w:spacing w:val="10"/>
        </w:rPr>
        <w:t xml:space="preserve"> </w:t>
      </w:r>
      <w:r>
        <w:rPr>
          <w:rFonts w:eastAsia="Roboto"/>
          <w:color w:val="202024"/>
        </w:rPr>
        <w:t>of</w:t>
      </w:r>
      <w:r>
        <w:rPr>
          <w:rFonts w:eastAsia="Roboto"/>
          <w:color w:val="202024"/>
          <w:spacing w:val="10"/>
        </w:rPr>
        <w:t xml:space="preserve"> </w:t>
      </w:r>
      <w:r>
        <w:rPr>
          <w:rFonts w:eastAsia="Roboto"/>
          <w:color w:val="202024"/>
        </w:rPr>
        <w:t>a</w:t>
      </w:r>
      <w:r>
        <w:rPr>
          <w:rFonts w:eastAsia="Roboto"/>
          <w:color w:val="202024"/>
          <w:spacing w:val="10"/>
        </w:rPr>
        <w:t xml:space="preserve"> </w:t>
      </w:r>
      <w:r>
        <w:rPr>
          <w:rFonts w:eastAsia="Roboto"/>
          <w:color w:val="202024"/>
        </w:rPr>
        <w:t>piece</w:t>
      </w:r>
      <w:r>
        <w:rPr>
          <w:rFonts w:eastAsia="Roboto"/>
          <w:color w:val="202024"/>
          <w:spacing w:val="10"/>
        </w:rPr>
        <w:t xml:space="preserve"> </w:t>
      </w:r>
      <w:r>
        <w:rPr>
          <w:rFonts w:eastAsia="Roboto"/>
          <w:color w:val="202024"/>
        </w:rPr>
        <w:t>of</w:t>
      </w:r>
      <w:r>
        <w:rPr>
          <w:rFonts w:eastAsia="Roboto"/>
          <w:color w:val="202024"/>
          <w:spacing w:val="9"/>
        </w:rPr>
        <w:t xml:space="preserve"> </w:t>
      </w:r>
      <w:r>
        <w:rPr>
          <w:rFonts w:eastAsia="Roboto"/>
          <w:color w:val="202024"/>
        </w:rPr>
        <w:t>tax</w:t>
      </w:r>
      <w:r>
        <w:rPr>
          <w:rFonts w:eastAsia="Roboto"/>
          <w:color w:val="202024"/>
          <w:spacing w:val="1"/>
        </w:rPr>
        <w:t xml:space="preserve"> </w:t>
      </w:r>
      <w:r>
        <w:rPr>
          <w:rFonts w:eastAsia="Roboto"/>
          <w:color w:val="202024"/>
        </w:rPr>
        <w:t>legislation</w:t>
      </w:r>
      <w:r>
        <w:rPr>
          <w:rFonts w:eastAsia="Roboto"/>
          <w:color w:val="202024"/>
          <w:spacing w:val="9"/>
        </w:rPr>
        <w:t xml:space="preserve"> </w:t>
      </w:r>
      <w:r>
        <w:rPr>
          <w:rFonts w:eastAsia="Roboto"/>
          <w:color w:val="202024"/>
        </w:rPr>
        <w:t>on</w:t>
      </w:r>
      <w:r>
        <w:rPr>
          <w:rFonts w:eastAsia="Roboto"/>
          <w:color w:val="202024"/>
          <w:spacing w:val="9"/>
        </w:rPr>
        <w:t xml:space="preserve"> </w:t>
      </w:r>
      <w:r>
        <w:rPr>
          <w:rFonts w:eastAsia="Roboto"/>
          <w:color w:val="202024"/>
        </w:rPr>
        <w:t>a</w:t>
      </w:r>
      <w:r>
        <w:rPr>
          <w:rFonts w:eastAsia="Roboto"/>
          <w:color w:val="202024"/>
          <w:spacing w:val="9"/>
        </w:rPr>
        <w:t xml:space="preserve"> </w:t>
      </w:r>
      <w:r>
        <w:rPr>
          <w:rFonts w:eastAsia="Roboto"/>
          <w:color w:val="202024"/>
        </w:rPr>
        <w:t>corporate</w:t>
      </w:r>
      <w:r>
        <w:rPr>
          <w:rFonts w:eastAsia="Roboto"/>
          <w:color w:val="202024"/>
          <w:spacing w:val="9"/>
        </w:rPr>
        <w:t xml:space="preserve"> </w:t>
      </w:r>
      <w:r>
        <w:rPr>
          <w:rFonts w:eastAsia="Roboto"/>
          <w:color w:val="202024"/>
        </w:rPr>
        <w:t>entity,</w:t>
      </w:r>
      <w:r>
        <w:rPr>
          <w:rFonts w:eastAsia="Roboto"/>
          <w:color w:val="202024"/>
          <w:spacing w:val="9"/>
        </w:rPr>
        <w:t xml:space="preserve"> </w:t>
      </w:r>
      <w:r>
        <w:rPr>
          <w:rFonts w:eastAsia="Roboto"/>
          <w:color w:val="202024"/>
        </w:rPr>
        <w:t>with</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threat</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sealing</w:t>
      </w:r>
      <w:r>
        <w:rPr>
          <w:rFonts w:eastAsia="Roboto"/>
          <w:color w:val="202024"/>
          <w:spacing w:val="9"/>
        </w:rPr>
        <w:t xml:space="preserve"> </w:t>
      </w:r>
      <w:r>
        <w:rPr>
          <w:rFonts w:eastAsia="Roboto"/>
          <w:color w:val="202024"/>
        </w:rPr>
        <w:t>up</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business,</w:t>
      </w:r>
      <w:r>
        <w:rPr>
          <w:rFonts w:eastAsia="Roboto"/>
          <w:color w:val="202024"/>
          <w:spacing w:val="9"/>
        </w:rPr>
        <w:t xml:space="preserve"> </w:t>
      </w:r>
      <w:r>
        <w:rPr>
          <w:rFonts w:eastAsia="Roboto"/>
          <w:color w:val="202024"/>
        </w:rPr>
        <w:t>if</w:t>
      </w:r>
      <w:r>
        <w:rPr>
          <w:rFonts w:eastAsia="Roboto"/>
          <w:color w:val="202024"/>
          <w:spacing w:val="9"/>
        </w:rPr>
        <w:t xml:space="preserve"> </w:t>
      </w:r>
      <w:r>
        <w:rPr>
          <w:rFonts w:eastAsia="Roboto"/>
          <w:color w:val="202024"/>
        </w:rPr>
        <w:t>that</w:t>
      </w:r>
      <w:r>
        <w:rPr>
          <w:rFonts w:eastAsia="Roboto"/>
          <w:color w:val="202024"/>
          <w:spacing w:val="9"/>
        </w:rPr>
        <w:t xml:space="preserve"> </w:t>
      </w:r>
      <w:r>
        <w:rPr>
          <w:rFonts w:eastAsia="Roboto"/>
          <w:color w:val="202024"/>
        </w:rPr>
        <w:t>interpretation</w:t>
      </w:r>
      <w:r>
        <w:rPr>
          <w:rFonts w:eastAsia="Roboto"/>
          <w:color w:val="202024"/>
          <w:spacing w:val="-49"/>
        </w:rPr>
        <w:t xml:space="preserve"> </w:t>
      </w:r>
      <w:r>
        <w:rPr>
          <w:rFonts w:eastAsia="Roboto"/>
          <w:color w:val="202024"/>
        </w:rPr>
        <w:t>is</w:t>
      </w:r>
      <w:r>
        <w:rPr>
          <w:rFonts w:eastAsia="Roboto"/>
          <w:color w:val="202024"/>
          <w:spacing w:val="5"/>
        </w:rPr>
        <w:t xml:space="preserve"> </w:t>
      </w:r>
      <w:r>
        <w:rPr>
          <w:rFonts w:eastAsia="Roboto"/>
          <w:color w:val="202024"/>
        </w:rPr>
        <w:t>not</w:t>
      </w:r>
      <w:r>
        <w:rPr>
          <w:rFonts w:eastAsia="Roboto"/>
          <w:color w:val="202024"/>
          <w:spacing w:val="6"/>
        </w:rPr>
        <w:t xml:space="preserve"> </w:t>
      </w:r>
      <w:r>
        <w:rPr>
          <w:rFonts w:eastAsia="Roboto"/>
          <w:color w:val="202024"/>
        </w:rPr>
        <w:t>complied</w:t>
      </w:r>
      <w:r>
        <w:rPr>
          <w:rFonts w:eastAsia="Roboto"/>
          <w:color w:val="202024"/>
          <w:spacing w:val="5"/>
        </w:rPr>
        <w:t xml:space="preserve"> </w:t>
      </w:r>
      <w:r>
        <w:rPr>
          <w:rFonts w:eastAsia="Roboto"/>
          <w:color w:val="202024"/>
        </w:rPr>
        <w:t>with.</w:t>
      </w:r>
      <w:r>
        <w:rPr>
          <w:rFonts w:eastAsia="Roboto"/>
          <w:color w:val="202024"/>
          <w:spacing w:val="6"/>
        </w:rPr>
        <w:t xml:space="preserve"> </w:t>
      </w:r>
      <w:r>
        <w:rPr>
          <w:rFonts w:eastAsia="Roboto"/>
          <w:color w:val="202024"/>
        </w:rPr>
        <w:t>I</w:t>
      </w:r>
      <w:r>
        <w:rPr>
          <w:rFonts w:eastAsia="Roboto"/>
          <w:color w:val="202024"/>
          <w:spacing w:val="6"/>
        </w:rPr>
        <w:t xml:space="preserve"> </w:t>
      </w:r>
      <w:r>
        <w:rPr>
          <w:rFonts w:eastAsia="Roboto"/>
          <w:color w:val="202024"/>
        </w:rPr>
        <w:t>think</w:t>
      </w:r>
      <w:r>
        <w:rPr>
          <w:rFonts w:eastAsia="Roboto"/>
          <w:color w:val="202024"/>
          <w:spacing w:val="5"/>
        </w:rPr>
        <w:t xml:space="preserve"> </w:t>
      </w:r>
      <w:r>
        <w:rPr>
          <w:rFonts w:eastAsia="Roboto"/>
          <w:color w:val="202024"/>
        </w:rPr>
        <w:t>there</w:t>
      </w:r>
      <w:r>
        <w:rPr>
          <w:rFonts w:eastAsia="Roboto"/>
          <w:color w:val="202024"/>
          <w:spacing w:val="6"/>
        </w:rPr>
        <w:t xml:space="preserve"> </w:t>
      </w:r>
      <w:r>
        <w:rPr>
          <w:rFonts w:eastAsia="Roboto"/>
          <w:color w:val="202024"/>
        </w:rPr>
        <w:t>is</w:t>
      </w:r>
      <w:r>
        <w:rPr>
          <w:rFonts w:eastAsia="Roboto"/>
          <w:color w:val="202024"/>
          <w:spacing w:val="5"/>
        </w:rPr>
        <w:t xml:space="preserve"> </w:t>
      </w:r>
      <w:r>
        <w:rPr>
          <w:rFonts w:eastAsia="Roboto"/>
          <w:color w:val="202024"/>
        </w:rPr>
        <w:t>still</w:t>
      </w:r>
      <w:r>
        <w:rPr>
          <w:rFonts w:eastAsia="Roboto"/>
          <w:color w:val="202024"/>
          <w:spacing w:val="6"/>
        </w:rPr>
        <w:t xml:space="preserve"> </w:t>
      </w:r>
      <w:r>
        <w:rPr>
          <w:rFonts w:eastAsia="Roboto"/>
          <w:color w:val="202024"/>
        </w:rPr>
        <w:t>a</w:t>
      </w:r>
      <w:r>
        <w:rPr>
          <w:rFonts w:eastAsia="Roboto"/>
          <w:color w:val="202024"/>
          <w:spacing w:val="6"/>
        </w:rPr>
        <w:t xml:space="preserve"> </w:t>
      </w:r>
      <w:r>
        <w:rPr>
          <w:rFonts w:eastAsia="Roboto"/>
          <w:color w:val="202024"/>
        </w:rPr>
        <w:t>very</w:t>
      </w:r>
      <w:r>
        <w:rPr>
          <w:rFonts w:eastAsia="Roboto"/>
          <w:color w:val="202024"/>
          <w:spacing w:val="5"/>
        </w:rPr>
        <w:t xml:space="preserve"> </w:t>
      </w:r>
      <w:r>
        <w:rPr>
          <w:rFonts w:eastAsia="Roboto"/>
          <w:color w:val="202024"/>
        </w:rPr>
        <w:t>long</w:t>
      </w:r>
      <w:r>
        <w:rPr>
          <w:rFonts w:eastAsia="Roboto"/>
          <w:color w:val="202024"/>
          <w:spacing w:val="6"/>
        </w:rPr>
        <w:t xml:space="preserve"> </w:t>
      </w:r>
      <w:r>
        <w:rPr>
          <w:rFonts w:eastAsia="Roboto"/>
          <w:color w:val="202024"/>
        </w:rPr>
        <w:t>way</w:t>
      </w:r>
      <w:r>
        <w:rPr>
          <w:rFonts w:eastAsia="Roboto"/>
          <w:color w:val="202024"/>
          <w:spacing w:val="6"/>
        </w:rPr>
        <w:t xml:space="preserve"> </w:t>
      </w:r>
      <w:r>
        <w:rPr>
          <w:rFonts w:eastAsia="Roboto"/>
          <w:color w:val="202024"/>
        </w:rPr>
        <w:t>to</w:t>
      </w:r>
      <w:r>
        <w:rPr>
          <w:rFonts w:eastAsia="Roboto"/>
          <w:color w:val="202024"/>
          <w:spacing w:val="5"/>
        </w:rPr>
        <w:t xml:space="preserve"> </w:t>
      </w:r>
      <w:r>
        <w:rPr>
          <w:rFonts w:eastAsia="Roboto"/>
          <w:color w:val="202024"/>
        </w:rPr>
        <w:t>go,</w:t>
      </w:r>
      <w:r>
        <w:rPr>
          <w:rFonts w:eastAsia="Roboto"/>
          <w:color w:val="202024"/>
          <w:spacing w:val="6"/>
        </w:rPr>
        <w:t xml:space="preserve"> </w:t>
      </w:r>
      <w:r>
        <w:rPr>
          <w:rFonts w:eastAsia="Roboto"/>
          <w:color w:val="202024"/>
        </w:rPr>
        <w:t>with</w:t>
      </w:r>
      <w:r>
        <w:rPr>
          <w:rFonts w:eastAsia="Roboto"/>
          <w:color w:val="202024"/>
          <w:spacing w:val="5"/>
        </w:rPr>
        <w:t xml:space="preserve"> </w:t>
      </w:r>
      <w:r>
        <w:rPr>
          <w:rFonts w:eastAsia="Roboto"/>
          <w:color w:val="202024"/>
        </w:rPr>
        <w:t>attaining</w:t>
      </w:r>
      <w:r>
        <w:rPr>
          <w:rFonts w:eastAsia="Roboto"/>
          <w:color w:val="202024"/>
          <w:spacing w:val="6"/>
        </w:rPr>
        <w:t xml:space="preserve"> </w:t>
      </w:r>
      <w:r>
        <w:rPr>
          <w:rFonts w:eastAsia="Roboto"/>
          <w:color w:val="202024"/>
        </w:rPr>
        <w:t>a</w:t>
      </w:r>
      <w:r>
        <w:rPr>
          <w:rFonts w:eastAsia="Roboto"/>
          <w:color w:val="202024"/>
          <w:spacing w:val="6"/>
        </w:rPr>
        <w:t xml:space="preserve"> </w:t>
      </w:r>
      <w:r>
        <w:rPr>
          <w:rFonts w:eastAsia="Roboto"/>
          <w:color w:val="202024"/>
        </w:rPr>
        <w:t>just</w:t>
      </w:r>
      <w:r>
        <w:rPr>
          <w:rFonts w:eastAsia="Roboto"/>
          <w:color w:val="202024"/>
          <w:spacing w:val="5"/>
        </w:rPr>
        <w:t xml:space="preserve"> </w:t>
      </w:r>
      <w:r>
        <w:rPr>
          <w:rFonts w:eastAsia="Roboto"/>
          <w:color w:val="202024"/>
        </w:rPr>
        <w:t>and</w:t>
      </w:r>
      <w:r>
        <w:rPr>
          <w:rFonts w:eastAsia="Roboto"/>
          <w:color w:val="202024"/>
          <w:spacing w:val="1"/>
        </w:rPr>
        <w:t xml:space="preserve"> </w:t>
      </w:r>
      <w:r>
        <w:rPr>
          <w:rFonts w:eastAsia="Roboto"/>
          <w:color w:val="202024"/>
        </w:rPr>
        <w:t>balanced</w:t>
      </w:r>
      <w:r>
        <w:rPr>
          <w:rFonts w:eastAsia="Roboto"/>
          <w:color w:val="202024"/>
          <w:spacing w:val="5"/>
        </w:rPr>
        <w:t xml:space="preserve"> </w:t>
      </w:r>
      <w:r>
        <w:rPr>
          <w:rFonts w:eastAsia="Roboto"/>
          <w:color w:val="202024"/>
        </w:rPr>
        <w:t>approach,</w:t>
      </w:r>
      <w:r>
        <w:rPr>
          <w:rFonts w:eastAsia="Roboto"/>
          <w:color w:val="202024"/>
          <w:spacing w:val="5"/>
        </w:rPr>
        <w:t xml:space="preserve"> </w:t>
      </w:r>
      <w:r>
        <w:rPr>
          <w:rFonts w:eastAsia="Roboto"/>
          <w:color w:val="202024"/>
        </w:rPr>
        <w:t>in</w:t>
      </w:r>
      <w:r>
        <w:rPr>
          <w:rFonts w:eastAsia="Roboto"/>
          <w:color w:val="202024"/>
          <w:spacing w:val="5"/>
        </w:rPr>
        <w:t xml:space="preserve"> </w:t>
      </w:r>
      <w:r>
        <w:rPr>
          <w:rFonts w:eastAsia="Roboto"/>
          <w:color w:val="202024"/>
        </w:rPr>
        <w:t>this</w:t>
      </w:r>
      <w:r>
        <w:rPr>
          <w:rFonts w:eastAsia="Roboto"/>
          <w:color w:val="202024"/>
          <w:spacing w:val="5"/>
        </w:rPr>
        <w:t xml:space="preserve"> </w:t>
      </w:r>
      <w:r>
        <w:rPr>
          <w:rFonts w:eastAsia="Roboto"/>
          <w:color w:val="202024"/>
        </w:rPr>
        <w:t>regard.</w:t>
      </w:r>
    </w:p>
    <w:p w14:paraId="07040322">
      <w:pPr>
        <w:widowControl w:val="0"/>
        <w:autoSpaceDE w:val="0"/>
        <w:autoSpaceDN w:val="0"/>
        <w:spacing w:before="1"/>
        <w:jc w:val="both"/>
        <w:rPr>
          <w:rFonts w:eastAsia="Roboto"/>
        </w:rPr>
      </w:pPr>
    </w:p>
    <w:p w14:paraId="3FF8ED18">
      <w:pPr>
        <w:widowControl w:val="0"/>
        <w:autoSpaceDE w:val="0"/>
        <w:autoSpaceDN w:val="0"/>
        <w:spacing w:line="285" w:lineRule="auto"/>
        <w:ind w:right="395"/>
        <w:jc w:val="both"/>
        <w:rPr>
          <w:rFonts w:eastAsia="Roboto"/>
        </w:rPr>
      </w:pPr>
      <w:r>
        <w:rPr>
          <w:rFonts w:eastAsia="Roboto"/>
          <w:color w:val="202024"/>
        </w:rPr>
        <w:t>From</w:t>
      </w:r>
      <w:r>
        <w:rPr>
          <w:rFonts w:eastAsia="Roboto"/>
          <w:color w:val="202024"/>
          <w:spacing w:val="6"/>
        </w:rPr>
        <w:t xml:space="preserve"> </w:t>
      </w:r>
      <w:r>
        <w:rPr>
          <w:rFonts w:eastAsia="Roboto"/>
          <w:color w:val="202024"/>
        </w:rPr>
        <w:t>my</w:t>
      </w:r>
      <w:r>
        <w:rPr>
          <w:rFonts w:eastAsia="Roboto"/>
          <w:color w:val="202024"/>
          <w:spacing w:val="7"/>
        </w:rPr>
        <w:t xml:space="preserve"> </w:t>
      </w:r>
      <w:r>
        <w:rPr>
          <w:rFonts w:eastAsia="Roboto"/>
          <w:color w:val="202024"/>
        </w:rPr>
        <w:t>practical</w:t>
      </w:r>
      <w:r>
        <w:rPr>
          <w:rFonts w:eastAsia="Roboto"/>
          <w:color w:val="202024"/>
          <w:spacing w:val="6"/>
        </w:rPr>
        <w:t xml:space="preserve"> </w:t>
      </w:r>
      <w:r>
        <w:rPr>
          <w:rFonts w:eastAsia="Roboto"/>
          <w:color w:val="202024"/>
        </w:rPr>
        <w:t>experience</w:t>
      </w:r>
      <w:r>
        <w:rPr>
          <w:rFonts w:eastAsia="Roboto"/>
          <w:color w:val="202024"/>
          <w:spacing w:val="7"/>
        </w:rPr>
        <w:t xml:space="preserve"> </w:t>
      </w:r>
      <w:r>
        <w:rPr>
          <w:rFonts w:eastAsia="Roboto"/>
          <w:color w:val="202024"/>
        </w:rPr>
        <w:t>as</w:t>
      </w:r>
      <w:r>
        <w:rPr>
          <w:rFonts w:eastAsia="Roboto"/>
          <w:color w:val="202024"/>
          <w:spacing w:val="7"/>
        </w:rPr>
        <w:t xml:space="preserve"> </w:t>
      </w:r>
      <w:r>
        <w:rPr>
          <w:rFonts w:eastAsia="Roboto"/>
          <w:color w:val="202024"/>
        </w:rPr>
        <w:t>a</w:t>
      </w:r>
      <w:r>
        <w:rPr>
          <w:rFonts w:eastAsia="Roboto"/>
          <w:color w:val="202024"/>
          <w:spacing w:val="6"/>
        </w:rPr>
        <w:t xml:space="preserve"> </w:t>
      </w:r>
      <w:r>
        <w:rPr>
          <w:rFonts w:eastAsia="Roboto"/>
          <w:color w:val="202024"/>
        </w:rPr>
        <w:t>tax</w:t>
      </w:r>
      <w:r>
        <w:rPr>
          <w:rFonts w:eastAsia="Roboto"/>
          <w:color w:val="202024"/>
          <w:spacing w:val="7"/>
        </w:rPr>
        <w:t xml:space="preserve"> </w:t>
      </w:r>
      <w:r>
        <w:rPr>
          <w:rFonts w:eastAsia="Roboto"/>
          <w:color w:val="202024"/>
        </w:rPr>
        <w:t>administrator</w:t>
      </w:r>
      <w:r>
        <w:rPr>
          <w:rFonts w:eastAsia="Roboto"/>
          <w:color w:val="202024"/>
          <w:spacing w:val="7"/>
        </w:rPr>
        <w:t xml:space="preserve"> </w:t>
      </w:r>
      <w:r>
        <w:rPr>
          <w:rFonts w:eastAsia="Roboto"/>
          <w:color w:val="202024"/>
        </w:rPr>
        <w:t>in</w:t>
      </w:r>
      <w:r>
        <w:rPr>
          <w:rFonts w:eastAsia="Roboto"/>
          <w:color w:val="202024"/>
          <w:spacing w:val="6"/>
        </w:rPr>
        <w:t xml:space="preserve"> </w:t>
      </w:r>
      <w:r>
        <w:rPr>
          <w:rFonts w:eastAsia="Roboto"/>
          <w:color w:val="202024"/>
        </w:rPr>
        <w:t>the</w:t>
      </w:r>
      <w:r>
        <w:rPr>
          <w:rFonts w:eastAsia="Roboto"/>
          <w:color w:val="202024"/>
          <w:spacing w:val="7"/>
        </w:rPr>
        <w:t xml:space="preserve"> </w:t>
      </w:r>
      <w:r>
        <w:rPr>
          <w:rFonts w:eastAsia="Roboto"/>
          <w:color w:val="202024"/>
        </w:rPr>
        <w:t>oil</w:t>
      </w:r>
      <w:r>
        <w:rPr>
          <w:rFonts w:eastAsia="Roboto"/>
          <w:color w:val="202024"/>
          <w:spacing w:val="7"/>
        </w:rPr>
        <w:t xml:space="preserve"> </w:t>
      </w:r>
      <w:r>
        <w:rPr>
          <w:rFonts w:eastAsia="Roboto"/>
          <w:color w:val="202024"/>
        </w:rPr>
        <w:t>and</w:t>
      </w:r>
      <w:r>
        <w:rPr>
          <w:rFonts w:eastAsia="Roboto"/>
          <w:color w:val="202024"/>
          <w:spacing w:val="6"/>
        </w:rPr>
        <w:t xml:space="preserve"> </w:t>
      </w:r>
      <w:r>
        <w:rPr>
          <w:rFonts w:eastAsia="Roboto"/>
          <w:color w:val="202024"/>
        </w:rPr>
        <w:t>gas</w:t>
      </w:r>
      <w:r>
        <w:rPr>
          <w:rFonts w:eastAsia="Roboto"/>
          <w:color w:val="202024"/>
          <w:spacing w:val="7"/>
        </w:rPr>
        <w:t xml:space="preserve"> </w:t>
      </w:r>
      <w:r>
        <w:rPr>
          <w:rFonts w:eastAsia="Roboto"/>
          <w:color w:val="202024"/>
        </w:rPr>
        <w:t>sector,</w:t>
      </w:r>
      <w:r>
        <w:rPr>
          <w:rFonts w:eastAsia="Roboto"/>
          <w:color w:val="202024"/>
          <w:spacing w:val="7"/>
        </w:rPr>
        <w:t xml:space="preserve"> </w:t>
      </w:r>
      <w:r>
        <w:rPr>
          <w:rFonts w:eastAsia="Roboto"/>
          <w:color w:val="202024"/>
        </w:rPr>
        <w:t>clarity</w:t>
      </w:r>
      <w:r>
        <w:rPr>
          <w:rFonts w:eastAsia="Roboto"/>
          <w:color w:val="202024"/>
          <w:spacing w:val="6"/>
        </w:rPr>
        <w:t xml:space="preserve"> </w:t>
      </w:r>
      <w:r>
        <w:rPr>
          <w:rFonts w:eastAsia="Roboto"/>
          <w:color w:val="202024"/>
        </w:rPr>
        <w:t>of</w:t>
      </w:r>
      <w:r>
        <w:rPr>
          <w:rFonts w:eastAsia="Roboto"/>
          <w:color w:val="202024"/>
          <w:spacing w:val="1"/>
        </w:rPr>
        <w:t xml:space="preserve"> </w:t>
      </w:r>
      <w:r>
        <w:rPr>
          <w:rFonts w:eastAsia="Roboto"/>
          <w:color w:val="202024"/>
        </w:rPr>
        <w:t>understanding</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intricacies</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oil</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gas</w:t>
      </w:r>
      <w:r>
        <w:rPr>
          <w:rFonts w:eastAsia="Roboto"/>
          <w:color w:val="202024"/>
          <w:spacing w:val="8"/>
        </w:rPr>
        <w:t xml:space="preserve"> </w:t>
      </w:r>
      <w:r>
        <w:rPr>
          <w:rFonts w:eastAsia="Roboto"/>
          <w:color w:val="202024"/>
        </w:rPr>
        <w:t>industry</w:t>
      </w:r>
      <w:r>
        <w:rPr>
          <w:rFonts w:eastAsia="Roboto"/>
          <w:color w:val="202024"/>
          <w:spacing w:val="8"/>
        </w:rPr>
        <w:t xml:space="preserve"> </w:t>
      </w:r>
      <w:r>
        <w:rPr>
          <w:rFonts w:eastAsia="Roboto"/>
          <w:color w:val="202024"/>
        </w:rPr>
        <w:t>was</w:t>
      </w:r>
      <w:r>
        <w:rPr>
          <w:rFonts w:eastAsia="Roboto"/>
          <w:color w:val="202024"/>
          <w:spacing w:val="8"/>
        </w:rPr>
        <w:t xml:space="preserve"> </w:t>
      </w:r>
      <w:r>
        <w:rPr>
          <w:rFonts w:eastAsia="Roboto"/>
          <w:color w:val="202024"/>
        </w:rPr>
        <w:t>essential</w:t>
      </w:r>
      <w:r>
        <w:rPr>
          <w:rFonts w:eastAsia="Roboto"/>
          <w:color w:val="202024"/>
          <w:spacing w:val="9"/>
        </w:rPr>
        <w:t xml:space="preserve"> </w:t>
      </w:r>
      <w:r>
        <w:rPr>
          <w:rFonts w:eastAsia="Roboto"/>
          <w:color w:val="202024"/>
        </w:rPr>
        <w:t>for</w:t>
      </w:r>
      <w:r>
        <w:rPr>
          <w:rFonts w:eastAsia="Roboto"/>
          <w:color w:val="202024"/>
          <w:spacing w:val="8"/>
        </w:rPr>
        <w:t xml:space="preserve"> </w:t>
      </w:r>
      <w:r>
        <w:rPr>
          <w:rFonts w:eastAsia="Roboto"/>
          <w:color w:val="202024"/>
        </w:rPr>
        <w:t>proper</w:t>
      </w:r>
      <w:r>
        <w:rPr>
          <w:rFonts w:eastAsia="Roboto"/>
          <w:color w:val="202024"/>
          <w:spacing w:val="8"/>
        </w:rPr>
        <w:t xml:space="preserve"> </w:t>
      </w:r>
      <w:r>
        <w:rPr>
          <w:rFonts w:eastAsia="Roboto"/>
          <w:color w:val="202024"/>
        </w:rPr>
        <w:t>tax</w:t>
      </w:r>
      <w:r>
        <w:rPr>
          <w:rFonts w:eastAsia="Roboto"/>
          <w:color w:val="202024"/>
          <w:spacing w:val="1"/>
        </w:rPr>
        <w:t xml:space="preserve"> </w:t>
      </w:r>
      <w:r>
        <w:rPr>
          <w:rFonts w:eastAsia="Roboto"/>
          <w:color w:val="202024"/>
        </w:rPr>
        <w:t>administration.</w:t>
      </w:r>
      <w:r>
        <w:rPr>
          <w:rFonts w:eastAsia="Roboto"/>
          <w:color w:val="202024"/>
          <w:spacing w:val="9"/>
        </w:rPr>
        <w:t xml:space="preserve"> </w:t>
      </w:r>
      <w:r>
        <w:rPr>
          <w:rFonts w:eastAsia="Roboto"/>
          <w:color w:val="202024"/>
        </w:rPr>
        <w:t>But</w:t>
      </w:r>
      <w:r>
        <w:rPr>
          <w:rFonts w:eastAsia="Roboto"/>
          <w:color w:val="202024"/>
          <w:spacing w:val="9"/>
        </w:rPr>
        <w:t xml:space="preserve"> </w:t>
      </w:r>
      <w:r>
        <w:rPr>
          <w:rFonts w:eastAsia="Roboto"/>
          <w:color w:val="202024"/>
        </w:rPr>
        <w:t>through</w:t>
      </w:r>
      <w:r>
        <w:rPr>
          <w:rFonts w:eastAsia="Roboto"/>
          <w:color w:val="202024"/>
          <w:spacing w:val="9"/>
        </w:rPr>
        <w:t xml:space="preserve"> </w:t>
      </w:r>
      <w:r>
        <w:rPr>
          <w:rFonts w:eastAsia="Roboto"/>
          <w:color w:val="202024"/>
        </w:rPr>
        <w:t>frequent</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intensive</w:t>
      </w:r>
      <w:r>
        <w:rPr>
          <w:rFonts w:eastAsia="Roboto"/>
          <w:color w:val="202024"/>
          <w:spacing w:val="9"/>
        </w:rPr>
        <w:t xml:space="preserve"> </w:t>
      </w:r>
      <w:r>
        <w:rPr>
          <w:rFonts w:eastAsia="Roboto"/>
          <w:color w:val="202024"/>
        </w:rPr>
        <w:t>training</w:t>
      </w:r>
      <w:r>
        <w:rPr>
          <w:rFonts w:eastAsia="Roboto"/>
          <w:color w:val="202024"/>
          <w:spacing w:val="9"/>
        </w:rPr>
        <w:t xml:space="preserve"> </w:t>
      </w:r>
      <w:r>
        <w:rPr>
          <w:rFonts w:eastAsia="Roboto"/>
          <w:color w:val="202024"/>
        </w:rPr>
        <w:t>and</w:t>
      </w:r>
      <w:r>
        <w:rPr>
          <w:rFonts w:eastAsia="Roboto"/>
          <w:color w:val="202024"/>
          <w:spacing w:val="9"/>
        </w:rPr>
        <w:t xml:space="preserve"> </w:t>
      </w:r>
      <w:r>
        <w:rPr>
          <w:rFonts w:eastAsia="Roboto"/>
          <w:color w:val="202024"/>
        </w:rPr>
        <w:t>engagement</w:t>
      </w:r>
      <w:r>
        <w:rPr>
          <w:rFonts w:eastAsia="Roboto"/>
          <w:color w:val="202024"/>
          <w:spacing w:val="9"/>
        </w:rPr>
        <w:t xml:space="preserve"> </w:t>
      </w:r>
      <w:r>
        <w:rPr>
          <w:rFonts w:eastAsia="Roboto"/>
          <w:color w:val="202024"/>
        </w:rPr>
        <w:t>with</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industry</w:t>
      </w:r>
      <w:r>
        <w:rPr>
          <w:rFonts w:eastAsia="Roboto"/>
          <w:color w:val="202024"/>
          <w:spacing w:val="-49"/>
        </w:rPr>
        <w:t xml:space="preserve"> </w:t>
      </w:r>
      <w:r>
        <w:rPr>
          <w:rFonts w:eastAsia="Roboto"/>
          <w:color w:val="202024"/>
        </w:rPr>
        <w:t>operators,</w:t>
      </w:r>
      <w:r>
        <w:rPr>
          <w:rFonts w:eastAsia="Roboto"/>
          <w:color w:val="202024"/>
          <w:spacing w:val="8"/>
        </w:rPr>
        <w:t xml:space="preserve"> </w:t>
      </w:r>
      <w:r>
        <w:rPr>
          <w:rFonts w:eastAsia="Roboto"/>
          <w:color w:val="202024"/>
        </w:rPr>
        <w:t>the</w:t>
      </w:r>
      <w:r>
        <w:rPr>
          <w:rFonts w:eastAsia="Roboto"/>
          <w:color w:val="202024"/>
          <w:spacing w:val="9"/>
        </w:rPr>
        <w:t xml:space="preserve"> </w:t>
      </w:r>
      <w:r>
        <w:rPr>
          <w:rFonts w:eastAsia="Roboto"/>
          <w:color w:val="202024"/>
        </w:rPr>
        <w:t>gaps</w:t>
      </w:r>
      <w:r>
        <w:rPr>
          <w:rFonts w:eastAsia="Roboto"/>
          <w:color w:val="202024"/>
          <w:spacing w:val="8"/>
        </w:rPr>
        <w:t xml:space="preserve"> </w:t>
      </w:r>
      <w:r>
        <w:rPr>
          <w:rFonts w:eastAsia="Roboto"/>
          <w:color w:val="202024"/>
        </w:rPr>
        <w:t>were</w:t>
      </w:r>
      <w:r>
        <w:rPr>
          <w:rFonts w:eastAsia="Roboto"/>
          <w:color w:val="202024"/>
          <w:spacing w:val="9"/>
        </w:rPr>
        <w:t xml:space="preserve"> </w:t>
      </w:r>
      <w:r>
        <w:rPr>
          <w:rFonts w:eastAsia="Roboto"/>
          <w:color w:val="202024"/>
        </w:rPr>
        <w:t>bridged.</w:t>
      </w:r>
      <w:r>
        <w:rPr>
          <w:rFonts w:eastAsia="Roboto"/>
          <w:color w:val="202024"/>
          <w:spacing w:val="8"/>
        </w:rPr>
        <w:t xml:space="preserve"> </w:t>
      </w:r>
      <w:r>
        <w:rPr>
          <w:rFonts w:eastAsia="Roboto"/>
          <w:color w:val="202024"/>
        </w:rPr>
        <w:t>It</w:t>
      </w:r>
      <w:r>
        <w:rPr>
          <w:rFonts w:eastAsia="Roboto"/>
          <w:color w:val="202024"/>
          <w:spacing w:val="9"/>
        </w:rPr>
        <w:t xml:space="preserve"> </w:t>
      </w:r>
      <w:r>
        <w:rPr>
          <w:rFonts w:eastAsia="Roboto"/>
          <w:color w:val="202024"/>
        </w:rPr>
        <w:t>is</w:t>
      </w:r>
      <w:r>
        <w:rPr>
          <w:rFonts w:eastAsia="Roboto"/>
          <w:color w:val="202024"/>
          <w:spacing w:val="8"/>
        </w:rPr>
        <w:t xml:space="preserve"> </w:t>
      </w:r>
      <w:r>
        <w:rPr>
          <w:rFonts w:eastAsia="Roboto"/>
          <w:color w:val="202024"/>
        </w:rPr>
        <w:t>even</w:t>
      </w:r>
      <w:r>
        <w:rPr>
          <w:rFonts w:eastAsia="Roboto"/>
          <w:color w:val="202024"/>
          <w:spacing w:val="9"/>
        </w:rPr>
        <w:t xml:space="preserve"> </w:t>
      </w:r>
      <w:r>
        <w:rPr>
          <w:rFonts w:eastAsia="Roboto"/>
          <w:color w:val="202024"/>
        </w:rPr>
        <w:t>significant</w:t>
      </w:r>
      <w:r>
        <w:rPr>
          <w:rFonts w:eastAsia="Roboto"/>
          <w:color w:val="202024"/>
          <w:spacing w:val="8"/>
        </w:rPr>
        <w:t xml:space="preserve"> </w:t>
      </w:r>
      <w:r>
        <w:rPr>
          <w:rFonts w:eastAsia="Roboto"/>
          <w:color w:val="202024"/>
        </w:rPr>
        <w:t>to</w:t>
      </w:r>
      <w:r>
        <w:rPr>
          <w:rFonts w:eastAsia="Roboto"/>
          <w:color w:val="202024"/>
          <w:spacing w:val="9"/>
        </w:rPr>
        <w:t xml:space="preserve"> </w:t>
      </w:r>
      <w:r>
        <w:rPr>
          <w:rFonts w:eastAsia="Roboto"/>
          <w:color w:val="202024"/>
        </w:rPr>
        <w:t>observe</w:t>
      </w:r>
      <w:r>
        <w:rPr>
          <w:rFonts w:eastAsia="Roboto"/>
          <w:color w:val="202024"/>
          <w:spacing w:val="9"/>
        </w:rPr>
        <w:t xml:space="preserve"> </w:t>
      </w:r>
      <w:r>
        <w:rPr>
          <w:rFonts w:eastAsia="Roboto"/>
          <w:color w:val="202024"/>
        </w:rPr>
        <w:t>that</w:t>
      </w:r>
      <w:r>
        <w:rPr>
          <w:rFonts w:eastAsia="Roboto"/>
          <w:color w:val="202024"/>
          <w:spacing w:val="8"/>
        </w:rPr>
        <w:t xml:space="preserve"> </w:t>
      </w:r>
      <w:r>
        <w:rPr>
          <w:rFonts w:eastAsia="Roboto"/>
          <w:color w:val="202024"/>
        </w:rPr>
        <w:t>I</w:t>
      </w:r>
      <w:r>
        <w:rPr>
          <w:rFonts w:eastAsia="Roboto"/>
          <w:color w:val="202024"/>
          <w:spacing w:val="9"/>
        </w:rPr>
        <w:t xml:space="preserve"> </w:t>
      </w:r>
      <w:r>
        <w:rPr>
          <w:rFonts w:eastAsia="Roboto"/>
          <w:color w:val="202024"/>
        </w:rPr>
        <w:t>had</w:t>
      </w:r>
      <w:r>
        <w:rPr>
          <w:rFonts w:eastAsia="Roboto"/>
          <w:color w:val="202024"/>
          <w:spacing w:val="8"/>
        </w:rPr>
        <w:t xml:space="preserve"> </w:t>
      </w:r>
      <w:r>
        <w:rPr>
          <w:rFonts w:eastAsia="Roboto"/>
          <w:color w:val="202024"/>
        </w:rPr>
        <w:t>the</w:t>
      </w:r>
      <w:r>
        <w:rPr>
          <w:rFonts w:eastAsia="Roboto"/>
          <w:color w:val="202024"/>
          <w:spacing w:val="9"/>
        </w:rPr>
        <w:t xml:space="preserve"> </w:t>
      </w:r>
      <w:r>
        <w:rPr>
          <w:rFonts w:eastAsia="Roboto"/>
          <w:color w:val="202024"/>
        </w:rPr>
        <w:t>privilege</w:t>
      </w:r>
      <w:r>
        <w:rPr>
          <w:rFonts w:eastAsia="Roboto"/>
          <w:color w:val="202024"/>
          <w:spacing w:val="8"/>
        </w:rPr>
        <w:t xml:space="preserve"> </w:t>
      </w:r>
      <w:r>
        <w:rPr>
          <w:rFonts w:eastAsia="Roboto"/>
          <w:color w:val="202024"/>
        </w:rPr>
        <w:t>of</w:t>
      </w:r>
      <w:r>
        <w:rPr>
          <w:rFonts w:eastAsia="Roboto"/>
          <w:color w:val="202024"/>
          <w:spacing w:val="1"/>
        </w:rPr>
        <w:t xml:space="preserve"> </w:t>
      </w:r>
      <w:r>
        <w:rPr>
          <w:rFonts w:eastAsia="Roboto"/>
          <w:color w:val="202024"/>
        </w:rPr>
        <w:t>proposing</w:t>
      </w:r>
      <w:r>
        <w:rPr>
          <w:rFonts w:eastAsia="Roboto"/>
          <w:color w:val="202024"/>
          <w:spacing w:val="8"/>
        </w:rPr>
        <w:t xml:space="preserve"> </w:t>
      </w:r>
      <w:r>
        <w:rPr>
          <w:rFonts w:eastAsia="Roboto"/>
          <w:color w:val="202024"/>
        </w:rPr>
        <w:t>the</w:t>
      </w:r>
      <w:r>
        <w:rPr>
          <w:rFonts w:eastAsia="Roboto"/>
          <w:color w:val="202024"/>
          <w:spacing w:val="9"/>
        </w:rPr>
        <w:t xml:space="preserve"> </w:t>
      </w:r>
      <w:r>
        <w:rPr>
          <w:rFonts w:eastAsia="Roboto"/>
          <w:color w:val="202024"/>
        </w:rPr>
        <w:t>dual</w:t>
      </w:r>
      <w:r>
        <w:rPr>
          <w:rFonts w:eastAsia="Roboto"/>
          <w:color w:val="202024"/>
          <w:spacing w:val="9"/>
        </w:rPr>
        <w:t xml:space="preserve"> </w:t>
      </w:r>
      <w:r>
        <w:rPr>
          <w:rFonts w:eastAsia="Roboto"/>
          <w:color w:val="202024"/>
        </w:rPr>
        <w:t>fiscal</w:t>
      </w:r>
      <w:r>
        <w:rPr>
          <w:rFonts w:eastAsia="Roboto"/>
          <w:color w:val="202024"/>
          <w:spacing w:val="9"/>
        </w:rPr>
        <w:t xml:space="preserve"> </w:t>
      </w:r>
      <w:r>
        <w:rPr>
          <w:rFonts w:eastAsia="Roboto"/>
          <w:color w:val="202024"/>
        </w:rPr>
        <w:t>regime</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recently</w:t>
      </w:r>
      <w:r>
        <w:rPr>
          <w:rFonts w:eastAsia="Roboto"/>
          <w:color w:val="202024"/>
          <w:spacing w:val="9"/>
        </w:rPr>
        <w:t xml:space="preserve"> </w:t>
      </w:r>
      <w:r>
        <w:rPr>
          <w:rFonts w:eastAsia="Roboto"/>
          <w:color w:val="202024"/>
        </w:rPr>
        <w:t>passed</w:t>
      </w:r>
      <w:r>
        <w:rPr>
          <w:rFonts w:eastAsia="Roboto"/>
          <w:color w:val="202024"/>
          <w:spacing w:val="9"/>
        </w:rPr>
        <w:t xml:space="preserve"> </w:t>
      </w:r>
      <w:r>
        <w:rPr>
          <w:rFonts w:eastAsia="Roboto"/>
          <w:color w:val="202024"/>
        </w:rPr>
        <w:t>Petroleum</w:t>
      </w:r>
      <w:r>
        <w:rPr>
          <w:rFonts w:eastAsia="Roboto"/>
          <w:color w:val="202024"/>
          <w:spacing w:val="9"/>
        </w:rPr>
        <w:t xml:space="preserve"> </w:t>
      </w:r>
      <w:r>
        <w:rPr>
          <w:rFonts w:eastAsia="Roboto"/>
          <w:color w:val="202024"/>
        </w:rPr>
        <w:t>Industry</w:t>
      </w:r>
      <w:r>
        <w:rPr>
          <w:rFonts w:eastAsia="Roboto"/>
          <w:color w:val="202024"/>
          <w:spacing w:val="9"/>
        </w:rPr>
        <w:t xml:space="preserve"> </w:t>
      </w:r>
      <w:r>
        <w:rPr>
          <w:rFonts w:eastAsia="Roboto"/>
          <w:color w:val="202024"/>
        </w:rPr>
        <w:t>Act.</w:t>
      </w:r>
      <w:r>
        <w:rPr>
          <w:rFonts w:eastAsia="Roboto"/>
          <w:color w:val="202024"/>
          <w:spacing w:val="5"/>
        </w:rPr>
        <w:t xml:space="preserve"> </w:t>
      </w:r>
      <w:r>
        <w:rPr>
          <w:rFonts w:eastAsia="Roboto"/>
          <w:color w:val="202024"/>
        </w:rPr>
        <w:t>This</w:t>
      </w:r>
      <w:r>
        <w:rPr>
          <w:rFonts w:eastAsia="Roboto"/>
          <w:color w:val="202024"/>
          <w:spacing w:val="8"/>
        </w:rPr>
        <w:t xml:space="preserve"> </w:t>
      </w:r>
      <w:r>
        <w:rPr>
          <w:rFonts w:eastAsia="Roboto"/>
          <w:color w:val="202024"/>
        </w:rPr>
        <w:t>was</w:t>
      </w:r>
      <w:r>
        <w:rPr>
          <w:rFonts w:eastAsia="Roboto"/>
          <w:color w:val="202024"/>
          <w:spacing w:val="1"/>
        </w:rPr>
        <w:t xml:space="preserve"> </w:t>
      </w:r>
      <w:r>
        <w:rPr>
          <w:rFonts w:eastAsia="Roboto"/>
          <w:color w:val="202024"/>
        </w:rPr>
        <w:t>informed</w:t>
      </w:r>
      <w:r>
        <w:rPr>
          <w:rFonts w:eastAsia="Roboto"/>
          <w:color w:val="202024"/>
          <w:spacing w:val="5"/>
        </w:rPr>
        <w:t xml:space="preserve"> </w:t>
      </w:r>
      <w:r>
        <w:rPr>
          <w:rFonts w:eastAsia="Roboto"/>
          <w:color w:val="202024"/>
        </w:rPr>
        <w:t>by</w:t>
      </w:r>
      <w:r>
        <w:rPr>
          <w:rFonts w:eastAsia="Roboto"/>
          <w:color w:val="202024"/>
          <w:spacing w:val="6"/>
        </w:rPr>
        <w:t xml:space="preserve"> </w:t>
      </w:r>
      <w:r>
        <w:rPr>
          <w:rFonts w:eastAsia="Roboto"/>
          <w:color w:val="202024"/>
        </w:rPr>
        <w:t>my</w:t>
      </w:r>
      <w:r>
        <w:rPr>
          <w:rFonts w:eastAsia="Roboto"/>
          <w:color w:val="202024"/>
          <w:spacing w:val="6"/>
        </w:rPr>
        <w:t xml:space="preserve"> </w:t>
      </w:r>
      <w:r>
        <w:rPr>
          <w:rFonts w:eastAsia="Roboto"/>
          <w:color w:val="202024"/>
        </w:rPr>
        <w:t>experience</w:t>
      </w:r>
      <w:r>
        <w:rPr>
          <w:rFonts w:eastAsia="Roboto"/>
          <w:color w:val="202024"/>
          <w:spacing w:val="6"/>
        </w:rPr>
        <w:t xml:space="preserve"> </w:t>
      </w:r>
      <w:r>
        <w:rPr>
          <w:rFonts w:eastAsia="Roboto"/>
          <w:color w:val="202024"/>
        </w:rPr>
        <w:t>at</w:t>
      </w:r>
      <w:r>
        <w:rPr>
          <w:rFonts w:eastAsia="Roboto"/>
          <w:color w:val="202024"/>
          <w:spacing w:val="5"/>
        </w:rPr>
        <w:t xml:space="preserve"> </w:t>
      </w:r>
      <w:r>
        <w:rPr>
          <w:rFonts w:eastAsia="Roboto"/>
          <w:color w:val="202024"/>
        </w:rPr>
        <w:t>the</w:t>
      </w:r>
      <w:r>
        <w:rPr>
          <w:rFonts w:eastAsia="Roboto"/>
          <w:color w:val="202024"/>
          <w:spacing w:val="6"/>
        </w:rPr>
        <w:t xml:space="preserve"> </w:t>
      </w:r>
      <w:r>
        <w:rPr>
          <w:rFonts w:eastAsia="Roboto"/>
          <w:color w:val="202024"/>
        </w:rPr>
        <w:t>Oil</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Gas</w:t>
      </w:r>
      <w:r>
        <w:rPr>
          <w:rFonts w:eastAsia="Roboto"/>
          <w:color w:val="202024"/>
          <w:spacing w:val="1"/>
        </w:rPr>
        <w:t xml:space="preserve"> </w:t>
      </w:r>
      <w:r>
        <w:rPr>
          <w:rFonts w:eastAsia="Roboto"/>
          <w:color w:val="202024"/>
        </w:rPr>
        <w:t>Tax</w:t>
      </w:r>
      <w:r>
        <w:rPr>
          <w:rFonts w:eastAsia="Roboto"/>
          <w:color w:val="202024"/>
          <w:spacing w:val="6"/>
        </w:rPr>
        <w:t xml:space="preserve"> </w:t>
      </w:r>
      <w:r>
        <w:rPr>
          <w:rFonts w:eastAsia="Roboto"/>
          <w:color w:val="202024"/>
        </w:rPr>
        <w:t>Office.</w:t>
      </w:r>
    </w:p>
    <w:p w14:paraId="4BAC7EF8">
      <w:pPr>
        <w:widowControl w:val="0"/>
        <w:autoSpaceDE w:val="0"/>
        <w:autoSpaceDN w:val="0"/>
        <w:jc w:val="both"/>
        <w:rPr>
          <w:rFonts w:eastAsia="Roboto"/>
        </w:rPr>
      </w:pPr>
    </w:p>
    <w:p w14:paraId="338FD459">
      <w:pPr>
        <w:widowControl w:val="0"/>
        <w:autoSpaceDE w:val="0"/>
        <w:autoSpaceDN w:val="0"/>
        <w:spacing w:line="285" w:lineRule="auto"/>
        <w:ind w:right="272"/>
        <w:jc w:val="both"/>
        <w:rPr>
          <w:rFonts w:eastAsia="Roboto"/>
        </w:rPr>
      </w:pPr>
      <w:r>
        <w:rPr>
          <w:rFonts w:eastAsia="Roboto"/>
          <w:color w:val="202024"/>
        </w:rPr>
        <w:t>The</w:t>
      </w:r>
      <w:r>
        <w:rPr>
          <w:rFonts w:eastAsia="Roboto"/>
          <w:color w:val="202024"/>
          <w:spacing w:val="7"/>
        </w:rPr>
        <w:t xml:space="preserve"> </w:t>
      </w:r>
      <w:r>
        <w:rPr>
          <w:rFonts w:eastAsia="Roboto"/>
          <w:color w:val="202024"/>
        </w:rPr>
        <w:t>answer</w:t>
      </w:r>
      <w:r>
        <w:rPr>
          <w:rFonts w:eastAsia="Roboto"/>
          <w:color w:val="202024"/>
          <w:spacing w:val="8"/>
        </w:rPr>
        <w:t xml:space="preserve"> </w:t>
      </w:r>
      <w:r>
        <w:rPr>
          <w:rFonts w:eastAsia="Roboto"/>
          <w:color w:val="202024"/>
        </w:rPr>
        <w:t>to</w:t>
      </w:r>
      <w:r>
        <w:rPr>
          <w:rFonts w:eastAsia="Roboto"/>
          <w:color w:val="202024"/>
          <w:spacing w:val="7"/>
        </w:rPr>
        <w:t xml:space="preserve"> </w:t>
      </w:r>
      <w:r>
        <w:rPr>
          <w:rFonts w:eastAsia="Roboto"/>
          <w:color w:val="202024"/>
        </w:rPr>
        <w:t>question</w:t>
      </w:r>
      <w:r>
        <w:rPr>
          <w:rFonts w:eastAsia="Roboto"/>
          <w:color w:val="202024"/>
          <w:spacing w:val="8"/>
        </w:rPr>
        <w:t xml:space="preserve"> </w:t>
      </w:r>
      <w:r>
        <w:rPr>
          <w:rFonts w:eastAsia="Roboto"/>
          <w:color w:val="202024"/>
        </w:rPr>
        <w:t>13</w:t>
      </w:r>
      <w:r>
        <w:rPr>
          <w:rFonts w:eastAsia="Roboto"/>
          <w:color w:val="202024"/>
          <w:spacing w:val="7"/>
        </w:rPr>
        <w:t xml:space="preserve"> </w:t>
      </w:r>
      <w:r>
        <w:rPr>
          <w:rFonts w:eastAsia="Roboto"/>
          <w:color w:val="202024"/>
        </w:rPr>
        <w:t>could</w:t>
      </w:r>
      <w:r>
        <w:rPr>
          <w:rFonts w:eastAsia="Roboto"/>
          <w:color w:val="202024"/>
          <w:spacing w:val="8"/>
        </w:rPr>
        <w:t xml:space="preserve"> </w:t>
      </w:r>
      <w:r>
        <w:rPr>
          <w:rFonts w:eastAsia="Roboto"/>
          <w:color w:val="202024"/>
        </w:rPr>
        <w:t>be</w:t>
      </w:r>
      <w:r>
        <w:rPr>
          <w:rFonts w:eastAsia="Roboto"/>
          <w:color w:val="202024"/>
          <w:spacing w:val="7"/>
        </w:rPr>
        <w:t xml:space="preserve"> </w:t>
      </w:r>
      <w:r>
        <w:rPr>
          <w:rFonts w:eastAsia="Roboto"/>
          <w:color w:val="202024"/>
        </w:rPr>
        <w:t>different</w:t>
      </w:r>
      <w:r>
        <w:rPr>
          <w:rFonts w:eastAsia="Roboto"/>
          <w:color w:val="202024"/>
          <w:spacing w:val="8"/>
        </w:rPr>
        <w:t xml:space="preserve"> </w:t>
      </w:r>
      <w:r>
        <w:rPr>
          <w:rFonts w:eastAsia="Roboto"/>
          <w:color w:val="202024"/>
        </w:rPr>
        <w:t>if</w:t>
      </w:r>
      <w:r>
        <w:rPr>
          <w:rFonts w:eastAsia="Roboto"/>
          <w:color w:val="202024"/>
          <w:spacing w:val="7"/>
        </w:rPr>
        <w:t xml:space="preserve"> </w:t>
      </w:r>
      <w:r>
        <w:rPr>
          <w:rFonts w:eastAsia="Roboto"/>
          <w:color w:val="202024"/>
        </w:rPr>
        <w:t>question</w:t>
      </w:r>
      <w:r>
        <w:rPr>
          <w:rFonts w:eastAsia="Roboto"/>
          <w:color w:val="202024"/>
          <w:spacing w:val="8"/>
        </w:rPr>
        <w:t xml:space="preserve"> </w:t>
      </w:r>
      <w:r>
        <w:rPr>
          <w:rFonts w:eastAsia="Roboto"/>
          <w:color w:val="202024"/>
        </w:rPr>
        <w:t>13</w:t>
      </w:r>
      <w:r>
        <w:rPr>
          <w:rFonts w:eastAsia="Roboto"/>
          <w:color w:val="202024"/>
          <w:spacing w:val="7"/>
        </w:rPr>
        <w:t xml:space="preserve"> </w:t>
      </w:r>
      <w:r>
        <w:rPr>
          <w:rFonts w:eastAsia="Roboto"/>
          <w:color w:val="202024"/>
        </w:rPr>
        <w:t>is</w:t>
      </w:r>
      <w:r>
        <w:rPr>
          <w:rFonts w:eastAsia="Roboto"/>
          <w:color w:val="202024"/>
          <w:spacing w:val="8"/>
        </w:rPr>
        <w:t xml:space="preserve"> </w:t>
      </w:r>
      <w:r>
        <w:rPr>
          <w:rFonts w:eastAsia="Roboto"/>
          <w:color w:val="202024"/>
        </w:rPr>
        <w:t>split</w:t>
      </w:r>
      <w:r>
        <w:rPr>
          <w:rFonts w:eastAsia="Roboto"/>
          <w:color w:val="202024"/>
          <w:spacing w:val="7"/>
        </w:rPr>
        <w:t xml:space="preserve"> </w:t>
      </w:r>
      <w:r>
        <w:rPr>
          <w:rFonts w:eastAsia="Roboto"/>
          <w:color w:val="202024"/>
        </w:rPr>
        <w:t>into</w:t>
      </w:r>
      <w:r>
        <w:rPr>
          <w:rFonts w:eastAsia="Roboto"/>
          <w:color w:val="202024"/>
          <w:spacing w:val="8"/>
        </w:rPr>
        <w:t xml:space="preserve"> </w:t>
      </w:r>
      <w:r>
        <w:rPr>
          <w:rFonts w:eastAsia="Roboto"/>
          <w:color w:val="202024"/>
        </w:rPr>
        <w:t>2</w:t>
      </w:r>
      <w:r>
        <w:rPr>
          <w:rFonts w:eastAsia="Roboto"/>
          <w:color w:val="202024"/>
          <w:spacing w:val="7"/>
        </w:rPr>
        <w:t xml:space="preserve"> </w:t>
      </w:r>
      <w:r>
        <w:rPr>
          <w:rFonts w:eastAsia="Roboto"/>
          <w:color w:val="202024"/>
        </w:rPr>
        <w:t>-</w:t>
      </w:r>
      <w:r>
        <w:rPr>
          <w:rFonts w:eastAsia="Roboto"/>
          <w:color w:val="202024"/>
          <w:spacing w:val="8"/>
        </w:rPr>
        <w:t xml:space="preserve"> </w:t>
      </w:r>
      <w:r>
        <w:rPr>
          <w:rFonts w:eastAsia="Roboto"/>
          <w:color w:val="202024"/>
        </w:rPr>
        <w:t>separate</w:t>
      </w:r>
      <w:r>
        <w:rPr>
          <w:rFonts w:eastAsia="Roboto"/>
          <w:color w:val="202024"/>
          <w:spacing w:val="7"/>
        </w:rPr>
        <w:t xml:space="preserve"> </w:t>
      </w:r>
      <w:r>
        <w:rPr>
          <w:rFonts w:eastAsia="Roboto"/>
          <w:color w:val="202024"/>
        </w:rPr>
        <w:t>impact</w:t>
      </w:r>
      <w:r>
        <w:rPr>
          <w:rFonts w:eastAsia="Roboto"/>
          <w:color w:val="202024"/>
          <w:spacing w:val="8"/>
        </w:rPr>
        <w:t xml:space="preserve"> </w:t>
      </w:r>
      <w:r>
        <w:rPr>
          <w:rFonts w:eastAsia="Roboto"/>
          <w:color w:val="202024"/>
        </w:rPr>
        <w:t>on</w:t>
      </w:r>
      <w:r>
        <w:rPr>
          <w:rFonts w:eastAsia="Roboto"/>
          <w:color w:val="202024"/>
          <w:spacing w:val="-50"/>
        </w:rPr>
        <w:t xml:space="preserve"> </w:t>
      </w:r>
      <w:r>
        <w:rPr>
          <w:rFonts w:eastAsia="Roboto"/>
          <w:color w:val="202024"/>
        </w:rPr>
        <w:t>ETR</w:t>
      </w:r>
      <w:r>
        <w:rPr>
          <w:rFonts w:eastAsia="Roboto"/>
          <w:color w:val="202024"/>
          <w:spacing w:val="5"/>
        </w:rPr>
        <w:t xml:space="preserve"> </w:t>
      </w:r>
      <w:r>
        <w:rPr>
          <w:rFonts w:eastAsia="Roboto"/>
          <w:color w:val="202024"/>
        </w:rPr>
        <w:t>and</w:t>
      </w:r>
      <w:r>
        <w:rPr>
          <w:rFonts w:eastAsia="Roboto"/>
          <w:color w:val="202024"/>
          <w:spacing w:val="5"/>
        </w:rPr>
        <w:t xml:space="preserve"> </w:t>
      </w:r>
      <w:r>
        <w:rPr>
          <w:rFonts w:eastAsia="Roboto"/>
          <w:color w:val="202024"/>
        </w:rPr>
        <w:t>Clarity,</w:t>
      </w:r>
      <w:r>
        <w:rPr>
          <w:rFonts w:eastAsia="Roboto"/>
          <w:color w:val="202024"/>
          <w:spacing w:val="5"/>
        </w:rPr>
        <w:t xml:space="preserve"> </w:t>
      </w:r>
      <w:r>
        <w:rPr>
          <w:rFonts w:eastAsia="Roboto"/>
          <w:color w:val="202024"/>
        </w:rPr>
        <w:t>certainty</w:t>
      </w:r>
      <w:r>
        <w:rPr>
          <w:rFonts w:eastAsia="Roboto"/>
          <w:color w:val="202024"/>
          <w:spacing w:val="5"/>
        </w:rPr>
        <w:t xml:space="preserve"> </w:t>
      </w:r>
      <w:r>
        <w:rPr>
          <w:rFonts w:eastAsia="Roboto"/>
          <w:color w:val="202024"/>
        </w:rPr>
        <w:t>and</w:t>
      </w:r>
      <w:r>
        <w:rPr>
          <w:rFonts w:eastAsia="Roboto"/>
          <w:color w:val="202024"/>
          <w:spacing w:val="6"/>
        </w:rPr>
        <w:t xml:space="preserve"> </w:t>
      </w:r>
      <w:r>
        <w:rPr>
          <w:rFonts w:eastAsia="Roboto"/>
          <w:color w:val="202024"/>
        </w:rPr>
        <w:t>Consistency.</w:t>
      </w:r>
    </w:p>
    <w:p w14:paraId="2FD23585">
      <w:pPr>
        <w:widowControl w:val="0"/>
        <w:autoSpaceDE w:val="0"/>
        <w:autoSpaceDN w:val="0"/>
        <w:jc w:val="both"/>
        <w:rPr>
          <w:rFonts w:eastAsia="Roboto"/>
        </w:rPr>
      </w:pPr>
    </w:p>
    <w:p w14:paraId="2E5C0B54">
      <w:pPr>
        <w:widowControl w:val="0"/>
        <w:autoSpaceDE w:val="0"/>
        <w:autoSpaceDN w:val="0"/>
        <w:spacing w:line="285" w:lineRule="auto"/>
        <w:ind w:right="508"/>
        <w:jc w:val="both"/>
        <w:rPr>
          <w:rFonts w:eastAsia="Roboto"/>
        </w:rPr>
      </w:pPr>
      <w:r>
        <w:rPr>
          <w:rFonts w:eastAsia="Roboto"/>
          <w:color w:val="202024"/>
        </w:rPr>
        <w:t>Transparency</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engagement</w:t>
      </w:r>
      <w:r>
        <w:rPr>
          <w:rFonts w:eastAsia="Roboto"/>
          <w:color w:val="202024"/>
          <w:spacing w:val="11"/>
        </w:rPr>
        <w:t xml:space="preserve"> </w:t>
      </w:r>
      <w:r>
        <w:rPr>
          <w:rFonts w:eastAsia="Roboto"/>
          <w:color w:val="202024"/>
        </w:rPr>
        <w:t>with</w:t>
      </w:r>
      <w:r>
        <w:rPr>
          <w:rFonts w:eastAsia="Roboto"/>
          <w:color w:val="202024"/>
          <w:spacing w:val="11"/>
        </w:rPr>
        <w:t xml:space="preserve"> </w:t>
      </w:r>
      <w:r>
        <w:rPr>
          <w:rFonts w:eastAsia="Roboto"/>
          <w:color w:val="202024"/>
        </w:rPr>
        <w:t>critical</w:t>
      </w:r>
      <w:r>
        <w:rPr>
          <w:rFonts w:eastAsia="Roboto"/>
          <w:color w:val="202024"/>
          <w:spacing w:val="12"/>
        </w:rPr>
        <w:t xml:space="preserve"> </w:t>
      </w:r>
      <w:r>
        <w:rPr>
          <w:rFonts w:eastAsia="Roboto"/>
          <w:color w:val="202024"/>
        </w:rPr>
        <w:t>stakeholders</w:t>
      </w:r>
      <w:r>
        <w:rPr>
          <w:rFonts w:eastAsia="Roboto"/>
          <w:color w:val="202024"/>
          <w:spacing w:val="11"/>
        </w:rPr>
        <w:t xml:space="preserve"> </w:t>
      </w:r>
      <w:r>
        <w:rPr>
          <w:rFonts w:eastAsia="Roboto"/>
          <w:color w:val="202024"/>
        </w:rPr>
        <w:t>is</w:t>
      </w:r>
      <w:r>
        <w:rPr>
          <w:rFonts w:eastAsia="Roboto"/>
          <w:color w:val="202024"/>
          <w:spacing w:val="11"/>
        </w:rPr>
        <w:t xml:space="preserve"> </w:t>
      </w:r>
      <w:r>
        <w:rPr>
          <w:rFonts w:eastAsia="Roboto"/>
          <w:color w:val="202024"/>
        </w:rPr>
        <w:t>important</w:t>
      </w:r>
      <w:r>
        <w:rPr>
          <w:rFonts w:eastAsia="Roboto"/>
          <w:color w:val="202024"/>
          <w:spacing w:val="11"/>
        </w:rPr>
        <w:t xml:space="preserve"> </w:t>
      </w:r>
      <w:r>
        <w:rPr>
          <w:rFonts w:eastAsia="Roboto"/>
          <w:color w:val="202024"/>
        </w:rPr>
        <w:t>to</w:t>
      </w:r>
      <w:r>
        <w:rPr>
          <w:rFonts w:eastAsia="Roboto"/>
          <w:color w:val="202024"/>
          <w:spacing w:val="12"/>
        </w:rPr>
        <w:t xml:space="preserve"> </w:t>
      </w:r>
      <w:r>
        <w:rPr>
          <w:rFonts w:eastAsia="Roboto"/>
          <w:color w:val="202024"/>
        </w:rPr>
        <w:t>achieve</w:t>
      </w:r>
      <w:r>
        <w:rPr>
          <w:rFonts w:eastAsia="Roboto"/>
          <w:color w:val="202024"/>
          <w:spacing w:val="11"/>
        </w:rPr>
        <w:t xml:space="preserve"> </w:t>
      </w:r>
      <w:r>
        <w:rPr>
          <w:rFonts w:eastAsia="Roboto"/>
          <w:color w:val="202024"/>
        </w:rPr>
        <w:t>the</w:t>
      </w:r>
      <w:r>
        <w:rPr>
          <w:rFonts w:eastAsia="Roboto"/>
          <w:color w:val="202024"/>
          <w:spacing w:val="11"/>
        </w:rPr>
        <w:t xml:space="preserve"> </w:t>
      </w:r>
      <w:r>
        <w:rPr>
          <w:rFonts w:eastAsia="Roboto"/>
          <w:color w:val="202024"/>
        </w:rPr>
        <w:t>desired</w:t>
      </w:r>
      <w:r>
        <w:rPr>
          <w:rFonts w:eastAsia="Roboto"/>
          <w:color w:val="202024"/>
          <w:spacing w:val="-49"/>
        </w:rPr>
        <w:t xml:space="preserve"> </w:t>
      </w:r>
      <w:r>
        <w:rPr>
          <w:rFonts w:eastAsia="Roboto"/>
          <w:color w:val="202024"/>
        </w:rPr>
        <w:t>consistency,</w:t>
      </w:r>
      <w:r>
        <w:rPr>
          <w:rFonts w:eastAsia="Roboto"/>
          <w:color w:val="202024"/>
          <w:spacing w:val="5"/>
        </w:rPr>
        <w:t xml:space="preserve"> </w:t>
      </w:r>
      <w:r>
        <w:rPr>
          <w:rFonts w:eastAsia="Roboto"/>
          <w:color w:val="202024"/>
        </w:rPr>
        <w:t>clarity</w:t>
      </w:r>
      <w:r>
        <w:rPr>
          <w:rFonts w:eastAsia="Roboto"/>
          <w:color w:val="202024"/>
          <w:spacing w:val="5"/>
        </w:rPr>
        <w:t xml:space="preserve"> </w:t>
      </w:r>
      <w:r>
        <w:rPr>
          <w:rFonts w:eastAsia="Roboto"/>
          <w:color w:val="202024"/>
        </w:rPr>
        <w:t>and</w:t>
      </w:r>
      <w:r>
        <w:rPr>
          <w:rFonts w:eastAsia="Roboto"/>
          <w:color w:val="202024"/>
          <w:spacing w:val="6"/>
        </w:rPr>
        <w:t xml:space="preserve"> </w:t>
      </w:r>
      <w:r>
        <w:rPr>
          <w:rFonts w:eastAsia="Roboto"/>
          <w:color w:val="202024"/>
        </w:rPr>
        <w:t>common</w:t>
      </w:r>
      <w:r>
        <w:rPr>
          <w:rFonts w:eastAsia="Roboto"/>
          <w:color w:val="202024"/>
          <w:spacing w:val="5"/>
        </w:rPr>
        <w:t xml:space="preserve"> </w:t>
      </w:r>
      <w:r>
        <w:rPr>
          <w:rFonts w:eastAsia="Roboto"/>
          <w:color w:val="202024"/>
        </w:rPr>
        <w:t>understanding</w:t>
      </w:r>
    </w:p>
    <w:p w14:paraId="1C2B7175">
      <w:pPr>
        <w:widowControl w:val="0"/>
        <w:autoSpaceDE w:val="0"/>
        <w:autoSpaceDN w:val="0"/>
        <w:jc w:val="both"/>
        <w:rPr>
          <w:rFonts w:eastAsia="Roboto"/>
        </w:rPr>
      </w:pPr>
    </w:p>
    <w:p w14:paraId="49AC441C">
      <w:pPr>
        <w:widowControl w:val="0"/>
        <w:autoSpaceDE w:val="0"/>
        <w:autoSpaceDN w:val="0"/>
        <w:spacing w:line="285" w:lineRule="auto"/>
        <w:ind w:right="299"/>
        <w:jc w:val="both"/>
        <w:rPr>
          <w:rFonts w:eastAsia="Roboto"/>
        </w:rPr>
      </w:pPr>
      <w:r>
        <w:rPr>
          <w:rFonts w:eastAsia="Roboto"/>
          <w:color w:val="202024"/>
        </w:rPr>
        <w:t>Whilst</w:t>
      </w:r>
      <w:r>
        <w:rPr>
          <w:rFonts w:eastAsia="Roboto"/>
          <w:color w:val="202024"/>
          <w:spacing w:val="8"/>
        </w:rPr>
        <w:t xml:space="preserve"> </w:t>
      </w:r>
      <w:r>
        <w:rPr>
          <w:rFonts w:eastAsia="Roboto"/>
          <w:color w:val="202024"/>
        </w:rPr>
        <w:t>FIRS</w:t>
      </w:r>
      <w:r>
        <w:rPr>
          <w:rFonts w:eastAsia="Roboto"/>
          <w:color w:val="202024"/>
          <w:spacing w:val="8"/>
        </w:rPr>
        <w:t xml:space="preserve"> </w:t>
      </w:r>
      <w:r>
        <w:rPr>
          <w:rFonts w:eastAsia="Roboto"/>
          <w:color w:val="202024"/>
        </w:rPr>
        <w:t>circulars</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guidelines</w:t>
      </w:r>
      <w:r>
        <w:rPr>
          <w:rFonts w:eastAsia="Roboto"/>
          <w:color w:val="202024"/>
          <w:spacing w:val="8"/>
        </w:rPr>
        <w:t xml:space="preserve"> </w:t>
      </w:r>
      <w:r>
        <w:rPr>
          <w:rFonts w:eastAsia="Roboto"/>
          <w:color w:val="202024"/>
        </w:rPr>
        <w:t>instruct</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taxpayers</w:t>
      </w:r>
      <w:r>
        <w:rPr>
          <w:rFonts w:eastAsia="Roboto"/>
          <w:color w:val="202024"/>
          <w:spacing w:val="8"/>
        </w:rPr>
        <w:t xml:space="preserve"> </w:t>
      </w:r>
      <w:r>
        <w:rPr>
          <w:rFonts w:eastAsia="Roboto"/>
          <w:color w:val="202024"/>
        </w:rPr>
        <w:t>on</w:t>
      </w:r>
      <w:r>
        <w:rPr>
          <w:rFonts w:eastAsia="Roboto"/>
          <w:color w:val="202024"/>
          <w:spacing w:val="9"/>
        </w:rPr>
        <w:t xml:space="preserve"> </w:t>
      </w:r>
      <w:r>
        <w:rPr>
          <w:rFonts w:eastAsia="Roboto"/>
          <w:color w:val="202024"/>
        </w:rPr>
        <w:t>the</w:t>
      </w:r>
      <w:r>
        <w:rPr>
          <w:rFonts w:eastAsia="Roboto"/>
          <w:color w:val="202024"/>
          <w:spacing w:val="8"/>
        </w:rPr>
        <w:t xml:space="preserve"> </w:t>
      </w:r>
      <w:r>
        <w:rPr>
          <w:rFonts w:eastAsia="Roboto"/>
          <w:color w:val="202024"/>
        </w:rPr>
        <w:t>thinking</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FIRS,</w:t>
      </w:r>
      <w:r>
        <w:rPr>
          <w:rFonts w:eastAsia="Roboto"/>
          <w:color w:val="202024"/>
          <w:spacing w:val="8"/>
        </w:rPr>
        <w:t xml:space="preserve"> </w:t>
      </w:r>
      <w:r>
        <w:rPr>
          <w:rFonts w:eastAsia="Roboto"/>
          <w:color w:val="202024"/>
        </w:rPr>
        <w:t>they</w:t>
      </w:r>
      <w:r>
        <w:rPr>
          <w:rFonts w:eastAsia="Roboto"/>
          <w:color w:val="202024"/>
          <w:spacing w:val="8"/>
        </w:rPr>
        <w:t xml:space="preserve"> </w:t>
      </w:r>
      <w:r>
        <w:rPr>
          <w:rFonts w:eastAsia="Roboto"/>
          <w:color w:val="202024"/>
        </w:rPr>
        <w:t>are</w:t>
      </w:r>
      <w:r>
        <w:rPr>
          <w:rFonts w:eastAsia="Roboto"/>
          <w:color w:val="202024"/>
          <w:spacing w:val="-49"/>
        </w:rPr>
        <w:t xml:space="preserve"> </w:t>
      </w:r>
      <w:r>
        <w:rPr>
          <w:rFonts w:eastAsia="Roboto"/>
          <w:color w:val="202024"/>
        </w:rPr>
        <w:t>not</w:t>
      </w:r>
      <w:r>
        <w:rPr>
          <w:rFonts w:eastAsia="Roboto"/>
          <w:color w:val="202024"/>
          <w:spacing w:val="5"/>
        </w:rPr>
        <w:t xml:space="preserve"> </w:t>
      </w:r>
      <w:r>
        <w:rPr>
          <w:rFonts w:eastAsia="Roboto"/>
          <w:color w:val="202024"/>
        </w:rPr>
        <w:t>binding</w:t>
      </w:r>
      <w:r>
        <w:rPr>
          <w:rFonts w:eastAsia="Roboto"/>
          <w:color w:val="202024"/>
          <w:spacing w:val="5"/>
        </w:rPr>
        <w:t xml:space="preserve"> </w:t>
      </w:r>
      <w:r>
        <w:rPr>
          <w:rFonts w:eastAsia="Roboto"/>
          <w:color w:val="202024"/>
        </w:rPr>
        <w:t>on</w:t>
      </w:r>
      <w:r>
        <w:rPr>
          <w:rFonts w:eastAsia="Roboto"/>
          <w:color w:val="202024"/>
          <w:spacing w:val="5"/>
        </w:rPr>
        <w:t xml:space="preserve"> </w:t>
      </w:r>
      <w:r>
        <w:rPr>
          <w:rFonts w:eastAsia="Roboto"/>
          <w:color w:val="202024"/>
        </w:rPr>
        <w:t>the</w:t>
      </w:r>
      <w:r>
        <w:rPr>
          <w:rFonts w:eastAsia="Roboto"/>
          <w:color w:val="202024"/>
          <w:spacing w:val="5"/>
        </w:rPr>
        <w:t xml:space="preserve"> </w:t>
      </w:r>
      <w:r>
        <w:rPr>
          <w:rFonts w:eastAsia="Roboto"/>
          <w:color w:val="202024"/>
        </w:rPr>
        <w:t>FIRS</w:t>
      </w:r>
      <w:r>
        <w:rPr>
          <w:rFonts w:eastAsia="Roboto"/>
          <w:color w:val="202024"/>
          <w:spacing w:val="5"/>
        </w:rPr>
        <w:t xml:space="preserve"> </w:t>
      </w:r>
      <w:r>
        <w:rPr>
          <w:rFonts w:eastAsia="Roboto"/>
          <w:color w:val="202024"/>
        </w:rPr>
        <w:t>and</w:t>
      </w:r>
      <w:r>
        <w:rPr>
          <w:rFonts w:eastAsia="Roboto"/>
          <w:color w:val="202024"/>
          <w:spacing w:val="5"/>
        </w:rPr>
        <w:t xml:space="preserve"> </w:t>
      </w:r>
      <w:r>
        <w:rPr>
          <w:rFonts w:eastAsia="Roboto"/>
          <w:color w:val="202024"/>
        </w:rPr>
        <w:t>are</w:t>
      </w:r>
      <w:r>
        <w:rPr>
          <w:rFonts w:eastAsia="Roboto"/>
          <w:color w:val="202024"/>
          <w:spacing w:val="6"/>
        </w:rPr>
        <w:t xml:space="preserve"> </w:t>
      </w:r>
      <w:r>
        <w:rPr>
          <w:rFonts w:eastAsia="Roboto"/>
          <w:color w:val="202024"/>
        </w:rPr>
        <w:t>also</w:t>
      </w:r>
      <w:r>
        <w:rPr>
          <w:rFonts w:eastAsia="Roboto"/>
          <w:color w:val="202024"/>
          <w:spacing w:val="5"/>
        </w:rPr>
        <w:t xml:space="preserve"> </w:t>
      </w:r>
      <w:r>
        <w:rPr>
          <w:rFonts w:eastAsia="Roboto"/>
          <w:color w:val="202024"/>
        </w:rPr>
        <w:t>not</w:t>
      </w:r>
      <w:r>
        <w:rPr>
          <w:rFonts w:eastAsia="Roboto"/>
          <w:color w:val="202024"/>
          <w:spacing w:val="5"/>
        </w:rPr>
        <w:t xml:space="preserve"> </w:t>
      </w:r>
      <w:r>
        <w:rPr>
          <w:rFonts w:eastAsia="Roboto"/>
          <w:color w:val="202024"/>
        </w:rPr>
        <w:t>law</w:t>
      </w:r>
    </w:p>
    <w:p w14:paraId="70BDBF42">
      <w:pPr>
        <w:widowControl w:val="0"/>
        <w:autoSpaceDE w:val="0"/>
        <w:autoSpaceDN w:val="0"/>
        <w:jc w:val="both"/>
        <w:rPr>
          <w:rFonts w:eastAsia="Roboto"/>
        </w:rPr>
      </w:pPr>
    </w:p>
    <w:p w14:paraId="3A5F460E">
      <w:pPr>
        <w:widowControl w:val="0"/>
        <w:autoSpaceDE w:val="0"/>
        <w:autoSpaceDN w:val="0"/>
        <w:spacing w:line="285" w:lineRule="auto"/>
        <w:ind w:right="347"/>
        <w:jc w:val="both"/>
        <w:rPr>
          <w:rFonts w:eastAsia="Roboto"/>
        </w:rPr>
      </w:pPr>
      <w:r>
        <w:rPr>
          <w:rFonts w:eastAsia="Roboto"/>
          <w:color w:val="202024"/>
        </w:rPr>
        <w:t>the</w:t>
      </w:r>
      <w:r>
        <w:rPr>
          <w:rFonts w:eastAsia="Roboto"/>
          <w:color w:val="202024"/>
          <w:spacing w:val="7"/>
        </w:rPr>
        <w:t xml:space="preserve"> </w:t>
      </w:r>
      <w:r>
        <w:rPr>
          <w:rFonts w:eastAsia="Roboto"/>
          <w:color w:val="202024"/>
        </w:rPr>
        <w:t>differin</w:t>
      </w:r>
      <w:r>
        <w:rPr>
          <w:rFonts w:eastAsia="Roboto"/>
          <w:color w:val="202024"/>
          <w:spacing w:val="7"/>
        </w:rPr>
        <w:t xml:space="preserve"> </w:t>
      </w:r>
      <w:r>
        <w:rPr>
          <w:rFonts w:eastAsia="Roboto"/>
          <w:color w:val="202024"/>
        </w:rPr>
        <w:t>tax</w:t>
      </w:r>
      <w:r>
        <w:rPr>
          <w:rFonts w:eastAsia="Roboto"/>
          <w:color w:val="202024"/>
          <w:spacing w:val="8"/>
        </w:rPr>
        <w:t xml:space="preserve"> </w:t>
      </w:r>
      <w:r>
        <w:rPr>
          <w:rFonts w:eastAsia="Roboto"/>
          <w:color w:val="202024"/>
        </w:rPr>
        <w:t>rates</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fiscal</w:t>
      </w:r>
      <w:r>
        <w:rPr>
          <w:rFonts w:eastAsia="Roboto"/>
          <w:color w:val="202024"/>
          <w:spacing w:val="8"/>
        </w:rPr>
        <w:t xml:space="preserve"> </w:t>
      </w:r>
      <w:r>
        <w:rPr>
          <w:rFonts w:eastAsia="Roboto"/>
          <w:color w:val="202024"/>
        </w:rPr>
        <w:t>regimes</w:t>
      </w:r>
      <w:r>
        <w:rPr>
          <w:rFonts w:eastAsia="Roboto"/>
          <w:color w:val="202024"/>
          <w:spacing w:val="7"/>
        </w:rPr>
        <w:t xml:space="preserve"> </w:t>
      </w:r>
      <w:r>
        <w:rPr>
          <w:rFonts w:eastAsia="Roboto"/>
          <w:color w:val="202024"/>
        </w:rPr>
        <w:t>in</w:t>
      </w:r>
      <w:r>
        <w:rPr>
          <w:rFonts w:eastAsia="Roboto"/>
          <w:color w:val="202024"/>
          <w:spacing w:val="7"/>
        </w:rPr>
        <w:t xml:space="preserve"> </w:t>
      </w:r>
      <w:r>
        <w:rPr>
          <w:rFonts w:eastAsia="Roboto"/>
          <w:color w:val="202024"/>
        </w:rPr>
        <w:t>itself</w:t>
      </w:r>
      <w:r>
        <w:rPr>
          <w:rFonts w:eastAsia="Roboto"/>
          <w:color w:val="202024"/>
          <w:spacing w:val="8"/>
        </w:rPr>
        <w:t xml:space="preserve"> </w:t>
      </w:r>
      <w:r>
        <w:rPr>
          <w:rFonts w:eastAsia="Roboto"/>
          <w:color w:val="202024"/>
        </w:rPr>
        <w:t>does</w:t>
      </w:r>
      <w:r>
        <w:rPr>
          <w:rFonts w:eastAsia="Roboto"/>
          <w:color w:val="202024"/>
          <w:spacing w:val="7"/>
        </w:rPr>
        <w:t xml:space="preserve"> </w:t>
      </w:r>
      <w:r>
        <w:rPr>
          <w:rFonts w:eastAsia="Roboto"/>
          <w:color w:val="202024"/>
        </w:rPr>
        <w:t>not</w:t>
      </w:r>
      <w:r>
        <w:rPr>
          <w:rFonts w:eastAsia="Roboto"/>
          <w:color w:val="202024"/>
          <w:spacing w:val="7"/>
        </w:rPr>
        <w:t xml:space="preserve"> </w:t>
      </w:r>
      <w:r>
        <w:rPr>
          <w:rFonts w:eastAsia="Roboto"/>
          <w:color w:val="202024"/>
        </w:rPr>
        <w:t>affect</w:t>
      </w:r>
      <w:r>
        <w:rPr>
          <w:rFonts w:eastAsia="Roboto"/>
          <w:color w:val="202024"/>
          <w:spacing w:val="8"/>
        </w:rPr>
        <w:t xml:space="preserve"> </w:t>
      </w:r>
      <w:r>
        <w:rPr>
          <w:rFonts w:eastAsia="Roboto"/>
          <w:color w:val="202024"/>
        </w:rPr>
        <w:t>certainty</w:t>
      </w:r>
      <w:r>
        <w:rPr>
          <w:rFonts w:eastAsia="Roboto"/>
          <w:color w:val="202024"/>
          <w:spacing w:val="7"/>
        </w:rPr>
        <w:t xml:space="preserve"> </w:t>
      </w:r>
      <w:r>
        <w:rPr>
          <w:rFonts w:eastAsia="Roboto"/>
          <w:color w:val="202024"/>
        </w:rPr>
        <w:t>-</w:t>
      </w:r>
      <w:r>
        <w:rPr>
          <w:rFonts w:eastAsia="Roboto"/>
          <w:color w:val="202024"/>
          <w:spacing w:val="8"/>
        </w:rPr>
        <w:t xml:space="preserve"> </w:t>
      </w:r>
      <w:r>
        <w:rPr>
          <w:rFonts w:eastAsia="Roboto"/>
          <w:color w:val="202024"/>
        </w:rPr>
        <w:t>it</w:t>
      </w:r>
      <w:r>
        <w:rPr>
          <w:rFonts w:eastAsia="Roboto"/>
          <w:color w:val="202024"/>
          <w:spacing w:val="7"/>
        </w:rPr>
        <w:t xml:space="preserve"> </w:t>
      </w:r>
      <w:r>
        <w:rPr>
          <w:rFonts w:eastAsia="Roboto"/>
          <w:color w:val="202024"/>
        </w:rPr>
        <w:t>just</w:t>
      </w:r>
      <w:r>
        <w:rPr>
          <w:rFonts w:eastAsia="Roboto"/>
          <w:color w:val="202024"/>
          <w:spacing w:val="7"/>
        </w:rPr>
        <w:t xml:space="preserve"> </w:t>
      </w:r>
      <w:r>
        <w:rPr>
          <w:rFonts w:eastAsia="Roboto"/>
          <w:color w:val="202024"/>
        </w:rPr>
        <w:t>requires</w:t>
      </w:r>
      <w:r>
        <w:rPr>
          <w:rFonts w:eastAsia="Roboto"/>
          <w:color w:val="202024"/>
          <w:spacing w:val="1"/>
        </w:rPr>
        <w:t xml:space="preserve"> </w:t>
      </w:r>
      <w:r>
        <w:rPr>
          <w:rFonts w:eastAsia="Roboto"/>
          <w:color w:val="202024"/>
        </w:rPr>
        <w:t>players</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understand</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regime</w:t>
      </w:r>
      <w:r>
        <w:rPr>
          <w:rFonts w:eastAsia="Roboto"/>
          <w:color w:val="202024"/>
          <w:spacing w:val="9"/>
        </w:rPr>
        <w:t xml:space="preserve"> </w:t>
      </w:r>
      <w:r>
        <w:rPr>
          <w:rFonts w:eastAsia="Roboto"/>
          <w:color w:val="202024"/>
        </w:rPr>
        <w:t>as</w:t>
      </w:r>
      <w:r>
        <w:rPr>
          <w:rFonts w:eastAsia="Roboto"/>
          <w:color w:val="202024"/>
          <w:spacing w:val="10"/>
        </w:rPr>
        <w:t xml:space="preserve"> </w:t>
      </w:r>
      <w:r>
        <w:rPr>
          <w:rFonts w:eastAsia="Roboto"/>
          <w:color w:val="202024"/>
        </w:rPr>
        <w:t>different</w:t>
      </w:r>
      <w:r>
        <w:rPr>
          <w:rFonts w:eastAsia="Roboto"/>
          <w:color w:val="202024"/>
          <w:spacing w:val="9"/>
        </w:rPr>
        <w:t xml:space="preserve"> </w:t>
      </w:r>
      <w:r>
        <w:rPr>
          <w:rFonts w:eastAsia="Roboto"/>
          <w:color w:val="202024"/>
        </w:rPr>
        <w:t>from</w:t>
      </w:r>
      <w:r>
        <w:rPr>
          <w:rFonts w:eastAsia="Roboto"/>
          <w:color w:val="202024"/>
          <w:spacing w:val="9"/>
        </w:rPr>
        <w:t xml:space="preserve"> </w:t>
      </w:r>
      <w:r>
        <w:rPr>
          <w:rFonts w:eastAsia="Roboto"/>
          <w:color w:val="202024"/>
        </w:rPr>
        <w:t>general</w:t>
      </w:r>
      <w:r>
        <w:rPr>
          <w:rFonts w:eastAsia="Roboto"/>
          <w:color w:val="202024"/>
          <w:spacing w:val="9"/>
        </w:rPr>
        <w:t xml:space="preserve"> </w:t>
      </w:r>
      <w:r>
        <w:rPr>
          <w:rFonts w:eastAsia="Roboto"/>
          <w:color w:val="202024"/>
        </w:rPr>
        <w:t>rules.Players</w:t>
      </w:r>
      <w:r>
        <w:rPr>
          <w:rFonts w:eastAsia="Roboto"/>
          <w:color w:val="202024"/>
          <w:spacing w:val="9"/>
        </w:rPr>
        <w:t xml:space="preserve"> </w:t>
      </w:r>
      <w:r>
        <w:rPr>
          <w:rFonts w:eastAsia="Roboto"/>
          <w:color w:val="202024"/>
        </w:rPr>
        <w:t>in</w:t>
      </w:r>
      <w:r>
        <w:rPr>
          <w:rFonts w:eastAsia="Roboto"/>
          <w:color w:val="202024"/>
          <w:spacing w:val="10"/>
        </w:rPr>
        <w:t xml:space="preserve"> </w:t>
      </w:r>
      <w:r>
        <w:rPr>
          <w:rFonts w:eastAsia="Roboto"/>
          <w:color w:val="202024"/>
        </w:rPr>
        <w:t>the</w:t>
      </w:r>
      <w:r>
        <w:rPr>
          <w:rFonts w:eastAsia="Roboto"/>
          <w:color w:val="202024"/>
          <w:spacing w:val="9"/>
        </w:rPr>
        <w:t xml:space="preserve"> </w:t>
      </w:r>
      <w:r>
        <w:rPr>
          <w:rFonts w:eastAsia="Roboto"/>
          <w:color w:val="202024"/>
        </w:rPr>
        <w:t>industry</w:t>
      </w:r>
      <w:r>
        <w:rPr>
          <w:rFonts w:eastAsia="Roboto"/>
          <w:color w:val="202024"/>
          <w:spacing w:val="9"/>
        </w:rPr>
        <w:t xml:space="preserve"> </w:t>
      </w:r>
      <w:r>
        <w:rPr>
          <w:rFonts w:eastAsia="Roboto"/>
          <w:color w:val="202024"/>
        </w:rPr>
        <w:t>knew</w:t>
      </w:r>
      <w:r>
        <w:rPr>
          <w:rFonts w:eastAsia="Roboto"/>
          <w:color w:val="202024"/>
          <w:spacing w:val="1"/>
        </w:rPr>
        <w:t xml:space="preserve"> </w:t>
      </w:r>
      <w:r>
        <w:rPr>
          <w:rFonts w:eastAsia="Roboto"/>
          <w:color w:val="202024"/>
        </w:rPr>
        <w:t>the</w:t>
      </w:r>
      <w:r>
        <w:rPr>
          <w:rFonts w:eastAsia="Roboto"/>
          <w:color w:val="202024"/>
          <w:spacing w:val="6"/>
        </w:rPr>
        <w:t xml:space="preserve"> </w:t>
      </w:r>
      <w:r>
        <w:rPr>
          <w:rFonts w:eastAsia="Roboto"/>
          <w:color w:val="202024"/>
        </w:rPr>
        <w:t>rules</w:t>
      </w:r>
      <w:r>
        <w:rPr>
          <w:rFonts w:eastAsia="Roboto"/>
          <w:color w:val="202024"/>
          <w:spacing w:val="7"/>
        </w:rPr>
        <w:t xml:space="preserve"> </w:t>
      </w:r>
      <w:r>
        <w:rPr>
          <w:rFonts w:eastAsia="Roboto"/>
          <w:color w:val="202024"/>
        </w:rPr>
        <w:t>in</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legislation</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applied</w:t>
      </w:r>
      <w:r>
        <w:rPr>
          <w:rFonts w:eastAsia="Roboto"/>
          <w:color w:val="202024"/>
          <w:spacing w:val="7"/>
        </w:rPr>
        <w:t xml:space="preserve"> </w:t>
      </w:r>
      <w:r>
        <w:rPr>
          <w:rFonts w:eastAsia="Roboto"/>
          <w:color w:val="202024"/>
        </w:rPr>
        <w:t>it</w:t>
      </w:r>
      <w:r>
        <w:rPr>
          <w:rFonts w:eastAsia="Roboto"/>
          <w:color w:val="202024"/>
          <w:spacing w:val="7"/>
        </w:rPr>
        <w:t xml:space="preserve"> </w:t>
      </w:r>
      <w:r>
        <w:rPr>
          <w:rFonts w:eastAsia="Roboto"/>
          <w:color w:val="202024"/>
        </w:rPr>
        <w:t>appropriately</w:t>
      </w:r>
      <w:r>
        <w:rPr>
          <w:rFonts w:eastAsia="Roboto"/>
          <w:color w:val="202024"/>
          <w:spacing w:val="7"/>
        </w:rPr>
        <w:t xml:space="preserve"> </w:t>
      </w:r>
      <w:r>
        <w:rPr>
          <w:rFonts w:eastAsia="Roboto"/>
          <w:color w:val="202024"/>
        </w:rPr>
        <w:t>-</w:t>
      </w:r>
      <w:r>
        <w:rPr>
          <w:rFonts w:eastAsia="Roboto"/>
          <w:color w:val="202024"/>
          <w:spacing w:val="6"/>
        </w:rPr>
        <w:t xml:space="preserve"> </w:t>
      </w:r>
      <w:r>
        <w:rPr>
          <w:rFonts w:eastAsia="Roboto"/>
          <w:color w:val="202024"/>
        </w:rPr>
        <w:t>the</w:t>
      </w:r>
      <w:r>
        <w:rPr>
          <w:rFonts w:eastAsia="Roboto"/>
          <w:color w:val="202024"/>
          <w:spacing w:val="7"/>
        </w:rPr>
        <w:t xml:space="preserve"> </w:t>
      </w:r>
      <w:r>
        <w:rPr>
          <w:rFonts w:eastAsia="Roboto"/>
          <w:color w:val="202024"/>
        </w:rPr>
        <w:t>challenges</w:t>
      </w:r>
      <w:r>
        <w:rPr>
          <w:rFonts w:eastAsia="Roboto"/>
          <w:color w:val="202024"/>
          <w:spacing w:val="7"/>
        </w:rPr>
        <w:t xml:space="preserve"> </w:t>
      </w:r>
      <w:r>
        <w:rPr>
          <w:rFonts w:eastAsia="Roboto"/>
          <w:color w:val="202024"/>
        </w:rPr>
        <w:t>were</w:t>
      </w:r>
      <w:r>
        <w:rPr>
          <w:rFonts w:eastAsia="Roboto"/>
          <w:color w:val="202024"/>
          <w:spacing w:val="7"/>
        </w:rPr>
        <w:t xml:space="preserve"> </w:t>
      </w:r>
      <w:r>
        <w:rPr>
          <w:rFonts w:eastAsia="Roboto"/>
          <w:color w:val="202024"/>
        </w:rPr>
        <w:t>similar</w:t>
      </w:r>
      <w:r>
        <w:rPr>
          <w:rFonts w:eastAsia="Roboto"/>
          <w:color w:val="202024"/>
          <w:spacing w:val="7"/>
        </w:rPr>
        <w:t xml:space="preserve"> </w:t>
      </w:r>
      <w:r>
        <w:rPr>
          <w:rFonts w:eastAsia="Roboto"/>
          <w:color w:val="202024"/>
        </w:rPr>
        <w:t>to</w:t>
      </w:r>
      <w:r>
        <w:rPr>
          <w:rFonts w:eastAsia="Roboto"/>
          <w:color w:val="202024"/>
          <w:spacing w:val="7"/>
        </w:rPr>
        <w:t xml:space="preserve"> </w:t>
      </w:r>
      <w:r>
        <w:rPr>
          <w:rFonts w:eastAsia="Roboto"/>
          <w:color w:val="202024"/>
        </w:rPr>
        <w:t>those</w:t>
      </w:r>
      <w:r>
        <w:rPr>
          <w:rFonts w:eastAsia="Roboto"/>
          <w:color w:val="202024"/>
          <w:spacing w:val="1"/>
        </w:rPr>
        <w:t xml:space="preserve"> </w:t>
      </w:r>
      <w:r>
        <w:rPr>
          <w:rFonts w:eastAsia="Roboto"/>
          <w:color w:val="202024"/>
        </w:rPr>
        <w:t>applicable</w:t>
      </w:r>
      <w:r>
        <w:rPr>
          <w:rFonts w:eastAsia="Roboto"/>
          <w:color w:val="202024"/>
          <w:spacing w:val="11"/>
        </w:rPr>
        <w:t xml:space="preserve"> </w:t>
      </w:r>
      <w:r>
        <w:rPr>
          <w:rFonts w:eastAsia="Roboto"/>
          <w:color w:val="202024"/>
        </w:rPr>
        <w:t>to</w:t>
      </w:r>
      <w:r>
        <w:rPr>
          <w:rFonts w:eastAsia="Roboto"/>
          <w:color w:val="202024"/>
          <w:spacing w:val="11"/>
        </w:rPr>
        <w:t xml:space="preserve"> </w:t>
      </w:r>
      <w:r>
        <w:rPr>
          <w:rFonts w:eastAsia="Roboto"/>
          <w:color w:val="202024"/>
        </w:rPr>
        <w:t>general</w:t>
      </w:r>
      <w:r>
        <w:rPr>
          <w:rFonts w:eastAsia="Roboto"/>
          <w:color w:val="202024"/>
          <w:spacing w:val="12"/>
        </w:rPr>
        <w:t xml:space="preserve"> </w:t>
      </w:r>
      <w:r>
        <w:rPr>
          <w:rFonts w:eastAsia="Roboto"/>
          <w:color w:val="202024"/>
        </w:rPr>
        <w:t>companies</w:t>
      </w:r>
      <w:r>
        <w:rPr>
          <w:rFonts w:eastAsia="Roboto"/>
          <w:color w:val="202024"/>
          <w:spacing w:val="11"/>
        </w:rPr>
        <w:t xml:space="preserve"> </w:t>
      </w:r>
      <w:r>
        <w:rPr>
          <w:rFonts w:eastAsia="Roboto"/>
          <w:color w:val="202024"/>
        </w:rPr>
        <w:t>with</w:t>
      </w:r>
      <w:r>
        <w:rPr>
          <w:rFonts w:eastAsia="Roboto"/>
          <w:color w:val="202024"/>
          <w:spacing w:val="11"/>
        </w:rPr>
        <w:t xml:space="preserve"> </w:t>
      </w:r>
      <w:r>
        <w:rPr>
          <w:rFonts w:eastAsia="Roboto"/>
          <w:color w:val="202024"/>
        </w:rPr>
        <w:t>one</w:t>
      </w:r>
      <w:r>
        <w:rPr>
          <w:rFonts w:eastAsia="Roboto"/>
          <w:color w:val="202024"/>
          <w:spacing w:val="12"/>
        </w:rPr>
        <w:t xml:space="preserve"> </w:t>
      </w:r>
      <w:r>
        <w:rPr>
          <w:rFonts w:eastAsia="Roboto"/>
          <w:color w:val="202024"/>
        </w:rPr>
        <w:t>single</w:t>
      </w:r>
      <w:r>
        <w:rPr>
          <w:rFonts w:eastAsia="Roboto"/>
          <w:color w:val="202024"/>
          <w:spacing w:val="11"/>
        </w:rPr>
        <w:t xml:space="preserve"> </w:t>
      </w:r>
      <w:r>
        <w:rPr>
          <w:rFonts w:eastAsia="Roboto"/>
          <w:color w:val="202024"/>
        </w:rPr>
        <w:t>regime..</w:t>
      </w:r>
      <w:r>
        <w:rPr>
          <w:rFonts w:eastAsia="Roboto"/>
          <w:color w:val="202024"/>
          <w:spacing w:val="12"/>
        </w:rPr>
        <w:t xml:space="preserve"> </w:t>
      </w:r>
      <w:r>
        <w:rPr>
          <w:rFonts w:eastAsia="Roboto"/>
          <w:color w:val="202024"/>
        </w:rPr>
        <w:t>side</w:t>
      </w:r>
      <w:r>
        <w:rPr>
          <w:rFonts w:eastAsia="Roboto"/>
          <w:color w:val="202024"/>
          <w:spacing w:val="11"/>
        </w:rPr>
        <w:t xml:space="preserve"> </w:t>
      </w:r>
      <w:r>
        <w:rPr>
          <w:rFonts w:eastAsia="Roboto"/>
          <w:color w:val="202024"/>
        </w:rPr>
        <w:t>letters</w:t>
      </w:r>
      <w:r>
        <w:rPr>
          <w:rFonts w:eastAsia="Roboto"/>
          <w:color w:val="202024"/>
          <w:spacing w:val="11"/>
        </w:rPr>
        <w:t xml:space="preserve"> </w:t>
      </w:r>
      <w:r>
        <w:rPr>
          <w:rFonts w:eastAsia="Roboto"/>
          <w:color w:val="202024"/>
        </w:rPr>
        <w:t>that</w:t>
      </w:r>
      <w:r>
        <w:rPr>
          <w:rFonts w:eastAsia="Roboto"/>
          <w:color w:val="202024"/>
          <w:spacing w:val="12"/>
        </w:rPr>
        <w:t xml:space="preserve"> </w:t>
      </w:r>
      <w:r>
        <w:rPr>
          <w:rFonts w:eastAsia="Roboto"/>
          <w:color w:val="202024"/>
        </w:rPr>
        <w:t>are</w:t>
      </w:r>
      <w:r>
        <w:rPr>
          <w:rFonts w:eastAsia="Roboto"/>
          <w:color w:val="202024"/>
          <w:spacing w:val="11"/>
        </w:rPr>
        <w:t xml:space="preserve"> </w:t>
      </w:r>
      <w:r>
        <w:rPr>
          <w:rFonts w:eastAsia="Roboto"/>
          <w:color w:val="202024"/>
        </w:rPr>
        <w:t>not</w:t>
      </w:r>
      <w:r>
        <w:rPr>
          <w:rFonts w:eastAsia="Roboto"/>
          <w:color w:val="202024"/>
          <w:spacing w:val="12"/>
        </w:rPr>
        <w:t xml:space="preserve"> </w:t>
      </w:r>
      <w:r>
        <w:rPr>
          <w:rFonts w:eastAsia="Roboto"/>
          <w:color w:val="202024"/>
        </w:rPr>
        <w:t>made</w:t>
      </w:r>
      <w:r>
        <w:rPr>
          <w:rFonts w:eastAsia="Roboto"/>
          <w:color w:val="202024"/>
          <w:spacing w:val="11"/>
        </w:rPr>
        <w:t xml:space="preserve"> </w:t>
      </w:r>
      <w:r>
        <w:rPr>
          <w:rFonts w:eastAsia="Roboto"/>
          <w:color w:val="202024"/>
        </w:rPr>
        <w:t>public</w:t>
      </w:r>
      <w:r>
        <w:rPr>
          <w:rFonts w:eastAsia="Roboto"/>
          <w:color w:val="202024"/>
          <w:spacing w:val="-49"/>
        </w:rPr>
        <w:t xml:space="preserve"> </w:t>
      </w:r>
      <w:r>
        <w:rPr>
          <w:rFonts w:eastAsia="Roboto"/>
          <w:color w:val="202024"/>
        </w:rPr>
        <w:t>were</w:t>
      </w:r>
      <w:r>
        <w:rPr>
          <w:rFonts w:eastAsia="Roboto"/>
          <w:color w:val="202024"/>
          <w:spacing w:val="5"/>
        </w:rPr>
        <w:t xml:space="preserve"> </w:t>
      </w:r>
      <w:r>
        <w:rPr>
          <w:rFonts w:eastAsia="Roboto"/>
          <w:color w:val="202024"/>
        </w:rPr>
        <w:t>a</w:t>
      </w:r>
      <w:r>
        <w:rPr>
          <w:rFonts w:eastAsia="Roboto"/>
          <w:color w:val="202024"/>
          <w:spacing w:val="5"/>
        </w:rPr>
        <w:t xml:space="preserve"> </w:t>
      </w:r>
      <w:r>
        <w:rPr>
          <w:rFonts w:eastAsia="Roboto"/>
          <w:color w:val="202024"/>
        </w:rPr>
        <w:t>major</w:t>
      </w:r>
      <w:r>
        <w:rPr>
          <w:rFonts w:eastAsia="Roboto"/>
          <w:color w:val="202024"/>
          <w:spacing w:val="5"/>
        </w:rPr>
        <w:t xml:space="preserve"> </w:t>
      </w:r>
      <w:r>
        <w:rPr>
          <w:rFonts w:eastAsia="Roboto"/>
          <w:color w:val="202024"/>
        </w:rPr>
        <w:t>issue</w:t>
      </w:r>
      <w:r>
        <w:rPr>
          <w:rFonts w:eastAsia="Roboto"/>
          <w:color w:val="202024"/>
          <w:spacing w:val="5"/>
        </w:rPr>
        <w:t xml:space="preserve"> </w:t>
      </w:r>
      <w:r>
        <w:rPr>
          <w:rFonts w:eastAsia="Roboto"/>
          <w:color w:val="202024"/>
        </w:rPr>
        <w:t>in</w:t>
      </w:r>
      <w:r>
        <w:rPr>
          <w:rFonts w:eastAsia="Roboto"/>
          <w:color w:val="202024"/>
          <w:spacing w:val="5"/>
        </w:rPr>
        <w:t xml:space="preserve"> </w:t>
      </w:r>
      <w:r>
        <w:rPr>
          <w:rFonts w:eastAsia="Roboto"/>
          <w:color w:val="202024"/>
        </w:rPr>
        <w:t>consistency.</w:t>
      </w:r>
    </w:p>
    <w:p w14:paraId="740F6352">
      <w:pPr>
        <w:widowControl w:val="0"/>
        <w:autoSpaceDE w:val="0"/>
        <w:autoSpaceDN w:val="0"/>
        <w:spacing w:line="285" w:lineRule="auto"/>
        <w:jc w:val="both"/>
        <w:rPr>
          <w:rFonts w:eastAsia="Roboto"/>
        </w:rPr>
        <w:sectPr>
          <w:headerReference r:id="rId20" w:type="default"/>
          <w:footerReference r:id="rId21" w:type="default"/>
          <w:pgSz w:w="11900" w:h="16840"/>
          <w:pgMar w:top="480" w:right="1280" w:bottom="440" w:left="1040" w:header="269" w:footer="253" w:gutter="0"/>
          <w:cols w:space="720" w:num="1"/>
        </w:sectPr>
      </w:pPr>
    </w:p>
    <w:p w14:paraId="0D6231A2">
      <w:pPr>
        <w:widowControl w:val="0"/>
        <w:autoSpaceDE w:val="0"/>
        <w:autoSpaceDN w:val="0"/>
        <w:jc w:val="both"/>
        <w:rPr>
          <w:rFonts w:eastAsia="Roboto"/>
        </w:rPr>
      </w:pPr>
      <w:r>
        <mc:AlternateContent>
          <mc:Choice Requires="wpg">
            <w:drawing>
              <wp:anchor distT="0" distB="0" distL="114300" distR="114300" simplePos="0" relativeHeight="251720704" behindDoc="0" locked="0" layoutInCell="1" allowOverlap="1">
                <wp:simplePos x="0" y="0"/>
                <wp:positionH relativeFrom="page">
                  <wp:posOffset>731520</wp:posOffset>
                </wp:positionH>
                <wp:positionV relativeFrom="paragraph">
                  <wp:posOffset>73025</wp:posOffset>
                </wp:positionV>
                <wp:extent cx="6096000" cy="2638425"/>
                <wp:effectExtent l="7620" t="6350" r="1905" b="3175"/>
                <wp:wrapNone/>
                <wp:docPr id="848147496" name="Group 157"/>
                <wp:cNvGraphicFramePr/>
                <a:graphic xmlns:a="http://schemas.openxmlformats.org/drawingml/2006/main">
                  <a:graphicData uri="http://schemas.microsoft.com/office/word/2010/wordprocessingGroup">
                    <wpg:wgp>
                      <wpg:cNvGrpSpPr/>
                      <wpg:grpSpPr>
                        <a:xfrm>
                          <a:off x="0" y="0"/>
                          <a:ext cx="6096000" cy="2638425"/>
                          <a:chOff x="1154" y="-4267"/>
                          <a:chExt cx="9600" cy="4155"/>
                        </a:xfrm>
                        <a:effectLst/>
                      </wpg:grpSpPr>
                      <wps:wsp>
                        <wps:cNvPr id="1938860892" name="Freeform 164"/>
                        <wps:cNvSpPr/>
                        <wps:spPr bwMode="auto">
                          <a:xfrm>
                            <a:off x="1154" y="-4267"/>
                            <a:ext cx="9600" cy="4155"/>
                          </a:xfrm>
                          <a:custGeom>
                            <a:avLst/>
                            <a:gdLst>
                              <a:gd name="T0" fmla="*/ 9600 w 9600"/>
                              <a:gd name="T1" fmla="*/ -4267 h 4155"/>
                              <a:gd name="T2" fmla="*/ 9585 w 9600"/>
                              <a:gd name="T3" fmla="*/ -4267 h 4155"/>
                              <a:gd name="T4" fmla="*/ 9585 w 9600"/>
                              <a:gd name="T5" fmla="*/ -232 h 4155"/>
                              <a:gd name="T6" fmla="*/ 9584 w 9600"/>
                              <a:gd name="T7" fmla="*/ -222 h 4155"/>
                              <a:gd name="T8" fmla="*/ 9561 w 9600"/>
                              <a:gd name="T9" fmla="*/ -165 h 4155"/>
                              <a:gd name="T10" fmla="*/ 9553 w 9600"/>
                              <a:gd name="T11" fmla="*/ -157 h 4155"/>
                              <a:gd name="T12" fmla="*/ 9490 w 9600"/>
                              <a:gd name="T13" fmla="*/ -127 h 4155"/>
                              <a:gd name="T14" fmla="*/ 9480 w 9600"/>
                              <a:gd name="T15" fmla="*/ -127 h 4155"/>
                              <a:gd name="T16" fmla="*/ 120 w 9600"/>
                              <a:gd name="T17" fmla="*/ -127 h 4155"/>
                              <a:gd name="T18" fmla="*/ 62 w 9600"/>
                              <a:gd name="T19" fmla="*/ -145 h 4155"/>
                              <a:gd name="T20" fmla="*/ 47 w 9600"/>
                              <a:gd name="T21" fmla="*/ -157 h 4155"/>
                              <a:gd name="T22" fmla="*/ 39 w 9600"/>
                              <a:gd name="T23" fmla="*/ -165 h 4155"/>
                              <a:gd name="T24" fmla="*/ 15 w 9600"/>
                              <a:gd name="T25" fmla="*/ -222 h 4155"/>
                              <a:gd name="T26" fmla="*/ 15 w 9600"/>
                              <a:gd name="T27" fmla="*/ -232 h 4155"/>
                              <a:gd name="T28" fmla="*/ 15 w 9600"/>
                              <a:gd name="T29" fmla="*/ -4267 h 4155"/>
                              <a:gd name="T30" fmla="*/ 0 w 9600"/>
                              <a:gd name="T31" fmla="*/ -4267 h 4155"/>
                              <a:gd name="T32" fmla="*/ 0 w 9600"/>
                              <a:gd name="T33" fmla="*/ -232 h 4155"/>
                              <a:gd name="T34" fmla="*/ 1 w 9600"/>
                              <a:gd name="T35" fmla="*/ -220 h 4155"/>
                              <a:gd name="T36" fmla="*/ 27 w 9600"/>
                              <a:gd name="T37" fmla="*/ -156 h 4155"/>
                              <a:gd name="T38" fmla="*/ 35 w 9600"/>
                              <a:gd name="T39" fmla="*/ -147 h 4155"/>
                              <a:gd name="T40" fmla="*/ 97 w 9600"/>
                              <a:gd name="T41" fmla="*/ -114 h 4155"/>
                              <a:gd name="T42" fmla="*/ 120 w 9600"/>
                              <a:gd name="T43" fmla="*/ -112 h 4155"/>
                              <a:gd name="T44" fmla="*/ 9480 w 9600"/>
                              <a:gd name="T45" fmla="*/ -112 h 4155"/>
                              <a:gd name="T46" fmla="*/ 9538 w 9600"/>
                              <a:gd name="T47" fmla="*/ -127 h 4155"/>
                              <a:gd name="T48" fmla="*/ 9547 w 9600"/>
                              <a:gd name="T49" fmla="*/ -132 h 4155"/>
                              <a:gd name="T50" fmla="*/ 9556 w 9600"/>
                              <a:gd name="T51" fmla="*/ -139 h 4155"/>
                              <a:gd name="T52" fmla="*/ 9564 w 9600"/>
                              <a:gd name="T53" fmla="*/ -146 h 4155"/>
                              <a:gd name="T54" fmla="*/ 9565 w 9600"/>
                              <a:gd name="T55" fmla="*/ -147 h 4155"/>
                              <a:gd name="T56" fmla="*/ 9573 w 9600"/>
                              <a:gd name="T57" fmla="*/ -156 h 4155"/>
                              <a:gd name="T58" fmla="*/ 9580 w 9600"/>
                              <a:gd name="T59" fmla="*/ -165 h 4155"/>
                              <a:gd name="T60" fmla="*/ 9600 w 9600"/>
                              <a:gd name="T61" fmla="*/ -232 h 4155"/>
                              <a:gd name="T62" fmla="*/ 9600 w 9600"/>
                              <a:gd name="T63" fmla="*/ -4267 h 41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00" h="4155">
                                <a:moveTo>
                                  <a:pt x="9600" y="0"/>
                                </a:moveTo>
                                <a:lnTo>
                                  <a:pt x="9585" y="0"/>
                                </a:lnTo>
                                <a:lnTo>
                                  <a:pt x="9585" y="4035"/>
                                </a:lnTo>
                                <a:lnTo>
                                  <a:pt x="9584" y="4045"/>
                                </a:lnTo>
                                <a:lnTo>
                                  <a:pt x="9561" y="4102"/>
                                </a:lnTo>
                                <a:lnTo>
                                  <a:pt x="9553" y="4110"/>
                                </a:lnTo>
                                <a:lnTo>
                                  <a:pt x="9490" y="4140"/>
                                </a:lnTo>
                                <a:lnTo>
                                  <a:pt x="9480" y="4140"/>
                                </a:lnTo>
                                <a:lnTo>
                                  <a:pt x="120" y="4140"/>
                                </a:lnTo>
                                <a:lnTo>
                                  <a:pt x="62" y="4122"/>
                                </a:lnTo>
                                <a:lnTo>
                                  <a:pt x="47" y="4110"/>
                                </a:lnTo>
                                <a:lnTo>
                                  <a:pt x="39" y="4102"/>
                                </a:lnTo>
                                <a:lnTo>
                                  <a:pt x="15" y="4045"/>
                                </a:lnTo>
                                <a:lnTo>
                                  <a:pt x="15" y="4035"/>
                                </a:lnTo>
                                <a:lnTo>
                                  <a:pt x="15" y="0"/>
                                </a:lnTo>
                                <a:lnTo>
                                  <a:pt x="0" y="0"/>
                                </a:lnTo>
                                <a:lnTo>
                                  <a:pt x="0" y="4035"/>
                                </a:lnTo>
                                <a:lnTo>
                                  <a:pt x="1" y="4047"/>
                                </a:lnTo>
                                <a:lnTo>
                                  <a:pt x="27" y="4111"/>
                                </a:lnTo>
                                <a:lnTo>
                                  <a:pt x="35" y="4120"/>
                                </a:lnTo>
                                <a:lnTo>
                                  <a:pt x="97" y="4153"/>
                                </a:lnTo>
                                <a:lnTo>
                                  <a:pt x="120" y="4155"/>
                                </a:lnTo>
                                <a:lnTo>
                                  <a:pt x="9480" y="4155"/>
                                </a:lnTo>
                                <a:lnTo>
                                  <a:pt x="9538" y="4140"/>
                                </a:lnTo>
                                <a:lnTo>
                                  <a:pt x="9547" y="4135"/>
                                </a:lnTo>
                                <a:lnTo>
                                  <a:pt x="9556" y="4128"/>
                                </a:lnTo>
                                <a:lnTo>
                                  <a:pt x="9564" y="4121"/>
                                </a:lnTo>
                                <a:lnTo>
                                  <a:pt x="9565" y="4120"/>
                                </a:lnTo>
                                <a:lnTo>
                                  <a:pt x="9573" y="4111"/>
                                </a:lnTo>
                                <a:lnTo>
                                  <a:pt x="9580" y="4102"/>
                                </a:lnTo>
                                <a:lnTo>
                                  <a:pt x="9600" y="4035"/>
                                </a:lnTo>
                                <a:lnTo>
                                  <a:pt x="9600" y="0"/>
                                </a:lnTo>
                                <a:close/>
                              </a:path>
                            </a:pathLst>
                          </a:custGeom>
                          <a:solidFill>
                            <a:srgbClr val="D9DBDF"/>
                          </a:solidFill>
                          <a:ln>
                            <a:noFill/>
                          </a:ln>
                          <a:effectLst/>
                        </wps:spPr>
                        <wps:bodyPr rot="0" vert="horz" wrap="square" lIns="91440" tIns="45720" rIns="91440" bIns="45720" anchor="t" anchorCtr="0" upright="1">
                          <a:noAutofit/>
                        </wps:bodyPr>
                      </wps:wsp>
                      <wps:wsp>
                        <wps:cNvPr id="5399706" name="AutoShape 163"/>
                        <wps:cNvSpPr/>
                        <wps:spPr bwMode="auto">
                          <a:xfrm>
                            <a:off x="1169" y="-4267"/>
                            <a:ext cx="9390" cy="4140"/>
                          </a:xfrm>
                          <a:custGeom>
                            <a:avLst/>
                            <a:gdLst>
                              <a:gd name="T0" fmla="*/ 9382 w 9390"/>
                              <a:gd name="T1" fmla="*/ -697 h 4140"/>
                              <a:gd name="T2" fmla="*/ 9360 w 9390"/>
                              <a:gd name="T3" fmla="*/ -719 h 4140"/>
                              <a:gd name="T4" fmla="*/ 52 w 9390"/>
                              <a:gd name="T5" fmla="*/ -727 h 4140"/>
                              <a:gd name="T6" fmla="*/ 23 w 9390"/>
                              <a:gd name="T7" fmla="*/ -715 h 4140"/>
                              <a:gd name="T8" fmla="*/ 2 w 9390"/>
                              <a:gd name="T9" fmla="*/ -683 h 4140"/>
                              <a:gd name="T10" fmla="*/ 0 w 9390"/>
                              <a:gd name="T11" fmla="*/ -179 h 4140"/>
                              <a:gd name="T12" fmla="*/ 12 w 9390"/>
                              <a:gd name="T13" fmla="*/ -150 h 4140"/>
                              <a:gd name="T14" fmla="*/ 44 w 9390"/>
                              <a:gd name="T15" fmla="*/ -128 h 4140"/>
                              <a:gd name="T16" fmla="*/ 9346 w 9390"/>
                              <a:gd name="T17" fmla="*/ -128 h 4140"/>
                              <a:gd name="T18" fmla="*/ 9378 w 9390"/>
                              <a:gd name="T19" fmla="*/ -150 h 4140"/>
                              <a:gd name="T20" fmla="*/ 9390 w 9390"/>
                              <a:gd name="T21" fmla="*/ -179 h 4140"/>
                              <a:gd name="T22" fmla="*/ 9388 w 9390"/>
                              <a:gd name="T23" fmla="*/ -1643 h 4140"/>
                              <a:gd name="T24" fmla="*/ 9367 w 9390"/>
                              <a:gd name="T25" fmla="*/ -1675 h 4140"/>
                              <a:gd name="T26" fmla="*/ 9338 w 9390"/>
                              <a:gd name="T27" fmla="*/ -1687 h 4140"/>
                              <a:gd name="T28" fmla="*/ 30 w 9390"/>
                              <a:gd name="T29" fmla="*/ -1679 h 4140"/>
                              <a:gd name="T30" fmla="*/ 8 w 9390"/>
                              <a:gd name="T31" fmla="*/ -1657 h 4140"/>
                              <a:gd name="T32" fmla="*/ 0 w 9390"/>
                              <a:gd name="T33" fmla="*/ -847 h 4140"/>
                              <a:gd name="T34" fmla="*/ 8 w 9390"/>
                              <a:gd name="T35" fmla="*/ -817 h 4140"/>
                              <a:gd name="T36" fmla="*/ 30 w 9390"/>
                              <a:gd name="T37" fmla="*/ -795 h 4140"/>
                              <a:gd name="T38" fmla="*/ 9338 w 9390"/>
                              <a:gd name="T39" fmla="*/ -787 h 4140"/>
                              <a:gd name="T40" fmla="*/ 9367 w 9390"/>
                              <a:gd name="T41" fmla="*/ -799 h 4140"/>
                              <a:gd name="T42" fmla="*/ 9388 w 9390"/>
                              <a:gd name="T43" fmla="*/ -831 h 4140"/>
                              <a:gd name="T44" fmla="*/ 9390 w 9390"/>
                              <a:gd name="T45" fmla="*/ -2295 h 4140"/>
                              <a:gd name="T46" fmla="*/ 9378 w 9390"/>
                              <a:gd name="T47" fmla="*/ -2324 h 4140"/>
                              <a:gd name="T48" fmla="*/ 9346 w 9390"/>
                              <a:gd name="T49" fmla="*/ -2345 h 4140"/>
                              <a:gd name="T50" fmla="*/ 44 w 9390"/>
                              <a:gd name="T51" fmla="*/ -2345 h 4140"/>
                              <a:gd name="T52" fmla="*/ 12 w 9390"/>
                              <a:gd name="T53" fmla="*/ -2324 h 4140"/>
                              <a:gd name="T54" fmla="*/ 0 w 9390"/>
                              <a:gd name="T55" fmla="*/ -2295 h 4140"/>
                              <a:gd name="T56" fmla="*/ 2 w 9390"/>
                              <a:gd name="T57" fmla="*/ -1791 h 4140"/>
                              <a:gd name="T58" fmla="*/ 23 w 9390"/>
                              <a:gd name="T59" fmla="*/ -1759 h 4140"/>
                              <a:gd name="T60" fmla="*/ 52 w 9390"/>
                              <a:gd name="T61" fmla="*/ -1747 h 4140"/>
                              <a:gd name="T62" fmla="*/ 9360 w 9390"/>
                              <a:gd name="T63" fmla="*/ -1755 h 4140"/>
                              <a:gd name="T64" fmla="*/ 9382 w 9390"/>
                              <a:gd name="T65" fmla="*/ -1777 h 4140"/>
                              <a:gd name="T66" fmla="*/ 9390 w 9390"/>
                              <a:gd name="T67" fmla="*/ -2295 h 4140"/>
                              <a:gd name="T68" fmla="*/ 9382 w 9390"/>
                              <a:gd name="T69" fmla="*/ -2977 h 4140"/>
                              <a:gd name="T70" fmla="*/ 9360 w 9390"/>
                              <a:gd name="T71" fmla="*/ -2999 h 4140"/>
                              <a:gd name="T72" fmla="*/ 52 w 9390"/>
                              <a:gd name="T73" fmla="*/ -3007 h 4140"/>
                              <a:gd name="T74" fmla="*/ 23 w 9390"/>
                              <a:gd name="T75" fmla="*/ -2995 h 4140"/>
                              <a:gd name="T76" fmla="*/ 2 w 9390"/>
                              <a:gd name="T77" fmla="*/ -2963 h 4140"/>
                              <a:gd name="T78" fmla="*/ 0 w 9390"/>
                              <a:gd name="T79" fmla="*/ -2459 h 4140"/>
                              <a:gd name="T80" fmla="*/ 12 w 9390"/>
                              <a:gd name="T81" fmla="*/ -2430 h 4140"/>
                              <a:gd name="T82" fmla="*/ 44 w 9390"/>
                              <a:gd name="T83" fmla="*/ -2408 h 4140"/>
                              <a:gd name="T84" fmla="*/ 9346 w 9390"/>
                              <a:gd name="T85" fmla="*/ -2408 h 4140"/>
                              <a:gd name="T86" fmla="*/ 9378 w 9390"/>
                              <a:gd name="T87" fmla="*/ -2430 h 4140"/>
                              <a:gd name="T88" fmla="*/ 9390 w 9390"/>
                              <a:gd name="T89" fmla="*/ -2459 h 4140"/>
                              <a:gd name="T90" fmla="*/ 9388 w 9390"/>
                              <a:gd name="T91" fmla="*/ -4223 h 4140"/>
                              <a:gd name="T92" fmla="*/ 9367 w 9390"/>
                              <a:gd name="T93" fmla="*/ -4255 h 4140"/>
                              <a:gd name="T94" fmla="*/ 9338 w 9390"/>
                              <a:gd name="T95" fmla="*/ -4267 h 4140"/>
                              <a:gd name="T96" fmla="*/ 30 w 9390"/>
                              <a:gd name="T97" fmla="*/ -4259 h 4140"/>
                              <a:gd name="T98" fmla="*/ 8 w 9390"/>
                              <a:gd name="T99" fmla="*/ -4237 h 4140"/>
                              <a:gd name="T100" fmla="*/ 0 w 9390"/>
                              <a:gd name="T101" fmla="*/ -3127 h 4140"/>
                              <a:gd name="T102" fmla="*/ 8 w 9390"/>
                              <a:gd name="T103" fmla="*/ -3097 h 4140"/>
                              <a:gd name="T104" fmla="*/ 30 w 9390"/>
                              <a:gd name="T105" fmla="*/ -3075 h 4140"/>
                              <a:gd name="T106" fmla="*/ 9338 w 9390"/>
                              <a:gd name="T107" fmla="*/ -3067 h 4140"/>
                              <a:gd name="T108" fmla="*/ 9367 w 9390"/>
                              <a:gd name="T109" fmla="*/ -3079 h 4140"/>
                              <a:gd name="T110" fmla="*/ 9388 w 9390"/>
                              <a:gd name="T111" fmla="*/ -3111 h 4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390" h="4140">
                                <a:moveTo>
                                  <a:pt x="9390" y="3592"/>
                                </a:moveTo>
                                <a:lnTo>
                                  <a:pt x="9388" y="3584"/>
                                </a:lnTo>
                                <a:lnTo>
                                  <a:pt x="9382" y="3570"/>
                                </a:lnTo>
                                <a:lnTo>
                                  <a:pt x="9378" y="3563"/>
                                </a:lnTo>
                                <a:lnTo>
                                  <a:pt x="9367" y="3552"/>
                                </a:lnTo>
                                <a:lnTo>
                                  <a:pt x="9360" y="3548"/>
                                </a:lnTo>
                                <a:lnTo>
                                  <a:pt x="9346" y="3542"/>
                                </a:lnTo>
                                <a:lnTo>
                                  <a:pt x="9338" y="3540"/>
                                </a:lnTo>
                                <a:lnTo>
                                  <a:pt x="52" y="3540"/>
                                </a:lnTo>
                                <a:lnTo>
                                  <a:pt x="44" y="3542"/>
                                </a:lnTo>
                                <a:lnTo>
                                  <a:pt x="30" y="3548"/>
                                </a:lnTo>
                                <a:lnTo>
                                  <a:pt x="23" y="3552"/>
                                </a:lnTo>
                                <a:lnTo>
                                  <a:pt x="12" y="3563"/>
                                </a:lnTo>
                                <a:lnTo>
                                  <a:pt x="8" y="3570"/>
                                </a:lnTo>
                                <a:lnTo>
                                  <a:pt x="2" y="3584"/>
                                </a:lnTo>
                                <a:lnTo>
                                  <a:pt x="0" y="3592"/>
                                </a:lnTo>
                                <a:lnTo>
                                  <a:pt x="0" y="4080"/>
                                </a:lnTo>
                                <a:lnTo>
                                  <a:pt x="0" y="4088"/>
                                </a:lnTo>
                                <a:lnTo>
                                  <a:pt x="2" y="4096"/>
                                </a:lnTo>
                                <a:lnTo>
                                  <a:pt x="8" y="4110"/>
                                </a:lnTo>
                                <a:lnTo>
                                  <a:pt x="12" y="4117"/>
                                </a:lnTo>
                                <a:lnTo>
                                  <a:pt x="23" y="4128"/>
                                </a:lnTo>
                                <a:lnTo>
                                  <a:pt x="30" y="4132"/>
                                </a:lnTo>
                                <a:lnTo>
                                  <a:pt x="44" y="4139"/>
                                </a:lnTo>
                                <a:lnTo>
                                  <a:pt x="52" y="4140"/>
                                </a:lnTo>
                                <a:lnTo>
                                  <a:pt x="9338" y="4140"/>
                                </a:lnTo>
                                <a:lnTo>
                                  <a:pt x="9346" y="4139"/>
                                </a:lnTo>
                                <a:lnTo>
                                  <a:pt x="9360" y="4132"/>
                                </a:lnTo>
                                <a:lnTo>
                                  <a:pt x="9367" y="4128"/>
                                </a:lnTo>
                                <a:lnTo>
                                  <a:pt x="9378" y="4117"/>
                                </a:lnTo>
                                <a:lnTo>
                                  <a:pt x="9382" y="4110"/>
                                </a:lnTo>
                                <a:lnTo>
                                  <a:pt x="9388" y="4096"/>
                                </a:lnTo>
                                <a:lnTo>
                                  <a:pt x="9390" y="4088"/>
                                </a:lnTo>
                                <a:lnTo>
                                  <a:pt x="9390" y="3592"/>
                                </a:lnTo>
                                <a:close/>
                                <a:moveTo>
                                  <a:pt x="9390" y="2632"/>
                                </a:moveTo>
                                <a:lnTo>
                                  <a:pt x="9388" y="2624"/>
                                </a:lnTo>
                                <a:lnTo>
                                  <a:pt x="9382" y="2610"/>
                                </a:lnTo>
                                <a:lnTo>
                                  <a:pt x="9378" y="2603"/>
                                </a:lnTo>
                                <a:lnTo>
                                  <a:pt x="9367" y="2592"/>
                                </a:lnTo>
                                <a:lnTo>
                                  <a:pt x="9360" y="2588"/>
                                </a:lnTo>
                                <a:lnTo>
                                  <a:pt x="9346" y="2582"/>
                                </a:lnTo>
                                <a:lnTo>
                                  <a:pt x="9338" y="2580"/>
                                </a:lnTo>
                                <a:lnTo>
                                  <a:pt x="52" y="2580"/>
                                </a:lnTo>
                                <a:lnTo>
                                  <a:pt x="44" y="2582"/>
                                </a:lnTo>
                                <a:lnTo>
                                  <a:pt x="30" y="2588"/>
                                </a:lnTo>
                                <a:lnTo>
                                  <a:pt x="23" y="2592"/>
                                </a:lnTo>
                                <a:lnTo>
                                  <a:pt x="12" y="2603"/>
                                </a:lnTo>
                                <a:lnTo>
                                  <a:pt x="8" y="2610"/>
                                </a:lnTo>
                                <a:lnTo>
                                  <a:pt x="2" y="2624"/>
                                </a:lnTo>
                                <a:lnTo>
                                  <a:pt x="0" y="2632"/>
                                </a:lnTo>
                                <a:lnTo>
                                  <a:pt x="0" y="3420"/>
                                </a:lnTo>
                                <a:lnTo>
                                  <a:pt x="0" y="3428"/>
                                </a:lnTo>
                                <a:lnTo>
                                  <a:pt x="2" y="3436"/>
                                </a:lnTo>
                                <a:lnTo>
                                  <a:pt x="8" y="3450"/>
                                </a:lnTo>
                                <a:lnTo>
                                  <a:pt x="12" y="3457"/>
                                </a:lnTo>
                                <a:lnTo>
                                  <a:pt x="23" y="3468"/>
                                </a:lnTo>
                                <a:lnTo>
                                  <a:pt x="30" y="3472"/>
                                </a:lnTo>
                                <a:lnTo>
                                  <a:pt x="44" y="3478"/>
                                </a:lnTo>
                                <a:lnTo>
                                  <a:pt x="52" y="3480"/>
                                </a:lnTo>
                                <a:lnTo>
                                  <a:pt x="9338" y="3480"/>
                                </a:lnTo>
                                <a:lnTo>
                                  <a:pt x="9346" y="3478"/>
                                </a:lnTo>
                                <a:lnTo>
                                  <a:pt x="9360" y="3472"/>
                                </a:lnTo>
                                <a:lnTo>
                                  <a:pt x="9367" y="3468"/>
                                </a:lnTo>
                                <a:lnTo>
                                  <a:pt x="9378" y="3457"/>
                                </a:lnTo>
                                <a:lnTo>
                                  <a:pt x="9382" y="3450"/>
                                </a:lnTo>
                                <a:lnTo>
                                  <a:pt x="9388" y="3436"/>
                                </a:lnTo>
                                <a:lnTo>
                                  <a:pt x="9390" y="3428"/>
                                </a:lnTo>
                                <a:lnTo>
                                  <a:pt x="9390" y="2632"/>
                                </a:lnTo>
                                <a:close/>
                                <a:moveTo>
                                  <a:pt x="9390" y="1972"/>
                                </a:moveTo>
                                <a:lnTo>
                                  <a:pt x="9388" y="1964"/>
                                </a:lnTo>
                                <a:lnTo>
                                  <a:pt x="9382" y="1950"/>
                                </a:lnTo>
                                <a:lnTo>
                                  <a:pt x="9378" y="1943"/>
                                </a:lnTo>
                                <a:lnTo>
                                  <a:pt x="9367" y="1932"/>
                                </a:lnTo>
                                <a:lnTo>
                                  <a:pt x="9360" y="1928"/>
                                </a:lnTo>
                                <a:lnTo>
                                  <a:pt x="9346" y="1922"/>
                                </a:lnTo>
                                <a:lnTo>
                                  <a:pt x="9338" y="1920"/>
                                </a:lnTo>
                                <a:lnTo>
                                  <a:pt x="52" y="1920"/>
                                </a:lnTo>
                                <a:lnTo>
                                  <a:pt x="44" y="1922"/>
                                </a:lnTo>
                                <a:lnTo>
                                  <a:pt x="30" y="1928"/>
                                </a:lnTo>
                                <a:lnTo>
                                  <a:pt x="23" y="1932"/>
                                </a:lnTo>
                                <a:lnTo>
                                  <a:pt x="12" y="1943"/>
                                </a:lnTo>
                                <a:lnTo>
                                  <a:pt x="8" y="1950"/>
                                </a:lnTo>
                                <a:lnTo>
                                  <a:pt x="2" y="1964"/>
                                </a:lnTo>
                                <a:lnTo>
                                  <a:pt x="0" y="1972"/>
                                </a:lnTo>
                                <a:lnTo>
                                  <a:pt x="0" y="2460"/>
                                </a:lnTo>
                                <a:lnTo>
                                  <a:pt x="0" y="2468"/>
                                </a:lnTo>
                                <a:lnTo>
                                  <a:pt x="2" y="2476"/>
                                </a:lnTo>
                                <a:lnTo>
                                  <a:pt x="8" y="2490"/>
                                </a:lnTo>
                                <a:lnTo>
                                  <a:pt x="12" y="2497"/>
                                </a:lnTo>
                                <a:lnTo>
                                  <a:pt x="23" y="2508"/>
                                </a:lnTo>
                                <a:lnTo>
                                  <a:pt x="30" y="2512"/>
                                </a:lnTo>
                                <a:lnTo>
                                  <a:pt x="44" y="2519"/>
                                </a:lnTo>
                                <a:lnTo>
                                  <a:pt x="52" y="2520"/>
                                </a:lnTo>
                                <a:lnTo>
                                  <a:pt x="9338" y="2520"/>
                                </a:lnTo>
                                <a:lnTo>
                                  <a:pt x="9346" y="2519"/>
                                </a:lnTo>
                                <a:lnTo>
                                  <a:pt x="9360" y="2512"/>
                                </a:lnTo>
                                <a:lnTo>
                                  <a:pt x="9367" y="2508"/>
                                </a:lnTo>
                                <a:lnTo>
                                  <a:pt x="9378" y="2497"/>
                                </a:lnTo>
                                <a:lnTo>
                                  <a:pt x="9382" y="2490"/>
                                </a:lnTo>
                                <a:lnTo>
                                  <a:pt x="9388" y="2476"/>
                                </a:lnTo>
                                <a:lnTo>
                                  <a:pt x="9390" y="2468"/>
                                </a:lnTo>
                                <a:lnTo>
                                  <a:pt x="9390" y="1972"/>
                                </a:lnTo>
                                <a:close/>
                                <a:moveTo>
                                  <a:pt x="9390" y="1312"/>
                                </a:moveTo>
                                <a:lnTo>
                                  <a:pt x="9388" y="1304"/>
                                </a:lnTo>
                                <a:lnTo>
                                  <a:pt x="9382" y="1290"/>
                                </a:lnTo>
                                <a:lnTo>
                                  <a:pt x="9378" y="1283"/>
                                </a:lnTo>
                                <a:lnTo>
                                  <a:pt x="9367" y="1272"/>
                                </a:lnTo>
                                <a:lnTo>
                                  <a:pt x="9360" y="1268"/>
                                </a:lnTo>
                                <a:lnTo>
                                  <a:pt x="9346" y="1262"/>
                                </a:lnTo>
                                <a:lnTo>
                                  <a:pt x="9338" y="1260"/>
                                </a:lnTo>
                                <a:lnTo>
                                  <a:pt x="52" y="1260"/>
                                </a:lnTo>
                                <a:lnTo>
                                  <a:pt x="44" y="1262"/>
                                </a:lnTo>
                                <a:lnTo>
                                  <a:pt x="30" y="1268"/>
                                </a:lnTo>
                                <a:lnTo>
                                  <a:pt x="23" y="1272"/>
                                </a:lnTo>
                                <a:lnTo>
                                  <a:pt x="12" y="1283"/>
                                </a:lnTo>
                                <a:lnTo>
                                  <a:pt x="8" y="1290"/>
                                </a:lnTo>
                                <a:lnTo>
                                  <a:pt x="2" y="1304"/>
                                </a:lnTo>
                                <a:lnTo>
                                  <a:pt x="0" y="1312"/>
                                </a:lnTo>
                                <a:lnTo>
                                  <a:pt x="0" y="1800"/>
                                </a:lnTo>
                                <a:lnTo>
                                  <a:pt x="0" y="1808"/>
                                </a:lnTo>
                                <a:lnTo>
                                  <a:pt x="2" y="1816"/>
                                </a:lnTo>
                                <a:lnTo>
                                  <a:pt x="8" y="1830"/>
                                </a:lnTo>
                                <a:lnTo>
                                  <a:pt x="12" y="1837"/>
                                </a:lnTo>
                                <a:lnTo>
                                  <a:pt x="23" y="1848"/>
                                </a:lnTo>
                                <a:lnTo>
                                  <a:pt x="30" y="1852"/>
                                </a:lnTo>
                                <a:lnTo>
                                  <a:pt x="44" y="1859"/>
                                </a:lnTo>
                                <a:lnTo>
                                  <a:pt x="52" y="1860"/>
                                </a:lnTo>
                                <a:lnTo>
                                  <a:pt x="9338" y="1860"/>
                                </a:lnTo>
                                <a:lnTo>
                                  <a:pt x="9346" y="1859"/>
                                </a:lnTo>
                                <a:lnTo>
                                  <a:pt x="9360" y="1852"/>
                                </a:lnTo>
                                <a:lnTo>
                                  <a:pt x="9367" y="1848"/>
                                </a:lnTo>
                                <a:lnTo>
                                  <a:pt x="9378" y="1837"/>
                                </a:lnTo>
                                <a:lnTo>
                                  <a:pt x="9382" y="1830"/>
                                </a:lnTo>
                                <a:lnTo>
                                  <a:pt x="9388" y="1816"/>
                                </a:lnTo>
                                <a:lnTo>
                                  <a:pt x="9390" y="1808"/>
                                </a:lnTo>
                                <a:lnTo>
                                  <a:pt x="9390" y="1312"/>
                                </a:lnTo>
                                <a:close/>
                                <a:moveTo>
                                  <a:pt x="9390" y="52"/>
                                </a:moveTo>
                                <a:lnTo>
                                  <a:pt x="9388" y="44"/>
                                </a:lnTo>
                                <a:lnTo>
                                  <a:pt x="9382" y="30"/>
                                </a:lnTo>
                                <a:lnTo>
                                  <a:pt x="9378" y="23"/>
                                </a:lnTo>
                                <a:lnTo>
                                  <a:pt x="9367" y="12"/>
                                </a:lnTo>
                                <a:lnTo>
                                  <a:pt x="9360" y="8"/>
                                </a:lnTo>
                                <a:lnTo>
                                  <a:pt x="9346" y="2"/>
                                </a:lnTo>
                                <a:lnTo>
                                  <a:pt x="9338" y="0"/>
                                </a:lnTo>
                                <a:lnTo>
                                  <a:pt x="52" y="0"/>
                                </a:lnTo>
                                <a:lnTo>
                                  <a:pt x="44" y="2"/>
                                </a:lnTo>
                                <a:lnTo>
                                  <a:pt x="30" y="8"/>
                                </a:lnTo>
                                <a:lnTo>
                                  <a:pt x="23" y="12"/>
                                </a:lnTo>
                                <a:lnTo>
                                  <a:pt x="12" y="23"/>
                                </a:lnTo>
                                <a:lnTo>
                                  <a:pt x="8" y="30"/>
                                </a:lnTo>
                                <a:lnTo>
                                  <a:pt x="2" y="44"/>
                                </a:lnTo>
                                <a:lnTo>
                                  <a:pt x="0" y="52"/>
                                </a:lnTo>
                                <a:lnTo>
                                  <a:pt x="0" y="1140"/>
                                </a:lnTo>
                                <a:lnTo>
                                  <a:pt x="0" y="1148"/>
                                </a:lnTo>
                                <a:lnTo>
                                  <a:pt x="2" y="1156"/>
                                </a:lnTo>
                                <a:lnTo>
                                  <a:pt x="8" y="1170"/>
                                </a:lnTo>
                                <a:lnTo>
                                  <a:pt x="12" y="1177"/>
                                </a:lnTo>
                                <a:lnTo>
                                  <a:pt x="23" y="1188"/>
                                </a:lnTo>
                                <a:lnTo>
                                  <a:pt x="30" y="1192"/>
                                </a:lnTo>
                                <a:lnTo>
                                  <a:pt x="44" y="1198"/>
                                </a:lnTo>
                                <a:lnTo>
                                  <a:pt x="52" y="1200"/>
                                </a:lnTo>
                                <a:lnTo>
                                  <a:pt x="9338" y="1200"/>
                                </a:lnTo>
                                <a:lnTo>
                                  <a:pt x="9346" y="1198"/>
                                </a:lnTo>
                                <a:lnTo>
                                  <a:pt x="9360" y="1192"/>
                                </a:lnTo>
                                <a:lnTo>
                                  <a:pt x="9367" y="1188"/>
                                </a:lnTo>
                                <a:lnTo>
                                  <a:pt x="9378" y="1177"/>
                                </a:lnTo>
                                <a:lnTo>
                                  <a:pt x="9382" y="1170"/>
                                </a:lnTo>
                                <a:lnTo>
                                  <a:pt x="9388" y="1156"/>
                                </a:lnTo>
                                <a:lnTo>
                                  <a:pt x="9390" y="1148"/>
                                </a:lnTo>
                                <a:lnTo>
                                  <a:pt x="9390" y="52"/>
                                </a:lnTo>
                                <a:close/>
                              </a:path>
                            </a:pathLst>
                          </a:custGeom>
                          <a:solidFill>
                            <a:srgbClr val="FFFFFF"/>
                          </a:solidFill>
                          <a:ln>
                            <a:noFill/>
                          </a:ln>
                          <a:effectLst/>
                        </wps:spPr>
                        <wps:bodyPr rot="0" vert="horz" wrap="square" lIns="91440" tIns="45720" rIns="91440" bIns="45720" anchor="t" anchorCtr="0" upright="1">
                          <a:noAutofit/>
                        </wps:bodyPr>
                      </wps:wsp>
                      <wps:wsp>
                        <wps:cNvPr id="1458276078" name="Text Box 162"/>
                        <wps:cNvSpPr txBox="1">
                          <a:spLocks noChangeArrowheads="1"/>
                        </wps:cNvSpPr>
                        <wps:spPr bwMode="auto">
                          <a:xfrm>
                            <a:off x="1312" y="-4102"/>
                            <a:ext cx="8869" cy="1303"/>
                          </a:xfrm>
                          <a:prstGeom prst="rect">
                            <a:avLst/>
                          </a:prstGeom>
                          <a:noFill/>
                          <a:ln>
                            <a:noFill/>
                          </a:ln>
                          <a:effectLst/>
                        </wps:spPr>
                        <wps:txbx>
                          <w:txbxContent>
                            <w:p w14:paraId="6E830D6A">
                              <w:pPr>
                                <w:spacing w:line="285" w:lineRule="auto"/>
                                <w:ind w:right="15"/>
                                <w:jc w:val="both"/>
                              </w:pPr>
                              <w:r>
                                <w:rPr>
                                  <w:color w:val="202024"/>
                                </w:rPr>
                                <w:t>In</w:t>
                              </w:r>
                              <w:r>
                                <w:rPr>
                                  <w:color w:val="202024"/>
                                  <w:spacing w:val="10"/>
                                </w:rPr>
                                <w:t xml:space="preserve"> </w:t>
                              </w:r>
                              <w:r>
                                <w:rPr>
                                  <w:color w:val="202024"/>
                                </w:rPr>
                                <w:t>my</w:t>
                              </w:r>
                              <w:r>
                                <w:rPr>
                                  <w:color w:val="202024"/>
                                  <w:spacing w:val="11"/>
                                </w:rPr>
                                <w:t xml:space="preserve"> </w:t>
                              </w:r>
                              <w:r>
                                <w:rPr>
                                  <w:color w:val="202024"/>
                                </w:rPr>
                                <w:t>experience,</w:t>
                              </w:r>
                              <w:r>
                                <w:rPr>
                                  <w:color w:val="202024"/>
                                  <w:spacing w:val="10"/>
                                </w:rPr>
                                <w:t xml:space="preserve"> </w:t>
                              </w:r>
                              <w:r>
                                <w:rPr>
                                  <w:color w:val="202024"/>
                                </w:rPr>
                                <w:t>FIRS</w:t>
                              </w:r>
                              <w:r>
                                <w:rPr>
                                  <w:color w:val="202024"/>
                                  <w:spacing w:val="11"/>
                                </w:rPr>
                                <w:t xml:space="preserve"> </w:t>
                              </w:r>
                              <w:r>
                                <w:rPr>
                                  <w:color w:val="202024"/>
                                </w:rPr>
                                <w:t>circulars</w:t>
                              </w:r>
                              <w:r>
                                <w:rPr>
                                  <w:color w:val="202024"/>
                                  <w:spacing w:val="10"/>
                                </w:rPr>
                                <w:t xml:space="preserve"> </w:t>
                              </w:r>
                              <w:r>
                                <w:rPr>
                                  <w:color w:val="202024"/>
                                </w:rPr>
                                <w:t>often</w:t>
                              </w:r>
                              <w:r>
                                <w:rPr>
                                  <w:color w:val="202024"/>
                                  <w:spacing w:val="11"/>
                                </w:rPr>
                                <w:t xml:space="preserve"> </w:t>
                              </w:r>
                              <w:r>
                                <w:rPr>
                                  <w:color w:val="202024"/>
                                </w:rPr>
                                <w:t>provide</w:t>
                              </w:r>
                              <w:r>
                                <w:rPr>
                                  <w:color w:val="202024"/>
                                  <w:spacing w:val="11"/>
                                </w:rPr>
                                <w:t xml:space="preserve"> </w:t>
                              </w:r>
                              <w:r>
                                <w:rPr>
                                  <w:color w:val="202024"/>
                                </w:rPr>
                                <w:t>useful</w:t>
                              </w:r>
                              <w:r>
                                <w:rPr>
                                  <w:color w:val="202024"/>
                                  <w:spacing w:val="10"/>
                                </w:rPr>
                                <w:t xml:space="preserve"> </w:t>
                              </w:r>
                              <w:r>
                                <w:rPr>
                                  <w:color w:val="202024"/>
                                </w:rPr>
                                <w:t>guide</w:t>
                              </w:r>
                              <w:r>
                                <w:rPr>
                                  <w:color w:val="202024"/>
                                  <w:spacing w:val="11"/>
                                </w:rPr>
                                <w:t xml:space="preserve"> </w:t>
                              </w:r>
                              <w:r>
                                <w:rPr>
                                  <w:color w:val="202024"/>
                                </w:rPr>
                                <w:t>to</w:t>
                              </w:r>
                              <w:r>
                                <w:rPr>
                                  <w:color w:val="202024"/>
                                  <w:spacing w:val="10"/>
                                </w:rPr>
                                <w:t xml:space="preserve"> </w:t>
                              </w:r>
                              <w:r>
                                <w:rPr>
                                  <w:color w:val="202024"/>
                                </w:rPr>
                                <w:t>tax</w:t>
                              </w:r>
                              <w:r>
                                <w:rPr>
                                  <w:color w:val="202024"/>
                                  <w:spacing w:val="11"/>
                                </w:rPr>
                                <w:t xml:space="preserve"> </w:t>
                              </w:r>
                              <w:r>
                                <w:rPr>
                                  <w:color w:val="202024"/>
                                </w:rPr>
                                <w:t>practitioners</w:t>
                              </w:r>
                              <w:r>
                                <w:rPr>
                                  <w:color w:val="202024"/>
                                  <w:spacing w:val="11"/>
                                </w:rPr>
                                <w:t xml:space="preserve"> </w:t>
                              </w:r>
                              <w:r>
                                <w:rPr>
                                  <w:color w:val="202024"/>
                                </w:rPr>
                                <w:t>in</w:t>
                              </w:r>
                              <w:r>
                                <w:rPr>
                                  <w:color w:val="202024"/>
                                  <w:spacing w:val="10"/>
                                </w:rPr>
                                <w:t xml:space="preserve"> </w:t>
                              </w:r>
                              <w:r>
                                <w:rPr>
                                  <w:color w:val="202024"/>
                                </w:rPr>
                                <w:t>interpreting</w:t>
                              </w:r>
                              <w:r>
                                <w:rPr>
                                  <w:color w:val="202024"/>
                                  <w:spacing w:val="-49"/>
                                </w:rPr>
                                <w:t xml:space="preserve"> </w:t>
                              </w:r>
                              <w:r>
                                <w:rPr>
                                  <w:color w:val="202024"/>
                                </w:rPr>
                                <w:t>certain</w:t>
                              </w:r>
                              <w:r>
                                <w:rPr>
                                  <w:color w:val="202024"/>
                                  <w:spacing w:val="10"/>
                                </w:rPr>
                                <w:t xml:space="preserve"> </w:t>
                              </w:r>
                              <w:r>
                                <w:rPr>
                                  <w:color w:val="202024"/>
                                </w:rPr>
                                <w:t>ambiguous</w:t>
                              </w:r>
                              <w:r>
                                <w:rPr>
                                  <w:color w:val="202024"/>
                                  <w:spacing w:val="10"/>
                                </w:rPr>
                                <w:t xml:space="preserve"> </w:t>
                              </w:r>
                              <w:r>
                                <w:rPr>
                                  <w:color w:val="202024"/>
                                </w:rPr>
                                <w:t>provisions</w:t>
                              </w:r>
                              <w:r>
                                <w:rPr>
                                  <w:color w:val="202024"/>
                                  <w:spacing w:val="10"/>
                                </w:rPr>
                                <w:t xml:space="preserve"> </w:t>
                              </w:r>
                              <w:r>
                                <w:rPr>
                                  <w:color w:val="202024"/>
                                </w:rPr>
                                <w:t>of</w:t>
                              </w:r>
                              <w:r>
                                <w:rPr>
                                  <w:color w:val="202024"/>
                                  <w:spacing w:val="10"/>
                                </w:rPr>
                                <w:t xml:space="preserve"> </w:t>
                              </w:r>
                              <w:r>
                                <w:rPr>
                                  <w:color w:val="202024"/>
                                </w:rPr>
                                <w:t>the</w:t>
                              </w:r>
                              <w:r>
                                <w:rPr>
                                  <w:color w:val="202024"/>
                                  <w:spacing w:val="10"/>
                                </w:rPr>
                                <w:t xml:space="preserve"> </w:t>
                              </w:r>
                              <w:r>
                                <w:rPr>
                                  <w:color w:val="202024"/>
                                </w:rPr>
                                <w:t>tax</w:t>
                              </w:r>
                              <w:r>
                                <w:rPr>
                                  <w:color w:val="202024"/>
                                  <w:spacing w:val="10"/>
                                </w:rPr>
                                <w:t xml:space="preserve"> </w:t>
                              </w:r>
                              <w:r>
                                <w:rPr>
                                  <w:color w:val="202024"/>
                                </w:rPr>
                                <w:t>legislation</w:t>
                              </w:r>
                              <w:r>
                                <w:rPr>
                                  <w:color w:val="202024"/>
                                  <w:spacing w:val="10"/>
                                </w:rPr>
                                <w:t xml:space="preserve"> </w:t>
                              </w:r>
                              <w:r>
                                <w:rPr>
                                  <w:color w:val="202024"/>
                                </w:rPr>
                                <w:t>and</w:t>
                              </w:r>
                              <w:r>
                                <w:rPr>
                                  <w:color w:val="202024"/>
                                  <w:spacing w:val="10"/>
                                </w:rPr>
                                <w:t xml:space="preserve"> </w:t>
                              </w:r>
                              <w:r>
                                <w:rPr>
                                  <w:color w:val="202024"/>
                                </w:rPr>
                                <w:t>the</w:t>
                              </w:r>
                              <w:r>
                                <w:rPr>
                                  <w:color w:val="202024"/>
                                  <w:spacing w:val="10"/>
                                </w:rPr>
                                <w:t xml:space="preserve"> </w:t>
                              </w:r>
                              <w:r>
                                <w:rPr>
                                  <w:color w:val="202024"/>
                                </w:rPr>
                                <w:t>practice</w:t>
                              </w:r>
                              <w:r>
                                <w:rPr>
                                  <w:color w:val="202024"/>
                                  <w:spacing w:val="10"/>
                                </w:rPr>
                                <w:t xml:space="preserve"> </w:t>
                              </w:r>
                              <w:r>
                                <w:rPr>
                                  <w:color w:val="202024"/>
                                </w:rPr>
                                <w:t>has</w:t>
                              </w:r>
                              <w:r>
                                <w:rPr>
                                  <w:color w:val="202024"/>
                                  <w:spacing w:val="10"/>
                                </w:rPr>
                                <w:t xml:space="preserve"> </w:t>
                              </w:r>
                              <w:r>
                                <w:rPr>
                                  <w:color w:val="202024"/>
                                </w:rPr>
                                <w:t>offered</w:t>
                              </w:r>
                              <w:r>
                                <w:rPr>
                                  <w:color w:val="202024"/>
                                  <w:spacing w:val="10"/>
                                </w:rPr>
                                <w:t xml:space="preserve"> </w:t>
                              </w:r>
                              <w:r>
                                <w:rPr>
                                  <w:color w:val="202024"/>
                                </w:rPr>
                                <w:t>utility</w:t>
                              </w:r>
                              <w:r>
                                <w:rPr>
                                  <w:color w:val="202024"/>
                                  <w:spacing w:val="10"/>
                                </w:rPr>
                                <w:t xml:space="preserve"> </w:t>
                              </w:r>
                              <w:r>
                                <w:rPr>
                                  <w:color w:val="202024"/>
                                </w:rPr>
                                <w:t>to</w:t>
                              </w:r>
                              <w:r>
                                <w:rPr>
                                  <w:color w:val="202024"/>
                                  <w:spacing w:val="10"/>
                                </w:rPr>
                                <w:t xml:space="preserve"> </w:t>
                              </w:r>
                              <w:r>
                                <w:rPr>
                                  <w:color w:val="202024"/>
                                </w:rPr>
                                <w:t>tax</w:t>
                              </w:r>
                            </w:p>
                            <w:p w14:paraId="34A68DED">
                              <w:pPr>
                                <w:spacing w:line="251" w:lineRule="exact"/>
                                <w:jc w:val="both"/>
                              </w:pPr>
                              <w:r>
                                <w:rPr>
                                  <w:color w:val="202024"/>
                                </w:rPr>
                                <w:t>interpretation</w:t>
                              </w:r>
                              <w:r>
                                <w:rPr>
                                  <w:color w:val="202024"/>
                                  <w:spacing w:val="11"/>
                                </w:rPr>
                                <w:t xml:space="preserve"> </w:t>
                              </w:r>
                              <w:r>
                                <w:rPr>
                                  <w:color w:val="202024"/>
                                </w:rPr>
                                <w:t>space</w:t>
                              </w:r>
                              <w:r>
                                <w:rPr>
                                  <w:color w:val="202024"/>
                                  <w:spacing w:val="12"/>
                                </w:rPr>
                                <w:t xml:space="preserve"> </w:t>
                              </w:r>
                              <w:r>
                                <w:rPr>
                                  <w:color w:val="202024"/>
                                </w:rPr>
                                <w:t>which,</w:t>
                              </w:r>
                              <w:r>
                                <w:rPr>
                                  <w:color w:val="202024"/>
                                  <w:spacing w:val="12"/>
                                </w:rPr>
                                <w:t xml:space="preserve"> </w:t>
                              </w:r>
                              <w:r>
                                <w:rPr>
                                  <w:color w:val="202024"/>
                                </w:rPr>
                                <w:t>I</w:t>
                              </w:r>
                              <w:r>
                                <w:rPr>
                                  <w:color w:val="202024"/>
                                  <w:spacing w:val="12"/>
                                </w:rPr>
                                <w:t xml:space="preserve"> </w:t>
                              </w:r>
                              <w:r>
                                <w:rPr>
                                  <w:color w:val="202024"/>
                                </w:rPr>
                                <w:t>believe,</w:t>
                              </w:r>
                              <w:r>
                                <w:rPr>
                                  <w:color w:val="202024"/>
                                  <w:spacing w:val="12"/>
                                </w:rPr>
                                <w:t xml:space="preserve"> </w:t>
                              </w:r>
                              <w:r>
                                <w:rPr>
                                  <w:color w:val="202024"/>
                                </w:rPr>
                                <w:t>should</w:t>
                              </w:r>
                              <w:r>
                                <w:rPr>
                                  <w:color w:val="202024"/>
                                  <w:spacing w:val="12"/>
                                </w:rPr>
                                <w:t xml:space="preserve"> </w:t>
                              </w:r>
                              <w:r>
                                <w:rPr>
                                  <w:color w:val="202024"/>
                                </w:rPr>
                                <w:t>be</w:t>
                              </w:r>
                              <w:r>
                                <w:rPr>
                                  <w:color w:val="202024"/>
                                  <w:spacing w:val="11"/>
                                </w:rPr>
                                <w:t xml:space="preserve"> </w:t>
                              </w:r>
                              <w:r>
                                <w:rPr>
                                  <w:color w:val="202024"/>
                                </w:rPr>
                                <w:t>continued.</w:t>
                              </w:r>
                            </w:p>
                          </w:txbxContent>
                        </wps:txbx>
                        <wps:bodyPr rot="0" vert="horz" wrap="square" lIns="0" tIns="0" rIns="0" bIns="0" anchor="t" anchorCtr="0" upright="1">
                          <a:noAutofit/>
                        </wps:bodyPr>
                      </wps:wsp>
                      <wps:wsp>
                        <wps:cNvPr id="667440124" name="Text Box 161"/>
                        <wps:cNvSpPr txBox="1">
                          <a:spLocks noChangeArrowheads="1"/>
                        </wps:cNvSpPr>
                        <wps:spPr bwMode="auto">
                          <a:xfrm>
                            <a:off x="1312" y="-2842"/>
                            <a:ext cx="7906" cy="247"/>
                          </a:xfrm>
                          <a:prstGeom prst="rect">
                            <a:avLst/>
                          </a:prstGeom>
                          <a:noFill/>
                          <a:ln>
                            <a:noFill/>
                          </a:ln>
                          <a:effectLst/>
                        </wps:spPr>
                        <wps:txbx>
                          <w:txbxContent>
                            <w:p w14:paraId="25CAF0C3">
                              <w:pPr>
                                <w:spacing w:line="246" w:lineRule="exact"/>
                              </w:pPr>
                              <w:r>
                                <w:rPr>
                                  <w:color w:val="202024"/>
                                </w:rPr>
                                <w:t>The</w:t>
                              </w:r>
                              <w:r>
                                <w:rPr>
                                  <w:color w:val="202024"/>
                                  <w:spacing w:val="10"/>
                                </w:rPr>
                                <w:t xml:space="preserve"> </w:t>
                              </w:r>
                              <w:r>
                                <w:rPr>
                                  <w:color w:val="202024"/>
                                </w:rPr>
                                <w:t>two</w:t>
                              </w:r>
                              <w:r>
                                <w:rPr>
                                  <w:color w:val="202024"/>
                                  <w:spacing w:val="10"/>
                                </w:rPr>
                                <w:t xml:space="preserve"> </w:t>
                              </w:r>
                              <w:r>
                                <w:rPr>
                                  <w:color w:val="202024"/>
                                </w:rPr>
                                <w:t>tier</w:t>
                              </w:r>
                              <w:r>
                                <w:rPr>
                                  <w:color w:val="202024"/>
                                  <w:spacing w:val="10"/>
                                </w:rPr>
                                <w:t xml:space="preserve"> </w:t>
                              </w:r>
                              <w:r>
                                <w:rPr>
                                  <w:color w:val="202024"/>
                                </w:rPr>
                                <w:t>regime</w:t>
                              </w:r>
                              <w:r>
                                <w:rPr>
                                  <w:color w:val="202024"/>
                                  <w:spacing w:val="10"/>
                                </w:rPr>
                                <w:t xml:space="preserve"> </w:t>
                              </w:r>
                              <w:r>
                                <w:rPr>
                                  <w:color w:val="202024"/>
                                </w:rPr>
                                <w:t>introduced</w:t>
                              </w:r>
                              <w:r>
                                <w:rPr>
                                  <w:color w:val="202024"/>
                                  <w:spacing w:val="10"/>
                                </w:rPr>
                                <w:t xml:space="preserve"> </w:t>
                              </w:r>
                              <w:r>
                                <w:rPr>
                                  <w:color w:val="202024"/>
                                </w:rPr>
                                <w:t>in</w:t>
                              </w:r>
                              <w:r>
                                <w:rPr>
                                  <w:color w:val="202024"/>
                                  <w:spacing w:val="10"/>
                                </w:rPr>
                                <w:t xml:space="preserve"> </w:t>
                              </w:r>
                              <w:r>
                                <w:rPr>
                                  <w:color w:val="202024"/>
                                </w:rPr>
                                <w:t>the</w:t>
                              </w:r>
                              <w:r>
                                <w:rPr>
                                  <w:color w:val="202024"/>
                                  <w:spacing w:val="10"/>
                                </w:rPr>
                                <w:t xml:space="preserve"> </w:t>
                              </w:r>
                              <w:r>
                                <w:rPr>
                                  <w:color w:val="202024"/>
                                </w:rPr>
                                <w:t>PIA</w:t>
                              </w:r>
                              <w:r>
                                <w:rPr>
                                  <w:color w:val="202024"/>
                                  <w:spacing w:val="10"/>
                                </w:rPr>
                                <w:t xml:space="preserve"> </w:t>
                              </w:r>
                              <w:r>
                                <w:rPr>
                                  <w:color w:val="202024"/>
                                </w:rPr>
                                <w:t>creates</w:t>
                              </w:r>
                              <w:r>
                                <w:rPr>
                                  <w:color w:val="202024"/>
                                  <w:spacing w:val="10"/>
                                </w:rPr>
                                <w:t xml:space="preserve"> </w:t>
                              </w:r>
                              <w:r>
                                <w:rPr>
                                  <w:color w:val="202024"/>
                                </w:rPr>
                                <w:t>more</w:t>
                              </w:r>
                              <w:r>
                                <w:rPr>
                                  <w:color w:val="202024"/>
                                  <w:spacing w:val="10"/>
                                </w:rPr>
                                <w:t xml:space="preserve"> </w:t>
                              </w:r>
                              <w:r>
                                <w:rPr>
                                  <w:color w:val="202024"/>
                                </w:rPr>
                                <w:t>complexity</w:t>
                              </w:r>
                              <w:r>
                                <w:rPr>
                                  <w:color w:val="202024"/>
                                  <w:spacing w:val="10"/>
                                </w:rPr>
                                <w:t xml:space="preserve"> </w:t>
                              </w:r>
                              <w:r>
                                <w:rPr>
                                  <w:color w:val="202024"/>
                                </w:rPr>
                                <w:t>and</w:t>
                              </w:r>
                              <w:r>
                                <w:rPr>
                                  <w:color w:val="202024"/>
                                  <w:spacing w:val="10"/>
                                </w:rPr>
                                <w:t xml:space="preserve"> </w:t>
                              </w:r>
                              <w:r>
                                <w:rPr>
                                  <w:color w:val="202024"/>
                                </w:rPr>
                                <w:t>less</w:t>
                              </w:r>
                              <w:r>
                                <w:rPr>
                                  <w:color w:val="202024"/>
                                  <w:spacing w:val="10"/>
                                </w:rPr>
                                <w:t xml:space="preserve"> </w:t>
                              </w:r>
                              <w:r>
                                <w:rPr>
                                  <w:color w:val="202024"/>
                                </w:rPr>
                                <w:t>clarity.</w:t>
                              </w:r>
                            </w:p>
                          </w:txbxContent>
                        </wps:txbx>
                        <wps:bodyPr rot="0" vert="horz" wrap="square" lIns="0" tIns="0" rIns="0" bIns="0" anchor="t" anchorCtr="0" upright="1">
                          <a:noAutofit/>
                        </wps:bodyPr>
                      </wps:wsp>
                      <wps:wsp>
                        <wps:cNvPr id="877633239" name="Text Box 160"/>
                        <wps:cNvSpPr txBox="1">
                          <a:spLocks noChangeArrowheads="1"/>
                        </wps:cNvSpPr>
                        <wps:spPr bwMode="auto">
                          <a:xfrm>
                            <a:off x="1312" y="-2182"/>
                            <a:ext cx="492" cy="247"/>
                          </a:xfrm>
                          <a:prstGeom prst="rect">
                            <a:avLst/>
                          </a:prstGeom>
                          <a:noFill/>
                          <a:ln>
                            <a:noFill/>
                          </a:ln>
                          <a:effectLst/>
                        </wps:spPr>
                        <wps:txbx>
                          <w:txbxContent>
                            <w:p w14:paraId="4676EC55">
                              <w:pPr>
                                <w:spacing w:line="246" w:lineRule="exact"/>
                              </w:pPr>
                              <w:r>
                                <w:rPr>
                                  <w:color w:val="202024"/>
                                </w:rPr>
                                <w:t>none</w:t>
                              </w:r>
                            </w:p>
                          </w:txbxContent>
                        </wps:txbx>
                        <wps:bodyPr rot="0" vert="horz" wrap="square" lIns="0" tIns="0" rIns="0" bIns="0" anchor="t" anchorCtr="0" upright="1">
                          <a:noAutofit/>
                        </wps:bodyPr>
                      </wps:wsp>
                      <wps:wsp>
                        <wps:cNvPr id="398392899" name="Text Box 159"/>
                        <wps:cNvSpPr txBox="1">
                          <a:spLocks noChangeArrowheads="1"/>
                        </wps:cNvSpPr>
                        <wps:spPr bwMode="auto">
                          <a:xfrm>
                            <a:off x="1312" y="-1522"/>
                            <a:ext cx="8256" cy="547"/>
                          </a:xfrm>
                          <a:prstGeom prst="rect">
                            <a:avLst/>
                          </a:prstGeom>
                          <a:noFill/>
                          <a:ln>
                            <a:noFill/>
                          </a:ln>
                          <a:effectLst/>
                        </wps:spPr>
                        <wps:txbx>
                          <w:txbxContent>
                            <w:p w14:paraId="7444A3A6">
                              <w:pPr>
                                <w:spacing w:line="247" w:lineRule="exact"/>
                              </w:pPr>
                              <w:r>
                                <w:rPr>
                                  <w:color w:val="202024"/>
                                </w:rPr>
                                <w:t>sometimes</w:t>
                              </w:r>
                              <w:r>
                                <w:rPr>
                                  <w:color w:val="202024"/>
                                  <w:spacing w:val="11"/>
                                </w:rPr>
                                <w:t xml:space="preserve"> </w:t>
                              </w:r>
                              <w:r>
                                <w:rPr>
                                  <w:color w:val="202024"/>
                                </w:rPr>
                                <w:t>the</w:t>
                              </w:r>
                              <w:r>
                                <w:rPr>
                                  <w:color w:val="202024"/>
                                  <w:spacing w:val="12"/>
                                </w:rPr>
                                <w:t xml:space="preserve"> </w:t>
                              </w:r>
                              <w:r>
                                <w:rPr>
                                  <w:color w:val="202024"/>
                                </w:rPr>
                                <w:t>FIRS</w:t>
                              </w:r>
                              <w:r>
                                <w:rPr>
                                  <w:color w:val="202024"/>
                                  <w:spacing w:val="12"/>
                                </w:rPr>
                                <w:t xml:space="preserve"> </w:t>
                              </w:r>
                              <w:r>
                                <w:rPr>
                                  <w:color w:val="202024"/>
                                </w:rPr>
                                <w:t>circulars</w:t>
                              </w:r>
                              <w:r>
                                <w:rPr>
                                  <w:color w:val="202024"/>
                                  <w:spacing w:val="12"/>
                                </w:rPr>
                                <w:t xml:space="preserve"> </w:t>
                              </w:r>
                              <w:r>
                                <w:rPr>
                                  <w:color w:val="202024"/>
                                </w:rPr>
                                <w:t>and</w:t>
                              </w:r>
                              <w:r>
                                <w:rPr>
                                  <w:color w:val="202024"/>
                                  <w:spacing w:val="12"/>
                                </w:rPr>
                                <w:t xml:space="preserve"> </w:t>
                              </w:r>
                              <w:r>
                                <w:rPr>
                                  <w:color w:val="202024"/>
                                </w:rPr>
                                <w:t>guidelines</w:t>
                              </w:r>
                              <w:r>
                                <w:rPr>
                                  <w:color w:val="202024"/>
                                  <w:spacing w:val="12"/>
                                </w:rPr>
                                <w:t xml:space="preserve"> </w:t>
                              </w:r>
                              <w:r>
                                <w:rPr>
                                  <w:color w:val="202024"/>
                                </w:rPr>
                                <w:t>add</w:t>
                              </w:r>
                              <w:r>
                                <w:rPr>
                                  <w:color w:val="202024"/>
                                  <w:spacing w:val="11"/>
                                </w:rPr>
                                <w:t xml:space="preserve"> </w:t>
                              </w:r>
                              <w:r>
                                <w:rPr>
                                  <w:color w:val="202024"/>
                                </w:rPr>
                                <w:t>to</w:t>
                              </w:r>
                              <w:r>
                                <w:rPr>
                                  <w:color w:val="202024"/>
                                  <w:spacing w:val="12"/>
                                </w:rPr>
                                <w:t xml:space="preserve"> </w:t>
                              </w:r>
                              <w:r>
                                <w:rPr>
                                  <w:color w:val="202024"/>
                                </w:rPr>
                                <w:t>the</w:t>
                              </w:r>
                              <w:r>
                                <w:rPr>
                                  <w:color w:val="202024"/>
                                  <w:spacing w:val="12"/>
                                </w:rPr>
                                <w:t xml:space="preserve"> </w:t>
                              </w:r>
                              <w:r>
                                <w:rPr>
                                  <w:color w:val="202024"/>
                                </w:rPr>
                                <w:t>confusion;</w:t>
                              </w:r>
                              <w:r>
                                <w:rPr>
                                  <w:color w:val="202024"/>
                                  <w:spacing w:val="12"/>
                                </w:rPr>
                                <w:t xml:space="preserve"> </w:t>
                              </w:r>
                              <w:r>
                                <w:rPr>
                                  <w:color w:val="202024"/>
                                </w:rPr>
                                <w:t>sometimes</w:t>
                              </w:r>
                              <w:r>
                                <w:rPr>
                                  <w:color w:val="202024"/>
                                  <w:spacing w:val="12"/>
                                </w:rPr>
                                <w:t xml:space="preserve"> </w:t>
                              </w:r>
                              <w:r>
                                <w:rPr>
                                  <w:color w:val="202024"/>
                                </w:rPr>
                                <w:t>contain</w:t>
                              </w:r>
                            </w:p>
                            <w:p w14:paraId="08471629">
                              <w:pPr>
                                <w:spacing w:before="48" w:line="251" w:lineRule="exact"/>
                              </w:pPr>
                              <w:r>
                                <w:rPr>
                                  <w:color w:val="202024"/>
                                </w:rPr>
                                <w:t>ambiguous</w:t>
                              </w:r>
                              <w:r>
                                <w:rPr>
                                  <w:color w:val="202024"/>
                                  <w:spacing w:val="10"/>
                                </w:rPr>
                                <w:t xml:space="preserve"> </w:t>
                              </w:r>
                              <w:r>
                                <w:rPr>
                                  <w:color w:val="202024"/>
                                </w:rPr>
                                <w:t>languages</w:t>
                              </w:r>
                              <w:r>
                                <w:rPr>
                                  <w:color w:val="202024"/>
                                  <w:spacing w:val="10"/>
                                </w:rPr>
                                <w:t xml:space="preserve"> </w:t>
                              </w:r>
                              <w:r>
                                <w:rPr>
                                  <w:color w:val="202024"/>
                                </w:rPr>
                                <w:t>and</w:t>
                              </w:r>
                              <w:r>
                                <w:rPr>
                                  <w:color w:val="202024"/>
                                  <w:spacing w:val="10"/>
                                </w:rPr>
                                <w:t xml:space="preserve"> </w:t>
                              </w:r>
                              <w:r>
                                <w:rPr>
                                  <w:color w:val="202024"/>
                                </w:rPr>
                                <w:t>lack</w:t>
                              </w:r>
                              <w:r>
                                <w:rPr>
                                  <w:color w:val="202024"/>
                                  <w:spacing w:val="10"/>
                                </w:rPr>
                                <w:t xml:space="preserve"> </w:t>
                              </w:r>
                              <w:r>
                                <w:rPr>
                                  <w:color w:val="202024"/>
                                </w:rPr>
                                <w:t>clarity</w:t>
                              </w:r>
                            </w:p>
                          </w:txbxContent>
                        </wps:txbx>
                        <wps:bodyPr rot="0" vert="horz" wrap="square" lIns="0" tIns="0" rIns="0" bIns="0" anchor="t" anchorCtr="0" upright="1">
                          <a:noAutofit/>
                        </wps:bodyPr>
                      </wps:wsp>
                      <wps:wsp>
                        <wps:cNvPr id="717920853" name="Text Box 158"/>
                        <wps:cNvSpPr txBox="1">
                          <a:spLocks noChangeArrowheads="1"/>
                        </wps:cNvSpPr>
                        <wps:spPr bwMode="auto">
                          <a:xfrm>
                            <a:off x="1312" y="-562"/>
                            <a:ext cx="6411" cy="247"/>
                          </a:xfrm>
                          <a:prstGeom prst="rect">
                            <a:avLst/>
                          </a:prstGeom>
                          <a:noFill/>
                          <a:ln>
                            <a:noFill/>
                          </a:ln>
                          <a:effectLst/>
                        </wps:spPr>
                        <wps:txbx>
                          <w:txbxContent>
                            <w:p w14:paraId="250E69C9">
                              <w:pPr>
                                <w:spacing w:line="246" w:lineRule="exact"/>
                              </w:pPr>
                              <w:r>
                                <w:rPr>
                                  <w:color w:val="202024"/>
                                  <w:sz w:val="21"/>
                                </w:rPr>
                                <w:t>F</w:t>
                              </w:r>
                              <w:r>
                                <w:rPr>
                                  <w:color w:val="202024"/>
                                </w:rPr>
                                <w:t>IRS</w:t>
                              </w:r>
                              <w:r>
                                <w:rPr>
                                  <w:color w:val="202024"/>
                                  <w:spacing w:val="11"/>
                                </w:rPr>
                                <w:t xml:space="preserve"> </w:t>
                              </w:r>
                              <w:r>
                                <w:rPr>
                                  <w:color w:val="202024"/>
                                </w:rPr>
                                <w:t>Circulars</w:t>
                              </w:r>
                              <w:r>
                                <w:rPr>
                                  <w:color w:val="202024"/>
                                  <w:spacing w:val="11"/>
                                </w:rPr>
                                <w:t xml:space="preserve"> </w:t>
                              </w:r>
                              <w:r>
                                <w:rPr>
                                  <w:color w:val="202024"/>
                                </w:rPr>
                                <w:t>are</w:t>
                              </w:r>
                              <w:r>
                                <w:rPr>
                                  <w:color w:val="202024"/>
                                  <w:spacing w:val="11"/>
                                </w:rPr>
                                <w:t xml:space="preserve"> </w:t>
                              </w:r>
                              <w:r>
                                <w:rPr>
                                  <w:color w:val="202024"/>
                                </w:rPr>
                                <w:t>not</w:t>
                              </w:r>
                              <w:r>
                                <w:rPr>
                                  <w:color w:val="202024"/>
                                  <w:spacing w:val="11"/>
                                </w:rPr>
                                <w:t xml:space="preserve"> </w:t>
                              </w:r>
                              <w:r>
                                <w:rPr>
                                  <w:color w:val="202024"/>
                                </w:rPr>
                                <w:t>law</w:t>
                              </w:r>
                              <w:r>
                                <w:rPr>
                                  <w:color w:val="202024"/>
                                  <w:spacing w:val="11"/>
                                </w:rPr>
                                <w:t xml:space="preserve"> </w:t>
                              </w:r>
                              <w:r>
                                <w:rPr>
                                  <w:color w:val="202024"/>
                                </w:rPr>
                                <w:t>and</w:t>
                              </w:r>
                              <w:r>
                                <w:rPr>
                                  <w:color w:val="202024"/>
                                  <w:spacing w:val="11"/>
                                </w:rPr>
                                <w:t xml:space="preserve"> </w:t>
                              </w:r>
                              <w:r>
                                <w:rPr>
                                  <w:color w:val="202024"/>
                                </w:rPr>
                                <w:t>do</w:t>
                              </w:r>
                              <w:r>
                                <w:rPr>
                                  <w:color w:val="202024"/>
                                  <w:spacing w:val="11"/>
                                </w:rPr>
                                <w:t xml:space="preserve"> </w:t>
                              </w:r>
                              <w:r>
                                <w:rPr>
                                  <w:color w:val="202024"/>
                                </w:rPr>
                                <w:t>not</w:t>
                              </w:r>
                              <w:r>
                                <w:rPr>
                                  <w:color w:val="202024"/>
                                  <w:spacing w:val="11"/>
                                </w:rPr>
                                <w:t xml:space="preserve"> </w:t>
                              </w:r>
                              <w:r>
                                <w:rPr>
                                  <w:color w:val="202024"/>
                                </w:rPr>
                                <w:t>create</w:t>
                              </w:r>
                              <w:r>
                                <w:rPr>
                                  <w:color w:val="202024"/>
                                  <w:spacing w:val="11"/>
                                </w:rPr>
                                <w:t xml:space="preserve"> </w:t>
                              </w:r>
                              <w:r>
                                <w:rPr>
                                  <w:color w:val="202024"/>
                                </w:rPr>
                                <w:t>legitimate</w:t>
                              </w:r>
                              <w:r>
                                <w:rPr>
                                  <w:color w:val="202024"/>
                                  <w:spacing w:val="11"/>
                                </w:rPr>
                                <w:t xml:space="preserve"> </w:t>
                              </w:r>
                              <w:r>
                                <w:rPr>
                                  <w:color w:val="202024"/>
                                </w:rPr>
                                <w:t>expectation</w:t>
                              </w:r>
                            </w:p>
                          </w:txbxContent>
                        </wps:txbx>
                        <wps:bodyPr rot="0" vert="horz" wrap="square" lIns="0" tIns="0" rIns="0" bIns="0" anchor="t" anchorCtr="0" upright="1">
                          <a:noAutofit/>
                        </wps:bodyPr>
                      </wps:wsp>
                    </wpg:wgp>
                  </a:graphicData>
                </a:graphic>
              </wp:anchor>
            </w:drawing>
          </mc:Choice>
          <mc:Fallback>
            <w:pict>
              <v:group id="Group 157" o:spid="_x0000_s1026" o:spt="203" style="position:absolute;left:0pt;margin-left:57.6pt;margin-top:5.75pt;height:207.75pt;width:480pt;mso-position-horizontal-relative:page;z-index:251720704;mso-width-relative:page;mso-height-relative:page;" coordorigin="1154,-4267" coordsize="9600,4155" o:gfxdata="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">
                <o:lock v:ext="edit" aspectratio="f"/>
                <v:shape id="Freeform 164" o:spid="_x0000_s1026" o:spt="100" style="position:absolute;left:1154;top:-4267;height:4155;width:9600;" fillcolor="#D9DBDF" filled="t" stroked="f" coordsize="9600,4155" o:gfxdata="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wTQ&#10;vMEAAADjAAAADwAAAAAAAAABACAAAAAiAAAAZHJzL2Rvd25yZXYueG1sUEsBAhQAFAAAAAgAh07i&#10;QDMvBZ47AAAAOQAAABAAAAAAAAAAAQAgAAAAEAEAAGRycy9zaGFwZXhtbC54bWxQSwUGAAAAAAYA&#10;BgBbAQAAugMAAAAA&#10;" path="m9600,0l9585,0,9585,4035,9584,4045,9561,4102,9553,4110,9490,4140,9480,4140,120,4140,62,4122,47,4110,39,4102,15,4045,15,4035,15,0,0,0,0,4035,1,4047,27,4111,35,4120,97,4153,120,4155,9480,4155,9538,4140,9547,4135,9556,4128,9564,4121,9565,4120,9573,4111,9580,4102,9600,4035,9600,0xe">
                  <v:path o:connectlocs="9600,-4267;9585,-4267;9585,-232;9584,-222;9561,-165;9553,-157;9490,-127;9480,-127;120,-127;62,-145;47,-157;39,-165;15,-222;15,-232;15,-4267;0,-4267;0,-232;1,-220;27,-156;35,-147;97,-114;120,-112;9480,-112;9538,-127;9547,-132;9556,-139;9564,-146;9565,-147;9573,-156;9580,-165;9600,-232;9600,-4267" o:connectangles="0,0,0,0,0,0,0,0,0,0,0,0,0,0,0,0,0,0,0,0,0,0,0,0,0,0,0,0,0,0,0,0"/>
                  <v:fill on="t" focussize="0,0"/>
                  <v:stroke on="f"/>
                  <v:imagedata o:title=""/>
                  <o:lock v:ext="edit" aspectratio="f"/>
                </v:shape>
                <v:shape id="AutoShape 163" o:spid="_x0000_s1026" o:spt="100" style="position:absolute;left:1169;top:-4267;height:4140;width:9390;" fillcolor="#FFFFFF" filled="t" stroked="f" coordsize="9390,4140" o:gfxdata="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Z9&#10;J8EAAADgAAAADwAAAAAAAAABACAAAAAiAAAAZHJzL2Rvd25yZXYueG1sUEsBAhQAFAAAAAgAh07i&#10;QDMvBZ47AAAAOQAAABAAAAAAAAAAAQAgAAAAEAEAAGRycy9zaGFwZXhtbC54bWxQSwUGAAAAAAYA&#10;BgBbAQAAugMAAAAA&#10;" path="m9390,3592l9388,3584,9382,3570,9378,3563,9367,3552,9360,3548,9346,3542,9338,3540,52,3540,44,3542,30,3548,23,3552,12,3563,8,3570,2,3584,0,3592,0,4080,0,4088,2,4096,8,4110,12,4117,23,4128,30,4132,44,4139,52,4140,9338,4140,9346,4139,9360,4132,9367,4128,9378,4117,9382,4110,9388,4096,9390,4088,9390,3592xm9390,2632l9388,2624,9382,2610,9378,2603,9367,2592,9360,2588,9346,2582,9338,2580,52,2580,44,2582,30,2588,23,2592,12,2603,8,2610,2,2624,0,2632,0,3420,0,3428,2,3436,8,3450,12,3457,23,3468,30,3472,44,3478,52,3480,9338,3480,9346,3478,9360,3472,9367,3468,9378,3457,9382,3450,9388,3436,9390,3428,9390,2632xm9390,1972l9388,1964,9382,1950,9378,1943,9367,1932,9360,1928,9346,1922,9338,1920,52,1920,44,1922,30,1928,23,1932,12,1943,8,1950,2,1964,0,1972,0,2460,0,2468,2,2476,8,2490,12,2497,23,2508,30,2512,44,2519,52,2520,9338,2520,9346,2519,9360,2512,9367,2508,9378,2497,9382,2490,9388,2476,9390,2468,9390,1972xm9390,1312l9388,1304,9382,1290,9378,1283,9367,1272,9360,1268,9346,1262,9338,1260,52,1260,44,1262,30,1268,23,1272,12,1283,8,1290,2,1304,0,1312,0,1800,0,1808,2,1816,8,1830,12,1837,23,1848,30,1852,44,1859,52,1860,9338,1860,9346,1859,9360,1852,9367,1848,9378,1837,9382,1830,9388,1816,9390,1808,9390,1312xm9390,52l9388,44,9382,30,9378,23,9367,12,9360,8,9346,2,9338,0,52,0,44,2,30,8,23,12,12,23,8,30,2,44,0,52,0,1140,0,1148,2,1156,8,1170,12,1177,23,1188,30,1192,44,1198,52,1200,9338,1200,9346,1198,9360,1192,9367,1188,9378,1177,9382,1170,9388,1156,9390,1148,9390,52xe">
                  <v:path o:connectlocs="9382,-697;9360,-719;52,-727;23,-715;2,-683;0,-179;12,-150;44,-128;9346,-128;9378,-150;9390,-179;9388,-1643;9367,-1675;9338,-1687;30,-1679;8,-1657;0,-847;8,-817;30,-795;9338,-787;9367,-799;9388,-831;9390,-2295;9378,-2324;9346,-2345;44,-2345;12,-2324;0,-2295;2,-1791;23,-1759;52,-1747;9360,-1755;9382,-1777;9390,-2295;9382,-2977;9360,-2999;52,-3007;23,-2995;2,-2963;0,-2459;12,-2430;44,-2408;9346,-2408;9378,-2430;9390,-2459;9388,-4223;9367,-4255;9338,-4267;30,-4259;8,-4237;0,-3127;8,-3097;30,-3075;9338,-3067;9367,-3079;9388,-3111" o:connectangles="0,0,0,0,0,0,0,0,0,0,0,0,0,0,0,0,0,0,0,0,0,0,0,0,0,0,0,0,0,0,0,0,0,0,0,0,0,0,0,0,0,0,0,0,0,0,0,0,0,0,0,0,0,0,0,0"/>
                  <v:fill on="t" focussize="0,0"/>
                  <v:stroke on="f"/>
                  <v:imagedata o:title=""/>
                  <o:lock v:ext="edit" aspectratio="f"/>
                </v:shape>
                <v:shape id="Text Box 162" o:spid="_x0000_s1026" o:spt="202" type="#_x0000_t202" style="position:absolute;left:1312;top:-4102;height:1303;width:8869;" filled="f" stroked="f" coordsize="21600,21600" o:gfxdata="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HuPb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6E830D6A">
                        <w:pPr>
                          <w:spacing w:line="285" w:lineRule="auto"/>
                          <w:ind w:right="15"/>
                          <w:jc w:val="both"/>
                        </w:pPr>
                        <w:r>
                          <w:rPr>
                            <w:color w:val="202024"/>
                          </w:rPr>
                          <w:t>In</w:t>
                        </w:r>
                        <w:r>
                          <w:rPr>
                            <w:color w:val="202024"/>
                            <w:spacing w:val="10"/>
                          </w:rPr>
                          <w:t xml:space="preserve"> </w:t>
                        </w:r>
                        <w:r>
                          <w:rPr>
                            <w:color w:val="202024"/>
                          </w:rPr>
                          <w:t>my</w:t>
                        </w:r>
                        <w:r>
                          <w:rPr>
                            <w:color w:val="202024"/>
                            <w:spacing w:val="11"/>
                          </w:rPr>
                          <w:t xml:space="preserve"> </w:t>
                        </w:r>
                        <w:r>
                          <w:rPr>
                            <w:color w:val="202024"/>
                          </w:rPr>
                          <w:t>experience,</w:t>
                        </w:r>
                        <w:r>
                          <w:rPr>
                            <w:color w:val="202024"/>
                            <w:spacing w:val="10"/>
                          </w:rPr>
                          <w:t xml:space="preserve"> </w:t>
                        </w:r>
                        <w:r>
                          <w:rPr>
                            <w:color w:val="202024"/>
                          </w:rPr>
                          <w:t>FIRS</w:t>
                        </w:r>
                        <w:r>
                          <w:rPr>
                            <w:color w:val="202024"/>
                            <w:spacing w:val="11"/>
                          </w:rPr>
                          <w:t xml:space="preserve"> </w:t>
                        </w:r>
                        <w:r>
                          <w:rPr>
                            <w:color w:val="202024"/>
                          </w:rPr>
                          <w:t>circulars</w:t>
                        </w:r>
                        <w:r>
                          <w:rPr>
                            <w:color w:val="202024"/>
                            <w:spacing w:val="10"/>
                          </w:rPr>
                          <w:t xml:space="preserve"> </w:t>
                        </w:r>
                        <w:r>
                          <w:rPr>
                            <w:color w:val="202024"/>
                          </w:rPr>
                          <w:t>often</w:t>
                        </w:r>
                        <w:r>
                          <w:rPr>
                            <w:color w:val="202024"/>
                            <w:spacing w:val="11"/>
                          </w:rPr>
                          <w:t xml:space="preserve"> </w:t>
                        </w:r>
                        <w:r>
                          <w:rPr>
                            <w:color w:val="202024"/>
                          </w:rPr>
                          <w:t>provide</w:t>
                        </w:r>
                        <w:r>
                          <w:rPr>
                            <w:color w:val="202024"/>
                            <w:spacing w:val="11"/>
                          </w:rPr>
                          <w:t xml:space="preserve"> </w:t>
                        </w:r>
                        <w:r>
                          <w:rPr>
                            <w:color w:val="202024"/>
                          </w:rPr>
                          <w:t>useful</w:t>
                        </w:r>
                        <w:r>
                          <w:rPr>
                            <w:color w:val="202024"/>
                            <w:spacing w:val="10"/>
                          </w:rPr>
                          <w:t xml:space="preserve"> </w:t>
                        </w:r>
                        <w:r>
                          <w:rPr>
                            <w:color w:val="202024"/>
                          </w:rPr>
                          <w:t>guide</w:t>
                        </w:r>
                        <w:r>
                          <w:rPr>
                            <w:color w:val="202024"/>
                            <w:spacing w:val="11"/>
                          </w:rPr>
                          <w:t xml:space="preserve"> </w:t>
                        </w:r>
                        <w:r>
                          <w:rPr>
                            <w:color w:val="202024"/>
                          </w:rPr>
                          <w:t>to</w:t>
                        </w:r>
                        <w:r>
                          <w:rPr>
                            <w:color w:val="202024"/>
                            <w:spacing w:val="10"/>
                          </w:rPr>
                          <w:t xml:space="preserve"> </w:t>
                        </w:r>
                        <w:r>
                          <w:rPr>
                            <w:color w:val="202024"/>
                          </w:rPr>
                          <w:t>tax</w:t>
                        </w:r>
                        <w:r>
                          <w:rPr>
                            <w:color w:val="202024"/>
                            <w:spacing w:val="11"/>
                          </w:rPr>
                          <w:t xml:space="preserve"> </w:t>
                        </w:r>
                        <w:r>
                          <w:rPr>
                            <w:color w:val="202024"/>
                          </w:rPr>
                          <w:t>practitioners</w:t>
                        </w:r>
                        <w:r>
                          <w:rPr>
                            <w:color w:val="202024"/>
                            <w:spacing w:val="11"/>
                          </w:rPr>
                          <w:t xml:space="preserve"> </w:t>
                        </w:r>
                        <w:r>
                          <w:rPr>
                            <w:color w:val="202024"/>
                          </w:rPr>
                          <w:t>in</w:t>
                        </w:r>
                        <w:r>
                          <w:rPr>
                            <w:color w:val="202024"/>
                            <w:spacing w:val="10"/>
                          </w:rPr>
                          <w:t xml:space="preserve"> </w:t>
                        </w:r>
                        <w:r>
                          <w:rPr>
                            <w:color w:val="202024"/>
                          </w:rPr>
                          <w:t>interpreting</w:t>
                        </w:r>
                        <w:r>
                          <w:rPr>
                            <w:color w:val="202024"/>
                            <w:spacing w:val="-49"/>
                          </w:rPr>
                          <w:t xml:space="preserve"> </w:t>
                        </w:r>
                        <w:r>
                          <w:rPr>
                            <w:color w:val="202024"/>
                          </w:rPr>
                          <w:t>certain</w:t>
                        </w:r>
                        <w:r>
                          <w:rPr>
                            <w:color w:val="202024"/>
                            <w:spacing w:val="10"/>
                          </w:rPr>
                          <w:t xml:space="preserve"> </w:t>
                        </w:r>
                        <w:r>
                          <w:rPr>
                            <w:color w:val="202024"/>
                          </w:rPr>
                          <w:t>ambiguous</w:t>
                        </w:r>
                        <w:r>
                          <w:rPr>
                            <w:color w:val="202024"/>
                            <w:spacing w:val="10"/>
                          </w:rPr>
                          <w:t xml:space="preserve"> </w:t>
                        </w:r>
                        <w:r>
                          <w:rPr>
                            <w:color w:val="202024"/>
                          </w:rPr>
                          <w:t>provisions</w:t>
                        </w:r>
                        <w:r>
                          <w:rPr>
                            <w:color w:val="202024"/>
                            <w:spacing w:val="10"/>
                          </w:rPr>
                          <w:t xml:space="preserve"> </w:t>
                        </w:r>
                        <w:r>
                          <w:rPr>
                            <w:color w:val="202024"/>
                          </w:rPr>
                          <w:t>of</w:t>
                        </w:r>
                        <w:r>
                          <w:rPr>
                            <w:color w:val="202024"/>
                            <w:spacing w:val="10"/>
                          </w:rPr>
                          <w:t xml:space="preserve"> </w:t>
                        </w:r>
                        <w:r>
                          <w:rPr>
                            <w:color w:val="202024"/>
                          </w:rPr>
                          <w:t>the</w:t>
                        </w:r>
                        <w:r>
                          <w:rPr>
                            <w:color w:val="202024"/>
                            <w:spacing w:val="10"/>
                          </w:rPr>
                          <w:t xml:space="preserve"> </w:t>
                        </w:r>
                        <w:r>
                          <w:rPr>
                            <w:color w:val="202024"/>
                          </w:rPr>
                          <w:t>tax</w:t>
                        </w:r>
                        <w:r>
                          <w:rPr>
                            <w:color w:val="202024"/>
                            <w:spacing w:val="10"/>
                          </w:rPr>
                          <w:t xml:space="preserve"> </w:t>
                        </w:r>
                        <w:r>
                          <w:rPr>
                            <w:color w:val="202024"/>
                          </w:rPr>
                          <w:t>legislation</w:t>
                        </w:r>
                        <w:r>
                          <w:rPr>
                            <w:color w:val="202024"/>
                            <w:spacing w:val="10"/>
                          </w:rPr>
                          <w:t xml:space="preserve"> </w:t>
                        </w:r>
                        <w:r>
                          <w:rPr>
                            <w:color w:val="202024"/>
                          </w:rPr>
                          <w:t>and</w:t>
                        </w:r>
                        <w:r>
                          <w:rPr>
                            <w:color w:val="202024"/>
                            <w:spacing w:val="10"/>
                          </w:rPr>
                          <w:t xml:space="preserve"> </w:t>
                        </w:r>
                        <w:r>
                          <w:rPr>
                            <w:color w:val="202024"/>
                          </w:rPr>
                          <w:t>the</w:t>
                        </w:r>
                        <w:r>
                          <w:rPr>
                            <w:color w:val="202024"/>
                            <w:spacing w:val="10"/>
                          </w:rPr>
                          <w:t xml:space="preserve"> </w:t>
                        </w:r>
                        <w:r>
                          <w:rPr>
                            <w:color w:val="202024"/>
                          </w:rPr>
                          <w:t>practice</w:t>
                        </w:r>
                        <w:r>
                          <w:rPr>
                            <w:color w:val="202024"/>
                            <w:spacing w:val="10"/>
                          </w:rPr>
                          <w:t xml:space="preserve"> </w:t>
                        </w:r>
                        <w:r>
                          <w:rPr>
                            <w:color w:val="202024"/>
                          </w:rPr>
                          <w:t>has</w:t>
                        </w:r>
                        <w:r>
                          <w:rPr>
                            <w:color w:val="202024"/>
                            <w:spacing w:val="10"/>
                          </w:rPr>
                          <w:t xml:space="preserve"> </w:t>
                        </w:r>
                        <w:r>
                          <w:rPr>
                            <w:color w:val="202024"/>
                          </w:rPr>
                          <w:t>offered</w:t>
                        </w:r>
                        <w:r>
                          <w:rPr>
                            <w:color w:val="202024"/>
                            <w:spacing w:val="10"/>
                          </w:rPr>
                          <w:t xml:space="preserve"> </w:t>
                        </w:r>
                        <w:r>
                          <w:rPr>
                            <w:color w:val="202024"/>
                          </w:rPr>
                          <w:t>utility</w:t>
                        </w:r>
                        <w:r>
                          <w:rPr>
                            <w:color w:val="202024"/>
                            <w:spacing w:val="10"/>
                          </w:rPr>
                          <w:t xml:space="preserve"> </w:t>
                        </w:r>
                        <w:r>
                          <w:rPr>
                            <w:color w:val="202024"/>
                          </w:rPr>
                          <w:t>to</w:t>
                        </w:r>
                        <w:r>
                          <w:rPr>
                            <w:color w:val="202024"/>
                            <w:spacing w:val="10"/>
                          </w:rPr>
                          <w:t xml:space="preserve"> </w:t>
                        </w:r>
                        <w:r>
                          <w:rPr>
                            <w:color w:val="202024"/>
                          </w:rPr>
                          <w:t>tax</w:t>
                        </w:r>
                      </w:p>
                      <w:p w14:paraId="34A68DED">
                        <w:pPr>
                          <w:spacing w:line="251" w:lineRule="exact"/>
                          <w:jc w:val="both"/>
                        </w:pPr>
                        <w:r>
                          <w:rPr>
                            <w:color w:val="202024"/>
                          </w:rPr>
                          <w:t>interpretation</w:t>
                        </w:r>
                        <w:r>
                          <w:rPr>
                            <w:color w:val="202024"/>
                            <w:spacing w:val="11"/>
                          </w:rPr>
                          <w:t xml:space="preserve"> </w:t>
                        </w:r>
                        <w:r>
                          <w:rPr>
                            <w:color w:val="202024"/>
                          </w:rPr>
                          <w:t>space</w:t>
                        </w:r>
                        <w:r>
                          <w:rPr>
                            <w:color w:val="202024"/>
                            <w:spacing w:val="12"/>
                          </w:rPr>
                          <w:t xml:space="preserve"> </w:t>
                        </w:r>
                        <w:r>
                          <w:rPr>
                            <w:color w:val="202024"/>
                          </w:rPr>
                          <w:t>which,</w:t>
                        </w:r>
                        <w:r>
                          <w:rPr>
                            <w:color w:val="202024"/>
                            <w:spacing w:val="12"/>
                          </w:rPr>
                          <w:t xml:space="preserve"> </w:t>
                        </w:r>
                        <w:r>
                          <w:rPr>
                            <w:color w:val="202024"/>
                          </w:rPr>
                          <w:t>I</w:t>
                        </w:r>
                        <w:r>
                          <w:rPr>
                            <w:color w:val="202024"/>
                            <w:spacing w:val="12"/>
                          </w:rPr>
                          <w:t xml:space="preserve"> </w:t>
                        </w:r>
                        <w:r>
                          <w:rPr>
                            <w:color w:val="202024"/>
                          </w:rPr>
                          <w:t>believe,</w:t>
                        </w:r>
                        <w:r>
                          <w:rPr>
                            <w:color w:val="202024"/>
                            <w:spacing w:val="12"/>
                          </w:rPr>
                          <w:t xml:space="preserve"> </w:t>
                        </w:r>
                        <w:r>
                          <w:rPr>
                            <w:color w:val="202024"/>
                          </w:rPr>
                          <w:t>should</w:t>
                        </w:r>
                        <w:r>
                          <w:rPr>
                            <w:color w:val="202024"/>
                            <w:spacing w:val="12"/>
                          </w:rPr>
                          <w:t xml:space="preserve"> </w:t>
                        </w:r>
                        <w:r>
                          <w:rPr>
                            <w:color w:val="202024"/>
                          </w:rPr>
                          <w:t>be</w:t>
                        </w:r>
                        <w:r>
                          <w:rPr>
                            <w:color w:val="202024"/>
                            <w:spacing w:val="11"/>
                          </w:rPr>
                          <w:t xml:space="preserve"> </w:t>
                        </w:r>
                        <w:r>
                          <w:rPr>
                            <w:color w:val="202024"/>
                          </w:rPr>
                          <w:t>continued.</w:t>
                        </w:r>
                      </w:p>
                    </w:txbxContent>
                  </v:textbox>
                </v:shape>
                <v:shape id="Text Box 161" o:spid="_x0000_s1026" o:spt="202" type="#_x0000_t202" style="position:absolute;left:1312;top:-2842;height:247;width:7906;" filled="f" stroked="f" coordsize="21600,21600" o:gfxdata="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7+tN8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25CAF0C3">
                        <w:pPr>
                          <w:spacing w:line="246" w:lineRule="exact"/>
                        </w:pPr>
                        <w:r>
                          <w:rPr>
                            <w:color w:val="202024"/>
                          </w:rPr>
                          <w:t>The</w:t>
                        </w:r>
                        <w:r>
                          <w:rPr>
                            <w:color w:val="202024"/>
                            <w:spacing w:val="10"/>
                          </w:rPr>
                          <w:t xml:space="preserve"> </w:t>
                        </w:r>
                        <w:r>
                          <w:rPr>
                            <w:color w:val="202024"/>
                          </w:rPr>
                          <w:t>two</w:t>
                        </w:r>
                        <w:r>
                          <w:rPr>
                            <w:color w:val="202024"/>
                            <w:spacing w:val="10"/>
                          </w:rPr>
                          <w:t xml:space="preserve"> </w:t>
                        </w:r>
                        <w:r>
                          <w:rPr>
                            <w:color w:val="202024"/>
                          </w:rPr>
                          <w:t>tier</w:t>
                        </w:r>
                        <w:r>
                          <w:rPr>
                            <w:color w:val="202024"/>
                            <w:spacing w:val="10"/>
                          </w:rPr>
                          <w:t xml:space="preserve"> </w:t>
                        </w:r>
                        <w:r>
                          <w:rPr>
                            <w:color w:val="202024"/>
                          </w:rPr>
                          <w:t>regime</w:t>
                        </w:r>
                        <w:r>
                          <w:rPr>
                            <w:color w:val="202024"/>
                            <w:spacing w:val="10"/>
                          </w:rPr>
                          <w:t xml:space="preserve"> </w:t>
                        </w:r>
                        <w:r>
                          <w:rPr>
                            <w:color w:val="202024"/>
                          </w:rPr>
                          <w:t>introduced</w:t>
                        </w:r>
                        <w:r>
                          <w:rPr>
                            <w:color w:val="202024"/>
                            <w:spacing w:val="10"/>
                          </w:rPr>
                          <w:t xml:space="preserve"> </w:t>
                        </w:r>
                        <w:r>
                          <w:rPr>
                            <w:color w:val="202024"/>
                          </w:rPr>
                          <w:t>in</w:t>
                        </w:r>
                        <w:r>
                          <w:rPr>
                            <w:color w:val="202024"/>
                            <w:spacing w:val="10"/>
                          </w:rPr>
                          <w:t xml:space="preserve"> </w:t>
                        </w:r>
                        <w:r>
                          <w:rPr>
                            <w:color w:val="202024"/>
                          </w:rPr>
                          <w:t>the</w:t>
                        </w:r>
                        <w:r>
                          <w:rPr>
                            <w:color w:val="202024"/>
                            <w:spacing w:val="10"/>
                          </w:rPr>
                          <w:t xml:space="preserve"> </w:t>
                        </w:r>
                        <w:r>
                          <w:rPr>
                            <w:color w:val="202024"/>
                          </w:rPr>
                          <w:t>PIA</w:t>
                        </w:r>
                        <w:r>
                          <w:rPr>
                            <w:color w:val="202024"/>
                            <w:spacing w:val="10"/>
                          </w:rPr>
                          <w:t xml:space="preserve"> </w:t>
                        </w:r>
                        <w:r>
                          <w:rPr>
                            <w:color w:val="202024"/>
                          </w:rPr>
                          <w:t>creates</w:t>
                        </w:r>
                        <w:r>
                          <w:rPr>
                            <w:color w:val="202024"/>
                            <w:spacing w:val="10"/>
                          </w:rPr>
                          <w:t xml:space="preserve"> </w:t>
                        </w:r>
                        <w:r>
                          <w:rPr>
                            <w:color w:val="202024"/>
                          </w:rPr>
                          <w:t>more</w:t>
                        </w:r>
                        <w:r>
                          <w:rPr>
                            <w:color w:val="202024"/>
                            <w:spacing w:val="10"/>
                          </w:rPr>
                          <w:t xml:space="preserve"> </w:t>
                        </w:r>
                        <w:r>
                          <w:rPr>
                            <w:color w:val="202024"/>
                          </w:rPr>
                          <w:t>complexity</w:t>
                        </w:r>
                        <w:r>
                          <w:rPr>
                            <w:color w:val="202024"/>
                            <w:spacing w:val="10"/>
                          </w:rPr>
                          <w:t xml:space="preserve"> </w:t>
                        </w:r>
                        <w:r>
                          <w:rPr>
                            <w:color w:val="202024"/>
                          </w:rPr>
                          <w:t>and</w:t>
                        </w:r>
                        <w:r>
                          <w:rPr>
                            <w:color w:val="202024"/>
                            <w:spacing w:val="10"/>
                          </w:rPr>
                          <w:t xml:space="preserve"> </w:t>
                        </w:r>
                        <w:r>
                          <w:rPr>
                            <w:color w:val="202024"/>
                          </w:rPr>
                          <w:t>less</w:t>
                        </w:r>
                        <w:r>
                          <w:rPr>
                            <w:color w:val="202024"/>
                            <w:spacing w:val="10"/>
                          </w:rPr>
                          <w:t xml:space="preserve"> </w:t>
                        </w:r>
                        <w:r>
                          <w:rPr>
                            <w:color w:val="202024"/>
                          </w:rPr>
                          <w:t>clarity.</w:t>
                        </w:r>
                      </w:p>
                    </w:txbxContent>
                  </v:textbox>
                </v:shape>
                <v:shape id="Text Box 160" o:spid="_x0000_s1026" o:spt="202" type="#_x0000_t202" style="position:absolute;left:1312;top:-2182;height:247;width:492;" filled="f" stroked="f" coordsize="21600,21600" o:gfxdata="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4tX/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4676EC55">
                        <w:pPr>
                          <w:spacing w:line="246" w:lineRule="exact"/>
                        </w:pPr>
                        <w:r>
                          <w:rPr>
                            <w:color w:val="202024"/>
                          </w:rPr>
                          <w:t>none</w:t>
                        </w:r>
                      </w:p>
                    </w:txbxContent>
                  </v:textbox>
                </v:shape>
                <v:shape id="Text Box 159" o:spid="_x0000_s1026" o:spt="202" type="#_x0000_t202" style="position:absolute;left:1312;top:-1522;height:547;width:8256;" filled="f" stroked="f" coordsize="21600,21600" o:gfxdata="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JOp/8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7444A3A6">
                        <w:pPr>
                          <w:spacing w:line="247" w:lineRule="exact"/>
                        </w:pPr>
                        <w:r>
                          <w:rPr>
                            <w:color w:val="202024"/>
                          </w:rPr>
                          <w:t>sometimes</w:t>
                        </w:r>
                        <w:r>
                          <w:rPr>
                            <w:color w:val="202024"/>
                            <w:spacing w:val="11"/>
                          </w:rPr>
                          <w:t xml:space="preserve"> </w:t>
                        </w:r>
                        <w:r>
                          <w:rPr>
                            <w:color w:val="202024"/>
                          </w:rPr>
                          <w:t>the</w:t>
                        </w:r>
                        <w:r>
                          <w:rPr>
                            <w:color w:val="202024"/>
                            <w:spacing w:val="12"/>
                          </w:rPr>
                          <w:t xml:space="preserve"> </w:t>
                        </w:r>
                        <w:r>
                          <w:rPr>
                            <w:color w:val="202024"/>
                          </w:rPr>
                          <w:t>FIRS</w:t>
                        </w:r>
                        <w:r>
                          <w:rPr>
                            <w:color w:val="202024"/>
                            <w:spacing w:val="12"/>
                          </w:rPr>
                          <w:t xml:space="preserve"> </w:t>
                        </w:r>
                        <w:r>
                          <w:rPr>
                            <w:color w:val="202024"/>
                          </w:rPr>
                          <w:t>circulars</w:t>
                        </w:r>
                        <w:r>
                          <w:rPr>
                            <w:color w:val="202024"/>
                            <w:spacing w:val="12"/>
                          </w:rPr>
                          <w:t xml:space="preserve"> </w:t>
                        </w:r>
                        <w:r>
                          <w:rPr>
                            <w:color w:val="202024"/>
                          </w:rPr>
                          <w:t>and</w:t>
                        </w:r>
                        <w:r>
                          <w:rPr>
                            <w:color w:val="202024"/>
                            <w:spacing w:val="12"/>
                          </w:rPr>
                          <w:t xml:space="preserve"> </w:t>
                        </w:r>
                        <w:r>
                          <w:rPr>
                            <w:color w:val="202024"/>
                          </w:rPr>
                          <w:t>guidelines</w:t>
                        </w:r>
                        <w:r>
                          <w:rPr>
                            <w:color w:val="202024"/>
                            <w:spacing w:val="12"/>
                          </w:rPr>
                          <w:t xml:space="preserve"> </w:t>
                        </w:r>
                        <w:r>
                          <w:rPr>
                            <w:color w:val="202024"/>
                          </w:rPr>
                          <w:t>add</w:t>
                        </w:r>
                        <w:r>
                          <w:rPr>
                            <w:color w:val="202024"/>
                            <w:spacing w:val="11"/>
                          </w:rPr>
                          <w:t xml:space="preserve"> </w:t>
                        </w:r>
                        <w:r>
                          <w:rPr>
                            <w:color w:val="202024"/>
                          </w:rPr>
                          <w:t>to</w:t>
                        </w:r>
                        <w:r>
                          <w:rPr>
                            <w:color w:val="202024"/>
                            <w:spacing w:val="12"/>
                          </w:rPr>
                          <w:t xml:space="preserve"> </w:t>
                        </w:r>
                        <w:r>
                          <w:rPr>
                            <w:color w:val="202024"/>
                          </w:rPr>
                          <w:t>the</w:t>
                        </w:r>
                        <w:r>
                          <w:rPr>
                            <w:color w:val="202024"/>
                            <w:spacing w:val="12"/>
                          </w:rPr>
                          <w:t xml:space="preserve"> </w:t>
                        </w:r>
                        <w:r>
                          <w:rPr>
                            <w:color w:val="202024"/>
                          </w:rPr>
                          <w:t>confusion;</w:t>
                        </w:r>
                        <w:r>
                          <w:rPr>
                            <w:color w:val="202024"/>
                            <w:spacing w:val="12"/>
                          </w:rPr>
                          <w:t xml:space="preserve"> </w:t>
                        </w:r>
                        <w:r>
                          <w:rPr>
                            <w:color w:val="202024"/>
                          </w:rPr>
                          <w:t>sometimes</w:t>
                        </w:r>
                        <w:r>
                          <w:rPr>
                            <w:color w:val="202024"/>
                            <w:spacing w:val="12"/>
                          </w:rPr>
                          <w:t xml:space="preserve"> </w:t>
                        </w:r>
                        <w:r>
                          <w:rPr>
                            <w:color w:val="202024"/>
                          </w:rPr>
                          <w:t>contain</w:t>
                        </w:r>
                      </w:p>
                      <w:p w14:paraId="08471629">
                        <w:pPr>
                          <w:spacing w:before="48" w:line="251" w:lineRule="exact"/>
                        </w:pPr>
                        <w:r>
                          <w:rPr>
                            <w:color w:val="202024"/>
                          </w:rPr>
                          <w:t>ambiguous</w:t>
                        </w:r>
                        <w:r>
                          <w:rPr>
                            <w:color w:val="202024"/>
                            <w:spacing w:val="10"/>
                          </w:rPr>
                          <w:t xml:space="preserve"> </w:t>
                        </w:r>
                        <w:r>
                          <w:rPr>
                            <w:color w:val="202024"/>
                          </w:rPr>
                          <w:t>languages</w:t>
                        </w:r>
                        <w:r>
                          <w:rPr>
                            <w:color w:val="202024"/>
                            <w:spacing w:val="10"/>
                          </w:rPr>
                          <w:t xml:space="preserve"> </w:t>
                        </w:r>
                        <w:r>
                          <w:rPr>
                            <w:color w:val="202024"/>
                          </w:rPr>
                          <w:t>and</w:t>
                        </w:r>
                        <w:r>
                          <w:rPr>
                            <w:color w:val="202024"/>
                            <w:spacing w:val="10"/>
                          </w:rPr>
                          <w:t xml:space="preserve"> </w:t>
                        </w:r>
                        <w:r>
                          <w:rPr>
                            <w:color w:val="202024"/>
                          </w:rPr>
                          <w:t>lack</w:t>
                        </w:r>
                        <w:r>
                          <w:rPr>
                            <w:color w:val="202024"/>
                            <w:spacing w:val="10"/>
                          </w:rPr>
                          <w:t xml:space="preserve"> </w:t>
                        </w:r>
                        <w:r>
                          <w:rPr>
                            <w:color w:val="202024"/>
                          </w:rPr>
                          <w:t>clarity</w:t>
                        </w:r>
                      </w:p>
                    </w:txbxContent>
                  </v:textbox>
                </v:shape>
                <v:shape id="Text Box 158" o:spid="_x0000_s1026" o:spt="202" type="#_x0000_t202" style="position:absolute;left:1312;top:-562;height:247;width:6411;" filled="f" stroked="f" coordsize="21600,21600" o:gfxdata="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VZv7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250E69C9">
                        <w:pPr>
                          <w:spacing w:line="246" w:lineRule="exact"/>
                        </w:pPr>
                        <w:r>
                          <w:rPr>
                            <w:color w:val="202024"/>
                            <w:sz w:val="21"/>
                          </w:rPr>
                          <w:t>F</w:t>
                        </w:r>
                        <w:r>
                          <w:rPr>
                            <w:color w:val="202024"/>
                          </w:rPr>
                          <w:t>IRS</w:t>
                        </w:r>
                        <w:r>
                          <w:rPr>
                            <w:color w:val="202024"/>
                            <w:spacing w:val="11"/>
                          </w:rPr>
                          <w:t xml:space="preserve"> </w:t>
                        </w:r>
                        <w:r>
                          <w:rPr>
                            <w:color w:val="202024"/>
                          </w:rPr>
                          <w:t>Circulars</w:t>
                        </w:r>
                        <w:r>
                          <w:rPr>
                            <w:color w:val="202024"/>
                            <w:spacing w:val="11"/>
                          </w:rPr>
                          <w:t xml:space="preserve"> </w:t>
                        </w:r>
                        <w:r>
                          <w:rPr>
                            <w:color w:val="202024"/>
                          </w:rPr>
                          <w:t>are</w:t>
                        </w:r>
                        <w:r>
                          <w:rPr>
                            <w:color w:val="202024"/>
                            <w:spacing w:val="11"/>
                          </w:rPr>
                          <w:t xml:space="preserve"> </w:t>
                        </w:r>
                        <w:r>
                          <w:rPr>
                            <w:color w:val="202024"/>
                          </w:rPr>
                          <w:t>not</w:t>
                        </w:r>
                        <w:r>
                          <w:rPr>
                            <w:color w:val="202024"/>
                            <w:spacing w:val="11"/>
                          </w:rPr>
                          <w:t xml:space="preserve"> </w:t>
                        </w:r>
                        <w:r>
                          <w:rPr>
                            <w:color w:val="202024"/>
                          </w:rPr>
                          <w:t>law</w:t>
                        </w:r>
                        <w:r>
                          <w:rPr>
                            <w:color w:val="202024"/>
                            <w:spacing w:val="11"/>
                          </w:rPr>
                          <w:t xml:space="preserve"> </w:t>
                        </w:r>
                        <w:r>
                          <w:rPr>
                            <w:color w:val="202024"/>
                          </w:rPr>
                          <w:t>and</w:t>
                        </w:r>
                        <w:r>
                          <w:rPr>
                            <w:color w:val="202024"/>
                            <w:spacing w:val="11"/>
                          </w:rPr>
                          <w:t xml:space="preserve"> </w:t>
                        </w:r>
                        <w:r>
                          <w:rPr>
                            <w:color w:val="202024"/>
                          </w:rPr>
                          <w:t>do</w:t>
                        </w:r>
                        <w:r>
                          <w:rPr>
                            <w:color w:val="202024"/>
                            <w:spacing w:val="11"/>
                          </w:rPr>
                          <w:t xml:space="preserve"> </w:t>
                        </w:r>
                        <w:r>
                          <w:rPr>
                            <w:color w:val="202024"/>
                          </w:rPr>
                          <w:t>not</w:t>
                        </w:r>
                        <w:r>
                          <w:rPr>
                            <w:color w:val="202024"/>
                            <w:spacing w:val="11"/>
                          </w:rPr>
                          <w:t xml:space="preserve"> </w:t>
                        </w:r>
                        <w:r>
                          <w:rPr>
                            <w:color w:val="202024"/>
                          </w:rPr>
                          <w:t>create</w:t>
                        </w:r>
                        <w:r>
                          <w:rPr>
                            <w:color w:val="202024"/>
                            <w:spacing w:val="11"/>
                          </w:rPr>
                          <w:t xml:space="preserve"> </w:t>
                        </w:r>
                        <w:r>
                          <w:rPr>
                            <w:color w:val="202024"/>
                          </w:rPr>
                          <w:t>legitimate</w:t>
                        </w:r>
                        <w:r>
                          <w:rPr>
                            <w:color w:val="202024"/>
                            <w:spacing w:val="11"/>
                          </w:rPr>
                          <w:t xml:space="preserve"> </w:t>
                        </w:r>
                        <w:r>
                          <w:rPr>
                            <w:color w:val="202024"/>
                          </w:rPr>
                          <w:t>expectation</w:t>
                        </w:r>
                      </w:p>
                    </w:txbxContent>
                  </v:textbox>
                </v:shape>
              </v:group>
            </w:pict>
          </mc:Fallback>
        </mc:AlternateContent>
      </w:r>
    </w:p>
    <w:p w14:paraId="0B16DC9C">
      <w:pPr>
        <w:widowControl w:val="0"/>
        <w:autoSpaceDE w:val="0"/>
        <w:autoSpaceDN w:val="0"/>
        <w:rPr>
          <w:rFonts w:ascii="Roboto" w:hAnsi="Roboto" w:eastAsia="Roboto" w:cs="Roboto"/>
          <w:sz w:val="20"/>
          <w:szCs w:val="21"/>
        </w:rPr>
      </w:pPr>
    </w:p>
    <w:p w14:paraId="071A0E76">
      <w:pPr>
        <w:widowControl w:val="0"/>
        <w:autoSpaceDE w:val="0"/>
        <w:autoSpaceDN w:val="0"/>
        <w:rPr>
          <w:rFonts w:ascii="Roboto" w:hAnsi="Roboto" w:eastAsia="Roboto" w:cs="Roboto"/>
          <w:sz w:val="20"/>
          <w:szCs w:val="21"/>
        </w:rPr>
      </w:pPr>
    </w:p>
    <w:p w14:paraId="0DA98AC7">
      <w:pPr>
        <w:widowControl w:val="0"/>
        <w:autoSpaceDE w:val="0"/>
        <w:autoSpaceDN w:val="0"/>
        <w:rPr>
          <w:rFonts w:ascii="Roboto" w:hAnsi="Roboto" w:eastAsia="Roboto" w:cs="Roboto"/>
          <w:sz w:val="20"/>
          <w:szCs w:val="21"/>
        </w:rPr>
      </w:pPr>
    </w:p>
    <w:p w14:paraId="3C3DB9D4">
      <w:pPr>
        <w:widowControl w:val="0"/>
        <w:autoSpaceDE w:val="0"/>
        <w:autoSpaceDN w:val="0"/>
        <w:rPr>
          <w:rFonts w:ascii="Roboto" w:hAnsi="Roboto" w:eastAsia="Roboto" w:cs="Roboto"/>
          <w:sz w:val="20"/>
          <w:szCs w:val="21"/>
        </w:rPr>
      </w:pPr>
    </w:p>
    <w:p w14:paraId="270EC313">
      <w:pPr>
        <w:widowControl w:val="0"/>
        <w:autoSpaceDE w:val="0"/>
        <w:autoSpaceDN w:val="0"/>
        <w:rPr>
          <w:rFonts w:ascii="Roboto" w:hAnsi="Roboto" w:eastAsia="Roboto" w:cs="Roboto"/>
          <w:sz w:val="20"/>
          <w:szCs w:val="21"/>
        </w:rPr>
      </w:pPr>
    </w:p>
    <w:p w14:paraId="7C5E6732">
      <w:pPr>
        <w:widowControl w:val="0"/>
        <w:autoSpaceDE w:val="0"/>
        <w:autoSpaceDN w:val="0"/>
        <w:rPr>
          <w:rFonts w:ascii="Roboto" w:hAnsi="Roboto" w:eastAsia="Roboto" w:cs="Roboto"/>
          <w:sz w:val="20"/>
          <w:szCs w:val="21"/>
        </w:rPr>
      </w:pPr>
    </w:p>
    <w:p w14:paraId="4CA9EB50">
      <w:pPr>
        <w:widowControl w:val="0"/>
        <w:autoSpaceDE w:val="0"/>
        <w:autoSpaceDN w:val="0"/>
        <w:rPr>
          <w:rFonts w:ascii="Roboto" w:hAnsi="Roboto" w:eastAsia="Roboto" w:cs="Roboto"/>
          <w:sz w:val="20"/>
          <w:szCs w:val="21"/>
        </w:rPr>
      </w:pPr>
    </w:p>
    <w:p w14:paraId="2DB54989">
      <w:pPr>
        <w:widowControl w:val="0"/>
        <w:autoSpaceDE w:val="0"/>
        <w:autoSpaceDN w:val="0"/>
        <w:rPr>
          <w:rFonts w:ascii="Roboto" w:hAnsi="Roboto" w:eastAsia="Roboto" w:cs="Roboto"/>
          <w:sz w:val="20"/>
          <w:szCs w:val="21"/>
        </w:rPr>
      </w:pPr>
    </w:p>
    <w:p w14:paraId="1ED2CEB5">
      <w:pPr>
        <w:widowControl w:val="0"/>
        <w:autoSpaceDE w:val="0"/>
        <w:autoSpaceDN w:val="0"/>
        <w:rPr>
          <w:rFonts w:ascii="Roboto" w:hAnsi="Roboto" w:eastAsia="Roboto" w:cs="Roboto"/>
          <w:sz w:val="20"/>
          <w:szCs w:val="21"/>
        </w:rPr>
      </w:pPr>
    </w:p>
    <w:p w14:paraId="1850C99A">
      <w:pPr>
        <w:widowControl w:val="0"/>
        <w:autoSpaceDE w:val="0"/>
        <w:autoSpaceDN w:val="0"/>
        <w:rPr>
          <w:rFonts w:ascii="Roboto" w:hAnsi="Roboto" w:eastAsia="Roboto" w:cs="Roboto"/>
          <w:sz w:val="20"/>
          <w:szCs w:val="21"/>
        </w:rPr>
      </w:pPr>
    </w:p>
    <w:p w14:paraId="6E52D63C">
      <w:pPr>
        <w:widowControl w:val="0"/>
        <w:autoSpaceDE w:val="0"/>
        <w:autoSpaceDN w:val="0"/>
        <w:rPr>
          <w:rFonts w:ascii="Roboto" w:hAnsi="Roboto" w:eastAsia="Roboto" w:cs="Roboto"/>
          <w:sz w:val="20"/>
          <w:szCs w:val="21"/>
        </w:rPr>
      </w:pPr>
    </w:p>
    <w:p w14:paraId="7AF1ABF6">
      <w:pPr>
        <w:widowControl w:val="0"/>
        <w:autoSpaceDE w:val="0"/>
        <w:autoSpaceDN w:val="0"/>
        <w:rPr>
          <w:rFonts w:ascii="Roboto" w:hAnsi="Roboto" w:eastAsia="Roboto" w:cs="Roboto"/>
          <w:sz w:val="20"/>
          <w:szCs w:val="21"/>
        </w:rPr>
      </w:pPr>
    </w:p>
    <w:p w14:paraId="245EF96D">
      <w:pPr>
        <w:widowControl w:val="0"/>
        <w:autoSpaceDE w:val="0"/>
        <w:autoSpaceDN w:val="0"/>
        <w:rPr>
          <w:rFonts w:ascii="Roboto" w:hAnsi="Roboto" w:eastAsia="Roboto" w:cs="Roboto"/>
          <w:sz w:val="20"/>
          <w:szCs w:val="21"/>
        </w:rPr>
      </w:pPr>
    </w:p>
    <w:p w14:paraId="6A938437">
      <w:pPr>
        <w:widowControl w:val="0"/>
        <w:autoSpaceDE w:val="0"/>
        <w:autoSpaceDN w:val="0"/>
        <w:rPr>
          <w:rFonts w:ascii="Roboto" w:hAnsi="Roboto" w:eastAsia="Roboto" w:cs="Roboto"/>
          <w:sz w:val="20"/>
          <w:szCs w:val="21"/>
        </w:rPr>
      </w:pPr>
    </w:p>
    <w:p w14:paraId="384425F8">
      <w:pPr>
        <w:widowControl w:val="0"/>
        <w:autoSpaceDE w:val="0"/>
        <w:autoSpaceDN w:val="0"/>
        <w:rPr>
          <w:rFonts w:ascii="Roboto" w:hAnsi="Roboto" w:eastAsia="Roboto" w:cs="Roboto"/>
          <w:sz w:val="20"/>
          <w:szCs w:val="21"/>
        </w:rPr>
      </w:pPr>
    </w:p>
    <w:p w14:paraId="29717BD4">
      <w:pPr>
        <w:widowControl w:val="0"/>
        <w:autoSpaceDE w:val="0"/>
        <w:autoSpaceDN w:val="0"/>
        <w:rPr>
          <w:rFonts w:ascii="Roboto" w:hAnsi="Roboto" w:eastAsia="Roboto" w:cs="Roboto"/>
          <w:sz w:val="20"/>
          <w:szCs w:val="21"/>
        </w:rPr>
      </w:pPr>
    </w:p>
    <w:p w14:paraId="01A83A9A">
      <w:pPr>
        <w:widowControl w:val="0"/>
        <w:autoSpaceDE w:val="0"/>
        <w:autoSpaceDN w:val="0"/>
        <w:spacing w:before="9"/>
        <w:rPr>
          <w:rFonts w:ascii="Roboto" w:hAnsi="Roboto" w:eastAsia="Roboto" w:cs="Roboto"/>
          <w:sz w:val="21"/>
          <w:szCs w:val="21"/>
        </w:rPr>
      </w:pPr>
    </w:p>
    <w:p w14:paraId="2DDCDD78">
      <w:pPr>
        <w:widowControl w:val="0"/>
        <w:autoSpaceDE w:val="0"/>
        <w:autoSpaceDN w:val="0"/>
        <w:spacing w:before="95"/>
        <w:rPr>
          <w:rFonts w:ascii="Roboto" w:hAnsi="Roboto" w:eastAsia="Roboto" w:cs="Roboto"/>
          <w:szCs w:val="22"/>
        </w:rPr>
      </w:pPr>
      <w:r>
        <mc:AlternateContent>
          <mc:Choice Requires="wpg">
            <w:drawing>
              <wp:anchor distT="0" distB="0" distL="114300" distR="114300" simplePos="0" relativeHeight="251721728" behindDoc="0" locked="0" layoutInCell="1" allowOverlap="1">
                <wp:simplePos x="0" y="0"/>
                <wp:positionH relativeFrom="page">
                  <wp:posOffset>833120</wp:posOffset>
                </wp:positionH>
                <wp:positionV relativeFrom="paragraph">
                  <wp:posOffset>172720</wp:posOffset>
                </wp:positionV>
                <wp:extent cx="6096000" cy="3743325"/>
                <wp:effectExtent l="4445" t="0" r="5080" b="0"/>
                <wp:wrapNone/>
                <wp:docPr id="248049136" name="Group 129"/>
                <wp:cNvGraphicFramePr/>
                <a:graphic xmlns:a="http://schemas.openxmlformats.org/drawingml/2006/main">
                  <a:graphicData uri="http://schemas.microsoft.com/office/word/2010/wordprocessingGroup">
                    <wpg:wgp>
                      <wpg:cNvGrpSpPr/>
                      <wpg:grpSpPr>
                        <a:xfrm>
                          <a:off x="0" y="0"/>
                          <a:ext cx="6096000" cy="3743325"/>
                          <a:chOff x="1155" y="608"/>
                          <a:chExt cx="9600" cy="5895"/>
                        </a:xfrm>
                        <a:effectLst/>
                      </wpg:grpSpPr>
                      <wps:wsp>
                        <wps:cNvPr id="1803078377" name="Freeform 156"/>
                        <wps:cNvSpPr/>
                        <wps:spPr bwMode="auto">
                          <a:xfrm>
                            <a:off x="1154" y="608"/>
                            <a:ext cx="9600" cy="5895"/>
                          </a:xfrm>
                          <a:custGeom>
                            <a:avLst/>
                            <a:gdLst>
                              <a:gd name="T0" fmla="*/ 9600 w 9600"/>
                              <a:gd name="T1" fmla="*/ 608 h 5895"/>
                              <a:gd name="T2" fmla="*/ 9585 w 9600"/>
                              <a:gd name="T3" fmla="*/ 608 h 5895"/>
                              <a:gd name="T4" fmla="*/ 9585 w 9600"/>
                              <a:gd name="T5" fmla="*/ 6383 h 5895"/>
                              <a:gd name="T6" fmla="*/ 9584 w 9600"/>
                              <a:gd name="T7" fmla="*/ 6393 h 5895"/>
                              <a:gd name="T8" fmla="*/ 9561 w 9600"/>
                              <a:gd name="T9" fmla="*/ 6450 h 5895"/>
                              <a:gd name="T10" fmla="*/ 9553 w 9600"/>
                              <a:gd name="T11" fmla="*/ 6458 h 5895"/>
                              <a:gd name="T12" fmla="*/ 9490 w 9600"/>
                              <a:gd name="T13" fmla="*/ 6488 h 5895"/>
                              <a:gd name="T14" fmla="*/ 9480 w 9600"/>
                              <a:gd name="T15" fmla="*/ 6488 h 5895"/>
                              <a:gd name="T16" fmla="*/ 120 w 9600"/>
                              <a:gd name="T17" fmla="*/ 6488 h 5895"/>
                              <a:gd name="T18" fmla="*/ 62 w 9600"/>
                              <a:gd name="T19" fmla="*/ 6470 h 5895"/>
                              <a:gd name="T20" fmla="*/ 47 w 9600"/>
                              <a:gd name="T21" fmla="*/ 6458 h 5895"/>
                              <a:gd name="T22" fmla="*/ 39 w 9600"/>
                              <a:gd name="T23" fmla="*/ 6450 h 5895"/>
                              <a:gd name="T24" fmla="*/ 15 w 9600"/>
                              <a:gd name="T25" fmla="*/ 6393 h 5895"/>
                              <a:gd name="T26" fmla="*/ 15 w 9600"/>
                              <a:gd name="T27" fmla="*/ 6383 h 5895"/>
                              <a:gd name="T28" fmla="*/ 15 w 9600"/>
                              <a:gd name="T29" fmla="*/ 608 h 5895"/>
                              <a:gd name="T30" fmla="*/ 0 w 9600"/>
                              <a:gd name="T31" fmla="*/ 608 h 5895"/>
                              <a:gd name="T32" fmla="*/ 0 w 9600"/>
                              <a:gd name="T33" fmla="*/ 6383 h 5895"/>
                              <a:gd name="T34" fmla="*/ 1 w 9600"/>
                              <a:gd name="T35" fmla="*/ 6395 h 5895"/>
                              <a:gd name="T36" fmla="*/ 27 w 9600"/>
                              <a:gd name="T37" fmla="*/ 6459 h 5895"/>
                              <a:gd name="T38" fmla="*/ 35 w 9600"/>
                              <a:gd name="T39" fmla="*/ 6468 h 5895"/>
                              <a:gd name="T40" fmla="*/ 97 w 9600"/>
                              <a:gd name="T41" fmla="*/ 6501 h 5895"/>
                              <a:gd name="T42" fmla="*/ 120 w 9600"/>
                              <a:gd name="T43" fmla="*/ 6503 h 5895"/>
                              <a:gd name="T44" fmla="*/ 9480 w 9600"/>
                              <a:gd name="T45" fmla="*/ 6503 h 5895"/>
                              <a:gd name="T46" fmla="*/ 9538 w 9600"/>
                              <a:gd name="T47" fmla="*/ 6488 h 5895"/>
                              <a:gd name="T48" fmla="*/ 9547 w 9600"/>
                              <a:gd name="T49" fmla="*/ 6483 h 5895"/>
                              <a:gd name="T50" fmla="*/ 9556 w 9600"/>
                              <a:gd name="T51" fmla="*/ 6476 h 5895"/>
                              <a:gd name="T52" fmla="*/ 9564 w 9600"/>
                              <a:gd name="T53" fmla="*/ 6469 h 5895"/>
                              <a:gd name="T54" fmla="*/ 9565 w 9600"/>
                              <a:gd name="T55" fmla="*/ 6468 h 5895"/>
                              <a:gd name="T56" fmla="*/ 9573 w 9600"/>
                              <a:gd name="T57" fmla="*/ 6459 h 5895"/>
                              <a:gd name="T58" fmla="*/ 9580 w 9600"/>
                              <a:gd name="T59" fmla="*/ 6450 h 5895"/>
                              <a:gd name="T60" fmla="*/ 9600 w 9600"/>
                              <a:gd name="T61" fmla="*/ 6383 h 5895"/>
                              <a:gd name="T62" fmla="*/ 9600 w 9600"/>
                              <a:gd name="T63" fmla="*/ 608 h 589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00" h="5895">
                                <a:moveTo>
                                  <a:pt x="9600" y="0"/>
                                </a:moveTo>
                                <a:lnTo>
                                  <a:pt x="9585" y="0"/>
                                </a:lnTo>
                                <a:lnTo>
                                  <a:pt x="9585" y="5775"/>
                                </a:lnTo>
                                <a:lnTo>
                                  <a:pt x="9584" y="5785"/>
                                </a:lnTo>
                                <a:lnTo>
                                  <a:pt x="9561" y="5842"/>
                                </a:lnTo>
                                <a:lnTo>
                                  <a:pt x="9553" y="5850"/>
                                </a:lnTo>
                                <a:lnTo>
                                  <a:pt x="9490" y="5880"/>
                                </a:lnTo>
                                <a:lnTo>
                                  <a:pt x="9480" y="5880"/>
                                </a:lnTo>
                                <a:lnTo>
                                  <a:pt x="120" y="5880"/>
                                </a:lnTo>
                                <a:lnTo>
                                  <a:pt x="62" y="5862"/>
                                </a:lnTo>
                                <a:lnTo>
                                  <a:pt x="47" y="5850"/>
                                </a:lnTo>
                                <a:lnTo>
                                  <a:pt x="39" y="5842"/>
                                </a:lnTo>
                                <a:lnTo>
                                  <a:pt x="15" y="5785"/>
                                </a:lnTo>
                                <a:lnTo>
                                  <a:pt x="15" y="5775"/>
                                </a:lnTo>
                                <a:lnTo>
                                  <a:pt x="15" y="0"/>
                                </a:lnTo>
                                <a:lnTo>
                                  <a:pt x="0" y="0"/>
                                </a:lnTo>
                                <a:lnTo>
                                  <a:pt x="0" y="5775"/>
                                </a:lnTo>
                                <a:lnTo>
                                  <a:pt x="1" y="5787"/>
                                </a:lnTo>
                                <a:lnTo>
                                  <a:pt x="27" y="5851"/>
                                </a:lnTo>
                                <a:lnTo>
                                  <a:pt x="35" y="5860"/>
                                </a:lnTo>
                                <a:lnTo>
                                  <a:pt x="97" y="5893"/>
                                </a:lnTo>
                                <a:lnTo>
                                  <a:pt x="120" y="5895"/>
                                </a:lnTo>
                                <a:lnTo>
                                  <a:pt x="9480" y="5895"/>
                                </a:lnTo>
                                <a:lnTo>
                                  <a:pt x="9538" y="5880"/>
                                </a:lnTo>
                                <a:lnTo>
                                  <a:pt x="9547" y="5875"/>
                                </a:lnTo>
                                <a:lnTo>
                                  <a:pt x="9556" y="5868"/>
                                </a:lnTo>
                                <a:lnTo>
                                  <a:pt x="9564" y="5861"/>
                                </a:lnTo>
                                <a:lnTo>
                                  <a:pt x="9565" y="5860"/>
                                </a:lnTo>
                                <a:lnTo>
                                  <a:pt x="9573" y="5851"/>
                                </a:lnTo>
                                <a:lnTo>
                                  <a:pt x="9580" y="5842"/>
                                </a:lnTo>
                                <a:lnTo>
                                  <a:pt x="9600" y="5775"/>
                                </a:lnTo>
                                <a:lnTo>
                                  <a:pt x="9600" y="0"/>
                                </a:lnTo>
                                <a:close/>
                              </a:path>
                            </a:pathLst>
                          </a:custGeom>
                          <a:solidFill>
                            <a:srgbClr val="D9DBDF"/>
                          </a:solidFill>
                          <a:ln>
                            <a:noFill/>
                          </a:ln>
                          <a:effectLst/>
                        </wps:spPr>
                        <wps:bodyPr rot="0" vert="horz" wrap="square" lIns="91440" tIns="45720" rIns="91440" bIns="45720" anchor="t" anchorCtr="0" upright="1">
                          <a:noAutofit/>
                        </wps:bodyPr>
                      </wps:wsp>
                      <pic:pic xmlns:pic="http://schemas.openxmlformats.org/drawingml/2006/picture">
                        <pic:nvPicPr>
                          <pic:cNvPr id="1039544461" name="Picture 1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728"/>
                            <a:ext cx="255" cy="300"/>
                          </a:xfrm>
                          <a:prstGeom prst="rect">
                            <a:avLst/>
                          </a:prstGeom>
                          <a:noFill/>
                          <a:ln>
                            <a:noFill/>
                          </a:ln>
                          <a:effectLst/>
                        </pic:spPr>
                      </pic:pic>
                      <wps:wsp>
                        <wps:cNvPr id="267102543" name="Rectangle 154"/>
                        <wps:cNvSpPr>
                          <a:spLocks noChangeArrowheads="1"/>
                        </wps:cNvSpPr>
                        <wps:spPr bwMode="auto">
                          <a:xfrm>
                            <a:off x="1170" y="2888"/>
                            <a:ext cx="9030" cy="3600"/>
                          </a:xfrm>
                          <a:prstGeom prst="rect">
                            <a:avLst/>
                          </a:prstGeom>
                          <a:solidFill>
                            <a:srgbClr val="FFFFFF"/>
                          </a:solidFill>
                          <a:ln>
                            <a:noFill/>
                          </a:ln>
                          <a:effectLst/>
                        </wps:spPr>
                        <wps:bodyPr rot="0" vert="horz" wrap="square" lIns="91440" tIns="45720" rIns="91440" bIns="45720" anchor="t" anchorCtr="0" upright="1">
                          <a:noAutofit/>
                        </wps:bodyPr>
                      </wps:wsp>
                      <wps:wsp>
                        <wps:cNvPr id="1730802347" name="Rectangle 153"/>
                        <wps:cNvSpPr>
                          <a:spLocks noChangeArrowheads="1"/>
                        </wps:cNvSpPr>
                        <wps:spPr bwMode="auto">
                          <a:xfrm>
                            <a:off x="2070" y="3038"/>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395039453" name="AutoShape 152"/>
                        <wps:cNvSpPr/>
                        <wps:spPr bwMode="auto">
                          <a:xfrm>
                            <a:off x="2069" y="3038"/>
                            <a:ext cx="8130" cy="2700"/>
                          </a:xfrm>
                          <a:custGeom>
                            <a:avLst/>
                            <a:gdLst>
                              <a:gd name="T0" fmla="*/ 6810 w 8130"/>
                              <a:gd name="T1" fmla="*/ 5048 h 2700"/>
                              <a:gd name="T2" fmla="*/ 0 w 8130"/>
                              <a:gd name="T3" fmla="*/ 5048 h 2700"/>
                              <a:gd name="T4" fmla="*/ 0 w 8130"/>
                              <a:gd name="T5" fmla="*/ 5063 h 2700"/>
                              <a:gd name="T6" fmla="*/ 6810 w 8130"/>
                              <a:gd name="T7" fmla="*/ 5063 h 2700"/>
                              <a:gd name="T8" fmla="*/ 6810 w 8130"/>
                              <a:gd name="T9" fmla="*/ 5048 h 2700"/>
                              <a:gd name="T10" fmla="*/ 6810 w 8130"/>
                              <a:gd name="T11" fmla="*/ 4388 h 2700"/>
                              <a:gd name="T12" fmla="*/ 0 w 8130"/>
                              <a:gd name="T13" fmla="*/ 4388 h 2700"/>
                              <a:gd name="T14" fmla="*/ 0 w 8130"/>
                              <a:gd name="T15" fmla="*/ 4403 h 2700"/>
                              <a:gd name="T16" fmla="*/ 6810 w 8130"/>
                              <a:gd name="T17" fmla="*/ 4403 h 2700"/>
                              <a:gd name="T18" fmla="*/ 6810 w 8130"/>
                              <a:gd name="T19" fmla="*/ 4388 h 2700"/>
                              <a:gd name="T20" fmla="*/ 6810 w 8130"/>
                              <a:gd name="T21" fmla="*/ 3713 h 2700"/>
                              <a:gd name="T22" fmla="*/ 0 w 8130"/>
                              <a:gd name="T23" fmla="*/ 3713 h 2700"/>
                              <a:gd name="T24" fmla="*/ 0 w 8130"/>
                              <a:gd name="T25" fmla="*/ 3728 h 2700"/>
                              <a:gd name="T26" fmla="*/ 6810 w 8130"/>
                              <a:gd name="T27" fmla="*/ 3728 h 2700"/>
                              <a:gd name="T28" fmla="*/ 6810 w 8130"/>
                              <a:gd name="T29" fmla="*/ 3713 h 2700"/>
                              <a:gd name="T30" fmla="*/ 8130 w 8130"/>
                              <a:gd name="T31" fmla="*/ 5723 h 2700"/>
                              <a:gd name="T32" fmla="*/ 0 w 8130"/>
                              <a:gd name="T33" fmla="*/ 5723 h 2700"/>
                              <a:gd name="T34" fmla="*/ 0 w 8130"/>
                              <a:gd name="T35" fmla="*/ 5738 h 2700"/>
                              <a:gd name="T36" fmla="*/ 8130 w 8130"/>
                              <a:gd name="T37" fmla="*/ 5738 h 2700"/>
                              <a:gd name="T38" fmla="*/ 8130 w 8130"/>
                              <a:gd name="T39" fmla="*/ 5723 h 2700"/>
                              <a:gd name="T40" fmla="*/ 8130 w 8130"/>
                              <a:gd name="T41" fmla="*/ 5048 h 2700"/>
                              <a:gd name="T42" fmla="*/ 7815 w 8130"/>
                              <a:gd name="T43" fmla="*/ 5048 h 2700"/>
                              <a:gd name="T44" fmla="*/ 7815 w 8130"/>
                              <a:gd name="T45" fmla="*/ 5063 h 2700"/>
                              <a:gd name="T46" fmla="*/ 8130 w 8130"/>
                              <a:gd name="T47" fmla="*/ 5063 h 2700"/>
                              <a:gd name="T48" fmla="*/ 8130 w 8130"/>
                              <a:gd name="T49" fmla="*/ 5048 h 2700"/>
                              <a:gd name="T50" fmla="*/ 8130 w 8130"/>
                              <a:gd name="T51" fmla="*/ 4388 h 2700"/>
                              <a:gd name="T52" fmla="*/ 7815 w 8130"/>
                              <a:gd name="T53" fmla="*/ 4388 h 2700"/>
                              <a:gd name="T54" fmla="*/ 7815 w 8130"/>
                              <a:gd name="T55" fmla="*/ 4403 h 2700"/>
                              <a:gd name="T56" fmla="*/ 8130 w 8130"/>
                              <a:gd name="T57" fmla="*/ 4403 h 2700"/>
                              <a:gd name="T58" fmla="*/ 8130 w 8130"/>
                              <a:gd name="T59" fmla="*/ 4388 h 2700"/>
                              <a:gd name="T60" fmla="*/ 8130 w 8130"/>
                              <a:gd name="T61" fmla="*/ 3713 h 2700"/>
                              <a:gd name="T62" fmla="*/ 7815 w 8130"/>
                              <a:gd name="T63" fmla="*/ 3713 h 2700"/>
                              <a:gd name="T64" fmla="*/ 7815 w 8130"/>
                              <a:gd name="T65" fmla="*/ 3728 h 2700"/>
                              <a:gd name="T66" fmla="*/ 8130 w 8130"/>
                              <a:gd name="T67" fmla="*/ 3728 h 2700"/>
                              <a:gd name="T68" fmla="*/ 8130 w 8130"/>
                              <a:gd name="T69" fmla="*/ 3713 h 2700"/>
                              <a:gd name="T70" fmla="*/ 8130 w 8130"/>
                              <a:gd name="T71" fmla="*/ 3038 h 2700"/>
                              <a:gd name="T72" fmla="*/ 0 w 8130"/>
                              <a:gd name="T73" fmla="*/ 3038 h 2700"/>
                              <a:gd name="T74" fmla="*/ 0 w 8130"/>
                              <a:gd name="T75" fmla="*/ 3053 h 2700"/>
                              <a:gd name="T76" fmla="*/ 8130 w 8130"/>
                              <a:gd name="T77" fmla="*/ 3053 h 2700"/>
                              <a:gd name="T78" fmla="*/ 8130 w 8130"/>
                              <a:gd name="T79" fmla="*/ 3038 h 27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30" h="2700">
                                <a:moveTo>
                                  <a:pt x="6810" y="2010"/>
                                </a:moveTo>
                                <a:lnTo>
                                  <a:pt x="0" y="2010"/>
                                </a:lnTo>
                                <a:lnTo>
                                  <a:pt x="0" y="2025"/>
                                </a:lnTo>
                                <a:lnTo>
                                  <a:pt x="6810" y="2025"/>
                                </a:lnTo>
                                <a:lnTo>
                                  <a:pt x="6810" y="2010"/>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442054971" name="AutoShape 151"/>
                        <wps:cNvSpPr/>
                        <wps:spPr bwMode="auto">
                          <a:xfrm>
                            <a:off x="2069" y="3368"/>
                            <a:ext cx="8130" cy="2040"/>
                          </a:xfrm>
                          <a:custGeom>
                            <a:avLst/>
                            <a:gdLst>
                              <a:gd name="T0" fmla="*/ 6810 w 8130"/>
                              <a:gd name="T1" fmla="*/ 5393 h 2040"/>
                              <a:gd name="T2" fmla="*/ 0 w 8130"/>
                              <a:gd name="T3" fmla="*/ 5393 h 2040"/>
                              <a:gd name="T4" fmla="*/ 0 w 8130"/>
                              <a:gd name="T5" fmla="*/ 5408 h 2040"/>
                              <a:gd name="T6" fmla="*/ 6810 w 8130"/>
                              <a:gd name="T7" fmla="*/ 5408 h 2040"/>
                              <a:gd name="T8" fmla="*/ 6810 w 8130"/>
                              <a:gd name="T9" fmla="*/ 5393 h 2040"/>
                              <a:gd name="T10" fmla="*/ 6810 w 8130"/>
                              <a:gd name="T11" fmla="*/ 4718 h 2040"/>
                              <a:gd name="T12" fmla="*/ 0 w 8130"/>
                              <a:gd name="T13" fmla="*/ 4718 h 2040"/>
                              <a:gd name="T14" fmla="*/ 0 w 8130"/>
                              <a:gd name="T15" fmla="*/ 4733 h 2040"/>
                              <a:gd name="T16" fmla="*/ 6810 w 8130"/>
                              <a:gd name="T17" fmla="*/ 4733 h 2040"/>
                              <a:gd name="T18" fmla="*/ 6810 w 8130"/>
                              <a:gd name="T19" fmla="*/ 4718 h 2040"/>
                              <a:gd name="T20" fmla="*/ 6810 w 8130"/>
                              <a:gd name="T21" fmla="*/ 4043 h 2040"/>
                              <a:gd name="T22" fmla="*/ 0 w 8130"/>
                              <a:gd name="T23" fmla="*/ 4043 h 2040"/>
                              <a:gd name="T24" fmla="*/ 0 w 8130"/>
                              <a:gd name="T25" fmla="*/ 4058 h 2040"/>
                              <a:gd name="T26" fmla="*/ 6810 w 8130"/>
                              <a:gd name="T27" fmla="*/ 4058 h 2040"/>
                              <a:gd name="T28" fmla="*/ 6810 w 8130"/>
                              <a:gd name="T29" fmla="*/ 4043 h 2040"/>
                              <a:gd name="T30" fmla="*/ 8130 w 8130"/>
                              <a:gd name="T31" fmla="*/ 5393 h 2040"/>
                              <a:gd name="T32" fmla="*/ 7815 w 8130"/>
                              <a:gd name="T33" fmla="*/ 5393 h 2040"/>
                              <a:gd name="T34" fmla="*/ 7815 w 8130"/>
                              <a:gd name="T35" fmla="*/ 5408 h 2040"/>
                              <a:gd name="T36" fmla="*/ 8130 w 8130"/>
                              <a:gd name="T37" fmla="*/ 5408 h 2040"/>
                              <a:gd name="T38" fmla="*/ 8130 w 8130"/>
                              <a:gd name="T39" fmla="*/ 5393 h 2040"/>
                              <a:gd name="T40" fmla="*/ 8130 w 8130"/>
                              <a:gd name="T41" fmla="*/ 4718 h 2040"/>
                              <a:gd name="T42" fmla="*/ 7815 w 8130"/>
                              <a:gd name="T43" fmla="*/ 4718 h 2040"/>
                              <a:gd name="T44" fmla="*/ 7815 w 8130"/>
                              <a:gd name="T45" fmla="*/ 4733 h 2040"/>
                              <a:gd name="T46" fmla="*/ 8130 w 8130"/>
                              <a:gd name="T47" fmla="*/ 4733 h 2040"/>
                              <a:gd name="T48" fmla="*/ 8130 w 8130"/>
                              <a:gd name="T49" fmla="*/ 4718 h 2040"/>
                              <a:gd name="T50" fmla="*/ 8130 w 8130"/>
                              <a:gd name="T51" fmla="*/ 4043 h 2040"/>
                              <a:gd name="T52" fmla="*/ 7815 w 8130"/>
                              <a:gd name="T53" fmla="*/ 4043 h 2040"/>
                              <a:gd name="T54" fmla="*/ 7815 w 8130"/>
                              <a:gd name="T55" fmla="*/ 4058 h 2040"/>
                              <a:gd name="T56" fmla="*/ 8130 w 8130"/>
                              <a:gd name="T57" fmla="*/ 4058 h 2040"/>
                              <a:gd name="T58" fmla="*/ 8130 w 8130"/>
                              <a:gd name="T59" fmla="*/ 4043 h 2040"/>
                              <a:gd name="T60" fmla="*/ 8130 w 8130"/>
                              <a:gd name="T61" fmla="*/ 3368 h 2040"/>
                              <a:gd name="T62" fmla="*/ 0 w 8130"/>
                              <a:gd name="T63" fmla="*/ 3368 h 2040"/>
                              <a:gd name="T64" fmla="*/ 0 w 8130"/>
                              <a:gd name="T65" fmla="*/ 3383 h 2040"/>
                              <a:gd name="T66" fmla="*/ 8130 w 8130"/>
                              <a:gd name="T67" fmla="*/ 3383 h 2040"/>
                              <a:gd name="T68" fmla="*/ 8130 w 8130"/>
                              <a:gd name="T69" fmla="*/ 3368 h 204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130" h="2040">
                                <a:moveTo>
                                  <a:pt x="6810" y="2025"/>
                                </a:moveTo>
                                <a:lnTo>
                                  <a:pt x="0" y="2025"/>
                                </a:lnTo>
                                <a:lnTo>
                                  <a:pt x="0" y="2040"/>
                                </a:lnTo>
                                <a:lnTo>
                                  <a:pt x="6810" y="2040"/>
                                </a:lnTo>
                                <a:lnTo>
                                  <a:pt x="6810" y="2025"/>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090856399" name="AutoShape 150"/>
                        <wps:cNvSpPr/>
                        <wps:spPr bwMode="auto">
                          <a:xfrm>
                            <a:off x="2384" y="5633"/>
                            <a:ext cx="5880" cy="98"/>
                          </a:xfrm>
                          <a:custGeom>
                            <a:avLst/>
                            <a:gdLst>
                              <a:gd name="T0" fmla="*/ 1005 w 5880"/>
                              <a:gd name="T1" fmla="*/ 5723 h 98"/>
                              <a:gd name="T2" fmla="*/ 0 w 5880"/>
                              <a:gd name="T3" fmla="*/ 5723 h 98"/>
                              <a:gd name="T4" fmla="*/ 0 w 5880"/>
                              <a:gd name="T5" fmla="*/ 5731 h 98"/>
                              <a:gd name="T6" fmla="*/ 1005 w 5880"/>
                              <a:gd name="T7" fmla="*/ 5731 h 98"/>
                              <a:gd name="T8" fmla="*/ 1005 w 5880"/>
                              <a:gd name="T9" fmla="*/ 5723 h 98"/>
                              <a:gd name="T10" fmla="*/ 2625 w 5880"/>
                              <a:gd name="T11" fmla="*/ 5723 h 98"/>
                              <a:gd name="T12" fmla="*/ 1620 w 5880"/>
                              <a:gd name="T13" fmla="*/ 5723 h 98"/>
                              <a:gd name="T14" fmla="*/ 1620 w 5880"/>
                              <a:gd name="T15" fmla="*/ 5731 h 98"/>
                              <a:gd name="T16" fmla="*/ 2625 w 5880"/>
                              <a:gd name="T17" fmla="*/ 5731 h 98"/>
                              <a:gd name="T18" fmla="*/ 2625 w 5880"/>
                              <a:gd name="T19" fmla="*/ 5723 h 98"/>
                              <a:gd name="T20" fmla="*/ 4245 w 5880"/>
                              <a:gd name="T21" fmla="*/ 5677 h 98"/>
                              <a:gd name="T22" fmla="*/ 3255 w 5880"/>
                              <a:gd name="T23" fmla="*/ 5677 h 98"/>
                              <a:gd name="T24" fmla="*/ 3255 w 5880"/>
                              <a:gd name="T25" fmla="*/ 5731 h 98"/>
                              <a:gd name="T26" fmla="*/ 4245 w 5880"/>
                              <a:gd name="T27" fmla="*/ 5731 h 98"/>
                              <a:gd name="T28" fmla="*/ 4245 w 5880"/>
                              <a:gd name="T29" fmla="*/ 5677 h 98"/>
                              <a:gd name="T30" fmla="*/ 5880 w 5880"/>
                              <a:gd name="T31" fmla="*/ 5633 h 98"/>
                              <a:gd name="T32" fmla="*/ 4875 w 5880"/>
                              <a:gd name="T33" fmla="*/ 5633 h 98"/>
                              <a:gd name="T34" fmla="*/ 4875 w 5880"/>
                              <a:gd name="T35" fmla="*/ 5723 h 98"/>
                              <a:gd name="T36" fmla="*/ 5880 w 5880"/>
                              <a:gd name="T37" fmla="*/ 5723 h 98"/>
                              <a:gd name="T38" fmla="*/ 5880 w 5880"/>
                              <a:gd name="T39" fmla="*/ 5633 h 9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880" h="98">
                                <a:moveTo>
                                  <a:pt x="1005" y="90"/>
                                </a:moveTo>
                                <a:lnTo>
                                  <a:pt x="0" y="90"/>
                                </a:lnTo>
                                <a:lnTo>
                                  <a:pt x="0" y="98"/>
                                </a:lnTo>
                                <a:lnTo>
                                  <a:pt x="1005" y="98"/>
                                </a:lnTo>
                                <a:lnTo>
                                  <a:pt x="1005" y="90"/>
                                </a:lnTo>
                                <a:close/>
                                <a:moveTo>
                                  <a:pt x="2625" y="90"/>
                                </a:moveTo>
                                <a:lnTo>
                                  <a:pt x="1620" y="90"/>
                                </a:lnTo>
                                <a:lnTo>
                                  <a:pt x="1620" y="98"/>
                                </a:lnTo>
                                <a:lnTo>
                                  <a:pt x="2625" y="98"/>
                                </a:lnTo>
                                <a:lnTo>
                                  <a:pt x="2625" y="90"/>
                                </a:lnTo>
                                <a:close/>
                                <a:moveTo>
                                  <a:pt x="4245" y="44"/>
                                </a:moveTo>
                                <a:lnTo>
                                  <a:pt x="3255" y="44"/>
                                </a:lnTo>
                                <a:lnTo>
                                  <a:pt x="3255" y="98"/>
                                </a:lnTo>
                                <a:lnTo>
                                  <a:pt x="4245" y="98"/>
                                </a:lnTo>
                                <a:lnTo>
                                  <a:pt x="4245" y="44"/>
                                </a:lnTo>
                                <a:close/>
                                <a:moveTo>
                                  <a:pt x="5880" y="0"/>
                                </a:moveTo>
                                <a:lnTo>
                                  <a:pt x="4875" y="0"/>
                                </a:lnTo>
                                <a:lnTo>
                                  <a:pt x="4875" y="90"/>
                                </a:lnTo>
                                <a:lnTo>
                                  <a:pt x="5880" y="90"/>
                                </a:lnTo>
                                <a:lnTo>
                                  <a:pt x="5880" y="0"/>
                                </a:lnTo>
                                <a:close/>
                              </a:path>
                            </a:pathLst>
                          </a:custGeom>
                          <a:solidFill>
                            <a:srgbClr val="663AB6"/>
                          </a:solidFill>
                          <a:ln>
                            <a:noFill/>
                          </a:ln>
                          <a:effectLst/>
                        </wps:spPr>
                        <wps:bodyPr rot="0" vert="horz" wrap="square" lIns="91440" tIns="45720" rIns="91440" bIns="45720" anchor="t" anchorCtr="0" upright="1">
                          <a:noAutofit/>
                        </wps:bodyPr>
                      </wps:wsp>
                      <wps:wsp>
                        <wps:cNvPr id="547151060" name="Rectangle 149"/>
                        <wps:cNvSpPr>
                          <a:spLocks noChangeArrowheads="1"/>
                        </wps:cNvSpPr>
                        <wps:spPr bwMode="auto">
                          <a:xfrm>
                            <a:off x="2070" y="5723"/>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1876833749" name="AutoShape 148"/>
                        <wps:cNvSpPr/>
                        <wps:spPr bwMode="auto">
                          <a:xfrm>
                            <a:off x="2879" y="5453"/>
                            <a:ext cx="4890" cy="270"/>
                          </a:xfrm>
                          <a:custGeom>
                            <a:avLst/>
                            <a:gdLst>
                              <a:gd name="T0" fmla="*/ 15 w 4890"/>
                              <a:gd name="T1" fmla="*/ 5543 h 270"/>
                              <a:gd name="T2" fmla="*/ 0 w 4890"/>
                              <a:gd name="T3" fmla="*/ 5543 h 270"/>
                              <a:gd name="T4" fmla="*/ 0 w 4890"/>
                              <a:gd name="T5" fmla="*/ 5723 h 270"/>
                              <a:gd name="T6" fmla="*/ 15 w 4890"/>
                              <a:gd name="T7" fmla="*/ 5723 h 270"/>
                              <a:gd name="T8" fmla="*/ 15 w 4890"/>
                              <a:gd name="T9" fmla="*/ 5543 h 270"/>
                              <a:gd name="T10" fmla="*/ 1635 w 4890"/>
                              <a:gd name="T11" fmla="*/ 5543 h 270"/>
                              <a:gd name="T12" fmla="*/ 1620 w 4890"/>
                              <a:gd name="T13" fmla="*/ 5543 h 270"/>
                              <a:gd name="T14" fmla="*/ 1620 w 4890"/>
                              <a:gd name="T15" fmla="*/ 5723 h 270"/>
                              <a:gd name="T16" fmla="*/ 1635 w 4890"/>
                              <a:gd name="T17" fmla="*/ 5723 h 270"/>
                              <a:gd name="T18" fmla="*/ 1635 w 4890"/>
                              <a:gd name="T19" fmla="*/ 5543 h 270"/>
                              <a:gd name="T20" fmla="*/ 3270 w 4890"/>
                              <a:gd name="T21" fmla="*/ 5497 h 270"/>
                              <a:gd name="T22" fmla="*/ 3255 w 4890"/>
                              <a:gd name="T23" fmla="*/ 5497 h 270"/>
                              <a:gd name="T24" fmla="*/ 3255 w 4890"/>
                              <a:gd name="T25" fmla="*/ 5677 h 270"/>
                              <a:gd name="T26" fmla="*/ 3270 w 4890"/>
                              <a:gd name="T27" fmla="*/ 5677 h 270"/>
                              <a:gd name="T28" fmla="*/ 3270 w 4890"/>
                              <a:gd name="T29" fmla="*/ 5497 h 270"/>
                              <a:gd name="T30" fmla="*/ 4890 w 4890"/>
                              <a:gd name="T31" fmla="*/ 5453 h 270"/>
                              <a:gd name="T32" fmla="*/ 4875 w 4890"/>
                              <a:gd name="T33" fmla="*/ 5453 h 270"/>
                              <a:gd name="T34" fmla="*/ 4875 w 4890"/>
                              <a:gd name="T35" fmla="*/ 5633 h 270"/>
                              <a:gd name="T36" fmla="*/ 4890 w 4890"/>
                              <a:gd name="T37" fmla="*/ 5633 h 270"/>
                              <a:gd name="T38" fmla="*/ 4890 w 4890"/>
                              <a:gd name="T39" fmla="*/ 5453 h 2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90" h="270">
                                <a:moveTo>
                                  <a:pt x="15" y="90"/>
                                </a:moveTo>
                                <a:lnTo>
                                  <a:pt x="0" y="90"/>
                                </a:lnTo>
                                <a:lnTo>
                                  <a:pt x="0" y="270"/>
                                </a:lnTo>
                                <a:lnTo>
                                  <a:pt x="15" y="270"/>
                                </a:lnTo>
                                <a:lnTo>
                                  <a:pt x="15" y="90"/>
                                </a:lnTo>
                                <a:close/>
                                <a:moveTo>
                                  <a:pt x="1635" y="90"/>
                                </a:moveTo>
                                <a:lnTo>
                                  <a:pt x="1620" y="90"/>
                                </a:lnTo>
                                <a:lnTo>
                                  <a:pt x="1620" y="270"/>
                                </a:lnTo>
                                <a:lnTo>
                                  <a:pt x="1635" y="270"/>
                                </a:lnTo>
                                <a:lnTo>
                                  <a:pt x="1635" y="90"/>
                                </a:lnTo>
                                <a:close/>
                                <a:moveTo>
                                  <a:pt x="3270" y="44"/>
                                </a:moveTo>
                                <a:lnTo>
                                  <a:pt x="3255" y="44"/>
                                </a:lnTo>
                                <a:lnTo>
                                  <a:pt x="3255" y="224"/>
                                </a:lnTo>
                                <a:lnTo>
                                  <a:pt x="3270" y="224"/>
                                </a:lnTo>
                                <a:lnTo>
                                  <a:pt x="3270" y="44"/>
                                </a:lnTo>
                                <a:close/>
                                <a:moveTo>
                                  <a:pt x="4890" y="0"/>
                                </a:moveTo>
                                <a:lnTo>
                                  <a:pt x="4875" y="0"/>
                                </a:lnTo>
                                <a:lnTo>
                                  <a:pt x="4875" y="180"/>
                                </a:lnTo>
                                <a:lnTo>
                                  <a:pt x="4890" y="180"/>
                                </a:lnTo>
                                <a:lnTo>
                                  <a:pt x="4890" y="0"/>
                                </a:lnTo>
                                <a:close/>
                              </a:path>
                            </a:pathLst>
                          </a:custGeom>
                          <a:solidFill>
                            <a:srgbClr val="999999"/>
                          </a:solidFill>
                          <a:ln>
                            <a:noFill/>
                          </a:ln>
                          <a:effectLst/>
                        </wps:spPr>
                        <wps:bodyPr rot="0" vert="horz" wrap="square" lIns="91440" tIns="45720" rIns="91440" bIns="45720" anchor="t" anchorCtr="0" upright="1">
                          <a:noAutofit/>
                        </wps:bodyPr>
                      </wps:wsp>
                      <wps:wsp>
                        <wps:cNvPr id="1944938727" name="AutoShape 147"/>
                        <wps:cNvSpPr/>
                        <wps:spPr bwMode="auto">
                          <a:xfrm>
                            <a:off x="2622" y="5294"/>
                            <a:ext cx="5392" cy="259"/>
                          </a:xfrm>
                          <a:custGeom>
                            <a:avLst/>
                            <a:gdLst>
                              <a:gd name="T0" fmla="*/ 82 w 5392"/>
                              <a:gd name="T1" fmla="*/ 5422 h 259"/>
                              <a:gd name="T2" fmla="*/ 0 w 5392"/>
                              <a:gd name="T3" fmla="*/ 5452 h 259"/>
                              <a:gd name="T4" fmla="*/ 61 w 5392"/>
                              <a:gd name="T5" fmla="*/ 5410 h 259"/>
                              <a:gd name="T6" fmla="*/ 154 w 5392"/>
                              <a:gd name="T7" fmla="*/ 5469 h 259"/>
                              <a:gd name="T8" fmla="*/ 172 w 5392"/>
                              <a:gd name="T9" fmla="*/ 5490 h 259"/>
                              <a:gd name="T10" fmla="*/ 280 w 5392"/>
                              <a:gd name="T11" fmla="*/ 5397 h 259"/>
                              <a:gd name="T12" fmla="*/ 223 w 5392"/>
                              <a:gd name="T13" fmla="*/ 5505 h 259"/>
                              <a:gd name="T14" fmla="*/ 278 w 5392"/>
                              <a:gd name="T15" fmla="*/ 5452 h 259"/>
                              <a:gd name="T16" fmla="*/ 325 w 5392"/>
                              <a:gd name="T17" fmla="*/ 5388 h 259"/>
                              <a:gd name="T18" fmla="*/ 314 w 5392"/>
                              <a:gd name="T19" fmla="*/ 5430 h 259"/>
                              <a:gd name="T20" fmla="*/ 355 w 5392"/>
                              <a:gd name="T21" fmla="*/ 5427 h 259"/>
                              <a:gd name="T22" fmla="*/ 424 w 5392"/>
                              <a:gd name="T23" fmla="*/ 5452 h 259"/>
                              <a:gd name="T24" fmla="*/ 424 w 5392"/>
                              <a:gd name="T25" fmla="*/ 5463 h 259"/>
                              <a:gd name="T26" fmla="*/ 438 w 5392"/>
                              <a:gd name="T27" fmla="*/ 5478 h 259"/>
                              <a:gd name="T28" fmla="*/ 481 w 5392"/>
                              <a:gd name="T29" fmla="*/ 5397 h 259"/>
                              <a:gd name="T30" fmla="*/ 1620 w 5392"/>
                              <a:gd name="T31" fmla="*/ 5452 h 259"/>
                              <a:gd name="T32" fmla="*/ 1703 w 5392"/>
                              <a:gd name="T33" fmla="*/ 5429 h 259"/>
                              <a:gd name="T34" fmla="*/ 1637 w 5392"/>
                              <a:gd name="T35" fmla="*/ 5452 h 259"/>
                              <a:gd name="T36" fmla="*/ 1676 w 5392"/>
                              <a:gd name="T37" fmla="*/ 5403 h 259"/>
                              <a:gd name="T38" fmla="*/ 1774 w 5392"/>
                              <a:gd name="T39" fmla="*/ 5459 h 259"/>
                              <a:gd name="T40" fmla="*/ 1797 w 5392"/>
                              <a:gd name="T41" fmla="*/ 5512 h 259"/>
                              <a:gd name="T42" fmla="*/ 1904 w 5392"/>
                              <a:gd name="T43" fmla="*/ 5403 h 259"/>
                              <a:gd name="T44" fmla="*/ 1838 w 5392"/>
                              <a:gd name="T45" fmla="*/ 5495 h 259"/>
                              <a:gd name="T46" fmla="*/ 1898 w 5392"/>
                              <a:gd name="T47" fmla="*/ 5438 h 259"/>
                              <a:gd name="T48" fmla="*/ 1952 w 5392"/>
                              <a:gd name="T49" fmla="*/ 5385 h 259"/>
                              <a:gd name="T50" fmla="*/ 1934 w 5392"/>
                              <a:gd name="T51" fmla="*/ 5418 h 259"/>
                              <a:gd name="T52" fmla="*/ 1975 w 5392"/>
                              <a:gd name="T53" fmla="*/ 5418 h 259"/>
                              <a:gd name="T54" fmla="*/ 2052 w 5392"/>
                              <a:gd name="T55" fmla="*/ 5452 h 259"/>
                              <a:gd name="T56" fmla="*/ 2040 w 5392"/>
                              <a:gd name="T57" fmla="*/ 5463 h 259"/>
                              <a:gd name="T58" fmla="*/ 2057 w 5392"/>
                              <a:gd name="T59" fmla="*/ 5472 h 259"/>
                              <a:gd name="T60" fmla="*/ 2094 w 5392"/>
                              <a:gd name="T61" fmla="*/ 5385 h 259"/>
                              <a:gd name="T62" fmla="*/ 3263 w 5392"/>
                              <a:gd name="T63" fmla="*/ 5470 h 259"/>
                              <a:gd name="T64" fmla="*/ 3240 w 5392"/>
                              <a:gd name="T65" fmla="*/ 5360 h 259"/>
                              <a:gd name="T66" fmla="*/ 3252 w 5392"/>
                              <a:gd name="T67" fmla="*/ 5351 h 259"/>
                              <a:gd name="T68" fmla="*/ 3263 w 5392"/>
                              <a:gd name="T69" fmla="*/ 5454 h 259"/>
                              <a:gd name="T70" fmla="*/ 3369 w 5392"/>
                              <a:gd name="T71" fmla="*/ 5351 h 259"/>
                              <a:gd name="T72" fmla="*/ 3390 w 5392"/>
                              <a:gd name="T73" fmla="*/ 5459 h 259"/>
                              <a:gd name="T74" fmla="*/ 3425 w 5392"/>
                              <a:gd name="T75" fmla="*/ 5353 h 259"/>
                              <a:gd name="T76" fmla="*/ 3473 w 5392"/>
                              <a:gd name="T77" fmla="*/ 5381 h 259"/>
                              <a:gd name="T78" fmla="*/ 3517 w 5392"/>
                              <a:gd name="T79" fmla="*/ 5470 h 259"/>
                              <a:gd name="T80" fmla="*/ 3562 w 5392"/>
                              <a:gd name="T81" fmla="*/ 5447 h 259"/>
                              <a:gd name="T82" fmla="*/ 3685 w 5392"/>
                              <a:gd name="T83" fmla="*/ 5342 h 259"/>
                              <a:gd name="T84" fmla="*/ 3664 w 5392"/>
                              <a:gd name="T85" fmla="*/ 5351 h 259"/>
                              <a:gd name="T86" fmla="*/ 3681 w 5392"/>
                              <a:gd name="T87" fmla="*/ 5355 h 259"/>
                              <a:gd name="T88" fmla="*/ 3779 w 5392"/>
                              <a:gd name="T89" fmla="*/ 5421 h 259"/>
                              <a:gd name="T90" fmla="*/ 3742 w 5392"/>
                              <a:gd name="T91" fmla="*/ 5426 h 259"/>
                              <a:gd name="T92" fmla="*/ 3758 w 5392"/>
                              <a:gd name="T93" fmla="*/ 5417 h 259"/>
                              <a:gd name="T94" fmla="*/ 3830 w 5392"/>
                              <a:gd name="T95" fmla="*/ 5361 h 259"/>
                              <a:gd name="T96" fmla="*/ 4901 w 5392"/>
                              <a:gd name="T97" fmla="*/ 5409 h 259"/>
                              <a:gd name="T98" fmla="*/ 4908 w 5392"/>
                              <a:gd name="T99" fmla="*/ 5351 h 259"/>
                              <a:gd name="T100" fmla="*/ 4897 w 5392"/>
                              <a:gd name="T101" fmla="*/ 5319 h 259"/>
                              <a:gd name="T102" fmla="*/ 4954 w 5392"/>
                              <a:gd name="T103" fmla="*/ 5336 h 259"/>
                              <a:gd name="T104" fmla="*/ 4896 w 5392"/>
                              <a:gd name="T105" fmla="*/ 5425 h 259"/>
                              <a:gd name="T106" fmla="*/ 5046 w 5392"/>
                              <a:gd name="T107" fmla="*/ 5317 h 259"/>
                              <a:gd name="T108" fmla="*/ 5136 w 5392"/>
                              <a:gd name="T109" fmla="*/ 5395 h 259"/>
                              <a:gd name="T110" fmla="*/ 5200 w 5392"/>
                              <a:gd name="T111" fmla="*/ 5298 h 259"/>
                              <a:gd name="T112" fmla="*/ 5189 w 5392"/>
                              <a:gd name="T113" fmla="*/ 5340 h 259"/>
                              <a:gd name="T114" fmla="*/ 5230 w 5392"/>
                              <a:gd name="T115" fmla="*/ 5337 h 259"/>
                              <a:gd name="T116" fmla="*/ 5299 w 5392"/>
                              <a:gd name="T117" fmla="*/ 5362 h 259"/>
                              <a:gd name="T118" fmla="*/ 5299 w 5392"/>
                              <a:gd name="T119" fmla="*/ 5373 h 259"/>
                              <a:gd name="T120" fmla="*/ 5313 w 5392"/>
                              <a:gd name="T121" fmla="*/ 5388 h 259"/>
                              <a:gd name="T122" fmla="*/ 5356 w 5392"/>
                              <a:gd name="T123" fmla="*/ 5307 h 25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392" h="259">
                                <a:moveTo>
                                  <a:pt x="0" y="157"/>
                                </a:moveTo>
                                <a:lnTo>
                                  <a:pt x="0" y="142"/>
                                </a:lnTo>
                                <a:lnTo>
                                  <a:pt x="2" y="130"/>
                                </a:lnTo>
                                <a:lnTo>
                                  <a:pt x="5" y="121"/>
                                </a:lnTo>
                                <a:lnTo>
                                  <a:pt x="8" y="111"/>
                                </a:lnTo>
                                <a:lnTo>
                                  <a:pt x="13" y="104"/>
                                </a:lnTo>
                                <a:lnTo>
                                  <a:pt x="19" y="99"/>
                                </a:lnTo>
                                <a:lnTo>
                                  <a:pt x="25" y="94"/>
                                </a:lnTo>
                                <a:lnTo>
                                  <a:pt x="33" y="91"/>
                                </a:lnTo>
                                <a:lnTo>
                                  <a:pt x="42" y="91"/>
                                </a:lnTo>
                                <a:lnTo>
                                  <a:pt x="49" y="91"/>
                                </a:lnTo>
                                <a:lnTo>
                                  <a:pt x="55" y="93"/>
                                </a:lnTo>
                                <a:lnTo>
                                  <a:pt x="61" y="96"/>
                                </a:lnTo>
                                <a:lnTo>
                                  <a:pt x="66" y="98"/>
                                </a:lnTo>
                                <a:lnTo>
                                  <a:pt x="70" y="102"/>
                                </a:lnTo>
                                <a:lnTo>
                                  <a:pt x="74" y="108"/>
                                </a:lnTo>
                                <a:lnTo>
                                  <a:pt x="77" y="113"/>
                                </a:lnTo>
                                <a:lnTo>
                                  <a:pt x="80" y="119"/>
                                </a:lnTo>
                                <a:lnTo>
                                  <a:pt x="82" y="127"/>
                                </a:lnTo>
                                <a:lnTo>
                                  <a:pt x="83" y="134"/>
                                </a:lnTo>
                                <a:lnTo>
                                  <a:pt x="84" y="145"/>
                                </a:lnTo>
                                <a:lnTo>
                                  <a:pt x="84" y="157"/>
                                </a:lnTo>
                                <a:lnTo>
                                  <a:pt x="84" y="172"/>
                                </a:lnTo>
                                <a:lnTo>
                                  <a:pt x="83" y="185"/>
                                </a:lnTo>
                                <a:lnTo>
                                  <a:pt x="80" y="194"/>
                                </a:lnTo>
                                <a:lnTo>
                                  <a:pt x="77" y="203"/>
                                </a:lnTo>
                                <a:lnTo>
                                  <a:pt x="72" y="210"/>
                                </a:lnTo>
                                <a:lnTo>
                                  <a:pt x="66" y="215"/>
                                </a:lnTo>
                                <a:lnTo>
                                  <a:pt x="60" y="221"/>
                                </a:lnTo>
                                <a:lnTo>
                                  <a:pt x="52" y="223"/>
                                </a:lnTo>
                                <a:lnTo>
                                  <a:pt x="42" y="223"/>
                                </a:lnTo>
                                <a:lnTo>
                                  <a:pt x="30" y="223"/>
                                </a:lnTo>
                                <a:lnTo>
                                  <a:pt x="20" y="219"/>
                                </a:lnTo>
                                <a:lnTo>
                                  <a:pt x="13" y="210"/>
                                </a:lnTo>
                                <a:lnTo>
                                  <a:pt x="8" y="200"/>
                                </a:lnTo>
                                <a:lnTo>
                                  <a:pt x="4" y="189"/>
                                </a:lnTo>
                                <a:lnTo>
                                  <a:pt x="1" y="174"/>
                                </a:lnTo>
                                <a:lnTo>
                                  <a:pt x="0" y="157"/>
                                </a:lnTo>
                                <a:close/>
                                <a:moveTo>
                                  <a:pt x="17" y="157"/>
                                </a:moveTo>
                                <a:lnTo>
                                  <a:pt x="17" y="172"/>
                                </a:lnTo>
                                <a:lnTo>
                                  <a:pt x="19" y="184"/>
                                </a:lnTo>
                                <a:lnTo>
                                  <a:pt x="21" y="193"/>
                                </a:lnTo>
                                <a:lnTo>
                                  <a:pt x="24" y="200"/>
                                </a:lnTo>
                                <a:lnTo>
                                  <a:pt x="29" y="207"/>
                                </a:lnTo>
                                <a:lnTo>
                                  <a:pt x="35" y="210"/>
                                </a:lnTo>
                                <a:lnTo>
                                  <a:pt x="42" y="210"/>
                                </a:lnTo>
                                <a:lnTo>
                                  <a:pt x="50" y="210"/>
                                </a:lnTo>
                                <a:lnTo>
                                  <a:pt x="56" y="207"/>
                                </a:lnTo>
                                <a:lnTo>
                                  <a:pt x="61" y="200"/>
                                </a:lnTo>
                                <a:lnTo>
                                  <a:pt x="64" y="193"/>
                                </a:lnTo>
                                <a:lnTo>
                                  <a:pt x="66" y="184"/>
                                </a:lnTo>
                                <a:lnTo>
                                  <a:pt x="68" y="172"/>
                                </a:lnTo>
                                <a:lnTo>
                                  <a:pt x="68" y="157"/>
                                </a:lnTo>
                                <a:lnTo>
                                  <a:pt x="68" y="143"/>
                                </a:lnTo>
                                <a:lnTo>
                                  <a:pt x="66" y="131"/>
                                </a:lnTo>
                                <a:lnTo>
                                  <a:pt x="64" y="122"/>
                                </a:lnTo>
                                <a:lnTo>
                                  <a:pt x="61" y="115"/>
                                </a:lnTo>
                                <a:lnTo>
                                  <a:pt x="56" y="108"/>
                                </a:lnTo>
                                <a:lnTo>
                                  <a:pt x="50" y="105"/>
                                </a:lnTo>
                                <a:lnTo>
                                  <a:pt x="42" y="105"/>
                                </a:lnTo>
                                <a:lnTo>
                                  <a:pt x="35" y="105"/>
                                </a:lnTo>
                                <a:lnTo>
                                  <a:pt x="29" y="108"/>
                                </a:lnTo>
                                <a:lnTo>
                                  <a:pt x="25" y="114"/>
                                </a:lnTo>
                                <a:lnTo>
                                  <a:pt x="21" y="121"/>
                                </a:lnTo>
                                <a:lnTo>
                                  <a:pt x="19" y="131"/>
                                </a:lnTo>
                                <a:lnTo>
                                  <a:pt x="17" y="143"/>
                                </a:lnTo>
                                <a:lnTo>
                                  <a:pt x="17" y="157"/>
                                </a:lnTo>
                                <a:close/>
                                <a:moveTo>
                                  <a:pt x="185" y="259"/>
                                </a:moveTo>
                                <a:lnTo>
                                  <a:pt x="179" y="250"/>
                                </a:lnTo>
                                <a:lnTo>
                                  <a:pt x="173" y="241"/>
                                </a:lnTo>
                                <a:lnTo>
                                  <a:pt x="168" y="231"/>
                                </a:lnTo>
                                <a:lnTo>
                                  <a:pt x="163" y="220"/>
                                </a:lnTo>
                                <a:lnTo>
                                  <a:pt x="159" y="209"/>
                                </a:lnTo>
                                <a:lnTo>
                                  <a:pt x="156" y="198"/>
                                </a:lnTo>
                                <a:lnTo>
                                  <a:pt x="155" y="186"/>
                                </a:lnTo>
                                <a:lnTo>
                                  <a:pt x="154" y="174"/>
                                </a:lnTo>
                                <a:lnTo>
                                  <a:pt x="154" y="164"/>
                                </a:lnTo>
                                <a:lnTo>
                                  <a:pt x="156" y="154"/>
                                </a:lnTo>
                                <a:lnTo>
                                  <a:pt x="158" y="144"/>
                                </a:lnTo>
                                <a:lnTo>
                                  <a:pt x="161" y="134"/>
                                </a:lnTo>
                                <a:lnTo>
                                  <a:pt x="165" y="123"/>
                                </a:lnTo>
                                <a:lnTo>
                                  <a:pt x="171" y="112"/>
                                </a:lnTo>
                                <a:lnTo>
                                  <a:pt x="177" y="101"/>
                                </a:lnTo>
                                <a:lnTo>
                                  <a:pt x="185" y="90"/>
                                </a:lnTo>
                                <a:lnTo>
                                  <a:pt x="196" y="90"/>
                                </a:lnTo>
                                <a:lnTo>
                                  <a:pt x="189" y="102"/>
                                </a:lnTo>
                                <a:lnTo>
                                  <a:pt x="185" y="111"/>
                                </a:lnTo>
                                <a:lnTo>
                                  <a:pt x="182" y="116"/>
                                </a:lnTo>
                                <a:lnTo>
                                  <a:pt x="179" y="124"/>
                                </a:lnTo>
                                <a:lnTo>
                                  <a:pt x="176" y="132"/>
                                </a:lnTo>
                                <a:lnTo>
                                  <a:pt x="174" y="141"/>
                                </a:lnTo>
                                <a:lnTo>
                                  <a:pt x="171" y="152"/>
                                </a:lnTo>
                                <a:lnTo>
                                  <a:pt x="170" y="163"/>
                                </a:lnTo>
                                <a:lnTo>
                                  <a:pt x="170" y="174"/>
                                </a:lnTo>
                                <a:lnTo>
                                  <a:pt x="172" y="195"/>
                                </a:lnTo>
                                <a:lnTo>
                                  <a:pt x="177" y="217"/>
                                </a:lnTo>
                                <a:lnTo>
                                  <a:pt x="185" y="238"/>
                                </a:lnTo>
                                <a:lnTo>
                                  <a:pt x="196" y="259"/>
                                </a:lnTo>
                                <a:lnTo>
                                  <a:pt x="185" y="259"/>
                                </a:lnTo>
                                <a:close/>
                                <a:moveTo>
                                  <a:pt x="210" y="157"/>
                                </a:moveTo>
                                <a:lnTo>
                                  <a:pt x="210" y="142"/>
                                </a:lnTo>
                                <a:lnTo>
                                  <a:pt x="212" y="130"/>
                                </a:lnTo>
                                <a:lnTo>
                                  <a:pt x="215" y="121"/>
                                </a:lnTo>
                                <a:lnTo>
                                  <a:pt x="218" y="111"/>
                                </a:lnTo>
                                <a:lnTo>
                                  <a:pt x="223" y="104"/>
                                </a:lnTo>
                                <a:lnTo>
                                  <a:pt x="229" y="99"/>
                                </a:lnTo>
                                <a:lnTo>
                                  <a:pt x="235" y="94"/>
                                </a:lnTo>
                                <a:lnTo>
                                  <a:pt x="243" y="91"/>
                                </a:lnTo>
                                <a:lnTo>
                                  <a:pt x="252" y="91"/>
                                </a:lnTo>
                                <a:lnTo>
                                  <a:pt x="259" y="91"/>
                                </a:lnTo>
                                <a:lnTo>
                                  <a:pt x="265" y="93"/>
                                </a:lnTo>
                                <a:lnTo>
                                  <a:pt x="271" y="96"/>
                                </a:lnTo>
                                <a:lnTo>
                                  <a:pt x="276" y="98"/>
                                </a:lnTo>
                                <a:lnTo>
                                  <a:pt x="280" y="102"/>
                                </a:lnTo>
                                <a:lnTo>
                                  <a:pt x="284" y="108"/>
                                </a:lnTo>
                                <a:lnTo>
                                  <a:pt x="287" y="113"/>
                                </a:lnTo>
                                <a:lnTo>
                                  <a:pt x="290" y="119"/>
                                </a:lnTo>
                                <a:lnTo>
                                  <a:pt x="292" y="127"/>
                                </a:lnTo>
                                <a:lnTo>
                                  <a:pt x="294" y="134"/>
                                </a:lnTo>
                                <a:lnTo>
                                  <a:pt x="294" y="145"/>
                                </a:lnTo>
                                <a:lnTo>
                                  <a:pt x="294" y="157"/>
                                </a:lnTo>
                                <a:lnTo>
                                  <a:pt x="294" y="172"/>
                                </a:lnTo>
                                <a:lnTo>
                                  <a:pt x="293" y="185"/>
                                </a:lnTo>
                                <a:lnTo>
                                  <a:pt x="290" y="194"/>
                                </a:lnTo>
                                <a:lnTo>
                                  <a:pt x="287" y="203"/>
                                </a:lnTo>
                                <a:lnTo>
                                  <a:pt x="282" y="210"/>
                                </a:lnTo>
                                <a:lnTo>
                                  <a:pt x="276" y="215"/>
                                </a:lnTo>
                                <a:lnTo>
                                  <a:pt x="270" y="221"/>
                                </a:lnTo>
                                <a:lnTo>
                                  <a:pt x="262" y="223"/>
                                </a:lnTo>
                                <a:lnTo>
                                  <a:pt x="252" y="223"/>
                                </a:lnTo>
                                <a:lnTo>
                                  <a:pt x="240" y="223"/>
                                </a:lnTo>
                                <a:lnTo>
                                  <a:pt x="230" y="219"/>
                                </a:lnTo>
                                <a:lnTo>
                                  <a:pt x="223" y="210"/>
                                </a:lnTo>
                                <a:lnTo>
                                  <a:pt x="218" y="200"/>
                                </a:lnTo>
                                <a:lnTo>
                                  <a:pt x="214" y="189"/>
                                </a:lnTo>
                                <a:lnTo>
                                  <a:pt x="211" y="174"/>
                                </a:lnTo>
                                <a:lnTo>
                                  <a:pt x="210" y="157"/>
                                </a:lnTo>
                                <a:close/>
                                <a:moveTo>
                                  <a:pt x="227" y="157"/>
                                </a:moveTo>
                                <a:lnTo>
                                  <a:pt x="227" y="172"/>
                                </a:lnTo>
                                <a:lnTo>
                                  <a:pt x="229" y="184"/>
                                </a:lnTo>
                                <a:lnTo>
                                  <a:pt x="231" y="193"/>
                                </a:lnTo>
                                <a:lnTo>
                                  <a:pt x="234" y="200"/>
                                </a:lnTo>
                                <a:lnTo>
                                  <a:pt x="239" y="207"/>
                                </a:lnTo>
                                <a:lnTo>
                                  <a:pt x="245" y="210"/>
                                </a:lnTo>
                                <a:lnTo>
                                  <a:pt x="252" y="210"/>
                                </a:lnTo>
                                <a:lnTo>
                                  <a:pt x="260" y="210"/>
                                </a:lnTo>
                                <a:lnTo>
                                  <a:pt x="266" y="207"/>
                                </a:lnTo>
                                <a:lnTo>
                                  <a:pt x="271" y="200"/>
                                </a:lnTo>
                                <a:lnTo>
                                  <a:pt x="274" y="193"/>
                                </a:lnTo>
                                <a:lnTo>
                                  <a:pt x="276" y="184"/>
                                </a:lnTo>
                                <a:lnTo>
                                  <a:pt x="278" y="172"/>
                                </a:lnTo>
                                <a:lnTo>
                                  <a:pt x="278" y="157"/>
                                </a:lnTo>
                                <a:lnTo>
                                  <a:pt x="278" y="143"/>
                                </a:lnTo>
                                <a:lnTo>
                                  <a:pt x="276" y="131"/>
                                </a:lnTo>
                                <a:lnTo>
                                  <a:pt x="274" y="122"/>
                                </a:lnTo>
                                <a:lnTo>
                                  <a:pt x="271" y="115"/>
                                </a:lnTo>
                                <a:lnTo>
                                  <a:pt x="266" y="108"/>
                                </a:lnTo>
                                <a:lnTo>
                                  <a:pt x="260" y="105"/>
                                </a:lnTo>
                                <a:lnTo>
                                  <a:pt x="252" y="105"/>
                                </a:lnTo>
                                <a:lnTo>
                                  <a:pt x="245" y="105"/>
                                </a:lnTo>
                                <a:lnTo>
                                  <a:pt x="239" y="108"/>
                                </a:lnTo>
                                <a:lnTo>
                                  <a:pt x="235" y="114"/>
                                </a:lnTo>
                                <a:lnTo>
                                  <a:pt x="231" y="121"/>
                                </a:lnTo>
                                <a:lnTo>
                                  <a:pt x="229" y="131"/>
                                </a:lnTo>
                                <a:lnTo>
                                  <a:pt x="227" y="143"/>
                                </a:lnTo>
                                <a:lnTo>
                                  <a:pt x="227" y="157"/>
                                </a:lnTo>
                                <a:close/>
                                <a:moveTo>
                                  <a:pt x="314" y="123"/>
                                </a:moveTo>
                                <a:lnTo>
                                  <a:pt x="314" y="114"/>
                                </a:lnTo>
                                <a:lnTo>
                                  <a:pt x="316" y="106"/>
                                </a:lnTo>
                                <a:lnTo>
                                  <a:pt x="320" y="99"/>
                                </a:lnTo>
                                <a:lnTo>
                                  <a:pt x="325" y="93"/>
                                </a:lnTo>
                                <a:lnTo>
                                  <a:pt x="332" y="90"/>
                                </a:lnTo>
                                <a:lnTo>
                                  <a:pt x="341" y="90"/>
                                </a:lnTo>
                                <a:lnTo>
                                  <a:pt x="349" y="90"/>
                                </a:lnTo>
                                <a:lnTo>
                                  <a:pt x="355" y="93"/>
                                </a:lnTo>
                                <a:lnTo>
                                  <a:pt x="361" y="98"/>
                                </a:lnTo>
                                <a:lnTo>
                                  <a:pt x="366" y="104"/>
                                </a:lnTo>
                                <a:lnTo>
                                  <a:pt x="369" y="113"/>
                                </a:lnTo>
                                <a:lnTo>
                                  <a:pt x="369" y="124"/>
                                </a:lnTo>
                                <a:lnTo>
                                  <a:pt x="369" y="135"/>
                                </a:lnTo>
                                <a:lnTo>
                                  <a:pt x="366" y="143"/>
                                </a:lnTo>
                                <a:lnTo>
                                  <a:pt x="361" y="149"/>
                                </a:lnTo>
                                <a:lnTo>
                                  <a:pt x="355" y="155"/>
                                </a:lnTo>
                                <a:lnTo>
                                  <a:pt x="349" y="158"/>
                                </a:lnTo>
                                <a:lnTo>
                                  <a:pt x="341" y="158"/>
                                </a:lnTo>
                                <a:lnTo>
                                  <a:pt x="333" y="158"/>
                                </a:lnTo>
                                <a:lnTo>
                                  <a:pt x="327" y="155"/>
                                </a:lnTo>
                                <a:lnTo>
                                  <a:pt x="321" y="149"/>
                                </a:lnTo>
                                <a:lnTo>
                                  <a:pt x="316" y="143"/>
                                </a:lnTo>
                                <a:lnTo>
                                  <a:pt x="314" y="135"/>
                                </a:lnTo>
                                <a:lnTo>
                                  <a:pt x="314" y="123"/>
                                </a:lnTo>
                                <a:close/>
                                <a:moveTo>
                                  <a:pt x="341" y="101"/>
                                </a:moveTo>
                                <a:lnTo>
                                  <a:pt x="337" y="101"/>
                                </a:lnTo>
                                <a:lnTo>
                                  <a:pt x="334" y="102"/>
                                </a:lnTo>
                                <a:lnTo>
                                  <a:pt x="331" y="106"/>
                                </a:lnTo>
                                <a:lnTo>
                                  <a:pt x="329" y="109"/>
                                </a:lnTo>
                                <a:lnTo>
                                  <a:pt x="327" y="115"/>
                                </a:lnTo>
                                <a:lnTo>
                                  <a:pt x="327" y="125"/>
                                </a:lnTo>
                                <a:lnTo>
                                  <a:pt x="327" y="133"/>
                                </a:lnTo>
                                <a:lnTo>
                                  <a:pt x="329" y="139"/>
                                </a:lnTo>
                                <a:lnTo>
                                  <a:pt x="331" y="142"/>
                                </a:lnTo>
                                <a:lnTo>
                                  <a:pt x="334" y="145"/>
                                </a:lnTo>
                                <a:lnTo>
                                  <a:pt x="337" y="147"/>
                                </a:lnTo>
                                <a:lnTo>
                                  <a:pt x="341" y="147"/>
                                </a:lnTo>
                                <a:lnTo>
                                  <a:pt x="345" y="147"/>
                                </a:lnTo>
                                <a:lnTo>
                                  <a:pt x="348" y="145"/>
                                </a:lnTo>
                                <a:lnTo>
                                  <a:pt x="351" y="142"/>
                                </a:lnTo>
                                <a:lnTo>
                                  <a:pt x="354" y="139"/>
                                </a:lnTo>
                                <a:lnTo>
                                  <a:pt x="355" y="132"/>
                                </a:lnTo>
                                <a:lnTo>
                                  <a:pt x="355" y="123"/>
                                </a:lnTo>
                                <a:lnTo>
                                  <a:pt x="355" y="115"/>
                                </a:lnTo>
                                <a:lnTo>
                                  <a:pt x="354" y="109"/>
                                </a:lnTo>
                                <a:lnTo>
                                  <a:pt x="351" y="106"/>
                                </a:lnTo>
                                <a:lnTo>
                                  <a:pt x="348" y="102"/>
                                </a:lnTo>
                                <a:lnTo>
                                  <a:pt x="345" y="101"/>
                                </a:lnTo>
                                <a:lnTo>
                                  <a:pt x="341" y="101"/>
                                </a:lnTo>
                                <a:close/>
                                <a:moveTo>
                                  <a:pt x="341" y="226"/>
                                </a:moveTo>
                                <a:lnTo>
                                  <a:pt x="412" y="90"/>
                                </a:lnTo>
                                <a:lnTo>
                                  <a:pt x="424" y="90"/>
                                </a:lnTo>
                                <a:lnTo>
                                  <a:pt x="354" y="226"/>
                                </a:lnTo>
                                <a:lnTo>
                                  <a:pt x="341" y="226"/>
                                </a:lnTo>
                                <a:close/>
                                <a:moveTo>
                                  <a:pt x="397" y="191"/>
                                </a:moveTo>
                                <a:lnTo>
                                  <a:pt x="397" y="181"/>
                                </a:lnTo>
                                <a:lnTo>
                                  <a:pt x="399" y="174"/>
                                </a:lnTo>
                                <a:lnTo>
                                  <a:pt x="404" y="167"/>
                                </a:lnTo>
                                <a:lnTo>
                                  <a:pt x="408" y="161"/>
                                </a:lnTo>
                                <a:lnTo>
                                  <a:pt x="415" y="157"/>
                                </a:lnTo>
                                <a:lnTo>
                                  <a:pt x="424" y="157"/>
                                </a:lnTo>
                                <a:lnTo>
                                  <a:pt x="432" y="157"/>
                                </a:lnTo>
                                <a:lnTo>
                                  <a:pt x="439" y="160"/>
                                </a:lnTo>
                                <a:lnTo>
                                  <a:pt x="444" y="166"/>
                                </a:lnTo>
                                <a:lnTo>
                                  <a:pt x="449" y="172"/>
                                </a:lnTo>
                                <a:lnTo>
                                  <a:pt x="452" y="180"/>
                                </a:lnTo>
                                <a:lnTo>
                                  <a:pt x="452" y="192"/>
                                </a:lnTo>
                                <a:lnTo>
                                  <a:pt x="452" y="202"/>
                                </a:lnTo>
                                <a:lnTo>
                                  <a:pt x="449" y="211"/>
                                </a:lnTo>
                                <a:lnTo>
                                  <a:pt x="444" y="217"/>
                                </a:lnTo>
                                <a:lnTo>
                                  <a:pt x="439" y="223"/>
                                </a:lnTo>
                                <a:lnTo>
                                  <a:pt x="432" y="226"/>
                                </a:lnTo>
                                <a:lnTo>
                                  <a:pt x="424" y="226"/>
                                </a:lnTo>
                                <a:lnTo>
                                  <a:pt x="416" y="226"/>
                                </a:lnTo>
                                <a:lnTo>
                                  <a:pt x="410" y="223"/>
                                </a:lnTo>
                                <a:lnTo>
                                  <a:pt x="405" y="217"/>
                                </a:lnTo>
                                <a:lnTo>
                                  <a:pt x="399" y="211"/>
                                </a:lnTo>
                                <a:lnTo>
                                  <a:pt x="397" y="202"/>
                                </a:lnTo>
                                <a:lnTo>
                                  <a:pt x="397" y="191"/>
                                </a:lnTo>
                                <a:close/>
                                <a:moveTo>
                                  <a:pt x="424" y="168"/>
                                </a:moveTo>
                                <a:lnTo>
                                  <a:pt x="420" y="168"/>
                                </a:lnTo>
                                <a:lnTo>
                                  <a:pt x="417" y="170"/>
                                </a:lnTo>
                                <a:lnTo>
                                  <a:pt x="415" y="173"/>
                                </a:lnTo>
                                <a:lnTo>
                                  <a:pt x="412" y="177"/>
                                </a:lnTo>
                                <a:lnTo>
                                  <a:pt x="411" y="183"/>
                                </a:lnTo>
                                <a:lnTo>
                                  <a:pt x="411" y="192"/>
                                </a:lnTo>
                                <a:lnTo>
                                  <a:pt x="411" y="200"/>
                                </a:lnTo>
                                <a:lnTo>
                                  <a:pt x="412" y="206"/>
                                </a:lnTo>
                                <a:lnTo>
                                  <a:pt x="415" y="210"/>
                                </a:lnTo>
                                <a:lnTo>
                                  <a:pt x="417" y="213"/>
                                </a:lnTo>
                                <a:lnTo>
                                  <a:pt x="421" y="215"/>
                                </a:lnTo>
                                <a:lnTo>
                                  <a:pt x="424" y="215"/>
                                </a:lnTo>
                                <a:lnTo>
                                  <a:pt x="428" y="215"/>
                                </a:lnTo>
                                <a:lnTo>
                                  <a:pt x="432" y="213"/>
                                </a:lnTo>
                                <a:lnTo>
                                  <a:pt x="434" y="210"/>
                                </a:lnTo>
                                <a:lnTo>
                                  <a:pt x="437" y="206"/>
                                </a:lnTo>
                                <a:lnTo>
                                  <a:pt x="438" y="200"/>
                                </a:lnTo>
                                <a:lnTo>
                                  <a:pt x="438" y="191"/>
                                </a:lnTo>
                                <a:lnTo>
                                  <a:pt x="438" y="183"/>
                                </a:lnTo>
                                <a:lnTo>
                                  <a:pt x="437" y="177"/>
                                </a:lnTo>
                                <a:lnTo>
                                  <a:pt x="434" y="173"/>
                                </a:lnTo>
                                <a:lnTo>
                                  <a:pt x="432" y="170"/>
                                </a:lnTo>
                                <a:lnTo>
                                  <a:pt x="428" y="168"/>
                                </a:lnTo>
                                <a:lnTo>
                                  <a:pt x="424" y="168"/>
                                </a:lnTo>
                                <a:close/>
                                <a:moveTo>
                                  <a:pt x="485" y="259"/>
                                </a:moveTo>
                                <a:lnTo>
                                  <a:pt x="474" y="259"/>
                                </a:lnTo>
                                <a:lnTo>
                                  <a:pt x="486" y="238"/>
                                </a:lnTo>
                                <a:lnTo>
                                  <a:pt x="494" y="217"/>
                                </a:lnTo>
                                <a:lnTo>
                                  <a:pt x="499" y="195"/>
                                </a:lnTo>
                                <a:lnTo>
                                  <a:pt x="500" y="174"/>
                                </a:lnTo>
                                <a:lnTo>
                                  <a:pt x="500" y="163"/>
                                </a:lnTo>
                                <a:lnTo>
                                  <a:pt x="499" y="152"/>
                                </a:lnTo>
                                <a:lnTo>
                                  <a:pt x="497" y="141"/>
                                </a:lnTo>
                                <a:lnTo>
                                  <a:pt x="495" y="133"/>
                                </a:lnTo>
                                <a:lnTo>
                                  <a:pt x="492" y="124"/>
                                </a:lnTo>
                                <a:lnTo>
                                  <a:pt x="488" y="116"/>
                                </a:lnTo>
                                <a:lnTo>
                                  <a:pt x="486" y="111"/>
                                </a:lnTo>
                                <a:lnTo>
                                  <a:pt x="481" y="102"/>
                                </a:lnTo>
                                <a:lnTo>
                                  <a:pt x="474" y="90"/>
                                </a:lnTo>
                                <a:lnTo>
                                  <a:pt x="485" y="90"/>
                                </a:lnTo>
                                <a:lnTo>
                                  <a:pt x="493" y="101"/>
                                </a:lnTo>
                                <a:lnTo>
                                  <a:pt x="500" y="112"/>
                                </a:lnTo>
                                <a:lnTo>
                                  <a:pt x="505" y="123"/>
                                </a:lnTo>
                                <a:lnTo>
                                  <a:pt x="510" y="134"/>
                                </a:lnTo>
                                <a:lnTo>
                                  <a:pt x="513" y="144"/>
                                </a:lnTo>
                                <a:lnTo>
                                  <a:pt x="515" y="154"/>
                                </a:lnTo>
                                <a:lnTo>
                                  <a:pt x="516" y="164"/>
                                </a:lnTo>
                                <a:lnTo>
                                  <a:pt x="517" y="174"/>
                                </a:lnTo>
                                <a:lnTo>
                                  <a:pt x="516" y="186"/>
                                </a:lnTo>
                                <a:lnTo>
                                  <a:pt x="514" y="198"/>
                                </a:lnTo>
                                <a:lnTo>
                                  <a:pt x="511" y="209"/>
                                </a:lnTo>
                                <a:lnTo>
                                  <a:pt x="507" y="220"/>
                                </a:lnTo>
                                <a:lnTo>
                                  <a:pt x="503" y="231"/>
                                </a:lnTo>
                                <a:lnTo>
                                  <a:pt x="497" y="241"/>
                                </a:lnTo>
                                <a:lnTo>
                                  <a:pt x="492" y="250"/>
                                </a:lnTo>
                                <a:lnTo>
                                  <a:pt x="485" y="259"/>
                                </a:lnTo>
                                <a:close/>
                                <a:moveTo>
                                  <a:pt x="1620" y="157"/>
                                </a:moveTo>
                                <a:lnTo>
                                  <a:pt x="1620" y="142"/>
                                </a:lnTo>
                                <a:lnTo>
                                  <a:pt x="1622" y="130"/>
                                </a:lnTo>
                                <a:lnTo>
                                  <a:pt x="1625" y="121"/>
                                </a:lnTo>
                                <a:lnTo>
                                  <a:pt x="1628" y="111"/>
                                </a:lnTo>
                                <a:lnTo>
                                  <a:pt x="1633" y="104"/>
                                </a:lnTo>
                                <a:lnTo>
                                  <a:pt x="1639" y="99"/>
                                </a:lnTo>
                                <a:lnTo>
                                  <a:pt x="1645" y="94"/>
                                </a:lnTo>
                                <a:lnTo>
                                  <a:pt x="1653" y="91"/>
                                </a:lnTo>
                                <a:lnTo>
                                  <a:pt x="1662" y="91"/>
                                </a:lnTo>
                                <a:lnTo>
                                  <a:pt x="1669" y="91"/>
                                </a:lnTo>
                                <a:lnTo>
                                  <a:pt x="1675" y="93"/>
                                </a:lnTo>
                                <a:lnTo>
                                  <a:pt x="1681" y="96"/>
                                </a:lnTo>
                                <a:lnTo>
                                  <a:pt x="1686" y="98"/>
                                </a:lnTo>
                                <a:lnTo>
                                  <a:pt x="1690" y="102"/>
                                </a:lnTo>
                                <a:lnTo>
                                  <a:pt x="1694" y="108"/>
                                </a:lnTo>
                                <a:lnTo>
                                  <a:pt x="1697" y="113"/>
                                </a:lnTo>
                                <a:lnTo>
                                  <a:pt x="1700" y="119"/>
                                </a:lnTo>
                                <a:lnTo>
                                  <a:pt x="1702" y="127"/>
                                </a:lnTo>
                                <a:lnTo>
                                  <a:pt x="1703" y="134"/>
                                </a:lnTo>
                                <a:lnTo>
                                  <a:pt x="1704" y="145"/>
                                </a:lnTo>
                                <a:lnTo>
                                  <a:pt x="1704" y="157"/>
                                </a:lnTo>
                                <a:lnTo>
                                  <a:pt x="1704" y="172"/>
                                </a:lnTo>
                                <a:lnTo>
                                  <a:pt x="1703" y="185"/>
                                </a:lnTo>
                                <a:lnTo>
                                  <a:pt x="1700" y="194"/>
                                </a:lnTo>
                                <a:lnTo>
                                  <a:pt x="1697" y="203"/>
                                </a:lnTo>
                                <a:lnTo>
                                  <a:pt x="1692" y="210"/>
                                </a:lnTo>
                                <a:lnTo>
                                  <a:pt x="1686" y="215"/>
                                </a:lnTo>
                                <a:lnTo>
                                  <a:pt x="1680" y="221"/>
                                </a:lnTo>
                                <a:lnTo>
                                  <a:pt x="1672" y="223"/>
                                </a:lnTo>
                                <a:lnTo>
                                  <a:pt x="1662" y="223"/>
                                </a:lnTo>
                                <a:lnTo>
                                  <a:pt x="1650" y="223"/>
                                </a:lnTo>
                                <a:lnTo>
                                  <a:pt x="1640" y="219"/>
                                </a:lnTo>
                                <a:lnTo>
                                  <a:pt x="1633" y="210"/>
                                </a:lnTo>
                                <a:lnTo>
                                  <a:pt x="1628" y="200"/>
                                </a:lnTo>
                                <a:lnTo>
                                  <a:pt x="1624" y="189"/>
                                </a:lnTo>
                                <a:lnTo>
                                  <a:pt x="1621" y="174"/>
                                </a:lnTo>
                                <a:lnTo>
                                  <a:pt x="1620" y="157"/>
                                </a:lnTo>
                                <a:close/>
                                <a:moveTo>
                                  <a:pt x="1637" y="157"/>
                                </a:moveTo>
                                <a:lnTo>
                                  <a:pt x="1637" y="172"/>
                                </a:lnTo>
                                <a:lnTo>
                                  <a:pt x="1639" y="184"/>
                                </a:lnTo>
                                <a:lnTo>
                                  <a:pt x="1641" y="193"/>
                                </a:lnTo>
                                <a:lnTo>
                                  <a:pt x="1644" y="200"/>
                                </a:lnTo>
                                <a:lnTo>
                                  <a:pt x="1649" y="207"/>
                                </a:lnTo>
                                <a:lnTo>
                                  <a:pt x="1655" y="210"/>
                                </a:lnTo>
                                <a:lnTo>
                                  <a:pt x="1662" y="210"/>
                                </a:lnTo>
                                <a:lnTo>
                                  <a:pt x="1670" y="210"/>
                                </a:lnTo>
                                <a:lnTo>
                                  <a:pt x="1676" y="207"/>
                                </a:lnTo>
                                <a:lnTo>
                                  <a:pt x="1681" y="200"/>
                                </a:lnTo>
                                <a:lnTo>
                                  <a:pt x="1684" y="193"/>
                                </a:lnTo>
                                <a:lnTo>
                                  <a:pt x="1686" y="184"/>
                                </a:lnTo>
                                <a:lnTo>
                                  <a:pt x="1688" y="172"/>
                                </a:lnTo>
                                <a:lnTo>
                                  <a:pt x="1688" y="157"/>
                                </a:lnTo>
                                <a:lnTo>
                                  <a:pt x="1688" y="143"/>
                                </a:lnTo>
                                <a:lnTo>
                                  <a:pt x="1686" y="131"/>
                                </a:lnTo>
                                <a:lnTo>
                                  <a:pt x="1684" y="122"/>
                                </a:lnTo>
                                <a:lnTo>
                                  <a:pt x="1681" y="115"/>
                                </a:lnTo>
                                <a:lnTo>
                                  <a:pt x="1676" y="108"/>
                                </a:lnTo>
                                <a:lnTo>
                                  <a:pt x="1670" y="105"/>
                                </a:lnTo>
                                <a:lnTo>
                                  <a:pt x="1662" y="105"/>
                                </a:lnTo>
                                <a:lnTo>
                                  <a:pt x="1655" y="105"/>
                                </a:lnTo>
                                <a:lnTo>
                                  <a:pt x="1649" y="108"/>
                                </a:lnTo>
                                <a:lnTo>
                                  <a:pt x="1645" y="114"/>
                                </a:lnTo>
                                <a:lnTo>
                                  <a:pt x="1641" y="121"/>
                                </a:lnTo>
                                <a:lnTo>
                                  <a:pt x="1639" y="131"/>
                                </a:lnTo>
                                <a:lnTo>
                                  <a:pt x="1637" y="143"/>
                                </a:lnTo>
                                <a:lnTo>
                                  <a:pt x="1637" y="157"/>
                                </a:lnTo>
                                <a:close/>
                                <a:moveTo>
                                  <a:pt x="1805" y="259"/>
                                </a:moveTo>
                                <a:lnTo>
                                  <a:pt x="1799" y="250"/>
                                </a:lnTo>
                                <a:lnTo>
                                  <a:pt x="1793" y="241"/>
                                </a:lnTo>
                                <a:lnTo>
                                  <a:pt x="1788" y="231"/>
                                </a:lnTo>
                                <a:lnTo>
                                  <a:pt x="1783" y="220"/>
                                </a:lnTo>
                                <a:lnTo>
                                  <a:pt x="1779" y="209"/>
                                </a:lnTo>
                                <a:lnTo>
                                  <a:pt x="1776" y="198"/>
                                </a:lnTo>
                                <a:lnTo>
                                  <a:pt x="1775" y="186"/>
                                </a:lnTo>
                                <a:lnTo>
                                  <a:pt x="1774" y="174"/>
                                </a:lnTo>
                                <a:lnTo>
                                  <a:pt x="1774" y="164"/>
                                </a:lnTo>
                                <a:lnTo>
                                  <a:pt x="1776" y="154"/>
                                </a:lnTo>
                                <a:lnTo>
                                  <a:pt x="1778" y="144"/>
                                </a:lnTo>
                                <a:lnTo>
                                  <a:pt x="1781" y="134"/>
                                </a:lnTo>
                                <a:lnTo>
                                  <a:pt x="1785" y="123"/>
                                </a:lnTo>
                                <a:lnTo>
                                  <a:pt x="1791" y="112"/>
                                </a:lnTo>
                                <a:lnTo>
                                  <a:pt x="1797" y="101"/>
                                </a:lnTo>
                                <a:lnTo>
                                  <a:pt x="1805" y="90"/>
                                </a:lnTo>
                                <a:lnTo>
                                  <a:pt x="1816" y="90"/>
                                </a:lnTo>
                                <a:lnTo>
                                  <a:pt x="1809" y="102"/>
                                </a:lnTo>
                                <a:lnTo>
                                  <a:pt x="1805" y="111"/>
                                </a:lnTo>
                                <a:lnTo>
                                  <a:pt x="1802" y="116"/>
                                </a:lnTo>
                                <a:lnTo>
                                  <a:pt x="1799" y="124"/>
                                </a:lnTo>
                                <a:lnTo>
                                  <a:pt x="1796" y="132"/>
                                </a:lnTo>
                                <a:lnTo>
                                  <a:pt x="1794" y="141"/>
                                </a:lnTo>
                                <a:lnTo>
                                  <a:pt x="1791" y="152"/>
                                </a:lnTo>
                                <a:lnTo>
                                  <a:pt x="1790" y="163"/>
                                </a:lnTo>
                                <a:lnTo>
                                  <a:pt x="1790" y="174"/>
                                </a:lnTo>
                                <a:lnTo>
                                  <a:pt x="1792" y="195"/>
                                </a:lnTo>
                                <a:lnTo>
                                  <a:pt x="1797" y="217"/>
                                </a:lnTo>
                                <a:lnTo>
                                  <a:pt x="1805" y="238"/>
                                </a:lnTo>
                                <a:lnTo>
                                  <a:pt x="1816" y="259"/>
                                </a:lnTo>
                                <a:lnTo>
                                  <a:pt x="1805" y="259"/>
                                </a:lnTo>
                                <a:close/>
                                <a:moveTo>
                                  <a:pt x="1830" y="157"/>
                                </a:moveTo>
                                <a:lnTo>
                                  <a:pt x="1830" y="142"/>
                                </a:lnTo>
                                <a:lnTo>
                                  <a:pt x="1832" y="130"/>
                                </a:lnTo>
                                <a:lnTo>
                                  <a:pt x="1835" y="121"/>
                                </a:lnTo>
                                <a:lnTo>
                                  <a:pt x="1838" y="111"/>
                                </a:lnTo>
                                <a:lnTo>
                                  <a:pt x="1843" y="104"/>
                                </a:lnTo>
                                <a:lnTo>
                                  <a:pt x="1849" y="99"/>
                                </a:lnTo>
                                <a:lnTo>
                                  <a:pt x="1855" y="94"/>
                                </a:lnTo>
                                <a:lnTo>
                                  <a:pt x="1863" y="91"/>
                                </a:lnTo>
                                <a:lnTo>
                                  <a:pt x="1872" y="91"/>
                                </a:lnTo>
                                <a:lnTo>
                                  <a:pt x="1879" y="91"/>
                                </a:lnTo>
                                <a:lnTo>
                                  <a:pt x="1885" y="93"/>
                                </a:lnTo>
                                <a:lnTo>
                                  <a:pt x="1891" y="96"/>
                                </a:lnTo>
                                <a:lnTo>
                                  <a:pt x="1896" y="98"/>
                                </a:lnTo>
                                <a:lnTo>
                                  <a:pt x="1900" y="102"/>
                                </a:lnTo>
                                <a:lnTo>
                                  <a:pt x="1904" y="108"/>
                                </a:lnTo>
                                <a:lnTo>
                                  <a:pt x="1907" y="113"/>
                                </a:lnTo>
                                <a:lnTo>
                                  <a:pt x="1910" y="119"/>
                                </a:lnTo>
                                <a:lnTo>
                                  <a:pt x="1912" y="127"/>
                                </a:lnTo>
                                <a:lnTo>
                                  <a:pt x="1914" y="134"/>
                                </a:lnTo>
                                <a:lnTo>
                                  <a:pt x="1914" y="145"/>
                                </a:lnTo>
                                <a:lnTo>
                                  <a:pt x="1914" y="157"/>
                                </a:lnTo>
                                <a:lnTo>
                                  <a:pt x="1914" y="172"/>
                                </a:lnTo>
                                <a:lnTo>
                                  <a:pt x="1913" y="185"/>
                                </a:lnTo>
                                <a:lnTo>
                                  <a:pt x="1910" y="194"/>
                                </a:lnTo>
                                <a:lnTo>
                                  <a:pt x="1907" y="203"/>
                                </a:lnTo>
                                <a:lnTo>
                                  <a:pt x="1902" y="210"/>
                                </a:lnTo>
                                <a:lnTo>
                                  <a:pt x="1896" y="215"/>
                                </a:lnTo>
                                <a:lnTo>
                                  <a:pt x="1890" y="221"/>
                                </a:lnTo>
                                <a:lnTo>
                                  <a:pt x="1882" y="223"/>
                                </a:lnTo>
                                <a:lnTo>
                                  <a:pt x="1872" y="223"/>
                                </a:lnTo>
                                <a:lnTo>
                                  <a:pt x="1860" y="223"/>
                                </a:lnTo>
                                <a:lnTo>
                                  <a:pt x="1850" y="219"/>
                                </a:lnTo>
                                <a:lnTo>
                                  <a:pt x="1843" y="210"/>
                                </a:lnTo>
                                <a:lnTo>
                                  <a:pt x="1838" y="200"/>
                                </a:lnTo>
                                <a:lnTo>
                                  <a:pt x="1834" y="189"/>
                                </a:lnTo>
                                <a:lnTo>
                                  <a:pt x="1831" y="174"/>
                                </a:lnTo>
                                <a:lnTo>
                                  <a:pt x="1830" y="157"/>
                                </a:lnTo>
                                <a:close/>
                                <a:moveTo>
                                  <a:pt x="1847" y="157"/>
                                </a:moveTo>
                                <a:lnTo>
                                  <a:pt x="1847" y="172"/>
                                </a:lnTo>
                                <a:lnTo>
                                  <a:pt x="1849" y="184"/>
                                </a:lnTo>
                                <a:lnTo>
                                  <a:pt x="1851" y="193"/>
                                </a:lnTo>
                                <a:lnTo>
                                  <a:pt x="1854" y="200"/>
                                </a:lnTo>
                                <a:lnTo>
                                  <a:pt x="1859" y="207"/>
                                </a:lnTo>
                                <a:lnTo>
                                  <a:pt x="1865" y="210"/>
                                </a:lnTo>
                                <a:lnTo>
                                  <a:pt x="1872" y="210"/>
                                </a:lnTo>
                                <a:lnTo>
                                  <a:pt x="1880" y="210"/>
                                </a:lnTo>
                                <a:lnTo>
                                  <a:pt x="1886" y="207"/>
                                </a:lnTo>
                                <a:lnTo>
                                  <a:pt x="1891" y="200"/>
                                </a:lnTo>
                                <a:lnTo>
                                  <a:pt x="1894" y="193"/>
                                </a:lnTo>
                                <a:lnTo>
                                  <a:pt x="1896" y="184"/>
                                </a:lnTo>
                                <a:lnTo>
                                  <a:pt x="1898" y="172"/>
                                </a:lnTo>
                                <a:lnTo>
                                  <a:pt x="1898" y="157"/>
                                </a:lnTo>
                                <a:lnTo>
                                  <a:pt x="1898" y="143"/>
                                </a:lnTo>
                                <a:lnTo>
                                  <a:pt x="1896" y="131"/>
                                </a:lnTo>
                                <a:lnTo>
                                  <a:pt x="1894" y="122"/>
                                </a:lnTo>
                                <a:lnTo>
                                  <a:pt x="1891" y="115"/>
                                </a:lnTo>
                                <a:lnTo>
                                  <a:pt x="1886" y="108"/>
                                </a:lnTo>
                                <a:lnTo>
                                  <a:pt x="1880" y="105"/>
                                </a:lnTo>
                                <a:lnTo>
                                  <a:pt x="1872" y="105"/>
                                </a:lnTo>
                                <a:lnTo>
                                  <a:pt x="1865" y="105"/>
                                </a:lnTo>
                                <a:lnTo>
                                  <a:pt x="1859" y="108"/>
                                </a:lnTo>
                                <a:lnTo>
                                  <a:pt x="1855" y="114"/>
                                </a:lnTo>
                                <a:lnTo>
                                  <a:pt x="1851" y="121"/>
                                </a:lnTo>
                                <a:lnTo>
                                  <a:pt x="1849" y="131"/>
                                </a:lnTo>
                                <a:lnTo>
                                  <a:pt x="1847" y="143"/>
                                </a:lnTo>
                                <a:lnTo>
                                  <a:pt x="1847" y="157"/>
                                </a:lnTo>
                                <a:close/>
                                <a:moveTo>
                                  <a:pt x="1934" y="123"/>
                                </a:moveTo>
                                <a:lnTo>
                                  <a:pt x="1934" y="114"/>
                                </a:lnTo>
                                <a:lnTo>
                                  <a:pt x="1936" y="106"/>
                                </a:lnTo>
                                <a:lnTo>
                                  <a:pt x="1940" y="99"/>
                                </a:lnTo>
                                <a:lnTo>
                                  <a:pt x="1945" y="93"/>
                                </a:lnTo>
                                <a:lnTo>
                                  <a:pt x="1952" y="90"/>
                                </a:lnTo>
                                <a:lnTo>
                                  <a:pt x="1961" y="90"/>
                                </a:lnTo>
                                <a:lnTo>
                                  <a:pt x="1969" y="90"/>
                                </a:lnTo>
                                <a:lnTo>
                                  <a:pt x="1975" y="93"/>
                                </a:lnTo>
                                <a:lnTo>
                                  <a:pt x="1981" y="98"/>
                                </a:lnTo>
                                <a:lnTo>
                                  <a:pt x="1986" y="104"/>
                                </a:lnTo>
                                <a:lnTo>
                                  <a:pt x="1989" y="113"/>
                                </a:lnTo>
                                <a:lnTo>
                                  <a:pt x="1989" y="124"/>
                                </a:lnTo>
                                <a:lnTo>
                                  <a:pt x="1989" y="135"/>
                                </a:lnTo>
                                <a:lnTo>
                                  <a:pt x="1986" y="143"/>
                                </a:lnTo>
                                <a:lnTo>
                                  <a:pt x="1981" y="149"/>
                                </a:lnTo>
                                <a:lnTo>
                                  <a:pt x="1975" y="155"/>
                                </a:lnTo>
                                <a:lnTo>
                                  <a:pt x="1969" y="158"/>
                                </a:lnTo>
                                <a:lnTo>
                                  <a:pt x="1961" y="158"/>
                                </a:lnTo>
                                <a:lnTo>
                                  <a:pt x="1953" y="158"/>
                                </a:lnTo>
                                <a:lnTo>
                                  <a:pt x="1947" y="155"/>
                                </a:lnTo>
                                <a:lnTo>
                                  <a:pt x="1941" y="149"/>
                                </a:lnTo>
                                <a:lnTo>
                                  <a:pt x="1936" y="143"/>
                                </a:lnTo>
                                <a:lnTo>
                                  <a:pt x="1934" y="135"/>
                                </a:lnTo>
                                <a:lnTo>
                                  <a:pt x="1934" y="123"/>
                                </a:lnTo>
                                <a:close/>
                                <a:moveTo>
                                  <a:pt x="1961" y="101"/>
                                </a:moveTo>
                                <a:lnTo>
                                  <a:pt x="1957" y="101"/>
                                </a:lnTo>
                                <a:lnTo>
                                  <a:pt x="1954" y="102"/>
                                </a:lnTo>
                                <a:lnTo>
                                  <a:pt x="1951" y="106"/>
                                </a:lnTo>
                                <a:lnTo>
                                  <a:pt x="1949" y="109"/>
                                </a:lnTo>
                                <a:lnTo>
                                  <a:pt x="1947" y="115"/>
                                </a:lnTo>
                                <a:lnTo>
                                  <a:pt x="1947" y="125"/>
                                </a:lnTo>
                                <a:lnTo>
                                  <a:pt x="1947" y="133"/>
                                </a:lnTo>
                                <a:lnTo>
                                  <a:pt x="1949" y="139"/>
                                </a:lnTo>
                                <a:lnTo>
                                  <a:pt x="1951" y="142"/>
                                </a:lnTo>
                                <a:lnTo>
                                  <a:pt x="1954" y="145"/>
                                </a:lnTo>
                                <a:lnTo>
                                  <a:pt x="1957" y="147"/>
                                </a:lnTo>
                                <a:lnTo>
                                  <a:pt x="1961" y="147"/>
                                </a:lnTo>
                                <a:lnTo>
                                  <a:pt x="1965" y="147"/>
                                </a:lnTo>
                                <a:lnTo>
                                  <a:pt x="1968" y="145"/>
                                </a:lnTo>
                                <a:lnTo>
                                  <a:pt x="1971" y="142"/>
                                </a:lnTo>
                                <a:lnTo>
                                  <a:pt x="1974" y="139"/>
                                </a:lnTo>
                                <a:lnTo>
                                  <a:pt x="1975" y="132"/>
                                </a:lnTo>
                                <a:lnTo>
                                  <a:pt x="1975" y="123"/>
                                </a:lnTo>
                                <a:lnTo>
                                  <a:pt x="1975" y="115"/>
                                </a:lnTo>
                                <a:lnTo>
                                  <a:pt x="1974" y="109"/>
                                </a:lnTo>
                                <a:lnTo>
                                  <a:pt x="1971" y="106"/>
                                </a:lnTo>
                                <a:lnTo>
                                  <a:pt x="1968" y="102"/>
                                </a:lnTo>
                                <a:lnTo>
                                  <a:pt x="1965" y="101"/>
                                </a:lnTo>
                                <a:lnTo>
                                  <a:pt x="1961" y="101"/>
                                </a:lnTo>
                                <a:close/>
                                <a:moveTo>
                                  <a:pt x="1961" y="226"/>
                                </a:moveTo>
                                <a:lnTo>
                                  <a:pt x="2032" y="90"/>
                                </a:lnTo>
                                <a:lnTo>
                                  <a:pt x="2044" y="90"/>
                                </a:lnTo>
                                <a:lnTo>
                                  <a:pt x="1974" y="226"/>
                                </a:lnTo>
                                <a:lnTo>
                                  <a:pt x="1961" y="226"/>
                                </a:lnTo>
                                <a:close/>
                                <a:moveTo>
                                  <a:pt x="2017" y="191"/>
                                </a:moveTo>
                                <a:lnTo>
                                  <a:pt x="2017" y="181"/>
                                </a:lnTo>
                                <a:lnTo>
                                  <a:pt x="2019" y="174"/>
                                </a:lnTo>
                                <a:lnTo>
                                  <a:pt x="2024" y="167"/>
                                </a:lnTo>
                                <a:lnTo>
                                  <a:pt x="2028" y="161"/>
                                </a:lnTo>
                                <a:lnTo>
                                  <a:pt x="2035" y="157"/>
                                </a:lnTo>
                                <a:lnTo>
                                  <a:pt x="2044" y="157"/>
                                </a:lnTo>
                                <a:lnTo>
                                  <a:pt x="2052" y="157"/>
                                </a:lnTo>
                                <a:lnTo>
                                  <a:pt x="2059" y="160"/>
                                </a:lnTo>
                                <a:lnTo>
                                  <a:pt x="2064" y="166"/>
                                </a:lnTo>
                                <a:lnTo>
                                  <a:pt x="2069" y="172"/>
                                </a:lnTo>
                                <a:lnTo>
                                  <a:pt x="2072" y="180"/>
                                </a:lnTo>
                                <a:lnTo>
                                  <a:pt x="2072" y="192"/>
                                </a:lnTo>
                                <a:lnTo>
                                  <a:pt x="2072" y="202"/>
                                </a:lnTo>
                                <a:lnTo>
                                  <a:pt x="2069" y="211"/>
                                </a:lnTo>
                                <a:lnTo>
                                  <a:pt x="2064" y="217"/>
                                </a:lnTo>
                                <a:lnTo>
                                  <a:pt x="2059" y="223"/>
                                </a:lnTo>
                                <a:lnTo>
                                  <a:pt x="2052" y="226"/>
                                </a:lnTo>
                                <a:lnTo>
                                  <a:pt x="2044" y="226"/>
                                </a:lnTo>
                                <a:lnTo>
                                  <a:pt x="2036" y="226"/>
                                </a:lnTo>
                                <a:lnTo>
                                  <a:pt x="2030" y="223"/>
                                </a:lnTo>
                                <a:lnTo>
                                  <a:pt x="2025" y="217"/>
                                </a:lnTo>
                                <a:lnTo>
                                  <a:pt x="2019" y="211"/>
                                </a:lnTo>
                                <a:lnTo>
                                  <a:pt x="2017" y="202"/>
                                </a:lnTo>
                                <a:lnTo>
                                  <a:pt x="2017" y="191"/>
                                </a:lnTo>
                                <a:close/>
                                <a:moveTo>
                                  <a:pt x="2044" y="168"/>
                                </a:moveTo>
                                <a:lnTo>
                                  <a:pt x="2040" y="168"/>
                                </a:lnTo>
                                <a:lnTo>
                                  <a:pt x="2037" y="170"/>
                                </a:lnTo>
                                <a:lnTo>
                                  <a:pt x="2035" y="173"/>
                                </a:lnTo>
                                <a:lnTo>
                                  <a:pt x="2032" y="177"/>
                                </a:lnTo>
                                <a:lnTo>
                                  <a:pt x="2031" y="183"/>
                                </a:lnTo>
                                <a:lnTo>
                                  <a:pt x="2031" y="192"/>
                                </a:lnTo>
                                <a:lnTo>
                                  <a:pt x="2031" y="200"/>
                                </a:lnTo>
                                <a:lnTo>
                                  <a:pt x="2032" y="206"/>
                                </a:lnTo>
                                <a:lnTo>
                                  <a:pt x="2035" y="210"/>
                                </a:lnTo>
                                <a:lnTo>
                                  <a:pt x="2037" y="213"/>
                                </a:lnTo>
                                <a:lnTo>
                                  <a:pt x="2041" y="215"/>
                                </a:lnTo>
                                <a:lnTo>
                                  <a:pt x="2044" y="215"/>
                                </a:lnTo>
                                <a:lnTo>
                                  <a:pt x="2048" y="215"/>
                                </a:lnTo>
                                <a:lnTo>
                                  <a:pt x="2052" y="213"/>
                                </a:lnTo>
                                <a:lnTo>
                                  <a:pt x="2054" y="210"/>
                                </a:lnTo>
                                <a:lnTo>
                                  <a:pt x="2057" y="206"/>
                                </a:lnTo>
                                <a:lnTo>
                                  <a:pt x="2058" y="200"/>
                                </a:lnTo>
                                <a:lnTo>
                                  <a:pt x="2058" y="191"/>
                                </a:lnTo>
                                <a:lnTo>
                                  <a:pt x="2058" y="183"/>
                                </a:lnTo>
                                <a:lnTo>
                                  <a:pt x="2057" y="177"/>
                                </a:lnTo>
                                <a:lnTo>
                                  <a:pt x="2054" y="173"/>
                                </a:lnTo>
                                <a:lnTo>
                                  <a:pt x="2052" y="170"/>
                                </a:lnTo>
                                <a:lnTo>
                                  <a:pt x="2048" y="168"/>
                                </a:lnTo>
                                <a:lnTo>
                                  <a:pt x="2044" y="168"/>
                                </a:lnTo>
                                <a:close/>
                                <a:moveTo>
                                  <a:pt x="2105" y="259"/>
                                </a:moveTo>
                                <a:lnTo>
                                  <a:pt x="2094" y="259"/>
                                </a:lnTo>
                                <a:lnTo>
                                  <a:pt x="2106" y="238"/>
                                </a:lnTo>
                                <a:lnTo>
                                  <a:pt x="2114" y="217"/>
                                </a:lnTo>
                                <a:lnTo>
                                  <a:pt x="2119" y="195"/>
                                </a:lnTo>
                                <a:lnTo>
                                  <a:pt x="2120" y="174"/>
                                </a:lnTo>
                                <a:lnTo>
                                  <a:pt x="2120" y="163"/>
                                </a:lnTo>
                                <a:lnTo>
                                  <a:pt x="2119" y="152"/>
                                </a:lnTo>
                                <a:lnTo>
                                  <a:pt x="2117" y="141"/>
                                </a:lnTo>
                                <a:lnTo>
                                  <a:pt x="2115" y="133"/>
                                </a:lnTo>
                                <a:lnTo>
                                  <a:pt x="2112" y="124"/>
                                </a:lnTo>
                                <a:lnTo>
                                  <a:pt x="2108" y="116"/>
                                </a:lnTo>
                                <a:lnTo>
                                  <a:pt x="2106" y="111"/>
                                </a:lnTo>
                                <a:lnTo>
                                  <a:pt x="2101" y="102"/>
                                </a:lnTo>
                                <a:lnTo>
                                  <a:pt x="2094" y="90"/>
                                </a:lnTo>
                                <a:lnTo>
                                  <a:pt x="2105" y="90"/>
                                </a:lnTo>
                                <a:lnTo>
                                  <a:pt x="2113" y="101"/>
                                </a:lnTo>
                                <a:lnTo>
                                  <a:pt x="2120" y="112"/>
                                </a:lnTo>
                                <a:lnTo>
                                  <a:pt x="2125" y="123"/>
                                </a:lnTo>
                                <a:lnTo>
                                  <a:pt x="2130" y="134"/>
                                </a:lnTo>
                                <a:lnTo>
                                  <a:pt x="2133" y="144"/>
                                </a:lnTo>
                                <a:lnTo>
                                  <a:pt x="2135" y="154"/>
                                </a:lnTo>
                                <a:lnTo>
                                  <a:pt x="2136" y="164"/>
                                </a:lnTo>
                                <a:lnTo>
                                  <a:pt x="2137" y="174"/>
                                </a:lnTo>
                                <a:lnTo>
                                  <a:pt x="2136" y="186"/>
                                </a:lnTo>
                                <a:lnTo>
                                  <a:pt x="2134" y="198"/>
                                </a:lnTo>
                                <a:lnTo>
                                  <a:pt x="2131" y="209"/>
                                </a:lnTo>
                                <a:lnTo>
                                  <a:pt x="2127" y="220"/>
                                </a:lnTo>
                                <a:lnTo>
                                  <a:pt x="2123" y="231"/>
                                </a:lnTo>
                                <a:lnTo>
                                  <a:pt x="2117" y="241"/>
                                </a:lnTo>
                                <a:lnTo>
                                  <a:pt x="2112" y="250"/>
                                </a:lnTo>
                                <a:lnTo>
                                  <a:pt x="2105" y="259"/>
                                </a:lnTo>
                                <a:close/>
                                <a:moveTo>
                                  <a:pt x="3263" y="159"/>
                                </a:moveTo>
                                <a:lnTo>
                                  <a:pt x="3263" y="175"/>
                                </a:lnTo>
                                <a:lnTo>
                                  <a:pt x="3178" y="175"/>
                                </a:lnTo>
                                <a:lnTo>
                                  <a:pt x="3178" y="171"/>
                                </a:lnTo>
                                <a:lnTo>
                                  <a:pt x="3179" y="167"/>
                                </a:lnTo>
                                <a:lnTo>
                                  <a:pt x="3180" y="164"/>
                                </a:lnTo>
                                <a:lnTo>
                                  <a:pt x="3182" y="158"/>
                                </a:lnTo>
                                <a:lnTo>
                                  <a:pt x="3186" y="152"/>
                                </a:lnTo>
                                <a:lnTo>
                                  <a:pt x="3190" y="147"/>
                                </a:lnTo>
                                <a:lnTo>
                                  <a:pt x="3195" y="141"/>
                                </a:lnTo>
                                <a:lnTo>
                                  <a:pt x="3202" y="134"/>
                                </a:lnTo>
                                <a:lnTo>
                                  <a:pt x="3211" y="127"/>
                                </a:lnTo>
                                <a:lnTo>
                                  <a:pt x="3225" y="116"/>
                                </a:lnTo>
                                <a:lnTo>
                                  <a:pt x="3235" y="106"/>
                                </a:lnTo>
                                <a:lnTo>
                                  <a:pt x="3239" y="100"/>
                                </a:lnTo>
                                <a:lnTo>
                                  <a:pt x="3244" y="93"/>
                                </a:lnTo>
                                <a:lnTo>
                                  <a:pt x="3247" y="87"/>
                                </a:lnTo>
                                <a:lnTo>
                                  <a:pt x="3247" y="81"/>
                                </a:lnTo>
                                <a:lnTo>
                                  <a:pt x="3247" y="74"/>
                                </a:lnTo>
                                <a:lnTo>
                                  <a:pt x="3245" y="69"/>
                                </a:lnTo>
                                <a:lnTo>
                                  <a:pt x="3240" y="65"/>
                                </a:lnTo>
                                <a:lnTo>
                                  <a:pt x="3236" y="61"/>
                                </a:lnTo>
                                <a:lnTo>
                                  <a:pt x="3230" y="58"/>
                                </a:lnTo>
                                <a:lnTo>
                                  <a:pt x="3223" y="58"/>
                                </a:lnTo>
                                <a:lnTo>
                                  <a:pt x="3215" y="58"/>
                                </a:lnTo>
                                <a:lnTo>
                                  <a:pt x="3209" y="61"/>
                                </a:lnTo>
                                <a:lnTo>
                                  <a:pt x="3204" y="65"/>
                                </a:lnTo>
                                <a:lnTo>
                                  <a:pt x="3200" y="70"/>
                                </a:lnTo>
                                <a:lnTo>
                                  <a:pt x="3197" y="76"/>
                                </a:lnTo>
                                <a:lnTo>
                                  <a:pt x="3197" y="84"/>
                                </a:lnTo>
                                <a:lnTo>
                                  <a:pt x="3181" y="83"/>
                                </a:lnTo>
                                <a:lnTo>
                                  <a:pt x="3182" y="70"/>
                                </a:lnTo>
                                <a:lnTo>
                                  <a:pt x="3186" y="61"/>
                                </a:lnTo>
                                <a:lnTo>
                                  <a:pt x="3194" y="55"/>
                                </a:lnTo>
                                <a:lnTo>
                                  <a:pt x="3201" y="48"/>
                                </a:lnTo>
                                <a:lnTo>
                                  <a:pt x="3211" y="45"/>
                                </a:lnTo>
                                <a:lnTo>
                                  <a:pt x="3223" y="45"/>
                                </a:lnTo>
                                <a:lnTo>
                                  <a:pt x="3235" y="45"/>
                                </a:lnTo>
                                <a:lnTo>
                                  <a:pt x="3245" y="49"/>
                                </a:lnTo>
                                <a:lnTo>
                                  <a:pt x="3252" y="56"/>
                                </a:lnTo>
                                <a:lnTo>
                                  <a:pt x="3260" y="62"/>
                                </a:lnTo>
                                <a:lnTo>
                                  <a:pt x="3263" y="71"/>
                                </a:lnTo>
                                <a:lnTo>
                                  <a:pt x="3263" y="81"/>
                                </a:lnTo>
                                <a:lnTo>
                                  <a:pt x="3263" y="86"/>
                                </a:lnTo>
                                <a:lnTo>
                                  <a:pt x="3262" y="91"/>
                                </a:lnTo>
                                <a:lnTo>
                                  <a:pt x="3260" y="96"/>
                                </a:lnTo>
                                <a:lnTo>
                                  <a:pt x="3258" y="101"/>
                                </a:lnTo>
                                <a:lnTo>
                                  <a:pt x="3254" y="107"/>
                                </a:lnTo>
                                <a:lnTo>
                                  <a:pt x="3249" y="112"/>
                                </a:lnTo>
                                <a:lnTo>
                                  <a:pt x="3245" y="118"/>
                                </a:lnTo>
                                <a:lnTo>
                                  <a:pt x="3236" y="125"/>
                                </a:lnTo>
                                <a:lnTo>
                                  <a:pt x="3225" y="135"/>
                                </a:lnTo>
                                <a:lnTo>
                                  <a:pt x="3216" y="143"/>
                                </a:lnTo>
                                <a:lnTo>
                                  <a:pt x="3209" y="148"/>
                                </a:lnTo>
                                <a:lnTo>
                                  <a:pt x="3207" y="151"/>
                                </a:lnTo>
                                <a:lnTo>
                                  <a:pt x="3204" y="154"/>
                                </a:lnTo>
                                <a:lnTo>
                                  <a:pt x="3202" y="157"/>
                                </a:lnTo>
                                <a:lnTo>
                                  <a:pt x="3200" y="159"/>
                                </a:lnTo>
                                <a:lnTo>
                                  <a:pt x="3263" y="159"/>
                                </a:lnTo>
                                <a:close/>
                                <a:moveTo>
                                  <a:pt x="3365" y="213"/>
                                </a:moveTo>
                                <a:lnTo>
                                  <a:pt x="3359" y="204"/>
                                </a:lnTo>
                                <a:lnTo>
                                  <a:pt x="3353" y="195"/>
                                </a:lnTo>
                                <a:lnTo>
                                  <a:pt x="3348" y="185"/>
                                </a:lnTo>
                                <a:lnTo>
                                  <a:pt x="3343" y="174"/>
                                </a:lnTo>
                                <a:lnTo>
                                  <a:pt x="3339" y="163"/>
                                </a:lnTo>
                                <a:lnTo>
                                  <a:pt x="3336" y="151"/>
                                </a:lnTo>
                                <a:lnTo>
                                  <a:pt x="3334" y="140"/>
                                </a:lnTo>
                                <a:lnTo>
                                  <a:pt x="3334" y="128"/>
                                </a:lnTo>
                                <a:lnTo>
                                  <a:pt x="3334" y="118"/>
                                </a:lnTo>
                                <a:lnTo>
                                  <a:pt x="3335" y="108"/>
                                </a:lnTo>
                                <a:lnTo>
                                  <a:pt x="3338" y="98"/>
                                </a:lnTo>
                                <a:lnTo>
                                  <a:pt x="3340" y="88"/>
                                </a:lnTo>
                                <a:lnTo>
                                  <a:pt x="3345" y="77"/>
                                </a:lnTo>
                                <a:lnTo>
                                  <a:pt x="3351" y="66"/>
                                </a:lnTo>
                                <a:lnTo>
                                  <a:pt x="3357" y="55"/>
                                </a:lnTo>
                                <a:lnTo>
                                  <a:pt x="3365" y="44"/>
                                </a:lnTo>
                                <a:lnTo>
                                  <a:pt x="3376" y="44"/>
                                </a:lnTo>
                                <a:lnTo>
                                  <a:pt x="3369" y="56"/>
                                </a:lnTo>
                                <a:lnTo>
                                  <a:pt x="3364" y="65"/>
                                </a:lnTo>
                                <a:lnTo>
                                  <a:pt x="3362" y="70"/>
                                </a:lnTo>
                                <a:lnTo>
                                  <a:pt x="3359" y="78"/>
                                </a:lnTo>
                                <a:lnTo>
                                  <a:pt x="3356" y="86"/>
                                </a:lnTo>
                                <a:lnTo>
                                  <a:pt x="3354" y="95"/>
                                </a:lnTo>
                                <a:lnTo>
                                  <a:pt x="3351" y="106"/>
                                </a:lnTo>
                                <a:lnTo>
                                  <a:pt x="3350" y="117"/>
                                </a:lnTo>
                                <a:lnTo>
                                  <a:pt x="3350" y="128"/>
                                </a:lnTo>
                                <a:lnTo>
                                  <a:pt x="3352" y="149"/>
                                </a:lnTo>
                                <a:lnTo>
                                  <a:pt x="3357" y="170"/>
                                </a:lnTo>
                                <a:lnTo>
                                  <a:pt x="3365" y="191"/>
                                </a:lnTo>
                                <a:lnTo>
                                  <a:pt x="3376" y="213"/>
                                </a:lnTo>
                                <a:lnTo>
                                  <a:pt x="3365" y="213"/>
                                </a:lnTo>
                                <a:close/>
                                <a:moveTo>
                                  <a:pt x="3473" y="159"/>
                                </a:moveTo>
                                <a:lnTo>
                                  <a:pt x="3473" y="175"/>
                                </a:lnTo>
                                <a:lnTo>
                                  <a:pt x="3388" y="175"/>
                                </a:lnTo>
                                <a:lnTo>
                                  <a:pt x="3388" y="171"/>
                                </a:lnTo>
                                <a:lnTo>
                                  <a:pt x="3389" y="167"/>
                                </a:lnTo>
                                <a:lnTo>
                                  <a:pt x="3390" y="164"/>
                                </a:lnTo>
                                <a:lnTo>
                                  <a:pt x="3392" y="158"/>
                                </a:lnTo>
                                <a:lnTo>
                                  <a:pt x="3396" y="152"/>
                                </a:lnTo>
                                <a:lnTo>
                                  <a:pt x="3400" y="147"/>
                                </a:lnTo>
                                <a:lnTo>
                                  <a:pt x="3405" y="141"/>
                                </a:lnTo>
                                <a:lnTo>
                                  <a:pt x="3412" y="134"/>
                                </a:lnTo>
                                <a:lnTo>
                                  <a:pt x="3421" y="127"/>
                                </a:lnTo>
                                <a:lnTo>
                                  <a:pt x="3435" y="116"/>
                                </a:lnTo>
                                <a:lnTo>
                                  <a:pt x="3445" y="106"/>
                                </a:lnTo>
                                <a:lnTo>
                                  <a:pt x="3450" y="100"/>
                                </a:lnTo>
                                <a:lnTo>
                                  <a:pt x="3454" y="93"/>
                                </a:lnTo>
                                <a:lnTo>
                                  <a:pt x="3457" y="87"/>
                                </a:lnTo>
                                <a:lnTo>
                                  <a:pt x="3457" y="81"/>
                                </a:lnTo>
                                <a:lnTo>
                                  <a:pt x="3457" y="74"/>
                                </a:lnTo>
                                <a:lnTo>
                                  <a:pt x="3455" y="69"/>
                                </a:lnTo>
                                <a:lnTo>
                                  <a:pt x="3450" y="65"/>
                                </a:lnTo>
                                <a:lnTo>
                                  <a:pt x="3446" y="61"/>
                                </a:lnTo>
                                <a:lnTo>
                                  <a:pt x="3440" y="58"/>
                                </a:lnTo>
                                <a:lnTo>
                                  <a:pt x="3433" y="58"/>
                                </a:lnTo>
                                <a:lnTo>
                                  <a:pt x="3425" y="58"/>
                                </a:lnTo>
                                <a:lnTo>
                                  <a:pt x="3419" y="61"/>
                                </a:lnTo>
                                <a:lnTo>
                                  <a:pt x="3414" y="65"/>
                                </a:lnTo>
                                <a:lnTo>
                                  <a:pt x="3410" y="70"/>
                                </a:lnTo>
                                <a:lnTo>
                                  <a:pt x="3408" y="76"/>
                                </a:lnTo>
                                <a:lnTo>
                                  <a:pt x="3407" y="84"/>
                                </a:lnTo>
                                <a:lnTo>
                                  <a:pt x="3391" y="83"/>
                                </a:lnTo>
                                <a:lnTo>
                                  <a:pt x="3392" y="70"/>
                                </a:lnTo>
                                <a:lnTo>
                                  <a:pt x="3396" y="61"/>
                                </a:lnTo>
                                <a:lnTo>
                                  <a:pt x="3404" y="55"/>
                                </a:lnTo>
                                <a:lnTo>
                                  <a:pt x="3411" y="48"/>
                                </a:lnTo>
                                <a:lnTo>
                                  <a:pt x="3421" y="45"/>
                                </a:lnTo>
                                <a:lnTo>
                                  <a:pt x="3433" y="45"/>
                                </a:lnTo>
                                <a:lnTo>
                                  <a:pt x="3445" y="45"/>
                                </a:lnTo>
                                <a:lnTo>
                                  <a:pt x="3455" y="49"/>
                                </a:lnTo>
                                <a:lnTo>
                                  <a:pt x="3462" y="56"/>
                                </a:lnTo>
                                <a:lnTo>
                                  <a:pt x="3470" y="62"/>
                                </a:lnTo>
                                <a:lnTo>
                                  <a:pt x="3473" y="71"/>
                                </a:lnTo>
                                <a:lnTo>
                                  <a:pt x="3473" y="81"/>
                                </a:lnTo>
                                <a:lnTo>
                                  <a:pt x="3473" y="86"/>
                                </a:lnTo>
                                <a:lnTo>
                                  <a:pt x="3472" y="91"/>
                                </a:lnTo>
                                <a:lnTo>
                                  <a:pt x="3470" y="96"/>
                                </a:lnTo>
                                <a:lnTo>
                                  <a:pt x="3468" y="101"/>
                                </a:lnTo>
                                <a:lnTo>
                                  <a:pt x="3464" y="107"/>
                                </a:lnTo>
                                <a:lnTo>
                                  <a:pt x="3460" y="112"/>
                                </a:lnTo>
                                <a:lnTo>
                                  <a:pt x="3455" y="118"/>
                                </a:lnTo>
                                <a:lnTo>
                                  <a:pt x="3446" y="125"/>
                                </a:lnTo>
                                <a:lnTo>
                                  <a:pt x="3435" y="135"/>
                                </a:lnTo>
                                <a:lnTo>
                                  <a:pt x="3426" y="143"/>
                                </a:lnTo>
                                <a:lnTo>
                                  <a:pt x="3420" y="148"/>
                                </a:lnTo>
                                <a:lnTo>
                                  <a:pt x="3417" y="151"/>
                                </a:lnTo>
                                <a:lnTo>
                                  <a:pt x="3414" y="154"/>
                                </a:lnTo>
                                <a:lnTo>
                                  <a:pt x="3412" y="157"/>
                                </a:lnTo>
                                <a:lnTo>
                                  <a:pt x="3410" y="159"/>
                                </a:lnTo>
                                <a:lnTo>
                                  <a:pt x="3473" y="159"/>
                                </a:lnTo>
                                <a:close/>
                                <a:moveTo>
                                  <a:pt x="3499" y="175"/>
                                </a:moveTo>
                                <a:lnTo>
                                  <a:pt x="3499" y="157"/>
                                </a:lnTo>
                                <a:lnTo>
                                  <a:pt x="3517" y="157"/>
                                </a:lnTo>
                                <a:lnTo>
                                  <a:pt x="3517" y="175"/>
                                </a:lnTo>
                                <a:lnTo>
                                  <a:pt x="3499" y="175"/>
                                </a:lnTo>
                                <a:close/>
                                <a:moveTo>
                                  <a:pt x="3541" y="63"/>
                                </a:moveTo>
                                <a:lnTo>
                                  <a:pt x="3541" y="48"/>
                                </a:lnTo>
                                <a:lnTo>
                                  <a:pt x="3625" y="48"/>
                                </a:lnTo>
                                <a:lnTo>
                                  <a:pt x="3625" y="60"/>
                                </a:lnTo>
                                <a:lnTo>
                                  <a:pt x="3619" y="67"/>
                                </a:lnTo>
                                <a:lnTo>
                                  <a:pt x="3613" y="75"/>
                                </a:lnTo>
                                <a:lnTo>
                                  <a:pt x="3606" y="84"/>
                                </a:lnTo>
                                <a:lnTo>
                                  <a:pt x="3600" y="95"/>
                                </a:lnTo>
                                <a:lnTo>
                                  <a:pt x="3595" y="106"/>
                                </a:lnTo>
                                <a:lnTo>
                                  <a:pt x="3590" y="117"/>
                                </a:lnTo>
                                <a:lnTo>
                                  <a:pt x="3585" y="128"/>
                                </a:lnTo>
                                <a:lnTo>
                                  <a:pt x="3582" y="139"/>
                                </a:lnTo>
                                <a:lnTo>
                                  <a:pt x="3579" y="150"/>
                                </a:lnTo>
                                <a:lnTo>
                                  <a:pt x="3577" y="162"/>
                                </a:lnTo>
                                <a:lnTo>
                                  <a:pt x="3576" y="175"/>
                                </a:lnTo>
                                <a:lnTo>
                                  <a:pt x="3559" y="175"/>
                                </a:lnTo>
                                <a:lnTo>
                                  <a:pt x="3560" y="165"/>
                                </a:lnTo>
                                <a:lnTo>
                                  <a:pt x="3562" y="152"/>
                                </a:lnTo>
                                <a:lnTo>
                                  <a:pt x="3565" y="138"/>
                                </a:lnTo>
                                <a:lnTo>
                                  <a:pt x="3569" y="127"/>
                                </a:lnTo>
                                <a:lnTo>
                                  <a:pt x="3572" y="117"/>
                                </a:lnTo>
                                <a:lnTo>
                                  <a:pt x="3577" y="107"/>
                                </a:lnTo>
                                <a:lnTo>
                                  <a:pt x="3582" y="96"/>
                                </a:lnTo>
                                <a:lnTo>
                                  <a:pt x="3587" y="87"/>
                                </a:lnTo>
                                <a:lnTo>
                                  <a:pt x="3593" y="78"/>
                                </a:lnTo>
                                <a:lnTo>
                                  <a:pt x="3599" y="70"/>
                                </a:lnTo>
                                <a:lnTo>
                                  <a:pt x="3604" y="63"/>
                                </a:lnTo>
                                <a:lnTo>
                                  <a:pt x="3541" y="63"/>
                                </a:lnTo>
                                <a:close/>
                                <a:moveTo>
                                  <a:pt x="3643" y="77"/>
                                </a:moveTo>
                                <a:lnTo>
                                  <a:pt x="3643" y="68"/>
                                </a:lnTo>
                                <a:lnTo>
                                  <a:pt x="3646" y="60"/>
                                </a:lnTo>
                                <a:lnTo>
                                  <a:pt x="3650" y="53"/>
                                </a:lnTo>
                                <a:lnTo>
                                  <a:pt x="3655" y="47"/>
                                </a:lnTo>
                                <a:lnTo>
                                  <a:pt x="3662" y="44"/>
                                </a:lnTo>
                                <a:lnTo>
                                  <a:pt x="3670" y="44"/>
                                </a:lnTo>
                                <a:lnTo>
                                  <a:pt x="3679" y="44"/>
                                </a:lnTo>
                                <a:lnTo>
                                  <a:pt x="3685" y="47"/>
                                </a:lnTo>
                                <a:lnTo>
                                  <a:pt x="3691" y="52"/>
                                </a:lnTo>
                                <a:lnTo>
                                  <a:pt x="3696" y="58"/>
                                </a:lnTo>
                                <a:lnTo>
                                  <a:pt x="3699" y="67"/>
                                </a:lnTo>
                                <a:lnTo>
                                  <a:pt x="3699" y="78"/>
                                </a:lnTo>
                                <a:lnTo>
                                  <a:pt x="3699" y="89"/>
                                </a:lnTo>
                                <a:lnTo>
                                  <a:pt x="3696" y="97"/>
                                </a:lnTo>
                                <a:lnTo>
                                  <a:pt x="3690" y="103"/>
                                </a:lnTo>
                                <a:lnTo>
                                  <a:pt x="3685" y="109"/>
                                </a:lnTo>
                                <a:lnTo>
                                  <a:pt x="3679" y="112"/>
                                </a:lnTo>
                                <a:lnTo>
                                  <a:pt x="3671" y="112"/>
                                </a:lnTo>
                                <a:lnTo>
                                  <a:pt x="3663" y="112"/>
                                </a:lnTo>
                                <a:lnTo>
                                  <a:pt x="3656" y="109"/>
                                </a:lnTo>
                                <a:lnTo>
                                  <a:pt x="3651" y="103"/>
                                </a:lnTo>
                                <a:lnTo>
                                  <a:pt x="3646" y="97"/>
                                </a:lnTo>
                                <a:lnTo>
                                  <a:pt x="3643" y="88"/>
                                </a:lnTo>
                                <a:lnTo>
                                  <a:pt x="3643" y="77"/>
                                </a:lnTo>
                                <a:close/>
                                <a:moveTo>
                                  <a:pt x="3671" y="55"/>
                                </a:moveTo>
                                <a:lnTo>
                                  <a:pt x="3667" y="55"/>
                                </a:lnTo>
                                <a:lnTo>
                                  <a:pt x="3664" y="56"/>
                                </a:lnTo>
                                <a:lnTo>
                                  <a:pt x="3661" y="60"/>
                                </a:lnTo>
                                <a:lnTo>
                                  <a:pt x="3659" y="63"/>
                                </a:lnTo>
                                <a:lnTo>
                                  <a:pt x="3657" y="69"/>
                                </a:lnTo>
                                <a:lnTo>
                                  <a:pt x="3657" y="78"/>
                                </a:lnTo>
                                <a:lnTo>
                                  <a:pt x="3657" y="87"/>
                                </a:lnTo>
                                <a:lnTo>
                                  <a:pt x="3659" y="92"/>
                                </a:lnTo>
                                <a:lnTo>
                                  <a:pt x="3661" y="96"/>
                                </a:lnTo>
                                <a:lnTo>
                                  <a:pt x="3664" y="99"/>
                                </a:lnTo>
                                <a:lnTo>
                                  <a:pt x="3667" y="101"/>
                                </a:lnTo>
                                <a:lnTo>
                                  <a:pt x="3671" y="101"/>
                                </a:lnTo>
                                <a:lnTo>
                                  <a:pt x="3675" y="101"/>
                                </a:lnTo>
                                <a:lnTo>
                                  <a:pt x="3678" y="99"/>
                                </a:lnTo>
                                <a:lnTo>
                                  <a:pt x="3681" y="96"/>
                                </a:lnTo>
                                <a:lnTo>
                                  <a:pt x="3683" y="92"/>
                                </a:lnTo>
                                <a:lnTo>
                                  <a:pt x="3685" y="86"/>
                                </a:lnTo>
                                <a:lnTo>
                                  <a:pt x="3685" y="77"/>
                                </a:lnTo>
                                <a:lnTo>
                                  <a:pt x="3685" y="69"/>
                                </a:lnTo>
                                <a:lnTo>
                                  <a:pt x="3683" y="63"/>
                                </a:lnTo>
                                <a:lnTo>
                                  <a:pt x="3681" y="60"/>
                                </a:lnTo>
                                <a:lnTo>
                                  <a:pt x="3678" y="56"/>
                                </a:lnTo>
                                <a:lnTo>
                                  <a:pt x="3675" y="55"/>
                                </a:lnTo>
                                <a:lnTo>
                                  <a:pt x="3671" y="55"/>
                                </a:lnTo>
                                <a:close/>
                                <a:moveTo>
                                  <a:pt x="3671" y="179"/>
                                </a:moveTo>
                                <a:lnTo>
                                  <a:pt x="3742" y="44"/>
                                </a:lnTo>
                                <a:lnTo>
                                  <a:pt x="3754" y="44"/>
                                </a:lnTo>
                                <a:lnTo>
                                  <a:pt x="3684" y="179"/>
                                </a:lnTo>
                                <a:lnTo>
                                  <a:pt x="3671" y="179"/>
                                </a:lnTo>
                                <a:close/>
                                <a:moveTo>
                                  <a:pt x="3727" y="144"/>
                                </a:moveTo>
                                <a:lnTo>
                                  <a:pt x="3727" y="135"/>
                                </a:lnTo>
                                <a:lnTo>
                                  <a:pt x="3729" y="127"/>
                                </a:lnTo>
                                <a:lnTo>
                                  <a:pt x="3734" y="121"/>
                                </a:lnTo>
                                <a:lnTo>
                                  <a:pt x="3738" y="115"/>
                                </a:lnTo>
                                <a:lnTo>
                                  <a:pt x="3745" y="111"/>
                                </a:lnTo>
                                <a:lnTo>
                                  <a:pt x="3754" y="111"/>
                                </a:lnTo>
                                <a:lnTo>
                                  <a:pt x="3762" y="111"/>
                                </a:lnTo>
                                <a:lnTo>
                                  <a:pt x="3769" y="114"/>
                                </a:lnTo>
                                <a:lnTo>
                                  <a:pt x="3774" y="120"/>
                                </a:lnTo>
                                <a:lnTo>
                                  <a:pt x="3779" y="126"/>
                                </a:lnTo>
                                <a:lnTo>
                                  <a:pt x="3782" y="134"/>
                                </a:lnTo>
                                <a:lnTo>
                                  <a:pt x="3782" y="145"/>
                                </a:lnTo>
                                <a:lnTo>
                                  <a:pt x="3782" y="156"/>
                                </a:lnTo>
                                <a:lnTo>
                                  <a:pt x="3779" y="165"/>
                                </a:lnTo>
                                <a:lnTo>
                                  <a:pt x="3774" y="171"/>
                                </a:lnTo>
                                <a:lnTo>
                                  <a:pt x="3769" y="176"/>
                                </a:lnTo>
                                <a:lnTo>
                                  <a:pt x="3762" y="179"/>
                                </a:lnTo>
                                <a:lnTo>
                                  <a:pt x="3754" y="179"/>
                                </a:lnTo>
                                <a:lnTo>
                                  <a:pt x="3746" y="179"/>
                                </a:lnTo>
                                <a:lnTo>
                                  <a:pt x="3740" y="177"/>
                                </a:lnTo>
                                <a:lnTo>
                                  <a:pt x="3735" y="171"/>
                                </a:lnTo>
                                <a:lnTo>
                                  <a:pt x="3729" y="165"/>
                                </a:lnTo>
                                <a:lnTo>
                                  <a:pt x="3727" y="156"/>
                                </a:lnTo>
                                <a:lnTo>
                                  <a:pt x="3727" y="144"/>
                                </a:lnTo>
                                <a:close/>
                                <a:moveTo>
                                  <a:pt x="3754" y="122"/>
                                </a:moveTo>
                                <a:lnTo>
                                  <a:pt x="3750" y="122"/>
                                </a:lnTo>
                                <a:lnTo>
                                  <a:pt x="3747" y="124"/>
                                </a:lnTo>
                                <a:lnTo>
                                  <a:pt x="3744" y="127"/>
                                </a:lnTo>
                                <a:lnTo>
                                  <a:pt x="3742" y="131"/>
                                </a:lnTo>
                                <a:lnTo>
                                  <a:pt x="3741" y="137"/>
                                </a:lnTo>
                                <a:lnTo>
                                  <a:pt x="3741" y="146"/>
                                </a:lnTo>
                                <a:lnTo>
                                  <a:pt x="3741" y="154"/>
                                </a:lnTo>
                                <a:lnTo>
                                  <a:pt x="3742" y="160"/>
                                </a:lnTo>
                                <a:lnTo>
                                  <a:pt x="3745" y="163"/>
                                </a:lnTo>
                                <a:lnTo>
                                  <a:pt x="3747" y="167"/>
                                </a:lnTo>
                                <a:lnTo>
                                  <a:pt x="3750" y="169"/>
                                </a:lnTo>
                                <a:lnTo>
                                  <a:pt x="3754" y="169"/>
                                </a:lnTo>
                                <a:lnTo>
                                  <a:pt x="3758" y="169"/>
                                </a:lnTo>
                                <a:lnTo>
                                  <a:pt x="3762" y="167"/>
                                </a:lnTo>
                                <a:lnTo>
                                  <a:pt x="3764" y="163"/>
                                </a:lnTo>
                                <a:lnTo>
                                  <a:pt x="3767" y="160"/>
                                </a:lnTo>
                                <a:lnTo>
                                  <a:pt x="3768" y="154"/>
                                </a:lnTo>
                                <a:lnTo>
                                  <a:pt x="3768" y="145"/>
                                </a:lnTo>
                                <a:lnTo>
                                  <a:pt x="3768" y="136"/>
                                </a:lnTo>
                                <a:lnTo>
                                  <a:pt x="3767" y="131"/>
                                </a:lnTo>
                                <a:lnTo>
                                  <a:pt x="3764" y="127"/>
                                </a:lnTo>
                                <a:lnTo>
                                  <a:pt x="3762" y="124"/>
                                </a:lnTo>
                                <a:lnTo>
                                  <a:pt x="3758" y="122"/>
                                </a:lnTo>
                                <a:lnTo>
                                  <a:pt x="3754" y="122"/>
                                </a:lnTo>
                                <a:close/>
                                <a:moveTo>
                                  <a:pt x="3815" y="213"/>
                                </a:moveTo>
                                <a:lnTo>
                                  <a:pt x="3804" y="213"/>
                                </a:lnTo>
                                <a:lnTo>
                                  <a:pt x="3815" y="191"/>
                                </a:lnTo>
                                <a:lnTo>
                                  <a:pt x="3824" y="170"/>
                                </a:lnTo>
                                <a:lnTo>
                                  <a:pt x="3829" y="149"/>
                                </a:lnTo>
                                <a:lnTo>
                                  <a:pt x="3830" y="128"/>
                                </a:lnTo>
                                <a:lnTo>
                                  <a:pt x="3830" y="117"/>
                                </a:lnTo>
                                <a:lnTo>
                                  <a:pt x="3829" y="106"/>
                                </a:lnTo>
                                <a:lnTo>
                                  <a:pt x="3826" y="95"/>
                                </a:lnTo>
                                <a:lnTo>
                                  <a:pt x="3824" y="87"/>
                                </a:lnTo>
                                <a:lnTo>
                                  <a:pt x="3822" y="78"/>
                                </a:lnTo>
                                <a:lnTo>
                                  <a:pt x="3818" y="70"/>
                                </a:lnTo>
                                <a:lnTo>
                                  <a:pt x="3816" y="65"/>
                                </a:lnTo>
                                <a:lnTo>
                                  <a:pt x="3811" y="56"/>
                                </a:lnTo>
                                <a:lnTo>
                                  <a:pt x="3804" y="44"/>
                                </a:lnTo>
                                <a:lnTo>
                                  <a:pt x="3815" y="44"/>
                                </a:lnTo>
                                <a:lnTo>
                                  <a:pt x="3823" y="55"/>
                                </a:lnTo>
                                <a:lnTo>
                                  <a:pt x="3830" y="66"/>
                                </a:lnTo>
                                <a:lnTo>
                                  <a:pt x="3835" y="77"/>
                                </a:lnTo>
                                <a:lnTo>
                                  <a:pt x="3840" y="88"/>
                                </a:lnTo>
                                <a:lnTo>
                                  <a:pt x="3843" y="98"/>
                                </a:lnTo>
                                <a:lnTo>
                                  <a:pt x="3845" y="108"/>
                                </a:lnTo>
                                <a:lnTo>
                                  <a:pt x="3846" y="118"/>
                                </a:lnTo>
                                <a:lnTo>
                                  <a:pt x="3846" y="128"/>
                                </a:lnTo>
                                <a:lnTo>
                                  <a:pt x="3846" y="140"/>
                                </a:lnTo>
                                <a:lnTo>
                                  <a:pt x="3844" y="151"/>
                                </a:lnTo>
                                <a:lnTo>
                                  <a:pt x="3841" y="163"/>
                                </a:lnTo>
                                <a:lnTo>
                                  <a:pt x="3837" y="174"/>
                                </a:lnTo>
                                <a:lnTo>
                                  <a:pt x="3833" y="185"/>
                                </a:lnTo>
                                <a:lnTo>
                                  <a:pt x="3827" y="195"/>
                                </a:lnTo>
                                <a:lnTo>
                                  <a:pt x="3822" y="204"/>
                                </a:lnTo>
                                <a:lnTo>
                                  <a:pt x="3815" y="213"/>
                                </a:lnTo>
                                <a:close/>
                                <a:moveTo>
                                  <a:pt x="4875" y="97"/>
                                </a:moveTo>
                                <a:lnTo>
                                  <a:pt x="4891" y="95"/>
                                </a:lnTo>
                                <a:lnTo>
                                  <a:pt x="4893" y="104"/>
                                </a:lnTo>
                                <a:lnTo>
                                  <a:pt x="4896" y="110"/>
                                </a:lnTo>
                                <a:lnTo>
                                  <a:pt x="4901" y="114"/>
                                </a:lnTo>
                                <a:lnTo>
                                  <a:pt x="4905" y="118"/>
                                </a:lnTo>
                                <a:lnTo>
                                  <a:pt x="4910" y="120"/>
                                </a:lnTo>
                                <a:lnTo>
                                  <a:pt x="4917" y="120"/>
                                </a:lnTo>
                                <a:lnTo>
                                  <a:pt x="4924" y="120"/>
                                </a:lnTo>
                                <a:lnTo>
                                  <a:pt x="4930" y="117"/>
                                </a:lnTo>
                                <a:lnTo>
                                  <a:pt x="4935" y="112"/>
                                </a:lnTo>
                                <a:lnTo>
                                  <a:pt x="4941" y="107"/>
                                </a:lnTo>
                                <a:lnTo>
                                  <a:pt x="4943" y="101"/>
                                </a:lnTo>
                                <a:lnTo>
                                  <a:pt x="4943" y="93"/>
                                </a:lnTo>
                                <a:lnTo>
                                  <a:pt x="4943" y="86"/>
                                </a:lnTo>
                                <a:lnTo>
                                  <a:pt x="4941" y="80"/>
                                </a:lnTo>
                                <a:lnTo>
                                  <a:pt x="4936" y="75"/>
                                </a:lnTo>
                                <a:lnTo>
                                  <a:pt x="4931" y="70"/>
                                </a:lnTo>
                                <a:lnTo>
                                  <a:pt x="4925" y="68"/>
                                </a:lnTo>
                                <a:lnTo>
                                  <a:pt x="4918" y="68"/>
                                </a:lnTo>
                                <a:lnTo>
                                  <a:pt x="4915" y="68"/>
                                </a:lnTo>
                                <a:lnTo>
                                  <a:pt x="4911" y="69"/>
                                </a:lnTo>
                                <a:lnTo>
                                  <a:pt x="4907" y="70"/>
                                </a:lnTo>
                                <a:lnTo>
                                  <a:pt x="4908" y="56"/>
                                </a:lnTo>
                                <a:lnTo>
                                  <a:pt x="4909" y="56"/>
                                </a:lnTo>
                                <a:lnTo>
                                  <a:pt x="4910" y="56"/>
                                </a:lnTo>
                                <a:lnTo>
                                  <a:pt x="4911" y="56"/>
                                </a:lnTo>
                                <a:lnTo>
                                  <a:pt x="4918" y="56"/>
                                </a:lnTo>
                                <a:lnTo>
                                  <a:pt x="4924" y="54"/>
                                </a:lnTo>
                                <a:lnTo>
                                  <a:pt x="4929" y="51"/>
                                </a:lnTo>
                                <a:lnTo>
                                  <a:pt x="4935" y="47"/>
                                </a:lnTo>
                                <a:lnTo>
                                  <a:pt x="4937" y="42"/>
                                </a:lnTo>
                                <a:lnTo>
                                  <a:pt x="4937" y="35"/>
                                </a:lnTo>
                                <a:lnTo>
                                  <a:pt x="4937" y="29"/>
                                </a:lnTo>
                                <a:lnTo>
                                  <a:pt x="4935" y="24"/>
                                </a:lnTo>
                                <a:lnTo>
                                  <a:pt x="4931" y="20"/>
                                </a:lnTo>
                                <a:lnTo>
                                  <a:pt x="4927" y="16"/>
                                </a:lnTo>
                                <a:lnTo>
                                  <a:pt x="4922" y="14"/>
                                </a:lnTo>
                                <a:lnTo>
                                  <a:pt x="4916" y="14"/>
                                </a:lnTo>
                                <a:lnTo>
                                  <a:pt x="4910" y="14"/>
                                </a:lnTo>
                                <a:lnTo>
                                  <a:pt x="4905" y="16"/>
                                </a:lnTo>
                                <a:lnTo>
                                  <a:pt x="4901" y="20"/>
                                </a:lnTo>
                                <a:lnTo>
                                  <a:pt x="4897" y="24"/>
                                </a:lnTo>
                                <a:lnTo>
                                  <a:pt x="4894" y="30"/>
                                </a:lnTo>
                                <a:lnTo>
                                  <a:pt x="4893" y="38"/>
                                </a:lnTo>
                                <a:lnTo>
                                  <a:pt x="4877" y="35"/>
                                </a:lnTo>
                                <a:lnTo>
                                  <a:pt x="4879" y="24"/>
                                </a:lnTo>
                                <a:lnTo>
                                  <a:pt x="4883" y="16"/>
                                </a:lnTo>
                                <a:lnTo>
                                  <a:pt x="4890" y="10"/>
                                </a:lnTo>
                                <a:lnTo>
                                  <a:pt x="4897" y="4"/>
                                </a:lnTo>
                                <a:lnTo>
                                  <a:pt x="4906" y="1"/>
                                </a:lnTo>
                                <a:lnTo>
                                  <a:pt x="4916" y="1"/>
                                </a:lnTo>
                                <a:lnTo>
                                  <a:pt x="4923" y="1"/>
                                </a:lnTo>
                                <a:lnTo>
                                  <a:pt x="4929" y="3"/>
                                </a:lnTo>
                                <a:lnTo>
                                  <a:pt x="4935" y="6"/>
                                </a:lnTo>
                                <a:lnTo>
                                  <a:pt x="4941" y="9"/>
                                </a:lnTo>
                                <a:lnTo>
                                  <a:pt x="4946" y="13"/>
                                </a:lnTo>
                                <a:lnTo>
                                  <a:pt x="4949" y="18"/>
                                </a:lnTo>
                                <a:lnTo>
                                  <a:pt x="4952" y="24"/>
                                </a:lnTo>
                                <a:lnTo>
                                  <a:pt x="4954" y="29"/>
                                </a:lnTo>
                                <a:lnTo>
                                  <a:pt x="4954" y="35"/>
                                </a:lnTo>
                                <a:lnTo>
                                  <a:pt x="4954" y="41"/>
                                </a:lnTo>
                                <a:lnTo>
                                  <a:pt x="4952" y="46"/>
                                </a:lnTo>
                                <a:lnTo>
                                  <a:pt x="4949" y="50"/>
                                </a:lnTo>
                                <a:lnTo>
                                  <a:pt x="4946" y="55"/>
                                </a:lnTo>
                                <a:lnTo>
                                  <a:pt x="4942" y="58"/>
                                </a:lnTo>
                                <a:lnTo>
                                  <a:pt x="4936" y="61"/>
                                </a:lnTo>
                                <a:lnTo>
                                  <a:pt x="4943" y="63"/>
                                </a:lnTo>
                                <a:lnTo>
                                  <a:pt x="4949" y="66"/>
                                </a:lnTo>
                                <a:lnTo>
                                  <a:pt x="4954" y="72"/>
                                </a:lnTo>
                                <a:lnTo>
                                  <a:pt x="4958" y="78"/>
                                </a:lnTo>
                                <a:lnTo>
                                  <a:pt x="4960" y="84"/>
                                </a:lnTo>
                                <a:lnTo>
                                  <a:pt x="4960" y="93"/>
                                </a:lnTo>
                                <a:lnTo>
                                  <a:pt x="4960" y="104"/>
                                </a:lnTo>
                                <a:lnTo>
                                  <a:pt x="4956" y="114"/>
                                </a:lnTo>
                                <a:lnTo>
                                  <a:pt x="4948" y="121"/>
                                </a:lnTo>
                                <a:lnTo>
                                  <a:pt x="4939" y="129"/>
                                </a:lnTo>
                                <a:lnTo>
                                  <a:pt x="4929" y="133"/>
                                </a:lnTo>
                                <a:lnTo>
                                  <a:pt x="4916" y="133"/>
                                </a:lnTo>
                                <a:lnTo>
                                  <a:pt x="4905" y="133"/>
                                </a:lnTo>
                                <a:lnTo>
                                  <a:pt x="4896" y="130"/>
                                </a:lnTo>
                                <a:lnTo>
                                  <a:pt x="4888" y="123"/>
                                </a:lnTo>
                                <a:lnTo>
                                  <a:pt x="4881" y="116"/>
                                </a:lnTo>
                                <a:lnTo>
                                  <a:pt x="4877" y="108"/>
                                </a:lnTo>
                                <a:lnTo>
                                  <a:pt x="4875" y="97"/>
                                </a:lnTo>
                                <a:close/>
                                <a:moveTo>
                                  <a:pt x="5060" y="169"/>
                                </a:moveTo>
                                <a:lnTo>
                                  <a:pt x="5054" y="160"/>
                                </a:lnTo>
                                <a:lnTo>
                                  <a:pt x="5048" y="151"/>
                                </a:lnTo>
                                <a:lnTo>
                                  <a:pt x="5043" y="141"/>
                                </a:lnTo>
                                <a:lnTo>
                                  <a:pt x="5038" y="130"/>
                                </a:lnTo>
                                <a:lnTo>
                                  <a:pt x="5034" y="119"/>
                                </a:lnTo>
                                <a:lnTo>
                                  <a:pt x="5031" y="108"/>
                                </a:lnTo>
                                <a:lnTo>
                                  <a:pt x="5030" y="96"/>
                                </a:lnTo>
                                <a:lnTo>
                                  <a:pt x="5029" y="84"/>
                                </a:lnTo>
                                <a:lnTo>
                                  <a:pt x="5029" y="74"/>
                                </a:lnTo>
                                <a:lnTo>
                                  <a:pt x="5031" y="64"/>
                                </a:lnTo>
                                <a:lnTo>
                                  <a:pt x="5033" y="54"/>
                                </a:lnTo>
                                <a:lnTo>
                                  <a:pt x="5036" y="44"/>
                                </a:lnTo>
                                <a:lnTo>
                                  <a:pt x="5040" y="33"/>
                                </a:lnTo>
                                <a:lnTo>
                                  <a:pt x="5046" y="22"/>
                                </a:lnTo>
                                <a:lnTo>
                                  <a:pt x="5052" y="11"/>
                                </a:lnTo>
                                <a:lnTo>
                                  <a:pt x="5060" y="0"/>
                                </a:lnTo>
                                <a:lnTo>
                                  <a:pt x="5071" y="0"/>
                                </a:lnTo>
                                <a:lnTo>
                                  <a:pt x="5064" y="12"/>
                                </a:lnTo>
                                <a:lnTo>
                                  <a:pt x="5060" y="21"/>
                                </a:lnTo>
                                <a:lnTo>
                                  <a:pt x="5057" y="26"/>
                                </a:lnTo>
                                <a:lnTo>
                                  <a:pt x="5054" y="34"/>
                                </a:lnTo>
                                <a:lnTo>
                                  <a:pt x="5051" y="42"/>
                                </a:lnTo>
                                <a:lnTo>
                                  <a:pt x="5049" y="51"/>
                                </a:lnTo>
                                <a:lnTo>
                                  <a:pt x="5046" y="62"/>
                                </a:lnTo>
                                <a:lnTo>
                                  <a:pt x="5045" y="73"/>
                                </a:lnTo>
                                <a:lnTo>
                                  <a:pt x="5045" y="84"/>
                                </a:lnTo>
                                <a:lnTo>
                                  <a:pt x="5047" y="105"/>
                                </a:lnTo>
                                <a:lnTo>
                                  <a:pt x="5052" y="127"/>
                                </a:lnTo>
                                <a:lnTo>
                                  <a:pt x="5060" y="148"/>
                                </a:lnTo>
                                <a:lnTo>
                                  <a:pt x="5071" y="169"/>
                                </a:lnTo>
                                <a:lnTo>
                                  <a:pt x="5060" y="169"/>
                                </a:lnTo>
                                <a:close/>
                                <a:moveTo>
                                  <a:pt x="5136" y="131"/>
                                </a:moveTo>
                                <a:lnTo>
                                  <a:pt x="5136" y="100"/>
                                </a:lnTo>
                                <a:lnTo>
                                  <a:pt x="5080" y="100"/>
                                </a:lnTo>
                                <a:lnTo>
                                  <a:pt x="5080" y="86"/>
                                </a:lnTo>
                                <a:lnTo>
                                  <a:pt x="5139" y="2"/>
                                </a:lnTo>
                                <a:lnTo>
                                  <a:pt x="5152" y="2"/>
                                </a:lnTo>
                                <a:lnTo>
                                  <a:pt x="5152" y="86"/>
                                </a:lnTo>
                                <a:lnTo>
                                  <a:pt x="5169" y="86"/>
                                </a:lnTo>
                                <a:lnTo>
                                  <a:pt x="5169" y="100"/>
                                </a:lnTo>
                                <a:lnTo>
                                  <a:pt x="5152" y="100"/>
                                </a:lnTo>
                                <a:lnTo>
                                  <a:pt x="5152" y="131"/>
                                </a:lnTo>
                                <a:lnTo>
                                  <a:pt x="5136" y="131"/>
                                </a:lnTo>
                                <a:close/>
                                <a:moveTo>
                                  <a:pt x="5136" y="86"/>
                                </a:moveTo>
                                <a:lnTo>
                                  <a:pt x="5136" y="27"/>
                                </a:lnTo>
                                <a:lnTo>
                                  <a:pt x="5096" y="86"/>
                                </a:lnTo>
                                <a:lnTo>
                                  <a:pt x="5136" y="86"/>
                                </a:lnTo>
                                <a:close/>
                                <a:moveTo>
                                  <a:pt x="5189" y="33"/>
                                </a:moveTo>
                                <a:lnTo>
                                  <a:pt x="5189" y="24"/>
                                </a:lnTo>
                                <a:lnTo>
                                  <a:pt x="5191" y="16"/>
                                </a:lnTo>
                                <a:lnTo>
                                  <a:pt x="5195" y="9"/>
                                </a:lnTo>
                                <a:lnTo>
                                  <a:pt x="5200" y="3"/>
                                </a:lnTo>
                                <a:lnTo>
                                  <a:pt x="5207" y="0"/>
                                </a:lnTo>
                                <a:lnTo>
                                  <a:pt x="5216" y="0"/>
                                </a:lnTo>
                                <a:lnTo>
                                  <a:pt x="5224" y="0"/>
                                </a:lnTo>
                                <a:lnTo>
                                  <a:pt x="5230" y="3"/>
                                </a:lnTo>
                                <a:lnTo>
                                  <a:pt x="5236" y="8"/>
                                </a:lnTo>
                                <a:lnTo>
                                  <a:pt x="5241" y="14"/>
                                </a:lnTo>
                                <a:lnTo>
                                  <a:pt x="5244" y="23"/>
                                </a:lnTo>
                                <a:lnTo>
                                  <a:pt x="5244" y="34"/>
                                </a:lnTo>
                                <a:lnTo>
                                  <a:pt x="5244" y="45"/>
                                </a:lnTo>
                                <a:lnTo>
                                  <a:pt x="5241" y="53"/>
                                </a:lnTo>
                                <a:lnTo>
                                  <a:pt x="5236" y="59"/>
                                </a:lnTo>
                                <a:lnTo>
                                  <a:pt x="5230" y="65"/>
                                </a:lnTo>
                                <a:lnTo>
                                  <a:pt x="5224" y="68"/>
                                </a:lnTo>
                                <a:lnTo>
                                  <a:pt x="5216" y="68"/>
                                </a:lnTo>
                                <a:lnTo>
                                  <a:pt x="5208" y="68"/>
                                </a:lnTo>
                                <a:lnTo>
                                  <a:pt x="5202" y="65"/>
                                </a:lnTo>
                                <a:lnTo>
                                  <a:pt x="5196" y="59"/>
                                </a:lnTo>
                                <a:lnTo>
                                  <a:pt x="5191" y="53"/>
                                </a:lnTo>
                                <a:lnTo>
                                  <a:pt x="5189" y="45"/>
                                </a:lnTo>
                                <a:lnTo>
                                  <a:pt x="5189" y="33"/>
                                </a:lnTo>
                                <a:close/>
                                <a:moveTo>
                                  <a:pt x="5216" y="11"/>
                                </a:moveTo>
                                <a:lnTo>
                                  <a:pt x="5212" y="11"/>
                                </a:lnTo>
                                <a:lnTo>
                                  <a:pt x="5209" y="12"/>
                                </a:lnTo>
                                <a:lnTo>
                                  <a:pt x="5206" y="16"/>
                                </a:lnTo>
                                <a:lnTo>
                                  <a:pt x="5204" y="19"/>
                                </a:lnTo>
                                <a:lnTo>
                                  <a:pt x="5202" y="25"/>
                                </a:lnTo>
                                <a:lnTo>
                                  <a:pt x="5202" y="35"/>
                                </a:lnTo>
                                <a:lnTo>
                                  <a:pt x="5202" y="43"/>
                                </a:lnTo>
                                <a:lnTo>
                                  <a:pt x="5204" y="49"/>
                                </a:lnTo>
                                <a:lnTo>
                                  <a:pt x="5206" y="52"/>
                                </a:lnTo>
                                <a:lnTo>
                                  <a:pt x="5209" y="55"/>
                                </a:lnTo>
                                <a:lnTo>
                                  <a:pt x="5212" y="57"/>
                                </a:lnTo>
                                <a:lnTo>
                                  <a:pt x="5216" y="57"/>
                                </a:lnTo>
                                <a:lnTo>
                                  <a:pt x="5220" y="57"/>
                                </a:lnTo>
                                <a:lnTo>
                                  <a:pt x="5223" y="55"/>
                                </a:lnTo>
                                <a:lnTo>
                                  <a:pt x="5226" y="52"/>
                                </a:lnTo>
                                <a:lnTo>
                                  <a:pt x="5229" y="49"/>
                                </a:lnTo>
                                <a:lnTo>
                                  <a:pt x="5230" y="42"/>
                                </a:lnTo>
                                <a:lnTo>
                                  <a:pt x="5230" y="33"/>
                                </a:lnTo>
                                <a:lnTo>
                                  <a:pt x="5230" y="25"/>
                                </a:lnTo>
                                <a:lnTo>
                                  <a:pt x="5229" y="19"/>
                                </a:lnTo>
                                <a:lnTo>
                                  <a:pt x="5226" y="16"/>
                                </a:lnTo>
                                <a:lnTo>
                                  <a:pt x="5223" y="12"/>
                                </a:lnTo>
                                <a:lnTo>
                                  <a:pt x="5220" y="11"/>
                                </a:lnTo>
                                <a:lnTo>
                                  <a:pt x="5216" y="11"/>
                                </a:lnTo>
                                <a:close/>
                                <a:moveTo>
                                  <a:pt x="5216" y="136"/>
                                </a:moveTo>
                                <a:lnTo>
                                  <a:pt x="5287" y="0"/>
                                </a:lnTo>
                                <a:lnTo>
                                  <a:pt x="5299" y="0"/>
                                </a:lnTo>
                                <a:lnTo>
                                  <a:pt x="5229" y="136"/>
                                </a:lnTo>
                                <a:lnTo>
                                  <a:pt x="5216" y="136"/>
                                </a:lnTo>
                                <a:close/>
                                <a:moveTo>
                                  <a:pt x="5272" y="101"/>
                                </a:moveTo>
                                <a:lnTo>
                                  <a:pt x="5272" y="91"/>
                                </a:lnTo>
                                <a:lnTo>
                                  <a:pt x="5274" y="84"/>
                                </a:lnTo>
                                <a:lnTo>
                                  <a:pt x="5279" y="77"/>
                                </a:lnTo>
                                <a:lnTo>
                                  <a:pt x="5283" y="71"/>
                                </a:lnTo>
                                <a:lnTo>
                                  <a:pt x="5290" y="67"/>
                                </a:lnTo>
                                <a:lnTo>
                                  <a:pt x="5299" y="67"/>
                                </a:lnTo>
                                <a:lnTo>
                                  <a:pt x="5307" y="67"/>
                                </a:lnTo>
                                <a:lnTo>
                                  <a:pt x="5314" y="70"/>
                                </a:lnTo>
                                <a:lnTo>
                                  <a:pt x="5319" y="76"/>
                                </a:lnTo>
                                <a:lnTo>
                                  <a:pt x="5324" y="82"/>
                                </a:lnTo>
                                <a:lnTo>
                                  <a:pt x="5327" y="90"/>
                                </a:lnTo>
                                <a:lnTo>
                                  <a:pt x="5327" y="102"/>
                                </a:lnTo>
                                <a:lnTo>
                                  <a:pt x="5327" y="112"/>
                                </a:lnTo>
                                <a:lnTo>
                                  <a:pt x="5324" y="121"/>
                                </a:lnTo>
                                <a:lnTo>
                                  <a:pt x="5319" y="127"/>
                                </a:lnTo>
                                <a:lnTo>
                                  <a:pt x="5314" y="133"/>
                                </a:lnTo>
                                <a:lnTo>
                                  <a:pt x="5307" y="136"/>
                                </a:lnTo>
                                <a:lnTo>
                                  <a:pt x="5299" y="136"/>
                                </a:lnTo>
                                <a:lnTo>
                                  <a:pt x="5291" y="136"/>
                                </a:lnTo>
                                <a:lnTo>
                                  <a:pt x="5285" y="133"/>
                                </a:lnTo>
                                <a:lnTo>
                                  <a:pt x="5280" y="127"/>
                                </a:lnTo>
                                <a:lnTo>
                                  <a:pt x="5274" y="121"/>
                                </a:lnTo>
                                <a:lnTo>
                                  <a:pt x="5272" y="112"/>
                                </a:lnTo>
                                <a:lnTo>
                                  <a:pt x="5272" y="101"/>
                                </a:lnTo>
                                <a:close/>
                                <a:moveTo>
                                  <a:pt x="5299" y="78"/>
                                </a:moveTo>
                                <a:lnTo>
                                  <a:pt x="5295" y="78"/>
                                </a:lnTo>
                                <a:lnTo>
                                  <a:pt x="5292" y="80"/>
                                </a:lnTo>
                                <a:lnTo>
                                  <a:pt x="5290" y="83"/>
                                </a:lnTo>
                                <a:lnTo>
                                  <a:pt x="5287" y="87"/>
                                </a:lnTo>
                                <a:lnTo>
                                  <a:pt x="5286" y="93"/>
                                </a:lnTo>
                                <a:lnTo>
                                  <a:pt x="5286" y="102"/>
                                </a:lnTo>
                                <a:lnTo>
                                  <a:pt x="5286" y="110"/>
                                </a:lnTo>
                                <a:lnTo>
                                  <a:pt x="5287" y="116"/>
                                </a:lnTo>
                                <a:lnTo>
                                  <a:pt x="5290" y="120"/>
                                </a:lnTo>
                                <a:lnTo>
                                  <a:pt x="5292" y="123"/>
                                </a:lnTo>
                                <a:lnTo>
                                  <a:pt x="5296" y="125"/>
                                </a:lnTo>
                                <a:lnTo>
                                  <a:pt x="5299" y="125"/>
                                </a:lnTo>
                                <a:lnTo>
                                  <a:pt x="5303" y="125"/>
                                </a:lnTo>
                                <a:lnTo>
                                  <a:pt x="5307" y="123"/>
                                </a:lnTo>
                                <a:lnTo>
                                  <a:pt x="5309" y="120"/>
                                </a:lnTo>
                                <a:lnTo>
                                  <a:pt x="5312" y="116"/>
                                </a:lnTo>
                                <a:lnTo>
                                  <a:pt x="5313" y="110"/>
                                </a:lnTo>
                                <a:lnTo>
                                  <a:pt x="5313" y="101"/>
                                </a:lnTo>
                                <a:lnTo>
                                  <a:pt x="5313" y="93"/>
                                </a:lnTo>
                                <a:lnTo>
                                  <a:pt x="5312" y="87"/>
                                </a:lnTo>
                                <a:lnTo>
                                  <a:pt x="5309" y="83"/>
                                </a:lnTo>
                                <a:lnTo>
                                  <a:pt x="5307" y="80"/>
                                </a:lnTo>
                                <a:lnTo>
                                  <a:pt x="5303" y="78"/>
                                </a:lnTo>
                                <a:lnTo>
                                  <a:pt x="5299" y="78"/>
                                </a:lnTo>
                                <a:close/>
                                <a:moveTo>
                                  <a:pt x="5360" y="169"/>
                                </a:moveTo>
                                <a:lnTo>
                                  <a:pt x="5349" y="169"/>
                                </a:lnTo>
                                <a:lnTo>
                                  <a:pt x="5361" y="148"/>
                                </a:lnTo>
                                <a:lnTo>
                                  <a:pt x="5369" y="127"/>
                                </a:lnTo>
                                <a:lnTo>
                                  <a:pt x="5374" y="105"/>
                                </a:lnTo>
                                <a:lnTo>
                                  <a:pt x="5375" y="84"/>
                                </a:lnTo>
                                <a:lnTo>
                                  <a:pt x="5375" y="73"/>
                                </a:lnTo>
                                <a:lnTo>
                                  <a:pt x="5374" y="62"/>
                                </a:lnTo>
                                <a:lnTo>
                                  <a:pt x="5372" y="51"/>
                                </a:lnTo>
                                <a:lnTo>
                                  <a:pt x="5370" y="43"/>
                                </a:lnTo>
                                <a:lnTo>
                                  <a:pt x="5367" y="34"/>
                                </a:lnTo>
                                <a:lnTo>
                                  <a:pt x="5363" y="26"/>
                                </a:lnTo>
                                <a:lnTo>
                                  <a:pt x="5361" y="21"/>
                                </a:lnTo>
                                <a:lnTo>
                                  <a:pt x="5356" y="12"/>
                                </a:lnTo>
                                <a:lnTo>
                                  <a:pt x="5349" y="0"/>
                                </a:lnTo>
                                <a:lnTo>
                                  <a:pt x="5360" y="0"/>
                                </a:lnTo>
                                <a:lnTo>
                                  <a:pt x="5368" y="11"/>
                                </a:lnTo>
                                <a:lnTo>
                                  <a:pt x="5375" y="22"/>
                                </a:lnTo>
                                <a:lnTo>
                                  <a:pt x="5380" y="33"/>
                                </a:lnTo>
                                <a:lnTo>
                                  <a:pt x="5385" y="44"/>
                                </a:lnTo>
                                <a:lnTo>
                                  <a:pt x="5388" y="54"/>
                                </a:lnTo>
                                <a:lnTo>
                                  <a:pt x="5390" y="64"/>
                                </a:lnTo>
                                <a:lnTo>
                                  <a:pt x="5391" y="74"/>
                                </a:lnTo>
                                <a:lnTo>
                                  <a:pt x="5392" y="84"/>
                                </a:lnTo>
                                <a:lnTo>
                                  <a:pt x="5391" y="96"/>
                                </a:lnTo>
                                <a:lnTo>
                                  <a:pt x="5389" y="108"/>
                                </a:lnTo>
                                <a:lnTo>
                                  <a:pt x="5386" y="119"/>
                                </a:lnTo>
                                <a:lnTo>
                                  <a:pt x="5382" y="130"/>
                                </a:lnTo>
                                <a:lnTo>
                                  <a:pt x="5378" y="141"/>
                                </a:lnTo>
                                <a:lnTo>
                                  <a:pt x="5372" y="151"/>
                                </a:lnTo>
                                <a:lnTo>
                                  <a:pt x="5367" y="160"/>
                                </a:lnTo>
                                <a:lnTo>
                                  <a:pt x="5360" y="169"/>
                                </a:lnTo>
                                <a:close/>
                              </a:path>
                            </a:pathLst>
                          </a:custGeom>
                          <a:noFill/>
                          <a:ln w="28575">
                            <a:solidFill>
                              <a:srgbClr val="FFFFFF"/>
                            </a:solidFill>
                            <a:round/>
                          </a:ln>
                          <a:effectLst/>
                        </wps:spPr>
                        <wps:bodyPr rot="0" vert="horz" wrap="square" lIns="91440" tIns="45720" rIns="91440" bIns="45720" anchor="t" anchorCtr="0" upright="1">
                          <a:noAutofit/>
                        </wps:bodyPr>
                      </wps:wsp>
                      <wps:wsp>
                        <wps:cNvPr id="1380116361" name="Text Box 146"/>
                        <wps:cNvSpPr txBox="1">
                          <a:spLocks noChangeArrowheads="1"/>
                        </wps:cNvSpPr>
                        <wps:spPr bwMode="auto">
                          <a:xfrm>
                            <a:off x="1162" y="760"/>
                            <a:ext cx="7572" cy="1752"/>
                          </a:xfrm>
                          <a:prstGeom prst="rect">
                            <a:avLst/>
                          </a:prstGeom>
                          <a:noFill/>
                          <a:ln>
                            <a:noFill/>
                          </a:ln>
                          <a:effectLst/>
                        </wps:spPr>
                        <wps:txbx>
                          <w:txbxContent>
                            <w:p w14:paraId="6A10F964">
                              <w:pPr>
                                <w:spacing w:line="300" w:lineRule="auto"/>
                                <w:ind w:right="11"/>
                                <w:jc w:val="both"/>
                              </w:pPr>
                              <w:r>
                                <w:rPr>
                                  <w:color w:val="202024"/>
                                </w:rPr>
                                <w:t>15.</w:t>
                              </w:r>
                              <w:r>
                                <w:rPr>
                                  <w:color w:val="202024"/>
                                  <w:spacing w:val="26"/>
                                </w:rPr>
                                <w:t xml:space="preserve"> </w:t>
                              </w:r>
                              <w:r>
                                <w:rPr>
                                  <w:color w:val="202024"/>
                                </w:rPr>
                                <w:t>In</w:t>
                              </w:r>
                              <w:r>
                                <w:rPr>
                                  <w:color w:val="202024"/>
                                  <w:spacing w:val="8"/>
                                </w:rPr>
                                <w:t xml:space="preserve"> </w:t>
                              </w:r>
                              <w:r>
                                <w:rPr>
                                  <w:color w:val="202024"/>
                                </w:rPr>
                                <w:t>your</w:t>
                              </w:r>
                              <w:r>
                                <w:rPr>
                                  <w:color w:val="202024"/>
                                  <w:spacing w:val="9"/>
                                </w:rPr>
                                <w:t xml:space="preserve"> </w:t>
                              </w:r>
                              <w:r>
                                <w:rPr>
                                  <w:color w:val="202024"/>
                                </w:rPr>
                                <w:t>experience,</w:t>
                              </w:r>
                              <w:r>
                                <w:rPr>
                                  <w:color w:val="202024"/>
                                  <w:spacing w:val="9"/>
                                </w:rPr>
                                <w:t xml:space="preserve"> </w:t>
                              </w:r>
                              <w:r>
                                <w:rPr>
                                  <w:color w:val="202024"/>
                                </w:rPr>
                                <w:t>how</w:t>
                              </w:r>
                              <w:r>
                                <w:rPr>
                                  <w:color w:val="202024"/>
                                  <w:spacing w:val="9"/>
                                </w:rPr>
                                <w:t xml:space="preserve"> </w:t>
                              </w:r>
                              <w:r>
                                <w:rPr>
                                  <w:color w:val="202024"/>
                                </w:rPr>
                                <w:t>important</w:t>
                              </w:r>
                              <w:r>
                                <w:rPr>
                                  <w:color w:val="202024"/>
                                  <w:spacing w:val="9"/>
                                </w:rPr>
                                <w:t xml:space="preserve"> </w:t>
                              </w:r>
                              <w:r>
                                <w:rPr>
                                  <w:color w:val="202024"/>
                                </w:rPr>
                                <w:t>is</w:t>
                              </w:r>
                              <w:r>
                                <w:rPr>
                                  <w:color w:val="202024"/>
                                  <w:spacing w:val="9"/>
                                </w:rPr>
                                <w:t xml:space="preserve"> </w:t>
                              </w:r>
                              <w:r>
                                <w:rPr>
                                  <w:color w:val="202024"/>
                                </w:rPr>
                                <w:t>it</w:t>
                              </w:r>
                              <w:r>
                                <w:rPr>
                                  <w:color w:val="202024"/>
                                  <w:spacing w:val="9"/>
                                </w:rPr>
                                <w:t xml:space="preserve"> </w:t>
                              </w:r>
                              <w:r>
                                <w:rPr>
                                  <w:color w:val="202024"/>
                                </w:rPr>
                                <w:t>for</w:t>
                              </w:r>
                              <w:r>
                                <w:rPr>
                                  <w:color w:val="202024"/>
                                  <w:spacing w:val="8"/>
                                </w:rPr>
                                <w:t xml:space="preserve"> </w:t>
                              </w:r>
                              <w:r>
                                <w:rPr>
                                  <w:color w:val="202024"/>
                                </w:rPr>
                                <w:t>judicial</w:t>
                              </w:r>
                              <w:r>
                                <w:rPr>
                                  <w:color w:val="202024"/>
                                  <w:spacing w:val="9"/>
                                </w:rPr>
                                <w:t xml:space="preserve"> </w:t>
                              </w:r>
                              <w:r>
                                <w:rPr>
                                  <w:color w:val="202024"/>
                                </w:rPr>
                                <w:t>officers,</w:t>
                              </w:r>
                              <w:r>
                                <w:rPr>
                                  <w:color w:val="202024"/>
                                  <w:spacing w:val="9"/>
                                </w:rPr>
                                <w:t xml:space="preserve"> </w:t>
                              </w:r>
                              <w:r>
                                <w:rPr>
                                  <w:color w:val="202024"/>
                                </w:rPr>
                                <w:t>the</w:t>
                              </w:r>
                              <w:r>
                                <w:rPr>
                                  <w:color w:val="202024"/>
                                  <w:spacing w:val="1"/>
                                </w:rPr>
                                <w:t xml:space="preserve"> </w:t>
                              </w:r>
                              <w:r>
                                <w:rPr>
                                  <w:color w:val="202024"/>
                                </w:rPr>
                                <w:t>Tribunals</w:t>
                              </w:r>
                              <w:r>
                                <w:rPr>
                                  <w:color w:val="202024"/>
                                  <w:spacing w:val="9"/>
                                </w:rPr>
                                <w:t xml:space="preserve"> </w:t>
                              </w:r>
                              <w:r>
                                <w:rPr>
                                  <w:color w:val="202024"/>
                                </w:rPr>
                                <w:t>and</w:t>
                              </w:r>
                              <w:r>
                                <w:rPr>
                                  <w:color w:val="202024"/>
                                  <w:spacing w:val="9"/>
                                </w:rPr>
                                <w:t xml:space="preserve"> </w:t>
                              </w:r>
                              <w:r>
                                <w:rPr>
                                  <w:color w:val="202024"/>
                                </w:rPr>
                                <w:t>the</w:t>
                              </w:r>
                              <w:r>
                                <w:rPr>
                                  <w:color w:val="202024"/>
                                  <w:spacing w:val="9"/>
                                </w:rPr>
                                <w:t xml:space="preserve"> </w:t>
                              </w:r>
                              <w:r>
                                <w:rPr>
                                  <w:color w:val="202024"/>
                                </w:rPr>
                                <w:t>Courts,</w:t>
                              </w:r>
                              <w:r>
                                <w:rPr>
                                  <w:color w:val="202024"/>
                                  <w:spacing w:val="10"/>
                                </w:rPr>
                                <w:t xml:space="preserve"> </w:t>
                              </w:r>
                              <w:r>
                                <w:rPr>
                                  <w:color w:val="202024"/>
                                </w:rPr>
                                <w:t>to</w:t>
                              </w:r>
                              <w:r>
                                <w:rPr>
                                  <w:color w:val="202024"/>
                                  <w:spacing w:val="9"/>
                                </w:rPr>
                                <w:t xml:space="preserve"> </w:t>
                              </w:r>
                              <w:r>
                                <w:rPr>
                                  <w:color w:val="202024"/>
                                </w:rPr>
                                <w:t>have</w:t>
                              </w:r>
                              <w:r>
                                <w:rPr>
                                  <w:color w:val="202024"/>
                                  <w:spacing w:val="9"/>
                                </w:rPr>
                                <w:t xml:space="preserve"> </w:t>
                              </w:r>
                              <w:r>
                                <w:rPr>
                                  <w:color w:val="202024"/>
                                </w:rPr>
                                <w:t>adequate</w:t>
                              </w:r>
                              <w:r>
                                <w:rPr>
                                  <w:color w:val="202024"/>
                                  <w:spacing w:val="10"/>
                                </w:rPr>
                                <w:t xml:space="preserve"> </w:t>
                              </w:r>
                              <w:r>
                                <w:rPr>
                                  <w:color w:val="202024"/>
                                </w:rPr>
                                <w:t>understanding</w:t>
                              </w:r>
                              <w:r>
                                <w:rPr>
                                  <w:color w:val="202024"/>
                                  <w:spacing w:val="9"/>
                                </w:rPr>
                                <w:t xml:space="preserve"> </w:t>
                              </w:r>
                              <w:r>
                                <w:rPr>
                                  <w:color w:val="202024"/>
                                </w:rPr>
                                <w:t>of</w:t>
                              </w:r>
                              <w:r>
                                <w:rPr>
                                  <w:color w:val="202024"/>
                                  <w:spacing w:val="9"/>
                                </w:rPr>
                                <w:t xml:space="preserve"> </w:t>
                              </w:r>
                              <w:r>
                                <w:rPr>
                                  <w:color w:val="202024"/>
                                </w:rPr>
                                <w:t>taxation</w:t>
                              </w:r>
                              <w:r>
                                <w:rPr>
                                  <w:color w:val="202024"/>
                                  <w:spacing w:val="-56"/>
                                </w:rPr>
                                <w:t xml:space="preserve"> </w:t>
                              </w:r>
                              <w:r>
                                <w:rPr>
                                  <w:color w:val="202024"/>
                                </w:rPr>
                                <w:t>principles</w:t>
                              </w:r>
                              <w:r>
                                <w:rPr>
                                  <w:color w:val="202024"/>
                                  <w:spacing w:val="6"/>
                                </w:rPr>
                                <w:t xml:space="preserve"> </w:t>
                              </w:r>
                              <w:r>
                                <w:rPr>
                                  <w:color w:val="202024"/>
                                </w:rPr>
                                <w:t>and</w:t>
                              </w:r>
                              <w:r>
                                <w:rPr>
                                  <w:color w:val="202024"/>
                                  <w:spacing w:val="7"/>
                                </w:rPr>
                                <w:t xml:space="preserve"> </w:t>
                              </w:r>
                              <w:r>
                                <w:rPr>
                                  <w:color w:val="202024"/>
                                </w:rPr>
                                <w:t>upstream</w:t>
                              </w:r>
                              <w:r>
                                <w:rPr>
                                  <w:color w:val="202024"/>
                                  <w:spacing w:val="6"/>
                                </w:rPr>
                                <w:t xml:space="preserve"> </w:t>
                              </w:r>
                              <w:r>
                                <w:rPr>
                                  <w:color w:val="202024"/>
                                </w:rPr>
                                <w:t>tax</w:t>
                              </w:r>
                              <w:r>
                                <w:rPr>
                                  <w:color w:val="202024"/>
                                  <w:spacing w:val="7"/>
                                </w:rPr>
                                <w:t xml:space="preserve"> </w:t>
                              </w:r>
                              <w:r>
                                <w:rPr>
                                  <w:color w:val="202024"/>
                                </w:rPr>
                                <w:t>legislation,</w:t>
                              </w:r>
                              <w:r>
                                <w:rPr>
                                  <w:color w:val="202024"/>
                                  <w:spacing w:val="6"/>
                                </w:rPr>
                                <w:t xml:space="preserve"> </w:t>
                              </w:r>
                              <w:r>
                                <w:rPr>
                                  <w:color w:val="202024"/>
                                </w:rPr>
                                <w:t>in</w:t>
                              </w:r>
                              <w:r>
                                <w:rPr>
                                  <w:color w:val="202024"/>
                                  <w:spacing w:val="7"/>
                                </w:rPr>
                                <w:t xml:space="preserve"> </w:t>
                              </w:r>
                              <w:r>
                                <w:rPr>
                                  <w:color w:val="202024"/>
                                </w:rPr>
                                <w:t>achieving</w:t>
                              </w:r>
                              <w:r>
                                <w:rPr>
                                  <w:color w:val="202024"/>
                                  <w:spacing w:val="6"/>
                                </w:rPr>
                                <w:t xml:space="preserve"> </w:t>
                              </w:r>
                              <w:r>
                                <w:rPr>
                                  <w:color w:val="202024"/>
                                </w:rPr>
                                <w:t>clarity</w:t>
                              </w:r>
                              <w:r>
                                <w:rPr>
                                  <w:color w:val="202024"/>
                                  <w:spacing w:val="7"/>
                                </w:rPr>
                                <w:t xml:space="preserve"> </w:t>
                              </w:r>
                              <w:r>
                                <w:rPr>
                                  <w:color w:val="202024"/>
                                </w:rPr>
                                <w:t>and</w:t>
                              </w:r>
                              <w:r>
                                <w:rPr>
                                  <w:color w:val="202024"/>
                                  <w:spacing w:val="1"/>
                                </w:rPr>
                                <w:t xml:space="preserve"> </w:t>
                              </w:r>
                              <w:r>
                                <w:rPr>
                                  <w:color w:val="202024"/>
                                </w:rPr>
                                <w:t>consistent</w:t>
                              </w:r>
                              <w:r>
                                <w:rPr>
                                  <w:color w:val="202024"/>
                                  <w:spacing w:val="7"/>
                                </w:rPr>
                                <w:t xml:space="preserve"> </w:t>
                              </w:r>
                              <w:r>
                                <w:rPr>
                                  <w:color w:val="202024"/>
                                </w:rPr>
                                <w:t>application</w:t>
                              </w:r>
                              <w:r>
                                <w:rPr>
                                  <w:color w:val="202024"/>
                                  <w:spacing w:val="8"/>
                                </w:rPr>
                                <w:t xml:space="preserve"> </w:t>
                              </w:r>
                              <w:r>
                                <w:rPr>
                                  <w:color w:val="202024"/>
                                </w:rPr>
                                <w:t>of</w:t>
                              </w:r>
                              <w:r>
                                <w:rPr>
                                  <w:color w:val="202024"/>
                                  <w:spacing w:val="7"/>
                                </w:rPr>
                                <w:t xml:space="preserve"> </w:t>
                              </w:r>
                              <w:r>
                                <w:rPr>
                                  <w:color w:val="202024"/>
                                </w:rPr>
                                <w:t>upstream</w:t>
                              </w:r>
                              <w:r>
                                <w:rPr>
                                  <w:color w:val="202024"/>
                                  <w:spacing w:val="8"/>
                                </w:rPr>
                                <w:t xml:space="preserve"> </w:t>
                              </w:r>
                              <w:r>
                                <w:rPr>
                                  <w:color w:val="202024"/>
                                </w:rPr>
                                <w:t>oil</w:t>
                              </w:r>
                              <w:r>
                                <w:rPr>
                                  <w:color w:val="202024"/>
                                  <w:spacing w:val="7"/>
                                </w:rPr>
                                <w:t xml:space="preserve"> </w:t>
                              </w:r>
                              <w:r>
                                <w:rPr>
                                  <w:color w:val="202024"/>
                                </w:rPr>
                                <w:t>and</w:t>
                              </w:r>
                              <w:r>
                                <w:rPr>
                                  <w:color w:val="202024"/>
                                  <w:spacing w:val="8"/>
                                </w:rPr>
                                <w:t xml:space="preserve"> </w:t>
                              </w:r>
                              <w:r>
                                <w:rPr>
                                  <w:color w:val="202024"/>
                                </w:rPr>
                                <w:t>gas</w:t>
                              </w:r>
                              <w:r>
                                <w:rPr>
                                  <w:color w:val="202024"/>
                                  <w:spacing w:val="7"/>
                                </w:rPr>
                                <w:t xml:space="preserve"> </w:t>
                              </w:r>
                              <w:r>
                                <w:rPr>
                                  <w:color w:val="202024"/>
                                </w:rPr>
                                <w:t>tax</w:t>
                              </w:r>
                              <w:r>
                                <w:rPr>
                                  <w:color w:val="202024"/>
                                  <w:spacing w:val="8"/>
                                </w:rPr>
                                <w:t xml:space="preserve"> </w:t>
                              </w:r>
                              <w:r>
                                <w:rPr>
                                  <w:color w:val="202024"/>
                                </w:rPr>
                                <w:t>Legislation.</w:t>
                              </w:r>
                            </w:p>
                            <w:p w14:paraId="283C5369">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wps:txbx>
                        <wps:bodyPr rot="0" vert="horz" wrap="square" lIns="0" tIns="0" rIns="0" bIns="0" anchor="t" anchorCtr="0" upright="1">
                          <a:noAutofit/>
                        </wps:bodyPr>
                      </wps:wsp>
                      <wps:wsp>
                        <wps:cNvPr id="947278389" name="Text Box 145"/>
                        <wps:cNvSpPr txBox="1">
                          <a:spLocks noChangeArrowheads="1"/>
                        </wps:cNvSpPr>
                        <wps:spPr bwMode="auto">
                          <a:xfrm>
                            <a:off x="9958" y="799"/>
                            <a:ext cx="550" cy="200"/>
                          </a:xfrm>
                          <a:prstGeom prst="rect">
                            <a:avLst/>
                          </a:prstGeom>
                          <a:noFill/>
                          <a:ln>
                            <a:noFill/>
                          </a:ln>
                          <a:effectLst/>
                        </wps:spPr>
                        <wps:txbx>
                          <w:txbxContent>
                            <w:p w14:paraId="3F00D09C">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1734914704" name="Text Box 144"/>
                        <wps:cNvSpPr txBox="1">
                          <a:spLocks noChangeArrowheads="1"/>
                        </wps:cNvSpPr>
                        <wps:spPr bwMode="auto">
                          <a:xfrm>
                            <a:off x="1689" y="2945"/>
                            <a:ext cx="221" cy="202"/>
                          </a:xfrm>
                          <a:prstGeom prst="rect">
                            <a:avLst/>
                          </a:prstGeom>
                          <a:noFill/>
                          <a:ln>
                            <a:noFill/>
                          </a:ln>
                          <a:effectLst/>
                        </wps:spPr>
                        <wps:txbx>
                          <w:txbxContent>
                            <w:p w14:paraId="17C88465">
                              <w:pPr>
                                <w:spacing w:line="201" w:lineRule="exact"/>
                                <w:rPr>
                                  <w:rFonts w:ascii="Arial MT"/>
                                  <w:sz w:val="18"/>
                                </w:rPr>
                              </w:pPr>
                              <w:r>
                                <w:rPr>
                                  <w:rFonts w:ascii="Arial MT"/>
                                  <w:color w:val="444444"/>
                                  <w:sz w:val="18"/>
                                </w:rPr>
                                <w:t>80</w:t>
                              </w:r>
                            </w:p>
                          </w:txbxContent>
                        </wps:txbx>
                        <wps:bodyPr rot="0" vert="horz" wrap="square" lIns="0" tIns="0" rIns="0" bIns="0" anchor="t" anchorCtr="0" upright="1">
                          <a:noAutofit/>
                        </wps:bodyPr>
                      </wps:wsp>
                      <wps:wsp>
                        <wps:cNvPr id="522426670" name="Text Box 143"/>
                        <wps:cNvSpPr txBox="1">
                          <a:spLocks noChangeArrowheads="1"/>
                        </wps:cNvSpPr>
                        <wps:spPr bwMode="auto">
                          <a:xfrm>
                            <a:off x="1689" y="3616"/>
                            <a:ext cx="221" cy="202"/>
                          </a:xfrm>
                          <a:prstGeom prst="rect">
                            <a:avLst/>
                          </a:prstGeom>
                          <a:noFill/>
                          <a:ln>
                            <a:noFill/>
                          </a:ln>
                          <a:effectLst/>
                        </wps:spPr>
                        <wps:txbx>
                          <w:txbxContent>
                            <w:p w14:paraId="4B0AE06F">
                              <w:pPr>
                                <w:spacing w:line="201" w:lineRule="exact"/>
                                <w:rPr>
                                  <w:rFonts w:ascii="Arial MT"/>
                                  <w:sz w:val="18"/>
                                </w:rPr>
                              </w:pPr>
                              <w:r>
                                <w:rPr>
                                  <w:rFonts w:ascii="Arial MT"/>
                                  <w:color w:val="444444"/>
                                  <w:sz w:val="18"/>
                                </w:rPr>
                                <w:t>60</w:t>
                              </w:r>
                            </w:p>
                          </w:txbxContent>
                        </wps:txbx>
                        <wps:bodyPr rot="0" vert="horz" wrap="square" lIns="0" tIns="0" rIns="0" bIns="0" anchor="t" anchorCtr="0" upright="1">
                          <a:noAutofit/>
                        </wps:bodyPr>
                      </wps:wsp>
                      <wps:wsp>
                        <wps:cNvPr id="1397213014" name="Text Box 142"/>
                        <wps:cNvSpPr txBox="1">
                          <a:spLocks noChangeArrowheads="1"/>
                        </wps:cNvSpPr>
                        <wps:spPr bwMode="auto">
                          <a:xfrm>
                            <a:off x="1689" y="4287"/>
                            <a:ext cx="221" cy="202"/>
                          </a:xfrm>
                          <a:prstGeom prst="rect">
                            <a:avLst/>
                          </a:prstGeom>
                          <a:noFill/>
                          <a:ln>
                            <a:noFill/>
                          </a:ln>
                          <a:effectLst/>
                        </wps:spPr>
                        <wps:txbx>
                          <w:txbxContent>
                            <w:p w14:paraId="6A40273B">
                              <w:pPr>
                                <w:spacing w:line="201" w:lineRule="exact"/>
                                <w:rPr>
                                  <w:rFonts w:ascii="Arial MT"/>
                                  <w:sz w:val="18"/>
                                </w:rPr>
                              </w:pPr>
                              <w:r>
                                <w:rPr>
                                  <w:rFonts w:ascii="Arial MT"/>
                                  <w:color w:val="444444"/>
                                  <w:sz w:val="18"/>
                                </w:rPr>
                                <w:t>40</w:t>
                              </w:r>
                            </w:p>
                          </w:txbxContent>
                        </wps:txbx>
                        <wps:bodyPr rot="0" vert="horz" wrap="square" lIns="0" tIns="0" rIns="0" bIns="0" anchor="t" anchorCtr="0" upright="1">
                          <a:noAutofit/>
                        </wps:bodyPr>
                      </wps:wsp>
                      <wps:wsp>
                        <wps:cNvPr id="1738862850" name="Text Box 141"/>
                        <wps:cNvSpPr txBox="1">
                          <a:spLocks noChangeArrowheads="1"/>
                        </wps:cNvSpPr>
                        <wps:spPr bwMode="auto">
                          <a:xfrm>
                            <a:off x="1689" y="4959"/>
                            <a:ext cx="221" cy="202"/>
                          </a:xfrm>
                          <a:prstGeom prst="rect">
                            <a:avLst/>
                          </a:prstGeom>
                          <a:noFill/>
                          <a:ln>
                            <a:noFill/>
                          </a:ln>
                          <a:effectLst/>
                        </wps:spPr>
                        <wps:txbx>
                          <w:txbxContent>
                            <w:p w14:paraId="0DC12B96">
                              <w:pPr>
                                <w:spacing w:line="201" w:lineRule="exact"/>
                                <w:rPr>
                                  <w:rFonts w:ascii="Arial MT"/>
                                  <w:sz w:val="18"/>
                                </w:rPr>
                              </w:pPr>
                              <w:r>
                                <w:rPr>
                                  <w:rFonts w:ascii="Arial MT"/>
                                  <w:color w:val="444444"/>
                                  <w:sz w:val="18"/>
                                </w:rPr>
                                <w:t>20</w:t>
                              </w:r>
                            </w:p>
                          </w:txbxContent>
                        </wps:txbx>
                        <wps:bodyPr rot="0" vert="horz" wrap="square" lIns="0" tIns="0" rIns="0" bIns="0" anchor="t" anchorCtr="0" upright="1">
                          <a:noAutofit/>
                        </wps:bodyPr>
                      </wps:wsp>
                      <wps:wsp>
                        <wps:cNvPr id="643488490" name="Text Box 140"/>
                        <wps:cNvSpPr txBox="1">
                          <a:spLocks noChangeArrowheads="1"/>
                        </wps:cNvSpPr>
                        <wps:spPr bwMode="auto">
                          <a:xfrm>
                            <a:off x="2614" y="5352"/>
                            <a:ext cx="551" cy="202"/>
                          </a:xfrm>
                          <a:prstGeom prst="rect">
                            <a:avLst/>
                          </a:prstGeom>
                          <a:noFill/>
                          <a:ln>
                            <a:noFill/>
                          </a:ln>
                          <a:effectLst/>
                        </wps:spPr>
                        <wps:txbx>
                          <w:txbxContent>
                            <w:p w14:paraId="2EA0D14D">
                              <w:pPr>
                                <w:spacing w:line="201" w:lineRule="exact"/>
                                <w:rPr>
                                  <w:rFonts w:ascii="Arial MT"/>
                                  <w:sz w:val="18"/>
                                </w:rPr>
                              </w:pPr>
                              <w:r>
                                <w:rPr>
                                  <w:rFonts w:ascii="Arial MT"/>
                                  <w:color w:val="202024"/>
                                  <w:sz w:val="18"/>
                                </w:rPr>
                                <w:t>0 (0%)</w:t>
                              </w:r>
                            </w:p>
                          </w:txbxContent>
                        </wps:txbx>
                        <wps:bodyPr rot="0" vert="horz" wrap="square" lIns="0" tIns="0" rIns="0" bIns="0" anchor="t" anchorCtr="0" upright="1">
                          <a:noAutofit/>
                        </wps:bodyPr>
                      </wps:wsp>
                      <wps:wsp>
                        <wps:cNvPr id="1367213787" name="Text Box 139"/>
                        <wps:cNvSpPr txBox="1">
                          <a:spLocks noChangeArrowheads="1"/>
                        </wps:cNvSpPr>
                        <wps:spPr bwMode="auto">
                          <a:xfrm>
                            <a:off x="4234" y="5352"/>
                            <a:ext cx="551" cy="202"/>
                          </a:xfrm>
                          <a:prstGeom prst="rect">
                            <a:avLst/>
                          </a:prstGeom>
                          <a:noFill/>
                          <a:ln>
                            <a:noFill/>
                          </a:ln>
                          <a:effectLst/>
                        </wps:spPr>
                        <wps:txbx>
                          <w:txbxContent>
                            <w:p w14:paraId="5517A695">
                              <w:pPr>
                                <w:spacing w:line="201" w:lineRule="exact"/>
                                <w:rPr>
                                  <w:rFonts w:ascii="Arial MT"/>
                                  <w:sz w:val="18"/>
                                </w:rPr>
                              </w:pPr>
                              <w:r>
                                <w:rPr>
                                  <w:rFonts w:ascii="Arial MT"/>
                                  <w:sz w:val="18"/>
                                </w:rPr>
                                <w:t>0 (0%)</w:t>
                              </w:r>
                            </w:p>
                          </w:txbxContent>
                        </wps:txbx>
                        <wps:bodyPr rot="0" vert="horz" wrap="square" lIns="0" tIns="0" rIns="0" bIns="0" anchor="t" anchorCtr="0" upright="1">
                          <a:noAutofit/>
                        </wps:bodyPr>
                      </wps:wsp>
                      <wps:wsp>
                        <wps:cNvPr id="1214643268" name="Text Box 138"/>
                        <wps:cNvSpPr txBox="1">
                          <a:spLocks noChangeArrowheads="1"/>
                        </wps:cNvSpPr>
                        <wps:spPr bwMode="auto">
                          <a:xfrm>
                            <a:off x="5794" y="5306"/>
                            <a:ext cx="701" cy="202"/>
                          </a:xfrm>
                          <a:prstGeom prst="rect">
                            <a:avLst/>
                          </a:prstGeom>
                          <a:noFill/>
                          <a:ln>
                            <a:noFill/>
                          </a:ln>
                          <a:effectLst/>
                        </wps:spPr>
                        <wps:txbx>
                          <w:txbxContent>
                            <w:p w14:paraId="4F05E7EB">
                              <w:pPr>
                                <w:spacing w:line="201" w:lineRule="exact"/>
                                <w:rPr>
                                  <w:rFonts w:ascii="Arial MT"/>
                                  <w:sz w:val="18"/>
                                </w:rPr>
                              </w:pPr>
                              <w:r>
                                <w:rPr>
                                  <w:rFonts w:ascii="Arial MT"/>
                                  <w:color w:val="202024"/>
                                  <w:sz w:val="18"/>
                                </w:rPr>
                                <w:t xml:space="preserve">2 </w:t>
                              </w:r>
                              <w:r>
                                <w:rPr>
                                  <w:rFonts w:ascii="Arial MT"/>
                                  <w:sz w:val="18"/>
                                </w:rPr>
                                <w:t>(2.7%)</w:t>
                              </w:r>
                            </w:p>
                          </w:txbxContent>
                        </wps:txbx>
                        <wps:bodyPr rot="0" vert="horz" wrap="square" lIns="0" tIns="0" rIns="0" bIns="0" anchor="t" anchorCtr="0" upright="1">
                          <a:noAutofit/>
                        </wps:bodyPr>
                      </wps:wsp>
                      <wps:wsp>
                        <wps:cNvPr id="930784957" name="Text Box 137"/>
                        <wps:cNvSpPr txBox="1">
                          <a:spLocks noChangeArrowheads="1"/>
                        </wps:cNvSpPr>
                        <wps:spPr bwMode="auto">
                          <a:xfrm>
                            <a:off x="7489" y="5262"/>
                            <a:ext cx="551" cy="202"/>
                          </a:xfrm>
                          <a:prstGeom prst="rect">
                            <a:avLst/>
                          </a:prstGeom>
                          <a:noFill/>
                          <a:ln>
                            <a:noFill/>
                          </a:ln>
                          <a:effectLst/>
                        </wps:spPr>
                        <wps:txbx>
                          <w:txbxContent>
                            <w:p w14:paraId="61D64BE7">
                              <w:pPr>
                                <w:spacing w:line="201" w:lineRule="exact"/>
                                <w:rPr>
                                  <w:rFonts w:ascii="Arial MT"/>
                                  <w:sz w:val="18"/>
                                </w:rPr>
                              </w:pPr>
                              <w:r>
                                <w:rPr>
                                  <w:rFonts w:ascii="Arial MT"/>
                                  <w:color w:val="202024"/>
                                  <w:sz w:val="18"/>
                                </w:rPr>
                                <w:t xml:space="preserve">3 </w:t>
                              </w:r>
                              <w:r>
                                <w:rPr>
                                  <w:rFonts w:ascii="Arial MT"/>
                                  <w:sz w:val="18"/>
                                </w:rPr>
                                <w:t>(4%)</w:t>
                              </w:r>
                            </w:p>
                          </w:txbxContent>
                        </wps:txbx>
                        <wps:bodyPr rot="0" vert="horz" wrap="square" lIns="0" tIns="0" rIns="0" bIns="0" anchor="t" anchorCtr="0" upright="1">
                          <a:noAutofit/>
                        </wps:bodyPr>
                      </wps:wsp>
                      <wps:wsp>
                        <wps:cNvPr id="179201269" name="Text Box 136"/>
                        <wps:cNvSpPr txBox="1">
                          <a:spLocks noChangeArrowheads="1"/>
                        </wps:cNvSpPr>
                        <wps:spPr bwMode="auto">
                          <a:xfrm>
                            <a:off x="1789" y="5630"/>
                            <a:ext cx="121" cy="202"/>
                          </a:xfrm>
                          <a:prstGeom prst="rect">
                            <a:avLst/>
                          </a:prstGeom>
                          <a:noFill/>
                          <a:ln>
                            <a:noFill/>
                          </a:ln>
                          <a:effectLst/>
                        </wps:spPr>
                        <wps:txbx>
                          <w:txbxContent>
                            <w:p w14:paraId="0638998B">
                              <w:pPr>
                                <w:spacing w:line="201" w:lineRule="exact"/>
                                <w:rPr>
                                  <w:rFonts w:ascii="Arial MT"/>
                                  <w:sz w:val="18"/>
                                </w:rPr>
                              </w:pPr>
                              <w:r>
                                <w:rPr>
                                  <w:rFonts w:ascii="Arial MT"/>
                                  <w:color w:val="444444"/>
                                  <w:sz w:val="18"/>
                                </w:rPr>
                                <w:t>0</w:t>
                              </w:r>
                            </w:p>
                          </w:txbxContent>
                        </wps:txbx>
                        <wps:bodyPr rot="0" vert="horz" wrap="square" lIns="0" tIns="0" rIns="0" bIns="0" anchor="t" anchorCtr="0" upright="1">
                          <a:noAutofit/>
                        </wps:bodyPr>
                      </wps:wsp>
                      <wps:wsp>
                        <wps:cNvPr id="1511588740" name="Text Box 135"/>
                        <wps:cNvSpPr txBox="1">
                          <a:spLocks noChangeArrowheads="1"/>
                        </wps:cNvSpPr>
                        <wps:spPr bwMode="auto">
                          <a:xfrm>
                            <a:off x="2838" y="5832"/>
                            <a:ext cx="121" cy="202"/>
                          </a:xfrm>
                          <a:prstGeom prst="rect">
                            <a:avLst/>
                          </a:prstGeom>
                          <a:noFill/>
                          <a:ln>
                            <a:noFill/>
                          </a:ln>
                          <a:effectLst/>
                        </wps:spPr>
                        <wps:txbx>
                          <w:txbxContent>
                            <w:p w14:paraId="444ABD0F">
                              <w:pPr>
                                <w:spacing w:line="201" w:lineRule="exact"/>
                                <w:rPr>
                                  <w:rFonts w:ascii="Arial MT"/>
                                  <w:sz w:val="18"/>
                                </w:rPr>
                              </w:pPr>
                              <w:r>
                                <w:rPr>
                                  <w:rFonts w:ascii="Arial MT"/>
                                  <w:color w:val="212121"/>
                                  <w:sz w:val="18"/>
                                </w:rPr>
                                <w:t>1</w:t>
                              </w:r>
                            </w:p>
                          </w:txbxContent>
                        </wps:txbx>
                        <wps:bodyPr rot="0" vert="horz" wrap="square" lIns="0" tIns="0" rIns="0" bIns="0" anchor="t" anchorCtr="0" upright="1">
                          <a:noAutofit/>
                        </wps:bodyPr>
                      </wps:wsp>
                      <wps:wsp>
                        <wps:cNvPr id="1689727436" name="Text Box 134"/>
                        <wps:cNvSpPr txBox="1">
                          <a:spLocks noChangeArrowheads="1"/>
                        </wps:cNvSpPr>
                        <wps:spPr bwMode="auto">
                          <a:xfrm>
                            <a:off x="4461" y="5832"/>
                            <a:ext cx="121" cy="202"/>
                          </a:xfrm>
                          <a:prstGeom prst="rect">
                            <a:avLst/>
                          </a:prstGeom>
                          <a:noFill/>
                          <a:ln>
                            <a:noFill/>
                          </a:ln>
                          <a:effectLst/>
                        </wps:spPr>
                        <wps:txbx>
                          <w:txbxContent>
                            <w:p w14:paraId="7B67AF3A">
                              <w:pPr>
                                <w:spacing w:line="201" w:lineRule="exact"/>
                                <w:rPr>
                                  <w:rFonts w:ascii="Arial MT"/>
                                  <w:sz w:val="18"/>
                                </w:rPr>
                              </w:pPr>
                              <w:r>
                                <w:rPr>
                                  <w:rFonts w:ascii="Arial MT"/>
                                  <w:color w:val="212121"/>
                                  <w:sz w:val="18"/>
                                </w:rPr>
                                <w:t>2</w:t>
                              </w:r>
                            </w:p>
                          </w:txbxContent>
                        </wps:txbx>
                        <wps:bodyPr rot="0" vert="horz" wrap="square" lIns="0" tIns="0" rIns="0" bIns="0" anchor="t" anchorCtr="0" upright="1">
                          <a:noAutofit/>
                        </wps:bodyPr>
                      </wps:wsp>
                      <wps:wsp>
                        <wps:cNvPr id="2084227616" name="Text Box 133"/>
                        <wps:cNvSpPr txBox="1">
                          <a:spLocks noChangeArrowheads="1"/>
                        </wps:cNvSpPr>
                        <wps:spPr bwMode="auto">
                          <a:xfrm>
                            <a:off x="6084" y="5832"/>
                            <a:ext cx="121" cy="202"/>
                          </a:xfrm>
                          <a:prstGeom prst="rect">
                            <a:avLst/>
                          </a:prstGeom>
                          <a:noFill/>
                          <a:ln>
                            <a:noFill/>
                          </a:ln>
                          <a:effectLst/>
                        </wps:spPr>
                        <wps:txbx>
                          <w:txbxContent>
                            <w:p w14:paraId="29113A2E">
                              <w:pPr>
                                <w:spacing w:line="201" w:lineRule="exact"/>
                                <w:rPr>
                                  <w:rFonts w:ascii="Arial MT"/>
                                  <w:sz w:val="18"/>
                                </w:rPr>
                              </w:pPr>
                              <w:r>
                                <w:rPr>
                                  <w:rFonts w:ascii="Arial MT"/>
                                  <w:color w:val="212121"/>
                                  <w:sz w:val="18"/>
                                </w:rPr>
                                <w:t>3</w:t>
                              </w:r>
                            </w:p>
                          </w:txbxContent>
                        </wps:txbx>
                        <wps:bodyPr rot="0" vert="horz" wrap="square" lIns="0" tIns="0" rIns="0" bIns="0" anchor="t" anchorCtr="0" upright="1">
                          <a:noAutofit/>
                        </wps:bodyPr>
                      </wps:wsp>
                      <wps:wsp>
                        <wps:cNvPr id="1300606157" name="Text Box 132"/>
                        <wps:cNvSpPr txBox="1">
                          <a:spLocks noChangeArrowheads="1"/>
                        </wps:cNvSpPr>
                        <wps:spPr bwMode="auto">
                          <a:xfrm>
                            <a:off x="7707" y="5832"/>
                            <a:ext cx="121" cy="202"/>
                          </a:xfrm>
                          <a:prstGeom prst="rect">
                            <a:avLst/>
                          </a:prstGeom>
                          <a:noFill/>
                          <a:ln>
                            <a:noFill/>
                          </a:ln>
                          <a:effectLst/>
                        </wps:spPr>
                        <wps:txbx>
                          <w:txbxContent>
                            <w:p w14:paraId="185C8B1E">
                              <w:pPr>
                                <w:spacing w:line="201" w:lineRule="exact"/>
                                <w:rPr>
                                  <w:rFonts w:ascii="Arial MT"/>
                                  <w:sz w:val="18"/>
                                </w:rPr>
                              </w:pPr>
                              <w:r>
                                <w:rPr>
                                  <w:rFonts w:ascii="Arial MT"/>
                                  <w:color w:val="212121"/>
                                  <w:sz w:val="18"/>
                                </w:rPr>
                                <w:t>4</w:t>
                              </w:r>
                            </w:p>
                          </w:txbxContent>
                        </wps:txbx>
                        <wps:bodyPr rot="0" vert="horz" wrap="square" lIns="0" tIns="0" rIns="0" bIns="0" anchor="t" anchorCtr="0" upright="1">
                          <a:noAutofit/>
                        </wps:bodyPr>
                      </wps:wsp>
                      <wps:wsp>
                        <wps:cNvPr id="2069573794" name="Text Box 131"/>
                        <wps:cNvSpPr txBox="1">
                          <a:spLocks noChangeArrowheads="1"/>
                        </wps:cNvSpPr>
                        <wps:spPr bwMode="auto">
                          <a:xfrm>
                            <a:off x="9330" y="5832"/>
                            <a:ext cx="121" cy="202"/>
                          </a:xfrm>
                          <a:prstGeom prst="rect">
                            <a:avLst/>
                          </a:prstGeom>
                          <a:noFill/>
                          <a:ln>
                            <a:noFill/>
                          </a:ln>
                          <a:effectLst/>
                        </wps:spPr>
                        <wps:txbx>
                          <w:txbxContent>
                            <w:p w14:paraId="2856074C">
                              <w:pPr>
                                <w:spacing w:line="201" w:lineRule="exact"/>
                                <w:rPr>
                                  <w:rFonts w:ascii="Arial MT"/>
                                  <w:sz w:val="18"/>
                                </w:rPr>
                              </w:pPr>
                              <w:r>
                                <w:rPr>
                                  <w:rFonts w:ascii="Arial MT"/>
                                  <w:color w:val="212121"/>
                                  <w:sz w:val="18"/>
                                </w:rPr>
                                <w:t>5</w:t>
                              </w:r>
                            </w:p>
                          </w:txbxContent>
                        </wps:txbx>
                        <wps:bodyPr rot="0" vert="horz" wrap="square" lIns="0" tIns="0" rIns="0" bIns="0" anchor="t" anchorCtr="0" upright="1">
                          <a:noAutofit/>
                        </wps:bodyPr>
                      </wps:wsp>
                      <wps:wsp>
                        <wps:cNvPr id="901563932" name="Text Box 130"/>
                        <wps:cNvSpPr txBox="1">
                          <a:spLocks noChangeArrowheads="1"/>
                        </wps:cNvSpPr>
                        <wps:spPr bwMode="auto">
                          <a:xfrm>
                            <a:off x="8880" y="3383"/>
                            <a:ext cx="1005" cy="2340"/>
                          </a:xfrm>
                          <a:prstGeom prst="rect">
                            <a:avLst/>
                          </a:prstGeom>
                          <a:solidFill>
                            <a:srgbClr val="663AB6"/>
                          </a:solidFill>
                          <a:ln>
                            <a:noFill/>
                          </a:ln>
                          <a:effectLst/>
                        </wps:spPr>
                        <wps:txbx>
                          <w:txbxContent>
                            <w:p w14:paraId="6EFC4BA2">
                              <w:pPr>
                                <w:spacing w:before="14"/>
                                <w:rPr>
                                  <w:rFonts w:ascii="Arial MT"/>
                                  <w:sz w:val="18"/>
                                </w:rPr>
                              </w:pPr>
                              <w:r>
                                <w:rPr>
                                  <w:rFonts w:ascii="Arial MT"/>
                                  <w:color w:val="FFFFFF"/>
                                  <w:sz w:val="18"/>
                                </w:rPr>
                                <w:t>70 (93.3%)</w:t>
                              </w:r>
                            </w:p>
                          </w:txbxContent>
                        </wps:txbx>
                        <wps:bodyPr rot="0" vert="horz" wrap="square" lIns="0" tIns="0" rIns="0" bIns="0" anchor="t" anchorCtr="0" upright="1">
                          <a:noAutofit/>
                        </wps:bodyPr>
                      </wps:wsp>
                    </wpg:wgp>
                  </a:graphicData>
                </a:graphic>
              </wp:anchor>
            </w:drawing>
          </mc:Choice>
          <mc:Fallback>
            <w:pict>
              <v:group id="Group 129" o:spid="_x0000_s1026" o:spt="203" style="position:absolute;left:0pt;margin-left:65.6pt;margin-top:13.6pt;height:294.75pt;width:480pt;mso-position-horizontal-relative:page;z-index:251721728;mso-width-relative:page;mso-height-relative:page;" coordorigin="1155,608" coordsize="9600,5895" o:gfxdata="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">
                <o:lock v:ext="edit" aspectratio="f"/>
                <v:shape id="Freeform 156" o:spid="_x0000_s1026" o:spt="100" style="position:absolute;left:1154;top:608;height:5895;width:9600;" fillcolor="#D9DBDF" filled="t" stroked="f" coordsize="9600,5895" o:gfxdata="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H+cb4A&#10;AADjAAAADwAAAAAAAAABACAAAAAiAAAAZHJzL2Rvd25yZXYueG1sUEsBAhQAFAAAAAgAh07iQDMv&#10;BZ47AAAAOQAAABAAAAAAAAAAAQAgAAAADQEAAGRycy9zaGFwZXhtbC54bWxQSwUGAAAAAAYABgBb&#10;AQAAtwMAAAAA&#10;" path="m9600,0l9585,0,9585,5775,9584,5785,9561,5842,9553,5850,9490,5880,9480,5880,120,5880,62,5862,47,5850,39,5842,15,5785,15,5775,15,0,0,0,0,5775,1,5787,27,5851,35,5860,97,5893,120,5895,9480,5895,9538,5880,9547,5875,9556,5868,9564,5861,9565,5860,9573,5851,9580,5842,9600,5775,9600,0xe">
                  <v:path o:connectlocs="9600,608;9585,608;9585,6383;9584,6393;9561,6450;9553,6458;9490,6488;9480,6488;120,6488;62,6470;47,6458;39,6450;15,6393;15,6383;15,608;0,608;0,6383;1,6395;27,6459;35,6468;97,6501;120,6503;9480,6503;9538,6488;9547,6483;9556,6476;9564,6469;9565,6468;9573,6459;9580,6450;9600,6383;9600,608" o:connectangles="0,0,0,0,0,0,0,0,0,0,0,0,0,0,0,0,0,0,0,0,0,0,0,0,0,0,0,0,0,0,0,0"/>
                  <v:fill on="t" focussize="0,0"/>
                  <v:stroke on="f"/>
                  <v:imagedata o:title=""/>
                  <o:lock v:ext="edit" aspectratio="f"/>
                </v:shape>
                <v:shape id="Picture 155" o:spid="_x0000_s1026" o:spt="75" type="#_x0000_t75" style="position:absolute;left:9525;top:728;height:300;width:255;" filled="f" o:preferrelative="t" stroked="f" coordsize="21600,21600" o:gfxdata="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u0c68QAAADjAAAADwAAAAAAAAABACAAAAAiAAAAZHJzL2Rvd25yZXYueG1sUEsBAhQAFAAAAAgA&#10;h07iQDMvBZ47AAAAOQAAABAAAAAAAAAAAQAgAAAAEwEAAGRycy9zaGFwZXhtbC54bWxQSwUGAAAA&#10;AAYABgBbAQAAvQMAAAAA&#10;">
                  <v:fill on="f" focussize="0,0"/>
                  <v:stroke on="f"/>
                  <v:imagedata r:id="rId110" o:title=""/>
                  <o:lock v:ext="edit" aspectratio="t"/>
                </v:shape>
                <v:rect id="Rectangle 154" o:spid="_x0000_s1026" o:spt="1" style="position:absolute;left:1170;top:2888;height:3600;width:9030;" fillcolor="#FFFFFF" filled="t" stroked="f" coordsize="21600,21600" o:gfxdata="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f&#10;1izMwwAAAOIAAAAPAAAAAAAAAAEAIAAAACIAAABkcnMvZG93bnJldi54bWxQSwECFAAUAAAACACH&#10;TuJAMy8FnjsAAAA5AAAAEAAAAAAAAAABACAAAAASAQAAZHJzL3NoYXBleG1sLnhtbFBLBQYAAAAA&#10;BgAGAFsBAAC8AwAAAAA=&#10;">
                  <v:fill on="t" focussize="0,0"/>
                  <v:stroke on="f"/>
                  <v:imagedata o:title=""/>
                  <o:lock v:ext="edit" aspectratio="f"/>
                </v:rect>
                <v:rect id="Rectangle 153" o:spid="_x0000_s1026" o:spt="1" style="position:absolute;left:2070;top:3038;height:2700;width:8130;" filled="f" stroked="t" coordsize="21600,21600" o:gfxdata="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LMhz&#10;wAAAAOMAAAAPAAAAAAAAAAEAIAAAACIAAABkcnMvZG93bnJldi54bWxQSwECFAAUAAAACACHTuJA&#10;My8FnjsAAAA5AAAAEAAAAAAAAAABACAAAAAPAQAAZHJzL3NoYXBleG1sLnhtbFBLBQYAAAAABgAG&#10;AFsBAAC5AwAAAAA=&#10;">
                  <v:fill on="f" focussize="0,0"/>
                  <v:stroke color="#EDEDED" miterlimit="8" joinstyle="miter"/>
                  <v:imagedata o:title=""/>
                  <o:lock v:ext="edit" aspectratio="f"/>
                </v:rect>
                <v:shape id="AutoShape 152" o:spid="_x0000_s1026" o:spt="100" style="position:absolute;left:2069;top:3038;height:2700;width:8130;" fillcolor="#EDEDED" filled="t" stroked="f" coordsize="8130,2700" o:gfxdata="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GyoU/FAAAA4gAAAA8AAAAAAAAAAQAgAAAAIgAAAGRycy9kb3ducmV2LnhtbFBLAQIUABQAAAAI&#10;AIdO4kAzLwWeOwAAADkAAAAQAAAAAAAAAAEAIAAAABQBAABkcnMvc2hhcGV4bWwueG1sUEsFBgAA&#10;AAAGAAYAWwEAAL4DAAAAAA==&#10;" path="m6810,2010l0,2010,0,2025,6810,2025,6810,2010xm6810,1350l0,1350,0,1365,6810,1365,6810,1350xm6810,675l0,675,0,690,6810,690,6810,675xm8130,2685l0,2685,0,2700,8130,2700,8130,2685xm8130,2010l7815,2010,7815,2025,8130,2025,8130,2010xm8130,1350l7815,1350,7815,1365,8130,1365,8130,1350xm8130,675l7815,675,7815,690,8130,690,8130,675xm8130,0l0,0,0,15,8130,15,8130,0xe">
                  <v:path o:connectlocs="6810,5048;0,5048;0,5063;6810,5063;6810,5048;6810,4388;0,4388;0,4403;6810,4403;6810,4388;6810,3713;0,3713;0,3728;6810,3728;6810,3713;8130,5723;0,5723;0,5738;8130,5738;8130,5723;8130,5048;7815,5048;7815,5063;8130,5063;8130,5048;8130,4388;7815,4388;7815,4403;8130,4403;8130,4388;8130,3713;7815,3713;7815,3728;8130,3728;8130,3713;8130,3038;0,3038;0,3053;8130,3053;8130,3038" o:connectangles="0,0,0,0,0,0,0,0,0,0,0,0,0,0,0,0,0,0,0,0,0,0,0,0,0,0,0,0,0,0,0,0,0,0,0,0,0,0,0,0"/>
                  <v:fill on="t" focussize="0,0"/>
                  <v:stroke on="f"/>
                  <v:imagedata o:title=""/>
                  <o:lock v:ext="edit" aspectratio="f"/>
                </v:shape>
                <v:shape id="AutoShape 151" o:spid="_x0000_s1026" o:spt="100" style="position:absolute;left:2069;top:3368;height:2040;width:8130;" fillcolor="#F7F7F7" filled="t" stroked="f" coordsize="8130,2040" o:gfxdata="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2/XGwwAAAOIAAAAPAAAAAAAAAAEAIAAAACIAAABkcnMvZG93bnJldi54bWxQSwECFAAUAAAACACH&#10;TuJAMy8FnjsAAAA5AAAAEAAAAAAAAAABACAAAAASAQAAZHJzL3NoYXBleG1sLnhtbFBLBQYAAAAA&#10;BgAGAFsBAAC8AwAAAAA=&#10;" path="m6810,2025l0,2025,0,2040,6810,2040,6810,2025xm6810,1350l0,1350,0,1365,6810,1365,6810,1350xm6810,675l0,675,0,690,6810,690,6810,675xm8130,2025l7815,2025,7815,2040,8130,2040,8130,2025xm8130,1350l7815,1350,7815,1365,8130,1365,8130,1350xm8130,675l7815,675,7815,690,8130,690,8130,675xm8130,0l0,0,0,15,8130,15,8130,0xe">
                  <v:path o:connectlocs="6810,5393;0,5393;0,5408;6810,5408;6810,5393;6810,4718;0,4718;0,4733;6810,4733;6810,4718;6810,4043;0,4043;0,4058;6810,4058;6810,4043;8130,5393;7815,5393;7815,5408;8130,5408;8130,5393;8130,4718;7815,4718;7815,4733;8130,4733;8130,4718;8130,4043;7815,4043;7815,4058;8130,4058;8130,4043;8130,3368;0,3368;0,3383;8130,3383;8130,3368" o:connectangles="0,0,0,0,0,0,0,0,0,0,0,0,0,0,0,0,0,0,0,0,0,0,0,0,0,0,0,0,0,0,0,0,0,0,0"/>
                  <v:fill on="t" focussize="0,0"/>
                  <v:stroke on="f"/>
                  <v:imagedata o:title=""/>
                  <o:lock v:ext="edit" aspectratio="f"/>
                </v:shape>
                <v:shape id="AutoShape 150" o:spid="_x0000_s1026" o:spt="100" style="position:absolute;left:2384;top:5633;height:98;width:5880;" fillcolor="#663AB6" filled="t" stroked="f" coordsize="5880,98" o:gfxdata="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1h0&#10;wAAAAOMAAAAPAAAAAAAAAAEAIAAAACIAAABkcnMvZG93bnJldi54bWxQSwECFAAUAAAACACHTuJA&#10;My8FnjsAAAA5AAAAEAAAAAAAAAABACAAAAAPAQAAZHJzL3NoYXBleG1sLnhtbFBLBQYAAAAABgAG&#10;AFsBAAC5AwAAAAA=&#10;" path="m1005,90l0,90,0,98,1005,98,1005,90xm2625,90l1620,90,1620,98,2625,98,2625,90xm4245,44l3255,44,3255,98,4245,98,4245,44xm5880,0l4875,0,4875,90,5880,90,5880,0xe">
                  <v:path o:connectlocs="1005,5723;0,5723;0,5731;1005,5731;1005,5723;2625,5723;1620,5723;1620,5731;2625,5731;2625,5723;4245,5677;3255,5677;3255,5731;4245,5731;4245,5677;5880,5633;4875,5633;4875,5723;5880,5723;5880,5633" o:connectangles="0,0,0,0,0,0,0,0,0,0,0,0,0,0,0,0,0,0,0,0"/>
                  <v:fill on="t" focussize="0,0"/>
                  <v:stroke on="f"/>
                  <v:imagedata o:title=""/>
                  <o:lock v:ext="edit" aspectratio="f"/>
                </v:shape>
                <v:rect id="Rectangle 149" o:spid="_x0000_s1026" o:spt="1" style="position:absolute;left:2070;top:5723;height:15;width:8130;" fillcolor="#333333" filled="t" stroked="f" coordsize="21600,21600" o:gfxdata="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mv&#10;cBXCAAAA4gAAAA8AAAAAAAAAAQAgAAAAIgAAAGRycy9kb3ducmV2LnhtbFBLAQIUABQAAAAIAIdO&#10;4kAzLwWeOwAAADkAAAAQAAAAAAAAAAEAIAAAABEBAABkcnMvc2hhcGV4bWwueG1sUEsFBgAAAAAG&#10;AAYAWwEAALsDAAAAAA==&#10;">
                  <v:fill on="t" focussize="0,0"/>
                  <v:stroke on="f"/>
                  <v:imagedata o:title=""/>
                  <o:lock v:ext="edit" aspectratio="f"/>
                </v:rect>
                <v:shape id="AutoShape 148" o:spid="_x0000_s1026" o:spt="100" style="position:absolute;left:2879;top:5453;height:270;width:4890;" fillcolor="#999999" filled="t" stroked="f" coordsize="4890,270" o:gfxdata="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7&#10;Jsi0wwAAAOMAAAAPAAAAAAAAAAEAIAAAACIAAABkcnMvZG93bnJldi54bWxQSwECFAAUAAAACACH&#10;TuJAMy8FnjsAAAA5AAAAEAAAAAAAAAABACAAAAASAQAAZHJzL3NoYXBleG1sLnhtbFBLBQYAAAAA&#10;BgAGAFsBAAC8AwAAAAA=&#10;" path="m15,90l0,90,0,270,15,270,15,90xm1635,90l1620,90,1620,270,1635,270,1635,90xm3270,44l3255,44,3255,224,3270,224,3270,44xm4890,0l4875,0,4875,180,4890,180,4890,0xe">
                  <v:path o:connectlocs="15,5543;0,5543;0,5723;15,5723;15,5543;1635,5543;1620,5543;1620,5723;1635,5723;1635,5543;3270,5497;3255,5497;3255,5677;3270,5677;3270,5497;4890,5453;4875,5453;4875,5633;4890,5633;4890,5453" o:connectangles="0,0,0,0,0,0,0,0,0,0,0,0,0,0,0,0,0,0,0,0"/>
                  <v:fill on="t" focussize="0,0"/>
                  <v:stroke on="f"/>
                  <v:imagedata o:title=""/>
                  <o:lock v:ext="edit" aspectratio="f"/>
                </v:shape>
                <v:shape id="AutoShape 147" o:spid="_x0000_s1026" o:spt="100" style="position:absolute;left:2622;top:5294;height:259;width:5392;" filled="f" stroked="t" coordsize="5392,259" o:gfxdata="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tcwy&#10;wAAAAOMAAAAPAAAAAAAAAAEAIAAAACIAAABkcnMvZG93bnJldi54bWxQSwECFAAUAAAACACHTuJA&#10;My8FnjsAAAA5AAAAEAAAAAAAAAABACAAAAAPAQAAZHJzL3NoYXBleG1sLnhtbFBLBQYAAAAABgAG&#10;AFsBAAC5AwAAAAA=&#10;" path="m0,157l0,142,2,130,5,121,8,111,13,104,19,99,25,94,33,91,42,91,49,91,55,93,61,96,66,98,70,102,74,108,77,113,80,119,82,127,83,134,84,145,84,157,84,172,83,185,80,194,77,203,72,210,66,215,60,221,52,223,42,223,30,223,20,219,13,210,8,200,4,189,1,174,0,157xm17,157l17,172,19,184,21,193,24,200,29,207,35,210,42,210,50,210,56,207,61,200,64,193,66,184,68,172,68,157,68,143,66,131,64,122,61,115,56,108,50,105,42,105,35,105,29,108,25,114,21,121,19,131,17,143,17,157xm185,259l179,250,173,241,168,231,163,220,159,209,156,198,155,186,154,174,154,164,156,154,158,144,161,134,165,123,171,112,177,101,185,90,196,90,189,102,185,111,182,116,179,124,176,132,174,141,171,152,170,163,170,174,172,195,177,217,185,238,196,259,185,259xm210,157l210,142,212,130,215,121,218,111,223,104,229,99,235,94,243,91,252,91,259,91,265,93,271,96,276,98,280,102,284,108,287,113,290,119,292,127,294,134,294,145,294,157,294,172,293,185,290,194,287,203,282,210,276,215,270,221,262,223,252,223,240,223,230,219,223,210,218,200,214,189,211,174,210,157xm227,157l227,172,229,184,231,193,234,200,239,207,245,210,252,210,260,210,266,207,271,200,274,193,276,184,278,172,278,157,278,143,276,131,274,122,271,115,266,108,260,105,252,105,245,105,239,108,235,114,231,121,229,131,227,143,227,157xm314,123l314,114,316,106,320,99,325,93,332,90,341,90,349,90,355,93,361,98,366,104,369,113,369,124,369,135,366,143,361,149,355,155,349,158,341,158,333,158,327,155,321,149,316,143,314,135,314,123xm341,101l337,101,334,102,331,106,329,109,327,115,327,125,327,133,329,139,331,142,334,145,337,147,341,147,345,147,348,145,351,142,354,139,355,132,355,123,355,115,354,109,351,106,348,102,345,101,341,101xm341,226l412,90,424,90,354,226,341,226xm397,191l397,181,399,174,404,167,408,161,415,157,424,157,432,157,439,160,444,166,449,172,452,180,452,192,452,202,449,211,444,217,439,223,432,226,424,226,416,226,410,223,405,217,399,211,397,202,397,191xm424,168l420,168,417,170,415,173,412,177,411,183,411,192,411,200,412,206,415,210,417,213,421,215,424,215,428,215,432,213,434,210,437,206,438,200,438,191,438,183,437,177,434,173,432,170,428,168,424,168xm485,259l474,259,486,238,494,217,499,195,500,174,500,163,499,152,497,141,495,133,492,124,488,116,486,111,481,102,474,90,485,90,493,101,500,112,505,123,510,134,513,144,515,154,516,164,517,174,516,186,514,198,511,209,507,220,503,231,497,241,492,250,485,259xm1620,157l1620,142,1622,130,1625,121,1628,111,1633,104,1639,99,1645,94,1653,91,1662,91,1669,91,1675,93,1681,96,1686,98,1690,102,1694,108,1697,113,1700,119,1702,127,1703,134,1704,145,1704,157,1704,172,1703,185,1700,194,1697,203,1692,210,1686,215,1680,221,1672,223,1662,223,1650,223,1640,219,1633,210,1628,200,1624,189,1621,174,1620,157xm1637,157l1637,172,1639,184,1641,193,1644,200,1649,207,1655,210,1662,210,1670,210,1676,207,1681,200,1684,193,1686,184,1688,172,1688,157,1688,143,1686,131,1684,122,1681,115,1676,108,1670,105,1662,105,1655,105,1649,108,1645,114,1641,121,1639,131,1637,143,1637,157xm1805,259l1799,250,1793,241,1788,231,1783,220,1779,209,1776,198,1775,186,1774,174,1774,164,1776,154,1778,144,1781,134,1785,123,1791,112,1797,101,1805,90,1816,90,1809,102,1805,111,1802,116,1799,124,1796,132,1794,141,1791,152,1790,163,1790,174,1792,195,1797,217,1805,238,1816,259,1805,259xm1830,157l1830,142,1832,130,1835,121,1838,111,1843,104,1849,99,1855,94,1863,91,1872,91,1879,91,1885,93,1891,96,1896,98,1900,102,1904,108,1907,113,1910,119,1912,127,1914,134,1914,145,1914,157,1914,172,1913,185,1910,194,1907,203,1902,210,1896,215,1890,221,1882,223,1872,223,1860,223,1850,219,1843,210,1838,200,1834,189,1831,174,1830,157xm1847,157l1847,172,1849,184,1851,193,1854,200,1859,207,1865,210,1872,210,1880,210,1886,207,1891,200,1894,193,1896,184,1898,172,1898,157,1898,143,1896,131,1894,122,1891,115,1886,108,1880,105,1872,105,1865,105,1859,108,1855,114,1851,121,1849,131,1847,143,1847,157xm1934,123l1934,114,1936,106,1940,99,1945,93,1952,90,1961,90,1969,90,1975,93,1981,98,1986,104,1989,113,1989,124,1989,135,1986,143,1981,149,1975,155,1969,158,1961,158,1953,158,1947,155,1941,149,1936,143,1934,135,1934,123xm1961,101l1957,101,1954,102,1951,106,1949,109,1947,115,1947,125,1947,133,1949,139,1951,142,1954,145,1957,147,1961,147,1965,147,1968,145,1971,142,1974,139,1975,132,1975,123,1975,115,1974,109,1971,106,1968,102,1965,101,1961,101xm1961,226l2032,90,2044,90,1974,226,1961,226xm2017,191l2017,181,2019,174,2024,167,2028,161,2035,157,2044,157,2052,157,2059,160,2064,166,2069,172,2072,180,2072,192,2072,202,2069,211,2064,217,2059,223,2052,226,2044,226,2036,226,2030,223,2025,217,2019,211,2017,202,2017,191xm2044,168l2040,168,2037,170,2035,173,2032,177,2031,183,2031,192,2031,200,2032,206,2035,210,2037,213,2041,215,2044,215,2048,215,2052,213,2054,210,2057,206,2058,200,2058,191,2058,183,2057,177,2054,173,2052,170,2048,168,2044,168xm2105,259l2094,259,2106,238,2114,217,2119,195,2120,174,2120,163,2119,152,2117,141,2115,133,2112,124,2108,116,2106,111,2101,102,2094,90,2105,90,2113,101,2120,112,2125,123,2130,134,2133,144,2135,154,2136,164,2137,174,2136,186,2134,198,2131,209,2127,220,2123,231,2117,241,2112,250,2105,259xm3263,159l3263,175,3178,175,3178,171,3179,167,3180,164,3182,158,3186,152,3190,147,3195,141,3202,134,3211,127,3225,116,3235,106,3239,100,3244,93,3247,87,3247,81,3247,74,3245,69,3240,65,3236,61,3230,58,3223,58,3215,58,3209,61,3204,65,3200,70,3197,76,3197,84,3181,83,3182,70,3186,61,3194,55,3201,48,3211,45,3223,45,3235,45,3245,49,3252,56,3260,62,3263,71,3263,81,3263,86,3262,91,3260,96,3258,101,3254,107,3249,112,3245,118,3236,125,3225,135,3216,143,3209,148,3207,151,3204,154,3202,157,3200,159,3263,159xm3365,213l3359,204,3353,195,3348,185,3343,174,3339,163,3336,151,3334,140,3334,128,3334,118,3335,108,3338,98,3340,88,3345,77,3351,66,3357,55,3365,44,3376,44,3369,56,3364,65,3362,70,3359,78,3356,86,3354,95,3351,106,3350,117,3350,128,3352,149,3357,170,3365,191,3376,213,3365,213xm3473,159l3473,175,3388,175,3388,171,3389,167,3390,164,3392,158,3396,152,3400,147,3405,141,3412,134,3421,127,3435,116,3445,106,3450,100,3454,93,3457,87,3457,81,3457,74,3455,69,3450,65,3446,61,3440,58,3433,58,3425,58,3419,61,3414,65,3410,70,3408,76,3407,84,3391,83,3392,70,3396,61,3404,55,3411,48,3421,45,3433,45,3445,45,3455,49,3462,56,3470,62,3473,71,3473,81,3473,86,3472,91,3470,96,3468,101,3464,107,3460,112,3455,118,3446,125,3435,135,3426,143,3420,148,3417,151,3414,154,3412,157,3410,159,3473,159xm3499,175l3499,157,3517,157,3517,175,3499,175xm3541,63l3541,48,3625,48,3625,60,3619,67,3613,75,3606,84,3600,95,3595,106,3590,117,3585,128,3582,139,3579,150,3577,162,3576,175,3559,175,3560,165,3562,152,3565,138,3569,127,3572,117,3577,107,3582,96,3587,87,3593,78,3599,70,3604,63,3541,63xm3643,77l3643,68,3646,60,3650,53,3655,47,3662,44,3670,44,3679,44,3685,47,3691,52,3696,58,3699,67,3699,78,3699,89,3696,97,3690,103,3685,109,3679,112,3671,112,3663,112,3656,109,3651,103,3646,97,3643,88,3643,77xm3671,55l3667,55,3664,56,3661,60,3659,63,3657,69,3657,78,3657,87,3659,92,3661,96,3664,99,3667,101,3671,101,3675,101,3678,99,3681,96,3683,92,3685,86,3685,77,3685,69,3683,63,3681,60,3678,56,3675,55,3671,55xm3671,179l3742,44,3754,44,3684,179,3671,179xm3727,144l3727,135,3729,127,3734,121,3738,115,3745,111,3754,111,3762,111,3769,114,3774,120,3779,126,3782,134,3782,145,3782,156,3779,165,3774,171,3769,176,3762,179,3754,179,3746,179,3740,177,3735,171,3729,165,3727,156,3727,144xm3754,122l3750,122,3747,124,3744,127,3742,131,3741,137,3741,146,3741,154,3742,160,3745,163,3747,167,3750,169,3754,169,3758,169,3762,167,3764,163,3767,160,3768,154,3768,145,3768,136,3767,131,3764,127,3762,124,3758,122,3754,122xm3815,213l3804,213,3815,191,3824,170,3829,149,3830,128,3830,117,3829,106,3826,95,3824,87,3822,78,3818,70,3816,65,3811,56,3804,44,3815,44,3823,55,3830,66,3835,77,3840,88,3843,98,3845,108,3846,118,3846,128,3846,140,3844,151,3841,163,3837,174,3833,185,3827,195,3822,204,3815,213xm4875,97l4891,95,4893,104,4896,110,4901,114,4905,118,4910,120,4917,120,4924,120,4930,117,4935,112,4941,107,4943,101,4943,93,4943,86,4941,80,4936,75,4931,70,4925,68,4918,68,4915,68,4911,69,4907,70,4908,56,4909,56,4910,56,4911,56,4918,56,4924,54,4929,51,4935,47,4937,42,4937,35,4937,29,4935,24,4931,20,4927,16,4922,14,4916,14,4910,14,4905,16,4901,20,4897,24,4894,30,4893,38,4877,35,4879,24,4883,16,4890,10,4897,4,4906,1,4916,1,4923,1,4929,3,4935,6,4941,9,4946,13,4949,18,4952,24,4954,29,4954,35,4954,41,4952,46,4949,50,4946,55,4942,58,4936,61,4943,63,4949,66,4954,72,4958,78,4960,84,4960,93,4960,104,4956,114,4948,121,4939,129,4929,133,4916,133,4905,133,4896,130,4888,123,4881,116,4877,108,4875,97xm5060,169l5054,160,5048,151,5043,141,5038,130,5034,119,5031,108,5030,96,5029,84,5029,74,5031,64,5033,54,5036,44,5040,33,5046,22,5052,11,5060,0,5071,0,5064,12,5060,21,5057,26,5054,34,5051,42,5049,51,5046,62,5045,73,5045,84,5047,105,5052,127,5060,148,5071,169,5060,169xm5136,131l5136,100,5080,100,5080,86,5139,2,5152,2,5152,86,5169,86,5169,100,5152,100,5152,131,5136,131xm5136,86l5136,27,5096,86,5136,86xm5189,33l5189,24,5191,16,5195,9,5200,3,5207,0,5216,0,5224,0,5230,3,5236,8,5241,14,5244,23,5244,34,5244,45,5241,53,5236,59,5230,65,5224,68,5216,68,5208,68,5202,65,5196,59,5191,53,5189,45,5189,33xm5216,11l5212,11,5209,12,5206,16,5204,19,5202,25,5202,35,5202,43,5204,49,5206,52,5209,55,5212,57,5216,57,5220,57,5223,55,5226,52,5229,49,5230,42,5230,33,5230,25,5229,19,5226,16,5223,12,5220,11,5216,11xm5216,136l5287,0,5299,0,5229,136,5216,136xm5272,101l5272,91,5274,84,5279,77,5283,71,5290,67,5299,67,5307,67,5314,70,5319,76,5324,82,5327,90,5327,102,5327,112,5324,121,5319,127,5314,133,5307,136,5299,136,5291,136,5285,133,5280,127,5274,121,5272,112,5272,101xm5299,78l5295,78,5292,80,5290,83,5287,87,5286,93,5286,102,5286,110,5287,116,5290,120,5292,123,5296,125,5299,125,5303,125,5307,123,5309,120,5312,116,5313,110,5313,101,5313,93,5312,87,5309,83,5307,80,5303,78,5299,78xm5360,169l5349,169,5361,148,5369,127,5374,105,5375,84,5375,73,5374,62,5372,51,5370,43,5367,34,5363,26,5361,21,5356,12,5349,0,5360,0,5368,11,5375,22,5380,33,5385,44,5388,54,5390,64,5391,74,5392,84,5391,96,5389,108,5386,119,5382,130,5378,141,5372,151,5367,160,5360,169xe">
                  <v:path o:connectlocs="82,5422;0,5452;61,5410;154,5469;172,5490;280,5397;223,5505;278,5452;325,5388;314,5430;355,5427;424,5452;424,5463;438,5478;481,5397;1620,5452;1703,5429;1637,5452;1676,5403;1774,5459;1797,5512;1904,5403;1838,5495;1898,5438;1952,5385;1934,5418;1975,5418;2052,5452;2040,5463;2057,5472;2094,5385;3263,5470;3240,5360;3252,5351;3263,5454;3369,5351;3390,5459;3425,5353;3473,5381;3517,5470;3562,5447;3685,5342;3664,5351;3681,5355;3779,5421;3742,5426;3758,5417;3830,5361;4901,5409;4908,5351;4897,5319;4954,5336;4896,5425;5046,5317;5136,5395;5200,5298;5189,5340;5230,5337;5299,5362;5299,5373;5313,5388;5356,5307" o:connectangles="0,0,0,0,0,0,0,0,0,0,0,0,0,0,0,0,0,0,0,0,0,0,0,0,0,0,0,0,0,0,0,0,0,0,0,0,0,0,0,0,0,0,0,0,0,0,0,0,0,0,0,0,0,0,0,0,0,0,0,0,0,0"/>
                  <v:fill on="f" focussize="0,0"/>
                  <v:stroke weight="2.25pt" color="#FFFFFF" joinstyle="round"/>
                  <v:imagedata o:title=""/>
                  <o:lock v:ext="edit" aspectratio="f"/>
                </v:shape>
                <v:shape id="Text Box 146" o:spid="_x0000_s1026" o:spt="202" type="#_x0000_t202" style="position:absolute;left:1162;top:760;height:1752;width:7572;" filled="f" stroked="f" coordsize="21600,21600" o:gfxdata="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vT&#10;C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A10F964">
                        <w:pPr>
                          <w:spacing w:line="300" w:lineRule="auto"/>
                          <w:ind w:right="11"/>
                          <w:jc w:val="both"/>
                        </w:pPr>
                        <w:r>
                          <w:rPr>
                            <w:color w:val="202024"/>
                          </w:rPr>
                          <w:t>15.</w:t>
                        </w:r>
                        <w:r>
                          <w:rPr>
                            <w:color w:val="202024"/>
                            <w:spacing w:val="26"/>
                          </w:rPr>
                          <w:t xml:space="preserve"> </w:t>
                        </w:r>
                        <w:r>
                          <w:rPr>
                            <w:color w:val="202024"/>
                          </w:rPr>
                          <w:t>In</w:t>
                        </w:r>
                        <w:r>
                          <w:rPr>
                            <w:color w:val="202024"/>
                            <w:spacing w:val="8"/>
                          </w:rPr>
                          <w:t xml:space="preserve"> </w:t>
                        </w:r>
                        <w:r>
                          <w:rPr>
                            <w:color w:val="202024"/>
                          </w:rPr>
                          <w:t>your</w:t>
                        </w:r>
                        <w:r>
                          <w:rPr>
                            <w:color w:val="202024"/>
                            <w:spacing w:val="9"/>
                          </w:rPr>
                          <w:t xml:space="preserve"> </w:t>
                        </w:r>
                        <w:r>
                          <w:rPr>
                            <w:color w:val="202024"/>
                          </w:rPr>
                          <w:t>experience,</w:t>
                        </w:r>
                        <w:r>
                          <w:rPr>
                            <w:color w:val="202024"/>
                            <w:spacing w:val="9"/>
                          </w:rPr>
                          <w:t xml:space="preserve"> </w:t>
                        </w:r>
                        <w:r>
                          <w:rPr>
                            <w:color w:val="202024"/>
                          </w:rPr>
                          <w:t>how</w:t>
                        </w:r>
                        <w:r>
                          <w:rPr>
                            <w:color w:val="202024"/>
                            <w:spacing w:val="9"/>
                          </w:rPr>
                          <w:t xml:space="preserve"> </w:t>
                        </w:r>
                        <w:r>
                          <w:rPr>
                            <w:color w:val="202024"/>
                          </w:rPr>
                          <w:t>important</w:t>
                        </w:r>
                        <w:r>
                          <w:rPr>
                            <w:color w:val="202024"/>
                            <w:spacing w:val="9"/>
                          </w:rPr>
                          <w:t xml:space="preserve"> </w:t>
                        </w:r>
                        <w:r>
                          <w:rPr>
                            <w:color w:val="202024"/>
                          </w:rPr>
                          <w:t>is</w:t>
                        </w:r>
                        <w:r>
                          <w:rPr>
                            <w:color w:val="202024"/>
                            <w:spacing w:val="9"/>
                          </w:rPr>
                          <w:t xml:space="preserve"> </w:t>
                        </w:r>
                        <w:r>
                          <w:rPr>
                            <w:color w:val="202024"/>
                          </w:rPr>
                          <w:t>it</w:t>
                        </w:r>
                        <w:r>
                          <w:rPr>
                            <w:color w:val="202024"/>
                            <w:spacing w:val="9"/>
                          </w:rPr>
                          <w:t xml:space="preserve"> </w:t>
                        </w:r>
                        <w:r>
                          <w:rPr>
                            <w:color w:val="202024"/>
                          </w:rPr>
                          <w:t>for</w:t>
                        </w:r>
                        <w:r>
                          <w:rPr>
                            <w:color w:val="202024"/>
                            <w:spacing w:val="8"/>
                          </w:rPr>
                          <w:t xml:space="preserve"> </w:t>
                        </w:r>
                        <w:r>
                          <w:rPr>
                            <w:color w:val="202024"/>
                          </w:rPr>
                          <w:t>judicial</w:t>
                        </w:r>
                        <w:r>
                          <w:rPr>
                            <w:color w:val="202024"/>
                            <w:spacing w:val="9"/>
                          </w:rPr>
                          <w:t xml:space="preserve"> </w:t>
                        </w:r>
                        <w:r>
                          <w:rPr>
                            <w:color w:val="202024"/>
                          </w:rPr>
                          <w:t>officers,</w:t>
                        </w:r>
                        <w:r>
                          <w:rPr>
                            <w:color w:val="202024"/>
                            <w:spacing w:val="9"/>
                          </w:rPr>
                          <w:t xml:space="preserve"> </w:t>
                        </w:r>
                        <w:r>
                          <w:rPr>
                            <w:color w:val="202024"/>
                          </w:rPr>
                          <w:t>the</w:t>
                        </w:r>
                        <w:r>
                          <w:rPr>
                            <w:color w:val="202024"/>
                            <w:spacing w:val="1"/>
                          </w:rPr>
                          <w:t xml:space="preserve"> </w:t>
                        </w:r>
                        <w:r>
                          <w:rPr>
                            <w:color w:val="202024"/>
                          </w:rPr>
                          <w:t>Tribunals</w:t>
                        </w:r>
                        <w:r>
                          <w:rPr>
                            <w:color w:val="202024"/>
                            <w:spacing w:val="9"/>
                          </w:rPr>
                          <w:t xml:space="preserve"> </w:t>
                        </w:r>
                        <w:r>
                          <w:rPr>
                            <w:color w:val="202024"/>
                          </w:rPr>
                          <w:t>and</w:t>
                        </w:r>
                        <w:r>
                          <w:rPr>
                            <w:color w:val="202024"/>
                            <w:spacing w:val="9"/>
                          </w:rPr>
                          <w:t xml:space="preserve"> </w:t>
                        </w:r>
                        <w:r>
                          <w:rPr>
                            <w:color w:val="202024"/>
                          </w:rPr>
                          <w:t>the</w:t>
                        </w:r>
                        <w:r>
                          <w:rPr>
                            <w:color w:val="202024"/>
                            <w:spacing w:val="9"/>
                          </w:rPr>
                          <w:t xml:space="preserve"> </w:t>
                        </w:r>
                        <w:r>
                          <w:rPr>
                            <w:color w:val="202024"/>
                          </w:rPr>
                          <w:t>Courts,</w:t>
                        </w:r>
                        <w:r>
                          <w:rPr>
                            <w:color w:val="202024"/>
                            <w:spacing w:val="10"/>
                          </w:rPr>
                          <w:t xml:space="preserve"> </w:t>
                        </w:r>
                        <w:r>
                          <w:rPr>
                            <w:color w:val="202024"/>
                          </w:rPr>
                          <w:t>to</w:t>
                        </w:r>
                        <w:r>
                          <w:rPr>
                            <w:color w:val="202024"/>
                            <w:spacing w:val="9"/>
                          </w:rPr>
                          <w:t xml:space="preserve"> </w:t>
                        </w:r>
                        <w:r>
                          <w:rPr>
                            <w:color w:val="202024"/>
                          </w:rPr>
                          <w:t>have</w:t>
                        </w:r>
                        <w:r>
                          <w:rPr>
                            <w:color w:val="202024"/>
                            <w:spacing w:val="9"/>
                          </w:rPr>
                          <w:t xml:space="preserve"> </w:t>
                        </w:r>
                        <w:r>
                          <w:rPr>
                            <w:color w:val="202024"/>
                          </w:rPr>
                          <w:t>adequate</w:t>
                        </w:r>
                        <w:r>
                          <w:rPr>
                            <w:color w:val="202024"/>
                            <w:spacing w:val="10"/>
                          </w:rPr>
                          <w:t xml:space="preserve"> </w:t>
                        </w:r>
                        <w:r>
                          <w:rPr>
                            <w:color w:val="202024"/>
                          </w:rPr>
                          <w:t>understanding</w:t>
                        </w:r>
                        <w:r>
                          <w:rPr>
                            <w:color w:val="202024"/>
                            <w:spacing w:val="9"/>
                          </w:rPr>
                          <w:t xml:space="preserve"> </w:t>
                        </w:r>
                        <w:r>
                          <w:rPr>
                            <w:color w:val="202024"/>
                          </w:rPr>
                          <w:t>of</w:t>
                        </w:r>
                        <w:r>
                          <w:rPr>
                            <w:color w:val="202024"/>
                            <w:spacing w:val="9"/>
                          </w:rPr>
                          <w:t xml:space="preserve"> </w:t>
                        </w:r>
                        <w:r>
                          <w:rPr>
                            <w:color w:val="202024"/>
                          </w:rPr>
                          <w:t>taxation</w:t>
                        </w:r>
                        <w:r>
                          <w:rPr>
                            <w:color w:val="202024"/>
                            <w:spacing w:val="-56"/>
                          </w:rPr>
                          <w:t xml:space="preserve"> </w:t>
                        </w:r>
                        <w:r>
                          <w:rPr>
                            <w:color w:val="202024"/>
                          </w:rPr>
                          <w:t>principles</w:t>
                        </w:r>
                        <w:r>
                          <w:rPr>
                            <w:color w:val="202024"/>
                            <w:spacing w:val="6"/>
                          </w:rPr>
                          <w:t xml:space="preserve"> </w:t>
                        </w:r>
                        <w:r>
                          <w:rPr>
                            <w:color w:val="202024"/>
                          </w:rPr>
                          <w:t>and</w:t>
                        </w:r>
                        <w:r>
                          <w:rPr>
                            <w:color w:val="202024"/>
                            <w:spacing w:val="7"/>
                          </w:rPr>
                          <w:t xml:space="preserve"> </w:t>
                        </w:r>
                        <w:r>
                          <w:rPr>
                            <w:color w:val="202024"/>
                          </w:rPr>
                          <w:t>upstream</w:t>
                        </w:r>
                        <w:r>
                          <w:rPr>
                            <w:color w:val="202024"/>
                            <w:spacing w:val="6"/>
                          </w:rPr>
                          <w:t xml:space="preserve"> </w:t>
                        </w:r>
                        <w:r>
                          <w:rPr>
                            <w:color w:val="202024"/>
                          </w:rPr>
                          <w:t>tax</w:t>
                        </w:r>
                        <w:r>
                          <w:rPr>
                            <w:color w:val="202024"/>
                            <w:spacing w:val="7"/>
                          </w:rPr>
                          <w:t xml:space="preserve"> </w:t>
                        </w:r>
                        <w:r>
                          <w:rPr>
                            <w:color w:val="202024"/>
                          </w:rPr>
                          <w:t>legislation,</w:t>
                        </w:r>
                        <w:r>
                          <w:rPr>
                            <w:color w:val="202024"/>
                            <w:spacing w:val="6"/>
                          </w:rPr>
                          <w:t xml:space="preserve"> </w:t>
                        </w:r>
                        <w:r>
                          <w:rPr>
                            <w:color w:val="202024"/>
                          </w:rPr>
                          <w:t>in</w:t>
                        </w:r>
                        <w:r>
                          <w:rPr>
                            <w:color w:val="202024"/>
                            <w:spacing w:val="7"/>
                          </w:rPr>
                          <w:t xml:space="preserve"> </w:t>
                        </w:r>
                        <w:r>
                          <w:rPr>
                            <w:color w:val="202024"/>
                          </w:rPr>
                          <w:t>achieving</w:t>
                        </w:r>
                        <w:r>
                          <w:rPr>
                            <w:color w:val="202024"/>
                            <w:spacing w:val="6"/>
                          </w:rPr>
                          <w:t xml:space="preserve"> </w:t>
                        </w:r>
                        <w:r>
                          <w:rPr>
                            <w:color w:val="202024"/>
                          </w:rPr>
                          <w:t>clarity</w:t>
                        </w:r>
                        <w:r>
                          <w:rPr>
                            <w:color w:val="202024"/>
                            <w:spacing w:val="7"/>
                          </w:rPr>
                          <w:t xml:space="preserve"> </w:t>
                        </w:r>
                        <w:r>
                          <w:rPr>
                            <w:color w:val="202024"/>
                          </w:rPr>
                          <w:t>and</w:t>
                        </w:r>
                        <w:r>
                          <w:rPr>
                            <w:color w:val="202024"/>
                            <w:spacing w:val="1"/>
                          </w:rPr>
                          <w:t xml:space="preserve"> </w:t>
                        </w:r>
                        <w:r>
                          <w:rPr>
                            <w:color w:val="202024"/>
                          </w:rPr>
                          <w:t>consistent</w:t>
                        </w:r>
                        <w:r>
                          <w:rPr>
                            <w:color w:val="202024"/>
                            <w:spacing w:val="7"/>
                          </w:rPr>
                          <w:t xml:space="preserve"> </w:t>
                        </w:r>
                        <w:r>
                          <w:rPr>
                            <w:color w:val="202024"/>
                          </w:rPr>
                          <w:t>application</w:t>
                        </w:r>
                        <w:r>
                          <w:rPr>
                            <w:color w:val="202024"/>
                            <w:spacing w:val="8"/>
                          </w:rPr>
                          <w:t xml:space="preserve"> </w:t>
                        </w:r>
                        <w:r>
                          <w:rPr>
                            <w:color w:val="202024"/>
                          </w:rPr>
                          <w:t>of</w:t>
                        </w:r>
                        <w:r>
                          <w:rPr>
                            <w:color w:val="202024"/>
                            <w:spacing w:val="7"/>
                          </w:rPr>
                          <w:t xml:space="preserve"> </w:t>
                        </w:r>
                        <w:r>
                          <w:rPr>
                            <w:color w:val="202024"/>
                          </w:rPr>
                          <w:t>upstream</w:t>
                        </w:r>
                        <w:r>
                          <w:rPr>
                            <w:color w:val="202024"/>
                            <w:spacing w:val="8"/>
                          </w:rPr>
                          <w:t xml:space="preserve"> </w:t>
                        </w:r>
                        <w:r>
                          <w:rPr>
                            <w:color w:val="202024"/>
                          </w:rPr>
                          <w:t>oil</w:t>
                        </w:r>
                        <w:r>
                          <w:rPr>
                            <w:color w:val="202024"/>
                            <w:spacing w:val="7"/>
                          </w:rPr>
                          <w:t xml:space="preserve"> </w:t>
                        </w:r>
                        <w:r>
                          <w:rPr>
                            <w:color w:val="202024"/>
                          </w:rPr>
                          <w:t>and</w:t>
                        </w:r>
                        <w:r>
                          <w:rPr>
                            <w:color w:val="202024"/>
                            <w:spacing w:val="8"/>
                          </w:rPr>
                          <w:t xml:space="preserve"> </w:t>
                        </w:r>
                        <w:r>
                          <w:rPr>
                            <w:color w:val="202024"/>
                          </w:rPr>
                          <w:t>gas</w:t>
                        </w:r>
                        <w:r>
                          <w:rPr>
                            <w:color w:val="202024"/>
                            <w:spacing w:val="7"/>
                          </w:rPr>
                          <w:t xml:space="preserve"> </w:t>
                        </w:r>
                        <w:r>
                          <w:rPr>
                            <w:color w:val="202024"/>
                          </w:rPr>
                          <w:t>tax</w:t>
                        </w:r>
                        <w:r>
                          <w:rPr>
                            <w:color w:val="202024"/>
                            <w:spacing w:val="8"/>
                          </w:rPr>
                          <w:t xml:space="preserve"> </w:t>
                        </w:r>
                        <w:r>
                          <w:rPr>
                            <w:color w:val="202024"/>
                          </w:rPr>
                          <w:t>Legislation.</w:t>
                        </w:r>
                      </w:p>
                      <w:p w14:paraId="283C5369">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v:textbox>
                </v:shape>
                <v:shape id="Text Box 145" o:spid="_x0000_s1026" o:spt="202" type="#_x0000_t202" style="position:absolute;left:9958;top:799;height:200;width:550;" filled="f" stroked="f" coordsize="21600,21600" o:gfxdata="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ulbTv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3F00D09C">
                        <w:pPr>
                          <w:spacing w:line="199" w:lineRule="exact"/>
                          <w:rPr>
                            <w:rFonts w:ascii="Lucida Sans Unicode"/>
                            <w:sz w:val="20"/>
                          </w:rPr>
                        </w:pPr>
                        <w:r>
                          <w:rPr>
                            <w:rFonts w:ascii="Lucida Sans Unicode"/>
                            <w:color w:val="1A73E7"/>
                            <w:w w:val="105"/>
                            <w:sz w:val="20"/>
                          </w:rPr>
                          <w:t>Copy</w:t>
                        </w:r>
                      </w:p>
                    </w:txbxContent>
                  </v:textbox>
                </v:shape>
                <v:shape id="Text Box 144" o:spid="_x0000_s1026" o:spt="202" type="#_x0000_t202" style="position:absolute;left:1689;top:2945;height:202;width:221;" filled="f" stroked="f" coordsize="21600,21600" o:gfxdata="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qV&#10;HYv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7C88465">
                        <w:pPr>
                          <w:spacing w:line="201" w:lineRule="exact"/>
                          <w:rPr>
                            <w:rFonts w:ascii="Arial MT"/>
                            <w:sz w:val="18"/>
                          </w:rPr>
                        </w:pPr>
                        <w:r>
                          <w:rPr>
                            <w:rFonts w:ascii="Arial MT"/>
                            <w:color w:val="444444"/>
                            <w:sz w:val="18"/>
                          </w:rPr>
                          <w:t>80</w:t>
                        </w:r>
                      </w:p>
                    </w:txbxContent>
                  </v:textbox>
                </v:shape>
                <v:shape id="Text Box 143" o:spid="_x0000_s1026" o:spt="202" type="#_x0000_t202" style="position:absolute;left:1689;top:3616;height:202;width:221;" filled="f" stroked="f" coordsize="21600,21600" o:gfxdata="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ARmf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4B0AE06F">
                        <w:pPr>
                          <w:spacing w:line="201" w:lineRule="exact"/>
                          <w:rPr>
                            <w:rFonts w:ascii="Arial MT"/>
                            <w:sz w:val="18"/>
                          </w:rPr>
                        </w:pPr>
                        <w:r>
                          <w:rPr>
                            <w:rFonts w:ascii="Arial MT"/>
                            <w:color w:val="444444"/>
                            <w:sz w:val="18"/>
                          </w:rPr>
                          <w:t>60</w:t>
                        </w:r>
                      </w:p>
                    </w:txbxContent>
                  </v:textbox>
                </v:shape>
                <v:shape id="Text Box 142" o:spid="_x0000_s1026" o:spt="202" type="#_x0000_t202" style="position:absolute;left:1689;top:4287;height:202;width:221;" filled="f" stroked="f" coordsize="21600,21600" o:gfxdata="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DQ&#10;s8T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A40273B">
                        <w:pPr>
                          <w:spacing w:line="201" w:lineRule="exact"/>
                          <w:rPr>
                            <w:rFonts w:ascii="Arial MT"/>
                            <w:sz w:val="18"/>
                          </w:rPr>
                        </w:pPr>
                        <w:r>
                          <w:rPr>
                            <w:rFonts w:ascii="Arial MT"/>
                            <w:color w:val="444444"/>
                            <w:sz w:val="18"/>
                          </w:rPr>
                          <w:t>40</w:t>
                        </w:r>
                      </w:p>
                    </w:txbxContent>
                  </v:textbox>
                </v:shape>
                <v:shape id="Text Box 141" o:spid="_x0000_s1026" o:spt="202" type="#_x0000_t202" style="position:absolute;left:1689;top:4959;height:202;width:221;" filled="f" stroked="f" coordsize="21600,21600" o:gfxdata="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43/If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0DC12B96">
                        <w:pPr>
                          <w:spacing w:line="201" w:lineRule="exact"/>
                          <w:rPr>
                            <w:rFonts w:ascii="Arial MT"/>
                            <w:sz w:val="18"/>
                          </w:rPr>
                        </w:pPr>
                        <w:r>
                          <w:rPr>
                            <w:rFonts w:ascii="Arial MT"/>
                            <w:color w:val="444444"/>
                            <w:sz w:val="18"/>
                          </w:rPr>
                          <w:t>20</w:t>
                        </w:r>
                      </w:p>
                    </w:txbxContent>
                  </v:textbox>
                </v:shape>
                <v:shape id="Text Box 140" o:spid="_x0000_s1026" o:spt="202" type="#_x0000_t202" style="position:absolute;left:2614;top:5352;height:202;width:551;" filled="f" stroked="f" coordsize="21600,21600" o:gfxdata="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6&#10;m3ZA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2EA0D14D">
                        <w:pPr>
                          <w:spacing w:line="201" w:lineRule="exact"/>
                          <w:rPr>
                            <w:rFonts w:ascii="Arial MT"/>
                            <w:sz w:val="18"/>
                          </w:rPr>
                        </w:pPr>
                        <w:r>
                          <w:rPr>
                            <w:rFonts w:ascii="Arial MT"/>
                            <w:color w:val="202024"/>
                            <w:sz w:val="18"/>
                          </w:rPr>
                          <w:t>0 (0%)</w:t>
                        </w:r>
                      </w:p>
                    </w:txbxContent>
                  </v:textbox>
                </v:shape>
                <v:shape id="Text Box 139" o:spid="_x0000_s1026" o:spt="202" type="#_x0000_t202" style="position:absolute;left:4234;top:5352;height:202;width:551;" filled="f" stroked="f" coordsize="21600,21600" o:gfxdata="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Y0&#10;6hL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517A695">
                        <w:pPr>
                          <w:spacing w:line="201" w:lineRule="exact"/>
                          <w:rPr>
                            <w:rFonts w:ascii="Arial MT"/>
                            <w:sz w:val="18"/>
                          </w:rPr>
                        </w:pPr>
                        <w:r>
                          <w:rPr>
                            <w:rFonts w:ascii="Arial MT"/>
                            <w:sz w:val="18"/>
                          </w:rPr>
                          <w:t>0 (0%)</w:t>
                        </w:r>
                      </w:p>
                    </w:txbxContent>
                  </v:textbox>
                </v:shape>
                <v:shape id="Text Box 138" o:spid="_x0000_s1026" o:spt="202" type="#_x0000_t202" style="position:absolute;left:5794;top:5306;height:202;width:701;" filled="f" stroked="f" coordsize="21600,21600" o:gfxdata="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F610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4F05E7EB">
                        <w:pPr>
                          <w:spacing w:line="201" w:lineRule="exact"/>
                          <w:rPr>
                            <w:rFonts w:ascii="Arial MT"/>
                            <w:sz w:val="18"/>
                          </w:rPr>
                        </w:pPr>
                        <w:r>
                          <w:rPr>
                            <w:rFonts w:ascii="Arial MT"/>
                            <w:color w:val="202024"/>
                            <w:sz w:val="18"/>
                          </w:rPr>
                          <w:t xml:space="preserve">2 </w:t>
                        </w:r>
                        <w:r>
                          <w:rPr>
                            <w:rFonts w:ascii="Arial MT"/>
                            <w:sz w:val="18"/>
                          </w:rPr>
                          <w:t>(2.7%)</w:t>
                        </w:r>
                      </w:p>
                    </w:txbxContent>
                  </v:textbox>
                </v:shape>
                <v:shape id="Text Box 137" o:spid="_x0000_s1026" o:spt="202" type="#_x0000_t202" style="position:absolute;left:7489;top:5262;height:202;width:551;" filled="f" stroked="f" coordsize="21600,21600" o:gfxdata="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1v5tP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61D64BE7">
                        <w:pPr>
                          <w:spacing w:line="201" w:lineRule="exact"/>
                          <w:rPr>
                            <w:rFonts w:ascii="Arial MT"/>
                            <w:sz w:val="18"/>
                          </w:rPr>
                        </w:pPr>
                        <w:r>
                          <w:rPr>
                            <w:rFonts w:ascii="Arial MT"/>
                            <w:color w:val="202024"/>
                            <w:sz w:val="18"/>
                          </w:rPr>
                          <w:t xml:space="preserve">3 </w:t>
                        </w:r>
                        <w:r>
                          <w:rPr>
                            <w:rFonts w:ascii="Arial MT"/>
                            <w:sz w:val="18"/>
                          </w:rPr>
                          <w:t>(4%)</w:t>
                        </w:r>
                      </w:p>
                    </w:txbxContent>
                  </v:textbox>
                </v:shape>
                <v:shape id="Text Box 136" o:spid="_x0000_s1026" o:spt="202" type="#_x0000_t202" style="position:absolute;left:1789;top:5630;height:202;width:121;" filled="f" stroked="f" coordsize="21600,21600" o:gfxdata="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5a/w&#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638998B">
                        <w:pPr>
                          <w:spacing w:line="201" w:lineRule="exact"/>
                          <w:rPr>
                            <w:rFonts w:ascii="Arial MT"/>
                            <w:sz w:val="18"/>
                          </w:rPr>
                        </w:pPr>
                        <w:r>
                          <w:rPr>
                            <w:rFonts w:ascii="Arial MT"/>
                            <w:color w:val="444444"/>
                            <w:sz w:val="18"/>
                          </w:rPr>
                          <w:t>0</w:t>
                        </w:r>
                      </w:p>
                    </w:txbxContent>
                  </v:textbox>
                </v:shape>
                <v:shape id="Text Box 135" o:spid="_x0000_s1026" o:spt="202" type="#_x0000_t202" style="position:absolute;left:2838;top:5832;height:202;width:121;" filled="f" stroked="f" coordsize="21600,21600" o:gfxdata="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IatB/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444ABD0F">
                        <w:pPr>
                          <w:spacing w:line="201" w:lineRule="exact"/>
                          <w:rPr>
                            <w:rFonts w:ascii="Arial MT"/>
                            <w:sz w:val="18"/>
                          </w:rPr>
                        </w:pPr>
                        <w:r>
                          <w:rPr>
                            <w:rFonts w:ascii="Arial MT"/>
                            <w:color w:val="212121"/>
                            <w:sz w:val="18"/>
                          </w:rPr>
                          <w:t>1</w:t>
                        </w:r>
                      </w:p>
                    </w:txbxContent>
                  </v:textbox>
                </v:shape>
                <v:shape id="Text Box 134" o:spid="_x0000_s1026" o:spt="202" type="#_x0000_t202" style="position:absolute;left:4461;top:5832;height:202;width:121;" filled="f" stroked="f" coordsize="21600,21600" o:gfxdata="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wL&#10;J+P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B67AF3A">
                        <w:pPr>
                          <w:spacing w:line="201" w:lineRule="exact"/>
                          <w:rPr>
                            <w:rFonts w:ascii="Arial MT"/>
                            <w:sz w:val="18"/>
                          </w:rPr>
                        </w:pPr>
                        <w:r>
                          <w:rPr>
                            <w:rFonts w:ascii="Arial MT"/>
                            <w:color w:val="212121"/>
                            <w:sz w:val="18"/>
                          </w:rPr>
                          <w:t>2</w:t>
                        </w:r>
                      </w:p>
                    </w:txbxContent>
                  </v:textbox>
                </v:shape>
                <v:shape id="Text Box 133" o:spid="_x0000_s1026" o:spt="202" type="#_x0000_t202" style="position:absolute;left:6084;top:5832;height:202;width:121;" filled="f" stroked="f" coordsize="21600,21600" o:gfxdata="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tGLZr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29113A2E">
                        <w:pPr>
                          <w:spacing w:line="201" w:lineRule="exact"/>
                          <w:rPr>
                            <w:rFonts w:ascii="Arial MT"/>
                            <w:sz w:val="18"/>
                          </w:rPr>
                        </w:pPr>
                        <w:r>
                          <w:rPr>
                            <w:rFonts w:ascii="Arial MT"/>
                            <w:color w:val="212121"/>
                            <w:sz w:val="18"/>
                          </w:rPr>
                          <w:t>3</w:t>
                        </w:r>
                      </w:p>
                    </w:txbxContent>
                  </v:textbox>
                </v:shape>
                <v:shape id="Text Box 132" o:spid="_x0000_s1026" o:spt="202" type="#_x0000_t202" style="position:absolute;left:7707;top:5832;height:202;width:121;" filled="f" stroked="f" coordsize="21600,21600" o:gfxdata="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BYRP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85C8B1E">
                        <w:pPr>
                          <w:spacing w:line="201" w:lineRule="exact"/>
                          <w:rPr>
                            <w:rFonts w:ascii="Arial MT"/>
                            <w:sz w:val="18"/>
                          </w:rPr>
                        </w:pPr>
                        <w:r>
                          <w:rPr>
                            <w:rFonts w:ascii="Arial MT"/>
                            <w:color w:val="212121"/>
                            <w:sz w:val="18"/>
                          </w:rPr>
                          <w:t>4</w:t>
                        </w:r>
                      </w:p>
                    </w:txbxContent>
                  </v:textbox>
                </v:shape>
                <v:shape id="Text Box 131" o:spid="_x0000_s1026" o:spt="202" type="#_x0000_t202" style="position:absolute;left:9330;top:5832;height:202;width:121;" filled="f" stroked="f" coordsize="21600,21600" o:gfxdata="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893sGxgAAAOMAAAAPAAAAAAAAAAEAIAAAACIAAABkcnMvZG93bnJldi54bWxQSwECFAAUAAAA&#10;CACHTuJAMy8FnjsAAAA5AAAAEAAAAAAAAAABACAAAAAVAQAAZHJzL3NoYXBleG1sLnhtbFBLBQYA&#10;AAAABgAGAFsBAAC/AwAAAAA=&#10;">
                  <v:fill on="f" focussize="0,0"/>
                  <v:stroke on="f"/>
                  <v:imagedata o:title=""/>
                  <o:lock v:ext="edit" aspectratio="f"/>
                  <v:textbox inset="0mm,0mm,0mm,0mm">
                    <w:txbxContent>
                      <w:p w14:paraId="2856074C">
                        <w:pPr>
                          <w:spacing w:line="201" w:lineRule="exact"/>
                          <w:rPr>
                            <w:rFonts w:ascii="Arial MT"/>
                            <w:sz w:val="18"/>
                          </w:rPr>
                        </w:pPr>
                        <w:r>
                          <w:rPr>
                            <w:rFonts w:ascii="Arial MT"/>
                            <w:color w:val="212121"/>
                            <w:sz w:val="18"/>
                          </w:rPr>
                          <w:t>5</w:t>
                        </w:r>
                      </w:p>
                    </w:txbxContent>
                  </v:textbox>
                </v:shape>
                <v:shape id="Text Box 130" o:spid="_x0000_s1026" o:spt="202" type="#_x0000_t202" style="position:absolute;left:8880;top:3383;height:2340;width:1005;" fillcolor="#663AB6" filled="t" stroked="f" coordsize="21600,21600" o:gfxdata="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7z&#10;c9PCAAAA4g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14:paraId="6EFC4BA2">
                        <w:pPr>
                          <w:spacing w:before="14"/>
                          <w:rPr>
                            <w:rFonts w:ascii="Arial MT"/>
                            <w:sz w:val="18"/>
                          </w:rPr>
                        </w:pPr>
                        <w:r>
                          <w:rPr>
                            <w:rFonts w:ascii="Arial MT"/>
                            <w:color w:val="FFFFFF"/>
                            <w:sz w:val="18"/>
                          </w:rPr>
                          <w:t>70 (93.3%)</w:t>
                        </w:r>
                      </w:p>
                    </w:txbxContent>
                  </v:textbox>
                </v:shape>
              </v:group>
            </w:pict>
          </mc:Fallback>
        </mc:AlternateContent>
      </w:r>
      <w:r>
        <w:rPr>
          <w:rFonts w:ascii="Roboto" w:hAnsi="Roboto" w:eastAsia="Roboto" w:cs="Roboto"/>
          <w:color w:val="ABABAB"/>
          <w:w w:val="95"/>
          <w:szCs w:val="22"/>
        </w:rPr>
        <w:t>Tax</w:t>
      </w:r>
      <w:r>
        <w:rPr>
          <w:rFonts w:ascii="Roboto" w:hAnsi="Roboto" w:eastAsia="Roboto" w:cs="Roboto"/>
          <w:color w:val="ABABAB"/>
          <w:spacing w:val="28"/>
          <w:w w:val="95"/>
          <w:szCs w:val="22"/>
        </w:rPr>
        <w:t xml:space="preserve"> </w:t>
      </w:r>
      <w:r>
        <w:rPr>
          <w:rFonts w:ascii="Roboto" w:hAnsi="Roboto" w:eastAsia="Roboto" w:cs="Roboto"/>
          <w:color w:val="ABABAB"/>
          <w:w w:val="95"/>
          <w:szCs w:val="22"/>
        </w:rPr>
        <w:t>Adjudication</w:t>
      </w:r>
      <w:r>
        <w:rPr>
          <w:rFonts w:ascii="Roboto" w:hAnsi="Roboto" w:eastAsia="Roboto" w:cs="Roboto"/>
          <w:color w:val="ABABAB"/>
          <w:spacing w:val="28"/>
          <w:w w:val="95"/>
          <w:szCs w:val="22"/>
        </w:rPr>
        <w:t xml:space="preserve"> </w:t>
      </w:r>
      <w:r>
        <w:rPr>
          <w:rFonts w:ascii="Roboto" w:hAnsi="Roboto" w:eastAsia="Roboto" w:cs="Roboto"/>
          <w:color w:val="ABABAB"/>
          <w:w w:val="95"/>
          <w:szCs w:val="22"/>
        </w:rPr>
        <w:t>and</w:t>
      </w:r>
      <w:r>
        <w:rPr>
          <w:rFonts w:ascii="Roboto" w:hAnsi="Roboto" w:eastAsia="Roboto" w:cs="Roboto"/>
          <w:color w:val="ABABAB"/>
          <w:spacing w:val="28"/>
          <w:w w:val="95"/>
          <w:szCs w:val="22"/>
        </w:rPr>
        <w:t xml:space="preserve"> </w:t>
      </w:r>
      <w:r>
        <w:rPr>
          <w:rFonts w:ascii="Roboto" w:hAnsi="Roboto" w:eastAsia="Roboto" w:cs="Roboto"/>
          <w:color w:val="ABABAB"/>
          <w:w w:val="95"/>
          <w:szCs w:val="22"/>
        </w:rPr>
        <w:t>Dispute</w:t>
      </w:r>
      <w:r>
        <w:rPr>
          <w:rFonts w:ascii="Roboto" w:hAnsi="Roboto" w:eastAsia="Roboto" w:cs="Roboto"/>
          <w:color w:val="ABABAB"/>
          <w:spacing w:val="28"/>
          <w:w w:val="95"/>
          <w:szCs w:val="22"/>
        </w:rPr>
        <w:t xml:space="preserve"> </w:t>
      </w:r>
      <w:r>
        <w:rPr>
          <w:rFonts w:ascii="Roboto" w:hAnsi="Roboto" w:eastAsia="Roboto" w:cs="Roboto"/>
          <w:color w:val="ABABAB"/>
          <w:w w:val="95"/>
          <w:szCs w:val="22"/>
        </w:rPr>
        <w:t>Resolution</w:t>
      </w:r>
      <w:r>
        <w:rPr>
          <w:rFonts w:ascii="Roboto" w:hAnsi="Roboto" w:eastAsia="Roboto" w:cs="Roboto"/>
          <w:color w:val="ABABAB"/>
          <w:spacing w:val="29"/>
          <w:w w:val="95"/>
          <w:szCs w:val="22"/>
        </w:rPr>
        <w:t xml:space="preserve"> </w:t>
      </w:r>
      <w:r>
        <w:rPr>
          <w:rFonts w:ascii="Roboto" w:hAnsi="Roboto" w:eastAsia="Roboto" w:cs="Roboto"/>
          <w:color w:val="ABABAB"/>
          <w:w w:val="95"/>
          <w:szCs w:val="22"/>
        </w:rPr>
        <w:t>Process.</w:t>
      </w:r>
    </w:p>
    <w:p w14:paraId="0D290EED">
      <w:pPr>
        <w:widowControl w:val="0"/>
        <w:autoSpaceDE w:val="0"/>
        <w:autoSpaceDN w:val="0"/>
        <w:rPr>
          <w:rFonts w:ascii="Roboto" w:hAnsi="Roboto" w:eastAsia="Roboto" w:cs="Roboto"/>
          <w:szCs w:val="22"/>
        </w:rPr>
        <w:sectPr>
          <w:headerReference r:id="rId22" w:type="default"/>
          <w:footerReference r:id="rId23" w:type="default"/>
          <w:pgSz w:w="11900" w:h="16840"/>
          <w:pgMar w:top="480" w:right="1280" w:bottom="1680" w:left="1040" w:header="269" w:footer="1490" w:gutter="0"/>
          <w:cols w:space="720" w:num="1"/>
        </w:sectPr>
      </w:pPr>
    </w:p>
    <w:p w14:paraId="7B2E6044">
      <w:pPr>
        <w:widowControl w:val="0"/>
        <w:autoSpaceDE w:val="0"/>
        <w:autoSpaceDN w:val="0"/>
        <w:spacing w:before="10"/>
        <w:rPr>
          <w:rFonts w:ascii="Roboto" w:hAnsi="Roboto" w:eastAsia="Roboto" w:cs="Roboto"/>
          <w:sz w:val="11"/>
          <w:szCs w:val="21"/>
        </w:rPr>
      </w:pPr>
    </w:p>
    <w:p w14:paraId="3D3001CF">
      <w:pPr>
        <w:widowControl w:val="0"/>
        <w:autoSpaceDE w:val="0"/>
        <w:autoSpaceDN w:val="0"/>
        <w:rPr>
          <w:rFonts w:ascii="Roboto" w:hAnsi="Roboto" w:eastAsia="Roboto" w:cs="Roboto"/>
          <w:sz w:val="11"/>
          <w:szCs w:val="22"/>
        </w:rPr>
        <w:sectPr>
          <w:pgSz w:w="11900" w:h="16840"/>
          <w:pgMar w:top="480" w:right="1280" w:bottom="1680" w:left="1040" w:header="269" w:footer="1490" w:gutter="0"/>
          <w:cols w:space="720" w:num="1"/>
        </w:sectPr>
      </w:pPr>
    </w:p>
    <w:p w14:paraId="75C2300C">
      <w:pPr>
        <w:widowControl w:val="0"/>
        <w:numPr>
          <w:ilvl w:val="0"/>
          <w:numId w:val="47"/>
        </w:numPr>
        <w:tabs>
          <w:tab w:val="left" w:pos="527"/>
        </w:tabs>
        <w:autoSpaceDE w:val="0"/>
        <w:autoSpaceDN w:val="0"/>
        <w:spacing w:before="94" w:line="300" w:lineRule="auto"/>
        <w:ind w:right="38" w:firstLine="0"/>
        <w:jc w:val="both"/>
        <w:rPr>
          <w:rFonts w:eastAsia="Roboto"/>
          <w:szCs w:val="22"/>
        </w:rPr>
      </w:pPr>
      <w:r>
        <mc:AlternateContent>
          <mc:Choice Requires="wpg">
            <w:drawing>
              <wp:anchor distT="0" distB="0" distL="114300" distR="114300" simplePos="0" relativeHeight="251722752" behindDoc="1" locked="0" layoutInCell="1" allowOverlap="1">
                <wp:simplePos x="0" y="0"/>
                <wp:positionH relativeFrom="page">
                  <wp:posOffset>733425</wp:posOffset>
                </wp:positionH>
                <wp:positionV relativeFrom="paragraph">
                  <wp:posOffset>-43180</wp:posOffset>
                </wp:positionV>
                <wp:extent cx="6096000" cy="7277100"/>
                <wp:effectExtent l="9525" t="8890" r="0" b="635"/>
                <wp:wrapNone/>
                <wp:docPr id="1592335240" name="Group 111"/>
                <wp:cNvGraphicFramePr/>
                <a:graphic xmlns:a="http://schemas.openxmlformats.org/drawingml/2006/main">
                  <a:graphicData uri="http://schemas.microsoft.com/office/word/2010/wordprocessingGroup">
                    <wpg:wgp>
                      <wpg:cNvGrpSpPr/>
                      <wpg:grpSpPr>
                        <a:xfrm>
                          <a:off x="0" y="0"/>
                          <a:ext cx="6096000" cy="7277100"/>
                          <a:chOff x="1155" y="-68"/>
                          <a:chExt cx="9600" cy="11460"/>
                        </a:xfrm>
                        <a:effectLst/>
                      </wpg:grpSpPr>
                      <wps:wsp>
                        <wps:cNvPr id="576658600" name="AutoShape 128"/>
                        <wps:cNvSpPr/>
                        <wps:spPr bwMode="auto">
                          <a:xfrm>
                            <a:off x="1162" y="-61"/>
                            <a:ext cx="9585" cy="11445"/>
                          </a:xfrm>
                          <a:custGeom>
                            <a:avLst/>
                            <a:gdLst>
                              <a:gd name="T0" fmla="*/ 1 w 9585"/>
                              <a:gd name="T1" fmla="*/ 37 h 11445"/>
                              <a:gd name="T2" fmla="*/ 9 w 9585"/>
                              <a:gd name="T3" fmla="*/ 9 h 11445"/>
                              <a:gd name="T4" fmla="*/ 24 w 9585"/>
                              <a:gd name="T5" fmla="*/ -17 h 11445"/>
                              <a:gd name="T6" fmla="*/ 44 w 9585"/>
                              <a:gd name="T7" fmla="*/ -37 h 11445"/>
                              <a:gd name="T8" fmla="*/ 70 w 9585"/>
                              <a:gd name="T9" fmla="*/ -52 h 11445"/>
                              <a:gd name="T10" fmla="*/ 98 w 9585"/>
                              <a:gd name="T11" fmla="*/ -60 h 11445"/>
                              <a:gd name="T12" fmla="*/ 9480 w 9585"/>
                              <a:gd name="T13" fmla="*/ -60 h 11445"/>
                              <a:gd name="T14" fmla="*/ 9509 w 9585"/>
                              <a:gd name="T15" fmla="*/ -55 h 11445"/>
                              <a:gd name="T16" fmla="*/ 9535 w 9585"/>
                              <a:gd name="T17" fmla="*/ -42 h 11445"/>
                              <a:gd name="T18" fmla="*/ 9558 w 9585"/>
                              <a:gd name="T19" fmla="*/ -22 h 11445"/>
                              <a:gd name="T20" fmla="*/ 9574 w 9585"/>
                              <a:gd name="T21" fmla="*/ 2 h 11445"/>
                              <a:gd name="T22" fmla="*/ 9583 w 9585"/>
                              <a:gd name="T23" fmla="*/ 30 h 11445"/>
                              <a:gd name="T24" fmla="*/ 9585 w 9585"/>
                              <a:gd name="T25" fmla="*/ 5722 h 11445"/>
                              <a:gd name="T26" fmla="*/ 9582 w 9585"/>
                              <a:gd name="T27" fmla="*/ 5751 h 11445"/>
                              <a:gd name="T28" fmla="*/ 9571 w 9585"/>
                              <a:gd name="T29" fmla="*/ 5778 h 11445"/>
                              <a:gd name="T30" fmla="*/ 9553 w 9585"/>
                              <a:gd name="T31" fmla="*/ 5802 h 11445"/>
                              <a:gd name="T32" fmla="*/ 9529 w 9585"/>
                              <a:gd name="T33" fmla="*/ 5820 h 11445"/>
                              <a:gd name="T34" fmla="*/ 9502 w 9585"/>
                              <a:gd name="T35" fmla="*/ 5831 h 11445"/>
                              <a:gd name="T36" fmla="*/ 9473 w 9585"/>
                              <a:gd name="T37" fmla="*/ 5835 h 11445"/>
                              <a:gd name="T38" fmla="*/ 91 w 9585"/>
                              <a:gd name="T39" fmla="*/ 5832 h 11445"/>
                              <a:gd name="T40" fmla="*/ 63 w 9585"/>
                              <a:gd name="T41" fmla="*/ 5823 h 11445"/>
                              <a:gd name="T42" fmla="*/ 39 w 9585"/>
                              <a:gd name="T43" fmla="*/ 5807 h 11445"/>
                              <a:gd name="T44" fmla="*/ 19 w 9585"/>
                              <a:gd name="T45" fmla="*/ 5785 h 11445"/>
                              <a:gd name="T46" fmla="*/ 6 w 9585"/>
                              <a:gd name="T47" fmla="*/ 5758 h 11445"/>
                              <a:gd name="T48" fmla="*/ 0 w 9585"/>
                              <a:gd name="T49" fmla="*/ 5729 h 11445"/>
                              <a:gd name="T50" fmla="*/ 0 w 9585"/>
                              <a:gd name="T51" fmla="*/ 5955 h 11445"/>
                              <a:gd name="T52" fmla="*/ 6 w 9585"/>
                              <a:gd name="T53" fmla="*/ 5926 h 11445"/>
                              <a:gd name="T54" fmla="*/ 19 w 9585"/>
                              <a:gd name="T55" fmla="*/ 5900 h 11445"/>
                              <a:gd name="T56" fmla="*/ 39 w 9585"/>
                              <a:gd name="T57" fmla="*/ 5877 h 11445"/>
                              <a:gd name="T58" fmla="*/ 63 w 9585"/>
                              <a:gd name="T59" fmla="*/ 5861 h 11445"/>
                              <a:gd name="T60" fmla="*/ 91 w 9585"/>
                              <a:gd name="T61" fmla="*/ 5852 h 11445"/>
                              <a:gd name="T62" fmla="*/ 9473 w 9585"/>
                              <a:gd name="T63" fmla="*/ 5850 h 11445"/>
                              <a:gd name="T64" fmla="*/ 9502 w 9585"/>
                              <a:gd name="T65" fmla="*/ 5853 h 11445"/>
                              <a:gd name="T66" fmla="*/ 9529 w 9585"/>
                              <a:gd name="T67" fmla="*/ 5864 h 11445"/>
                              <a:gd name="T68" fmla="*/ 9553 w 9585"/>
                              <a:gd name="T69" fmla="*/ 5882 h 11445"/>
                              <a:gd name="T70" fmla="*/ 9571 w 9585"/>
                              <a:gd name="T71" fmla="*/ 5906 h 11445"/>
                              <a:gd name="T72" fmla="*/ 9582 w 9585"/>
                              <a:gd name="T73" fmla="*/ 5933 h 11445"/>
                              <a:gd name="T74" fmla="*/ 9585 w 9585"/>
                              <a:gd name="T75" fmla="*/ 5962 h 11445"/>
                              <a:gd name="T76" fmla="*/ 9583 w 9585"/>
                              <a:gd name="T77" fmla="*/ 11294 h 11445"/>
                              <a:gd name="T78" fmla="*/ 9574 w 9585"/>
                              <a:gd name="T79" fmla="*/ 11322 h 11445"/>
                              <a:gd name="T80" fmla="*/ 9558 w 9585"/>
                              <a:gd name="T81" fmla="*/ 11346 h 11445"/>
                              <a:gd name="T82" fmla="*/ 9535 w 9585"/>
                              <a:gd name="T83" fmla="*/ 11366 h 11445"/>
                              <a:gd name="T84" fmla="*/ 9509 w 9585"/>
                              <a:gd name="T85" fmla="*/ 11379 h 11445"/>
                              <a:gd name="T86" fmla="*/ 9480 w 9585"/>
                              <a:gd name="T87" fmla="*/ 11385 h 11445"/>
                              <a:gd name="T88" fmla="*/ 98 w 9585"/>
                              <a:gd name="T89" fmla="*/ 11384 h 11445"/>
                              <a:gd name="T90" fmla="*/ 70 w 9585"/>
                              <a:gd name="T91" fmla="*/ 11376 h 11445"/>
                              <a:gd name="T92" fmla="*/ 44 w 9585"/>
                              <a:gd name="T93" fmla="*/ 11361 h 11445"/>
                              <a:gd name="T94" fmla="*/ 24 w 9585"/>
                              <a:gd name="T95" fmla="*/ 11341 h 11445"/>
                              <a:gd name="T96" fmla="*/ 9 w 9585"/>
                              <a:gd name="T97" fmla="*/ 11315 h 11445"/>
                              <a:gd name="T98" fmla="*/ 1 w 9585"/>
                              <a:gd name="T99" fmla="*/ 11287 h 1144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585" h="11445">
                                <a:moveTo>
                                  <a:pt x="0" y="5782"/>
                                </a:moveTo>
                                <a:lnTo>
                                  <a:pt x="0" y="112"/>
                                </a:lnTo>
                                <a:lnTo>
                                  <a:pt x="0" y="105"/>
                                </a:lnTo>
                                <a:lnTo>
                                  <a:pt x="1" y="97"/>
                                </a:lnTo>
                                <a:lnTo>
                                  <a:pt x="3" y="90"/>
                                </a:lnTo>
                                <a:lnTo>
                                  <a:pt x="4" y="83"/>
                                </a:lnTo>
                                <a:lnTo>
                                  <a:pt x="6" y="76"/>
                                </a:lnTo>
                                <a:lnTo>
                                  <a:pt x="9" y="69"/>
                                </a:lnTo>
                                <a:lnTo>
                                  <a:pt x="12" y="62"/>
                                </a:lnTo>
                                <a:lnTo>
                                  <a:pt x="15" y="56"/>
                                </a:lnTo>
                                <a:lnTo>
                                  <a:pt x="19" y="50"/>
                                </a:lnTo>
                                <a:lnTo>
                                  <a:pt x="24" y="43"/>
                                </a:lnTo>
                                <a:lnTo>
                                  <a:pt x="28" y="38"/>
                                </a:lnTo>
                                <a:lnTo>
                                  <a:pt x="33" y="32"/>
                                </a:lnTo>
                                <a:lnTo>
                                  <a:pt x="39" y="27"/>
                                </a:lnTo>
                                <a:lnTo>
                                  <a:pt x="44" y="23"/>
                                </a:lnTo>
                                <a:lnTo>
                                  <a:pt x="50" y="18"/>
                                </a:lnTo>
                                <a:lnTo>
                                  <a:pt x="57" y="14"/>
                                </a:lnTo>
                                <a:lnTo>
                                  <a:pt x="63" y="11"/>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8"/>
                                </a:lnTo>
                                <a:lnTo>
                                  <a:pt x="9542" y="23"/>
                                </a:lnTo>
                                <a:lnTo>
                                  <a:pt x="9547" y="27"/>
                                </a:lnTo>
                                <a:lnTo>
                                  <a:pt x="9553" y="32"/>
                                </a:lnTo>
                                <a:lnTo>
                                  <a:pt x="9558" y="38"/>
                                </a:lnTo>
                                <a:lnTo>
                                  <a:pt x="9562" y="43"/>
                                </a:lnTo>
                                <a:lnTo>
                                  <a:pt x="9567" y="49"/>
                                </a:lnTo>
                                <a:lnTo>
                                  <a:pt x="9571" y="56"/>
                                </a:lnTo>
                                <a:lnTo>
                                  <a:pt x="9574" y="62"/>
                                </a:lnTo>
                                <a:lnTo>
                                  <a:pt x="9577" y="69"/>
                                </a:lnTo>
                                <a:lnTo>
                                  <a:pt x="9580" y="76"/>
                                </a:lnTo>
                                <a:lnTo>
                                  <a:pt x="9582" y="83"/>
                                </a:lnTo>
                                <a:lnTo>
                                  <a:pt x="9583" y="90"/>
                                </a:lnTo>
                                <a:lnTo>
                                  <a:pt x="9585" y="97"/>
                                </a:lnTo>
                                <a:lnTo>
                                  <a:pt x="9585" y="105"/>
                                </a:lnTo>
                                <a:lnTo>
                                  <a:pt x="9585" y="112"/>
                                </a:lnTo>
                                <a:lnTo>
                                  <a:pt x="9585" y="5782"/>
                                </a:lnTo>
                                <a:lnTo>
                                  <a:pt x="9585" y="5789"/>
                                </a:lnTo>
                                <a:lnTo>
                                  <a:pt x="9585" y="5797"/>
                                </a:lnTo>
                                <a:lnTo>
                                  <a:pt x="9583" y="5804"/>
                                </a:lnTo>
                                <a:lnTo>
                                  <a:pt x="9582" y="5811"/>
                                </a:lnTo>
                                <a:lnTo>
                                  <a:pt x="9580" y="5818"/>
                                </a:lnTo>
                                <a:lnTo>
                                  <a:pt x="9577" y="5825"/>
                                </a:lnTo>
                                <a:lnTo>
                                  <a:pt x="9574" y="5832"/>
                                </a:lnTo>
                                <a:lnTo>
                                  <a:pt x="9571" y="5838"/>
                                </a:lnTo>
                                <a:lnTo>
                                  <a:pt x="9567" y="5845"/>
                                </a:lnTo>
                                <a:lnTo>
                                  <a:pt x="9562" y="5851"/>
                                </a:lnTo>
                                <a:lnTo>
                                  <a:pt x="9558" y="5856"/>
                                </a:lnTo>
                                <a:lnTo>
                                  <a:pt x="9553" y="5862"/>
                                </a:lnTo>
                                <a:lnTo>
                                  <a:pt x="9547" y="5867"/>
                                </a:lnTo>
                                <a:lnTo>
                                  <a:pt x="9542" y="5871"/>
                                </a:lnTo>
                                <a:lnTo>
                                  <a:pt x="9535" y="5876"/>
                                </a:lnTo>
                                <a:lnTo>
                                  <a:pt x="9529" y="5880"/>
                                </a:lnTo>
                                <a:lnTo>
                                  <a:pt x="9523" y="5883"/>
                                </a:lnTo>
                                <a:lnTo>
                                  <a:pt x="9516" y="5886"/>
                                </a:lnTo>
                                <a:lnTo>
                                  <a:pt x="9509" y="5889"/>
                                </a:lnTo>
                                <a:lnTo>
                                  <a:pt x="9502" y="5891"/>
                                </a:lnTo>
                                <a:lnTo>
                                  <a:pt x="9495" y="5892"/>
                                </a:lnTo>
                                <a:lnTo>
                                  <a:pt x="9488" y="5894"/>
                                </a:lnTo>
                                <a:lnTo>
                                  <a:pt x="9480" y="5895"/>
                                </a:lnTo>
                                <a:lnTo>
                                  <a:pt x="9473" y="5895"/>
                                </a:lnTo>
                                <a:lnTo>
                                  <a:pt x="113" y="5895"/>
                                </a:lnTo>
                                <a:lnTo>
                                  <a:pt x="106" y="5895"/>
                                </a:lnTo>
                                <a:lnTo>
                                  <a:pt x="98" y="5894"/>
                                </a:lnTo>
                                <a:lnTo>
                                  <a:pt x="91" y="5892"/>
                                </a:lnTo>
                                <a:lnTo>
                                  <a:pt x="84" y="5891"/>
                                </a:lnTo>
                                <a:lnTo>
                                  <a:pt x="77" y="5889"/>
                                </a:lnTo>
                                <a:lnTo>
                                  <a:pt x="70" y="5886"/>
                                </a:lnTo>
                                <a:lnTo>
                                  <a:pt x="63" y="5883"/>
                                </a:lnTo>
                                <a:lnTo>
                                  <a:pt x="57" y="5880"/>
                                </a:lnTo>
                                <a:lnTo>
                                  <a:pt x="50" y="5876"/>
                                </a:lnTo>
                                <a:lnTo>
                                  <a:pt x="44" y="5871"/>
                                </a:lnTo>
                                <a:lnTo>
                                  <a:pt x="39" y="5867"/>
                                </a:lnTo>
                                <a:lnTo>
                                  <a:pt x="33" y="5862"/>
                                </a:lnTo>
                                <a:lnTo>
                                  <a:pt x="28" y="5856"/>
                                </a:lnTo>
                                <a:lnTo>
                                  <a:pt x="24" y="5851"/>
                                </a:lnTo>
                                <a:lnTo>
                                  <a:pt x="19" y="5845"/>
                                </a:lnTo>
                                <a:lnTo>
                                  <a:pt x="15" y="5838"/>
                                </a:lnTo>
                                <a:lnTo>
                                  <a:pt x="12" y="5832"/>
                                </a:lnTo>
                                <a:lnTo>
                                  <a:pt x="9" y="5825"/>
                                </a:lnTo>
                                <a:lnTo>
                                  <a:pt x="6" y="5818"/>
                                </a:lnTo>
                                <a:lnTo>
                                  <a:pt x="4" y="5811"/>
                                </a:lnTo>
                                <a:lnTo>
                                  <a:pt x="3" y="5804"/>
                                </a:lnTo>
                                <a:lnTo>
                                  <a:pt x="1" y="5797"/>
                                </a:lnTo>
                                <a:lnTo>
                                  <a:pt x="0" y="5789"/>
                                </a:lnTo>
                                <a:lnTo>
                                  <a:pt x="0" y="5782"/>
                                </a:lnTo>
                                <a:close/>
                                <a:moveTo>
                                  <a:pt x="0" y="11332"/>
                                </a:moveTo>
                                <a:lnTo>
                                  <a:pt x="0" y="6022"/>
                                </a:lnTo>
                                <a:lnTo>
                                  <a:pt x="0" y="6015"/>
                                </a:lnTo>
                                <a:lnTo>
                                  <a:pt x="1" y="6007"/>
                                </a:lnTo>
                                <a:lnTo>
                                  <a:pt x="3" y="6000"/>
                                </a:lnTo>
                                <a:lnTo>
                                  <a:pt x="4" y="5993"/>
                                </a:lnTo>
                                <a:lnTo>
                                  <a:pt x="6" y="5986"/>
                                </a:lnTo>
                                <a:lnTo>
                                  <a:pt x="9" y="5979"/>
                                </a:lnTo>
                                <a:lnTo>
                                  <a:pt x="12" y="5972"/>
                                </a:lnTo>
                                <a:lnTo>
                                  <a:pt x="15" y="5966"/>
                                </a:lnTo>
                                <a:lnTo>
                                  <a:pt x="19" y="5960"/>
                                </a:lnTo>
                                <a:lnTo>
                                  <a:pt x="24" y="5953"/>
                                </a:lnTo>
                                <a:lnTo>
                                  <a:pt x="28" y="5948"/>
                                </a:lnTo>
                                <a:lnTo>
                                  <a:pt x="33" y="5942"/>
                                </a:lnTo>
                                <a:lnTo>
                                  <a:pt x="39" y="5937"/>
                                </a:lnTo>
                                <a:lnTo>
                                  <a:pt x="44" y="5933"/>
                                </a:lnTo>
                                <a:lnTo>
                                  <a:pt x="50" y="5928"/>
                                </a:lnTo>
                                <a:lnTo>
                                  <a:pt x="57" y="5924"/>
                                </a:lnTo>
                                <a:lnTo>
                                  <a:pt x="63" y="5921"/>
                                </a:lnTo>
                                <a:lnTo>
                                  <a:pt x="70" y="5918"/>
                                </a:lnTo>
                                <a:lnTo>
                                  <a:pt x="77" y="5915"/>
                                </a:lnTo>
                                <a:lnTo>
                                  <a:pt x="84" y="5913"/>
                                </a:lnTo>
                                <a:lnTo>
                                  <a:pt x="91" y="5912"/>
                                </a:lnTo>
                                <a:lnTo>
                                  <a:pt x="98" y="5910"/>
                                </a:lnTo>
                                <a:lnTo>
                                  <a:pt x="106" y="5910"/>
                                </a:lnTo>
                                <a:lnTo>
                                  <a:pt x="113" y="5910"/>
                                </a:lnTo>
                                <a:lnTo>
                                  <a:pt x="9473" y="5910"/>
                                </a:lnTo>
                                <a:lnTo>
                                  <a:pt x="9480" y="5910"/>
                                </a:lnTo>
                                <a:lnTo>
                                  <a:pt x="9488" y="5910"/>
                                </a:lnTo>
                                <a:lnTo>
                                  <a:pt x="9495" y="5912"/>
                                </a:lnTo>
                                <a:lnTo>
                                  <a:pt x="9502" y="5913"/>
                                </a:lnTo>
                                <a:lnTo>
                                  <a:pt x="9509" y="5915"/>
                                </a:lnTo>
                                <a:lnTo>
                                  <a:pt x="9516" y="5918"/>
                                </a:lnTo>
                                <a:lnTo>
                                  <a:pt x="9523" y="5921"/>
                                </a:lnTo>
                                <a:lnTo>
                                  <a:pt x="9529" y="5924"/>
                                </a:lnTo>
                                <a:lnTo>
                                  <a:pt x="9535" y="5928"/>
                                </a:lnTo>
                                <a:lnTo>
                                  <a:pt x="9542" y="5933"/>
                                </a:lnTo>
                                <a:lnTo>
                                  <a:pt x="9547" y="5937"/>
                                </a:lnTo>
                                <a:lnTo>
                                  <a:pt x="9553" y="5942"/>
                                </a:lnTo>
                                <a:lnTo>
                                  <a:pt x="9558" y="5948"/>
                                </a:lnTo>
                                <a:lnTo>
                                  <a:pt x="9562" y="5953"/>
                                </a:lnTo>
                                <a:lnTo>
                                  <a:pt x="9567" y="5960"/>
                                </a:lnTo>
                                <a:lnTo>
                                  <a:pt x="9571" y="5966"/>
                                </a:lnTo>
                                <a:lnTo>
                                  <a:pt x="9574" y="5972"/>
                                </a:lnTo>
                                <a:lnTo>
                                  <a:pt x="9577" y="5979"/>
                                </a:lnTo>
                                <a:lnTo>
                                  <a:pt x="9580" y="5986"/>
                                </a:lnTo>
                                <a:lnTo>
                                  <a:pt x="9582" y="5993"/>
                                </a:lnTo>
                                <a:lnTo>
                                  <a:pt x="9583" y="6000"/>
                                </a:lnTo>
                                <a:lnTo>
                                  <a:pt x="9585" y="6007"/>
                                </a:lnTo>
                                <a:lnTo>
                                  <a:pt x="9585" y="6015"/>
                                </a:lnTo>
                                <a:lnTo>
                                  <a:pt x="9585" y="6022"/>
                                </a:lnTo>
                                <a:lnTo>
                                  <a:pt x="9585" y="11332"/>
                                </a:lnTo>
                                <a:lnTo>
                                  <a:pt x="9585" y="11339"/>
                                </a:lnTo>
                                <a:lnTo>
                                  <a:pt x="9585" y="11347"/>
                                </a:lnTo>
                                <a:lnTo>
                                  <a:pt x="9583" y="11354"/>
                                </a:lnTo>
                                <a:lnTo>
                                  <a:pt x="9582" y="11361"/>
                                </a:lnTo>
                                <a:lnTo>
                                  <a:pt x="9580" y="11368"/>
                                </a:lnTo>
                                <a:lnTo>
                                  <a:pt x="9577" y="11375"/>
                                </a:lnTo>
                                <a:lnTo>
                                  <a:pt x="9574" y="11382"/>
                                </a:lnTo>
                                <a:lnTo>
                                  <a:pt x="9571" y="11388"/>
                                </a:lnTo>
                                <a:lnTo>
                                  <a:pt x="9567" y="11395"/>
                                </a:lnTo>
                                <a:lnTo>
                                  <a:pt x="9562" y="11401"/>
                                </a:lnTo>
                                <a:lnTo>
                                  <a:pt x="9558" y="11406"/>
                                </a:lnTo>
                                <a:lnTo>
                                  <a:pt x="9553" y="11412"/>
                                </a:lnTo>
                                <a:lnTo>
                                  <a:pt x="9547" y="11417"/>
                                </a:lnTo>
                                <a:lnTo>
                                  <a:pt x="9542" y="11421"/>
                                </a:lnTo>
                                <a:lnTo>
                                  <a:pt x="9535" y="11426"/>
                                </a:lnTo>
                                <a:lnTo>
                                  <a:pt x="9529" y="11430"/>
                                </a:lnTo>
                                <a:lnTo>
                                  <a:pt x="9523" y="11433"/>
                                </a:lnTo>
                                <a:lnTo>
                                  <a:pt x="9516" y="11436"/>
                                </a:lnTo>
                                <a:lnTo>
                                  <a:pt x="9509" y="11439"/>
                                </a:lnTo>
                                <a:lnTo>
                                  <a:pt x="9502" y="11441"/>
                                </a:lnTo>
                                <a:lnTo>
                                  <a:pt x="9495" y="11442"/>
                                </a:lnTo>
                                <a:lnTo>
                                  <a:pt x="9488" y="11444"/>
                                </a:lnTo>
                                <a:lnTo>
                                  <a:pt x="9480" y="11445"/>
                                </a:lnTo>
                                <a:lnTo>
                                  <a:pt x="9473" y="11445"/>
                                </a:lnTo>
                                <a:lnTo>
                                  <a:pt x="113" y="11445"/>
                                </a:lnTo>
                                <a:lnTo>
                                  <a:pt x="106" y="11445"/>
                                </a:lnTo>
                                <a:lnTo>
                                  <a:pt x="98" y="11444"/>
                                </a:lnTo>
                                <a:lnTo>
                                  <a:pt x="91" y="11442"/>
                                </a:lnTo>
                                <a:lnTo>
                                  <a:pt x="84" y="11441"/>
                                </a:lnTo>
                                <a:lnTo>
                                  <a:pt x="77" y="11439"/>
                                </a:lnTo>
                                <a:lnTo>
                                  <a:pt x="70" y="11436"/>
                                </a:lnTo>
                                <a:lnTo>
                                  <a:pt x="63" y="11433"/>
                                </a:lnTo>
                                <a:lnTo>
                                  <a:pt x="57" y="11430"/>
                                </a:lnTo>
                                <a:lnTo>
                                  <a:pt x="50" y="11426"/>
                                </a:lnTo>
                                <a:lnTo>
                                  <a:pt x="44" y="11421"/>
                                </a:lnTo>
                                <a:lnTo>
                                  <a:pt x="39" y="11417"/>
                                </a:lnTo>
                                <a:lnTo>
                                  <a:pt x="33" y="11412"/>
                                </a:lnTo>
                                <a:lnTo>
                                  <a:pt x="28" y="11406"/>
                                </a:lnTo>
                                <a:lnTo>
                                  <a:pt x="24" y="11401"/>
                                </a:lnTo>
                                <a:lnTo>
                                  <a:pt x="19" y="11394"/>
                                </a:lnTo>
                                <a:lnTo>
                                  <a:pt x="15" y="11388"/>
                                </a:lnTo>
                                <a:lnTo>
                                  <a:pt x="12" y="11382"/>
                                </a:lnTo>
                                <a:lnTo>
                                  <a:pt x="9" y="11375"/>
                                </a:lnTo>
                                <a:lnTo>
                                  <a:pt x="6" y="11368"/>
                                </a:lnTo>
                                <a:lnTo>
                                  <a:pt x="4" y="11361"/>
                                </a:lnTo>
                                <a:lnTo>
                                  <a:pt x="3" y="11354"/>
                                </a:lnTo>
                                <a:lnTo>
                                  <a:pt x="1" y="11347"/>
                                </a:lnTo>
                                <a:lnTo>
                                  <a:pt x="0" y="11339"/>
                                </a:lnTo>
                                <a:lnTo>
                                  <a:pt x="0" y="11332"/>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438428108" name="Picture 1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7"/>
                            <a:ext cx="255" cy="300"/>
                          </a:xfrm>
                          <a:prstGeom prst="rect">
                            <a:avLst/>
                          </a:prstGeom>
                          <a:noFill/>
                          <a:ln>
                            <a:noFill/>
                          </a:ln>
                          <a:effectLst/>
                        </pic:spPr>
                      </pic:pic>
                      <wps:wsp>
                        <wps:cNvPr id="932101121" name="Rectangle 126"/>
                        <wps:cNvSpPr>
                          <a:spLocks noChangeArrowheads="1"/>
                        </wps:cNvSpPr>
                        <wps:spPr bwMode="auto">
                          <a:xfrm>
                            <a:off x="2070" y="237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668661530" name="AutoShape 125"/>
                        <wps:cNvSpPr/>
                        <wps:spPr bwMode="auto">
                          <a:xfrm>
                            <a:off x="2069" y="2377"/>
                            <a:ext cx="8130" cy="2700"/>
                          </a:xfrm>
                          <a:custGeom>
                            <a:avLst/>
                            <a:gdLst>
                              <a:gd name="T0" fmla="*/ 6810 w 8130"/>
                              <a:gd name="T1" fmla="*/ 4387 h 2700"/>
                              <a:gd name="T2" fmla="*/ 0 w 8130"/>
                              <a:gd name="T3" fmla="*/ 4387 h 2700"/>
                              <a:gd name="T4" fmla="*/ 0 w 8130"/>
                              <a:gd name="T5" fmla="*/ 4402 h 2700"/>
                              <a:gd name="T6" fmla="*/ 6810 w 8130"/>
                              <a:gd name="T7" fmla="*/ 4402 h 2700"/>
                              <a:gd name="T8" fmla="*/ 6810 w 8130"/>
                              <a:gd name="T9" fmla="*/ 4387 h 2700"/>
                              <a:gd name="T10" fmla="*/ 6810 w 8130"/>
                              <a:gd name="T11" fmla="*/ 3727 h 2700"/>
                              <a:gd name="T12" fmla="*/ 0 w 8130"/>
                              <a:gd name="T13" fmla="*/ 3727 h 2700"/>
                              <a:gd name="T14" fmla="*/ 0 w 8130"/>
                              <a:gd name="T15" fmla="*/ 3742 h 2700"/>
                              <a:gd name="T16" fmla="*/ 6810 w 8130"/>
                              <a:gd name="T17" fmla="*/ 3742 h 2700"/>
                              <a:gd name="T18" fmla="*/ 6810 w 8130"/>
                              <a:gd name="T19" fmla="*/ 3727 h 2700"/>
                              <a:gd name="T20" fmla="*/ 6810 w 8130"/>
                              <a:gd name="T21" fmla="*/ 3052 h 2700"/>
                              <a:gd name="T22" fmla="*/ 0 w 8130"/>
                              <a:gd name="T23" fmla="*/ 3052 h 2700"/>
                              <a:gd name="T24" fmla="*/ 0 w 8130"/>
                              <a:gd name="T25" fmla="*/ 3067 h 2700"/>
                              <a:gd name="T26" fmla="*/ 6810 w 8130"/>
                              <a:gd name="T27" fmla="*/ 3067 h 2700"/>
                              <a:gd name="T28" fmla="*/ 6810 w 8130"/>
                              <a:gd name="T29" fmla="*/ 3052 h 2700"/>
                              <a:gd name="T30" fmla="*/ 8130 w 8130"/>
                              <a:gd name="T31" fmla="*/ 5062 h 2700"/>
                              <a:gd name="T32" fmla="*/ 0 w 8130"/>
                              <a:gd name="T33" fmla="*/ 5062 h 2700"/>
                              <a:gd name="T34" fmla="*/ 0 w 8130"/>
                              <a:gd name="T35" fmla="*/ 5077 h 2700"/>
                              <a:gd name="T36" fmla="*/ 8130 w 8130"/>
                              <a:gd name="T37" fmla="*/ 5077 h 2700"/>
                              <a:gd name="T38" fmla="*/ 8130 w 8130"/>
                              <a:gd name="T39" fmla="*/ 5062 h 2700"/>
                              <a:gd name="T40" fmla="*/ 8130 w 8130"/>
                              <a:gd name="T41" fmla="*/ 4387 h 2700"/>
                              <a:gd name="T42" fmla="*/ 7815 w 8130"/>
                              <a:gd name="T43" fmla="*/ 4387 h 2700"/>
                              <a:gd name="T44" fmla="*/ 7815 w 8130"/>
                              <a:gd name="T45" fmla="*/ 4402 h 2700"/>
                              <a:gd name="T46" fmla="*/ 8130 w 8130"/>
                              <a:gd name="T47" fmla="*/ 4402 h 2700"/>
                              <a:gd name="T48" fmla="*/ 8130 w 8130"/>
                              <a:gd name="T49" fmla="*/ 4387 h 2700"/>
                              <a:gd name="T50" fmla="*/ 8130 w 8130"/>
                              <a:gd name="T51" fmla="*/ 3727 h 2700"/>
                              <a:gd name="T52" fmla="*/ 7815 w 8130"/>
                              <a:gd name="T53" fmla="*/ 3727 h 2700"/>
                              <a:gd name="T54" fmla="*/ 7815 w 8130"/>
                              <a:gd name="T55" fmla="*/ 3742 h 2700"/>
                              <a:gd name="T56" fmla="*/ 8130 w 8130"/>
                              <a:gd name="T57" fmla="*/ 3742 h 2700"/>
                              <a:gd name="T58" fmla="*/ 8130 w 8130"/>
                              <a:gd name="T59" fmla="*/ 3727 h 2700"/>
                              <a:gd name="T60" fmla="*/ 8130 w 8130"/>
                              <a:gd name="T61" fmla="*/ 3052 h 2700"/>
                              <a:gd name="T62" fmla="*/ 7815 w 8130"/>
                              <a:gd name="T63" fmla="*/ 3052 h 2700"/>
                              <a:gd name="T64" fmla="*/ 7815 w 8130"/>
                              <a:gd name="T65" fmla="*/ 3067 h 2700"/>
                              <a:gd name="T66" fmla="*/ 8130 w 8130"/>
                              <a:gd name="T67" fmla="*/ 3067 h 2700"/>
                              <a:gd name="T68" fmla="*/ 8130 w 8130"/>
                              <a:gd name="T69" fmla="*/ 3052 h 2700"/>
                              <a:gd name="T70" fmla="*/ 8130 w 8130"/>
                              <a:gd name="T71" fmla="*/ 2377 h 2700"/>
                              <a:gd name="T72" fmla="*/ 0 w 8130"/>
                              <a:gd name="T73" fmla="*/ 2377 h 2700"/>
                              <a:gd name="T74" fmla="*/ 0 w 8130"/>
                              <a:gd name="T75" fmla="*/ 2392 h 2700"/>
                              <a:gd name="T76" fmla="*/ 8130 w 8130"/>
                              <a:gd name="T77" fmla="*/ 2392 h 2700"/>
                              <a:gd name="T78" fmla="*/ 8130 w 8130"/>
                              <a:gd name="T79" fmla="*/ 2377 h 27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30" h="2700">
                                <a:moveTo>
                                  <a:pt x="6810" y="2010"/>
                                </a:moveTo>
                                <a:lnTo>
                                  <a:pt x="0" y="2010"/>
                                </a:lnTo>
                                <a:lnTo>
                                  <a:pt x="0" y="2025"/>
                                </a:lnTo>
                                <a:lnTo>
                                  <a:pt x="6810" y="2025"/>
                                </a:lnTo>
                                <a:lnTo>
                                  <a:pt x="6810" y="2010"/>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829864303" name="AutoShape 124"/>
                        <wps:cNvSpPr/>
                        <wps:spPr bwMode="auto">
                          <a:xfrm>
                            <a:off x="2069" y="2707"/>
                            <a:ext cx="8130" cy="2040"/>
                          </a:xfrm>
                          <a:custGeom>
                            <a:avLst/>
                            <a:gdLst>
                              <a:gd name="T0" fmla="*/ 5190 w 8130"/>
                              <a:gd name="T1" fmla="*/ 4732 h 2040"/>
                              <a:gd name="T2" fmla="*/ 0 w 8130"/>
                              <a:gd name="T3" fmla="*/ 4732 h 2040"/>
                              <a:gd name="T4" fmla="*/ 0 w 8130"/>
                              <a:gd name="T5" fmla="*/ 4747 h 2040"/>
                              <a:gd name="T6" fmla="*/ 5190 w 8130"/>
                              <a:gd name="T7" fmla="*/ 4747 h 2040"/>
                              <a:gd name="T8" fmla="*/ 5190 w 8130"/>
                              <a:gd name="T9" fmla="*/ 4732 h 2040"/>
                              <a:gd name="T10" fmla="*/ 6810 w 8130"/>
                              <a:gd name="T11" fmla="*/ 4732 h 2040"/>
                              <a:gd name="T12" fmla="*/ 6195 w 8130"/>
                              <a:gd name="T13" fmla="*/ 4732 h 2040"/>
                              <a:gd name="T14" fmla="*/ 6195 w 8130"/>
                              <a:gd name="T15" fmla="*/ 4747 h 2040"/>
                              <a:gd name="T16" fmla="*/ 6810 w 8130"/>
                              <a:gd name="T17" fmla="*/ 4747 h 2040"/>
                              <a:gd name="T18" fmla="*/ 6810 w 8130"/>
                              <a:gd name="T19" fmla="*/ 4732 h 2040"/>
                              <a:gd name="T20" fmla="*/ 6810 w 8130"/>
                              <a:gd name="T21" fmla="*/ 4057 h 2040"/>
                              <a:gd name="T22" fmla="*/ 0 w 8130"/>
                              <a:gd name="T23" fmla="*/ 4057 h 2040"/>
                              <a:gd name="T24" fmla="*/ 0 w 8130"/>
                              <a:gd name="T25" fmla="*/ 4072 h 2040"/>
                              <a:gd name="T26" fmla="*/ 6810 w 8130"/>
                              <a:gd name="T27" fmla="*/ 4072 h 2040"/>
                              <a:gd name="T28" fmla="*/ 6810 w 8130"/>
                              <a:gd name="T29" fmla="*/ 4057 h 2040"/>
                              <a:gd name="T30" fmla="*/ 6810 w 8130"/>
                              <a:gd name="T31" fmla="*/ 3382 h 2040"/>
                              <a:gd name="T32" fmla="*/ 0 w 8130"/>
                              <a:gd name="T33" fmla="*/ 3382 h 2040"/>
                              <a:gd name="T34" fmla="*/ 0 w 8130"/>
                              <a:gd name="T35" fmla="*/ 3397 h 2040"/>
                              <a:gd name="T36" fmla="*/ 6810 w 8130"/>
                              <a:gd name="T37" fmla="*/ 3397 h 2040"/>
                              <a:gd name="T38" fmla="*/ 6810 w 8130"/>
                              <a:gd name="T39" fmla="*/ 3382 h 2040"/>
                              <a:gd name="T40" fmla="*/ 8130 w 8130"/>
                              <a:gd name="T41" fmla="*/ 4732 h 2040"/>
                              <a:gd name="T42" fmla="*/ 7815 w 8130"/>
                              <a:gd name="T43" fmla="*/ 4732 h 2040"/>
                              <a:gd name="T44" fmla="*/ 7815 w 8130"/>
                              <a:gd name="T45" fmla="*/ 4747 h 2040"/>
                              <a:gd name="T46" fmla="*/ 8130 w 8130"/>
                              <a:gd name="T47" fmla="*/ 4747 h 2040"/>
                              <a:gd name="T48" fmla="*/ 8130 w 8130"/>
                              <a:gd name="T49" fmla="*/ 4732 h 2040"/>
                              <a:gd name="T50" fmla="*/ 8130 w 8130"/>
                              <a:gd name="T51" fmla="*/ 4057 h 2040"/>
                              <a:gd name="T52" fmla="*/ 7815 w 8130"/>
                              <a:gd name="T53" fmla="*/ 4057 h 2040"/>
                              <a:gd name="T54" fmla="*/ 7815 w 8130"/>
                              <a:gd name="T55" fmla="*/ 4072 h 2040"/>
                              <a:gd name="T56" fmla="*/ 8130 w 8130"/>
                              <a:gd name="T57" fmla="*/ 4072 h 2040"/>
                              <a:gd name="T58" fmla="*/ 8130 w 8130"/>
                              <a:gd name="T59" fmla="*/ 4057 h 2040"/>
                              <a:gd name="T60" fmla="*/ 8130 w 8130"/>
                              <a:gd name="T61" fmla="*/ 3382 h 2040"/>
                              <a:gd name="T62" fmla="*/ 7815 w 8130"/>
                              <a:gd name="T63" fmla="*/ 3382 h 2040"/>
                              <a:gd name="T64" fmla="*/ 7815 w 8130"/>
                              <a:gd name="T65" fmla="*/ 3397 h 2040"/>
                              <a:gd name="T66" fmla="*/ 8130 w 8130"/>
                              <a:gd name="T67" fmla="*/ 3397 h 2040"/>
                              <a:gd name="T68" fmla="*/ 8130 w 8130"/>
                              <a:gd name="T69" fmla="*/ 3382 h 2040"/>
                              <a:gd name="T70" fmla="*/ 8130 w 8130"/>
                              <a:gd name="T71" fmla="*/ 2707 h 2040"/>
                              <a:gd name="T72" fmla="*/ 0 w 8130"/>
                              <a:gd name="T73" fmla="*/ 2707 h 2040"/>
                              <a:gd name="T74" fmla="*/ 0 w 8130"/>
                              <a:gd name="T75" fmla="*/ 2722 h 2040"/>
                              <a:gd name="T76" fmla="*/ 8130 w 8130"/>
                              <a:gd name="T77" fmla="*/ 2722 h 2040"/>
                              <a:gd name="T78" fmla="*/ 8130 w 8130"/>
                              <a:gd name="T79" fmla="*/ 2707 h 20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30" h="2040">
                                <a:moveTo>
                                  <a:pt x="5190" y="2025"/>
                                </a:moveTo>
                                <a:lnTo>
                                  <a:pt x="0" y="2025"/>
                                </a:lnTo>
                                <a:lnTo>
                                  <a:pt x="0" y="2040"/>
                                </a:lnTo>
                                <a:lnTo>
                                  <a:pt x="5190" y="2040"/>
                                </a:lnTo>
                                <a:lnTo>
                                  <a:pt x="5190" y="2025"/>
                                </a:lnTo>
                                <a:close/>
                                <a:moveTo>
                                  <a:pt x="6810" y="2025"/>
                                </a:moveTo>
                                <a:lnTo>
                                  <a:pt x="6195" y="2025"/>
                                </a:lnTo>
                                <a:lnTo>
                                  <a:pt x="6195" y="2040"/>
                                </a:lnTo>
                                <a:lnTo>
                                  <a:pt x="6810" y="2040"/>
                                </a:lnTo>
                                <a:lnTo>
                                  <a:pt x="6810" y="2025"/>
                                </a:lnTo>
                                <a:close/>
                                <a:moveTo>
                                  <a:pt x="6810" y="1350"/>
                                </a:moveTo>
                                <a:lnTo>
                                  <a:pt x="0" y="1350"/>
                                </a:lnTo>
                                <a:lnTo>
                                  <a:pt x="0" y="1365"/>
                                </a:lnTo>
                                <a:lnTo>
                                  <a:pt x="6810" y="1365"/>
                                </a:lnTo>
                                <a:lnTo>
                                  <a:pt x="6810" y="1350"/>
                                </a:lnTo>
                                <a:close/>
                                <a:moveTo>
                                  <a:pt x="6810" y="675"/>
                                </a:moveTo>
                                <a:lnTo>
                                  <a:pt x="0" y="675"/>
                                </a:lnTo>
                                <a:lnTo>
                                  <a:pt x="0" y="690"/>
                                </a:lnTo>
                                <a:lnTo>
                                  <a:pt x="6810" y="690"/>
                                </a:lnTo>
                                <a:lnTo>
                                  <a:pt x="6810" y="675"/>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7815" y="675"/>
                                </a:lnTo>
                                <a:lnTo>
                                  <a:pt x="7815" y="690"/>
                                </a:lnTo>
                                <a:lnTo>
                                  <a:pt x="8130" y="690"/>
                                </a:lnTo>
                                <a:lnTo>
                                  <a:pt x="8130" y="675"/>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128893305" name="AutoShape 123"/>
                        <wps:cNvSpPr/>
                        <wps:spPr bwMode="auto">
                          <a:xfrm>
                            <a:off x="2384" y="5015"/>
                            <a:ext cx="4245" cy="54"/>
                          </a:xfrm>
                          <a:custGeom>
                            <a:avLst/>
                            <a:gdLst>
                              <a:gd name="T0" fmla="*/ 1005 w 4245"/>
                              <a:gd name="T1" fmla="*/ 5062 h 54"/>
                              <a:gd name="T2" fmla="*/ 0 w 4245"/>
                              <a:gd name="T3" fmla="*/ 5062 h 54"/>
                              <a:gd name="T4" fmla="*/ 0 w 4245"/>
                              <a:gd name="T5" fmla="*/ 5070 h 54"/>
                              <a:gd name="T6" fmla="*/ 1005 w 4245"/>
                              <a:gd name="T7" fmla="*/ 5070 h 54"/>
                              <a:gd name="T8" fmla="*/ 1005 w 4245"/>
                              <a:gd name="T9" fmla="*/ 5062 h 54"/>
                              <a:gd name="T10" fmla="*/ 2625 w 4245"/>
                              <a:gd name="T11" fmla="*/ 5062 h 54"/>
                              <a:gd name="T12" fmla="*/ 1620 w 4245"/>
                              <a:gd name="T13" fmla="*/ 5062 h 54"/>
                              <a:gd name="T14" fmla="*/ 1620 w 4245"/>
                              <a:gd name="T15" fmla="*/ 5070 h 54"/>
                              <a:gd name="T16" fmla="*/ 2625 w 4245"/>
                              <a:gd name="T17" fmla="*/ 5070 h 54"/>
                              <a:gd name="T18" fmla="*/ 2625 w 4245"/>
                              <a:gd name="T19" fmla="*/ 5062 h 54"/>
                              <a:gd name="T20" fmla="*/ 4245 w 4245"/>
                              <a:gd name="T21" fmla="*/ 5016 h 54"/>
                              <a:gd name="T22" fmla="*/ 3255 w 4245"/>
                              <a:gd name="T23" fmla="*/ 5016 h 54"/>
                              <a:gd name="T24" fmla="*/ 3255 w 4245"/>
                              <a:gd name="T25" fmla="*/ 5070 h 54"/>
                              <a:gd name="T26" fmla="*/ 4245 w 4245"/>
                              <a:gd name="T27" fmla="*/ 5070 h 54"/>
                              <a:gd name="T28" fmla="*/ 4245 w 4245"/>
                              <a:gd name="T29" fmla="*/ 5016 h 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45" h="54">
                                <a:moveTo>
                                  <a:pt x="1005" y="46"/>
                                </a:moveTo>
                                <a:lnTo>
                                  <a:pt x="0" y="46"/>
                                </a:lnTo>
                                <a:lnTo>
                                  <a:pt x="0" y="54"/>
                                </a:lnTo>
                                <a:lnTo>
                                  <a:pt x="1005" y="54"/>
                                </a:lnTo>
                                <a:lnTo>
                                  <a:pt x="1005" y="46"/>
                                </a:lnTo>
                                <a:close/>
                                <a:moveTo>
                                  <a:pt x="2625" y="46"/>
                                </a:moveTo>
                                <a:lnTo>
                                  <a:pt x="1620" y="46"/>
                                </a:lnTo>
                                <a:lnTo>
                                  <a:pt x="1620" y="54"/>
                                </a:lnTo>
                                <a:lnTo>
                                  <a:pt x="2625" y="54"/>
                                </a:lnTo>
                                <a:lnTo>
                                  <a:pt x="2625" y="46"/>
                                </a:lnTo>
                                <a:close/>
                                <a:moveTo>
                                  <a:pt x="4245" y="0"/>
                                </a:moveTo>
                                <a:lnTo>
                                  <a:pt x="3255" y="0"/>
                                </a:lnTo>
                                <a:lnTo>
                                  <a:pt x="3255" y="54"/>
                                </a:lnTo>
                                <a:lnTo>
                                  <a:pt x="4245" y="54"/>
                                </a:lnTo>
                                <a:lnTo>
                                  <a:pt x="4245" y="0"/>
                                </a:lnTo>
                                <a:close/>
                              </a:path>
                            </a:pathLst>
                          </a:custGeom>
                          <a:solidFill>
                            <a:srgbClr val="663AB6"/>
                          </a:solidFill>
                          <a:ln>
                            <a:noFill/>
                          </a:ln>
                          <a:effectLst/>
                        </wps:spPr>
                        <wps:bodyPr rot="0" vert="horz" wrap="square" lIns="91440" tIns="45720" rIns="91440" bIns="45720" anchor="t" anchorCtr="0" upright="1">
                          <a:noAutofit/>
                        </wps:bodyPr>
                      </wps:wsp>
                      <wps:wsp>
                        <wps:cNvPr id="614370007" name="Rectangle 122"/>
                        <wps:cNvSpPr>
                          <a:spLocks noChangeArrowheads="1"/>
                        </wps:cNvSpPr>
                        <wps:spPr bwMode="auto">
                          <a:xfrm>
                            <a:off x="2070" y="506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729510546" name="AutoShape 121"/>
                        <wps:cNvSpPr/>
                        <wps:spPr bwMode="auto">
                          <a:xfrm>
                            <a:off x="2879" y="4835"/>
                            <a:ext cx="3270" cy="227"/>
                          </a:xfrm>
                          <a:custGeom>
                            <a:avLst/>
                            <a:gdLst>
                              <a:gd name="T0" fmla="*/ 15 w 3270"/>
                              <a:gd name="T1" fmla="*/ 4882 h 227"/>
                              <a:gd name="T2" fmla="*/ 0 w 3270"/>
                              <a:gd name="T3" fmla="*/ 4882 h 227"/>
                              <a:gd name="T4" fmla="*/ 0 w 3270"/>
                              <a:gd name="T5" fmla="*/ 5062 h 227"/>
                              <a:gd name="T6" fmla="*/ 15 w 3270"/>
                              <a:gd name="T7" fmla="*/ 5062 h 227"/>
                              <a:gd name="T8" fmla="*/ 15 w 3270"/>
                              <a:gd name="T9" fmla="*/ 4882 h 227"/>
                              <a:gd name="T10" fmla="*/ 1635 w 3270"/>
                              <a:gd name="T11" fmla="*/ 4882 h 227"/>
                              <a:gd name="T12" fmla="*/ 1620 w 3270"/>
                              <a:gd name="T13" fmla="*/ 4882 h 227"/>
                              <a:gd name="T14" fmla="*/ 1620 w 3270"/>
                              <a:gd name="T15" fmla="*/ 5062 h 227"/>
                              <a:gd name="T16" fmla="*/ 1635 w 3270"/>
                              <a:gd name="T17" fmla="*/ 5062 h 227"/>
                              <a:gd name="T18" fmla="*/ 1635 w 3270"/>
                              <a:gd name="T19" fmla="*/ 4882 h 227"/>
                              <a:gd name="T20" fmla="*/ 3270 w 3270"/>
                              <a:gd name="T21" fmla="*/ 4836 h 227"/>
                              <a:gd name="T22" fmla="*/ 3255 w 3270"/>
                              <a:gd name="T23" fmla="*/ 4836 h 227"/>
                              <a:gd name="T24" fmla="*/ 3255 w 3270"/>
                              <a:gd name="T25" fmla="*/ 5016 h 227"/>
                              <a:gd name="T26" fmla="*/ 3270 w 3270"/>
                              <a:gd name="T27" fmla="*/ 5016 h 227"/>
                              <a:gd name="T28" fmla="*/ 3270 w 3270"/>
                              <a:gd name="T29" fmla="*/ 4836 h 2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70" h="227">
                                <a:moveTo>
                                  <a:pt x="15" y="46"/>
                                </a:moveTo>
                                <a:lnTo>
                                  <a:pt x="0" y="46"/>
                                </a:lnTo>
                                <a:lnTo>
                                  <a:pt x="0" y="226"/>
                                </a:lnTo>
                                <a:lnTo>
                                  <a:pt x="15" y="226"/>
                                </a:lnTo>
                                <a:lnTo>
                                  <a:pt x="15" y="46"/>
                                </a:lnTo>
                                <a:close/>
                                <a:moveTo>
                                  <a:pt x="1635" y="46"/>
                                </a:moveTo>
                                <a:lnTo>
                                  <a:pt x="1620" y="46"/>
                                </a:lnTo>
                                <a:lnTo>
                                  <a:pt x="1620" y="226"/>
                                </a:lnTo>
                                <a:lnTo>
                                  <a:pt x="1635" y="226"/>
                                </a:lnTo>
                                <a:lnTo>
                                  <a:pt x="1635" y="46"/>
                                </a:lnTo>
                                <a:close/>
                                <a:moveTo>
                                  <a:pt x="3270" y="0"/>
                                </a:moveTo>
                                <a:lnTo>
                                  <a:pt x="3255" y="0"/>
                                </a:lnTo>
                                <a:lnTo>
                                  <a:pt x="3255" y="180"/>
                                </a:lnTo>
                                <a:lnTo>
                                  <a:pt x="3270" y="180"/>
                                </a:lnTo>
                                <a:lnTo>
                                  <a:pt x="3270" y="0"/>
                                </a:lnTo>
                                <a:close/>
                              </a:path>
                            </a:pathLst>
                          </a:custGeom>
                          <a:solidFill>
                            <a:srgbClr val="999999"/>
                          </a:solidFill>
                          <a:ln>
                            <a:noFill/>
                          </a:ln>
                          <a:effectLst/>
                        </wps:spPr>
                        <wps:bodyPr rot="0" vert="horz" wrap="square" lIns="91440" tIns="45720" rIns="91440" bIns="45720" anchor="t" anchorCtr="0" upright="1">
                          <a:noAutofit/>
                        </wps:bodyPr>
                      </wps:wsp>
                      <wps:wsp>
                        <wps:cNvPr id="254288922" name="AutoShape 120"/>
                        <wps:cNvSpPr/>
                        <wps:spPr bwMode="auto">
                          <a:xfrm>
                            <a:off x="2622" y="4677"/>
                            <a:ext cx="3847" cy="216"/>
                          </a:xfrm>
                          <a:custGeom>
                            <a:avLst/>
                            <a:gdLst>
                              <a:gd name="T0" fmla="*/ 70 w 3847"/>
                              <a:gd name="T1" fmla="*/ 4736 h 216"/>
                              <a:gd name="T2" fmla="*/ 52 w 3847"/>
                              <a:gd name="T3" fmla="*/ 4857 h 216"/>
                              <a:gd name="T4" fmla="*/ 35 w 3847"/>
                              <a:gd name="T5" fmla="*/ 4844 h 216"/>
                              <a:gd name="T6" fmla="*/ 42 w 3847"/>
                              <a:gd name="T7" fmla="*/ 4739 h 216"/>
                              <a:gd name="T8" fmla="*/ 155 w 3847"/>
                              <a:gd name="T9" fmla="*/ 4820 h 216"/>
                              <a:gd name="T10" fmla="*/ 176 w 3847"/>
                              <a:gd name="T11" fmla="*/ 4766 h 216"/>
                              <a:gd name="T12" fmla="*/ 223 w 3847"/>
                              <a:gd name="T13" fmla="*/ 4738 h 216"/>
                              <a:gd name="T14" fmla="*/ 294 w 3847"/>
                              <a:gd name="T15" fmla="*/ 4779 h 216"/>
                              <a:gd name="T16" fmla="*/ 214 w 3847"/>
                              <a:gd name="T17" fmla="*/ 4823 h 216"/>
                              <a:gd name="T18" fmla="*/ 276 w 3847"/>
                              <a:gd name="T19" fmla="*/ 4818 h 216"/>
                              <a:gd name="T20" fmla="*/ 227 w 3847"/>
                              <a:gd name="T21" fmla="*/ 4777 h 216"/>
                              <a:gd name="T22" fmla="*/ 369 w 3847"/>
                              <a:gd name="T23" fmla="*/ 4769 h 216"/>
                              <a:gd name="T24" fmla="*/ 331 w 3847"/>
                              <a:gd name="T25" fmla="*/ 4740 h 216"/>
                              <a:gd name="T26" fmla="*/ 355 w 3847"/>
                              <a:gd name="T27" fmla="*/ 4757 h 216"/>
                              <a:gd name="T28" fmla="*/ 404 w 3847"/>
                              <a:gd name="T29" fmla="*/ 4801 h 216"/>
                              <a:gd name="T30" fmla="*/ 424 w 3847"/>
                              <a:gd name="T31" fmla="*/ 4860 h 216"/>
                              <a:gd name="T32" fmla="*/ 412 w 3847"/>
                              <a:gd name="T33" fmla="*/ 4840 h 216"/>
                              <a:gd name="T34" fmla="*/ 428 w 3847"/>
                              <a:gd name="T35" fmla="*/ 4802 h 216"/>
                              <a:gd name="T36" fmla="*/ 481 w 3847"/>
                              <a:gd name="T37" fmla="*/ 4736 h 216"/>
                              <a:gd name="T38" fmla="*/ 503 w 3847"/>
                              <a:gd name="T39" fmla="*/ 4865 h 216"/>
                              <a:gd name="T40" fmla="*/ 1675 w 3847"/>
                              <a:gd name="T41" fmla="*/ 4727 h 216"/>
                              <a:gd name="T42" fmla="*/ 1692 w 3847"/>
                              <a:gd name="T43" fmla="*/ 4844 h 216"/>
                              <a:gd name="T44" fmla="*/ 1641 w 3847"/>
                              <a:gd name="T45" fmla="*/ 4827 h 216"/>
                              <a:gd name="T46" fmla="*/ 1681 w 3847"/>
                              <a:gd name="T47" fmla="*/ 4749 h 216"/>
                              <a:gd name="T48" fmla="*/ 1783 w 3847"/>
                              <a:gd name="T49" fmla="*/ 4854 h 216"/>
                              <a:gd name="T50" fmla="*/ 1805 w 3847"/>
                              <a:gd name="T51" fmla="*/ 4745 h 216"/>
                              <a:gd name="T52" fmla="*/ 1832 w 3847"/>
                              <a:gd name="T53" fmla="*/ 4764 h 216"/>
                              <a:gd name="T54" fmla="*/ 1910 w 3847"/>
                              <a:gd name="T55" fmla="*/ 4753 h 216"/>
                              <a:gd name="T56" fmla="*/ 1850 w 3847"/>
                              <a:gd name="T57" fmla="*/ 4853 h 216"/>
                              <a:gd name="T58" fmla="*/ 1886 w 3847"/>
                              <a:gd name="T59" fmla="*/ 4841 h 216"/>
                              <a:gd name="T60" fmla="*/ 1855 w 3847"/>
                              <a:gd name="T61" fmla="*/ 4748 h 216"/>
                              <a:gd name="T62" fmla="*/ 1986 w 3847"/>
                              <a:gd name="T63" fmla="*/ 4738 h 216"/>
                              <a:gd name="T64" fmla="*/ 1961 w 3847"/>
                              <a:gd name="T65" fmla="*/ 4735 h 216"/>
                              <a:gd name="T66" fmla="*/ 1971 w 3847"/>
                              <a:gd name="T67" fmla="*/ 4776 h 216"/>
                              <a:gd name="T68" fmla="*/ 2017 w 3847"/>
                              <a:gd name="T69" fmla="*/ 4825 h 216"/>
                              <a:gd name="T70" fmla="*/ 2064 w 3847"/>
                              <a:gd name="T71" fmla="*/ 4851 h 216"/>
                              <a:gd name="T72" fmla="*/ 2031 w 3847"/>
                              <a:gd name="T73" fmla="*/ 4817 h 216"/>
                              <a:gd name="T74" fmla="*/ 2057 w 3847"/>
                              <a:gd name="T75" fmla="*/ 4811 h 216"/>
                              <a:gd name="T76" fmla="*/ 2112 w 3847"/>
                              <a:gd name="T77" fmla="*/ 4758 h 216"/>
                              <a:gd name="T78" fmla="*/ 2134 w 3847"/>
                              <a:gd name="T79" fmla="*/ 4832 h 216"/>
                              <a:gd name="T80" fmla="*/ 3190 w 3847"/>
                              <a:gd name="T81" fmla="*/ 4781 h 216"/>
                              <a:gd name="T82" fmla="*/ 3223 w 3847"/>
                              <a:gd name="T83" fmla="*/ 4692 h 216"/>
                              <a:gd name="T84" fmla="*/ 3245 w 3847"/>
                              <a:gd name="T85" fmla="*/ 4683 h 216"/>
                              <a:gd name="T86" fmla="*/ 3209 w 3847"/>
                              <a:gd name="T87" fmla="*/ 4782 h 216"/>
                              <a:gd name="T88" fmla="*/ 3334 w 3847"/>
                              <a:gd name="T89" fmla="*/ 4752 h 216"/>
                              <a:gd name="T90" fmla="*/ 3351 w 3847"/>
                              <a:gd name="T91" fmla="*/ 4740 h 216"/>
                              <a:gd name="T92" fmla="*/ 3396 w 3847"/>
                              <a:gd name="T93" fmla="*/ 4786 h 216"/>
                              <a:gd name="T94" fmla="*/ 3440 w 3847"/>
                              <a:gd name="T95" fmla="*/ 4692 h 216"/>
                              <a:gd name="T96" fmla="*/ 3445 w 3847"/>
                              <a:gd name="T97" fmla="*/ 4679 h 216"/>
                              <a:gd name="T98" fmla="*/ 3426 w 3847"/>
                              <a:gd name="T99" fmla="*/ 4777 h 216"/>
                              <a:gd name="T100" fmla="*/ 3625 w 3847"/>
                              <a:gd name="T101" fmla="*/ 4694 h 216"/>
                              <a:gd name="T102" fmla="*/ 3565 w 3847"/>
                              <a:gd name="T103" fmla="*/ 4772 h 216"/>
                              <a:gd name="T104" fmla="*/ 3662 w 3847"/>
                              <a:gd name="T105" fmla="*/ 4678 h 216"/>
                              <a:gd name="T106" fmla="*/ 3656 w 3847"/>
                              <a:gd name="T107" fmla="*/ 4743 h 216"/>
                              <a:gd name="T108" fmla="*/ 3664 w 3847"/>
                              <a:gd name="T109" fmla="*/ 4733 h 216"/>
                              <a:gd name="T110" fmla="*/ 3671 w 3847"/>
                              <a:gd name="T111" fmla="*/ 4813 h 216"/>
                              <a:gd name="T112" fmla="*/ 3779 w 3847"/>
                              <a:gd name="T113" fmla="*/ 4760 h 216"/>
                              <a:gd name="T114" fmla="*/ 3754 w 3847"/>
                              <a:gd name="T115" fmla="*/ 4756 h 216"/>
                              <a:gd name="T116" fmla="*/ 3764 w 3847"/>
                              <a:gd name="T117" fmla="*/ 4797 h 216"/>
                              <a:gd name="T118" fmla="*/ 3830 w 3847"/>
                              <a:gd name="T119" fmla="*/ 4762 h 216"/>
                              <a:gd name="T120" fmla="*/ 3843 w 3847"/>
                              <a:gd name="T121" fmla="*/ 4732 h 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47" h="216">
                                <a:moveTo>
                                  <a:pt x="0" y="113"/>
                                </a:moveTo>
                                <a:lnTo>
                                  <a:pt x="0" y="98"/>
                                </a:lnTo>
                                <a:lnTo>
                                  <a:pt x="2" y="86"/>
                                </a:lnTo>
                                <a:lnTo>
                                  <a:pt x="5" y="77"/>
                                </a:lnTo>
                                <a:lnTo>
                                  <a:pt x="8" y="67"/>
                                </a:lnTo>
                                <a:lnTo>
                                  <a:pt x="13" y="60"/>
                                </a:lnTo>
                                <a:lnTo>
                                  <a:pt x="19" y="55"/>
                                </a:lnTo>
                                <a:lnTo>
                                  <a:pt x="25" y="50"/>
                                </a:lnTo>
                                <a:lnTo>
                                  <a:pt x="33" y="47"/>
                                </a:lnTo>
                                <a:lnTo>
                                  <a:pt x="42" y="47"/>
                                </a:lnTo>
                                <a:lnTo>
                                  <a:pt x="49" y="47"/>
                                </a:lnTo>
                                <a:lnTo>
                                  <a:pt x="55" y="49"/>
                                </a:lnTo>
                                <a:lnTo>
                                  <a:pt x="61" y="52"/>
                                </a:lnTo>
                                <a:lnTo>
                                  <a:pt x="66" y="54"/>
                                </a:lnTo>
                                <a:lnTo>
                                  <a:pt x="70" y="58"/>
                                </a:lnTo>
                                <a:lnTo>
                                  <a:pt x="74" y="64"/>
                                </a:lnTo>
                                <a:lnTo>
                                  <a:pt x="77" y="69"/>
                                </a:lnTo>
                                <a:lnTo>
                                  <a:pt x="80" y="75"/>
                                </a:lnTo>
                                <a:lnTo>
                                  <a:pt x="82" y="83"/>
                                </a:lnTo>
                                <a:lnTo>
                                  <a:pt x="83" y="90"/>
                                </a:lnTo>
                                <a:lnTo>
                                  <a:pt x="84" y="101"/>
                                </a:lnTo>
                                <a:lnTo>
                                  <a:pt x="84" y="113"/>
                                </a:lnTo>
                                <a:lnTo>
                                  <a:pt x="84" y="128"/>
                                </a:lnTo>
                                <a:lnTo>
                                  <a:pt x="83" y="141"/>
                                </a:lnTo>
                                <a:lnTo>
                                  <a:pt x="80" y="150"/>
                                </a:lnTo>
                                <a:lnTo>
                                  <a:pt x="77" y="159"/>
                                </a:lnTo>
                                <a:lnTo>
                                  <a:pt x="72" y="166"/>
                                </a:lnTo>
                                <a:lnTo>
                                  <a:pt x="66" y="171"/>
                                </a:lnTo>
                                <a:lnTo>
                                  <a:pt x="60" y="177"/>
                                </a:lnTo>
                                <a:lnTo>
                                  <a:pt x="52" y="179"/>
                                </a:lnTo>
                                <a:lnTo>
                                  <a:pt x="42" y="179"/>
                                </a:lnTo>
                                <a:lnTo>
                                  <a:pt x="30" y="179"/>
                                </a:lnTo>
                                <a:lnTo>
                                  <a:pt x="20" y="175"/>
                                </a:lnTo>
                                <a:lnTo>
                                  <a:pt x="13" y="166"/>
                                </a:lnTo>
                                <a:lnTo>
                                  <a:pt x="8" y="156"/>
                                </a:lnTo>
                                <a:lnTo>
                                  <a:pt x="4" y="145"/>
                                </a:lnTo>
                                <a:lnTo>
                                  <a:pt x="1" y="130"/>
                                </a:lnTo>
                                <a:lnTo>
                                  <a:pt x="0" y="113"/>
                                </a:lnTo>
                                <a:close/>
                                <a:moveTo>
                                  <a:pt x="17" y="113"/>
                                </a:moveTo>
                                <a:lnTo>
                                  <a:pt x="17" y="128"/>
                                </a:lnTo>
                                <a:lnTo>
                                  <a:pt x="19" y="140"/>
                                </a:lnTo>
                                <a:lnTo>
                                  <a:pt x="21" y="149"/>
                                </a:lnTo>
                                <a:lnTo>
                                  <a:pt x="24" y="156"/>
                                </a:lnTo>
                                <a:lnTo>
                                  <a:pt x="29" y="163"/>
                                </a:lnTo>
                                <a:lnTo>
                                  <a:pt x="35" y="166"/>
                                </a:lnTo>
                                <a:lnTo>
                                  <a:pt x="42" y="166"/>
                                </a:lnTo>
                                <a:lnTo>
                                  <a:pt x="50" y="166"/>
                                </a:lnTo>
                                <a:lnTo>
                                  <a:pt x="56" y="163"/>
                                </a:lnTo>
                                <a:lnTo>
                                  <a:pt x="61" y="156"/>
                                </a:lnTo>
                                <a:lnTo>
                                  <a:pt x="64" y="149"/>
                                </a:lnTo>
                                <a:lnTo>
                                  <a:pt x="66" y="140"/>
                                </a:lnTo>
                                <a:lnTo>
                                  <a:pt x="68" y="128"/>
                                </a:lnTo>
                                <a:lnTo>
                                  <a:pt x="68" y="113"/>
                                </a:lnTo>
                                <a:lnTo>
                                  <a:pt x="68" y="99"/>
                                </a:lnTo>
                                <a:lnTo>
                                  <a:pt x="66" y="87"/>
                                </a:lnTo>
                                <a:lnTo>
                                  <a:pt x="64" y="78"/>
                                </a:lnTo>
                                <a:lnTo>
                                  <a:pt x="61" y="71"/>
                                </a:lnTo>
                                <a:lnTo>
                                  <a:pt x="56" y="64"/>
                                </a:lnTo>
                                <a:lnTo>
                                  <a:pt x="50" y="61"/>
                                </a:lnTo>
                                <a:lnTo>
                                  <a:pt x="42" y="61"/>
                                </a:lnTo>
                                <a:lnTo>
                                  <a:pt x="35" y="61"/>
                                </a:lnTo>
                                <a:lnTo>
                                  <a:pt x="29" y="64"/>
                                </a:lnTo>
                                <a:lnTo>
                                  <a:pt x="25" y="70"/>
                                </a:lnTo>
                                <a:lnTo>
                                  <a:pt x="21" y="77"/>
                                </a:lnTo>
                                <a:lnTo>
                                  <a:pt x="19" y="87"/>
                                </a:lnTo>
                                <a:lnTo>
                                  <a:pt x="17" y="99"/>
                                </a:lnTo>
                                <a:lnTo>
                                  <a:pt x="17" y="113"/>
                                </a:lnTo>
                                <a:close/>
                                <a:moveTo>
                                  <a:pt x="185" y="215"/>
                                </a:moveTo>
                                <a:lnTo>
                                  <a:pt x="179" y="206"/>
                                </a:lnTo>
                                <a:lnTo>
                                  <a:pt x="173" y="197"/>
                                </a:lnTo>
                                <a:lnTo>
                                  <a:pt x="168" y="187"/>
                                </a:lnTo>
                                <a:lnTo>
                                  <a:pt x="163" y="176"/>
                                </a:lnTo>
                                <a:lnTo>
                                  <a:pt x="159" y="165"/>
                                </a:lnTo>
                                <a:lnTo>
                                  <a:pt x="156" y="154"/>
                                </a:lnTo>
                                <a:lnTo>
                                  <a:pt x="155" y="142"/>
                                </a:lnTo>
                                <a:lnTo>
                                  <a:pt x="154" y="130"/>
                                </a:lnTo>
                                <a:lnTo>
                                  <a:pt x="154" y="120"/>
                                </a:lnTo>
                                <a:lnTo>
                                  <a:pt x="156" y="110"/>
                                </a:lnTo>
                                <a:lnTo>
                                  <a:pt x="158" y="100"/>
                                </a:lnTo>
                                <a:lnTo>
                                  <a:pt x="161" y="90"/>
                                </a:lnTo>
                                <a:lnTo>
                                  <a:pt x="165" y="79"/>
                                </a:lnTo>
                                <a:lnTo>
                                  <a:pt x="171" y="68"/>
                                </a:lnTo>
                                <a:lnTo>
                                  <a:pt x="177" y="57"/>
                                </a:lnTo>
                                <a:lnTo>
                                  <a:pt x="185" y="46"/>
                                </a:lnTo>
                                <a:lnTo>
                                  <a:pt x="196" y="46"/>
                                </a:lnTo>
                                <a:lnTo>
                                  <a:pt x="189" y="58"/>
                                </a:lnTo>
                                <a:lnTo>
                                  <a:pt x="185" y="67"/>
                                </a:lnTo>
                                <a:lnTo>
                                  <a:pt x="182" y="72"/>
                                </a:lnTo>
                                <a:lnTo>
                                  <a:pt x="179" y="80"/>
                                </a:lnTo>
                                <a:lnTo>
                                  <a:pt x="176" y="88"/>
                                </a:lnTo>
                                <a:lnTo>
                                  <a:pt x="174" y="97"/>
                                </a:lnTo>
                                <a:lnTo>
                                  <a:pt x="171" y="108"/>
                                </a:lnTo>
                                <a:lnTo>
                                  <a:pt x="170" y="119"/>
                                </a:lnTo>
                                <a:lnTo>
                                  <a:pt x="170" y="130"/>
                                </a:lnTo>
                                <a:lnTo>
                                  <a:pt x="172" y="151"/>
                                </a:lnTo>
                                <a:lnTo>
                                  <a:pt x="177" y="173"/>
                                </a:lnTo>
                                <a:lnTo>
                                  <a:pt x="185" y="194"/>
                                </a:lnTo>
                                <a:lnTo>
                                  <a:pt x="196" y="215"/>
                                </a:lnTo>
                                <a:lnTo>
                                  <a:pt x="185" y="215"/>
                                </a:lnTo>
                                <a:close/>
                                <a:moveTo>
                                  <a:pt x="210" y="113"/>
                                </a:moveTo>
                                <a:lnTo>
                                  <a:pt x="210" y="98"/>
                                </a:lnTo>
                                <a:lnTo>
                                  <a:pt x="212" y="86"/>
                                </a:lnTo>
                                <a:lnTo>
                                  <a:pt x="215" y="77"/>
                                </a:lnTo>
                                <a:lnTo>
                                  <a:pt x="218" y="67"/>
                                </a:lnTo>
                                <a:lnTo>
                                  <a:pt x="223" y="60"/>
                                </a:lnTo>
                                <a:lnTo>
                                  <a:pt x="229" y="55"/>
                                </a:lnTo>
                                <a:lnTo>
                                  <a:pt x="235" y="50"/>
                                </a:lnTo>
                                <a:lnTo>
                                  <a:pt x="243" y="47"/>
                                </a:lnTo>
                                <a:lnTo>
                                  <a:pt x="252" y="47"/>
                                </a:lnTo>
                                <a:lnTo>
                                  <a:pt x="259" y="47"/>
                                </a:lnTo>
                                <a:lnTo>
                                  <a:pt x="265" y="49"/>
                                </a:lnTo>
                                <a:lnTo>
                                  <a:pt x="271" y="52"/>
                                </a:lnTo>
                                <a:lnTo>
                                  <a:pt x="276" y="54"/>
                                </a:lnTo>
                                <a:lnTo>
                                  <a:pt x="280" y="58"/>
                                </a:lnTo>
                                <a:lnTo>
                                  <a:pt x="284" y="64"/>
                                </a:lnTo>
                                <a:lnTo>
                                  <a:pt x="287" y="69"/>
                                </a:lnTo>
                                <a:lnTo>
                                  <a:pt x="290" y="75"/>
                                </a:lnTo>
                                <a:lnTo>
                                  <a:pt x="292" y="83"/>
                                </a:lnTo>
                                <a:lnTo>
                                  <a:pt x="294" y="90"/>
                                </a:lnTo>
                                <a:lnTo>
                                  <a:pt x="294" y="101"/>
                                </a:lnTo>
                                <a:lnTo>
                                  <a:pt x="294" y="113"/>
                                </a:lnTo>
                                <a:lnTo>
                                  <a:pt x="294" y="128"/>
                                </a:lnTo>
                                <a:lnTo>
                                  <a:pt x="293" y="141"/>
                                </a:lnTo>
                                <a:lnTo>
                                  <a:pt x="290" y="150"/>
                                </a:lnTo>
                                <a:lnTo>
                                  <a:pt x="287" y="159"/>
                                </a:lnTo>
                                <a:lnTo>
                                  <a:pt x="282" y="166"/>
                                </a:lnTo>
                                <a:lnTo>
                                  <a:pt x="276" y="171"/>
                                </a:lnTo>
                                <a:lnTo>
                                  <a:pt x="270" y="177"/>
                                </a:lnTo>
                                <a:lnTo>
                                  <a:pt x="262" y="179"/>
                                </a:lnTo>
                                <a:lnTo>
                                  <a:pt x="252" y="179"/>
                                </a:lnTo>
                                <a:lnTo>
                                  <a:pt x="240" y="179"/>
                                </a:lnTo>
                                <a:lnTo>
                                  <a:pt x="230" y="175"/>
                                </a:lnTo>
                                <a:lnTo>
                                  <a:pt x="223" y="166"/>
                                </a:lnTo>
                                <a:lnTo>
                                  <a:pt x="218" y="156"/>
                                </a:lnTo>
                                <a:lnTo>
                                  <a:pt x="214" y="145"/>
                                </a:lnTo>
                                <a:lnTo>
                                  <a:pt x="211" y="130"/>
                                </a:lnTo>
                                <a:lnTo>
                                  <a:pt x="210" y="113"/>
                                </a:lnTo>
                                <a:close/>
                                <a:moveTo>
                                  <a:pt x="227" y="113"/>
                                </a:moveTo>
                                <a:lnTo>
                                  <a:pt x="227" y="128"/>
                                </a:lnTo>
                                <a:lnTo>
                                  <a:pt x="229" y="140"/>
                                </a:lnTo>
                                <a:lnTo>
                                  <a:pt x="231" y="149"/>
                                </a:lnTo>
                                <a:lnTo>
                                  <a:pt x="234" y="156"/>
                                </a:lnTo>
                                <a:lnTo>
                                  <a:pt x="239" y="163"/>
                                </a:lnTo>
                                <a:lnTo>
                                  <a:pt x="245" y="166"/>
                                </a:lnTo>
                                <a:lnTo>
                                  <a:pt x="252" y="166"/>
                                </a:lnTo>
                                <a:lnTo>
                                  <a:pt x="260" y="166"/>
                                </a:lnTo>
                                <a:lnTo>
                                  <a:pt x="266" y="163"/>
                                </a:lnTo>
                                <a:lnTo>
                                  <a:pt x="271" y="156"/>
                                </a:lnTo>
                                <a:lnTo>
                                  <a:pt x="274" y="149"/>
                                </a:lnTo>
                                <a:lnTo>
                                  <a:pt x="276" y="140"/>
                                </a:lnTo>
                                <a:lnTo>
                                  <a:pt x="278" y="128"/>
                                </a:lnTo>
                                <a:lnTo>
                                  <a:pt x="278" y="113"/>
                                </a:lnTo>
                                <a:lnTo>
                                  <a:pt x="278" y="99"/>
                                </a:lnTo>
                                <a:lnTo>
                                  <a:pt x="276" y="87"/>
                                </a:lnTo>
                                <a:lnTo>
                                  <a:pt x="274" y="78"/>
                                </a:lnTo>
                                <a:lnTo>
                                  <a:pt x="271" y="71"/>
                                </a:lnTo>
                                <a:lnTo>
                                  <a:pt x="266" y="64"/>
                                </a:lnTo>
                                <a:lnTo>
                                  <a:pt x="260" y="61"/>
                                </a:lnTo>
                                <a:lnTo>
                                  <a:pt x="252" y="61"/>
                                </a:lnTo>
                                <a:lnTo>
                                  <a:pt x="245" y="61"/>
                                </a:lnTo>
                                <a:lnTo>
                                  <a:pt x="239" y="64"/>
                                </a:lnTo>
                                <a:lnTo>
                                  <a:pt x="235" y="70"/>
                                </a:lnTo>
                                <a:lnTo>
                                  <a:pt x="231" y="77"/>
                                </a:lnTo>
                                <a:lnTo>
                                  <a:pt x="229" y="87"/>
                                </a:lnTo>
                                <a:lnTo>
                                  <a:pt x="227" y="99"/>
                                </a:lnTo>
                                <a:lnTo>
                                  <a:pt x="227" y="113"/>
                                </a:lnTo>
                                <a:close/>
                                <a:moveTo>
                                  <a:pt x="314" y="79"/>
                                </a:moveTo>
                                <a:lnTo>
                                  <a:pt x="314" y="70"/>
                                </a:lnTo>
                                <a:lnTo>
                                  <a:pt x="316" y="62"/>
                                </a:lnTo>
                                <a:lnTo>
                                  <a:pt x="320" y="55"/>
                                </a:lnTo>
                                <a:lnTo>
                                  <a:pt x="325" y="49"/>
                                </a:lnTo>
                                <a:lnTo>
                                  <a:pt x="332" y="46"/>
                                </a:lnTo>
                                <a:lnTo>
                                  <a:pt x="341" y="46"/>
                                </a:lnTo>
                                <a:lnTo>
                                  <a:pt x="349" y="46"/>
                                </a:lnTo>
                                <a:lnTo>
                                  <a:pt x="355" y="49"/>
                                </a:lnTo>
                                <a:lnTo>
                                  <a:pt x="361" y="54"/>
                                </a:lnTo>
                                <a:lnTo>
                                  <a:pt x="366" y="60"/>
                                </a:lnTo>
                                <a:lnTo>
                                  <a:pt x="369" y="69"/>
                                </a:lnTo>
                                <a:lnTo>
                                  <a:pt x="369" y="80"/>
                                </a:lnTo>
                                <a:lnTo>
                                  <a:pt x="369" y="91"/>
                                </a:lnTo>
                                <a:lnTo>
                                  <a:pt x="366" y="99"/>
                                </a:lnTo>
                                <a:lnTo>
                                  <a:pt x="361" y="105"/>
                                </a:lnTo>
                                <a:lnTo>
                                  <a:pt x="355" y="111"/>
                                </a:lnTo>
                                <a:lnTo>
                                  <a:pt x="349" y="114"/>
                                </a:lnTo>
                                <a:lnTo>
                                  <a:pt x="341" y="114"/>
                                </a:lnTo>
                                <a:lnTo>
                                  <a:pt x="333" y="114"/>
                                </a:lnTo>
                                <a:lnTo>
                                  <a:pt x="327" y="111"/>
                                </a:lnTo>
                                <a:lnTo>
                                  <a:pt x="321" y="105"/>
                                </a:lnTo>
                                <a:lnTo>
                                  <a:pt x="316" y="99"/>
                                </a:lnTo>
                                <a:lnTo>
                                  <a:pt x="314" y="91"/>
                                </a:lnTo>
                                <a:lnTo>
                                  <a:pt x="314" y="79"/>
                                </a:lnTo>
                                <a:close/>
                                <a:moveTo>
                                  <a:pt x="341" y="57"/>
                                </a:moveTo>
                                <a:lnTo>
                                  <a:pt x="337" y="57"/>
                                </a:lnTo>
                                <a:lnTo>
                                  <a:pt x="334" y="58"/>
                                </a:lnTo>
                                <a:lnTo>
                                  <a:pt x="331" y="62"/>
                                </a:lnTo>
                                <a:lnTo>
                                  <a:pt x="329" y="65"/>
                                </a:lnTo>
                                <a:lnTo>
                                  <a:pt x="327" y="71"/>
                                </a:lnTo>
                                <a:lnTo>
                                  <a:pt x="327" y="81"/>
                                </a:lnTo>
                                <a:lnTo>
                                  <a:pt x="327" y="89"/>
                                </a:lnTo>
                                <a:lnTo>
                                  <a:pt x="329" y="95"/>
                                </a:lnTo>
                                <a:lnTo>
                                  <a:pt x="331" y="98"/>
                                </a:lnTo>
                                <a:lnTo>
                                  <a:pt x="334" y="101"/>
                                </a:lnTo>
                                <a:lnTo>
                                  <a:pt x="337" y="103"/>
                                </a:lnTo>
                                <a:lnTo>
                                  <a:pt x="341" y="103"/>
                                </a:lnTo>
                                <a:lnTo>
                                  <a:pt x="345" y="103"/>
                                </a:lnTo>
                                <a:lnTo>
                                  <a:pt x="348" y="101"/>
                                </a:lnTo>
                                <a:lnTo>
                                  <a:pt x="351" y="98"/>
                                </a:lnTo>
                                <a:lnTo>
                                  <a:pt x="354" y="95"/>
                                </a:lnTo>
                                <a:lnTo>
                                  <a:pt x="355" y="88"/>
                                </a:lnTo>
                                <a:lnTo>
                                  <a:pt x="355" y="79"/>
                                </a:lnTo>
                                <a:lnTo>
                                  <a:pt x="355" y="71"/>
                                </a:lnTo>
                                <a:lnTo>
                                  <a:pt x="354" y="65"/>
                                </a:lnTo>
                                <a:lnTo>
                                  <a:pt x="351" y="62"/>
                                </a:lnTo>
                                <a:lnTo>
                                  <a:pt x="348" y="58"/>
                                </a:lnTo>
                                <a:lnTo>
                                  <a:pt x="345" y="57"/>
                                </a:lnTo>
                                <a:lnTo>
                                  <a:pt x="341" y="57"/>
                                </a:lnTo>
                                <a:close/>
                                <a:moveTo>
                                  <a:pt x="341" y="182"/>
                                </a:moveTo>
                                <a:lnTo>
                                  <a:pt x="412" y="46"/>
                                </a:lnTo>
                                <a:lnTo>
                                  <a:pt x="424" y="46"/>
                                </a:lnTo>
                                <a:lnTo>
                                  <a:pt x="354" y="182"/>
                                </a:lnTo>
                                <a:lnTo>
                                  <a:pt x="341" y="182"/>
                                </a:lnTo>
                                <a:close/>
                                <a:moveTo>
                                  <a:pt x="397" y="147"/>
                                </a:moveTo>
                                <a:lnTo>
                                  <a:pt x="397" y="137"/>
                                </a:lnTo>
                                <a:lnTo>
                                  <a:pt x="399" y="130"/>
                                </a:lnTo>
                                <a:lnTo>
                                  <a:pt x="404" y="123"/>
                                </a:lnTo>
                                <a:lnTo>
                                  <a:pt x="408" y="117"/>
                                </a:lnTo>
                                <a:lnTo>
                                  <a:pt x="415" y="113"/>
                                </a:lnTo>
                                <a:lnTo>
                                  <a:pt x="424" y="113"/>
                                </a:lnTo>
                                <a:lnTo>
                                  <a:pt x="432" y="113"/>
                                </a:lnTo>
                                <a:lnTo>
                                  <a:pt x="439" y="116"/>
                                </a:lnTo>
                                <a:lnTo>
                                  <a:pt x="444" y="122"/>
                                </a:lnTo>
                                <a:lnTo>
                                  <a:pt x="449" y="128"/>
                                </a:lnTo>
                                <a:lnTo>
                                  <a:pt x="452" y="136"/>
                                </a:lnTo>
                                <a:lnTo>
                                  <a:pt x="452" y="148"/>
                                </a:lnTo>
                                <a:lnTo>
                                  <a:pt x="452" y="158"/>
                                </a:lnTo>
                                <a:lnTo>
                                  <a:pt x="449" y="167"/>
                                </a:lnTo>
                                <a:lnTo>
                                  <a:pt x="444" y="173"/>
                                </a:lnTo>
                                <a:lnTo>
                                  <a:pt x="439" y="179"/>
                                </a:lnTo>
                                <a:lnTo>
                                  <a:pt x="432" y="182"/>
                                </a:lnTo>
                                <a:lnTo>
                                  <a:pt x="424" y="182"/>
                                </a:lnTo>
                                <a:lnTo>
                                  <a:pt x="416" y="182"/>
                                </a:lnTo>
                                <a:lnTo>
                                  <a:pt x="410" y="179"/>
                                </a:lnTo>
                                <a:lnTo>
                                  <a:pt x="405" y="173"/>
                                </a:lnTo>
                                <a:lnTo>
                                  <a:pt x="399" y="167"/>
                                </a:lnTo>
                                <a:lnTo>
                                  <a:pt x="397" y="158"/>
                                </a:lnTo>
                                <a:lnTo>
                                  <a:pt x="397" y="147"/>
                                </a:lnTo>
                                <a:close/>
                                <a:moveTo>
                                  <a:pt x="424" y="124"/>
                                </a:moveTo>
                                <a:lnTo>
                                  <a:pt x="420" y="124"/>
                                </a:lnTo>
                                <a:lnTo>
                                  <a:pt x="417" y="126"/>
                                </a:lnTo>
                                <a:lnTo>
                                  <a:pt x="415" y="129"/>
                                </a:lnTo>
                                <a:lnTo>
                                  <a:pt x="412" y="133"/>
                                </a:lnTo>
                                <a:lnTo>
                                  <a:pt x="411" y="139"/>
                                </a:lnTo>
                                <a:lnTo>
                                  <a:pt x="411" y="148"/>
                                </a:lnTo>
                                <a:lnTo>
                                  <a:pt x="411" y="156"/>
                                </a:lnTo>
                                <a:lnTo>
                                  <a:pt x="412" y="162"/>
                                </a:lnTo>
                                <a:lnTo>
                                  <a:pt x="415" y="166"/>
                                </a:lnTo>
                                <a:lnTo>
                                  <a:pt x="417" y="169"/>
                                </a:lnTo>
                                <a:lnTo>
                                  <a:pt x="421" y="171"/>
                                </a:lnTo>
                                <a:lnTo>
                                  <a:pt x="424" y="171"/>
                                </a:lnTo>
                                <a:lnTo>
                                  <a:pt x="428" y="171"/>
                                </a:lnTo>
                                <a:lnTo>
                                  <a:pt x="432" y="169"/>
                                </a:lnTo>
                                <a:lnTo>
                                  <a:pt x="434" y="166"/>
                                </a:lnTo>
                                <a:lnTo>
                                  <a:pt x="437" y="162"/>
                                </a:lnTo>
                                <a:lnTo>
                                  <a:pt x="438" y="156"/>
                                </a:lnTo>
                                <a:lnTo>
                                  <a:pt x="438" y="147"/>
                                </a:lnTo>
                                <a:lnTo>
                                  <a:pt x="438" y="139"/>
                                </a:lnTo>
                                <a:lnTo>
                                  <a:pt x="437" y="133"/>
                                </a:lnTo>
                                <a:lnTo>
                                  <a:pt x="434" y="129"/>
                                </a:lnTo>
                                <a:lnTo>
                                  <a:pt x="432" y="126"/>
                                </a:lnTo>
                                <a:lnTo>
                                  <a:pt x="428" y="124"/>
                                </a:lnTo>
                                <a:lnTo>
                                  <a:pt x="424" y="124"/>
                                </a:lnTo>
                                <a:close/>
                                <a:moveTo>
                                  <a:pt x="485" y="215"/>
                                </a:moveTo>
                                <a:lnTo>
                                  <a:pt x="474" y="215"/>
                                </a:lnTo>
                                <a:lnTo>
                                  <a:pt x="486" y="194"/>
                                </a:lnTo>
                                <a:lnTo>
                                  <a:pt x="494" y="173"/>
                                </a:lnTo>
                                <a:lnTo>
                                  <a:pt x="499" y="151"/>
                                </a:lnTo>
                                <a:lnTo>
                                  <a:pt x="500" y="130"/>
                                </a:lnTo>
                                <a:lnTo>
                                  <a:pt x="500" y="119"/>
                                </a:lnTo>
                                <a:lnTo>
                                  <a:pt x="499" y="108"/>
                                </a:lnTo>
                                <a:lnTo>
                                  <a:pt x="497" y="97"/>
                                </a:lnTo>
                                <a:lnTo>
                                  <a:pt x="495" y="89"/>
                                </a:lnTo>
                                <a:lnTo>
                                  <a:pt x="492" y="80"/>
                                </a:lnTo>
                                <a:lnTo>
                                  <a:pt x="488" y="72"/>
                                </a:lnTo>
                                <a:lnTo>
                                  <a:pt x="486" y="67"/>
                                </a:lnTo>
                                <a:lnTo>
                                  <a:pt x="481" y="58"/>
                                </a:lnTo>
                                <a:lnTo>
                                  <a:pt x="474" y="46"/>
                                </a:lnTo>
                                <a:lnTo>
                                  <a:pt x="485" y="46"/>
                                </a:lnTo>
                                <a:lnTo>
                                  <a:pt x="493" y="57"/>
                                </a:lnTo>
                                <a:lnTo>
                                  <a:pt x="500" y="68"/>
                                </a:lnTo>
                                <a:lnTo>
                                  <a:pt x="505" y="79"/>
                                </a:lnTo>
                                <a:lnTo>
                                  <a:pt x="510" y="90"/>
                                </a:lnTo>
                                <a:lnTo>
                                  <a:pt x="513" y="100"/>
                                </a:lnTo>
                                <a:lnTo>
                                  <a:pt x="515" y="110"/>
                                </a:lnTo>
                                <a:lnTo>
                                  <a:pt x="516" y="120"/>
                                </a:lnTo>
                                <a:lnTo>
                                  <a:pt x="517" y="130"/>
                                </a:lnTo>
                                <a:lnTo>
                                  <a:pt x="516" y="142"/>
                                </a:lnTo>
                                <a:lnTo>
                                  <a:pt x="514" y="154"/>
                                </a:lnTo>
                                <a:lnTo>
                                  <a:pt x="511" y="165"/>
                                </a:lnTo>
                                <a:lnTo>
                                  <a:pt x="507" y="176"/>
                                </a:lnTo>
                                <a:lnTo>
                                  <a:pt x="503" y="187"/>
                                </a:lnTo>
                                <a:lnTo>
                                  <a:pt x="497" y="197"/>
                                </a:lnTo>
                                <a:lnTo>
                                  <a:pt x="492" y="206"/>
                                </a:lnTo>
                                <a:lnTo>
                                  <a:pt x="485" y="215"/>
                                </a:lnTo>
                                <a:close/>
                                <a:moveTo>
                                  <a:pt x="1620" y="113"/>
                                </a:moveTo>
                                <a:lnTo>
                                  <a:pt x="1620" y="98"/>
                                </a:lnTo>
                                <a:lnTo>
                                  <a:pt x="1622" y="86"/>
                                </a:lnTo>
                                <a:lnTo>
                                  <a:pt x="1625" y="77"/>
                                </a:lnTo>
                                <a:lnTo>
                                  <a:pt x="1628" y="67"/>
                                </a:lnTo>
                                <a:lnTo>
                                  <a:pt x="1633" y="60"/>
                                </a:lnTo>
                                <a:lnTo>
                                  <a:pt x="1639" y="55"/>
                                </a:lnTo>
                                <a:lnTo>
                                  <a:pt x="1645" y="50"/>
                                </a:lnTo>
                                <a:lnTo>
                                  <a:pt x="1653" y="47"/>
                                </a:lnTo>
                                <a:lnTo>
                                  <a:pt x="1662" y="47"/>
                                </a:lnTo>
                                <a:lnTo>
                                  <a:pt x="1669" y="47"/>
                                </a:lnTo>
                                <a:lnTo>
                                  <a:pt x="1675" y="49"/>
                                </a:lnTo>
                                <a:lnTo>
                                  <a:pt x="1681" y="52"/>
                                </a:lnTo>
                                <a:lnTo>
                                  <a:pt x="1686" y="54"/>
                                </a:lnTo>
                                <a:lnTo>
                                  <a:pt x="1690" y="58"/>
                                </a:lnTo>
                                <a:lnTo>
                                  <a:pt x="1694" y="64"/>
                                </a:lnTo>
                                <a:lnTo>
                                  <a:pt x="1697" y="69"/>
                                </a:lnTo>
                                <a:lnTo>
                                  <a:pt x="1700" y="75"/>
                                </a:lnTo>
                                <a:lnTo>
                                  <a:pt x="1702" y="83"/>
                                </a:lnTo>
                                <a:lnTo>
                                  <a:pt x="1703" y="90"/>
                                </a:lnTo>
                                <a:lnTo>
                                  <a:pt x="1704" y="101"/>
                                </a:lnTo>
                                <a:lnTo>
                                  <a:pt x="1704" y="113"/>
                                </a:lnTo>
                                <a:lnTo>
                                  <a:pt x="1704" y="128"/>
                                </a:lnTo>
                                <a:lnTo>
                                  <a:pt x="1703" y="141"/>
                                </a:lnTo>
                                <a:lnTo>
                                  <a:pt x="1700" y="150"/>
                                </a:lnTo>
                                <a:lnTo>
                                  <a:pt x="1697" y="159"/>
                                </a:lnTo>
                                <a:lnTo>
                                  <a:pt x="1692" y="166"/>
                                </a:lnTo>
                                <a:lnTo>
                                  <a:pt x="1686" y="171"/>
                                </a:lnTo>
                                <a:lnTo>
                                  <a:pt x="1680" y="177"/>
                                </a:lnTo>
                                <a:lnTo>
                                  <a:pt x="1672" y="179"/>
                                </a:lnTo>
                                <a:lnTo>
                                  <a:pt x="1662" y="179"/>
                                </a:lnTo>
                                <a:lnTo>
                                  <a:pt x="1650" y="179"/>
                                </a:lnTo>
                                <a:lnTo>
                                  <a:pt x="1640" y="175"/>
                                </a:lnTo>
                                <a:lnTo>
                                  <a:pt x="1633" y="166"/>
                                </a:lnTo>
                                <a:lnTo>
                                  <a:pt x="1628" y="156"/>
                                </a:lnTo>
                                <a:lnTo>
                                  <a:pt x="1624" y="145"/>
                                </a:lnTo>
                                <a:lnTo>
                                  <a:pt x="1621" y="130"/>
                                </a:lnTo>
                                <a:lnTo>
                                  <a:pt x="1620" y="113"/>
                                </a:lnTo>
                                <a:close/>
                                <a:moveTo>
                                  <a:pt x="1637" y="113"/>
                                </a:moveTo>
                                <a:lnTo>
                                  <a:pt x="1637" y="128"/>
                                </a:lnTo>
                                <a:lnTo>
                                  <a:pt x="1639" y="140"/>
                                </a:lnTo>
                                <a:lnTo>
                                  <a:pt x="1641" y="149"/>
                                </a:lnTo>
                                <a:lnTo>
                                  <a:pt x="1644" y="156"/>
                                </a:lnTo>
                                <a:lnTo>
                                  <a:pt x="1649" y="163"/>
                                </a:lnTo>
                                <a:lnTo>
                                  <a:pt x="1655" y="166"/>
                                </a:lnTo>
                                <a:lnTo>
                                  <a:pt x="1662" y="166"/>
                                </a:lnTo>
                                <a:lnTo>
                                  <a:pt x="1670" y="166"/>
                                </a:lnTo>
                                <a:lnTo>
                                  <a:pt x="1676" y="163"/>
                                </a:lnTo>
                                <a:lnTo>
                                  <a:pt x="1681" y="156"/>
                                </a:lnTo>
                                <a:lnTo>
                                  <a:pt x="1684" y="149"/>
                                </a:lnTo>
                                <a:lnTo>
                                  <a:pt x="1686" y="140"/>
                                </a:lnTo>
                                <a:lnTo>
                                  <a:pt x="1688" y="128"/>
                                </a:lnTo>
                                <a:lnTo>
                                  <a:pt x="1688" y="113"/>
                                </a:lnTo>
                                <a:lnTo>
                                  <a:pt x="1688" y="99"/>
                                </a:lnTo>
                                <a:lnTo>
                                  <a:pt x="1686" y="87"/>
                                </a:lnTo>
                                <a:lnTo>
                                  <a:pt x="1684" y="78"/>
                                </a:lnTo>
                                <a:lnTo>
                                  <a:pt x="1681" y="71"/>
                                </a:lnTo>
                                <a:lnTo>
                                  <a:pt x="1676" y="64"/>
                                </a:lnTo>
                                <a:lnTo>
                                  <a:pt x="1670" y="61"/>
                                </a:lnTo>
                                <a:lnTo>
                                  <a:pt x="1662" y="61"/>
                                </a:lnTo>
                                <a:lnTo>
                                  <a:pt x="1655" y="61"/>
                                </a:lnTo>
                                <a:lnTo>
                                  <a:pt x="1649" y="64"/>
                                </a:lnTo>
                                <a:lnTo>
                                  <a:pt x="1645" y="70"/>
                                </a:lnTo>
                                <a:lnTo>
                                  <a:pt x="1641" y="77"/>
                                </a:lnTo>
                                <a:lnTo>
                                  <a:pt x="1639" y="87"/>
                                </a:lnTo>
                                <a:lnTo>
                                  <a:pt x="1637" y="99"/>
                                </a:lnTo>
                                <a:lnTo>
                                  <a:pt x="1637" y="113"/>
                                </a:lnTo>
                                <a:close/>
                                <a:moveTo>
                                  <a:pt x="1805" y="215"/>
                                </a:moveTo>
                                <a:lnTo>
                                  <a:pt x="1799" y="206"/>
                                </a:lnTo>
                                <a:lnTo>
                                  <a:pt x="1793" y="197"/>
                                </a:lnTo>
                                <a:lnTo>
                                  <a:pt x="1788" y="187"/>
                                </a:lnTo>
                                <a:lnTo>
                                  <a:pt x="1783" y="176"/>
                                </a:lnTo>
                                <a:lnTo>
                                  <a:pt x="1779" y="165"/>
                                </a:lnTo>
                                <a:lnTo>
                                  <a:pt x="1776" y="154"/>
                                </a:lnTo>
                                <a:lnTo>
                                  <a:pt x="1775" y="142"/>
                                </a:lnTo>
                                <a:lnTo>
                                  <a:pt x="1774" y="130"/>
                                </a:lnTo>
                                <a:lnTo>
                                  <a:pt x="1774" y="120"/>
                                </a:lnTo>
                                <a:lnTo>
                                  <a:pt x="1776" y="110"/>
                                </a:lnTo>
                                <a:lnTo>
                                  <a:pt x="1778" y="100"/>
                                </a:lnTo>
                                <a:lnTo>
                                  <a:pt x="1781" y="90"/>
                                </a:lnTo>
                                <a:lnTo>
                                  <a:pt x="1785" y="79"/>
                                </a:lnTo>
                                <a:lnTo>
                                  <a:pt x="1791" y="68"/>
                                </a:lnTo>
                                <a:lnTo>
                                  <a:pt x="1797" y="57"/>
                                </a:lnTo>
                                <a:lnTo>
                                  <a:pt x="1805" y="46"/>
                                </a:lnTo>
                                <a:lnTo>
                                  <a:pt x="1816" y="46"/>
                                </a:lnTo>
                                <a:lnTo>
                                  <a:pt x="1809" y="58"/>
                                </a:lnTo>
                                <a:lnTo>
                                  <a:pt x="1805" y="67"/>
                                </a:lnTo>
                                <a:lnTo>
                                  <a:pt x="1802" y="72"/>
                                </a:lnTo>
                                <a:lnTo>
                                  <a:pt x="1799" y="80"/>
                                </a:lnTo>
                                <a:lnTo>
                                  <a:pt x="1796" y="88"/>
                                </a:lnTo>
                                <a:lnTo>
                                  <a:pt x="1794" y="97"/>
                                </a:lnTo>
                                <a:lnTo>
                                  <a:pt x="1791" y="108"/>
                                </a:lnTo>
                                <a:lnTo>
                                  <a:pt x="1790" y="119"/>
                                </a:lnTo>
                                <a:lnTo>
                                  <a:pt x="1790" y="130"/>
                                </a:lnTo>
                                <a:lnTo>
                                  <a:pt x="1792" y="151"/>
                                </a:lnTo>
                                <a:lnTo>
                                  <a:pt x="1797" y="173"/>
                                </a:lnTo>
                                <a:lnTo>
                                  <a:pt x="1805" y="194"/>
                                </a:lnTo>
                                <a:lnTo>
                                  <a:pt x="1816" y="215"/>
                                </a:lnTo>
                                <a:lnTo>
                                  <a:pt x="1805" y="215"/>
                                </a:lnTo>
                                <a:close/>
                                <a:moveTo>
                                  <a:pt x="1830" y="113"/>
                                </a:moveTo>
                                <a:lnTo>
                                  <a:pt x="1830" y="98"/>
                                </a:lnTo>
                                <a:lnTo>
                                  <a:pt x="1832" y="86"/>
                                </a:lnTo>
                                <a:lnTo>
                                  <a:pt x="1835" y="77"/>
                                </a:lnTo>
                                <a:lnTo>
                                  <a:pt x="1838" y="67"/>
                                </a:lnTo>
                                <a:lnTo>
                                  <a:pt x="1843" y="60"/>
                                </a:lnTo>
                                <a:lnTo>
                                  <a:pt x="1849" y="55"/>
                                </a:lnTo>
                                <a:lnTo>
                                  <a:pt x="1855" y="50"/>
                                </a:lnTo>
                                <a:lnTo>
                                  <a:pt x="1863" y="47"/>
                                </a:lnTo>
                                <a:lnTo>
                                  <a:pt x="1872" y="47"/>
                                </a:lnTo>
                                <a:lnTo>
                                  <a:pt x="1879" y="47"/>
                                </a:lnTo>
                                <a:lnTo>
                                  <a:pt x="1885" y="49"/>
                                </a:lnTo>
                                <a:lnTo>
                                  <a:pt x="1891" y="52"/>
                                </a:lnTo>
                                <a:lnTo>
                                  <a:pt x="1896" y="54"/>
                                </a:lnTo>
                                <a:lnTo>
                                  <a:pt x="1900" y="58"/>
                                </a:lnTo>
                                <a:lnTo>
                                  <a:pt x="1904" y="64"/>
                                </a:lnTo>
                                <a:lnTo>
                                  <a:pt x="1907" y="69"/>
                                </a:lnTo>
                                <a:lnTo>
                                  <a:pt x="1910" y="75"/>
                                </a:lnTo>
                                <a:lnTo>
                                  <a:pt x="1912" y="83"/>
                                </a:lnTo>
                                <a:lnTo>
                                  <a:pt x="1914" y="90"/>
                                </a:lnTo>
                                <a:lnTo>
                                  <a:pt x="1914" y="101"/>
                                </a:lnTo>
                                <a:lnTo>
                                  <a:pt x="1914" y="113"/>
                                </a:lnTo>
                                <a:lnTo>
                                  <a:pt x="1914" y="128"/>
                                </a:lnTo>
                                <a:lnTo>
                                  <a:pt x="1913" y="141"/>
                                </a:lnTo>
                                <a:lnTo>
                                  <a:pt x="1910" y="150"/>
                                </a:lnTo>
                                <a:lnTo>
                                  <a:pt x="1907" y="159"/>
                                </a:lnTo>
                                <a:lnTo>
                                  <a:pt x="1902" y="166"/>
                                </a:lnTo>
                                <a:lnTo>
                                  <a:pt x="1896" y="171"/>
                                </a:lnTo>
                                <a:lnTo>
                                  <a:pt x="1890" y="177"/>
                                </a:lnTo>
                                <a:lnTo>
                                  <a:pt x="1882" y="179"/>
                                </a:lnTo>
                                <a:lnTo>
                                  <a:pt x="1872" y="179"/>
                                </a:lnTo>
                                <a:lnTo>
                                  <a:pt x="1860" y="179"/>
                                </a:lnTo>
                                <a:lnTo>
                                  <a:pt x="1850" y="175"/>
                                </a:lnTo>
                                <a:lnTo>
                                  <a:pt x="1843" y="166"/>
                                </a:lnTo>
                                <a:lnTo>
                                  <a:pt x="1838" y="156"/>
                                </a:lnTo>
                                <a:lnTo>
                                  <a:pt x="1834" y="145"/>
                                </a:lnTo>
                                <a:lnTo>
                                  <a:pt x="1831" y="130"/>
                                </a:lnTo>
                                <a:lnTo>
                                  <a:pt x="1830" y="113"/>
                                </a:lnTo>
                                <a:close/>
                                <a:moveTo>
                                  <a:pt x="1847" y="113"/>
                                </a:moveTo>
                                <a:lnTo>
                                  <a:pt x="1847" y="128"/>
                                </a:lnTo>
                                <a:lnTo>
                                  <a:pt x="1849" y="140"/>
                                </a:lnTo>
                                <a:lnTo>
                                  <a:pt x="1851" y="149"/>
                                </a:lnTo>
                                <a:lnTo>
                                  <a:pt x="1854" y="156"/>
                                </a:lnTo>
                                <a:lnTo>
                                  <a:pt x="1859" y="163"/>
                                </a:lnTo>
                                <a:lnTo>
                                  <a:pt x="1865" y="166"/>
                                </a:lnTo>
                                <a:lnTo>
                                  <a:pt x="1872" y="166"/>
                                </a:lnTo>
                                <a:lnTo>
                                  <a:pt x="1880" y="166"/>
                                </a:lnTo>
                                <a:lnTo>
                                  <a:pt x="1886" y="163"/>
                                </a:lnTo>
                                <a:lnTo>
                                  <a:pt x="1891" y="156"/>
                                </a:lnTo>
                                <a:lnTo>
                                  <a:pt x="1894" y="149"/>
                                </a:lnTo>
                                <a:lnTo>
                                  <a:pt x="1896" y="140"/>
                                </a:lnTo>
                                <a:lnTo>
                                  <a:pt x="1898" y="128"/>
                                </a:lnTo>
                                <a:lnTo>
                                  <a:pt x="1898" y="113"/>
                                </a:lnTo>
                                <a:lnTo>
                                  <a:pt x="1898" y="99"/>
                                </a:lnTo>
                                <a:lnTo>
                                  <a:pt x="1896" y="87"/>
                                </a:lnTo>
                                <a:lnTo>
                                  <a:pt x="1894" y="78"/>
                                </a:lnTo>
                                <a:lnTo>
                                  <a:pt x="1891" y="71"/>
                                </a:lnTo>
                                <a:lnTo>
                                  <a:pt x="1886" y="64"/>
                                </a:lnTo>
                                <a:lnTo>
                                  <a:pt x="1880" y="61"/>
                                </a:lnTo>
                                <a:lnTo>
                                  <a:pt x="1872" y="61"/>
                                </a:lnTo>
                                <a:lnTo>
                                  <a:pt x="1865" y="61"/>
                                </a:lnTo>
                                <a:lnTo>
                                  <a:pt x="1859" y="64"/>
                                </a:lnTo>
                                <a:lnTo>
                                  <a:pt x="1855" y="70"/>
                                </a:lnTo>
                                <a:lnTo>
                                  <a:pt x="1851" y="77"/>
                                </a:lnTo>
                                <a:lnTo>
                                  <a:pt x="1849" y="87"/>
                                </a:lnTo>
                                <a:lnTo>
                                  <a:pt x="1847" y="99"/>
                                </a:lnTo>
                                <a:lnTo>
                                  <a:pt x="1847" y="113"/>
                                </a:lnTo>
                                <a:close/>
                                <a:moveTo>
                                  <a:pt x="1934" y="79"/>
                                </a:moveTo>
                                <a:lnTo>
                                  <a:pt x="1934" y="70"/>
                                </a:lnTo>
                                <a:lnTo>
                                  <a:pt x="1936" y="62"/>
                                </a:lnTo>
                                <a:lnTo>
                                  <a:pt x="1940" y="55"/>
                                </a:lnTo>
                                <a:lnTo>
                                  <a:pt x="1945" y="49"/>
                                </a:lnTo>
                                <a:lnTo>
                                  <a:pt x="1952" y="46"/>
                                </a:lnTo>
                                <a:lnTo>
                                  <a:pt x="1961" y="46"/>
                                </a:lnTo>
                                <a:lnTo>
                                  <a:pt x="1969" y="46"/>
                                </a:lnTo>
                                <a:lnTo>
                                  <a:pt x="1975" y="49"/>
                                </a:lnTo>
                                <a:lnTo>
                                  <a:pt x="1981" y="54"/>
                                </a:lnTo>
                                <a:lnTo>
                                  <a:pt x="1986" y="60"/>
                                </a:lnTo>
                                <a:lnTo>
                                  <a:pt x="1989" y="69"/>
                                </a:lnTo>
                                <a:lnTo>
                                  <a:pt x="1989" y="80"/>
                                </a:lnTo>
                                <a:lnTo>
                                  <a:pt x="1989" y="91"/>
                                </a:lnTo>
                                <a:lnTo>
                                  <a:pt x="1986" y="99"/>
                                </a:lnTo>
                                <a:lnTo>
                                  <a:pt x="1981" y="105"/>
                                </a:lnTo>
                                <a:lnTo>
                                  <a:pt x="1975" y="111"/>
                                </a:lnTo>
                                <a:lnTo>
                                  <a:pt x="1969" y="114"/>
                                </a:lnTo>
                                <a:lnTo>
                                  <a:pt x="1961" y="114"/>
                                </a:lnTo>
                                <a:lnTo>
                                  <a:pt x="1953" y="114"/>
                                </a:lnTo>
                                <a:lnTo>
                                  <a:pt x="1947" y="111"/>
                                </a:lnTo>
                                <a:lnTo>
                                  <a:pt x="1941" y="105"/>
                                </a:lnTo>
                                <a:lnTo>
                                  <a:pt x="1936" y="99"/>
                                </a:lnTo>
                                <a:lnTo>
                                  <a:pt x="1934" y="91"/>
                                </a:lnTo>
                                <a:lnTo>
                                  <a:pt x="1934" y="79"/>
                                </a:lnTo>
                                <a:close/>
                                <a:moveTo>
                                  <a:pt x="1961" y="57"/>
                                </a:moveTo>
                                <a:lnTo>
                                  <a:pt x="1957" y="57"/>
                                </a:lnTo>
                                <a:lnTo>
                                  <a:pt x="1954" y="58"/>
                                </a:lnTo>
                                <a:lnTo>
                                  <a:pt x="1951" y="62"/>
                                </a:lnTo>
                                <a:lnTo>
                                  <a:pt x="1949" y="65"/>
                                </a:lnTo>
                                <a:lnTo>
                                  <a:pt x="1947" y="71"/>
                                </a:lnTo>
                                <a:lnTo>
                                  <a:pt x="1947" y="81"/>
                                </a:lnTo>
                                <a:lnTo>
                                  <a:pt x="1947" y="89"/>
                                </a:lnTo>
                                <a:lnTo>
                                  <a:pt x="1949" y="95"/>
                                </a:lnTo>
                                <a:lnTo>
                                  <a:pt x="1951" y="98"/>
                                </a:lnTo>
                                <a:lnTo>
                                  <a:pt x="1954" y="101"/>
                                </a:lnTo>
                                <a:lnTo>
                                  <a:pt x="1957" y="103"/>
                                </a:lnTo>
                                <a:lnTo>
                                  <a:pt x="1961" y="103"/>
                                </a:lnTo>
                                <a:lnTo>
                                  <a:pt x="1965" y="103"/>
                                </a:lnTo>
                                <a:lnTo>
                                  <a:pt x="1968" y="101"/>
                                </a:lnTo>
                                <a:lnTo>
                                  <a:pt x="1971" y="98"/>
                                </a:lnTo>
                                <a:lnTo>
                                  <a:pt x="1974" y="95"/>
                                </a:lnTo>
                                <a:lnTo>
                                  <a:pt x="1975" y="88"/>
                                </a:lnTo>
                                <a:lnTo>
                                  <a:pt x="1975" y="79"/>
                                </a:lnTo>
                                <a:lnTo>
                                  <a:pt x="1975" y="71"/>
                                </a:lnTo>
                                <a:lnTo>
                                  <a:pt x="1974" y="65"/>
                                </a:lnTo>
                                <a:lnTo>
                                  <a:pt x="1971" y="62"/>
                                </a:lnTo>
                                <a:lnTo>
                                  <a:pt x="1968" y="58"/>
                                </a:lnTo>
                                <a:lnTo>
                                  <a:pt x="1965" y="57"/>
                                </a:lnTo>
                                <a:lnTo>
                                  <a:pt x="1961" y="57"/>
                                </a:lnTo>
                                <a:close/>
                                <a:moveTo>
                                  <a:pt x="1961" y="182"/>
                                </a:moveTo>
                                <a:lnTo>
                                  <a:pt x="2032" y="46"/>
                                </a:lnTo>
                                <a:lnTo>
                                  <a:pt x="2044" y="46"/>
                                </a:lnTo>
                                <a:lnTo>
                                  <a:pt x="1974" y="182"/>
                                </a:lnTo>
                                <a:lnTo>
                                  <a:pt x="1961" y="182"/>
                                </a:lnTo>
                                <a:close/>
                                <a:moveTo>
                                  <a:pt x="2017" y="147"/>
                                </a:moveTo>
                                <a:lnTo>
                                  <a:pt x="2017" y="137"/>
                                </a:lnTo>
                                <a:lnTo>
                                  <a:pt x="2019" y="130"/>
                                </a:lnTo>
                                <a:lnTo>
                                  <a:pt x="2024" y="123"/>
                                </a:lnTo>
                                <a:lnTo>
                                  <a:pt x="2028" y="117"/>
                                </a:lnTo>
                                <a:lnTo>
                                  <a:pt x="2035" y="113"/>
                                </a:lnTo>
                                <a:lnTo>
                                  <a:pt x="2044" y="113"/>
                                </a:lnTo>
                                <a:lnTo>
                                  <a:pt x="2052" y="113"/>
                                </a:lnTo>
                                <a:lnTo>
                                  <a:pt x="2059" y="116"/>
                                </a:lnTo>
                                <a:lnTo>
                                  <a:pt x="2064" y="122"/>
                                </a:lnTo>
                                <a:lnTo>
                                  <a:pt x="2069" y="128"/>
                                </a:lnTo>
                                <a:lnTo>
                                  <a:pt x="2072" y="136"/>
                                </a:lnTo>
                                <a:lnTo>
                                  <a:pt x="2072" y="148"/>
                                </a:lnTo>
                                <a:lnTo>
                                  <a:pt x="2072" y="158"/>
                                </a:lnTo>
                                <a:lnTo>
                                  <a:pt x="2069" y="167"/>
                                </a:lnTo>
                                <a:lnTo>
                                  <a:pt x="2064" y="173"/>
                                </a:lnTo>
                                <a:lnTo>
                                  <a:pt x="2059" y="179"/>
                                </a:lnTo>
                                <a:lnTo>
                                  <a:pt x="2052" y="182"/>
                                </a:lnTo>
                                <a:lnTo>
                                  <a:pt x="2044" y="182"/>
                                </a:lnTo>
                                <a:lnTo>
                                  <a:pt x="2036" y="182"/>
                                </a:lnTo>
                                <a:lnTo>
                                  <a:pt x="2030" y="179"/>
                                </a:lnTo>
                                <a:lnTo>
                                  <a:pt x="2025" y="173"/>
                                </a:lnTo>
                                <a:lnTo>
                                  <a:pt x="2019" y="167"/>
                                </a:lnTo>
                                <a:lnTo>
                                  <a:pt x="2017" y="158"/>
                                </a:lnTo>
                                <a:lnTo>
                                  <a:pt x="2017" y="147"/>
                                </a:lnTo>
                                <a:close/>
                                <a:moveTo>
                                  <a:pt x="2044" y="124"/>
                                </a:moveTo>
                                <a:lnTo>
                                  <a:pt x="2040" y="124"/>
                                </a:lnTo>
                                <a:lnTo>
                                  <a:pt x="2037" y="126"/>
                                </a:lnTo>
                                <a:lnTo>
                                  <a:pt x="2035" y="129"/>
                                </a:lnTo>
                                <a:lnTo>
                                  <a:pt x="2032" y="133"/>
                                </a:lnTo>
                                <a:lnTo>
                                  <a:pt x="2031" y="139"/>
                                </a:lnTo>
                                <a:lnTo>
                                  <a:pt x="2031" y="148"/>
                                </a:lnTo>
                                <a:lnTo>
                                  <a:pt x="2031" y="156"/>
                                </a:lnTo>
                                <a:lnTo>
                                  <a:pt x="2032" y="162"/>
                                </a:lnTo>
                                <a:lnTo>
                                  <a:pt x="2035" y="166"/>
                                </a:lnTo>
                                <a:lnTo>
                                  <a:pt x="2037" y="169"/>
                                </a:lnTo>
                                <a:lnTo>
                                  <a:pt x="2041" y="171"/>
                                </a:lnTo>
                                <a:lnTo>
                                  <a:pt x="2044" y="171"/>
                                </a:lnTo>
                                <a:lnTo>
                                  <a:pt x="2048" y="171"/>
                                </a:lnTo>
                                <a:lnTo>
                                  <a:pt x="2052" y="169"/>
                                </a:lnTo>
                                <a:lnTo>
                                  <a:pt x="2054" y="166"/>
                                </a:lnTo>
                                <a:lnTo>
                                  <a:pt x="2057" y="162"/>
                                </a:lnTo>
                                <a:lnTo>
                                  <a:pt x="2058" y="156"/>
                                </a:lnTo>
                                <a:lnTo>
                                  <a:pt x="2058" y="147"/>
                                </a:lnTo>
                                <a:lnTo>
                                  <a:pt x="2058" y="139"/>
                                </a:lnTo>
                                <a:lnTo>
                                  <a:pt x="2057" y="133"/>
                                </a:lnTo>
                                <a:lnTo>
                                  <a:pt x="2054" y="129"/>
                                </a:lnTo>
                                <a:lnTo>
                                  <a:pt x="2052" y="126"/>
                                </a:lnTo>
                                <a:lnTo>
                                  <a:pt x="2048" y="124"/>
                                </a:lnTo>
                                <a:lnTo>
                                  <a:pt x="2044" y="124"/>
                                </a:lnTo>
                                <a:close/>
                                <a:moveTo>
                                  <a:pt x="2105" y="215"/>
                                </a:moveTo>
                                <a:lnTo>
                                  <a:pt x="2094" y="215"/>
                                </a:lnTo>
                                <a:lnTo>
                                  <a:pt x="2106" y="194"/>
                                </a:lnTo>
                                <a:lnTo>
                                  <a:pt x="2114" y="173"/>
                                </a:lnTo>
                                <a:lnTo>
                                  <a:pt x="2119" y="151"/>
                                </a:lnTo>
                                <a:lnTo>
                                  <a:pt x="2120" y="130"/>
                                </a:lnTo>
                                <a:lnTo>
                                  <a:pt x="2120" y="119"/>
                                </a:lnTo>
                                <a:lnTo>
                                  <a:pt x="2119" y="108"/>
                                </a:lnTo>
                                <a:lnTo>
                                  <a:pt x="2117" y="97"/>
                                </a:lnTo>
                                <a:lnTo>
                                  <a:pt x="2115" y="89"/>
                                </a:lnTo>
                                <a:lnTo>
                                  <a:pt x="2112" y="80"/>
                                </a:lnTo>
                                <a:lnTo>
                                  <a:pt x="2108" y="72"/>
                                </a:lnTo>
                                <a:lnTo>
                                  <a:pt x="2106" y="67"/>
                                </a:lnTo>
                                <a:lnTo>
                                  <a:pt x="2101" y="58"/>
                                </a:lnTo>
                                <a:lnTo>
                                  <a:pt x="2094" y="46"/>
                                </a:lnTo>
                                <a:lnTo>
                                  <a:pt x="2105" y="46"/>
                                </a:lnTo>
                                <a:lnTo>
                                  <a:pt x="2113" y="57"/>
                                </a:lnTo>
                                <a:lnTo>
                                  <a:pt x="2120" y="68"/>
                                </a:lnTo>
                                <a:lnTo>
                                  <a:pt x="2125" y="79"/>
                                </a:lnTo>
                                <a:lnTo>
                                  <a:pt x="2130" y="90"/>
                                </a:lnTo>
                                <a:lnTo>
                                  <a:pt x="2133" y="100"/>
                                </a:lnTo>
                                <a:lnTo>
                                  <a:pt x="2135" y="110"/>
                                </a:lnTo>
                                <a:lnTo>
                                  <a:pt x="2136" y="120"/>
                                </a:lnTo>
                                <a:lnTo>
                                  <a:pt x="2137" y="130"/>
                                </a:lnTo>
                                <a:lnTo>
                                  <a:pt x="2136" y="142"/>
                                </a:lnTo>
                                <a:lnTo>
                                  <a:pt x="2134" y="154"/>
                                </a:lnTo>
                                <a:lnTo>
                                  <a:pt x="2131" y="165"/>
                                </a:lnTo>
                                <a:lnTo>
                                  <a:pt x="2127" y="176"/>
                                </a:lnTo>
                                <a:lnTo>
                                  <a:pt x="2123" y="187"/>
                                </a:lnTo>
                                <a:lnTo>
                                  <a:pt x="2117" y="197"/>
                                </a:lnTo>
                                <a:lnTo>
                                  <a:pt x="2112" y="206"/>
                                </a:lnTo>
                                <a:lnTo>
                                  <a:pt x="2105" y="215"/>
                                </a:lnTo>
                                <a:close/>
                                <a:moveTo>
                                  <a:pt x="3263" y="115"/>
                                </a:moveTo>
                                <a:lnTo>
                                  <a:pt x="3263" y="131"/>
                                </a:lnTo>
                                <a:lnTo>
                                  <a:pt x="3178" y="131"/>
                                </a:lnTo>
                                <a:lnTo>
                                  <a:pt x="3178" y="127"/>
                                </a:lnTo>
                                <a:lnTo>
                                  <a:pt x="3179" y="123"/>
                                </a:lnTo>
                                <a:lnTo>
                                  <a:pt x="3180" y="120"/>
                                </a:lnTo>
                                <a:lnTo>
                                  <a:pt x="3182" y="114"/>
                                </a:lnTo>
                                <a:lnTo>
                                  <a:pt x="3186" y="108"/>
                                </a:lnTo>
                                <a:lnTo>
                                  <a:pt x="3190" y="103"/>
                                </a:lnTo>
                                <a:lnTo>
                                  <a:pt x="3195" y="97"/>
                                </a:lnTo>
                                <a:lnTo>
                                  <a:pt x="3202" y="90"/>
                                </a:lnTo>
                                <a:lnTo>
                                  <a:pt x="3211" y="83"/>
                                </a:lnTo>
                                <a:lnTo>
                                  <a:pt x="3225" y="72"/>
                                </a:lnTo>
                                <a:lnTo>
                                  <a:pt x="3235" y="62"/>
                                </a:lnTo>
                                <a:lnTo>
                                  <a:pt x="3239" y="56"/>
                                </a:lnTo>
                                <a:lnTo>
                                  <a:pt x="3244" y="49"/>
                                </a:lnTo>
                                <a:lnTo>
                                  <a:pt x="3247" y="43"/>
                                </a:lnTo>
                                <a:lnTo>
                                  <a:pt x="3247" y="37"/>
                                </a:lnTo>
                                <a:lnTo>
                                  <a:pt x="3247" y="30"/>
                                </a:lnTo>
                                <a:lnTo>
                                  <a:pt x="3245" y="25"/>
                                </a:lnTo>
                                <a:lnTo>
                                  <a:pt x="3240" y="21"/>
                                </a:lnTo>
                                <a:lnTo>
                                  <a:pt x="3236" y="17"/>
                                </a:lnTo>
                                <a:lnTo>
                                  <a:pt x="3230" y="14"/>
                                </a:lnTo>
                                <a:lnTo>
                                  <a:pt x="3223" y="14"/>
                                </a:lnTo>
                                <a:lnTo>
                                  <a:pt x="3215" y="14"/>
                                </a:lnTo>
                                <a:lnTo>
                                  <a:pt x="3209" y="17"/>
                                </a:lnTo>
                                <a:lnTo>
                                  <a:pt x="3204" y="21"/>
                                </a:lnTo>
                                <a:lnTo>
                                  <a:pt x="3200" y="26"/>
                                </a:lnTo>
                                <a:lnTo>
                                  <a:pt x="3197" y="32"/>
                                </a:lnTo>
                                <a:lnTo>
                                  <a:pt x="3197" y="40"/>
                                </a:lnTo>
                                <a:lnTo>
                                  <a:pt x="3181" y="39"/>
                                </a:lnTo>
                                <a:lnTo>
                                  <a:pt x="3182" y="26"/>
                                </a:lnTo>
                                <a:lnTo>
                                  <a:pt x="3186" y="17"/>
                                </a:lnTo>
                                <a:lnTo>
                                  <a:pt x="3194" y="11"/>
                                </a:lnTo>
                                <a:lnTo>
                                  <a:pt x="3201" y="4"/>
                                </a:lnTo>
                                <a:lnTo>
                                  <a:pt x="3211" y="1"/>
                                </a:lnTo>
                                <a:lnTo>
                                  <a:pt x="3223" y="1"/>
                                </a:lnTo>
                                <a:lnTo>
                                  <a:pt x="3235" y="1"/>
                                </a:lnTo>
                                <a:lnTo>
                                  <a:pt x="3245" y="5"/>
                                </a:lnTo>
                                <a:lnTo>
                                  <a:pt x="3252" y="12"/>
                                </a:lnTo>
                                <a:lnTo>
                                  <a:pt x="3260" y="18"/>
                                </a:lnTo>
                                <a:lnTo>
                                  <a:pt x="3263" y="27"/>
                                </a:lnTo>
                                <a:lnTo>
                                  <a:pt x="3263" y="37"/>
                                </a:lnTo>
                                <a:lnTo>
                                  <a:pt x="3263" y="42"/>
                                </a:lnTo>
                                <a:lnTo>
                                  <a:pt x="3262" y="47"/>
                                </a:lnTo>
                                <a:lnTo>
                                  <a:pt x="3260" y="52"/>
                                </a:lnTo>
                                <a:lnTo>
                                  <a:pt x="3258" y="57"/>
                                </a:lnTo>
                                <a:lnTo>
                                  <a:pt x="3254" y="63"/>
                                </a:lnTo>
                                <a:lnTo>
                                  <a:pt x="3249" y="68"/>
                                </a:lnTo>
                                <a:lnTo>
                                  <a:pt x="3245" y="74"/>
                                </a:lnTo>
                                <a:lnTo>
                                  <a:pt x="3236" y="81"/>
                                </a:lnTo>
                                <a:lnTo>
                                  <a:pt x="3225" y="91"/>
                                </a:lnTo>
                                <a:lnTo>
                                  <a:pt x="3216" y="99"/>
                                </a:lnTo>
                                <a:lnTo>
                                  <a:pt x="3209" y="104"/>
                                </a:lnTo>
                                <a:lnTo>
                                  <a:pt x="3207" y="107"/>
                                </a:lnTo>
                                <a:lnTo>
                                  <a:pt x="3204" y="110"/>
                                </a:lnTo>
                                <a:lnTo>
                                  <a:pt x="3202" y="113"/>
                                </a:lnTo>
                                <a:lnTo>
                                  <a:pt x="3200" y="115"/>
                                </a:lnTo>
                                <a:lnTo>
                                  <a:pt x="3263" y="115"/>
                                </a:lnTo>
                                <a:close/>
                                <a:moveTo>
                                  <a:pt x="3365" y="169"/>
                                </a:moveTo>
                                <a:lnTo>
                                  <a:pt x="3359" y="160"/>
                                </a:lnTo>
                                <a:lnTo>
                                  <a:pt x="3353" y="151"/>
                                </a:lnTo>
                                <a:lnTo>
                                  <a:pt x="3348" y="141"/>
                                </a:lnTo>
                                <a:lnTo>
                                  <a:pt x="3343" y="130"/>
                                </a:lnTo>
                                <a:lnTo>
                                  <a:pt x="3339" y="119"/>
                                </a:lnTo>
                                <a:lnTo>
                                  <a:pt x="3336" y="107"/>
                                </a:lnTo>
                                <a:lnTo>
                                  <a:pt x="3334" y="96"/>
                                </a:lnTo>
                                <a:lnTo>
                                  <a:pt x="3334" y="84"/>
                                </a:lnTo>
                                <a:lnTo>
                                  <a:pt x="3334" y="74"/>
                                </a:lnTo>
                                <a:lnTo>
                                  <a:pt x="3335" y="64"/>
                                </a:lnTo>
                                <a:lnTo>
                                  <a:pt x="3338" y="54"/>
                                </a:lnTo>
                                <a:lnTo>
                                  <a:pt x="3340" y="44"/>
                                </a:lnTo>
                                <a:lnTo>
                                  <a:pt x="3345" y="33"/>
                                </a:lnTo>
                                <a:lnTo>
                                  <a:pt x="3351" y="22"/>
                                </a:lnTo>
                                <a:lnTo>
                                  <a:pt x="3357" y="11"/>
                                </a:lnTo>
                                <a:lnTo>
                                  <a:pt x="3365" y="0"/>
                                </a:lnTo>
                                <a:lnTo>
                                  <a:pt x="3376" y="0"/>
                                </a:lnTo>
                                <a:lnTo>
                                  <a:pt x="3369" y="12"/>
                                </a:lnTo>
                                <a:lnTo>
                                  <a:pt x="3364" y="21"/>
                                </a:lnTo>
                                <a:lnTo>
                                  <a:pt x="3362" y="26"/>
                                </a:lnTo>
                                <a:lnTo>
                                  <a:pt x="3359" y="34"/>
                                </a:lnTo>
                                <a:lnTo>
                                  <a:pt x="3356" y="42"/>
                                </a:lnTo>
                                <a:lnTo>
                                  <a:pt x="3354" y="51"/>
                                </a:lnTo>
                                <a:lnTo>
                                  <a:pt x="3351" y="62"/>
                                </a:lnTo>
                                <a:lnTo>
                                  <a:pt x="3350" y="73"/>
                                </a:lnTo>
                                <a:lnTo>
                                  <a:pt x="3350" y="84"/>
                                </a:lnTo>
                                <a:lnTo>
                                  <a:pt x="3352" y="105"/>
                                </a:lnTo>
                                <a:lnTo>
                                  <a:pt x="3357" y="126"/>
                                </a:lnTo>
                                <a:lnTo>
                                  <a:pt x="3365" y="147"/>
                                </a:lnTo>
                                <a:lnTo>
                                  <a:pt x="3376" y="169"/>
                                </a:lnTo>
                                <a:lnTo>
                                  <a:pt x="3365" y="169"/>
                                </a:lnTo>
                                <a:close/>
                                <a:moveTo>
                                  <a:pt x="3473" y="115"/>
                                </a:moveTo>
                                <a:lnTo>
                                  <a:pt x="3473" y="131"/>
                                </a:lnTo>
                                <a:lnTo>
                                  <a:pt x="3388" y="131"/>
                                </a:lnTo>
                                <a:lnTo>
                                  <a:pt x="3388" y="127"/>
                                </a:lnTo>
                                <a:lnTo>
                                  <a:pt x="3389" y="123"/>
                                </a:lnTo>
                                <a:lnTo>
                                  <a:pt x="3390" y="120"/>
                                </a:lnTo>
                                <a:lnTo>
                                  <a:pt x="3392" y="114"/>
                                </a:lnTo>
                                <a:lnTo>
                                  <a:pt x="3396" y="108"/>
                                </a:lnTo>
                                <a:lnTo>
                                  <a:pt x="3400" y="103"/>
                                </a:lnTo>
                                <a:lnTo>
                                  <a:pt x="3405" y="97"/>
                                </a:lnTo>
                                <a:lnTo>
                                  <a:pt x="3412" y="90"/>
                                </a:lnTo>
                                <a:lnTo>
                                  <a:pt x="3421" y="83"/>
                                </a:lnTo>
                                <a:lnTo>
                                  <a:pt x="3435" y="72"/>
                                </a:lnTo>
                                <a:lnTo>
                                  <a:pt x="3445" y="62"/>
                                </a:lnTo>
                                <a:lnTo>
                                  <a:pt x="3450" y="56"/>
                                </a:lnTo>
                                <a:lnTo>
                                  <a:pt x="3454" y="49"/>
                                </a:lnTo>
                                <a:lnTo>
                                  <a:pt x="3457" y="43"/>
                                </a:lnTo>
                                <a:lnTo>
                                  <a:pt x="3457" y="37"/>
                                </a:lnTo>
                                <a:lnTo>
                                  <a:pt x="3457" y="30"/>
                                </a:lnTo>
                                <a:lnTo>
                                  <a:pt x="3455" y="25"/>
                                </a:lnTo>
                                <a:lnTo>
                                  <a:pt x="3450" y="21"/>
                                </a:lnTo>
                                <a:lnTo>
                                  <a:pt x="3446" y="17"/>
                                </a:lnTo>
                                <a:lnTo>
                                  <a:pt x="3440" y="14"/>
                                </a:lnTo>
                                <a:lnTo>
                                  <a:pt x="3433" y="14"/>
                                </a:lnTo>
                                <a:lnTo>
                                  <a:pt x="3425" y="14"/>
                                </a:lnTo>
                                <a:lnTo>
                                  <a:pt x="3419" y="17"/>
                                </a:lnTo>
                                <a:lnTo>
                                  <a:pt x="3414" y="21"/>
                                </a:lnTo>
                                <a:lnTo>
                                  <a:pt x="3410" y="26"/>
                                </a:lnTo>
                                <a:lnTo>
                                  <a:pt x="3408" y="32"/>
                                </a:lnTo>
                                <a:lnTo>
                                  <a:pt x="3407" y="40"/>
                                </a:lnTo>
                                <a:lnTo>
                                  <a:pt x="3391" y="39"/>
                                </a:lnTo>
                                <a:lnTo>
                                  <a:pt x="3392" y="26"/>
                                </a:lnTo>
                                <a:lnTo>
                                  <a:pt x="3396" y="17"/>
                                </a:lnTo>
                                <a:lnTo>
                                  <a:pt x="3404" y="11"/>
                                </a:lnTo>
                                <a:lnTo>
                                  <a:pt x="3411" y="4"/>
                                </a:lnTo>
                                <a:lnTo>
                                  <a:pt x="3421" y="1"/>
                                </a:lnTo>
                                <a:lnTo>
                                  <a:pt x="3433" y="1"/>
                                </a:lnTo>
                                <a:lnTo>
                                  <a:pt x="3445" y="1"/>
                                </a:lnTo>
                                <a:lnTo>
                                  <a:pt x="3455" y="5"/>
                                </a:lnTo>
                                <a:lnTo>
                                  <a:pt x="3462" y="12"/>
                                </a:lnTo>
                                <a:lnTo>
                                  <a:pt x="3470" y="18"/>
                                </a:lnTo>
                                <a:lnTo>
                                  <a:pt x="3473" y="27"/>
                                </a:lnTo>
                                <a:lnTo>
                                  <a:pt x="3473" y="37"/>
                                </a:lnTo>
                                <a:lnTo>
                                  <a:pt x="3473" y="42"/>
                                </a:lnTo>
                                <a:lnTo>
                                  <a:pt x="3472" y="47"/>
                                </a:lnTo>
                                <a:lnTo>
                                  <a:pt x="3470" y="52"/>
                                </a:lnTo>
                                <a:lnTo>
                                  <a:pt x="3468" y="57"/>
                                </a:lnTo>
                                <a:lnTo>
                                  <a:pt x="3464" y="63"/>
                                </a:lnTo>
                                <a:lnTo>
                                  <a:pt x="3460" y="68"/>
                                </a:lnTo>
                                <a:lnTo>
                                  <a:pt x="3455" y="74"/>
                                </a:lnTo>
                                <a:lnTo>
                                  <a:pt x="3446" y="81"/>
                                </a:lnTo>
                                <a:lnTo>
                                  <a:pt x="3435" y="91"/>
                                </a:lnTo>
                                <a:lnTo>
                                  <a:pt x="3426" y="99"/>
                                </a:lnTo>
                                <a:lnTo>
                                  <a:pt x="3420" y="104"/>
                                </a:lnTo>
                                <a:lnTo>
                                  <a:pt x="3417" y="107"/>
                                </a:lnTo>
                                <a:lnTo>
                                  <a:pt x="3414" y="110"/>
                                </a:lnTo>
                                <a:lnTo>
                                  <a:pt x="3412" y="113"/>
                                </a:lnTo>
                                <a:lnTo>
                                  <a:pt x="3410" y="115"/>
                                </a:lnTo>
                                <a:lnTo>
                                  <a:pt x="3473" y="115"/>
                                </a:lnTo>
                                <a:close/>
                                <a:moveTo>
                                  <a:pt x="3499" y="131"/>
                                </a:moveTo>
                                <a:lnTo>
                                  <a:pt x="3499" y="113"/>
                                </a:lnTo>
                                <a:lnTo>
                                  <a:pt x="3517" y="113"/>
                                </a:lnTo>
                                <a:lnTo>
                                  <a:pt x="3517" y="131"/>
                                </a:lnTo>
                                <a:lnTo>
                                  <a:pt x="3499" y="131"/>
                                </a:lnTo>
                                <a:close/>
                                <a:moveTo>
                                  <a:pt x="3541" y="19"/>
                                </a:moveTo>
                                <a:lnTo>
                                  <a:pt x="3541" y="4"/>
                                </a:lnTo>
                                <a:lnTo>
                                  <a:pt x="3625" y="4"/>
                                </a:lnTo>
                                <a:lnTo>
                                  <a:pt x="3625" y="16"/>
                                </a:lnTo>
                                <a:lnTo>
                                  <a:pt x="3619" y="23"/>
                                </a:lnTo>
                                <a:lnTo>
                                  <a:pt x="3613" y="31"/>
                                </a:lnTo>
                                <a:lnTo>
                                  <a:pt x="3606" y="40"/>
                                </a:lnTo>
                                <a:lnTo>
                                  <a:pt x="3600" y="51"/>
                                </a:lnTo>
                                <a:lnTo>
                                  <a:pt x="3595" y="62"/>
                                </a:lnTo>
                                <a:lnTo>
                                  <a:pt x="3590" y="73"/>
                                </a:lnTo>
                                <a:lnTo>
                                  <a:pt x="3585" y="84"/>
                                </a:lnTo>
                                <a:lnTo>
                                  <a:pt x="3582" y="95"/>
                                </a:lnTo>
                                <a:lnTo>
                                  <a:pt x="3579" y="106"/>
                                </a:lnTo>
                                <a:lnTo>
                                  <a:pt x="3577" y="118"/>
                                </a:lnTo>
                                <a:lnTo>
                                  <a:pt x="3576" y="131"/>
                                </a:lnTo>
                                <a:lnTo>
                                  <a:pt x="3559" y="131"/>
                                </a:lnTo>
                                <a:lnTo>
                                  <a:pt x="3560" y="121"/>
                                </a:lnTo>
                                <a:lnTo>
                                  <a:pt x="3562" y="108"/>
                                </a:lnTo>
                                <a:lnTo>
                                  <a:pt x="3565" y="94"/>
                                </a:lnTo>
                                <a:lnTo>
                                  <a:pt x="3569" y="83"/>
                                </a:lnTo>
                                <a:lnTo>
                                  <a:pt x="3572" y="73"/>
                                </a:lnTo>
                                <a:lnTo>
                                  <a:pt x="3577" y="63"/>
                                </a:lnTo>
                                <a:lnTo>
                                  <a:pt x="3582" y="52"/>
                                </a:lnTo>
                                <a:lnTo>
                                  <a:pt x="3587" y="43"/>
                                </a:lnTo>
                                <a:lnTo>
                                  <a:pt x="3593" y="34"/>
                                </a:lnTo>
                                <a:lnTo>
                                  <a:pt x="3599" y="26"/>
                                </a:lnTo>
                                <a:lnTo>
                                  <a:pt x="3604" y="19"/>
                                </a:lnTo>
                                <a:lnTo>
                                  <a:pt x="3541" y="19"/>
                                </a:lnTo>
                                <a:close/>
                                <a:moveTo>
                                  <a:pt x="3643" y="33"/>
                                </a:moveTo>
                                <a:lnTo>
                                  <a:pt x="3643" y="24"/>
                                </a:lnTo>
                                <a:lnTo>
                                  <a:pt x="3646" y="16"/>
                                </a:lnTo>
                                <a:lnTo>
                                  <a:pt x="3650" y="9"/>
                                </a:lnTo>
                                <a:lnTo>
                                  <a:pt x="3655" y="3"/>
                                </a:lnTo>
                                <a:lnTo>
                                  <a:pt x="3662" y="0"/>
                                </a:lnTo>
                                <a:lnTo>
                                  <a:pt x="3670" y="0"/>
                                </a:lnTo>
                                <a:lnTo>
                                  <a:pt x="3679" y="0"/>
                                </a:lnTo>
                                <a:lnTo>
                                  <a:pt x="3685" y="3"/>
                                </a:lnTo>
                                <a:lnTo>
                                  <a:pt x="3691" y="8"/>
                                </a:lnTo>
                                <a:lnTo>
                                  <a:pt x="3696" y="14"/>
                                </a:lnTo>
                                <a:lnTo>
                                  <a:pt x="3699" y="23"/>
                                </a:lnTo>
                                <a:lnTo>
                                  <a:pt x="3699" y="34"/>
                                </a:lnTo>
                                <a:lnTo>
                                  <a:pt x="3699" y="45"/>
                                </a:lnTo>
                                <a:lnTo>
                                  <a:pt x="3696" y="53"/>
                                </a:lnTo>
                                <a:lnTo>
                                  <a:pt x="3690" y="59"/>
                                </a:lnTo>
                                <a:lnTo>
                                  <a:pt x="3685" y="65"/>
                                </a:lnTo>
                                <a:lnTo>
                                  <a:pt x="3679" y="68"/>
                                </a:lnTo>
                                <a:lnTo>
                                  <a:pt x="3671" y="68"/>
                                </a:lnTo>
                                <a:lnTo>
                                  <a:pt x="3663" y="68"/>
                                </a:lnTo>
                                <a:lnTo>
                                  <a:pt x="3656" y="65"/>
                                </a:lnTo>
                                <a:lnTo>
                                  <a:pt x="3651" y="59"/>
                                </a:lnTo>
                                <a:lnTo>
                                  <a:pt x="3646" y="53"/>
                                </a:lnTo>
                                <a:lnTo>
                                  <a:pt x="3643" y="44"/>
                                </a:lnTo>
                                <a:lnTo>
                                  <a:pt x="3643" y="33"/>
                                </a:lnTo>
                                <a:close/>
                                <a:moveTo>
                                  <a:pt x="3671" y="11"/>
                                </a:moveTo>
                                <a:lnTo>
                                  <a:pt x="3667" y="11"/>
                                </a:lnTo>
                                <a:lnTo>
                                  <a:pt x="3664" y="12"/>
                                </a:lnTo>
                                <a:lnTo>
                                  <a:pt x="3661" y="16"/>
                                </a:lnTo>
                                <a:lnTo>
                                  <a:pt x="3659" y="19"/>
                                </a:lnTo>
                                <a:lnTo>
                                  <a:pt x="3657" y="25"/>
                                </a:lnTo>
                                <a:lnTo>
                                  <a:pt x="3657" y="34"/>
                                </a:lnTo>
                                <a:lnTo>
                                  <a:pt x="3657" y="43"/>
                                </a:lnTo>
                                <a:lnTo>
                                  <a:pt x="3659" y="48"/>
                                </a:lnTo>
                                <a:lnTo>
                                  <a:pt x="3661" y="52"/>
                                </a:lnTo>
                                <a:lnTo>
                                  <a:pt x="3664" y="55"/>
                                </a:lnTo>
                                <a:lnTo>
                                  <a:pt x="3667" y="57"/>
                                </a:lnTo>
                                <a:lnTo>
                                  <a:pt x="3671" y="57"/>
                                </a:lnTo>
                                <a:lnTo>
                                  <a:pt x="3675" y="57"/>
                                </a:lnTo>
                                <a:lnTo>
                                  <a:pt x="3678" y="55"/>
                                </a:lnTo>
                                <a:lnTo>
                                  <a:pt x="3681" y="52"/>
                                </a:lnTo>
                                <a:lnTo>
                                  <a:pt x="3683" y="48"/>
                                </a:lnTo>
                                <a:lnTo>
                                  <a:pt x="3685" y="42"/>
                                </a:lnTo>
                                <a:lnTo>
                                  <a:pt x="3685" y="33"/>
                                </a:lnTo>
                                <a:lnTo>
                                  <a:pt x="3685" y="25"/>
                                </a:lnTo>
                                <a:lnTo>
                                  <a:pt x="3683" y="19"/>
                                </a:lnTo>
                                <a:lnTo>
                                  <a:pt x="3681" y="16"/>
                                </a:lnTo>
                                <a:lnTo>
                                  <a:pt x="3678" y="12"/>
                                </a:lnTo>
                                <a:lnTo>
                                  <a:pt x="3675" y="11"/>
                                </a:lnTo>
                                <a:lnTo>
                                  <a:pt x="3671" y="11"/>
                                </a:lnTo>
                                <a:close/>
                                <a:moveTo>
                                  <a:pt x="3671" y="135"/>
                                </a:moveTo>
                                <a:lnTo>
                                  <a:pt x="3742" y="0"/>
                                </a:lnTo>
                                <a:lnTo>
                                  <a:pt x="3754" y="0"/>
                                </a:lnTo>
                                <a:lnTo>
                                  <a:pt x="3684" y="135"/>
                                </a:lnTo>
                                <a:lnTo>
                                  <a:pt x="3671" y="135"/>
                                </a:lnTo>
                                <a:close/>
                                <a:moveTo>
                                  <a:pt x="3727" y="100"/>
                                </a:moveTo>
                                <a:lnTo>
                                  <a:pt x="3727" y="91"/>
                                </a:lnTo>
                                <a:lnTo>
                                  <a:pt x="3729" y="83"/>
                                </a:lnTo>
                                <a:lnTo>
                                  <a:pt x="3734" y="77"/>
                                </a:lnTo>
                                <a:lnTo>
                                  <a:pt x="3738" y="71"/>
                                </a:lnTo>
                                <a:lnTo>
                                  <a:pt x="3745" y="67"/>
                                </a:lnTo>
                                <a:lnTo>
                                  <a:pt x="3754" y="67"/>
                                </a:lnTo>
                                <a:lnTo>
                                  <a:pt x="3762" y="67"/>
                                </a:lnTo>
                                <a:lnTo>
                                  <a:pt x="3769" y="70"/>
                                </a:lnTo>
                                <a:lnTo>
                                  <a:pt x="3774" y="76"/>
                                </a:lnTo>
                                <a:lnTo>
                                  <a:pt x="3779" y="82"/>
                                </a:lnTo>
                                <a:lnTo>
                                  <a:pt x="3782" y="90"/>
                                </a:lnTo>
                                <a:lnTo>
                                  <a:pt x="3782" y="101"/>
                                </a:lnTo>
                                <a:lnTo>
                                  <a:pt x="3782" y="112"/>
                                </a:lnTo>
                                <a:lnTo>
                                  <a:pt x="3779" y="121"/>
                                </a:lnTo>
                                <a:lnTo>
                                  <a:pt x="3774" y="127"/>
                                </a:lnTo>
                                <a:lnTo>
                                  <a:pt x="3769" y="132"/>
                                </a:lnTo>
                                <a:lnTo>
                                  <a:pt x="3762" y="135"/>
                                </a:lnTo>
                                <a:lnTo>
                                  <a:pt x="3754" y="135"/>
                                </a:lnTo>
                                <a:lnTo>
                                  <a:pt x="3746" y="135"/>
                                </a:lnTo>
                                <a:lnTo>
                                  <a:pt x="3740" y="133"/>
                                </a:lnTo>
                                <a:lnTo>
                                  <a:pt x="3735" y="127"/>
                                </a:lnTo>
                                <a:lnTo>
                                  <a:pt x="3729" y="121"/>
                                </a:lnTo>
                                <a:lnTo>
                                  <a:pt x="3727" y="112"/>
                                </a:lnTo>
                                <a:lnTo>
                                  <a:pt x="3727" y="100"/>
                                </a:lnTo>
                                <a:close/>
                                <a:moveTo>
                                  <a:pt x="3754" y="78"/>
                                </a:moveTo>
                                <a:lnTo>
                                  <a:pt x="3750" y="78"/>
                                </a:lnTo>
                                <a:lnTo>
                                  <a:pt x="3747" y="80"/>
                                </a:lnTo>
                                <a:lnTo>
                                  <a:pt x="3744" y="83"/>
                                </a:lnTo>
                                <a:lnTo>
                                  <a:pt x="3742" y="87"/>
                                </a:lnTo>
                                <a:lnTo>
                                  <a:pt x="3741" y="93"/>
                                </a:lnTo>
                                <a:lnTo>
                                  <a:pt x="3741" y="102"/>
                                </a:lnTo>
                                <a:lnTo>
                                  <a:pt x="3741" y="110"/>
                                </a:lnTo>
                                <a:lnTo>
                                  <a:pt x="3742" y="116"/>
                                </a:lnTo>
                                <a:lnTo>
                                  <a:pt x="3745" y="119"/>
                                </a:lnTo>
                                <a:lnTo>
                                  <a:pt x="3747" y="123"/>
                                </a:lnTo>
                                <a:lnTo>
                                  <a:pt x="3750" y="125"/>
                                </a:lnTo>
                                <a:lnTo>
                                  <a:pt x="3754" y="125"/>
                                </a:lnTo>
                                <a:lnTo>
                                  <a:pt x="3758" y="125"/>
                                </a:lnTo>
                                <a:lnTo>
                                  <a:pt x="3762" y="123"/>
                                </a:lnTo>
                                <a:lnTo>
                                  <a:pt x="3764" y="119"/>
                                </a:lnTo>
                                <a:lnTo>
                                  <a:pt x="3767" y="116"/>
                                </a:lnTo>
                                <a:lnTo>
                                  <a:pt x="3768" y="110"/>
                                </a:lnTo>
                                <a:lnTo>
                                  <a:pt x="3768" y="101"/>
                                </a:lnTo>
                                <a:lnTo>
                                  <a:pt x="3768" y="92"/>
                                </a:lnTo>
                                <a:lnTo>
                                  <a:pt x="3767" y="87"/>
                                </a:lnTo>
                                <a:lnTo>
                                  <a:pt x="3764" y="83"/>
                                </a:lnTo>
                                <a:lnTo>
                                  <a:pt x="3762" y="80"/>
                                </a:lnTo>
                                <a:lnTo>
                                  <a:pt x="3758" y="78"/>
                                </a:lnTo>
                                <a:lnTo>
                                  <a:pt x="3754" y="78"/>
                                </a:lnTo>
                                <a:close/>
                                <a:moveTo>
                                  <a:pt x="3815" y="169"/>
                                </a:moveTo>
                                <a:lnTo>
                                  <a:pt x="3804" y="169"/>
                                </a:lnTo>
                                <a:lnTo>
                                  <a:pt x="3815" y="147"/>
                                </a:lnTo>
                                <a:lnTo>
                                  <a:pt x="3824" y="126"/>
                                </a:lnTo>
                                <a:lnTo>
                                  <a:pt x="3829" y="105"/>
                                </a:lnTo>
                                <a:lnTo>
                                  <a:pt x="3830" y="84"/>
                                </a:lnTo>
                                <a:lnTo>
                                  <a:pt x="3830" y="73"/>
                                </a:lnTo>
                                <a:lnTo>
                                  <a:pt x="3829" y="62"/>
                                </a:lnTo>
                                <a:lnTo>
                                  <a:pt x="3826" y="51"/>
                                </a:lnTo>
                                <a:lnTo>
                                  <a:pt x="3824" y="43"/>
                                </a:lnTo>
                                <a:lnTo>
                                  <a:pt x="3822" y="34"/>
                                </a:lnTo>
                                <a:lnTo>
                                  <a:pt x="3818" y="26"/>
                                </a:lnTo>
                                <a:lnTo>
                                  <a:pt x="3816" y="21"/>
                                </a:lnTo>
                                <a:lnTo>
                                  <a:pt x="3811" y="12"/>
                                </a:lnTo>
                                <a:lnTo>
                                  <a:pt x="3804" y="0"/>
                                </a:lnTo>
                                <a:lnTo>
                                  <a:pt x="3815" y="0"/>
                                </a:lnTo>
                                <a:lnTo>
                                  <a:pt x="3823" y="11"/>
                                </a:lnTo>
                                <a:lnTo>
                                  <a:pt x="3830" y="22"/>
                                </a:lnTo>
                                <a:lnTo>
                                  <a:pt x="3835" y="33"/>
                                </a:lnTo>
                                <a:lnTo>
                                  <a:pt x="3840" y="44"/>
                                </a:lnTo>
                                <a:lnTo>
                                  <a:pt x="3843" y="54"/>
                                </a:lnTo>
                                <a:lnTo>
                                  <a:pt x="3845" y="64"/>
                                </a:lnTo>
                                <a:lnTo>
                                  <a:pt x="3846" y="74"/>
                                </a:lnTo>
                                <a:lnTo>
                                  <a:pt x="3846" y="84"/>
                                </a:lnTo>
                                <a:lnTo>
                                  <a:pt x="3846" y="96"/>
                                </a:lnTo>
                                <a:lnTo>
                                  <a:pt x="3844" y="107"/>
                                </a:lnTo>
                                <a:lnTo>
                                  <a:pt x="3841" y="119"/>
                                </a:lnTo>
                                <a:lnTo>
                                  <a:pt x="3837" y="130"/>
                                </a:lnTo>
                                <a:lnTo>
                                  <a:pt x="3833" y="141"/>
                                </a:lnTo>
                                <a:lnTo>
                                  <a:pt x="3827" y="151"/>
                                </a:lnTo>
                                <a:lnTo>
                                  <a:pt x="3822" y="160"/>
                                </a:lnTo>
                                <a:lnTo>
                                  <a:pt x="3815" y="169"/>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827596237" name="Picture 1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5977"/>
                            <a:ext cx="255" cy="300"/>
                          </a:xfrm>
                          <a:prstGeom prst="rect">
                            <a:avLst/>
                          </a:prstGeom>
                          <a:noFill/>
                          <a:ln>
                            <a:noFill/>
                          </a:ln>
                          <a:effectLst/>
                        </pic:spPr>
                      </pic:pic>
                      <wps:wsp>
                        <wps:cNvPr id="959662504" name="Rectangle 118"/>
                        <wps:cNvSpPr>
                          <a:spLocks noChangeArrowheads="1"/>
                        </wps:cNvSpPr>
                        <wps:spPr bwMode="auto">
                          <a:xfrm>
                            <a:off x="2070" y="7927"/>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2062639947" name="AutoShape 117"/>
                        <wps:cNvSpPr/>
                        <wps:spPr bwMode="auto">
                          <a:xfrm>
                            <a:off x="2069" y="7927"/>
                            <a:ext cx="8130" cy="2700"/>
                          </a:xfrm>
                          <a:custGeom>
                            <a:avLst/>
                            <a:gdLst>
                              <a:gd name="T0" fmla="*/ 3570 w 8130"/>
                              <a:gd name="T1" fmla="*/ 9712 h 2700"/>
                              <a:gd name="T2" fmla="*/ 0 w 8130"/>
                              <a:gd name="T3" fmla="*/ 9712 h 2700"/>
                              <a:gd name="T4" fmla="*/ 0 w 8130"/>
                              <a:gd name="T5" fmla="*/ 9727 h 2700"/>
                              <a:gd name="T6" fmla="*/ 3570 w 8130"/>
                              <a:gd name="T7" fmla="*/ 9727 h 2700"/>
                              <a:gd name="T8" fmla="*/ 3570 w 8130"/>
                              <a:gd name="T9" fmla="*/ 9712 h 2700"/>
                              <a:gd name="T10" fmla="*/ 3570 w 8130"/>
                              <a:gd name="T11" fmla="*/ 8827 h 2700"/>
                              <a:gd name="T12" fmla="*/ 0 w 8130"/>
                              <a:gd name="T13" fmla="*/ 8827 h 2700"/>
                              <a:gd name="T14" fmla="*/ 0 w 8130"/>
                              <a:gd name="T15" fmla="*/ 8842 h 2700"/>
                              <a:gd name="T16" fmla="*/ 3570 w 8130"/>
                              <a:gd name="T17" fmla="*/ 8842 h 2700"/>
                              <a:gd name="T18" fmla="*/ 3570 w 8130"/>
                              <a:gd name="T19" fmla="*/ 8827 h 2700"/>
                              <a:gd name="T20" fmla="*/ 5190 w 8130"/>
                              <a:gd name="T21" fmla="*/ 9712 h 2700"/>
                              <a:gd name="T22" fmla="*/ 4560 w 8130"/>
                              <a:gd name="T23" fmla="*/ 9712 h 2700"/>
                              <a:gd name="T24" fmla="*/ 4560 w 8130"/>
                              <a:gd name="T25" fmla="*/ 9727 h 2700"/>
                              <a:gd name="T26" fmla="*/ 5190 w 8130"/>
                              <a:gd name="T27" fmla="*/ 9727 h 2700"/>
                              <a:gd name="T28" fmla="*/ 5190 w 8130"/>
                              <a:gd name="T29" fmla="*/ 9712 h 2700"/>
                              <a:gd name="T30" fmla="*/ 5190 w 8130"/>
                              <a:gd name="T31" fmla="*/ 8827 h 2700"/>
                              <a:gd name="T32" fmla="*/ 4560 w 8130"/>
                              <a:gd name="T33" fmla="*/ 8827 h 2700"/>
                              <a:gd name="T34" fmla="*/ 4560 w 8130"/>
                              <a:gd name="T35" fmla="*/ 8842 h 2700"/>
                              <a:gd name="T36" fmla="*/ 5190 w 8130"/>
                              <a:gd name="T37" fmla="*/ 8842 h 2700"/>
                              <a:gd name="T38" fmla="*/ 5190 w 8130"/>
                              <a:gd name="T39" fmla="*/ 8827 h 2700"/>
                              <a:gd name="T40" fmla="*/ 6810 w 8130"/>
                              <a:gd name="T41" fmla="*/ 9712 h 2700"/>
                              <a:gd name="T42" fmla="*/ 6195 w 8130"/>
                              <a:gd name="T43" fmla="*/ 9712 h 2700"/>
                              <a:gd name="T44" fmla="*/ 6195 w 8130"/>
                              <a:gd name="T45" fmla="*/ 9727 h 2700"/>
                              <a:gd name="T46" fmla="*/ 6810 w 8130"/>
                              <a:gd name="T47" fmla="*/ 9727 h 2700"/>
                              <a:gd name="T48" fmla="*/ 6810 w 8130"/>
                              <a:gd name="T49" fmla="*/ 9712 h 2700"/>
                              <a:gd name="T50" fmla="*/ 8130 w 8130"/>
                              <a:gd name="T51" fmla="*/ 10612 h 2700"/>
                              <a:gd name="T52" fmla="*/ 0 w 8130"/>
                              <a:gd name="T53" fmla="*/ 10612 h 2700"/>
                              <a:gd name="T54" fmla="*/ 0 w 8130"/>
                              <a:gd name="T55" fmla="*/ 10627 h 2700"/>
                              <a:gd name="T56" fmla="*/ 8130 w 8130"/>
                              <a:gd name="T57" fmla="*/ 10627 h 2700"/>
                              <a:gd name="T58" fmla="*/ 8130 w 8130"/>
                              <a:gd name="T59" fmla="*/ 10612 h 2700"/>
                              <a:gd name="T60" fmla="*/ 8130 w 8130"/>
                              <a:gd name="T61" fmla="*/ 9712 h 2700"/>
                              <a:gd name="T62" fmla="*/ 7815 w 8130"/>
                              <a:gd name="T63" fmla="*/ 9712 h 2700"/>
                              <a:gd name="T64" fmla="*/ 7815 w 8130"/>
                              <a:gd name="T65" fmla="*/ 9727 h 2700"/>
                              <a:gd name="T66" fmla="*/ 8130 w 8130"/>
                              <a:gd name="T67" fmla="*/ 9727 h 2700"/>
                              <a:gd name="T68" fmla="*/ 8130 w 8130"/>
                              <a:gd name="T69" fmla="*/ 9712 h 2700"/>
                              <a:gd name="T70" fmla="*/ 8130 w 8130"/>
                              <a:gd name="T71" fmla="*/ 8827 h 2700"/>
                              <a:gd name="T72" fmla="*/ 6195 w 8130"/>
                              <a:gd name="T73" fmla="*/ 8827 h 2700"/>
                              <a:gd name="T74" fmla="*/ 6195 w 8130"/>
                              <a:gd name="T75" fmla="*/ 8842 h 2700"/>
                              <a:gd name="T76" fmla="*/ 8130 w 8130"/>
                              <a:gd name="T77" fmla="*/ 8842 h 2700"/>
                              <a:gd name="T78" fmla="*/ 8130 w 8130"/>
                              <a:gd name="T79" fmla="*/ 8827 h 2700"/>
                              <a:gd name="T80" fmla="*/ 8130 w 8130"/>
                              <a:gd name="T81" fmla="*/ 7927 h 2700"/>
                              <a:gd name="T82" fmla="*/ 0 w 8130"/>
                              <a:gd name="T83" fmla="*/ 7927 h 2700"/>
                              <a:gd name="T84" fmla="*/ 0 w 8130"/>
                              <a:gd name="T85" fmla="*/ 7942 h 2700"/>
                              <a:gd name="T86" fmla="*/ 8130 w 8130"/>
                              <a:gd name="T87" fmla="*/ 7942 h 2700"/>
                              <a:gd name="T88" fmla="*/ 8130 w 8130"/>
                              <a:gd name="T89" fmla="*/ 7927 h 27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130" h="2700">
                                <a:moveTo>
                                  <a:pt x="3570" y="1785"/>
                                </a:moveTo>
                                <a:lnTo>
                                  <a:pt x="0" y="1785"/>
                                </a:lnTo>
                                <a:lnTo>
                                  <a:pt x="0" y="1800"/>
                                </a:lnTo>
                                <a:lnTo>
                                  <a:pt x="3570" y="1800"/>
                                </a:lnTo>
                                <a:lnTo>
                                  <a:pt x="3570" y="1785"/>
                                </a:lnTo>
                                <a:close/>
                                <a:moveTo>
                                  <a:pt x="3570" y="900"/>
                                </a:moveTo>
                                <a:lnTo>
                                  <a:pt x="0" y="900"/>
                                </a:lnTo>
                                <a:lnTo>
                                  <a:pt x="0" y="915"/>
                                </a:lnTo>
                                <a:lnTo>
                                  <a:pt x="3570" y="915"/>
                                </a:lnTo>
                                <a:lnTo>
                                  <a:pt x="3570" y="900"/>
                                </a:lnTo>
                                <a:close/>
                                <a:moveTo>
                                  <a:pt x="5190" y="1785"/>
                                </a:moveTo>
                                <a:lnTo>
                                  <a:pt x="4560" y="1785"/>
                                </a:lnTo>
                                <a:lnTo>
                                  <a:pt x="4560" y="1800"/>
                                </a:lnTo>
                                <a:lnTo>
                                  <a:pt x="5190" y="1800"/>
                                </a:lnTo>
                                <a:lnTo>
                                  <a:pt x="5190" y="1785"/>
                                </a:lnTo>
                                <a:close/>
                                <a:moveTo>
                                  <a:pt x="5190" y="900"/>
                                </a:moveTo>
                                <a:lnTo>
                                  <a:pt x="4560" y="900"/>
                                </a:lnTo>
                                <a:lnTo>
                                  <a:pt x="4560" y="915"/>
                                </a:lnTo>
                                <a:lnTo>
                                  <a:pt x="5190" y="915"/>
                                </a:lnTo>
                                <a:lnTo>
                                  <a:pt x="5190" y="900"/>
                                </a:lnTo>
                                <a:close/>
                                <a:moveTo>
                                  <a:pt x="6810" y="1785"/>
                                </a:moveTo>
                                <a:lnTo>
                                  <a:pt x="6195" y="1785"/>
                                </a:lnTo>
                                <a:lnTo>
                                  <a:pt x="6195" y="1800"/>
                                </a:lnTo>
                                <a:lnTo>
                                  <a:pt x="6810" y="1800"/>
                                </a:lnTo>
                                <a:lnTo>
                                  <a:pt x="6810" y="1785"/>
                                </a:lnTo>
                                <a:close/>
                                <a:moveTo>
                                  <a:pt x="8130" y="2685"/>
                                </a:moveTo>
                                <a:lnTo>
                                  <a:pt x="0" y="2685"/>
                                </a:lnTo>
                                <a:lnTo>
                                  <a:pt x="0" y="2700"/>
                                </a:lnTo>
                                <a:lnTo>
                                  <a:pt x="8130" y="2700"/>
                                </a:lnTo>
                                <a:lnTo>
                                  <a:pt x="8130" y="2685"/>
                                </a:lnTo>
                                <a:close/>
                                <a:moveTo>
                                  <a:pt x="8130" y="1785"/>
                                </a:moveTo>
                                <a:lnTo>
                                  <a:pt x="7815" y="1785"/>
                                </a:lnTo>
                                <a:lnTo>
                                  <a:pt x="7815" y="1800"/>
                                </a:lnTo>
                                <a:lnTo>
                                  <a:pt x="8130" y="1800"/>
                                </a:lnTo>
                                <a:lnTo>
                                  <a:pt x="8130" y="1785"/>
                                </a:lnTo>
                                <a:close/>
                                <a:moveTo>
                                  <a:pt x="8130" y="900"/>
                                </a:moveTo>
                                <a:lnTo>
                                  <a:pt x="6195" y="900"/>
                                </a:lnTo>
                                <a:lnTo>
                                  <a:pt x="6195" y="915"/>
                                </a:lnTo>
                                <a:lnTo>
                                  <a:pt x="8130" y="915"/>
                                </a:lnTo>
                                <a:lnTo>
                                  <a:pt x="8130" y="90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2126592515" name="AutoShape 116"/>
                        <wps:cNvSpPr/>
                        <wps:spPr bwMode="auto">
                          <a:xfrm>
                            <a:off x="2069" y="8377"/>
                            <a:ext cx="8130" cy="1800"/>
                          </a:xfrm>
                          <a:custGeom>
                            <a:avLst/>
                            <a:gdLst>
                              <a:gd name="T0" fmla="*/ 1935 w 8130"/>
                              <a:gd name="T1" fmla="*/ 10162 h 1800"/>
                              <a:gd name="T2" fmla="*/ 0 w 8130"/>
                              <a:gd name="T3" fmla="*/ 10162 h 1800"/>
                              <a:gd name="T4" fmla="*/ 0 w 8130"/>
                              <a:gd name="T5" fmla="*/ 10177 h 1800"/>
                              <a:gd name="T6" fmla="*/ 1935 w 8130"/>
                              <a:gd name="T7" fmla="*/ 10177 h 1800"/>
                              <a:gd name="T8" fmla="*/ 1935 w 8130"/>
                              <a:gd name="T9" fmla="*/ 10162 h 1800"/>
                              <a:gd name="T10" fmla="*/ 3570 w 8130"/>
                              <a:gd name="T11" fmla="*/ 10162 h 1800"/>
                              <a:gd name="T12" fmla="*/ 2940 w 8130"/>
                              <a:gd name="T13" fmla="*/ 10162 h 1800"/>
                              <a:gd name="T14" fmla="*/ 2940 w 8130"/>
                              <a:gd name="T15" fmla="*/ 10177 h 1800"/>
                              <a:gd name="T16" fmla="*/ 3570 w 8130"/>
                              <a:gd name="T17" fmla="*/ 10177 h 1800"/>
                              <a:gd name="T18" fmla="*/ 3570 w 8130"/>
                              <a:gd name="T19" fmla="*/ 10162 h 1800"/>
                              <a:gd name="T20" fmla="*/ 3570 w 8130"/>
                              <a:gd name="T21" fmla="*/ 9277 h 1800"/>
                              <a:gd name="T22" fmla="*/ 0 w 8130"/>
                              <a:gd name="T23" fmla="*/ 9277 h 1800"/>
                              <a:gd name="T24" fmla="*/ 0 w 8130"/>
                              <a:gd name="T25" fmla="*/ 9292 h 1800"/>
                              <a:gd name="T26" fmla="*/ 3570 w 8130"/>
                              <a:gd name="T27" fmla="*/ 9292 h 1800"/>
                              <a:gd name="T28" fmla="*/ 3570 w 8130"/>
                              <a:gd name="T29" fmla="*/ 9277 h 1800"/>
                              <a:gd name="T30" fmla="*/ 5190 w 8130"/>
                              <a:gd name="T31" fmla="*/ 10162 h 1800"/>
                              <a:gd name="T32" fmla="*/ 4560 w 8130"/>
                              <a:gd name="T33" fmla="*/ 10162 h 1800"/>
                              <a:gd name="T34" fmla="*/ 4560 w 8130"/>
                              <a:gd name="T35" fmla="*/ 10177 h 1800"/>
                              <a:gd name="T36" fmla="*/ 5190 w 8130"/>
                              <a:gd name="T37" fmla="*/ 10177 h 1800"/>
                              <a:gd name="T38" fmla="*/ 5190 w 8130"/>
                              <a:gd name="T39" fmla="*/ 10162 h 1800"/>
                              <a:gd name="T40" fmla="*/ 5190 w 8130"/>
                              <a:gd name="T41" fmla="*/ 9277 h 1800"/>
                              <a:gd name="T42" fmla="*/ 4560 w 8130"/>
                              <a:gd name="T43" fmla="*/ 9277 h 1800"/>
                              <a:gd name="T44" fmla="*/ 4560 w 8130"/>
                              <a:gd name="T45" fmla="*/ 9292 h 1800"/>
                              <a:gd name="T46" fmla="*/ 5190 w 8130"/>
                              <a:gd name="T47" fmla="*/ 9292 h 1800"/>
                              <a:gd name="T48" fmla="*/ 5190 w 8130"/>
                              <a:gd name="T49" fmla="*/ 9277 h 1800"/>
                              <a:gd name="T50" fmla="*/ 6810 w 8130"/>
                              <a:gd name="T51" fmla="*/ 10162 h 1800"/>
                              <a:gd name="T52" fmla="*/ 6195 w 8130"/>
                              <a:gd name="T53" fmla="*/ 10162 h 1800"/>
                              <a:gd name="T54" fmla="*/ 6195 w 8130"/>
                              <a:gd name="T55" fmla="*/ 10177 h 1800"/>
                              <a:gd name="T56" fmla="*/ 6810 w 8130"/>
                              <a:gd name="T57" fmla="*/ 10177 h 1800"/>
                              <a:gd name="T58" fmla="*/ 6810 w 8130"/>
                              <a:gd name="T59" fmla="*/ 10162 h 1800"/>
                              <a:gd name="T60" fmla="*/ 6810 w 8130"/>
                              <a:gd name="T61" fmla="*/ 9277 h 1800"/>
                              <a:gd name="T62" fmla="*/ 6195 w 8130"/>
                              <a:gd name="T63" fmla="*/ 9277 h 1800"/>
                              <a:gd name="T64" fmla="*/ 6195 w 8130"/>
                              <a:gd name="T65" fmla="*/ 9292 h 1800"/>
                              <a:gd name="T66" fmla="*/ 6810 w 8130"/>
                              <a:gd name="T67" fmla="*/ 9292 h 1800"/>
                              <a:gd name="T68" fmla="*/ 6810 w 8130"/>
                              <a:gd name="T69" fmla="*/ 9277 h 1800"/>
                              <a:gd name="T70" fmla="*/ 8130 w 8130"/>
                              <a:gd name="T71" fmla="*/ 10162 h 1800"/>
                              <a:gd name="T72" fmla="*/ 7815 w 8130"/>
                              <a:gd name="T73" fmla="*/ 10162 h 1800"/>
                              <a:gd name="T74" fmla="*/ 7815 w 8130"/>
                              <a:gd name="T75" fmla="*/ 10177 h 1800"/>
                              <a:gd name="T76" fmla="*/ 8130 w 8130"/>
                              <a:gd name="T77" fmla="*/ 10177 h 1800"/>
                              <a:gd name="T78" fmla="*/ 8130 w 8130"/>
                              <a:gd name="T79" fmla="*/ 10162 h 1800"/>
                              <a:gd name="T80" fmla="*/ 8130 w 8130"/>
                              <a:gd name="T81" fmla="*/ 9277 h 1800"/>
                              <a:gd name="T82" fmla="*/ 7815 w 8130"/>
                              <a:gd name="T83" fmla="*/ 9277 h 1800"/>
                              <a:gd name="T84" fmla="*/ 7815 w 8130"/>
                              <a:gd name="T85" fmla="*/ 9292 h 1800"/>
                              <a:gd name="T86" fmla="*/ 8130 w 8130"/>
                              <a:gd name="T87" fmla="*/ 9292 h 1800"/>
                              <a:gd name="T88" fmla="*/ 8130 w 8130"/>
                              <a:gd name="T89" fmla="*/ 9277 h 1800"/>
                              <a:gd name="T90" fmla="*/ 8130 w 8130"/>
                              <a:gd name="T91" fmla="*/ 8377 h 1800"/>
                              <a:gd name="T92" fmla="*/ 0 w 8130"/>
                              <a:gd name="T93" fmla="*/ 8377 h 1800"/>
                              <a:gd name="T94" fmla="*/ 0 w 8130"/>
                              <a:gd name="T95" fmla="*/ 8392 h 1800"/>
                              <a:gd name="T96" fmla="*/ 8130 w 8130"/>
                              <a:gd name="T97" fmla="*/ 8392 h 1800"/>
                              <a:gd name="T98" fmla="*/ 8130 w 8130"/>
                              <a:gd name="T99" fmla="*/ 8377 h 18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30" h="1800">
                                <a:moveTo>
                                  <a:pt x="1935" y="1785"/>
                                </a:moveTo>
                                <a:lnTo>
                                  <a:pt x="0" y="1785"/>
                                </a:lnTo>
                                <a:lnTo>
                                  <a:pt x="0" y="1800"/>
                                </a:lnTo>
                                <a:lnTo>
                                  <a:pt x="1935" y="1800"/>
                                </a:lnTo>
                                <a:lnTo>
                                  <a:pt x="1935" y="1785"/>
                                </a:lnTo>
                                <a:close/>
                                <a:moveTo>
                                  <a:pt x="3570" y="1785"/>
                                </a:moveTo>
                                <a:lnTo>
                                  <a:pt x="2940" y="1785"/>
                                </a:lnTo>
                                <a:lnTo>
                                  <a:pt x="2940" y="1800"/>
                                </a:lnTo>
                                <a:lnTo>
                                  <a:pt x="3570" y="1800"/>
                                </a:lnTo>
                                <a:lnTo>
                                  <a:pt x="3570" y="1785"/>
                                </a:lnTo>
                                <a:close/>
                                <a:moveTo>
                                  <a:pt x="3570" y="900"/>
                                </a:moveTo>
                                <a:lnTo>
                                  <a:pt x="0" y="900"/>
                                </a:lnTo>
                                <a:lnTo>
                                  <a:pt x="0" y="915"/>
                                </a:lnTo>
                                <a:lnTo>
                                  <a:pt x="3570" y="915"/>
                                </a:lnTo>
                                <a:lnTo>
                                  <a:pt x="3570" y="900"/>
                                </a:lnTo>
                                <a:close/>
                                <a:moveTo>
                                  <a:pt x="5190" y="1785"/>
                                </a:moveTo>
                                <a:lnTo>
                                  <a:pt x="4560" y="1785"/>
                                </a:lnTo>
                                <a:lnTo>
                                  <a:pt x="4560" y="1800"/>
                                </a:lnTo>
                                <a:lnTo>
                                  <a:pt x="5190" y="1800"/>
                                </a:lnTo>
                                <a:lnTo>
                                  <a:pt x="5190" y="1785"/>
                                </a:lnTo>
                                <a:close/>
                                <a:moveTo>
                                  <a:pt x="5190" y="900"/>
                                </a:moveTo>
                                <a:lnTo>
                                  <a:pt x="4560" y="900"/>
                                </a:lnTo>
                                <a:lnTo>
                                  <a:pt x="4560" y="915"/>
                                </a:lnTo>
                                <a:lnTo>
                                  <a:pt x="5190" y="915"/>
                                </a:lnTo>
                                <a:lnTo>
                                  <a:pt x="5190" y="900"/>
                                </a:lnTo>
                                <a:close/>
                                <a:moveTo>
                                  <a:pt x="6810" y="1785"/>
                                </a:moveTo>
                                <a:lnTo>
                                  <a:pt x="6195" y="1785"/>
                                </a:lnTo>
                                <a:lnTo>
                                  <a:pt x="6195" y="1800"/>
                                </a:lnTo>
                                <a:lnTo>
                                  <a:pt x="6810" y="1800"/>
                                </a:lnTo>
                                <a:lnTo>
                                  <a:pt x="6810" y="1785"/>
                                </a:lnTo>
                                <a:close/>
                                <a:moveTo>
                                  <a:pt x="6810" y="900"/>
                                </a:moveTo>
                                <a:lnTo>
                                  <a:pt x="6195" y="900"/>
                                </a:lnTo>
                                <a:lnTo>
                                  <a:pt x="6195" y="915"/>
                                </a:lnTo>
                                <a:lnTo>
                                  <a:pt x="6810" y="915"/>
                                </a:lnTo>
                                <a:lnTo>
                                  <a:pt x="6810" y="900"/>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975728786" name="Rectangle 115"/>
                        <wps:cNvSpPr>
                          <a:spLocks noChangeArrowheads="1"/>
                        </wps:cNvSpPr>
                        <wps:spPr bwMode="auto">
                          <a:xfrm>
                            <a:off x="2385" y="10612"/>
                            <a:ext cx="1005" cy="8"/>
                          </a:xfrm>
                          <a:prstGeom prst="rect">
                            <a:avLst/>
                          </a:prstGeom>
                          <a:solidFill>
                            <a:srgbClr val="663AB6"/>
                          </a:solidFill>
                          <a:ln>
                            <a:noFill/>
                          </a:ln>
                          <a:effectLst/>
                        </wps:spPr>
                        <wps:bodyPr rot="0" vert="horz" wrap="square" lIns="91440" tIns="45720" rIns="91440" bIns="45720" anchor="t" anchorCtr="0" upright="1">
                          <a:noAutofit/>
                        </wps:bodyPr>
                      </wps:wsp>
                      <wps:wsp>
                        <wps:cNvPr id="2071075898" name="Rectangle 114"/>
                        <wps:cNvSpPr>
                          <a:spLocks noChangeArrowheads="1"/>
                        </wps:cNvSpPr>
                        <wps:spPr bwMode="auto">
                          <a:xfrm>
                            <a:off x="2070" y="10612"/>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297216262" name="Rectangle 113"/>
                        <wps:cNvSpPr>
                          <a:spLocks noChangeArrowheads="1"/>
                        </wps:cNvSpPr>
                        <wps:spPr bwMode="auto">
                          <a:xfrm>
                            <a:off x="2880" y="10432"/>
                            <a:ext cx="15" cy="180"/>
                          </a:xfrm>
                          <a:prstGeom prst="rect">
                            <a:avLst/>
                          </a:prstGeom>
                          <a:solidFill>
                            <a:srgbClr val="999999"/>
                          </a:solidFill>
                          <a:ln>
                            <a:noFill/>
                          </a:ln>
                          <a:effectLst/>
                        </wps:spPr>
                        <wps:bodyPr rot="0" vert="horz" wrap="square" lIns="91440" tIns="45720" rIns="91440" bIns="45720" anchor="t" anchorCtr="0" upright="1">
                          <a:noAutofit/>
                        </wps:bodyPr>
                      </wps:wsp>
                      <wps:wsp>
                        <wps:cNvPr id="2001086549" name="AutoShape 112"/>
                        <wps:cNvSpPr/>
                        <wps:spPr bwMode="auto">
                          <a:xfrm>
                            <a:off x="2622" y="10273"/>
                            <a:ext cx="517" cy="169"/>
                          </a:xfrm>
                          <a:custGeom>
                            <a:avLst/>
                            <a:gdLst>
                              <a:gd name="T0" fmla="*/ 8 w 517"/>
                              <a:gd name="T1" fmla="*/ 10295 h 169"/>
                              <a:gd name="T2" fmla="*/ 42 w 517"/>
                              <a:gd name="T3" fmla="*/ 10275 h 169"/>
                              <a:gd name="T4" fmla="*/ 70 w 517"/>
                              <a:gd name="T5" fmla="*/ 10286 h 169"/>
                              <a:gd name="T6" fmla="*/ 83 w 517"/>
                              <a:gd name="T7" fmla="*/ 10318 h 169"/>
                              <a:gd name="T8" fmla="*/ 80 w 517"/>
                              <a:gd name="T9" fmla="*/ 10378 h 169"/>
                              <a:gd name="T10" fmla="*/ 52 w 517"/>
                              <a:gd name="T11" fmla="*/ 10407 h 169"/>
                              <a:gd name="T12" fmla="*/ 8 w 517"/>
                              <a:gd name="T13" fmla="*/ 10384 h 169"/>
                              <a:gd name="T14" fmla="*/ 17 w 517"/>
                              <a:gd name="T15" fmla="*/ 10356 h 169"/>
                              <a:gd name="T16" fmla="*/ 35 w 517"/>
                              <a:gd name="T17" fmla="*/ 10394 h 169"/>
                              <a:gd name="T18" fmla="*/ 64 w 517"/>
                              <a:gd name="T19" fmla="*/ 10377 h 169"/>
                              <a:gd name="T20" fmla="*/ 66 w 517"/>
                              <a:gd name="T21" fmla="*/ 10315 h 169"/>
                              <a:gd name="T22" fmla="*/ 42 w 517"/>
                              <a:gd name="T23" fmla="*/ 10289 h 169"/>
                              <a:gd name="T24" fmla="*/ 19 w 517"/>
                              <a:gd name="T25" fmla="*/ 10315 h 169"/>
                              <a:gd name="T26" fmla="*/ 173 w 517"/>
                              <a:gd name="T27" fmla="*/ 10425 h 169"/>
                              <a:gd name="T28" fmla="*/ 155 w 517"/>
                              <a:gd name="T29" fmla="*/ 10370 h 169"/>
                              <a:gd name="T30" fmla="*/ 161 w 517"/>
                              <a:gd name="T31" fmla="*/ 10318 h 169"/>
                              <a:gd name="T32" fmla="*/ 196 w 517"/>
                              <a:gd name="T33" fmla="*/ 10274 h 169"/>
                              <a:gd name="T34" fmla="*/ 176 w 517"/>
                              <a:gd name="T35" fmla="*/ 10316 h 169"/>
                              <a:gd name="T36" fmla="*/ 172 w 517"/>
                              <a:gd name="T37" fmla="*/ 10379 h 169"/>
                              <a:gd name="T38" fmla="*/ 210 w 517"/>
                              <a:gd name="T39" fmla="*/ 10341 h 169"/>
                              <a:gd name="T40" fmla="*/ 223 w 517"/>
                              <a:gd name="T41" fmla="*/ 10288 h 169"/>
                              <a:gd name="T42" fmla="*/ 259 w 517"/>
                              <a:gd name="T43" fmla="*/ 10275 h 169"/>
                              <a:gd name="T44" fmla="*/ 284 w 517"/>
                              <a:gd name="T45" fmla="*/ 10292 h 169"/>
                              <a:gd name="T46" fmla="*/ 294 w 517"/>
                              <a:gd name="T47" fmla="*/ 10329 h 169"/>
                              <a:gd name="T48" fmla="*/ 287 w 517"/>
                              <a:gd name="T49" fmla="*/ 10387 h 169"/>
                              <a:gd name="T50" fmla="*/ 252 w 517"/>
                              <a:gd name="T51" fmla="*/ 10407 h 169"/>
                              <a:gd name="T52" fmla="*/ 214 w 517"/>
                              <a:gd name="T53" fmla="*/ 10373 h 169"/>
                              <a:gd name="T54" fmla="*/ 229 w 517"/>
                              <a:gd name="T55" fmla="*/ 10368 h 169"/>
                              <a:gd name="T56" fmla="*/ 252 w 517"/>
                              <a:gd name="T57" fmla="*/ 10394 h 169"/>
                              <a:gd name="T58" fmla="*/ 276 w 517"/>
                              <a:gd name="T59" fmla="*/ 10368 h 169"/>
                              <a:gd name="T60" fmla="*/ 274 w 517"/>
                              <a:gd name="T61" fmla="*/ 10306 h 169"/>
                              <a:gd name="T62" fmla="*/ 245 w 517"/>
                              <a:gd name="T63" fmla="*/ 10289 h 169"/>
                              <a:gd name="T64" fmla="*/ 227 w 517"/>
                              <a:gd name="T65" fmla="*/ 10327 h 169"/>
                              <a:gd name="T66" fmla="*/ 320 w 517"/>
                              <a:gd name="T67" fmla="*/ 10283 h 169"/>
                              <a:gd name="T68" fmla="*/ 355 w 517"/>
                              <a:gd name="T69" fmla="*/ 10277 h 169"/>
                              <a:gd name="T70" fmla="*/ 369 w 517"/>
                              <a:gd name="T71" fmla="*/ 10319 h 169"/>
                              <a:gd name="T72" fmla="*/ 341 w 517"/>
                              <a:gd name="T73" fmla="*/ 10342 h 169"/>
                              <a:gd name="T74" fmla="*/ 314 w 517"/>
                              <a:gd name="T75" fmla="*/ 10319 h 169"/>
                              <a:gd name="T76" fmla="*/ 331 w 517"/>
                              <a:gd name="T77" fmla="*/ 10290 h 169"/>
                              <a:gd name="T78" fmla="*/ 329 w 517"/>
                              <a:gd name="T79" fmla="*/ 10323 h 169"/>
                              <a:gd name="T80" fmla="*/ 345 w 517"/>
                              <a:gd name="T81" fmla="*/ 10331 h 169"/>
                              <a:gd name="T82" fmla="*/ 355 w 517"/>
                              <a:gd name="T83" fmla="*/ 10307 h 169"/>
                              <a:gd name="T84" fmla="*/ 345 w 517"/>
                              <a:gd name="T85" fmla="*/ 10285 h 169"/>
                              <a:gd name="T86" fmla="*/ 354 w 517"/>
                              <a:gd name="T87" fmla="*/ 10410 h 169"/>
                              <a:gd name="T88" fmla="*/ 404 w 517"/>
                              <a:gd name="T89" fmla="*/ 10351 h 169"/>
                              <a:gd name="T90" fmla="*/ 439 w 517"/>
                              <a:gd name="T91" fmla="*/ 10344 h 169"/>
                              <a:gd name="T92" fmla="*/ 452 w 517"/>
                              <a:gd name="T93" fmla="*/ 10386 h 169"/>
                              <a:gd name="T94" fmla="*/ 424 w 517"/>
                              <a:gd name="T95" fmla="*/ 10410 h 169"/>
                              <a:gd name="T96" fmla="*/ 397 w 517"/>
                              <a:gd name="T97" fmla="*/ 10386 h 169"/>
                              <a:gd name="T98" fmla="*/ 415 w 517"/>
                              <a:gd name="T99" fmla="*/ 10357 h 169"/>
                              <a:gd name="T100" fmla="*/ 412 w 517"/>
                              <a:gd name="T101" fmla="*/ 10390 h 169"/>
                              <a:gd name="T102" fmla="*/ 428 w 517"/>
                              <a:gd name="T103" fmla="*/ 10399 h 169"/>
                              <a:gd name="T104" fmla="*/ 438 w 517"/>
                              <a:gd name="T105" fmla="*/ 10375 h 169"/>
                              <a:gd name="T106" fmla="*/ 428 w 517"/>
                              <a:gd name="T107" fmla="*/ 10352 h 169"/>
                              <a:gd name="T108" fmla="*/ 494 w 517"/>
                              <a:gd name="T109" fmla="*/ 10401 h 169"/>
                              <a:gd name="T110" fmla="*/ 497 w 517"/>
                              <a:gd name="T111" fmla="*/ 10325 h 169"/>
                              <a:gd name="T112" fmla="*/ 481 w 517"/>
                              <a:gd name="T113" fmla="*/ 10286 h 169"/>
                              <a:gd name="T114" fmla="*/ 505 w 517"/>
                              <a:gd name="T115" fmla="*/ 10307 h 169"/>
                              <a:gd name="T116" fmla="*/ 517 w 517"/>
                              <a:gd name="T117" fmla="*/ 10358 h 169"/>
                              <a:gd name="T118" fmla="*/ 503 w 517"/>
                              <a:gd name="T119" fmla="*/ 10415 h 16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17" h="169">
                                <a:moveTo>
                                  <a:pt x="0" y="67"/>
                                </a:moveTo>
                                <a:lnTo>
                                  <a:pt x="0" y="52"/>
                                </a:lnTo>
                                <a:lnTo>
                                  <a:pt x="2" y="40"/>
                                </a:lnTo>
                                <a:lnTo>
                                  <a:pt x="5" y="31"/>
                                </a:lnTo>
                                <a:lnTo>
                                  <a:pt x="8" y="21"/>
                                </a:lnTo>
                                <a:lnTo>
                                  <a:pt x="13" y="14"/>
                                </a:lnTo>
                                <a:lnTo>
                                  <a:pt x="19" y="9"/>
                                </a:lnTo>
                                <a:lnTo>
                                  <a:pt x="25" y="4"/>
                                </a:lnTo>
                                <a:lnTo>
                                  <a:pt x="33" y="1"/>
                                </a:lnTo>
                                <a:lnTo>
                                  <a:pt x="42" y="1"/>
                                </a:lnTo>
                                <a:lnTo>
                                  <a:pt x="49" y="1"/>
                                </a:lnTo>
                                <a:lnTo>
                                  <a:pt x="55" y="3"/>
                                </a:lnTo>
                                <a:lnTo>
                                  <a:pt x="61" y="6"/>
                                </a:lnTo>
                                <a:lnTo>
                                  <a:pt x="66" y="8"/>
                                </a:lnTo>
                                <a:lnTo>
                                  <a:pt x="70" y="12"/>
                                </a:lnTo>
                                <a:lnTo>
                                  <a:pt x="74" y="18"/>
                                </a:lnTo>
                                <a:lnTo>
                                  <a:pt x="77" y="23"/>
                                </a:lnTo>
                                <a:lnTo>
                                  <a:pt x="80" y="29"/>
                                </a:lnTo>
                                <a:lnTo>
                                  <a:pt x="82" y="37"/>
                                </a:lnTo>
                                <a:lnTo>
                                  <a:pt x="83" y="44"/>
                                </a:lnTo>
                                <a:lnTo>
                                  <a:pt x="84" y="55"/>
                                </a:lnTo>
                                <a:lnTo>
                                  <a:pt x="84" y="67"/>
                                </a:lnTo>
                                <a:lnTo>
                                  <a:pt x="84" y="82"/>
                                </a:lnTo>
                                <a:lnTo>
                                  <a:pt x="83" y="95"/>
                                </a:lnTo>
                                <a:lnTo>
                                  <a:pt x="80" y="104"/>
                                </a:lnTo>
                                <a:lnTo>
                                  <a:pt x="77" y="113"/>
                                </a:lnTo>
                                <a:lnTo>
                                  <a:pt x="72" y="120"/>
                                </a:lnTo>
                                <a:lnTo>
                                  <a:pt x="66" y="125"/>
                                </a:lnTo>
                                <a:lnTo>
                                  <a:pt x="60" y="131"/>
                                </a:lnTo>
                                <a:lnTo>
                                  <a:pt x="52" y="133"/>
                                </a:lnTo>
                                <a:lnTo>
                                  <a:pt x="42" y="133"/>
                                </a:lnTo>
                                <a:lnTo>
                                  <a:pt x="30" y="133"/>
                                </a:lnTo>
                                <a:lnTo>
                                  <a:pt x="20" y="129"/>
                                </a:lnTo>
                                <a:lnTo>
                                  <a:pt x="13" y="120"/>
                                </a:lnTo>
                                <a:lnTo>
                                  <a:pt x="8" y="110"/>
                                </a:lnTo>
                                <a:lnTo>
                                  <a:pt x="4" y="99"/>
                                </a:lnTo>
                                <a:lnTo>
                                  <a:pt x="1" y="84"/>
                                </a:lnTo>
                                <a:lnTo>
                                  <a:pt x="0" y="67"/>
                                </a:lnTo>
                                <a:close/>
                                <a:moveTo>
                                  <a:pt x="17" y="67"/>
                                </a:moveTo>
                                <a:lnTo>
                                  <a:pt x="17" y="82"/>
                                </a:lnTo>
                                <a:lnTo>
                                  <a:pt x="19" y="94"/>
                                </a:lnTo>
                                <a:lnTo>
                                  <a:pt x="21" y="103"/>
                                </a:lnTo>
                                <a:lnTo>
                                  <a:pt x="24" y="110"/>
                                </a:lnTo>
                                <a:lnTo>
                                  <a:pt x="29" y="117"/>
                                </a:lnTo>
                                <a:lnTo>
                                  <a:pt x="35" y="120"/>
                                </a:lnTo>
                                <a:lnTo>
                                  <a:pt x="42" y="120"/>
                                </a:lnTo>
                                <a:lnTo>
                                  <a:pt x="50" y="120"/>
                                </a:lnTo>
                                <a:lnTo>
                                  <a:pt x="56" y="117"/>
                                </a:lnTo>
                                <a:lnTo>
                                  <a:pt x="61" y="110"/>
                                </a:lnTo>
                                <a:lnTo>
                                  <a:pt x="64" y="103"/>
                                </a:lnTo>
                                <a:lnTo>
                                  <a:pt x="66" y="94"/>
                                </a:lnTo>
                                <a:lnTo>
                                  <a:pt x="68" y="82"/>
                                </a:lnTo>
                                <a:lnTo>
                                  <a:pt x="68" y="67"/>
                                </a:lnTo>
                                <a:lnTo>
                                  <a:pt x="68" y="53"/>
                                </a:lnTo>
                                <a:lnTo>
                                  <a:pt x="66" y="41"/>
                                </a:lnTo>
                                <a:lnTo>
                                  <a:pt x="64" y="32"/>
                                </a:lnTo>
                                <a:lnTo>
                                  <a:pt x="61" y="25"/>
                                </a:lnTo>
                                <a:lnTo>
                                  <a:pt x="56" y="18"/>
                                </a:lnTo>
                                <a:lnTo>
                                  <a:pt x="50" y="15"/>
                                </a:lnTo>
                                <a:lnTo>
                                  <a:pt x="42" y="15"/>
                                </a:lnTo>
                                <a:lnTo>
                                  <a:pt x="35" y="15"/>
                                </a:lnTo>
                                <a:lnTo>
                                  <a:pt x="29" y="18"/>
                                </a:lnTo>
                                <a:lnTo>
                                  <a:pt x="25" y="24"/>
                                </a:lnTo>
                                <a:lnTo>
                                  <a:pt x="21" y="31"/>
                                </a:lnTo>
                                <a:lnTo>
                                  <a:pt x="19" y="41"/>
                                </a:lnTo>
                                <a:lnTo>
                                  <a:pt x="17" y="53"/>
                                </a:lnTo>
                                <a:lnTo>
                                  <a:pt x="17" y="67"/>
                                </a:lnTo>
                                <a:close/>
                                <a:moveTo>
                                  <a:pt x="185" y="169"/>
                                </a:moveTo>
                                <a:lnTo>
                                  <a:pt x="179" y="160"/>
                                </a:lnTo>
                                <a:lnTo>
                                  <a:pt x="173" y="151"/>
                                </a:lnTo>
                                <a:lnTo>
                                  <a:pt x="168" y="141"/>
                                </a:lnTo>
                                <a:lnTo>
                                  <a:pt x="163" y="130"/>
                                </a:lnTo>
                                <a:lnTo>
                                  <a:pt x="159" y="119"/>
                                </a:lnTo>
                                <a:lnTo>
                                  <a:pt x="156" y="108"/>
                                </a:lnTo>
                                <a:lnTo>
                                  <a:pt x="155" y="96"/>
                                </a:lnTo>
                                <a:lnTo>
                                  <a:pt x="154" y="84"/>
                                </a:lnTo>
                                <a:lnTo>
                                  <a:pt x="154" y="74"/>
                                </a:lnTo>
                                <a:lnTo>
                                  <a:pt x="156" y="64"/>
                                </a:lnTo>
                                <a:lnTo>
                                  <a:pt x="158" y="54"/>
                                </a:lnTo>
                                <a:lnTo>
                                  <a:pt x="161" y="44"/>
                                </a:lnTo>
                                <a:lnTo>
                                  <a:pt x="165" y="33"/>
                                </a:lnTo>
                                <a:lnTo>
                                  <a:pt x="171" y="22"/>
                                </a:lnTo>
                                <a:lnTo>
                                  <a:pt x="177" y="11"/>
                                </a:lnTo>
                                <a:lnTo>
                                  <a:pt x="185" y="0"/>
                                </a:lnTo>
                                <a:lnTo>
                                  <a:pt x="196" y="0"/>
                                </a:lnTo>
                                <a:lnTo>
                                  <a:pt x="189" y="12"/>
                                </a:lnTo>
                                <a:lnTo>
                                  <a:pt x="185" y="21"/>
                                </a:lnTo>
                                <a:lnTo>
                                  <a:pt x="182" y="26"/>
                                </a:lnTo>
                                <a:lnTo>
                                  <a:pt x="179" y="34"/>
                                </a:lnTo>
                                <a:lnTo>
                                  <a:pt x="176" y="42"/>
                                </a:lnTo>
                                <a:lnTo>
                                  <a:pt x="174" y="51"/>
                                </a:lnTo>
                                <a:lnTo>
                                  <a:pt x="171" y="62"/>
                                </a:lnTo>
                                <a:lnTo>
                                  <a:pt x="170" y="73"/>
                                </a:lnTo>
                                <a:lnTo>
                                  <a:pt x="170" y="84"/>
                                </a:lnTo>
                                <a:lnTo>
                                  <a:pt x="172" y="105"/>
                                </a:lnTo>
                                <a:lnTo>
                                  <a:pt x="177" y="127"/>
                                </a:lnTo>
                                <a:lnTo>
                                  <a:pt x="185" y="148"/>
                                </a:lnTo>
                                <a:lnTo>
                                  <a:pt x="196" y="169"/>
                                </a:lnTo>
                                <a:lnTo>
                                  <a:pt x="185" y="169"/>
                                </a:lnTo>
                                <a:close/>
                                <a:moveTo>
                                  <a:pt x="210" y="67"/>
                                </a:moveTo>
                                <a:lnTo>
                                  <a:pt x="210" y="52"/>
                                </a:lnTo>
                                <a:lnTo>
                                  <a:pt x="212" y="40"/>
                                </a:lnTo>
                                <a:lnTo>
                                  <a:pt x="215" y="31"/>
                                </a:lnTo>
                                <a:lnTo>
                                  <a:pt x="218" y="21"/>
                                </a:lnTo>
                                <a:lnTo>
                                  <a:pt x="223" y="14"/>
                                </a:lnTo>
                                <a:lnTo>
                                  <a:pt x="229" y="9"/>
                                </a:lnTo>
                                <a:lnTo>
                                  <a:pt x="235" y="4"/>
                                </a:lnTo>
                                <a:lnTo>
                                  <a:pt x="243" y="1"/>
                                </a:lnTo>
                                <a:lnTo>
                                  <a:pt x="252" y="1"/>
                                </a:lnTo>
                                <a:lnTo>
                                  <a:pt x="259" y="1"/>
                                </a:lnTo>
                                <a:lnTo>
                                  <a:pt x="265" y="3"/>
                                </a:lnTo>
                                <a:lnTo>
                                  <a:pt x="271" y="6"/>
                                </a:lnTo>
                                <a:lnTo>
                                  <a:pt x="276" y="8"/>
                                </a:lnTo>
                                <a:lnTo>
                                  <a:pt x="280" y="12"/>
                                </a:lnTo>
                                <a:lnTo>
                                  <a:pt x="284" y="18"/>
                                </a:lnTo>
                                <a:lnTo>
                                  <a:pt x="287" y="23"/>
                                </a:lnTo>
                                <a:lnTo>
                                  <a:pt x="290" y="29"/>
                                </a:lnTo>
                                <a:lnTo>
                                  <a:pt x="292" y="37"/>
                                </a:lnTo>
                                <a:lnTo>
                                  <a:pt x="294" y="44"/>
                                </a:lnTo>
                                <a:lnTo>
                                  <a:pt x="294" y="55"/>
                                </a:lnTo>
                                <a:lnTo>
                                  <a:pt x="294" y="67"/>
                                </a:lnTo>
                                <a:lnTo>
                                  <a:pt x="294" y="82"/>
                                </a:lnTo>
                                <a:lnTo>
                                  <a:pt x="293" y="95"/>
                                </a:lnTo>
                                <a:lnTo>
                                  <a:pt x="290" y="104"/>
                                </a:lnTo>
                                <a:lnTo>
                                  <a:pt x="287" y="113"/>
                                </a:lnTo>
                                <a:lnTo>
                                  <a:pt x="282" y="120"/>
                                </a:lnTo>
                                <a:lnTo>
                                  <a:pt x="276" y="125"/>
                                </a:lnTo>
                                <a:lnTo>
                                  <a:pt x="270" y="131"/>
                                </a:lnTo>
                                <a:lnTo>
                                  <a:pt x="262" y="133"/>
                                </a:lnTo>
                                <a:lnTo>
                                  <a:pt x="252" y="133"/>
                                </a:lnTo>
                                <a:lnTo>
                                  <a:pt x="240" y="133"/>
                                </a:lnTo>
                                <a:lnTo>
                                  <a:pt x="230" y="129"/>
                                </a:lnTo>
                                <a:lnTo>
                                  <a:pt x="223" y="120"/>
                                </a:lnTo>
                                <a:lnTo>
                                  <a:pt x="218" y="110"/>
                                </a:lnTo>
                                <a:lnTo>
                                  <a:pt x="214" y="99"/>
                                </a:lnTo>
                                <a:lnTo>
                                  <a:pt x="211" y="84"/>
                                </a:lnTo>
                                <a:lnTo>
                                  <a:pt x="210" y="67"/>
                                </a:lnTo>
                                <a:close/>
                                <a:moveTo>
                                  <a:pt x="227" y="67"/>
                                </a:moveTo>
                                <a:lnTo>
                                  <a:pt x="227" y="82"/>
                                </a:lnTo>
                                <a:lnTo>
                                  <a:pt x="229" y="94"/>
                                </a:lnTo>
                                <a:lnTo>
                                  <a:pt x="231" y="103"/>
                                </a:lnTo>
                                <a:lnTo>
                                  <a:pt x="234" y="110"/>
                                </a:lnTo>
                                <a:lnTo>
                                  <a:pt x="239" y="117"/>
                                </a:lnTo>
                                <a:lnTo>
                                  <a:pt x="245" y="120"/>
                                </a:lnTo>
                                <a:lnTo>
                                  <a:pt x="252" y="120"/>
                                </a:lnTo>
                                <a:lnTo>
                                  <a:pt x="260" y="120"/>
                                </a:lnTo>
                                <a:lnTo>
                                  <a:pt x="266" y="117"/>
                                </a:lnTo>
                                <a:lnTo>
                                  <a:pt x="271" y="110"/>
                                </a:lnTo>
                                <a:lnTo>
                                  <a:pt x="274" y="103"/>
                                </a:lnTo>
                                <a:lnTo>
                                  <a:pt x="276" y="94"/>
                                </a:lnTo>
                                <a:lnTo>
                                  <a:pt x="278" y="82"/>
                                </a:lnTo>
                                <a:lnTo>
                                  <a:pt x="278" y="67"/>
                                </a:lnTo>
                                <a:lnTo>
                                  <a:pt x="278" y="53"/>
                                </a:lnTo>
                                <a:lnTo>
                                  <a:pt x="276" y="41"/>
                                </a:lnTo>
                                <a:lnTo>
                                  <a:pt x="274" y="32"/>
                                </a:lnTo>
                                <a:lnTo>
                                  <a:pt x="271" y="25"/>
                                </a:lnTo>
                                <a:lnTo>
                                  <a:pt x="266" y="18"/>
                                </a:lnTo>
                                <a:lnTo>
                                  <a:pt x="260" y="15"/>
                                </a:lnTo>
                                <a:lnTo>
                                  <a:pt x="252" y="15"/>
                                </a:lnTo>
                                <a:lnTo>
                                  <a:pt x="245" y="15"/>
                                </a:lnTo>
                                <a:lnTo>
                                  <a:pt x="239" y="18"/>
                                </a:lnTo>
                                <a:lnTo>
                                  <a:pt x="235" y="24"/>
                                </a:lnTo>
                                <a:lnTo>
                                  <a:pt x="231" y="31"/>
                                </a:lnTo>
                                <a:lnTo>
                                  <a:pt x="229" y="41"/>
                                </a:lnTo>
                                <a:lnTo>
                                  <a:pt x="227" y="53"/>
                                </a:lnTo>
                                <a:lnTo>
                                  <a:pt x="227" y="67"/>
                                </a:lnTo>
                                <a:close/>
                                <a:moveTo>
                                  <a:pt x="314" y="33"/>
                                </a:moveTo>
                                <a:lnTo>
                                  <a:pt x="314" y="24"/>
                                </a:lnTo>
                                <a:lnTo>
                                  <a:pt x="316" y="16"/>
                                </a:lnTo>
                                <a:lnTo>
                                  <a:pt x="320" y="9"/>
                                </a:lnTo>
                                <a:lnTo>
                                  <a:pt x="325" y="3"/>
                                </a:lnTo>
                                <a:lnTo>
                                  <a:pt x="332" y="0"/>
                                </a:lnTo>
                                <a:lnTo>
                                  <a:pt x="341" y="0"/>
                                </a:lnTo>
                                <a:lnTo>
                                  <a:pt x="349" y="0"/>
                                </a:lnTo>
                                <a:lnTo>
                                  <a:pt x="355" y="3"/>
                                </a:lnTo>
                                <a:lnTo>
                                  <a:pt x="361" y="8"/>
                                </a:lnTo>
                                <a:lnTo>
                                  <a:pt x="366" y="14"/>
                                </a:lnTo>
                                <a:lnTo>
                                  <a:pt x="369" y="23"/>
                                </a:lnTo>
                                <a:lnTo>
                                  <a:pt x="369" y="34"/>
                                </a:lnTo>
                                <a:lnTo>
                                  <a:pt x="369" y="45"/>
                                </a:lnTo>
                                <a:lnTo>
                                  <a:pt x="366" y="53"/>
                                </a:lnTo>
                                <a:lnTo>
                                  <a:pt x="361" y="59"/>
                                </a:lnTo>
                                <a:lnTo>
                                  <a:pt x="355" y="65"/>
                                </a:lnTo>
                                <a:lnTo>
                                  <a:pt x="349" y="68"/>
                                </a:lnTo>
                                <a:lnTo>
                                  <a:pt x="341" y="68"/>
                                </a:lnTo>
                                <a:lnTo>
                                  <a:pt x="333" y="68"/>
                                </a:lnTo>
                                <a:lnTo>
                                  <a:pt x="327" y="65"/>
                                </a:lnTo>
                                <a:lnTo>
                                  <a:pt x="321" y="59"/>
                                </a:lnTo>
                                <a:lnTo>
                                  <a:pt x="316" y="53"/>
                                </a:lnTo>
                                <a:lnTo>
                                  <a:pt x="314" y="45"/>
                                </a:lnTo>
                                <a:lnTo>
                                  <a:pt x="314" y="33"/>
                                </a:lnTo>
                                <a:close/>
                                <a:moveTo>
                                  <a:pt x="341" y="11"/>
                                </a:moveTo>
                                <a:lnTo>
                                  <a:pt x="337" y="11"/>
                                </a:lnTo>
                                <a:lnTo>
                                  <a:pt x="334" y="12"/>
                                </a:lnTo>
                                <a:lnTo>
                                  <a:pt x="331" y="16"/>
                                </a:lnTo>
                                <a:lnTo>
                                  <a:pt x="329" y="19"/>
                                </a:lnTo>
                                <a:lnTo>
                                  <a:pt x="327" y="25"/>
                                </a:lnTo>
                                <a:lnTo>
                                  <a:pt x="327" y="35"/>
                                </a:lnTo>
                                <a:lnTo>
                                  <a:pt x="327" y="43"/>
                                </a:lnTo>
                                <a:lnTo>
                                  <a:pt x="329" y="49"/>
                                </a:lnTo>
                                <a:lnTo>
                                  <a:pt x="331" y="52"/>
                                </a:lnTo>
                                <a:lnTo>
                                  <a:pt x="334" y="55"/>
                                </a:lnTo>
                                <a:lnTo>
                                  <a:pt x="337" y="57"/>
                                </a:lnTo>
                                <a:lnTo>
                                  <a:pt x="341" y="57"/>
                                </a:lnTo>
                                <a:lnTo>
                                  <a:pt x="345" y="57"/>
                                </a:lnTo>
                                <a:lnTo>
                                  <a:pt x="348" y="55"/>
                                </a:lnTo>
                                <a:lnTo>
                                  <a:pt x="351" y="52"/>
                                </a:lnTo>
                                <a:lnTo>
                                  <a:pt x="354" y="49"/>
                                </a:lnTo>
                                <a:lnTo>
                                  <a:pt x="355" y="42"/>
                                </a:lnTo>
                                <a:lnTo>
                                  <a:pt x="355" y="33"/>
                                </a:lnTo>
                                <a:lnTo>
                                  <a:pt x="355" y="25"/>
                                </a:lnTo>
                                <a:lnTo>
                                  <a:pt x="354" y="19"/>
                                </a:lnTo>
                                <a:lnTo>
                                  <a:pt x="351" y="16"/>
                                </a:lnTo>
                                <a:lnTo>
                                  <a:pt x="348" y="12"/>
                                </a:lnTo>
                                <a:lnTo>
                                  <a:pt x="345" y="11"/>
                                </a:lnTo>
                                <a:lnTo>
                                  <a:pt x="341" y="11"/>
                                </a:lnTo>
                                <a:close/>
                                <a:moveTo>
                                  <a:pt x="341" y="136"/>
                                </a:moveTo>
                                <a:lnTo>
                                  <a:pt x="412" y="0"/>
                                </a:lnTo>
                                <a:lnTo>
                                  <a:pt x="424" y="0"/>
                                </a:lnTo>
                                <a:lnTo>
                                  <a:pt x="354" y="136"/>
                                </a:lnTo>
                                <a:lnTo>
                                  <a:pt x="341" y="136"/>
                                </a:lnTo>
                                <a:close/>
                                <a:moveTo>
                                  <a:pt x="397" y="101"/>
                                </a:moveTo>
                                <a:lnTo>
                                  <a:pt x="397" y="91"/>
                                </a:lnTo>
                                <a:lnTo>
                                  <a:pt x="399" y="84"/>
                                </a:lnTo>
                                <a:lnTo>
                                  <a:pt x="404" y="77"/>
                                </a:lnTo>
                                <a:lnTo>
                                  <a:pt x="408" y="71"/>
                                </a:lnTo>
                                <a:lnTo>
                                  <a:pt x="415" y="67"/>
                                </a:lnTo>
                                <a:lnTo>
                                  <a:pt x="424" y="67"/>
                                </a:lnTo>
                                <a:lnTo>
                                  <a:pt x="432" y="67"/>
                                </a:lnTo>
                                <a:lnTo>
                                  <a:pt x="439" y="70"/>
                                </a:lnTo>
                                <a:lnTo>
                                  <a:pt x="444" y="76"/>
                                </a:lnTo>
                                <a:lnTo>
                                  <a:pt x="449" y="82"/>
                                </a:lnTo>
                                <a:lnTo>
                                  <a:pt x="452" y="90"/>
                                </a:lnTo>
                                <a:lnTo>
                                  <a:pt x="452" y="102"/>
                                </a:lnTo>
                                <a:lnTo>
                                  <a:pt x="452" y="112"/>
                                </a:lnTo>
                                <a:lnTo>
                                  <a:pt x="449" y="121"/>
                                </a:lnTo>
                                <a:lnTo>
                                  <a:pt x="444" y="127"/>
                                </a:lnTo>
                                <a:lnTo>
                                  <a:pt x="439" y="133"/>
                                </a:lnTo>
                                <a:lnTo>
                                  <a:pt x="432" y="136"/>
                                </a:lnTo>
                                <a:lnTo>
                                  <a:pt x="424" y="136"/>
                                </a:lnTo>
                                <a:lnTo>
                                  <a:pt x="416" y="136"/>
                                </a:lnTo>
                                <a:lnTo>
                                  <a:pt x="410" y="133"/>
                                </a:lnTo>
                                <a:lnTo>
                                  <a:pt x="405" y="127"/>
                                </a:lnTo>
                                <a:lnTo>
                                  <a:pt x="399" y="121"/>
                                </a:lnTo>
                                <a:lnTo>
                                  <a:pt x="397" y="112"/>
                                </a:lnTo>
                                <a:lnTo>
                                  <a:pt x="397" y="101"/>
                                </a:lnTo>
                                <a:close/>
                                <a:moveTo>
                                  <a:pt x="424" y="78"/>
                                </a:moveTo>
                                <a:lnTo>
                                  <a:pt x="420" y="78"/>
                                </a:lnTo>
                                <a:lnTo>
                                  <a:pt x="417" y="80"/>
                                </a:lnTo>
                                <a:lnTo>
                                  <a:pt x="415" y="83"/>
                                </a:lnTo>
                                <a:lnTo>
                                  <a:pt x="412" y="87"/>
                                </a:lnTo>
                                <a:lnTo>
                                  <a:pt x="411" y="93"/>
                                </a:lnTo>
                                <a:lnTo>
                                  <a:pt x="411" y="102"/>
                                </a:lnTo>
                                <a:lnTo>
                                  <a:pt x="411" y="110"/>
                                </a:lnTo>
                                <a:lnTo>
                                  <a:pt x="412" y="116"/>
                                </a:lnTo>
                                <a:lnTo>
                                  <a:pt x="415" y="120"/>
                                </a:lnTo>
                                <a:lnTo>
                                  <a:pt x="417" y="123"/>
                                </a:lnTo>
                                <a:lnTo>
                                  <a:pt x="421" y="125"/>
                                </a:lnTo>
                                <a:lnTo>
                                  <a:pt x="424" y="125"/>
                                </a:lnTo>
                                <a:lnTo>
                                  <a:pt x="428" y="125"/>
                                </a:lnTo>
                                <a:lnTo>
                                  <a:pt x="432" y="123"/>
                                </a:lnTo>
                                <a:lnTo>
                                  <a:pt x="434" y="120"/>
                                </a:lnTo>
                                <a:lnTo>
                                  <a:pt x="437" y="116"/>
                                </a:lnTo>
                                <a:lnTo>
                                  <a:pt x="438" y="110"/>
                                </a:lnTo>
                                <a:lnTo>
                                  <a:pt x="438" y="101"/>
                                </a:lnTo>
                                <a:lnTo>
                                  <a:pt x="438" y="93"/>
                                </a:lnTo>
                                <a:lnTo>
                                  <a:pt x="437" y="87"/>
                                </a:lnTo>
                                <a:lnTo>
                                  <a:pt x="434" y="83"/>
                                </a:lnTo>
                                <a:lnTo>
                                  <a:pt x="432" y="80"/>
                                </a:lnTo>
                                <a:lnTo>
                                  <a:pt x="428" y="78"/>
                                </a:lnTo>
                                <a:lnTo>
                                  <a:pt x="424" y="78"/>
                                </a:lnTo>
                                <a:close/>
                                <a:moveTo>
                                  <a:pt x="485" y="169"/>
                                </a:moveTo>
                                <a:lnTo>
                                  <a:pt x="474" y="169"/>
                                </a:lnTo>
                                <a:lnTo>
                                  <a:pt x="486" y="148"/>
                                </a:lnTo>
                                <a:lnTo>
                                  <a:pt x="494" y="127"/>
                                </a:lnTo>
                                <a:lnTo>
                                  <a:pt x="499" y="105"/>
                                </a:lnTo>
                                <a:lnTo>
                                  <a:pt x="500" y="84"/>
                                </a:lnTo>
                                <a:lnTo>
                                  <a:pt x="500" y="73"/>
                                </a:lnTo>
                                <a:lnTo>
                                  <a:pt x="499" y="62"/>
                                </a:lnTo>
                                <a:lnTo>
                                  <a:pt x="497" y="51"/>
                                </a:lnTo>
                                <a:lnTo>
                                  <a:pt x="495" y="43"/>
                                </a:lnTo>
                                <a:lnTo>
                                  <a:pt x="492" y="34"/>
                                </a:lnTo>
                                <a:lnTo>
                                  <a:pt x="488" y="26"/>
                                </a:lnTo>
                                <a:lnTo>
                                  <a:pt x="486" y="21"/>
                                </a:lnTo>
                                <a:lnTo>
                                  <a:pt x="481" y="12"/>
                                </a:lnTo>
                                <a:lnTo>
                                  <a:pt x="474" y="0"/>
                                </a:lnTo>
                                <a:lnTo>
                                  <a:pt x="485" y="0"/>
                                </a:lnTo>
                                <a:lnTo>
                                  <a:pt x="493" y="11"/>
                                </a:lnTo>
                                <a:lnTo>
                                  <a:pt x="500" y="22"/>
                                </a:lnTo>
                                <a:lnTo>
                                  <a:pt x="505" y="33"/>
                                </a:lnTo>
                                <a:lnTo>
                                  <a:pt x="510" y="44"/>
                                </a:lnTo>
                                <a:lnTo>
                                  <a:pt x="513" y="54"/>
                                </a:lnTo>
                                <a:lnTo>
                                  <a:pt x="515" y="64"/>
                                </a:lnTo>
                                <a:lnTo>
                                  <a:pt x="516" y="74"/>
                                </a:lnTo>
                                <a:lnTo>
                                  <a:pt x="517" y="84"/>
                                </a:lnTo>
                                <a:lnTo>
                                  <a:pt x="516" y="96"/>
                                </a:lnTo>
                                <a:lnTo>
                                  <a:pt x="514" y="108"/>
                                </a:lnTo>
                                <a:lnTo>
                                  <a:pt x="511" y="119"/>
                                </a:lnTo>
                                <a:lnTo>
                                  <a:pt x="507" y="130"/>
                                </a:lnTo>
                                <a:lnTo>
                                  <a:pt x="503" y="141"/>
                                </a:lnTo>
                                <a:lnTo>
                                  <a:pt x="497" y="151"/>
                                </a:lnTo>
                                <a:lnTo>
                                  <a:pt x="492" y="160"/>
                                </a:lnTo>
                                <a:lnTo>
                                  <a:pt x="485" y="169"/>
                                </a:lnTo>
                                <a:close/>
                              </a:path>
                            </a:pathLst>
                          </a:custGeom>
                          <a:noFill/>
                          <a:ln w="28575">
                            <a:solidFill>
                              <a:srgbClr val="FFFFFF"/>
                            </a:solidFill>
                            <a:round/>
                          </a:ln>
                          <a:effectLst/>
                        </wps:spPr>
                        <wps:bodyPr rot="0" vert="horz" wrap="square" lIns="91440" tIns="45720" rIns="91440" bIns="45720" anchor="t" anchorCtr="0" upright="1">
                          <a:noAutofit/>
                        </wps:bodyPr>
                      </wps:wsp>
                    </wpg:wgp>
                  </a:graphicData>
                </a:graphic>
              </wp:anchor>
            </w:drawing>
          </mc:Choice>
          <mc:Fallback>
            <w:pict>
              <v:group id="Group 111" o:spid="_x0000_s1026" o:spt="203" style="position:absolute;left:0pt;margin-left:57.75pt;margin-top:-3.4pt;height:573pt;width:480pt;mso-position-horizontal-relative:page;z-index:-251593728;mso-width-relative:page;mso-height-relative:page;" coordorigin="1155,-68" coordsize="9600,11460" o:gfxdata="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">
                <o:lock v:ext="edit" aspectratio="f"/>
                <v:shape id="AutoShape 128" o:spid="_x0000_s1026" o:spt="100" style="position:absolute;left:1162;top:-61;height:11445;width:9585;" filled="f" stroked="t" coordsize="9585,11445" o:gfxdata="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PXEa/&#10;AAAA4gAAAA8AAAAAAAAAAQAgAAAAIgAAAGRycy9kb3ducmV2LnhtbFBLAQIUABQAAAAIAIdO4kAz&#10;LwWeOwAAADkAAAAQAAAAAAAAAAEAIAAAAA4BAABkcnMvc2hhcGV4bWwueG1sUEsFBgAAAAAGAAYA&#10;WwEAALgDAAAAAA==&#10;" path="m0,5782l0,112,0,105,1,97,3,90,4,83,6,76,9,69,12,62,15,56,19,50,24,43,28,38,33,32,39,27,44,23,50,18,57,14,63,11,70,8,77,5,84,3,91,2,98,0,106,0,113,0,9473,0,9480,0,9488,0,9495,2,9502,3,9509,5,9516,8,9523,11,9529,14,9535,18,9542,23,9547,27,9553,32,9558,38,9562,43,9567,49,9571,56,9574,62,9577,69,9580,76,9582,83,9583,90,9585,97,9585,105,9585,112,9585,5782,9585,5789,9585,5797,9583,5804,9582,5811,9580,5818,9577,5825,9574,5832,9571,5838,9567,5845,9562,5851,9558,5856,9553,5862,9547,5867,9542,5871,9535,5876,9529,5880,9523,5883,9516,5886,9509,5889,9502,5891,9495,5892,9488,5894,9480,5895,9473,5895,113,5895,106,5895,98,5894,91,5892,84,5891,77,5889,70,5886,63,5883,57,5880,50,5876,44,5871,39,5867,33,5862,28,5856,24,5851,19,5845,15,5838,12,5832,9,5825,6,5818,4,5811,3,5804,1,5797,0,5789,0,5782xm0,11332l0,6022,0,6015,1,6007,3,6000,4,5993,6,5986,9,5979,12,5972,15,5966,19,5960,24,5953,28,5948,33,5942,39,5937,44,5933,50,5928,57,5924,63,5921,70,5918,77,5915,84,5913,91,5912,98,5910,106,5910,113,5910,9473,5910,9480,5910,9488,5910,9495,5912,9502,5913,9509,5915,9516,5918,9523,5921,9529,5924,9535,5928,9542,5933,9547,5937,9553,5942,9558,5948,9562,5953,9567,5960,9571,5966,9574,5972,9577,5979,9580,5986,9582,5993,9583,6000,9585,6007,9585,6015,9585,6022,9585,11332,9585,11339,9585,11347,9583,11354,9582,11361,9580,11368,9577,11375,9574,11382,9571,11388,9567,11395,9562,11401,9558,11406,9553,11412,9547,11417,9542,11421,9535,11426,9529,11430,9523,11433,9516,11436,9509,11439,9502,11441,9495,11442,9488,11444,9480,11445,9473,11445,113,11445,106,11445,98,11444,91,11442,84,11441,77,11439,70,11436,63,11433,57,11430,50,11426,44,11421,39,11417,33,11412,28,11406,24,11401,19,11394,15,11388,12,11382,9,11375,6,11368,4,11361,3,11354,1,11347,0,11339,0,11332xe">
                  <v:path o:connectlocs="1,37;9,9;24,-17;44,-37;70,-52;98,-60;9480,-60;9509,-55;9535,-42;9558,-22;9574,2;9583,30;9585,5722;9582,5751;9571,5778;9553,5802;9529,5820;9502,5831;9473,5835;91,5832;63,5823;39,5807;19,5785;6,5758;0,5729;0,5955;6,5926;19,5900;39,5877;63,5861;91,5852;9473,5850;9502,5853;9529,5864;9553,5882;9571,5906;9582,5933;9585,5962;9583,11294;9574,11322;9558,11346;9535,11366;9509,11379;9480,11385;98,11384;70,11376;44,11361;24,11341;9,11315;1,11287" o:connectangles="0,0,0,0,0,0,0,0,0,0,0,0,0,0,0,0,0,0,0,0,0,0,0,0,0,0,0,0,0,0,0,0,0,0,0,0,0,0,0,0,0,0,0,0,0,0,0,0,0,0"/>
                  <v:fill on="f" focussize="0,0"/>
                  <v:stroke color="#D9DBDF" joinstyle="round"/>
                  <v:imagedata o:title=""/>
                  <o:lock v:ext="edit" aspectratio="f"/>
                </v:shape>
                <v:shape id="Picture 127" o:spid="_x0000_s1026" o:spt="75" type="#_x0000_t75" style="position:absolute;left:9525;top:67;height:300;width:255;" filled="f" o:preferrelative="t" stroked="f" coordsize="21600,21600" o:gfxdata="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cSrksQAAADiAAAADwAAAAAAAAABACAAAAAiAAAAZHJzL2Rvd25yZXYueG1sUEsBAhQAFAAAAAgA&#10;h07iQDMvBZ47AAAAOQAAABAAAAAAAAAAAQAgAAAAEwEAAGRycy9zaGFwZXhtbC54bWxQSwUGAAAA&#10;AAYABgBbAQAAvQMAAAAA&#10;">
                  <v:fill on="f" focussize="0,0"/>
                  <v:stroke on="f"/>
                  <v:imagedata r:id="rId110" o:title=""/>
                  <o:lock v:ext="edit" aspectratio="t"/>
                </v:shape>
                <v:rect id="Rectangle 126" o:spid="_x0000_s1026" o:spt="1" style="position:absolute;left:2070;top:2377;height:2700;width:8130;" filled="f" stroked="t" coordsize="21600,21600" o:gfxdata="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J5bhwwAAAOIAAAAPAAAAAAAAAAEAIAAAACIAAABkcnMvZG93bnJldi54bWxQSwECFAAUAAAACACH&#10;TuJAMy8FnjsAAAA5AAAAEAAAAAAAAAABACAAAAASAQAAZHJzL3NoYXBleG1sLnhtbFBLBQYAAAAA&#10;BgAGAFsBAAC8AwAAAAA=&#10;">
                  <v:fill on="f" focussize="0,0"/>
                  <v:stroke color="#EDEDED" miterlimit="8" joinstyle="miter"/>
                  <v:imagedata o:title=""/>
                  <o:lock v:ext="edit" aspectratio="f"/>
                </v:rect>
                <v:shape id="AutoShape 125" o:spid="_x0000_s1026" o:spt="100" style="position:absolute;left:2069;top:2377;height:2700;width:8130;" fillcolor="#EDEDED" filled="t" stroked="f" coordsize="8130,2700" o:gfxdata="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lx&#10;j4zCAAAA4gAAAA8AAAAAAAAAAQAgAAAAIgAAAGRycy9kb3ducmV2LnhtbFBLAQIUABQAAAAIAIdO&#10;4kAzLwWeOwAAADkAAAAQAAAAAAAAAAEAIAAAABEBAABkcnMvc2hhcGV4bWwueG1sUEsFBgAAAAAG&#10;AAYAWwEAALsDAAAAAA==&#10;" path="m6810,2010l0,2010,0,2025,6810,2025,6810,2010xm6810,1350l0,1350,0,1365,6810,1365,6810,1350xm6810,675l0,675,0,690,6810,690,6810,675xm8130,2685l0,2685,0,2700,8130,2700,8130,2685xm8130,2010l7815,2010,7815,2025,8130,2025,8130,2010xm8130,1350l7815,1350,7815,1365,8130,1365,8130,1350xm8130,675l7815,675,7815,690,8130,690,8130,675xm8130,0l0,0,0,15,8130,15,8130,0xe">
                  <v:path o:connectlocs="6810,4387;0,4387;0,4402;6810,4402;6810,4387;6810,3727;0,3727;0,3742;6810,3742;6810,3727;6810,3052;0,3052;0,3067;6810,3067;6810,3052;8130,5062;0,5062;0,5077;8130,5077;8130,5062;8130,4387;7815,4387;7815,4402;8130,4402;8130,4387;8130,3727;7815,3727;7815,3742;8130,3742;8130,3727;8130,3052;7815,3052;7815,3067;8130,3067;8130,3052;8130,2377;0,2377;0,2392;8130,2392;8130,2377" o:connectangles="0,0,0,0,0,0,0,0,0,0,0,0,0,0,0,0,0,0,0,0,0,0,0,0,0,0,0,0,0,0,0,0,0,0,0,0,0,0,0,0"/>
                  <v:fill on="t" focussize="0,0"/>
                  <v:stroke on="f"/>
                  <v:imagedata o:title=""/>
                  <o:lock v:ext="edit" aspectratio="f"/>
                </v:shape>
                <v:shape id="AutoShape 124" o:spid="_x0000_s1026" o:spt="100" style="position:absolute;left:2069;top:2707;height:2040;width:8130;" fillcolor="#F7F7F7" filled="t" stroked="f" coordsize="8130,2040" o:gfxdata="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lO6F&#10;wAAAAOMAAAAPAAAAAAAAAAEAIAAAACIAAABkcnMvZG93bnJldi54bWxQSwECFAAUAAAACACHTuJA&#10;My8FnjsAAAA5AAAAEAAAAAAAAAABACAAAAAPAQAAZHJzL3NoYXBleG1sLnhtbFBLBQYAAAAABgAG&#10;AFsBAAC5AwAAAAA=&#10;" path="m5190,2025l0,2025,0,2040,5190,2040,5190,2025xm6810,2025l6195,2025,6195,2040,6810,2040,6810,2025xm6810,1350l0,1350,0,1365,6810,1365,6810,1350xm6810,675l0,675,0,690,6810,690,6810,675xm8130,2025l7815,2025,7815,2040,8130,2040,8130,2025xm8130,1350l7815,1350,7815,1365,8130,1365,8130,1350xm8130,675l7815,675,7815,690,8130,690,8130,675xm8130,0l0,0,0,15,8130,15,8130,0xe">
                  <v:path o:connectlocs="5190,4732;0,4732;0,4747;5190,4747;5190,4732;6810,4732;6195,4732;6195,4747;6810,4747;6810,4732;6810,4057;0,4057;0,4072;6810,4072;6810,4057;6810,3382;0,3382;0,3397;6810,3397;6810,3382;8130,4732;7815,4732;7815,4747;8130,4747;8130,4732;8130,4057;7815,4057;7815,4072;8130,4072;8130,4057;8130,3382;7815,3382;7815,3397;8130,3397;8130,3382;8130,2707;0,2707;0,2722;8130,2722;8130,2707" o:connectangles="0,0,0,0,0,0,0,0,0,0,0,0,0,0,0,0,0,0,0,0,0,0,0,0,0,0,0,0,0,0,0,0,0,0,0,0,0,0,0,0"/>
                  <v:fill on="t" focussize="0,0"/>
                  <v:stroke on="f"/>
                  <v:imagedata o:title=""/>
                  <o:lock v:ext="edit" aspectratio="f"/>
                </v:shape>
                <v:shape id="AutoShape 123" o:spid="_x0000_s1026" o:spt="100" style="position:absolute;left:2384;top:5015;height:54;width:4245;" fillcolor="#663AB6" filled="t" stroked="f" coordsize="4245,54" o:gfxdata="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0A6&#10;+MEAAADjAAAADwAAAAAAAAABACAAAAAiAAAAZHJzL2Rvd25yZXYueG1sUEsBAhQAFAAAAAgAh07i&#10;QDMvBZ47AAAAOQAAABAAAAAAAAAAAQAgAAAAEAEAAGRycy9zaGFwZXhtbC54bWxQSwUGAAAAAAYA&#10;BgBbAQAAugMAAAAA&#10;" path="m1005,46l0,46,0,54,1005,54,1005,46xm2625,46l1620,46,1620,54,2625,54,2625,46xm4245,0l3255,0,3255,54,4245,54,4245,0xe">
                  <v:path o:connectlocs="1005,5062;0,5062;0,5070;1005,5070;1005,5062;2625,5062;1620,5062;1620,5070;2625,5070;2625,5062;4245,5016;3255,5016;3255,5070;4245,5070;4245,5016" o:connectangles="0,0,0,0,0,0,0,0,0,0,0,0,0,0,0"/>
                  <v:fill on="t" focussize="0,0"/>
                  <v:stroke on="f"/>
                  <v:imagedata o:title=""/>
                  <o:lock v:ext="edit" aspectratio="f"/>
                </v:shape>
                <v:rect id="Rectangle 122" o:spid="_x0000_s1026" o:spt="1" style="position:absolute;left:2070;top:5062;height:15;width:8130;" fillcolor="#333333" filled="t" stroked="f" coordsize="21600,21600" o:gfxdata="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6s9QwwAAAOIAAAAPAAAAAAAAAAEAIAAAACIAAABkcnMvZG93bnJldi54bWxQSwECFAAUAAAACACH&#10;TuJAMy8FnjsAAAA5AAAAEAAAAAAAAAABACAAAAASAQAAZHJzL3NoYXBleG1sLnhtbFBLBQYAAAAA&#10;BgAGAFsBAAC8AwAAAAA=&#10;">
                  <v:fill on="t" focussize="0,0"/>
                  <v:stroke on="f"/>
                  <v:imagedata o:title=""/>
                  <o:lock v:ext="edit" aspectratio="f"/>
                </v:rect>
                <v:shape id="AutoShape 121" o:spid="_x0000_s1026" o:spt="100" style="position:absolute;left:2879;top:4835;height:227;width:3270;" fillcolor="#999999" filled="t" stroked="f" coordsize="3270,227" o:gfxdata="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7g5DwwAAAOIAAAAPAAAAAAAAAAEAIAAAACIAAABkcnMvZG93bnJldi54bWxQSwECFAAUAAAACACH&#10;TuJAMy8FnjsAAAA5AAAAEAAAAAAAAAABACAAAAASAQAAZHJzL3NoYXBleG1sLnhtbFBLBQYAAAAA&#10;BgAGAFsBAAC8AwAAAAA=&#10;" path="m15,46l0,46,0,226,15,226,15,46xm1635,46l1620,46,1620,226,1635,226,1635,46xm3270,0l3255,0,3255,180,3270,180,3270,0xe">
                  <v:path o:connectlocs="15,4882;0,4882;0,5062;15,5062;15,4882;1635,4882;1620,4882;1620,5062;1635,5062;1635,4882;3270,4836;3255,4836;3255,5016;3270,5016;3270,4836" o:connectangles="0,0,0,0,0,0,0,0,0,0,0,0,0,0,0"/>
                  <v:fill on="t" focussize="0,0"/>
                  <v:stroke on="f"/>
                  <v:imagedata o:title=""/>
                  <o:lock v:ext="edit" aspectratio="f"/>
                </v:shape>
                <v:shape id="AutoShape 120" o:spid="_x0000_s1026" o:spt="100" style="position:absolute;left:2622;top:4677;height:216;width:3847;" filled="f" stroked="t" coordsize="3847,216" o:gfxdata="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GYHjTFAAAA4gAAAA8AAAAAAAAAAQAgAAAAIgAAAGRycy9kb3ducmV2LnhtbFBLAQIUABQAAAAI&#10;AIdO4kAzLwWeOwAAADkAAAAQAAAAAAAAAAEAIAAAABQBAABkcnMvc2hhcGV4bWwueG1sUEsFBgAA&#10;AAAGAAYAWwEAAL4DAAAAAA==&#10;" path="m0,113l0,98,2,86,5,77,8,67,13,60,19,55,25,50,33,47,42,47,49,47,55,49,61,52,66,54,70,58,74,64,77,69,80,75,82,83,83,90,84,101,84,113,84,128,83,141,80,150,77,159,72,166,66,171,60,177,52,179,42,179,30,179,20,175,13,166,8,156,4,145,1,130,0,113xm17,113l17,128,19,140,21,149,24,156,29,163,35,166,42,166,50,166,56,163,61,156,64,149,66,140,68,128,68,113,68,99,66,87,64,78,61,71,56,64,50,61,42,61,35,61,29,64,25,70,21,77,19,87,17,99,17,113xm185,215l179,206,173,197,168,187,163,176,159,165,156,154,155,142,154,130,154,120,156,110,158,100,161,90,165,79,171,68,177,57,185,46,196,46,189,58,185,67,182,72,179,80,176,88,174,97,171,108,170,119,170,130,172,151,177,173,185,194,196,215,185,215xm210,113l210,98,212,86,215,77,218,67,223,60,229,55,235,50,243,47,252,47,259,47,265,49,271,52,276,54,280,58,284,64,287,69,290,75,292,83,294,90,294,101,294,113,294,128,293,141,290,150,287,159,282,166,276,171,270,177,262,179,252,179,240,179,230,175,223,166,218,156,214,145,211,130,210,113xm227,113l227,128,229,140,231,149,234,156,239,163,245,166,252,166,260,166,266,163,271,156,274,149,276,140,278,128,278,113,278,99,276,87,274,78,271,71,266,64,260,61,252,61,245,61,239,64,235,70,231,77,229,87,227,99,227,113xm314,79l314,70,316,62,320,55,325,49,332,46,341,46,349,46,355,49,361,54,366,60,369,69,369,80,369,91,366,99,361,105,355,111,349,114,341,114,333,114,327,111,321,105,316,99,314,91,314,79xm341,57l337,57,334,58,331,62,329,65,327,71,327,81,327,89,329,95,331,98,334,101,337,103,341,103,345,103,348,101,351,98,354,95,355,88,355,79,355,71,354,65,351,62,348,58,345,57,341,57xm341,182l412,46,424,46,354,182,341,182xm397,147l397,137,399,130,404,123,408,117,415,113,424,113,432,113,439,116,444,122,449,128,452,136,452,148,452,158,449,167,444,173,439,179,432,182,424,182,416,182,410,179,405,173,399,167,397,158,397,147xm424,124l420,124,417,126,415,129,412,133,411,139,411,148,411,156,412,162,415,166,417,169,421,171,424,171,428,171,432,169,434,166,437,162,438,156,438,147,438,139,437,133,434,129,432,126,428,124,424,124xm485,215l474,215,486,194,494,173,499,151,500,130,500,119,499,108,497,97,495,89,492,80,488,72,486,67,481,58,474,46,485,46,493,57,500,68,505,79,510,90,513,100,515,110,516,120,517,130,516,142,514,154,511,165,507,176,503,187,497,197,492,206,485,215xm1620,113l1620,98,1622,86,1625,77,1628,67,1633,60,1639,55,1645,50,1653,47,1662,47,1669,47,1675,49,1681,52,1686,54,1690,58,1694,64,1697,69,1700,75,1702,83,1703,90,1704,101,1704,113,1704,128,1703,141,1700,150,1697,159,1692,166,1686,171,1680,177,1672,179,1662,179,1650,179,1640,175,1633,166,1628,156,1624,145,1621,130,1620,113xm1637,113l1637,128,1639,140,1641,149,1644,156,1649,163,1655,166,1662,166,1670,166,1676,163,1681,156,1684,149,1686,140,1688,128,1688,113,1688,99,1686,87,1684,78,1681,71,1676,64,1670,61,1662,61,1655,61,1649,64,1645,70,1641,77,1639,87,1637,99,1637,113xm1805,215l1799,206,1793,197,1788,187,1783,176,1779,165,1776,154,1775,142,1774,130,1774,120,1776,110,1778,100,1781,90,1785,79,1791,68,1797,57,1805,46,1816,46,1809,58,1805,67,1802,72,1799,80,1796,88,1794,97,1791,108,1790,119,1790,130,1792,151,1797,173,1805,194,1816,215,1805,215xm1830,113l1830,98,1832,86,1835,77,1838,67,1843,60,1849,55,1855,50,1863,47,1872,47,1879,47,1885,49,1891,52,1896,54,1900,58,1904,64,1907,69,1910,75,1912,83,1914,90,1914,101,1914,113,1914,128,1913,141,1910,150,1907,159,1902,166,1896,171,1890,177,1882,179,1872,179,1860,179,1850,175,1843,166,1838,156,1834,145,1831,130,1830,113xm1847,113l1847,128,1849,140,1851,149,1854,156,1859,163,1865,166,1872,166,1880,166,1886,163,1891,156,1894,149,1896,140,1898,128,1898,113,1898,99,1896,87,1894,78,1891,71,1886,64,1880,61,1872,61,1865,61,1859,64,1855,70,1851,77,1849,87,1847,99,1847,113xm1934,79l1934,70,1936,62,1940,55,1945,49,1952,46,1961,46,1969,46,1975,49,1981,54,1986,60,1989,69,1989,80,1989,91,1986,99,1981,105,1975,111,1969,114,1961,114,1953,114,1947,111,1941,105,1936,99,1934,91,1934,79xm1961,57l1957,57,1954,58,1951,62,1949,65,1947,71,1947,81,1947,89,1949,95,1951,98,1954,101,1957,103,1961,103,1965,103,1968,101,1971,98,1974,95,1975,88,1975,79,1975,71,1974,65,1971,62,1968,58,1965,57,1961,57xm1961,182l2032,46,2044,46,1974,182,1961,182xm2017,147l2017,137,2019,130,2024,123,2028,117,2035,113,2044,113,2052,113,2059,116,2064,122,2069,128,2072,136,2072,148,2072,158,2069,167,2064,173,2059,179,2052,182,2044,182,2036,182,2030,179,2025,173,2019,167,2017,158,2017,147xm2044,124l2040,124,2037,126,2035,129,2032,133,2031,139,2031,148,2031,156,2032,162,2035,166,2037,169,2041,171,2044,171,2048,171,2052,169,2054,166,2057,162,2058,156,2058,147,2058,139,2057,133,2054,129,2052,126,2048,124,2044,124xm2105,215l2094,215,2106,194,2114,173,2119,151,2120,130,2120,119,2119,108,2117,97,2115,89,2112,80,2108,72,2106,67,2101,58,2094,46,2105,46,2113,57,2120,68,2125,79,2130,90,2133,100,2135,110,2136,120,2137,130,2136,142,2134,154,2131,165,2127,176,2123,187,2117,197,2112,206,2105,215xm3263,115l3263,131,3178,131,3178,127,3179,123,3180,120,3182,114,3186,108,3190,103,3195,97,3202,90,3211,83,3225,72,3235,62,3239,56,3244,49,3247,43,3247,37,3247,30,3245,25,3240,21,3236,17,3230,14,3223,14,3215,14,3209,17,3204,21,3200,26,3197,32,3197,40,3181,39,3182,26,3186,17,3194,11,3201,4,3211,1,3223,1,3235,1,3245,5,3252,12,3260,18,3263,27,3263,37,3263,42,3262,47,3260,52,3258,57,3254,63,3249,68,3245,74,3236,81,3225,91,3216,99,3209,104,3207,107,3204,110,3202,113,3200,115,3263,115xm3365,169l3359,160,3353,151,3348,141,3343,130,3339,119,3336,107,3334,96,3334,84,3334,74,3335,64,3338,54,3340,44,3345,33,3351,22,3357,11,3365,0,3376,0,3369,12,3364,21,3362,26,3359,34,3356,42,3354,51,3351,62,3350,73,3350,84,3352,105,3357,126,3365,147,3376,169,3365,169xm3473,115l3473,131,3388,131,3388,127,3389,123,3390,120,3392,114,3396,108,3400,103,3405,97,3412,90,3421,83,3435,72,3445,62,3450,56,3454,49,3457,43,3457,37,3457,30,3455,25,3450,21,3446,17,3440,14,3433,14,3425,14,3419,17,3414,21,3410,26,3408,32,3407,40,3391,39,3392,26,3396,17,3404,11,3411,4,3421,1,3433,1,3445,1,3455,5,3462,12,3470,18,3473,27,3473,37,3473,42,3472,47,3470,52,3468,57,3464,63,3460,68,3455,74,3446,81,3435,91,3426,99,3420,104,3417,107,3414,110,3412,113,3410,115,3473,115xm3499,131l3499,113,3517,113,3517,131,3499,131xm3541,19l3541,4,3625,4,3625,16,3619,23,3613,31,3606,40,3600,51,3595,62,3590,73,3585,84,3582,95,3579,106,3577,118,3576,131,3559,131,3560,121,3562,108,3565,94,3569,83,3572,73,3577,63,3582,52,3587,43,3593,34,3599,26,3604,19,3541,19xm3643,33l3643,24,3646,16,3650,9,3655,3,3662,0,3670,0,3679,0,3685,3,3691,8,3696,14,3699,23,3699,34,3699,45,3696,53,3690,59,3685,65,3679,68,3671,68,3663,68,3656,65,3651,59,3646,53,3643,44,3643,33xm3671,11l3667,11,3664,12,3661,16,3659,19,3657,25,3657,34,3657,43,3659,48,3661,52,3664,55,3667,57,3671,57,3675,57,3678,55,3681,52,3683,48,3685,42,3685,33,3685,25,3683,19,3681,16,3678,12,3675,11,3671,11xm3671,135l3742,0,3754,0,3684,135,3671,135xm3727,100l3727,91,3729,83,3734,77,3738,71,3745,67,3754,67,3762,67,3769,70,3774,76,3779,82,3782,90,3782,101,3782,112,3779,121,3774,127,3769,132,3762,135,3754,135,3746,135,3740,133,3735,127,3729,121,3727,112,3727,100xm3754,78l3750,78,3747,80,3744,83,3742,87,3741,93,3741,102,3741,110,3742,116,3745,119,3747,123,3750,125,3754,125,3758,125,3762,123,3764,119,3767,116,3768,110,3768,101,3768,92,3767,87,3764,83,3762,80,3758,78,3754,78xm3815,169l3804,169,3815,147,3824,126,3829,105,3830,84,3830,73,3829,62,3826,51,3824,43,3822,34,3818,26,3816,21,3811,12,3804,0,3815,0,3823,11,3830,22,3835,33,3840,44,3843,54,3845,64,3846,74,3846,84,3846,96,3844,107,3841,119,3837,130,3833,141,3827,151,3822,160,3815,169xe">
                  <v:path o:connectlocs="70,4736;52,4857;35,4844;42,4739;155,4820;176,4766;223,4738;294,4779;214,4823;276,4818;227,4777;369,4769;331,4740;355,4757;404,4801;424,4860;412,4840;428,4802;481,4736;503,4865;1675,4727;1692,4844;1641,4827;1681,4749;1783,4854;1805,4745;1832,4764;1910,4753;1850,4853;1886,4841;1855,4748;1986,4738;1961,4735;1971,4776;2017,4825;2064,4851;2031,4817;2057,4811;2112,4758;2134,4832;3190,4781;3223,4692;3245,4683;3209,4782;3334,4752;3351,4740;3396,4786;3440,4692;3445,4679;3426,4777;3625,4694;3565,4772;3662,4678;3656,4743;3664,4733;3671,4813;3779,4760;3754,4756;3764,4797;3830,4762;3843,4732" o:connectangles="0,0,0,0,0,0,0,0,0,0,0,0,0,0,0,0,0,0,0,0,0,0,0,0,0,0,0,0,0,0,0,0,0,0,0,0,0,0,0,0,0,0,0,0,0,0,0,0,0,0,0,0,0,0,0,0,0,0,0,0,0"/>
                  <v:fill on="f" focussize="0,0"/>
                  <v:stroke weight="2.25pt" color="#FFFFFF" joinstyle="round"/>
                  <v:imagedata o:title=""/>
                  <o:lock v:ext="edit" aspectratio="f"/>
                </v:shape>
                <v:shape id="Picture 119" o:spid="_x0000_s1026" o:spt="75" type="#_x0000_t75" style="position:absolute;left:9525;top:5977;height:300;width:255;" filled="f" o:preferrelative="t" stroked="f" coordsize="21600,21600" o:gfxdata="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2fMx48cAAADiAAAADwAAAAAAAAABACAAAAAiAAAAZHJzL2Rvd25yZXYueG1sUEsBAhQAFAAA&#10;AAgAh07iQDMvBZ47AAAAOQAAABAAAAAAAAAAAQAgAAAAFgEAAGRycy9zaGFwZXhtbC54bWxQSwUG&#10;AAAAAAYABgBbAQAAwAMAAAAA&#10;">
                  <v:fill on="f" focussize="0,0"/>
                  <v:stroke on="f"/>
                  <v:imagedata r:id="rId110" o:title=""/>
                  <o:lock v:ext="edit" aspectratio="t"/>
                </v:shape>
                <v:rect id="Rectangle 118" o:spid="_x0000_s1026" o:spt="1" style="position:absolute;left:2070;top:7927;height:2700;width:8130;" filled="f" stroked="t" coordsize="21600,21600" o:gfxdata="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bbACwwAAAOIAAAAPAAAAAAAAAAEAIAAAACIAAABkcnMvZG93bnJldi54bWxQSwECFAAUAAAACACH&#10;TuJAMy8FnjsAAAA5AAAAEAAAAAAAAAABACAAAAASAQAAZHJzL3NoYXBleG1sLnhtbFBLBQYAAAAA&#10;BgAGAFsBAAC8AwAAAAA=&#10;">
                  <v:fill on="f" focussize="0,0"/>
                  <v:stroke color="#EDEDED" miterlimit="8" joinstyle="miter"/>
                  <v:imagedata o:title=""/>
                  <o:lock v:ext="edit" aspectratio="f"/>
                </v:rect>
                <v:shape id="AutoShape 117" o:spid="_x0000_s1026" o:spt="100" style="position:absolute;left:2069;top:7927;height:2700;width:8130;" fillcolor="#EDEDED" filled="t" stroked="f" coordsize="8130,2700" o:gfxdata="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VAkltxgAAAOMAAAAPAAAAAAAAAAEAIAAAACIAAABkcnMvZG93bnJldi54bWxQSwECFAAUAAAA&#10;CACHTuJAMy8FnjsAAAA5AAAAEAAAAAAAAAABACAAAAAVAQAAZHJzL3NoYXBleG1sLnhtbFBLBQYA&#10;AAAABgAGAFsBAAC/AwAAAAA=&#10;" path="m3570,1785l0,1785,0,1800,3570,1800,3570,1785xm3570,900l0,900,0,915,3570,915,3570,900xm5190,1785l4560,1785,4560,1800,5190,1800,5190,1785xm5190,900l4560,900,4560,915,5190,915,5190,900xm6810,1785l6195,1785,6195,1800,6810,1800,6810,1785xm8130,2685l0,2685,0,2700,8130,2700,8130,2685xm8130,1785l7815,1785,7815,1800,8130,1800,8130,1785xm8130,900l6195,900,6195,915,8130,915,8130,900xm8130,0l0,0,0,15,8130,15,8130,0xe">
                  <v:path o:connectlocs="3570,9712;0,9712;0,9727;3570,9727;3570,9712;3570,8827;0,8827;0,8842;3570,8842;3570,8827;5190,9712;4560,9712;4560,9727;5190,9727;5190,9712;5190,8827;4560,8827;4560,8842;5190,8842;5190,8827;6810,9712;6195,9712;6195,9727;6810,9727;6810,9712;8130,10612;0,10612;0,10627;8130,10627;8130,10612;8130,9712;7815,9712;7815,9727;8130,9727;8130,9712;8130,8827;6195,8827;6195,8842;8130,8842;8130,8827;8130,7927;0,7927;0,7942;8130,7942;8130,7927" o:connectangles="0,0,0,0,0,0,0,0,0,0,0,0,0,0,0,0,0,0,0,0,0,0,0,0,0,0,0,0,0,0,0,0,0,0,0,0,0,0,0,0,0,0,0,0,0"/>
                  <v:fill on="t" focussize="0,0"/>
                  <v:stroke on="f"/>
                  <v:imagedata o:title=""/>
                  <o:lock v:ext="edit" aspectratio="f"/>
                </v:shape>
                <v:shape id="AutoShape 116" o:spid="_x0000_s1026" o:spt="100" style="position:absolute;left:2069;top:8377;height:1800;width:8130;" fillcolor="#F7F7F7" filled="t" stroked="f" coordsize="8130,1800" o:gfxdata="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vvwSMQAAADjAAAADwAAAAAAAAABACAAAAAiAAAAZHJzL2Rvd25yZXYueG1sUEsBAhQAFAAAAAgA&#10;h07iQDMvBZ47AAAAOQAAABAAAAAAAAAAAQAgAAAAEwEAAGRycy9zaGFwZXhtbC54bWxQSwUGAAAA&#10;AAYABgBbAQAAvQMAAAAA&#10;" path="m1935,1785l0,1785,0,1800,1935,1800,1935,1785xm3570,1785l2940,1785,2940,1800,3570,1800,3570,1785xm3570,900l0,900,0,915,3570,915,3570,900xm5190,1785l4560,1785,4560,1800,5190,1800,5190,1785xm5190,900l4560,900,4560,915,5190,915,5190,900xm6810,1785l6195,1785,6195,1800,6810,1800,6810,1785xm6810,900l6195,900,6195,915,6810,915,6810,900xm8130,1785l7815,1785,7815,1800,8130,1800,8130,1785xm8130,900l7815,900,7815,915,8130,915,8130,900xm8130,0l0,0,0,15,8130,15,8130,0xe">
                  <v:path o:connectlocs="1935,10162;0,10162;0,10177;1935,10177;1935,10162;3570,10162;2940,10162;2940,10177;3570,10177;3570,10162;3570,9277;0,9277;0,9292;3570,9292;3570,9277;5190,10162;4560,10162;4560,10177;5190,10177;5190,10162;5190,9277;4560,9277;4560,9292;5190,9292;5190,9277;6810,10162;6195,10162;6195,10177;6810,10177;6810,10162;6810,9277;6195,9277;6195,9292;6810,9292;6810,9277;8130,10162;7815,10162;7815,10177;8130,10177;8130,10162;8130,9277;7815,9277;7815,9292;8130,9292;8130,9277;8130,8377;0,8377;0,8392;8130,8392;8130,8377" o:connectangles="0,0,0,0,0,0,0,0,0,0,0,0,0,0,0,0,0,0,0,0,0,0,0,0,0,0,0,0,0,0,0,0,0,0,0,0,0,0,0,0,0,0,0,0,0,0,0,0,0,0"/>
                  <v:fill on="t" focussize="0,0"/>
                  <v:stroke on="f"/>
                  <v:imagedata o:title=""/>
                  <o:lock v:ext="edit" aspectratio="f"/>
                </v:shape>
                <v:rect id="Rectangle 115" o:spid="_x0000_s1026" o:spt="1" style="position:absolute;left:2385;top:10612;height:8;width:1005;" fillcolor="#663AB6" filled="t" stroked="f" coordsize="21600,21600" o:gfxdata="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3v&#10;E7bCAAAA4wAAAA8AAAAAAAAAAQAgAAAAIgAAAGRycy9kb3ducmV2LnhtbFBLAQIUABQAAAAIAIdO&#10;4kAzLwWeOwAAADkAAAAQAAAAAAAAAAEAIAAAABEBAABkcnMvc2hhcGV4bWwueG1sUEsFBgAAAAAG&#10;AAYAWwEAALsDAAAAAA==&#10;">
                  <v:fill on="t" focussize="0,0"/>
                  <v:stroke on="f"/>
                  <v:imagedata o:title=""/>
                  <o:lock v:ext="edit" aspectratio="f"/>
                </v:rect>
                <v:rect id="Rectangle 114" o:spid="_x0000_s1026" o:spt="1" style="position:absolute;left:2070;top:10612;height:15;width:8130;" fillcolor="#333333" filled="t" stroked="f" coordsize="21600,21600" o:gfxdata="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1I&#10;osEAAADjAAAADwAAAAAAAAABACAAAAAiAAAAZHJzL2Rvd25yZXYueG1sUEsBAhQAFAAAAAgAh07i&#10;QDMvBZ47AAAAOQAAABAAAAAAAAAAAQAgAAAAEAEAAGRycy9zaGFwZXhtbC54bWxQSwUGAAAAAAYA&#10;BgBbAQAAugMAAAAA&#10;">
                  <v:fill on="t" focussize="0,0"/>
                  <v:stroke on="f"/>
                  <v:imagedata o:title=""/>
                  <o:lock v:ext="edit" aspectratio="f"/>
                </v:rect>
                <v:rect id="Rectangle 113" o:spid="_x0000_s1026" o:spt="1" style="position:absolute;left:2880;top:10432;height:180;width:15;" fillcolor="#999999" filled="t" stroked="f" coordsize="21600,21600" o:gfxdata="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4&#10;5OHCAAAA4gAAAA8AAAAAAAAAAQAgAAAAIgAAAGRycy9kb3ducmV2LnhtbFBLAQIUABQAAAAIAIdO&#10;4kAzLwWeOwAAADkAAAAQAAAAAAAAAAEAIAAAABEBAABkcnMvc2hhcGV4bWwueG1sUEsFBgAAAAAG&#10;AAYAWwEAALsDAAAAAA==&#10;">
                  <v:fill on="t" focussize="0,0"/>
                  <v:stroke on="f"/>
                  <v:imagedata o:title=""/>
                  <o:lock v:ext="edit" aspectratio="f"/>
                </v:rect>
                <v:shape id="AutoShape 112" o:spid="_x0000_s1026" o:spt="100" style="position:absolute;left:2622;top:10273;height:169;width:517;" filled="f" stroked="t" coordsize="517,169" o:gfxdata="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kvf&#10;fsEAAADjAAAADwAAAAAAAAABACAAAAAiAAAAZHJzL2Rvd25yZXYueG1sUEsBAhQAFAAAAAgAh07i&#10;QDMvBZ47AAAAOQAAABAAAAAAAAAAAQAgAAAAEAEAAGRycy9zaGFwZXhtbC54bWxQSwUGAAAAAAYA&#10;BgBbAQAAugMAAAAA&#10;" path="m0,67l0,52,2,40,5,31,8,21,13,14,19,9,25,4,33,1,42,1,49,1,55,3,61,6,66,8,70,12,74,18,77,23,80,29,82,37,83,44,84,55,84,67,84,82,83,95,80,104,77,113,72,120,66,125,60,131,52,133,42,133,30,133,20,129,13,120,8,110,4,99,1,84,0,67xm17,67l17,82,19,94,21,103,24,110,29,117,35,120,42,120,50,120,56,117,61,110,64,103,66,94,68,82,68,67,68,53,66,41,64,32,61,25,56,18,50,15,42,15,35,15,29,18,25,24,21,31,19,41,17,53,17,67xm185,169l179,160,173,151,168,141,163,130,159,119,156,108,155,96,154,84,154,74,156,64,158,54,161,44,165,33,171,22,177,11,185,0,196,0,189,12,185,21,182,26,179,34,176,42,174,51,171,62,170,73,170,84,172,105,177,127,185,148,196,169,185,169xm210,67l210,52,212,40,215,31,218,21,223,14,229,9,235,4,243,1,252,1,259,1,265,3,271,6,276,8,280,12,284,18,287,23,290,29,292,37,294,44,294,55,294,67,294,82,293,95,290,104,287,113,282,120,276,125,270,131,262,133,252,133,240,133,230,129,223,120,218,110,214,99,211,84,210,67xm227,67l227,82,229,94,231,103,234,110,239,117,245,120,252,120,260,120,266,117,271,110,274,103,276,94,278,82,278,67,278,53,276,41,274,32,271,25,266,18,260,15,252,15,245,15,239,18,235,24,231,31,229,41,227,53,227,67xm314,33l314,24,316,16,320,9,325,3,332,0,341,0,349,0,355,3,361,8,366,14,369,23,369,34,369,45,366,53,361,59,355,65,349,68,341,68,333,68,327,65,321,59,316,53,314,45,314,33xm341,11l337,11,334,12,331,16,329,19,327,25,327,35,327,43,329,49,331,52,334,55,337,57,341,57,345,57,348,55,351,52,354,49,355,42,355,33,355,25,354,19,351,16,348,12,345,11,341,11xm341,136l412,0,424,0,354,136,341,136xm397,101l397,91,399,84,404,77,408,71,415,67,424,67,432,67,439,70,444,76,449,82,452,90,452,102,452,112,449,121,444,127,439,133,432,136,424,136,416,136,410,133,405,127,399,121,397,112,397,101xm424,78l420,78,417,80,415,83,412,87,411,93,411,102,411,110,412,116,415,120,417,123,421,125,424,125,428,125,432,123,434,120,437,116,438,110,438,101,438,93,437,87,434,83,432,80,428,78,424,78xm485,169l474,169,486,148,494,127,499,105,500,84,500,73,499,62,497,51,495,43,492,34,488,26,486,21,481,12,474,0,485,0,493,11,500,22,505,33,510,44,513,54,515,64,516,74,517,84,516,96,514,108,511,119,507,130,503,141,497,151,492,160,485,169xe">
                  <v:path o:connectlocs="8,10295;42,10275;70,10286;83,10318;80,10378;52,10407;8,10384;17,10356;35,10394;64,10377;66,10315;42,10289;19,10315;173,10425;155,10370;161,10318;196,10274;176,10316;172,10379;210,10341;223,10288;259,10275;284,10292;294,10329;287,10387;252,10407;214,10373;229,10368;252,10394;276,10368;274,10306;245,10289;227,10327;320,10283;355,10277;369,10319;341,10342;314,10319;331,10290;329,10323;345,10331;355,10307;345,10285;354,10410;404,10351;439,10344;452,10386;424,10410;397,10386;415,10357;412,10390;428,10399;438,10375;428,10352;494,10401;497,10325;481,10286;505,10307;517,10358;503,10415" o:connectangles="0,0,0,0,0,0,0,0,0,0,0,0,0,0,0,0,0,0,0,0,0,0,0,0,0,0,0,0,0,0,0,0,0,0,0,0,0,0,0,0,0,0,0,0,0,0,0,0,0,0,0,0,0,0,0,0,0,0,0,0"/>
                  <v:fill on="f" focussize="0,0"/>
                  <v:stroke weight="2.25pt" color="#FFFFFF" joinstyle="round"/>
                  <v:imagedata o:title=""/>
                  <o:lock v:ext="edit" aspectratio="f"/>
                </v:shape>
              </v:group>
            </w:pict>
          </mc:Fallback>
        </mc:AlternateContent>
      </w:r>
      <w:r>
        <w:rPr>
          <w:rFonts w:eastAsia="Roboto"/>
          <w:color w:val="202024"/>
          <w:szCs w:val="22"/>
        </w:rPr>
        <w:t>In</w:t>
      </w:r>
      <w:r>
        <w:rPr>
          <w:rFonts w:eastAsia="Roboto"/>
          <w:color w:val="202024"/>
          <w:spacing w:val="4"/>
          <w:szCs w:val="22"/>
        </w:rPr>
        <w:t xml:space="preserve"> </w:t>
      </w:r>
      <w:r>
        <w:rPr>
          <w:rFonts w:eastAsia="Roboto"/>
          <w:color w:val="202024"/>
          <w:szCs w:val="22"/>
        </w:rPr>
        <w:t>your</w:t>
      </w:r>
      <w:r>
        <w:rPr>
          <w:rFonts w:eastAsia="Roboto"/>
          <w:color w:val="202024"/>
          <w:spacing w:val="5"/>
          <w:szCs w:val="22"/>
        </w:rPr>
        <w:t xml:space="preserve"> </w:t>
      </w:r>
      <w:r>
        <w:rPr>
          <w:rFonts w:eastAsia="Roboto"/>
          <w:color w:val="202024"/>
          <w:szCs w:val="22"/>
        </w:rPr>
        <w:t>opinion,</w:t>
      </w:r>
      <w:r>
        <w:rPr>
          <w:rFonts w:eastAsia="Roboto"/>
          <w:color w:val="202024"/>
          <w:spacing w:val="5"/>
          <w:szCs w:val="22"/>
        </w:rPr>
        <w:t xml:space="preserve"> </w:t>
      </w:r>
      <w:r>
        <w:rPr>
          <w:rFonts w:eastAsia="Roboto"/>
          <w:color w:val="202024"/>
          <w:szCs w:val="22"/>
        </w:rPr>
        <w:t>how</w:t>
      </w:r>
      <w:r>
        <w:rPr>
          <w:rFonts w:eastAsia="Roboto"/>
          <w:color w:val="202024"/>
          <w:spacing w:val="5"/>
          <w:szCs w:val="22"/>
        </w:rPr>
        <w:t xml:space="preserve"> </w:t>
      </w:r>
      <w:r>
        <w:rPr>
          <w:rFonts w:eastAsia="Roboto"/>
          <w:color w:val="202024"/>
          <w:szCs w:val="22"/>
        </w:rPr>
        <w:t>important</w:t>
      </w:r>
      <w:r>
        <w:rPr>
          <w:rFonts w:eastAsia="Roboto"/>
          <w:color w:val="202024"/>
          <w:spacing w:val="5"/>
          <w:szCs w:val="22"/>
        </w:rPr>
        <w:t xml:space="preserve"> </w:t>
      </w:r>
      <w:r>
        <w:rPr>
          <w:rFonts w:eastAsia="Roboto"/>
          <w:color w:val="202024"/>
          <w:szCs w:val="22"/>
        </w:rPr>
        <w:t>is</w:t>
      </w:r>
      <w:r>
        <w:rPr>
          <w:rFonts w:eastAsia="Roboto"/>
          <w:color w:val="202024"/>
          <w:spacing w:val="4"/>
          <w:szCs w:val="22"/>
        </w:rPr>
        <w:t xml:space="preserve"> </w:t>
      </w:r>
      <w:r>
        <w:rPr>
          <w:rFonts w:eastAsia="Roboto"/>
          <w:color w:val="202024"/>
          <w:szCs w:val="22"/>
        </w:rPr>
        <w:t>a</w:t>
      </w:r>
      <w:r>
        <w:rPr>
          <w:rFonts w:eastAsia="Roboto"/>
          <w:color w:val="202024"/>
          <w:spacing w:val="5"/>
          <w:szCs w:val="22"/>
        </w:rPr>
        <w:t xml:space="preserve"> </w:t>
      </w:r>
      <w:r>
        <w:rPr>
          <w:rFonts w:eastAsia="Roboto"/>
          <w:color w:val="202024"/>
          <w:szCs w:val="22"/>
        </w:rPr>
        <w:t>well-defined,</w:t>
      </w:r>
      <w:r>
        <w:rPr>
          <w:rFonts w:eastAsia="Roboto"/>
          <w:color w:val="202024"/>
          <w:spacing w:val="5"/>
          <w:szCs w:val="22"/>
        </w:rPr>
        <w:t xml:space="preserve"> </w:t>
      </w:r>
      <w:r>
        <w:rPr>
          <w:rFonts w:eastAsia="Roboto"/>
          <w:color w:val="202024"/>
          <w:szCs w:val="22"/>
        </w:rPr>
        <w:t>transparent</w:t>
      </w:r>
      <w:r>
        <w:rPr>
          <w:rFonts w:eastAsia="Roboto"/>
          <w:color w:val="202024"/>
          <w:spacing w:val="5"/>
          <w:szCs w:val="22"/>
        </w:rPr>
        <w:t xml:space="preserve"> </w:t>
      </w:r>
      <w:r>
        <w:rPr>
          <w:rFonts w:eastAsia="Roboto"/>
          <w:color w:val="202024"/>
          <w:szCs w:val="22"/>
        </w:rPr>
        <w:t>tax</w:t>
      </w:r>
      <w:r>
        <w:rPr>
          <w:rFonts w:eastAsia="Roboto"/>
          <w:color w:val="202024"/>
          <w:spacing w:val="1"/>
          <w:szCs w:val="22"/>
        </w:rPr>
        <w:t xml:space="preserve"> </w:t>
      </w:r>
      <w:r>
        <w:rPr>
          <w:rFonts w:eastAsia="Roboto"/>
          <w:color w:val="202024"/>
          <w:szCs w:val="22"/>
        </w:rPr>
        <w:t>appeal</w:t>
      </w:r>
      <w:r>
        <w:rPr>
          <w:rFonts w:eastAsia="Roboto"/>
          <w:color w:val="202024"/>
          <w:spacing w:val="10"/>
          <w:szCs w:val="22"/>
        </w:rPr>
        <w:t xml:space="preserve"> </w:t>
      </w:r>
      <w:r>
        <w:rPr>
          <w:rFonts w:eastAsia="Roboto"/>
          <w:color w:val="202024"/>
          <w:szCs w:val="22"/>
        </w:rPr>
        <w:t>process</w:t>
      </w:r>
      <w:r>
        <w:rPr>
          <w:rFonts w:eastAsia="Roboto"/>
          <w:color w:val="202024"/>
          <w:spacing w:val="10"/>
          <w:szCs w:val="22"/>
        </w:rPr>
        <w:t xml:space="preserve"> </w:t>
      </w:r>
      <w:r>
        <w:rPr>
          <w:rFonts w:eastAsia="Roboto"/>
          <w:color w:val="202024"/>
          <w:szCs w:val="22"/>
        </w:rPr>
        <w:t>and</w:t>
      </w:r>
      <w:r>
        <w:rPr>
          <w:rFonts w:eastAsia="Roboto"/>
          <w:color w:val="202024"/>
          <w:spacing w:val="11"/>
          <w:szCs w:val="22"/>
        </w:rPr>
        <w:t xml:space="preserve"> </w:t>
      </w:r>
      <w:r>
        <w:rPr>
          <w:rFonts w:eastAsia="Roboto"/>
          <w:color w:val="202024"/>
          <w:szCs w:val="22"/>
        </w:rPr>
        <w:t>timely</w:t>
      </w:r>
      <w:r>
        <w:rPr>
          <w:rFonts w:eastAsia="Roboto"/>
          <w:color w:val="202024"/>
          <w:spacing w:val="10"/>
          <w:szCs w:val="22"/>
        </w:rPr>
        <w:t xml:space="preserve"> </w:t>
      </w:r>
      <w:r>
        <w:rPr>
          <w:rFonts w:eastAsia="Roboto"/>
          <w:color w:val="202024"/>
          <w:szCs w:val="22"/>
        </w:rPr>
        <w:t>tax</w:t>
      </w:r>
      <w:r>
        <w:rPr>
          <w:rFonts w:eastAsia="Roboto"/>
          <w:color w:val="202024"/>
          <w:spacing w:val="11"/>
          <w:szCs w:val="22"/>
        </w:rPr>
        <w:t xml:space="preserve"> </w:t>
      </w:r>
      <w:r>
        <w:rPr>
          <w:rFonts w:eastAsia="Roboto"/>
          <w:color w:val="202024"/>
          <w:szCs w:val="22"/>
        </w:rPr>
        <w:t>dispute</w:t>
      </w:r>
      <w:r>
        <w:rPr>
          <w:rFonts w:eastAsia="Roboto"/>
          <w:color w:val="202024"/>
          <w:spacing w:val="10"/>
          <w:szCs w:val="22"/>
        </w:rPr>
        <w:t xml:space="preserve"> </w:t>
      </w:r>
      <w:r>
        <w:rPr>
          <w:rFonts w:eastAsia="Roboto"/>
          <w:color w:val="202024"/>
          <w:szCs w:val="22"/>
        </w:rPr>
        <w:t>resolution</w:t>
      </w:r>
      <w:r>
        <w:rPr>
          <w:rFonts w:eastAsia="Roboto"/>
          <w:color w:val="202024"/>
          <w:spacing w:val="11"/>
          <w:szCs w:val="22"/>
        </w:rPr>
        <w:t xml:space="preserve"> </w:t>
      </w:r>
      <w:r>
        <w:rPr>
          <w:rFonts w:eastAsia="Roboto"/>
          <w:color w:val="202024"/>
          <w:szCs w:val="22"/>
        </w:rPr>
        <w:t>for</w:t>
      </w:r>
      <w:r>
        <w:rPr>
          <w:rFonts w:eastAsia="Roboto"/>
          <w:color w:val="202024"/>
          <w:spacing w:val="10"/>
          <w:szCs w:val="22"/>
        </w:rPr>
        <w:t xml:space="preserve"> </w:t>
      </w:r>
      <w:r>
        <w:rPr>
          <w:rFonts w:eastAsia="Roboto"/>
          <w:color w:val="202024"/>
          <w:szCs w:val="22"/>
        </w:rPr>
        <w:t>determining</w:t>
      </w:r>
      <w:r>
        <w:rPr>
          <w:rFonts w:eastAsia="Roboto"/>
          <w:color w:val="202024"/>
          <w:spacing w:val="11"/>
          <w:szCs w:val="22"/>
        </w:rPr>
        <w:t xml:space="preserve"> </w:t>
      </w:r>
      <w:r>
        <w:rPr>
          <w:rFonts w:eastAsia="Roboto"/>
          <w:color w:val="202024"/>
          <w:szCs w:val="22"/>
        </w:rPr>
        <w:t>tax</w:t>
      </w:r>
      <w:r>
        <w:rPr>
          <w:rFonts w:eastAsia="Roboto"/>
          <w:color w:val="202024"/>
          <w:spacing w:val="10"/>
          <w:szCs w:val="22"/>
        </w:rPr>
        <w:t xml:space="preserve"> </w:t>
      </w:r>
      <w:r>
        <w:rPr>
          <w:rFonts w:eastAsia="Roboto"/>
          <w:color w:val="202024"/>
          <w:szCs w:val="22"/>
        </w:rPr>
        <w:t>law</w:t>
      </w:r>
      <w:r>
        <w:rPr>
          <w:rFonts w:eastAsia="Roboto"/>
          <w:color w:val="202024"/>
          <w:spacing w:val="-57"/>
          <w:szCs w:val="22"/>
        </w:rPr>
        <w:t xml:space="preserve"> </w:t>
      </w:r>
      <w:r>
        <w:rPr>
          <w:rFonts w:eastAsia="Roboto"/>
          <w:color w:val="202024"/>
          <w:szCs w:val="22"/>
        </w:rPr>
        <w:t>clarity,</w:t>
      </w:r>
      <w:r>
        <w:rPr>
          <w:rFonts w:eastAsia="Roboto"/>
          <w:color w:val="202024"/>
          <w:spacing w:val="7"/>
          <w:szCs w:val="22"/>
        </w:rPr>
        <w:t xml:space="preserve"> </w:t>
      </w:r>
      <w:r>
        <w:rPr>
          <w:rFonts w:eastAsia="Roboto"/>
          <w:color w:val="202024"/>
          <w:szCs w:val="22"/>
        </w:rPr>
        <w:t>certainty</w:t>
      </w:r>
      <w:r>
        <w:rPr>
          <w:rFonts w:eastAsia="Roboto"/>
          <w:color w:val="202024"/>
          <w:spacing w:val="7"/>
          <w:szCs w:val="22"/>
        </w:rPr>
        <w:t xml:space="preserve"> </w:t>
      </w:r>
      <w:r>
        <w:rPr>
          <w:rFonts w:eastAsia="Roboto"/>
          <w:color w:val="202024"/>
          <w:szCs w:val="22"/>
        </w:rPr>
        <w:t>and</w:t>
      </w:r>
      <w:r>
        <w:rPr>
          <w:rFonts w:eastAsia="Roboto"/>
          <w:color w:val="202024"/>
          <w:spacing w:val="7"/>
          <w:szCs w:val="22"/>
        </w:rPr>
        <w:t xml:space="preserve"> </w:t>
      </w:r>
      <w:r>
        <w:rPr>
          <w:rFonts w:eastAsia="Roboto"/>
          <w:color w:val="202024"/>
          <w:szCs w:val="22"/>
        </w:rPr>
        <w:t>consistent</w:t>
      </w:r>
      <w:r>
        <w:rPr>
          <w:rFonts w:eastAsia="Roboto"/>
          <w:color w:val="202024"/>
          <w:spacing w:val="7"/>
          <w:szCs w:val="22"/>
        </w:rPr>
        <w:t xml:space="preserve"> </w:t>
      </w:r>
      <w:r>
        <w:rPr>
          <w:rFonts w:eastAsia="Roboto"/>
          <w:color w:val="202024"/>
          <w:szCs w:val="22"/>
        </w:rPr>
        <w:t>understanding</w:t>
      </w:r>
      <w:r>
        <w:rPr>
          <w:rFonts w:eastAsia="Roboto"/>
          <w:color w:val="202024"/>
          <w:spacing w:val="8"/>
          <w:szCs w:val="22"/>
        </w:rPr>
        <w:t xml:space="preserve"> </w:t>
      </w:r>
      <w:r>
        <w:rPr>
          <w:rFonts w:eastAsia="Roboto"/>
          <w:color w:val="202024"/>
          <w:szCs w:val="22"/>
        </w:rPr>
        <w:t>of</w:t>
      </w:r>
      <w:r>
        <w:rPr>
          <w:rFonts w:eastAsia="Roboto"/>
          <w:color w:val="202024"/>
          <w:spacing w:val="7"/>
          <w:szCs w:val="22"/>
        </w:rPr>
        <w:t xml:space="preserve"> </w:t>
      </w:r>
      <w:r>
        <w:rPr>
          <w:rFonts w:eastAsia="Roboto"/>
          <w:color w:val="202024"/>
          <w:szCs w:val="22"/>
        </w:rPr>
        <w:t>the</w:t>
      </w:r>
      <w:r>
        <w:rPr>
          <w:rFonts w:eastAsia="Roboto"/>
          <w:color w:val="202024"/>
          <w:spacing w:val="7"/>
          <w:szCs w:val="22"/>
        </w:rPr>
        <w:t xml:space="preserve"> </w:t>
      </w:r>
      <w:r>
        <w:rPr>
          <w:rFonts w:eastAsia="Roboto"/>
          <w:color w:val="202024"/>
          <w:szCs w:val="22"/>
        </w:rPr>
        <w:t>Upstream</w:t>
      </w:r>
      <w:r>
        <w:rPr>
          <w:rFonts w:eastAsia="Roboto"/>
          <w:color w:val="202024"/>
          <w:spacing w:val="7"/>
          <w:szCs w:val="22"/>
        </w:rPr>
        <w:t xml:space="preserve"> </w:t>
      </w:r>
      <w:r>
        <w:rPr>
          <w:rFonts w:eastAsia="Roboto"/>
          <w:color w:val="202024"/>
          <w:szCs w:val="22"/>
        </w:rPr>
        <w:t>oil</w:t>
      </w:r>
      <w:r>
        <w:rPr>
          <w:rFonts w:eastAsia="Roboto"/>
          <w:color w:val="202024"/>
          <w:spacing w:val="7"/>
          <w:szCs w:val="22"/>
        </w:rPr>
        <w:t xml:space="preserve"> </w:t>
      </w:r>
      <w:r>
        <w:rPr>
          <w:rFonts w:eastAsia="Roboto"/>
          <w:color w:val="202024"/>
          <w:szCs w:val="22"/>
        </w:rPr>
        <w:t>and</w:t>
      </w:r>
      <w:r>
        <w:rPr>
          <w:rFonts w:eastAsia="Roboto"/>
          <w:color w:val="202024"/>
          <w:spacing w:val="1"/>
          <w:szCs w:val="22"/>
        </w:rPr>
        <w:t xml:space="preserve"> </w:t>
      </w:r>
      <w:r>
        <w:rPr>
          <w:rFonts w:eastAsia="Roboto"/>
          <w:color w:val="202024"/>
          <w:szCs w:val="22"/>
        </w:rPr>
        <w:t>gas</w:t>
      </w:r>
      <w:r>
        <w:rPr>
          <w:rFonts w:eastAsia="Roboto"/>
          <w:color w:val="202024"/>
          <w:spacing w:val="5"/>
          <w:szCs w:val="22"/>
        </w:rPr>
        <w:t xml:space="preserve"> </w:t>
      </w:r>
      <w:r>
        <w:rPr>
          <w:rFonts w:eastAsia="Roboto"/>
          <w:color w:val="202024"/>
          <w:szCs w:val="22"/>
        </w:rPr>
        <w:t>taxation.</w:t>
      </w:r>
    </w:p>
    <w:p w14:paraId="35BA31FF">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75</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431CE45F">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4671D718">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8036" w:space="760"/>
            <w:col w:w="784"/>
          </w:cols>
        </w:sectPr>
      </w:pPr>
    </w:p>
    <w:p w14:paraId="1855919B">
      <w:pPr>
        <w:widowControl w:val="0"/>
        <w:autoSpaceDE w:val="0"/>
        <w:autoSpaceDN w:val="0"/>
        <w:spacing w:before="10"/>
        <w:rPr>
          <w:rFonts w:ascii="Lucida Sans Unicode" w:hAnsi="Roboto" w:eastAsia="Roboto" w:cs="Roboto"/>
          <w:sz w:val="21"/>
          <w:szCs w:val="21"/>
        </w:rPr>
      </w:pPr>
    </w:p>
    <w:p w14:paraId="25BFB1A4">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80</w:t>
      </w:r>
    </w:p>
    <w:p w14:paraId="460E9B3F">
      <w:pPr>
        <w:widowControl w:val="0"/>
        <w:autoSpaceDE w:val="0"/>
        <w:autoSpaceDN w:val="0"/>
        <w:rPr>
          <w:rFonts w:ascii="Arial MT" w:hAnsi="Roboto" w:eastAsia="Roboto" w:cs="Roboto"/>
          <w:sz w:val="20"/>
          <w:szCs w:val="21"/>
        </w:rPr>
      </w:pPr>
    </w:p>
    <w:p w14:paraId="3966A258">
      <w:pPr>
        <w:widowControl w:val="0"/>
        <w:autoSpaceDE w:val="0"/>
        <w:autoSpaceDN w:val="0"/>
        <w:spacing w:before="4"/>
        <w:rPr>
          <w:rFonts w:ascii="Arial MT" w:hAnsi="Roboto" w:eastAsia="Roboto" w:cs="Roboto"/>
          <w:sz w:val="20"/>
          <w:szCs w:val="21"/>
        </w:rPr>
      </w:pPr>
    </w:p>
    <w:p w14:paraId="316ED75F">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23776" behindDoc="0" locked="0" layoutInCell="1" allowOverlap="1">
                <wp:simplePos x="0" y="0"/>
                <wp:positionH relativeFrom="page">
                  <wp:posOffset>5638800</wp:posOffset>
                </wp:positionH>
                <wp:positionV relativeFrom="paragraph">
                  <wp:posOffset>26670</wp:posOffset>
                </wp:positionV>
                <wp:extent cx="638175" cy="1314450"/>
                <wp:effectExtent l="0" t="0" r="0" b="0"/>
                <wp:wrapNone/>
                <wp:docPr id="1585350745" name="Text Box 66"/>
                <wp:cNvGraphicFramePr/>
                <a:graphic xmlns:a="http://schemas.openxmlformats.org/drawingml/2006/main">
                  <a:graphicData uri="http://schemas.microsoft.com/office/word/2010/wordprocessingShape">
                    <wps:wsp>
                      <wps:cNvSpPr txBox="1">
                        <a:spLocks noChangeArrowheads="1"/>
                      </wps:cNvSpPr>
                      <wps:spPr bwMode="auto">
                        <a:xfrm>
                          <a:off x="0" y="0"/>
                          <a:ext cx="638175" cy="1314450"/>
                        </a:xfrm>
                        <a:prstGeom prst="rect">
                          <a:avLst/>
                        </a:prstGeom>
                        <a:solidFill>
                          <a:srgbClr val="663AB6"/>
                        </a:solidFill>
                        <a:ln>
                          <a:noFill/>
                        </a:ln>
                        <a:effectLst/>
                      </wps:spPr>
                      <wps:txbx>
                        <w:txbxContent>
                          <w:p w14:paraId="5C96B909">
                            <w:pPr>
                              <w:spacing w:before="14"/>
                              <w:rPr>
                                <w:rFonts w:ascii="Arial MT"/>
                                <w:sz w:val="18"/>
                              </w:rPr>
                            </w:pPr>
                            <w:r>
                              <w:rPr>
                                <w:rFonts w:ascii="Arial MT"/>
                                <w:color w:val="FFFFFF"/>
                                <w:sz w:val="18"/>
                              </w:rPr>
                              <w:t>62 (82.7%)</w:t>
                            </w:r>
                          </w:p>
                        </w:txbxContent>
                      </wps:txbx>
                      <wps:bodyPr rot="0" vert="horz" wrap="square" lIns="0" tIns="0" rIns="0" bIns="0" anchor="t" anchorCtr="0" upright="1">
                        <a:noAutofit/>
                      </wps:bodyPr>
                    </wps:wsp>
                  </a:graphicData>
                </a:graphic>
              </wp:anchor>
            </w:drawing>
          </mc:Choice>
          <mc:Fallback>
            <w:pict>
              <v:shape id="Text Box 66" o:spid="_x0000_s1026" o:spt="202" type="#_x0000_t202" style="position:absolute;left:0pt;margin-left:444pt;margin-top:2.1pt;height:103.5pt;width:50.25pt;mso-position-horizontal-relative:page;z-index:251723776;mso-width-relative:page;mso-height-relative:page;" fillcolor="#663AB6" filled="t" stroked="f" coordsize="21600,21600" o:gfxdata="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3Ce&#10;+9cAAAAJAQAADwAAAAAAAAABACAAAAAiAAAAZHJzL2Rvd25yZXYueG1sUEsBAhQAFAAAAAgAh07i&#10;QEShvm4jAgAARQQAAA4AAAAAAAAAAQAgAAAAJgEAAGRycy9lMm9Eb2MueG1sUEsFBgAAAAAGAAYA&#10;WQEAALsFAAAAAA==&#10;">
                <v:fill on="t" focussize="0,0"/>
                <v:stroke on="f"/>
                <v:imagedata o:title=""/>
                <o:lock v:ext="edit" aspectratio="f"/>
                <v:textbox inset="0mm,0mm,0mm,0mm">
                  <w:txbxContent>
                    <w:p w14:paraId="5C96B909">
                      <w:pPr>
                        <w:spacing w:before="14"/>
                        <w:rPr>
                          <w:rFonts w:ascii="Arial MT"/>
                          <w:sz w:val="18"/>
                        </w:rPr>
                      </w:pPr>
                      <w:r>
                        <w:rPr>
                          <w:rFonts w:ascii="Arial MT"/>
                          <w:color w:val="FFFFFF"/>
                          <w:sz w:val="18"/>
                        </w:rPr>
                        <w:t>62 (82.7%)</w:t>
                      </w:r>
                    </w:p>
                  </w:txbxContent>
                </v:textbox>
              </v:shape>
            </w:pict>
          </mc:Fallback>
        </mc:AlternateContent>
      </w:r>
      <w:r>
        <w:rPr>
          <w:rFonts w:ascii="Arial MT" w:hAnsi="Roboto" w:eastAsia="Roboto" w:cs="Roboto"/>
          <w:color w:val="444444"/>
          <w:sz w:val="18"/>
          <w:szCs w:val="22"/>
        </w:rPr>
        <w:t>60</w:t>
      </w:r>
    </w:p>
    <w:p w14:paraId="04492358">
      <w:pPr>
        <w:widowControl w:val="0"/>
        <w:autoSpaceDE w:val="0"/>
        <w:autoSpaceDN w:val="0"/>
        <w:rPr>
          <w:rFonts w:ascii="Arial MT" w:hAnsi="Roboto" w:eastAsia="Roboto" w:cs="Roboto"/>
          <w:sz w:val="20"/>
          <w:szCs w:val="21"/>
        </w:rPr>
      </w:pPr>
    </w:p>
    <w:p w14:paraId="04DD938E">
      <w:pPr>
        <w:widowControl w:val="0"/>
        <w:autoSpaceDE w:val="0"/>
        <w:autoSpaceDN w:val="0"/>
        <w:spacing w:before="4"/>
        <w:rPr>
          <w:rFonts w:ascii="Arial MT" w:hAnsi="Roboto" w:eastAsia="Roboto" w:cs="Roboto"/>
          <w:sz w:val="20"/>
          <w:szCs w:val="21"/>
        </w:rPr>
      </w:pPr>
    </w:p>
    <w:p w14:paraId="437264FC">
      <w:pPr>
        <w:widowControl w:val="0"/>
        <w:autoSpaceDE w:val="0"/>
        <w:autoSpaceDN w:val="0"/>
        <w:spacing w:before="1"/>
        <w:rPr>
          <w:rFonts w:ascii="Arial MT" w:hAnsi="Roboto" w:eastAsia="Roboto" w:cs="Roboto"/>
          <w:sz w:val="18"/>
          <w:szCs w:val="22"/>
        </w:rPr>
      </w:pPr>
      <w:r>
        <w:rPr>
          <w:rFonts w:ascii="Arial MT" w:hAnsi="Roboto" w:eastAsia="Roboto" w:cs="Roboto"/>
          <w:color w:val="444444"/>
          <w:sz w:val="18"/>
          <w:szCs w:val="22"/>
        </w:rPr>
        <w:t>40</w:t>
      </w:r>
    </w:p>
    <w:p w14:paraId="1698EC72">
      <w:pPr>
        <w:widowControl w:val="0"/>
        <w:autoSpaceDE w:val="0"/>
        <w:autoSpaceDN w:val="0"/>
        <w:rPr>
          <w:rFonts w:ascii="Arial MT" w:hAnsi="Roboto" w:eastAsia="Roboto" w:cs="Roboto"/>
          <w:sz w:val="20"/>
          <w:szCs w:val="21"/>
        </w:rPr>
      </w:pPr>
    </w:p>
    <w:p w14:paraId="03B37D2D">
      <w:pPr>
        <w:widowControl w:val="0"/>
        <w:autoSpaceDE w:val="0"/>
        <w:autoSpaceDN w:val="0"/>
        <w:rPr>
          <w:rFonts w:ascii="Arial MT" w:hAnsi="Roboto" w:eastAsia="Roboto" w:cs="Roboto"/>
          <w:sz w:val="20"/>
          <w:szCs w:val="22"/>
        </w:rPr>
        <w:sectPr>
          <w:type w:val="continuous"/>
          <w:pgSz w:w="11900" w:h="16840"/>
          <w:pgMar w:top="480" w:right="1280" w:bottom="1680" w:left="1040" w:header="720" w:footer="720" w:gutter="0"/>
          <w:cols w:space="720" w:num="1"/>
        </w:sectPr>
      </w:pPr>
    </w:p>
    <w:p w14:paraId="17D5DDD3">
      <w:pPr>
        <w:widowControl w:val="0"/>
        <w:autoSpaceDE w:val="0"/>
        <w:autoSpaceDN w:val="0"/>
        <w:spacing w:before="4"/>
        <w:rPr>
          <w:rFonts w:ascii="Arial MT" w:hAnsi="Roboto" w:eastAsia="Roboto" w:cs="Roboto"/>
          <w:sz w:val="20"/>
          <w:szCs w:val="21"/>
        </w:rPr>
      </w:pPr>
    </w:p>
    <w:p w14:paraId="02AB9D28">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0CB8AF2C">
      <w:pPr>
        <w:widowControl w:val="0"/>
        <w:autoSpaceDE w:val="0"/>
        <w:autoSpaceDN w:val="0"/>
        <w:spacing w:before="3"/>
        <w:rPr>
          <w:rFonts w:ascii="Arial MT" w:hAnsi="Roboto" w:eastAsia="Roboto" w:cs="Roboto"/>
          <w:sz w:val="16"/>
          <w:szCs w:val="21"/>
        </w:rPr>
      </w:pPr>
    </w:p>
    <w:p w14:paraId="2424E1D6">
      <w:pPr>
        <w:widowControl w:val="0"/>
        <w:autoSpaceDE w:val="0"/>
        <w:autoSpaceDN w:val="0"/>
        <w:ind w:right="20"/>
        <w:jc w:val="center"/>
        <w:rPr>
          <w:rFonts w:ascii="Arial MT" w:hAnsi="Roboto" w:eastAsia="Roboto" w:cs="Roboto"/>
          <w:sz w:val="18"/>
          <w:szCs w:val="22"/>
        </w:rPr>
      </w:pPr>
      <w:r>
        <w:rPr>
          <w:rFonts w:ascii="Arial MT" w:hAnsi="Roboto" w:eastAsia="Roboto" w:cs="Roboto"/>
          <w:sz w:val="18"/>
          <w:szCs w:val="22"/>
        </w:rPr>
        <w:t xml:space="preserve">0 </w:t>
      </w:r>
      <w:r>
        <w:rPr>
          <w:rFonts w:ascii="Arial MT" w:hAnsi="Roboto" w:eastAsia="Roboto" w:cs="Roboto"/>
          <w:color w:val="232327"/>
          <w:sz w:val="18"/>
          <w:szCs w:val="22"/>
        </w:rPr>
        <w:t>(0%)</w:t>
      </w:r>
    </w:p>
    <w:p w14:paraId="35F897B7">
      <w:pPr>
        <w:widowControl w:val="0"/>
        <w:autoSpaceDE w:val="0"/>
        <w:autoSpaceDN w:val="0"/>
        <w:spacing w:before="70"/>
        <w:rPr>
          <w:rFonts w:ascii="Arial MT" w:hAnsi="Roboto" w:eastAsia="Roboto" w:cs="Roboto"/>
          <w:sz w:val="18"/>
          <w:szCs w:val="22"/>
        </w:rPr>
      </w:pPr>
      <w:r>
        <w:rPr>
          <w:rFonts w:ascii="Arial MT" w:hAnsi="Roboto" w:eastAsia="Roboto" w:cs="Roboto"/>
          <w:color w:val="444444"/>
          <w:sz w:val="18"/>
          <w:szCs w:val="22"/>
        </w:rPr>
        <w:t>0</w:t>
      </w:r>
    </w:p>
    <w:p w14:paraId="1CE10EED">
      <w:pPr>
        <w:widowControl w:val="0"/>
        <w:autoSpaceDE w:val="0"/>
        <w:autoSpaceDN w:val="0"/>
        <w:rPr>
          <w:rFonts w:ascii="Arial MT" w:hAnsi="Roboto" w:eastAsia="Roboto" w:cs="Roboto"/>
          <w:sz w:val="20"/>
          <w:szCs w:val="21"/>
        </w:rPr>
      </w:pPr>
      <w:r>
        <w:rPr>
          <w:rFonts w:ascii="Roboto" w:hAnsi="Roboto" w:eastAsia="Roboto" w:cs="Roboto"/>
          <w:sz w:val="21"/>
          <w:szCs w:val="21"/>
        </w:rPr>
        <w:br w:type="column"/>
      </w:r>
    </w:p>
    <w:p w14:paraId="0106682D">
      <w:pPr>
        <w:widowControl w:val="0"/>
        <w:autoSpaceDE w:val="0"/>
        <w:autoSpaceDN w:val="0"/>
        <w:rPr>
          <w:rFonts w:ascii="Arial MT" w:hAnsi="Roboto" w:eastAsia="Roboto" w:cs="Roboto"/>
          <w:sz w:val="20"/>
          <w:szCs w:val="21"/>
        </w:rPr>
      </w:pPr>
    </w:p>
    <w:p w14:paraId="6DD74429">
      <w:pPr>
        <w:widowControl w:val="0"/>
        <w:autoSpaceDE w:val="0"/>
        <w:autoSpaceDN w:val="0"/>
        <w:spacing w:before="168"/>
        <w:rPr>
          <w:rFonts w:ascii="Arial MT" w:hAnsi="Roboto" w:eastAsia="Roboto" w:cs="Roboto"/>
          <w:sz w:val="18"/>
          <w:szCs w:val="22"/>
        </w:rPr>
      </w:pPr>
      <w:r>
        <w:rPr>
          <w:rFonts w:ascii="Arial MT" w:hAnsi="Roboto" w:eastAsia="Roboto" w:cs="Roboto"/>
          <w:sz w:val="18"/>
          <w:szCs w:val="22"/>
        </w:rPr>
        <w:t xml:space="preserve">0 </w:t>
      </w:r>
      <w:r>
        <w:rPr>
          <w:rFonts w:ascii="Arial MT" w:hAnsi="Roboto" w:eastAsia="Roboto" w:cs="Roboto"/>
          <w:color w:val="232327"/>
          <w:sz w:val="18"/>
          <w:szCs w:val="22"/>
        </w:rPr>
        <w:t>(0%)</w:t>
      </w:r>
    </w:p>
    <w:p w14:paraId="765ED37A">
      <w:pPr>
        <w:widowControl w:val="0"/>
        <w:autoSpaceDE w:val="0"/>
        <w:autoSpaceDN w:val="0"/>
        <w:rPr>
          <w:rFonts w:ascii="Arial MT" w:hAnsi="Roboto" w:eastAsia="Roboto" w:cs="Roboto"/>
          <w:sz w:val="20"/>
          <w:szCs w:val="21"/>
        </w:rPr>
      </w:pPr>
      <w:r>
        <w:rPr>
          <w:rFonts w:ascii="Roboto" w:hAnsi="Roboto" w:eastAsia="Roboto" w:cs="Roboto"/>
          <w:sz w:val="21"/>
          <w:szCs w:val="21"/>
        </w:rPr>
        <w:br w:type="column"/>
      </w:r>
    </w:p>
    <w:p w14:paraId="2EE3DAFE">
      <w:pPr>
        <w:widowControl w:val="0"/>
        <w:autoSpaceDE w:val="0"/>
        <w:autoSpaceDN w:val="0"/>
        <w:rPr>
          <w:rFonts w:ascii="Arial MT" w:hAnsi="Roboto" w:eastAsia="Roboto" w:cs="Roboto"/>
          <w:sz w:val="20"/>
          <w:szCs w:val="21"/>
        </w:rPr>
      </w:pPr>
    </w:p>
    <w:p w14:paraId="76551CDC">
      <w:pPr>
        <w:widowControl w:val="0"/>
        <w:autoSpaceDE w:val="0"/>
        <w:autoSpaceDN w:val="0"/>
        <w:spacing w:before="122"/>
        <w:rPr>
          <w:rFonts w:ascii="Arial MT" w:hAnsi="Roboto" w:eastAsia="Roboto" w:cs="Roboto"/>
          <w:sz w:val="18"/>
          <w:szCs w:val="22"/>
        </w:rPr>
      </w:pPr>
      <w:r>
        <w:rPr>
          <w:rFonts w:ascii="Arial MT" w:hAnsi="Roboto" w:eastAsia="Roboto" w:cs="Roboto"/>
          <w:color w:val="232327"/>
          <w:sz w:val="18"/>
          <w:szCs w:val="22"/>
        </w:rPr>
        <w:t xml:space="preserve">2 </w:t>
      </w:r>
      <w:r>
        <w:rPr>
          <w:rFonts w:ascii="Arial MT" w:hAnsi="Roboto" w:eastAsia="Roboto" w:cs="Roboto"/>
          <w:color w:val="202024"/>
          <w:sz w:val="18"/>
          <w:szCs w:val="22"/>
        </w:rPr>
        <w:t>(2.7%)</w:t>
      </w:r>
    </w:p>
    <w:p w14:paraId="3A4114EA">
      <w:pPr>
        <w:widowControl w:val="0"/>
        <w:autoSpaceDE w:val="0"/>
        <w:autoSpaceDN w:val="0"/>
        <w:rPr>
          <w:rFonts w:ascii="Arial MT" w:hAnsi="Roboto" w:eastAsia="Roboto" w:cs="Roboto"/>
          <w:sz w:val="18"/>
          <w:szCs w:val="22"/>
        </w:rPr>
        <w:sectPr>
          <w:type w:val="continuous"/>
          <w:pgSz w:w="11900" w:h="16840"/>
          <w:pgMar w:top="480" w:right="1280" w:bottom="1680" w:left="1040" w:header="720" w:footer="720" w:gutter="0"/>
          <w:cols w:equalWidth="0" w:num="3">
            <w:col w:w="2146" w:space="400"/>
            <w:col w:w="1220" w:space="339"/>
            <w:col w:w="5475"/>
          </w:cols>
        </w:sectPr>
      </w:pPr>
    </w:p>
    <w:p w14:paraId="6DCC2B8C">
      <w:pPr>
        <w:widowControl w:val="0"/>
        <w:tabs>
          <w:tab w:val="left" w:pos="3421"/>
          <w:tab w:val="left" w:pos="5044"/>
          <w:tab w:val="left" w:pos="6667"/>
          <w:tab w:val="left" w:pos="8290"/>
        </w:tabs>
        <w:autoSpaceDE w:val="0"/>
        <w:autoSpaceDN w:val="0"/>
        <w:spacing w:line="203" w:lineRule="exact"/>
        <w:rPr>
          <w:rFonts w:ascii="Arial MT" w:hAnsi="Roboto" w:eastAsia="Roboto" w:cs="Roboto"/>
          <w:sz w:val="18"/>
          <w:szCs w:val="22"/>
        </w:rPr>
      </w:pPr>
      <w:r>
        <mc:AlternateContent>
          <mc:Choice Requires="wps">
            <w:drawing>
              <wp:anchor distT="0" distB="0" distL="114300" distR="114300" simplePos="0" relativeHeight="251724800" behindDoc="0" locked="0" layoutInCell="1" allowOverlap="1">
                <wp:simplePos x="0" y="0"/>
                <wp:positionH relativeFrom="page">
                  <wp:posOffset>4610100</wp:posOffset>
                </wp:positionH>
                <wp:positionV relativeFrom="paragraph">
                  <wp:posOffset>-273050</wp:posOffset>
                </wp:positionV>
                <wp:extent cx="638175" cy="205105"/>
                <wp:effectExtent l="0" t="0" r="0" b="0"/>
                <wp:wrapNone/>
                <wp:docPr id="482941217" name="Text Box 65"/>
                <wp:cNvGraphicFramePr/>
                <a:graphic xmlns:a="http://schemas.openxmlformats.org/drawingml/2006/main">
                  <a:graphicData uri="http://schemas.microsoft.com/office/word/2010/wordprocessingShape">
                    <wps:wsp>
                      <wps:cNvSpPr txBox="1">
                        <a:spLocks noChangeArrowheads="1"/>
                      </wps:cNvSpPr>
                      <wps:spPr bwMode="auto">
                        <a:xfrm>
                          <a:off x="0" y="0"/>
                          <a:ext cx="638175" cy="205105"/>
                        </a:xfrm>
                        <a:prstGeom prst="rect">
                          <a:avLst/>
                        </a:prstGeom>
                        <a:solidFill>
                          <a:srgbClr val="663AB6"/>
                        </a:solidFill>
                        <a:ln>
                          <a:noFill/>
                        </a:ln>
                        <a:effectLst/>
                      </wps:spPr>
                      <wps:txbx>
                        <w:txbxContent>
                          <w:p w14:paraId="0D5B4D75">
                            <w:pPr>
                              <w:spacing w:line="183" w:lineRule="exact"/>
                              <w:rPr>
                                <w:rFonts w:ascii="Arial MT"/>
                                <w:sz w:val="18"/>
                              </w:rPr>
                            </w:pPr>
                            <w:r>
                              <w:rPr>
                                <w:rFonts w:ascii="Arial MT"/>
                                <w:color w:val="FFFFFF"/>
                                <w:sz w:val="18"/>
                              </w:rPr>
                              <w:t>11</w:t>
                            </w:r>
                            <w:r>
                              <w:rPr>
                                <w:rFonts w:ascii="Arial MT"/>
                                <w:color w:val="FFFFFF"/>
                                <w:spacing w:val="-7"/>
                                <w:sz w:val="18"/>
                              </w:rPr>
                              <w:t xml:space="preserve"> </w:t>
                            </w:r>
                            <w:r>
                              <w:rPr>
                                <w:rFonts w:ascii="Arial MT"/>
                                <w:color w:val="FFFFFF"/>
                                <w:sz w:val="18"/>
                              </w:rPr>
                              <w:t>(14.7%)</w:t>
                            </w:r>
                          </w:p>
                        </w:txbxContent>
                      </wps:txbx>
                      <wps:bodyPr rot="0" vert="horz" wrap="square" lIns="0" tIns="0" rIns="0" bIns="0" anchor="t" anchorCtr="0" upright="1">
                        <a:noAutofit/>
                      </wps:bodyPr>
                    </wps:wsp>
                  </a:graphicData>
                </a:graphic>
              </wp:anchor>
            </w:drawing>
          </mc:Choice>
          <mc:Fallback>
            <w:pict>
              <v:shape id="Text Box 65" o:spid="_x0000_s1026" o:spt="202" type="#_x0000_t202" style="position:absolute;left:0pt;margin-left:363pt;margin-top:-21.5pt;height:16.15pt;width:50.25pt;mso-position-horizontal-relative:page;z-index:251724800;mso-width-relative:page;mso-height-relative:page;" fillcolor="#663AB6" filled="t" stroked="f" coordsize="21600,21600" o:gfxdata="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rwWP&#10;2AAAAAsBAAAPAAAAAAAAAAEAIAAAACIAAABkcnMvZG93bnJldi54bWxQSwECFAAUAAAACACHTuJA&#10;gn7VyCECAABDBAAADgAAAAAAAAABACAAAAAnAQAAZHJzL2Uyb0RvYy54bWxQSwUGAAAAAAYABgBZ&#10;AQAAugUAAAAA&#10;">
                <v:fill on="t" focussize="0,0"/>
                <v:stroke on="f"/>
                <v:imagedata o:title=""/>
                <o:lock v:ext="edit" aspectratio="f"/>
                <v:textbox inset="0mm,0mm,0mm,0mm">
                  <w:txbxContent>
                    <w:p w14:paraId="0D5B4D75">
                      <w:pPr>
                        <w:spacing w:line="183" w:lineRule="exact"/>
                        <w:rPr>
                          <w:rFonts w:ascii="Arial MT"/>
                          <w:sz w:val="18"/>
                        </w:rPr>
                      </w:pPr>
                      <w:r>
                        <w:rPr>
                          <w:rFonts w:ascii="Arial MT"/>
                          <w:color w:val="FFFFFF"/>
                          <w:sz w:val="18"/>
                        </w:rPr>
                        <w:t>11</w:t>
                      </w:r>
                      <w:r>
                        <w:rPr>
                          <w:rFonts w:ascii="Arial MT"/>
                          <w:color w:val="FFFFFF"/>
                          <w:spacing w:val="-7"/>
                          <w:sz w:val="18"/>
                        </w:rPr>
                        <w:t xml:space="preserve"> </w:t>
                      </w:r>
                      <w:r>
                        <w:rPr>
                          <w:rFonts w:ascii="Arial MT"/>
                          <w:color w:val="FFFFFF"/>
                          <w:sz w:val="18"/>
                        </w:rPr>
                        <w:t>(14.7%)</w:t>
                      </w:r>
                    </w:p>
                  </w:txbxContent>
                </v:textbox>
              </v:shape>
            </w:pict>
          </mc:Fallback>
        </mc:AlternateContent>
      </w: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4CAF9232">
      <w:pPr>
        <w:widowControl w:val="0"/>
        <w:autoSpaceDE w:val="0"/>
        <w:autoSpaceDN w:val="0"/>
        <w:rPr>
          <w:rFonts w:ascii="Arial MT" w:hAnsi="Roboto" w:eastAsia="Roboto" w:cs="Roboto"/>
          <w:sz w:val="20"/>
          <w:szCs w:val="21"/>
        </w:rPr>
      </w:pPr>
    </w:p>
    <w:p w14:paraId="06885738">
      <w:pPr>
        <w:widowControl w:val="0"/>
        <w:autoSpaceDE w:val="0"/>
        <w:autoSpaceDN w:val="0"/>
        <w:spacing w:before="7"/>
        <w:jc w:val="both"/>
        <w:rPr>
          <w:rFonts w:eastAsia="Roboto"/>
          <w:sz w:val="26"/>
          <w:szCs w:val="21"/>
        </w:rPr>
      </w:pPr>
    </w:p>
    <w:p w14:paraId="3786A4A9">
      <w:pPr>
        <w:widowControl w:val="0"/>
        <w:autoSpaceDE w:val="0"/>
        <w:autoSpaceDN w:val="0"/>
        <w:jc w:val="both"/>
        <w:rPr>
          <w:rFonts w:eastAsia="Roboto"/>
          <w:sz w:val="26"/>
          <w:szCs w:val="22"/>
        </w:rPr>
        <w:sectPr>
          <w:type w:val="continuous"/>
          <w:pgSz w:w="11900" w:h="16840"/>
          <w:pgMar w:top="480" w:right="1280" w:bottom="1680" w:left="1040" w:header="720" w:footer="720" w:gutter="0"/>
          <w:cols w:space="720" w:num="1"/>
        </w:sectPr>
      </w:pPr>
    </w:p>
    <w:p w14:paraId="4367AC67">
      <w:pPr>
        <w:widowControl w:val="0"/>
        <w:numPr>
          <w:ilvl w:val="0"/>
          <w:numId w:val="47"/>
        </w:numPr>
        <w:tabs>
          <w:tab w:val="left" w:pos="527"/>
        </w:tabs>
        <w:autoSpaceDE w:val="0"/>
        <w:autoSpaceDN w:val="0"/>
        <w:spacing w:before="95" w:line="300" w:lineRule="auto"/>
        <w:ind w:right="38" w:firstLine="0"/>
        <w:jc w:val="both"/>
        <w:outlineLvl w:val="0"/>
        <w:rPr>
          <w:rFonts w:eastAsia="Roboto"/>
        </w:rPr>
      </w:pPr>
      <w:r>
        <w:rPr>
          <w:rFonts w:eastAsia="Roboto"/>
          <w:color w:val="202024"/>
        </w:rPr>
        <w:t>In</w:t>
      </w:r>
      <w:r>
        <w:rPr>
          <w:rFonts w:eastAsia="Roboto"/>
          <w:color w:val="202024"/>
          <w:spacing w:val="8"/>
        </w:rPr>
        <w:t xml:space="preserve"> </w:t>
      </w:r>
      <w:r>
        <w:rPr>
          <w:rFonts w:eastAsia="Roboto"/>
          <w:color w:val="202024"/>
        </w:rPr>
        <w:t>your</w:t>
      </w:r>
      <w:r>
        <w:rPr>
          <w:rFonts w:eastAsia="Roboto"/>
          <w:color w:val="202024"/>
          <w:spacing w:val="8"/>
        </w:rPr>
        <w:t xml:space="preserve"> </w:t>
      </w:r>
      <w:r>
        <w:rPr>
          <w:rFonts w:eastAsia="Roboto"/>
          <w:color w:val="202024"/>
        </w:rPr>
        <w:t>experience,</w:t>
      </w:r>
      <w:r>
        <w:rPr>
          <w:rFonts w:eastAsia="Roboto"/>
          <w:color w:val="202024"/>
          <w:spacing w:val="16"/>
        </w:rPr>
        <w:t xml:space="preserve"> </w:t>
      </w:r>
      <w:r>
        <w:rPr>
          <w:rFonts w:eastAsia="Roboto"/>
          <w:color w:val="202024"/>
        </w:rPr>
        <w:t>how</w:t>
      </w:r>
      <w:r>
        <w:rPr>
          <w:rFonts w:eastAsia="Roboto"/>
          <w:color w:val="202024"/>
          <w:spacing w:val="8"/>
        </w:rPr>
        <w:t xml:space="preserve"> </w:t>
      </w:r>
      <w:r>
        <w:rPr>
          <w:rFonts w:eastAsia="Roboto"/>
          <w:color w:val="202024"/>
        </w:rPr>
        <w:t>clear</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consistent</w:t>
      </w:r>
      <w:r>
        <w:rPr>
          <w:rFonts w:eastAsia="Roboto"/>
          <w:color w:val="202024"/>
          <w:spacing w:val="8"/>
        </w:rPr>
        <w:t xml:space="preserve"> </w:t>
      </w:r>
      <w:r>
        <w:rPr>
          <w:rFonts w:eastAsia="Roboto"/>
          <w:color w:val="202024"/>
        </w:rPr>
        <w:t>are</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recent</w:t>
      </w:r>
      <w:r>
        <w:rPr>
          <w:rFonts w:eastAsia="Roboto"/>
          <w:color w:val="202024"/>
          <w:spacing w:val="8"/>
        </w:rPr>
        <w:t xml:space="preserve"> </w:t>
      </w:r>
      <w:r>
        <w:rPr>
          <w:rFonts w:eastAsia="Roboto"/>
          <w:color w:val="202024"/>
        </w:rPr>
        <w:t>judicial</w:t>
      </w:r>
      <w:r>
        <w:rPr>
          <w:rFonts w:eastAsia="Roboto"/>
          <w:color w:val="202024"/>
          <w:spacing w:val="1"/>
        </w:rPr>
        <w:t xml:space="preserve"> </w:t>
      </w:r>
      <w:r>
        <w:rPr>
          <w:rFonts w:eastAsia="Roboto"/>
          <w:color w:val="202024"/>
        </w:rPr>
        <w:t>decisions</w:t>
      </w:r>
      <w:r>
        <w:rPr>
          <w:rFonts w:eastAsia="Roboto"/>
          <w:color w:val="202024"/>
          <w:spacing w:val="13"/>
        </w:rPr>
        <w:t xml:space="preserve"> </w:t>
      </w:r>
      <w:r>
        <w:rPr>
          <w:rFonts w:eastAsia="Roboto"/>
          <w:color w:val="202024"/>
        </w:rPr>
        <w:t>affecting</w:t>
      </w:r>
      <w:r>
        <w:rPr>
          <w:rFonts w:eastAsia="Roboto"/>
          <w:color w:val="202024"/>
          <w:spacing w:val="13"/>
        </w:rPr>
        <w:t xml:space="preserve"> </w:t>
      </w:r>
      <w:r>
        <w:rPr>
          <w:rFonts w:eastAsia="Roboto"/>
          <w:color w:val="202024"/>
        </w:rPr>
        <w:t>upstream</w:t>
      </w:r>
      <w:r>
        <w:rPr>
          <w:rFonts w:eastAsia="Roboto"/>
          <w:color w:val="202024"/>
          <w:spacing w:val="14"/>
        </w:rPr>
        <w:t xml:space="preserve"> </w:t>
      </w:r>
      <w:r>
        <w:rPr>
          <w:rFonts w:eastAsia="Roboto"/>
          <w:color w:val="202024"/>
        </w:rPr>
        <w:t>petroleum</w:t>
      </w:r>
      <w:r>
        <w:rPr>
          <w:rFonts w:eastAsia="Roboto"/>
          <w:color w:val="202024"/>
          <w:spacing w:val="13"/>
        </w:rPr>
        <w:t xml:space="preserve"> </w:t>
      </w:r>
      <w:r>
        <w:rPr>
          <w:rFonts w:eastAsia="Roboto"/>
          <w:color w:val="202024"/>
        </w:rPr>
        <w:t>taxation</w:t>
      </w:r>
      <w:r>
        <w:rPr>
          <w:rFonts w:eastAsia="Roboto"/>
          <w:color w:val="202024"/>
          <w:spacing w:val="14"/>
        </w:rPr>
        <w:t xml:space="preserve"> </w:t>
      </w:r>
      <w:r>
        <w:rPr>
          <w:rFonts w:eastAsia="Roboto"/>
          <w:color w:val="202024"/>
        </w:rPr>
        <w:t>and</w:t>
      </w:r>
      <w:r>
        <w:rPr>
          <w:rFonts w:eastAsia="Roboto"/>
          <w:color w:val="202024"/>
          <w:spacing w:val="13"/>
        </w:rPr>
        <w:t xml:space="preserve"> </w:t>
      </w:r>
      <w:r>
        <w:rPr>
          <w:rFonts w:eastAsia="Roboto"/>
          <w:color w:val="202024"/>
        </w:rPr>
        <w:t>how</w:t>
      </w:r>
      <w:r>
        <w:rPr>
          <w:rFonts w:eastAsia="Roboto"/>
          <w:color w:val="202024"/>
          <w:spacing w:val="14"/>
        </w:rPr>
        <w:t xml:space="preserve"> </w:t>
      </w:r>
      <w:r>
        <w:rPr>
          <w:rFonts w:eastAsia="Roboto"/>
          <w:color w:val="202024"/>
        </w:rPr>
        <w:t>important</w:t>
      </w:r>
      <w:r>
        <w:rPr>
          <w:rFonts w:eastAsia="Roboto"/>
          <w:color w:val="202024"/>
          <w:spacing w:val="13"/>
        </w:rPr>
        <w:t xml:space="preserve"> </w:t>
      </w:r>
      <w:r>
        <w:rPr>
          <w:rFonts w:eastAsia="Roboto"/>
          <w:color w:val="202024"/>
        </w:rPr>
        <w:t>are</w:t>
      </w:r>
      <w:r>
        <w:rPr>
          <w:rFonts w:eastAsia="Roboto"/>
          <w:color w:val="202024"/>
          <w:spacing w:val="-56"/>
        </w:rPr>
        <w:t xml:space="preserve"> </w:t>
      </w:r>
      <w:r>
        <w:rPr>
          <w:rFonts w:eastAsia="Roboto"/>
          <w:color w:val="202024"/>
        </w:rPr>
        <w:t>these</w:t>
      </w:r>
      <w:r>
        <w:rPr>
          <w:rFonts w:eastAsia="Roboto"/>
          <w:color w:val="202024"/>
          <w:spacing w:val="6"/>
        </w:rPr>
        <w:t xml:space="preserve"> </w:t>
      </w:r>
      <w:r>
        <w:rPr>
          <w:rFonts w:eastAsia="Roboto"/>
          <w:color w:val="202024"/>
        </w:rPr>
        <w:t>in</w:t>
      </w:r>
      <w:r>
        <w:rPr>
          <w:rFonts w:eastAsia="Roboto"/>
          <w:color w:val="202024"/>
          <w:spacing w:val="6"/>
        </w:rPr>
        <w:t xml:space="preserve"> </w:t>
      </w:r>
      <w:r>
        <w:rPr>
          <w:rFonts w:eastAsia="Roboto"/>
          <w:color w:val="202024"/>
        </w:rPr>
        <w:t>achieving</w:t>
      </w:r>
      <w:r>
        <w:rPr>
          <w:rFonts w:eastAsia="Roboto"/>
          <w:color w:val="202024"/>
          <w:spacing w:val="6"/>
        </w:rPr>
        <w:t xml:space="preserve"> </w:t>
      </w:r>
      <w:r>
        <w:rPr>
          <w:rFonts w:eastAsia="Roboto"/>
          <w:color w:val="202024"/>
        </w:rPr>
        <w:t>upstream</w:t>
      </w:r>
      <w:r>
        <w:rPr>
          <w:rFonts w:eastAsia="Roboto"/>
          <w:color w:val="202024"/>
          <w:spacing w:val="6"/>
        </w:rPr>
        <w:t xml:space="preserve"> </w:t>
      </w:r>
      <w:r>
        <w:rPr>
          <w:rFonts w:eastAsia="Roboto"/>
          <w:color w:val="202024"/>
        </w:rPr>
        <w:t>oil</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gas</w:t>
      </w:r>
      <w:r>
        <w:rPr>
          <w:rFonts w:eastAsia="Roboto"/>
          <w:color w:val="202024"/>
          <w:spacing w:val="6"/>
        </w:rPr>
        <w:t xml:space="preserve"> </w:t>
      </w:r>
      <w:r>
        <w:rPr>
          <w:rFonts w:eastAsia="Roboto"/>
          <w:color w:val="202024"/>
        </w:rPr>
        <w:t>tax</w:t>
      </w:r>
      <w:r>
        <w:rPr>
          <w:rFonts w:eastAsia="Roboto"/>
          <w:color w:val="202024"/>
          <w:spacing w:val="6"/>
        </w:rPr>
        <w:t xml:space="preserve"> </w:t>
      </w:r>
      <w:r>
        <w:rPr>
          <w:rFonts w:eastAsia="Roboto"/>
          <w:color w:val="202024"/>
        </w:rPr>
        <w:t>legislation</w:t>
      </w:r>
      <w:r>
        <w:rPr>
          <w:rFonts w:eastAsia="Roboto"/>
          <w:color w:val="202024"/>
          <w:spacing w:val="6"/>
        </w:rPr>
        <w:t xml:space="preserve"> </w:t>
      </w:r>
      <w:r>
        <w:rPr>
          <w:rFonts w:eastAsia="Roboto"/>
          <w:color w:val="202024"/>
        </w:rPr>
        <w:t>certainty.</w:t>
      </w:r>
    </w:p>
    <w:p w14:paraId="7B4DD06B">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74</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73419360">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35BFC97B">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8010" w:space="786"/>
            <w:col w:w="784"/>
          </w:cols>
        </w:sectPr>
      </w:pPr>
    </w:p>
    <w:p w14:paraId="19A1340D">
      <w:pPr>
        <w:widowControl w:val="0"/>
        <w:autoSpaceDE w:val="0"/>
        <w:autoSpaceDN w:val="0"/>
        <w:spacing w:before="9"/>
        <w:rPr>
          <w:rFonts w:ascii="Lucida Sans Unicode" w:hAnsi="Roboto" w:eastAsia="Roboto" w:cs="Roboto"/>
          <w:sz w:val="21"/>
          <w:szCs w:val="21"/>
        </w:rPr>
      </w:pPr>
    </w:p>
    <w:p w14:paraId="58568B52">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30</w:t>
      </w:r>
    </w:p>
    <w:p w14:paraId="0B2BB643">
      <w:pPr>
        <w:widowControl w:val="0"/>
        <w:autoSpaceDE w:val="0"/>
        <w:autoSpaceDN w:val="0"/>
        <w:rPr>
          <w:rFonts w:ascii="Arial MT" w:hAnsi="Roboto" w:eastAsia="Roboto" w:cs="Roboto"/>
          <w:sz w:val="20"/>
          <w:szCs w:val="21"/>
        </w:rPr>
      </w:pPr>
    </w:p>
    <w:p w14:paraId="26FBEA47">
      <w:pPr>
        <w:widowControl w:val="0"/>
        <w:autoSpaceDE w:val="0"/>
        <w:autoSpaceDN w:val="0"/>
        <w:rPr>
          <w:rFonts w:ascii="Arial MT" w:hAnsi="Roboto" w:eastAsia="Roboto" w:cs="Roboto"/>
          <w:sz w:val="20"/>
          <w:szCs w:val="21"/>
        </w:rPr>
      </w:pPr>
    </w:p>
    <w:p w14:paraId="295779A4">
      <w:pPr>
        <w:widowControl w:val="0"/>
        <w:autoSpaceDE w:val="0"/>
        <w:autoSpaceDN w:val="0"/>
        <w:spacing w:before="10"/>
        <w:rPr>
          <w:rFonts w:ascii="Arial MT" w:hAnsi="Roboto" w:eastAsia="Roboto" w:cs="Roboto"/>
          <w:sz w:val="19"/>
          <w:szCs w:val="21"/>
        </w:rPr>
      </w:pPr>
    </w:p>
    <w:p w14:paraId="1BE245DF">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25824" behindDoc="0" locked="0" layoutInCell="1" allowOverlap="1">
                <wp:simplePos x="0" y="0"/>
                <wp:positionH relativeFrom="page">
                  <wp:posOffset>3581400</wp:posOffset>
                </wp:positionH>
                <wp:positionV relativeFrom="paragraph">
                  <wp:posOffset>-210820</wp:posOffset>
                </wp:positionV>
                <wp:extent cx="628650" cy="1409700"/>
                <wp:effectExtent l="0" t="0" r="0" b="0"/>
                <wp:wrapNone/>
                <wp:docPr id="756729192" name="Text Box 64"/>
                <wp:cNvGraphicFramePr/>
                <a:graphic xmlns:a="http://schemas.openxmlformats.org/drawingml/2006/main">
                  <a:graphicData uri="http://schemas.microsoft.com/office/word/2010/wordprocessingShape">
                    <wps:wsp>
                      <wps:cNvSpPr txBox="1">
                        <a:spLocks noChangeArrowheads="1"/>
                      </wps:cNvSpPr>
                      <wps:spPr bwMode="auto">
                        <a:xfrm>
                          <a:off x="0" y="0"/>
                          <a:ext cx="628650" cy="1409700"/>
                        </a:xfrm>
                        <a:prstGeom prst="rect">
                          <a:avLst/>
                        </a:prstGeom>
                        <a:solidFill>
                          <a:srgbClr val="663AB6"/>
                        </a:solidFill>
                        <a:ln>
                          <a:noFill/>
                        </a:ln>
                        <a:effectLst/>
                      </wps:spPr>
                      <wps:txbx>
                        <w:txbxContent>
                          <w:p w14:paraId="47FFC3CC">
                            <w:pPr>
                              <w:spacing w:before="14"/>
                              <w:rPr>
                                <w:rFonts w:ascii="Arial MT"/>
                                <w:sz w:val="18"/>
                              </w:rPr>
                            </w:pPr>
                            <w:r>
                              <w:rPr>
                                <w:rFonts w:ascii="Arial MT"/>
                                <w:color w:val="FFFFFF"/>
                                <w:sz w:val="18"/>
                              </w:rPr>
                              <w:t>25 (33.8%)</w:t>
                            </w:r>
                          </w:p>
                        </w:txbxContent>
                      </wps:txbx>
                      <wps:bodyPr rot="0" vert="horz" wrap="square" lIns="0" tIns="0" rIns="0" bIns="0" anchor="t" anchorCtr="0" upright="1">
                        <a:noAutofit/>
                      </wps:bodyPr>
                    </wps:wsp>
                  </a:graphicData>
                </a:graphic>
              </wp:anchor>
            </w:drawing>
          </mc:Choice>
          <mc:Fallback>
            <w:pict>
              <v:shape id="Text Box 64" o:spid="_x0000_s1026" o:spt="202" type="#_x0000_t202" style="position:absolute;left:0pt;margin-left:282pt;margin-top:-16.6pt;height:111pt;width:49.5pt;mso-position-horizontal-relative:page;z-index:251725824;mso-width-relative:page;mso-height-relative:page;" fillcolor="#663AB6" filled="t" stroked="f" coordsize="21600,21600" o:gfxdata="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6cTA9&#10;1wAAAAsBAAAPAAAAAAAAAAEAIAAAACIAAABkcnMvZG93bnJldi54bWxQSwECFAAUAAAACACHTuJA&#10;9bBViiICAABEBAAADgAAAAAAAAABACAAAAAmAQAAZHJzL2Uyb0RvYy54bWxQSwUGAAAAAAYABgBZ&#10;AQAAugUAAAAA&#10;">
                <v:fill on="t" focussize="0,0"/>
                <v:stroke on="f"/>
                <v:imagedata o:title=""/>
                <o:lock v:ext="edit" aspectratio="f"/>
                <v:textbox inset="0mm,0mm,0mm,0mm">
                  <w:txbxContent>
                    <w:p w14:paraId="47FFC3CC">
                      <w:pPr>
                        <w:spacing w:before="14"/>
                        <w:rPr>
                          <w:rFonts w:ascii="Arial MT"/>
                          <w:sz w:val="18"/>
                        </w:rPr>
                      </w:pPr>
                      <w:r>
                        <w:rPr>
                          <w:rFonts w:ascii="Arial MT"/>
                          <w:color w:val="FFFFFF"/>
                          <w:sz w:val="18"/>
                        </w:rPr>
                        <w:t>25 (33.8%)</w:t>
                      </w:r>
                    </w:p>
                  </w:txbxContent>
                </v:textbox>
              </v:shape>
            </w:pict>
          </mc:Fallback>
        </mc:AlternateContent>
      </w:r>
      <w:r>
        <mc:AlternateContent>
          <mc:Choice Requires="wps">
            <w:drawing>
              <wp:anchor distT="0" distB="0" distL="114300" distR="114300" simplePos="0" relativeHeight="251726848" behindDoc="0" locked="0" layoutInCell="1" allowOverlap="1">
                <wp:simplePos x="0" y="0"/>
                <wp:positionH relativeFrom="page">
                  <wp:posOffset>4610100</wp:posOffset>
                </wp:positionH>
                <wp:positionV relativeFrom="paragraph">
                  <wp:posOffset>-153670</wp:posOffset>
                </wp:positionV>
                <wp:extent cx="638175" cy="1352550"/>
                <wp:effectExtent l="0" t="0" r="0" b="0"/>
                <wp:wrapNone/>
                <wp:docPr id="1926427675" name="Text Box 63"/>
                <wp:cNvGraphicFramePr/>
                <a:graphic xmlns:a="http://schemas.openxmlformats.org/drawingml/2006/main">
                  <a:graphicData uri="http://schemas.microsoft.com/office/word/2010/wordprocessingShape">
                    <wps:wsp>
                      <wps:cNvSpPr txBox="1">
                        <a:spLocks noChangeArrowheads="1"/>
                      </wps:cNvSpPr>
                      <wps:spPr bwMode="auto">
                        <a:xfrm>
                          <a:off x="0" y="0"/>
                          <a:ext cx="638175" cy="1352550"/>
                        </a:xfrm>
                        <a:prstGeom prst="rect">
                          <a:avLst/>
                        </a:prstGeom>
                        <a:solidFill>
                          <a:srgbClr val="663AB6"/>
                        </a:solidFill>
                        <a:ln>
                          <a:noFill/>
                        </a:ln>
                        <a:effectLst/>
                      </wps:spPr>
                      <wps:txbx>
                        <w:txbxContent>
                          <w:p w14:paraId="43F968F1">
                            <w:pPr>
                              <w:spacing w:before="14"/>
                              <w:rPr>
                                <w:rFonts w:ascii="Arial MT"/>
                                <w:sz w:val="18"/>
                              </w:rPr>
                            </w:pPr>
                            <w:r>
                              <w:rPr>
                                <w:rFonts w:ascii="Arial MT"/>
                                <w:color w:val="FFFFFF"/>
                                <w:sz w:val="18"/>
                              </w:rPr>
                              <w:t>24 (32.4%)</w:t>
                            </w:r>
                          </w:p>
                        </w:txbxContent>
                      </wps:txbx>
                      <wps:bodyPr rot="0" vert="horz" wrap="square" lIns="0" tIns="0" rIns="0" bIns="0" anchor="t" anchorCtr="0" upright="1">
                        <a:noAutofit/>
                      </wps:bodyPr>
                    </wps:wsp>
                  </a:graphicData>
                </a:graphic>
              </wp:anchor>
            </w:drawing>
          </mc:Choice>
          <mc:Fallback>
            <w:pict>
              <v:shape id="Text Box 63" o:spid="_x0000_s1026" o:spt="202" type="#_x0000_t202" style="position:absolute;left:0pt;margin-left:363pt;margin-top:-12.1pt;height:106.5pt;width:50.25pt;mso-position-horizontal-relative:page;z-index:251726848;mso-width-relative:page;mso-height-relative:page;" fillcolor="#663AB6" filled="t" stroked="f" coordsize="21600,21600" o:gfxdata="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cPIX&#10;2AAAAAsBAAAPAAAAAAAAAAEAIAAAACIAAABkcnMvZG93bnJldi54bWxQSwECFAAUAAAACACHTuJA&#10;GrcPOiECAABFBAAADgAAAAAAAAABACAAAAAnAQAAZHJzL2Uyb0RvYy54bWxQSwUGAAAAAAYABgBZ&#10;AQAAugUAAAAA&#10;">
                <v:fill on="t" focussize="0,0"/>
                <v:stroke on="f"/>
                <v:imagedata o:title=""/>
                <o:lock v:ext="edit" aspectratio="f"/>
                <v:textbox inset="0mm,0mm,0mm,0mm">
                  <w:txbxContent>
                    <w:p w14:paraId="43F968F1">
                      <w:pPr>
                        <w:spacing w:before="14"/>
                        <w:rPr>
                          <w:rFonts w:ascii="Arial MT"/>
                          <w:sz w:val="18"/>
                        </w:rPr>
                      </w:pPr>
                      <w:r>
                        <w:rPr>
                          <w:rFonts w:ascii="Arial MT"/>
                          <w:color w:val="FFFFFF"/>
                          <w:sz w:val="18"/>
                        </w:rPr>
                        <w:t>24 (32.4%)</w:t>
                      </w:r>
                    </w:p>
                  </w:txbxContent>
                </v:textbox>
              </v:shape>
            </w:pict>
          </mc:Fallback>
        </mc:AlternateContent>
      </w:r>
      <w:r>
        <w:rPr>
          <w:rFonts w:ascii="Arial MT" w:hAnsi="Roboto" w:eastAsia="Roboto" w:cs="Roboto"/>
          <w:color w:val="444444"/>
          <w:sz w:val="18"/>
          <w:szCs w:val="22"/>
        </w:rPr>
        <w:t>20</w:t>
      </w:r>
    </w:p>
    <w:p w14:paraId="529F45D1">
      <w:pPr>
        <w:widowControl w:val="0"/>
        <w:autoSpaceDE w:val="0"/>
        <w:autoSpaceDN w:val="0"/>
        <w:rPr>
          <w:rFonts w:ascii="Arial MT" w:hAnsi="Roboto" w:eastAsia="Roboto" w:cs="Roboto"/>
          <w:sz w:val="20"/>
          <w:szCs w:val="21"/>
        </w:rPr>
      </w:pPr>
    </w:p>
    <w:p w14:paraId="4346398B">
      <w:pPr>
        <w:widowControl w:val="0"/>
        <w:autoSpaceDE w:val="0"/>
        <w:autoSpaceDN w:val="0"/>
        <w:rPr>
          <w:rFonts w:ascii="Arial MT" w:hAnsi="Roboto" w:eastAsia="Roboto" w:cs="Roboto"/>
          <w:sz w:val="20"/>
          <w:szCs w:val="21"/>
        </w:rPr>
      </w:pPr>
    </w:p>
    <w:p w14:paraId="781A626F">
      <w:pPr>
        <w:widowControl w:val="0"/>
        <w:autoSpaceDE w:val="0"/>
        <w:autoSpaceDN w:val="0"/>
        <w:spacing w:before="9"/>
        <w:rPr>
          <w:rFonts w:ascii="Arial MT" w:hAnsi="Roboto" w:eastAsia="Roboto" w:cs="Roboto"/>
          <w:sz w:val="19"/>
          <w:szCs w:val="21"/>
        </w:rPr>
      </w:pPr>
    </w:p>
    <w:p w14:paraId="273F2D78">
      <w:pPr>
        <w:widowControl w:val="0"/>
        <w:autoSpaceDE w:val="0"/>
        <w:autoSpaceDN w:val="0"/>
        <w:spacing w:before="1"/>
        <w:rPr>
          <w:rFonts w:ascii="Arial MT" w:hAnsi="Roboto" w:eastAsia="Roboto" w:cs="Roboto"/>
          <w:sz w:val="18"/>
          <w:szCs w:val="22"/>
        </w:rPr>
      </w:pPr>
      <w:r>
        <mc:AlternateContent>
          <mc:Choice Requires="wps">
            <w:drawing>
              <wp:anchor distT="0" distB="0" distL="114300" distR="114300" simplePos="0" relativeHeight="251727872" behindDoc="0" locked="0" layoutInCell="1" allowOverlap="1">
                <wp:simplePos x="0" y="0"/>
                <wp:positionH relativeFrom="page">
                  <wp:posOffset>5638800</wp:posOffset>
                </wp:positionH>
                <wp:positionV relativeFrom="paragraph">
                  <wp:posOffset>-378460</wp:posOffset>
                </wp:positionV>
                <wp:extent cx="638175" cy="1009650"/>
                <wp:effectExtent l="0" t="0" r="0" b="0"/>
                <wp:wrapNone/>
                <wp:docPr id="511464110" name="Text Box 62"/>
                <wp:cNvGraphicFramePr/>
                <a:graphic xmlns:a="http://schemas.openxmlformats.org/drawingml/2006/main">
                  <a:graphicData uri="http://schemas.microsoft.com/office/word/2010/wordprocessingShape">
                    <wps:wsp>
                      <wps:cNvSpPr txBox="1">
                        <a:spLocks noChangeArrowheads="1"/>
                      </wps:cNvSpPr>
                      <wps:spPr bwMode="auto">
                        <a:xfrm>
                          <a:off x="0" y="0"/>
                          <a:ext cx="638175" cy="1009650"/>
                        </a:xfrm>
                        <a:prstGeom prst="rect">
                          <a:avLst/>
                        </a:prstGeom>
                        <a:solidFill>
                          <a:srgbClr val="663AB6"/>
                        </a:solidFill>
                        <a:ln>
                          <a:noFill/>
                        </a:ln>
                        <a:effectLst/>
                      </wps:spPr>
                      <wps:txbx>
                        <w:txbxContent>
                          <w:p w14:paraId="5B971510">
                            <w:pPr>
                              <w:spacing w:before="14"/>
                              <w:rPr>
                                <w:rFonts w:ascii="Arial MT"/>
                                <w:sz w:val="18"/>
                              </w:rPr>
                            </w:pPr>
                            <w:r>
                              <w:rPr>
                                <w:rFonts w:ascii="Arial MT"/>
                                <w:color w:val="FFFFFF"/>
                                <w:sz w:val="18"/>
                              </w:rPr>
                              <w:t>18 (24.3%)</w:t>
                            </w:r>
                          </w:p>
                        </w:txbxContent>
                      </wps:txbx>
                      <wps:bodyPr rot="0" vert="horz" wrap="square" lIns="0" tIns="0" rIns="0" bIns="0" anchor="t" anchorCtr="0" upright="1">
                        <a:noAutofit/>
                      </wps:bodyPr>
                    </wps:wsp>
                  </a:graphicData>
                </a:graphic>
              </wp:anchor>
            </w:drawing>
          </mc:Choice>
          <mc:Fallback>
            <w:pict>
              <v:shape id="Text Box 62" o:spid="_x0000_s1026" o:spt="202" type="#_x0000_t202" style="position:absolute;left:0pt;margin-left:444pt;margin-top:-29.8pt;height:79.5pt;width:50.25pt;mso-position-horizontal-relative:page;z-index:251727872;mso-width-relative:page;mso-height-relative:page;" fillcolor="#663AB6" filled="t" stroked="f" coordsize="21600,21600" o:gfxdata="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2YJg&#10;2AAAAAoBAAAPAAAAAAAAAAEAIAAAACIAAABkcnMvZG93bnJldi54bWxQSwECFAAUAAAACACHTuJA&#10;Mn4KjCECAABEBAAADgAAAAAAAAABACAAAAAnAQAAZHJzL2Uyb0RvYy54bWxQSwUGAAAAAAYABgBZ&#10;AQAAugUAAAAA&#10;">
                <v:fill on="t" focussize="0,0"/>
                <v:stroke on="f"/>
                <v:imagedata o:title=""/>
                <o:lock v:ext="edit" aspectratio="f"/>
                <v:textbox inset="0mm,0mm,0mm,0mm">
                  <w:txbxContent>
                    <w:p w14:paraId="5B971510">
                      <w:pPr>
                        <w:spacing w:before="14"/>
                        <w:rPr>
                          <w:rFonts w:ascii="Arial MT"/>
                          <w:sz w:val="18"/>
                        </w:rPr>
                      </w:pPr>
                      <w:r>
                        <w:rPr>
                          <w:rFonts w:ascii="Arial MT"/>
                          <w:color w:val="FFFFFF"/>
                          <w:sz w:val="18"/>
                        </w:rPr>
                        <w:t>18 (24.3%)</w:t>
                      </w:r>
                    </w:p>
                  </w:txbxContent>
                </v:textbox>
              </v:shape>
            </w:pict>
          </mc:Fallback>
        </mc:AlternateContent>
      </w:r>
      <w:r>
        <w:rPr>
          <w:rFonts w:ascii="Arial MT" w:hAnsi="Roboto" w:eastAsia="Roboto" w:cs="Roboto"/>
          <w:color w:val="444444"/>
          <w:sz w:val="18"/>
          <w:szCs w:val="22"/>
        </w:rPr>
        <w:t>10</w:t>
      </w:r>
    </w:p>
    <w:p w14:paraId="3DC012DC">
      <w:pPr>
        <w:widowControl w:val="0"/>
        <w:autoSpaceDE w:val="0"/>
        <w:autoSpaceDN w:val="0"/>
        <w:spacing w:before="5"/>
        <w:rPr>
          <w:rFonts w:ascii="Arial MT" w:hAnsi="Roboto" w:eastAsia="Roboto" w:cs="Roboto"/>
          <w:sz w:val="27"/>
          <w:szCs w:val="21"/>
        </w:rPr>
      </w:pPr>
    </w:p>
    <w:p w14:paraId="0CA05997">
      <w:pPr>
        <w:widowControl w:val="0"/>
        <w:autoSpaceDE w:val="0"/>
        <w:autoSpaceDN w:val="0"/>
        <w:spacing w:before="95"/>
        <w:rPr>
          <w:rFonts w:ascii="Arial MT" w:hAnsi="Roboto" w:eastAsia="Roboto" w:cs="Roboto"/>
          <w:sz w:val="18"/>
          <w:szCs w:val="22"/>
        </w:rPr>
      </w:pPr>
      <w:r>
        <mc:AlternateContent>
          <mc:Choice Requires="wps">
            <w:drawing>
              <wp:anchor distT="0" distB="0" distL="114300" distR="114300" simplePos="0" relativeHeight="251728896" behindDoc="0" locked="0" layoutInCell="1" allowOverlap="1">
                <wp:simplePos x="0" y="0"/>
                <wp:positionH relativeFrom="page">
                  <wp:posOffset>2543175</wp:posOffset>
                </wp:positionH>
                <wp:positionV relativeFrom="paragraph">
                  <wp:posOffset>-91440</wp:posOffset>
                </wp:positionV>
                <wp:extent cx="638175" cy="390525"/>
                <wp:effectExtent l="0" t="0" r="0" b="0"/>
                <wp:wrapNone/>
                <wp:docPr id="1395993595" name="Text Box 61"/>
                <wp:cNvGraphicFramePr/>
                <a:graphic xmlns:a="http://schemas.openxmlformats.org/drawingml/2006/main">
                  <a:graphicData uri="http://schemas.microsoft.com/office/word/2010/wordprocessingShape">
                    <wps:wsp>
                      <wps:cNvSpPr txBox="1">
                        <a:spLocks noChangeArrowheads="1"/>
                      </wps:cNvSpPr>
                      <wps:spPr bwMode="auto">
                        <a:xfrm>
                          <a:off x="0" y="0"/>
                          <a:ext cx="638175" cy="390525"/>
                        </a:xfrm>
                        <a:prstGeom prst="rect">
                          <a:avLst/>
                        </a:prstGeom>
                        <a:solidFill>
                          <a:srgbClr val="663AB6"/>
                        </a:solidFill>
                        <a:ln>
                          <a:noFill/>
                        </a:ln>
                        <a:effectLst/>
                      </wps:spPr>
                      <wps:txbx>
                        <w:txbxContent>
                          <w:p w14:paraId="56ADC45A">
                            <w:pPr>
                              <w:spacing w:before="14"/>
                              <w:rPr>
                                <w:rFonts w:ascii="Arial MT"/>
                                <w:sz w:val="18"/>
                              </w:rPr>
                            </w:pPr>
                            <w:r>
                              <w:rPr>
                                <w:rFonts w:ascii="Arial MT"/>
                                <w:color w:val="FFFFFF"/>
                                <w:sz w:val="18"/>
                              </w:rPr>
                              <w:t>7 (9.5%)</w:t>
                            </w:r>
                          </w:p>
                        </w:txbxContent>
                      </wps:txbx>
                      <wps:bodyPr rot="0" vert="horz" wrap="square" lIns="0" tIns="0" rIns="0" bIns="0" anchor="t" anchorCtr="0" upright="1">
                        <a:noAutofit/>
                      </wps:bodyPr>
                    </wps:wsp>
                  </a:graphicData>
                </a:graphic>
              </wp:anchor>
            </w:drawing>
          </mc:Choice>
          <mc:Fallback>
            <w:pict>
              <v:shape id="Text Box 61" o:spid="_x0000_s1026" o:spt="202" type="#_x0000_t202" style="position:absolute;left:0pt;margin-left:200.25pt;margin-top:-7.2pt;height:30.75pt;width:50.25pt;mso-position-horizontal-relative:page;z-index:251728896;mso-width-relative:page;mso-height-relative:page;" fillcolor="#663AB6" filled="t" stroked="f" coordsize="21600,21600" o:gfxdata="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yhom1gAA&#10;AAoBAAAPAAAAAAAAAAEAIAAAACIAAABkcnMvZG93bnJldi54bWxQSwECFAAUAAAACACHTuJAxHrV&#10;1iACAABEBAAADgAAAAAAAAABACAAAAAlAQAAZHJzL2Uyb0RvYy54bWxQSwUGAAAAAAYABgBZAQAA&#10;twUAAAAA&#10;">
                <v:fill on="t" focussize="0,0"/>
                <v:stroke on="f"/>
                <v:imagedata o:title=""/>
                <o:lock v:ext="edit" aspectratio="f"/>
                <v:textbox inset="0mm,0mm,0mm,0mm">
                  <w:txbxContent>
                    <w:p w14:paraId="56ADC45A">
                      <w:pPr>
                        <w:spacing w:before="14"/>
                        <w:rPr>
                          <w:rFonts w:ascii="Arial MT"/>
                          <w:sz w:val="18"/>
                        </w:rPr>
                      </w:pPr>
                      <w:r>
                        <w:rPr>
                          <w:rFonts w:ascii="Arial MT"/>
                          <w:color w:val="FFFFFF"/>
                          <w:sz w:val="18"/>
                        </w:rPr>
                        <w:t>7 (9.5%)</w:t>
                      </w:r>
                    </w:p>
                  </w:txbxContent>
                </v:textbox>
              </v:shape>
            </w:pict>
          </mc:Fallback>
        </mc:AlternateContent>
      </w:r>
      <w:r>
        <w:rPr>
          <w:rFonts w:ascii="Arial MT" w:hAnsi="Roboto" w:eastAsia="Roboto" w:cs="Roboto"/>
          <w:color w:val="232327"/>
          <w:sz w:val="18"/>
          <w:szCs w:val="22"/>
        </w:rPr>
        <w:t xml:space="preserve">0 </w:t>
      </w:r>
      <w:r>
        <w:rPr>
          <w:rFonts w:ascii="Arial MT" w:hAnsi="Roboto" w:eastAsia="Roboto" w:cs="Roboto"/>
          <w:sz w:val="18"/>
          <w:szCs w:val="22"/>
        </w:rPr>
        <w:t>(0%)</w:t>
      </w:r>
    </w:p>
    <w:p w14:paraId="7E99BD42">
      <w:pPr>
        <w:widowControl w:val="0"/>
        <w:autoSpaceDE w:val="0"/>
        <w:autoSpaceDN w:val="0"/>
        <w:spacing w:before="70" w:line="205" w:lineRule="exact"/>
        <w:rPr>
          <w:rFonts w:ascii="Arial MT" w:hAnsi="Roboto" w:eastAsia="Roboto" w:cs="Roboto"/>
          <w:sz w:val="18"/>
          <w:szCs w:val="22"/>
        </w:rPr>
      </w:pPr>
      <w:r>
        <w:rPr>
          <w:rFonts w:ascii="Arial MT" w:hAnsi="Roboto" w:eastAsia="Roboto" w:cs="Roboto"/>
          <w:color w:val="444444"/>
          <w:sz w:val="18"/>
          <w:szCs w:val="22"/>
        </w:rPr>
        <w:t>0</w:t>
      </w:r>
    </w:p>
    <w:p w14:paraId="6AFE9126">
      <w:pPr>
        <w:widowControl w:val="0"/>
        <w:tabs>
          <w:tab w:val="left" w:pos="3421"/>
          <w:tab w:val="left" w:pos="5044"/>
          <w:tab w:val="left" w:pos="6667"/>
          <w:tab w:val="left" w:pos="8290"/>
        </w:tabs>
        <w:autoSpaceDE w:val="0"/>
        <w:autoSpaceDN w:val="0"/>
        <w:spacing w:line="205"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43134887">
      <w:pPr>
        <w:widowControl w:val="0"/>
        <w:autoSpaceDE w:val="0"/>
        <w:autoSpaceDN w:val="0"/>
        <w:spacing w:line="205" w:lineRule="exact"/>
        <w:rPr>
          <w:rFonts w:ascii="Arial MT" w:hAnsi="Roboto" w:eastAsia="Roboto" w:cs="Roboto"/>
          <w:sz w:val="18"/>
          <w:szCs w:val="22"/>
        </w:rPr>
        <w:sectPr>
          <w:type w:val="continuous"/>
          <w:pgSz w:w="11900" w:h="16840"/>
          <w:pgMar w:top="480" w:right="1280" w:bottom="1680" w:left="1040" w:header="720" w:footer="720" w:gutter="0"/>
          <w:cols w:space="720" w:num="1"/>
        </w:sectPr>
      </w:pPr>
    </w:p>
    <w:p w14:paraId="55D24845">
      <w:pPr>
        <w:widowControl w:val="0"/>
        <w:autoSpaceDE w:val="0"/>
        <w:autoSpaceDN w:val="0"/>
        <w:spacing w:before="4"/>
        <w:rPr>
          <w:rFonts w:ascii="Arial MT" w:hAnsi="Roboto" w:eastAsia="Roboto" w:cs="Roboto"/>
          <w:sz w:val="12"/>
          <w:szCs w:val="21"/>
        </w:rPr>
      </w:pPr>
      <w:r>
        <w:rPr>
          <w:rFonts w:ascii="Roboto" w:hAnsi="Roboto" w:eastAsia="Roboto" w:cs="Roboto"/>
          <w:sz w:val="21"/>
          <w:szCs w:val="21"/>
        </w:rPr>
        <w:drawing>
          <wp:anchor distT="0" distB="0" distL="0" distR="0" simplePos="0" relativeHeight="251729920" behindDoc="1" locked="0" layoutInCell="1" allowOverlap="1">
            <wp:simplePos x="0" y="0"/>
            <wp:positionH relativeFrom="page">
              <wp:posOffset>733425</wp:posOffset>
            </wp:positionH>
            <wp:positionV relativeFrom="page">
              <wp:posOffset>352425</wp:posOffset>
            </wp:positionV>
            <wp:extent cx="6276975" cy="998220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a:picLocks noChangeAspect="1"/>
                    </pic:cNvPicPr>
                  </pic:nvPicPr>
                  <pic:blipFill>
                    <a:blip r:embed="rId115"/>
                    <a:stretch>
                      <a:fillRect/>
                    </a:stretch>
                  </pic:blipFill>
                  <pic:spPr>
                    <a:xfrm>
                      <a:off x="0" y="0"/>
                      <a:ext cx="6276975" cy="9982200"/>
                    </a:xfrm>
                    <a:prstGeom prst="rect">
                      <a:avLst/>
                    </a:prstGeom>
                    <a:noFill/>
                    <a:ln>
                      <a:noFill/>
                    </a:ln>
                  </pic:spPr>
                </pic:pic>
              </a:graphicData>
            </a:graphic>
          </wp:anchor>
        </w:drawing>
      </w:r>
    </w:p>
    <w:p w14:paraId="7F2B681D">
      <w:pPr>
        <w:widowControl w:val="0"/>
        <w:autoSpaceDE w:val="0"/>
        <w:autoSpaceDN w:val="0"/>
        <w:spacing w:before="94"/>
        <w:jc w:val="both"/>
        <w:outlineLvl w:val="0"/>
        <w:rPr>
          <w:rFonts w:eastAsia="Roboto"/>
        </w:rPr>
      </w:pPr>
      <w:r>
        <w:rPr>
          <w:rFonts w:eastAsia="Roboto"/>
          <w:color w:val="202024"/>
        </w:rPr>
        <w:t>Please</w:t>
      </w:r>
      <w:r>
        <w:rPr>
          <w:rFonts w:eastAsia="Roboto"/>
          <w:color w:val="202024"/>
          <w:spacing w:val="11"/>
        </w:rPr>
        <w:t xml:space="preserve"> </w:t>
      </w:r>
      <w:r>
        <w:rPr>
          <w:rFonts w:eastAsia="Roboto"/>
          <w:color w:val="202024"/>
        </w:rPr>
        <w:t>add</w:t>
      </w:r>
      <w:r>
        <w:rPr>
          <w:rFonts w:eastAsia="Roboto"/>
          <w:color w:val="202024"/>
          <w:spacing w:val="12"/>
        </w:rPr>
        <w:t xml:space="preserve"> </w:t>
      </w:r>
      <w:r>
        <w:rPr>
          <w:rFonts w:eastAsia="Roboto"/>
          <w:color w:val="202024"/>
        </w:rPr>
        <w:t>any</w:t>
      </w:r>
      <w:r>
        <w:rPr>
          <w:rFonts w:eastAsia="Roboto"/>
          <w:color w:val="202024"/>
          <w:spacing w:val="12"/>
        </w:rPr>
        <w:t xml:space="preserve"> </w:t>
      </w:r>
      <w:r>
        <w:rPr>
          <w:rFonts w:eastAsia="Roboto"/>
          <w:color w:val="202024"/>
        </w:rPr>
        <w:t>other</w:t>
      </w:r>
      <w:r>
        <w:rPr>
          <w:rFonts w:eastAsia="Roboto"/>
          <w:color w:val="202024"/>
          <w:spacing w:val="11"/>
        </w:rPr>
        <w:t xml:space="preserve"> </w:t>
      </w:r>
      <w:r>
        <w:rPr>
          <w:rFonts w:eastAsia="Roboto"/>
          <w:color w:val="202024"/>
        </w:rPr>
        <w:t>comments</w:t>
      </w:r>
      <w:r>
        <w:rPr>
          <w:rFonts w:eastAsia="Roboto"/>
          <w:color w:val="202024"/>
          <w:spacing w:val="12"/>
        </w:rPr>
        <w:t xml:space="preserve"> </w:t>
      </w:r>
      <w:r>
        <w:rPr>
          <w:rFonts w:eastAsia="Roboto"/>
          <w:color w:val="202024"/>
        </w:rPr>
        <w:t>below_4:</w:t>
      </w:r>
    </w:p>
    <w:p w14:paraId="3F4613B3">
      <w:pPr>
        <w:widowControl w:val="0"/>
        <w:autoSpaceDE w:val="0"/>
        <w:autoSpaceDN w:val="0"/>
        <w:spacing w:before="174"/>
        <w:jc w:val="both"/>
        <w:rPr>
          <w:rFonts w:eastAsia="Roboto"/>
        </w:rPr>
      </w:pPr>
      <w:r>
        <w:rPr>
          <w:rFonts w:eastAsia="Roboto"/>
          <w:color w:val="202024"/>
        </w:rPr>
        <w:t>14</w:t>
      </w:r>
      <w:r>
        <w:rPr>
          <w:rFonts w:eastAsia="Roboto"/>
          <w:color w:val="202024"/>
          <w:spacing w:val="20"/>
        </w:rPr>
        <w:t xml:space="preserve"> </w:t>
      </w:r>
      <w:r>
        <w:rPr>
          <w:rFonts w:eastAsia="Roboto"/>
          <w:color w:val="202024"/>
        </w:rPr>
        <w:t>responses</w:t>
      </w:r>
    </w:p>
    <w:p w14:paraId="7E6E9AE8">
      <w:pPr>
        <w:widowControl w:val="0"/>
        <w:autoSpaceDE w:val="0"/>
        <w:autoSpaceDN w:val="0"/>
        <w:spacing w:before="8"/>
        <w:jc w:val="both"/>
        <w:rPr>
          <w:rFonts w:eastAsia="Roboto"/>
        </w:rPr>
      </w:pPr>
    </w:p>
    <w:p w14:paraId="7439B129">
      <w:pPr>
        <w:widowControl w:val="0"/>
        <w:autoSpaceDE w:val="0"/>
        <w:autoSpaceDN w:val="0"/>
        <w:spacing w:line="660" w:lineRule="atLeast"/>
        <w:ind w:right="754"/>
        <w:jc w:val="both"/>
        <w:rPr>
          <w:rFonts w:eastAsia="Roboto"/>
        </w:rPr>
      </w:pPr>
      <w:r>
        <w:rPr>
          <w:rFonts w:eastAsia="Roboto"/>
          <w:color w:val="202024"/>
        </w:rPr>
        <w:t>Most</w:t>
      </w:r>
      <w:r>
        <w:rPr>
          <w:rFonts w:eastAsia="Roboto"/>
          <w:color w:val="202024"/>
          <w:spacing w:val="12"/>
        </w:rPr>
        <w:t xml:space="preserve"> </w:t>
      </w:r>
      <w:r>
        <w:rPr>
          <w:rFonts w:eastAsia="Roboto"/>
          <w:color w:val="202024"/>
        </w:rPr>
        <w:t>of</w:t>
      </w:r>
      <w:r>
        <w:rPr>
          <w:rFonts w:eastAsia="Roboto"/>
          <w:color w:val="202024"/>
          <w:spacing w:val="12"/>
        </w:rPr>
        <w:t xml:space="preserve"> </w:t>
      </w:r>
      <w:r>
        <w:rPr>
          <w:rFonts w:eastAsia="Roboto"/>
          <w:color w:val="202024"/>
        </w:rPr>
        <w:t>the</w:t>
      </w:r>
      <w:r>
        <w:rPr>
          <w:rFonts w:eastAsia="Roboto"/>
          <w:color w:val="202024"/>
          <w:spacing w:val="13"/>
        </w:rPr>
        <w:t xml:space="preserve"> </w:t>
      </w:r>
      <w:r>
        <w:rPr>
          <w:rFonts w:eastAsia="Roboto"/>
          <w:color w:val="202024"/>
        </w:rPr>
        <w:t>decisions</w:t>
      </w:r>
      <w:r>
        <w:rPr>
          <w:rFonts w:eastAsia="Roboto"/>
          <w:color w:val="202024"/>
          <w:spacing w:val="12"/>
        </w:rPr>
        <w:t xml:space="preserve"> </w:t>
      </w:r>
      <w:r>
        <w:rPr>
          <w:rFonts w:eastAsia="Roboto"/>
          <w:color w:val="202024"/>
        </w:rPr>
        <w:t>so</w:t>
      </w:r>
      <w:r>
        <w:rPr>
          <w:rFonts w:eastAsia="Roboto"/>
          <w:color w:val="202024"/>
          <w:spacing w:val="12"/>
        </w:rPr>
        <w:t xml:space="preserve"> </w:t>
      </w:r>
      <w:r>
        <w:rPr>
          <w:rFonts w:eastAsia="Roboto"/>
          <w:color w:val="202024"/>
        </w:rPr>
        <w:t>far</w:t>
      </w:r>
      <w:r>
        <w:rPr>
          <w:rFonts w:eastAsia="Roboto"/>
          <w:color w:val="202024"/>
          <w:spacing w:val="13"/>
        </w:rPr>
        <w:t xml:space="preserve"> </w:t>
      </w:r>
      <w:r>
        <w:rPr>
          <w:rFonts w:eastAsia="Roboto"/>
          <w:color w:val="202024"/>
        </w:rPr>
        <w:t>lacked</w:t>
      </w:r>
      <w:r>
        <w:rPr>
          <w:rFonts w:eastAsia="Roboto"/>
          <w:color w:val="202024"/>
          <w:spacing w:val="12"/>
        </w:rPr>
        <w:t xml:space="preserve"> </w:t>
      </w:r>
      <w:r>
        <w:rPr>
          <w:rFonts w:eastAsia="Roboto"/>
          <w:color w:val="202024"/>
        </w:rPr>
        <w:t>well</w:t>
      </w:r>
      <w:r>
        <w:rPr>
          <w:rFonts w:eastAsia="Roboto"/>
          <w:color w:val="202024"/>
          <w:spacing w:val="13"/>
        </w:rPr>
        <w:t xml:space="preserve"> </w:t>
      </w:r>
      <w:r>
        <w:rPr>
          <w:rFonts w:eastAsia="Roboto"/>
          <w:color w:val="202024"/>
        </w:rPr>
        <w:t>defined</w:t>
      </w:r>
      <w:r>
        <w:rPr>
          <w:rFonts w:eastAsia="Roboto"/>
          <w:color w:val="202024"/>
          <w:spacing w:val="12"/>
        </w:rPr>
        <w:t xml:space="preserve"> </w:t>
      </w:r>
      <w:r>
        <w:rPr>
          <w:rFonts w:eastAsia="Roboto"/>
          <w:color w:val="202024"/>
        </w:rPr>
        <w:t>legal</w:t>
      </w:r>
      <w:r>
        <w:rPr>
          <w:rFonts w:eastAsia="Roboto"/>
          <w:color w:val="202024"/>
          <w:spacing w:val="12"/>
        </w:rPr>
        <w:t xml:space="preserve"> </w:t>
      </w:r>
      <w:r>
        <w:rPr>
          <w:rFonts w:eastAsia="Roboto"/>
          <w:color w:val="202024"/>
        </w:rPr>
        <w:t>basis</w:t>
      </w:r>
      <w:r>
        <w:rPr>
          <w:rFonts w:eastAsia="Roboto"/>
          <w:color w:val="202024"/>
          <w:spacing w:val="13"/>
        </w:rPr>
        <w:t xml:space="preserve"> </w:t>
      </w:r>
      <w:r>
        <w:rPr>
          <w:rFonts w:eastAsia="Roboto"/>
          <w:color w:val="202024"/>
        </w:rPr>
        <w:t>and</w:t>
      </w:r>
      <w:r>
        <w:rPr>
          <w:rFonts w:eastAsia="Roboto"/>
          <w:color w:val="202024"/>
          <w:spacing w:val="12"/>
        </w:rPr>
        <w:t xml:space="preserve"> </w:t>
      </w:r>
      <w:r>
        <w:rPr>
          <w:rFonts w:eastAsia="Roboto"/>
          <w:color w:val="202024"/>
        </w:rPr>
        <w:t>creates</w:t>
      </w:r>
      <w:r>
        <w:rPr>
          <w:rFonts w:eastAsia="Roboto"/>
          <w:color w:val="202024"/>
          <w:spacing w:val="13"/>
        </w:rPr>
        <w:t xml:space="preserve"> </w:t>
      </w:r>
      <w:r>
        <w:rPr>
          <w:rFonts w:eastAsia="Roboto"/>
          <w:color w:val="202024"/>
        </w:rPr>
        <w:t>more</w:t>
      </w:r>
      <w:r>
        <w:rPr>
          <w:rFonts w:eastAsia="Roboto"/>
          <w:color w:val="202024"/>
          <w:spacing w:val="12"/>
        </w:rPr>
        <w:t xml:space="preserve"> </w:t>
      </w:r>
      <w:r>
        <w:rPr>
          <w:rFonts w:eastAsia="Roboto"/>
          <w:color w:val="202024"/>
        </w:rPr>
        <w:t>uncertainty</w:t>
      </w:r>
      <w:r>
        <w:rPr>
          <w:rFonts w:eastAsia="Roboto"/>
          <w:color w:val="202024"/>
          <w:spacing w:val="-49"/>
        </w:rPr>
        <w:t xml:space="preserve"> </w:t>
      </w:r>
      <w:r>
        <w:rPr>
          <w:rFonts w:eastAsia="Roboto"/>
          <w:color w:val="202024"/>
        </w:rPr>
        <w:t>Our</w:t>
      </w:r>
      <w:r>
        <w:rPr>
          <w:rFonts w:eastAsia="Roboto"/>
          <w:color w:val="202024"/>
          <w:spacing w:val="6"/>
        </w:rPr>
        <w:t xml:space="preserve"> </w:t>
      </w:r>
      <w:r>
        <w:rPr>
          <w:rFonts w:eastAsia="Roboto"/>
          <w:color w:val="202024"/>
        </w:rPr>
        <w:t>Tax</w:t>
      </w:r>
      <w:r>
        <w:rPr>
          <w:rFonts w:eastAsia="Roboto"/>
          <w:color w:val="202024"/>
          <w:spacing w:val="11"/>
        </w:rPr>
        <w:t xml:space="preserve"> </w:t>
      </w:r>
      <w:r>
        <w:rPr>
          <w:rFonts w:eastAsia="Roboto"/>
          <w:color w:val="202024"/>
        </w:rPr>
        <w:t>Appeal</w:t>
      </w:r>
      <w:r>
        <w:rPr>
          <w:rFonts w:eastAsia="Roboto"/>
          <w:color w:val="202024"/>
          <w:spacing w:val="6"/>
        </w:rPr>
        <w:t xml:space="preserve"> </w:t>
      </w:r>
      <w:r>
        <w:rPr>
          <w:rFonts w:eastAsia="Roboto"/>
          <w:color w:val="202024"/>
        </w:rPr>
        <w:t>Tribunal(s)</w:t>
      </w:r>
      <w:r>
        <w:rPr>
          <w:rFonts w:eastAsia="Roboto"/>
          <w:color w:val="202024"/>
          <w:spacing w:val="11"/>
        </w:rPr>
        <w:t xml:space="preserve"> </w:t>
      </w:r>
      <w:r>
        <w:rPr>
          <w:rFonts w:eastAsia="Roboto"/>
          <w:color w:val="202024"/>
        </w:rPr>
        <w:t>is</w:t>
      </w:r>
      <w:r>
        <w:rPr>
          <w:rFonts w:eastAsia="Roboto"/>
          <w:color w:val="202024"/>
          <w:spacing w:val="11"/>
        </w:rPr>
        <w:t xml:space="preserve"> </w:t>
      </w:r>
      <w:r>
        <w:rPr>
          <w:rFonts w:eastAsia="Roboto"/>
          <w:color w:val="202024"/>
        </w:rPr>
        <w:t>generally</w:t>
      </w:r>
      <w:r>
        <w:rPr>
          <w:rFonts w:eastAsia="Roboto"/>
          <w:color w:val="202024"/>
          <w:spacing w:val="11"/>
        </w:rPr>
        <w:t xml:space="preserve"> </w:t>
      </w:r>
      <w:r>
        <w:rPr>
          <w:rFonts w:eastAsia="Roboto"/>
          <w:color w:val="202024"/>
        </w:rPr>
        <w:t>speaking,</w:t>
      </w:r>
      <w:r>
        <w:rPr>
          <w:rFonts w:eastAsia="Roboto"/>
          <w:color w:val="202024"/>
          <w:spacing w:val="11"/>
        </w:rPr>
        <w:t xml:space="preserve"> </w:t>
      </w:r>
      <w:r>
        <w:rPr>
          <w:rFonts w:eastAsia="Roboto"/>
          <w:color w:val="202024"/>
        </w:rPr>
        <w:t>more</w:t>
      </w:r>
      <w:r>
        <w:rPr>
          <w:rFonts w:eastAsia="Roboto"/>
          <w:color w:val="202024"/>
          <w:spacing w:val="11"/>
        </w:rPr>
        <w:t xml:space="preserve"> </w:t>
      </w:r>
      <w:r>
        <w:rPr>
          <w:rFonts w:eastAsia="Roboto"/>
          <w:color w:val="202024"/>
        </w:rPr>
        <w:t>efficient</w:t>
      </w:r>
      <w:r>
        <w:rPr>
          <w:rFonts w:eastAsia="Roboto"/>
          <w:color w:val="202024"/>
          <w:spacing w:val="11"/>
        </w:rPr>
        <w:t xml:space="preserve"> </w:t>
      </w:r>
      <w:r>
        <w:rPr>
          <w:rFonts w:eastAsia="Roboto"/>
          <w:color w:val="202024"/>
        </w:rPr>
        <w:t>then</w:t>
      </w:r>
      <w:r>
        <w:rPr>
          <w:rFonts w:eastAsia="Roboto"/>
          <w:color w:val="202024"/>
          <w:spacing w:val="10"/>
        </w:rPr>
        <w:t xml:space="preserve"> </w:t>
      </w:r>
      <w:r>
        <w:rPr>
          <w:rFonts w:eastAsia="Roboto"/>
          <w:color w:val="202024"/>
        </w:rPr>
        <w:t>the</w:t>
      </w:r>
      <w:r>
        <w:rPr>
          <w:rFonts w:eastAsia="Roboto"/>
          <w:color w:val="202024"/>
          <w:spacing w:val="11"/>
        </w:rPr>
        <w:t xml:space="preserve"> </w:t>
      </w:r>
      <w:r>
        <w:rPr>
          <w:rFonts w:eastAsia="Roboto"/>
          <w:color w:val="202024"/>
        </w:rPr>
        <w:t>general</w:t>
      </w:r>
      <w:r>
        <w:rPr>
          <w:rFonts w:eastAsia="Roboto"/>
          <w:color w:val="202024"/>
          <w:spacing w:val="11"/>
        </w:rPr>
        <w:t xml:space="preserve"> </w:t>
      </w:r>
      <w:r>
        <w:rPr>
          <w:rFonts w:eastAsia="Roboto"/>
          <w:color w:val="202024"/>
        </w:rPr>
        <w:t>courts</w:t>
      </w:r>
      <w:r>
        <w:rPr>
          <w:rFonts w:eastAsia="Roboto"/>
          <w:color w:val="202024"/>
          <w:spacing w:val="11"/>
        </w:rPr>
        <w:t xml:space="preserve"> </w:t>
      </w:r>
      <w:r>
        <w:rPr>
          <w:rFonts w:eastAsia="Roboto"/>
          <w:color w:val="202024"/>
        </w:rPr>
        <w:t>in</w:t>
      </w:r>
    </w:p>
    <w:p w14:paraId="644E6DE6">
      <w:pPr>
        <w:widowControl w:val="0"/>
        <w:autoSpaceDE w:val="0"/>
        <w:autoSpaceDN w:val="0"/>
        <w:spacing w:before="48" w:line="285" w:lineRule="auto"/>
        <w:jc w:val="both"/>
        <w:rPr>
          <w:rFonts w:eastAsia="Roboto"/>
        </w:rPr>
      </w:pPr>
      <w:r>
        <w:rPr>
          <w:rFonts w:eastAsia="Roboto"/>
          <w:color w:val="202024"/>
        </w:rPr>
        <w:t>terms</w:t>
      </w:r>
      <w:r>
        <w:rPr>
          <w:rFonts w:eastAsia="Roboto"/>
          <w:color w:val="202024"/>
          <w:spacing w:val="10"/>
        </w:rPr>
        <w:t xml:space="preserve"> </w:t>
      </w:r>
      <w:r>
        <w:rPr>
          <w:rFonts w:eastAsia="Roboto"/>
          <w:color w:val="202024"/>
        </w:rPr>
        <w:t>of</w:t>
      </w:r>
      <w:r>
        <w:rPr>
          <w:rFonts w:eastAsia="Roboto"/>
          <w:color w:val="202024"/>
          <w:spacing w:val="10"/>
        </w:rPr>
        <w:t xml:space="preserve"> </w:t>
      </w:r>
      <w:r>
        <w:rPr>
          <w:rFonts w:eastAsia="Roboto"/>
          <w:color w:val="202024"/>
        </w:rPr>
        <w:t>both</w:t>
      </w:r>
      <w:r>
        <w:rPr>
          <w:rFonts w:eastAsia="Roboto"/>
          <w:color w:val="202024"/>
          <w:spacing w:val="11"/>
        </w:rPr>
        <w:t xml:space="preserve"> </w:t>
      </w:r>
      <w:r>
        <w:rPr>
          <w:rFonts w:eastAsia="Roboto"/>
          <w:color w:val="202024"/>
        </w:rPr>
        <w:t>speed</w:t>
      </w:r>
      <w:r>
        <w:rPr>
          <w:rFonts w:eastAsia="Roboto"/>
          <w:color w:val="202024"/>
          <w:spacing w:val="10"/>
        </w:rPr>
        <w:t xml:space="preserve"> </w:t>
      </w:r>
      <w:r>
        <w:rPr>
          <w:rFonts w:eastAsia="Roboto"/>
          <w:color w:val="202024"/>
        </w:rPr>
        <w:t>and</w:t>
      </w:r>
      <w:r>
        <w:rPr>
          <w:rFonts w:eastAsia="Roboto"/>
          <w:color w:val="202024"/>
          <w:spacing w:val="10"/>
        </w:rPr>
        <w:t xml:space="preserve"> </w:t>
      </w:r>
      <w:r>
        <w:rPr>
          <w:rFonts w:eastAsia="Roboto"/>
          <w:color w:val="202024"/>
        </w:rPr>
        <w:t>clarity</w:t>
      </w:r>
      <w:r>
        <w:rPr>
          <w:rFonts w:eastAsia="Roboto"/>
          <w:color w:val="202024"/>
          <w:spacing w:val="11"/>
        </w:rPr>
        <w:t xml:space="preserve"> </w:t>
      </w:r>
      <w:r>
        <w:rPr>
          <w:rFonts w:eastAsia="Roboto"/>
          <w:color w:val="202024"/>
        </w:rPr>
        <w:t>of</w:t>
      </w:r>
      <w:r>
        <w:rPr>
          <w:rFonts w:eastAsia="Roboto"/>
          <w:color w:val="202024"/>
          <w:spacing w:val="10"/>
        </w:rPr>
        <w:t xml:space="preserve"> </w:t>
      </w:r>
      <w:r>
        <w:rPr>
          <w:rFonts w:eastAsia="Roboto"/>
          <w:color w:val="202024"/>
        </w:rPr>
        <w:t>decisions.</w:t>
      </w:r>
      <w:r>
        <w:rPr>
          <w:rFonts w:eastAsia="Roboto"/>
          <w:color w:val="202024"/>
          <w:spacing w:val="10"/>
        </w:rPr>
        <w:t xml:space="preserve"> </w:t>
      </w:r>
      <w:r>
        <w:rPr>
          <w:rFonts w:eastAsia="Roboto"/>
          <w:color w:val="202024"/>
        </w:rPr>
        <w:t>However,</w:t>
      </w:r>
      <w:r>
        <w:rPr>
          <w:rFonts w:eastAsia="Roboto"/>
          <w:color w:val="202024"/>
          <w:spacing w:val="11"/>
        </w:rPr>
        <w:t xml:space="preserve"> </w:t>
      </w:r>
      <w:r>
        <w:rPr>
          <w:rFonts w:eastAsia="Roboto"/>
          <w:color w:val="202024"/>
        </w:rPr>
        <w:t>in</w:t>
      </w:r>
      <w:r>
        <w:rPr>
          <w:rFonts w:eastAsia="Roboto"/>
          <w:color w:val="202024"/>
          <w:spacing w:val="10"/>
        </w:rPr>
        <w:t xml:space="preserve"> </w:t>
      </w:r>
      <w:r>
        <w:rPr>
          <w:rFonts w:eastAsia="Roboto"/>
          <w:color w:val="202024"/>
        </w:rPr>
        <w:t>a</w:t>
      </w:r>
      <w:r>
        <w:rPr>
          <w:rFonts w:eastAsia="Roboto"/>
          <w:color w:val="202024"/>
          <w:spacing w:val="11"/>
        </w:rPr>
        <w:t xml:space="preserve"> </w:t>
      </w:r>
      <w:r>
        <w:rPr>
          <w:rFonts w:eastAsia="Roboto"/>
          <w:color w:val="202024"/>
        </w:rPr>
        <w:t>few</w:t>
      </w:r>
      <w:r>
        <w:rPr>
          <w:rFonts w:eastAsia="Roboto"/>
          <w:color w:val="202024"/>
          <w:spacing w:val="10"/>
        </w:rPr>
        <w:t xml:space="preserve"> </w:t>
      </w:r>
      <w:r>
        <w:rPr>
          <w:rFonts w:eastAsia="Roboto"/>
          <w:color w:val="202024"/>
        </w:rPr>
        <w:t>cases,</w:t>
      </w:r>
      <w:r>
        <w:rPr>
          <w:rFonts w:eastAsia="Roboto"/>
          <w:color w:val="202024"/>
          <w:spacing w:val="10"/>
        </w:rPr>
        <w:t xml:space="preserve"> </w:t>
      </w:r>
      <w:r>
        <w:rPr>
          <w:rFonts w:eastAsia="Roboto"/>
          <w:color w:val="202024"/>
        </w:rPr>
        <w:t>there</w:t>
      </w:r>
      <w:r>
        <w:rPr>
          <w:rFonts w:eastAsia="Roboto"/>
          <w:color w:val="202024"/>
          <w:spacing w:val="11"/>
        </w:rPr>
        <w:t xml:space="preserve"> </w:t>
      </w:r>
      <w:r>
        <w:rPr>
          <w:rFonts w:eastAsia="Roboto"/>
          <w:color w:val="202024"/>
        </w:rPr>
        <w:t>has</w:t>
      </w:r>
      <w:r>
        <w:rPr>
          <w:rFonts w:eastAsia="Roboto"/>
          <w:color w:val="202024"/>
          <w:spacing w:val="10"/>
        </w:rPr>
        <w:t xml:space="preserve"> </w:t>
      </w:r>
      <w:r>
        <w:rPr>
          <w:rFonts w:eastAsia="Roboto"/>
          <w:color w:val="202024"/>
        </w:rPr>
        <w:t>been</w:t>
      </w:r>
      <w:r>
        <w:rPr>
          <w:rFonts w:eastAsia="Roboto"/>
          <w:color w:val="202024"/>
          <w:spacing w:val="10"/>
        </w:rPr>
        <w:t xml:space="preserve"> </w:t>
      </w:r>
      <w:r>
        <w:rPr>
          <w:rFonts w:eastAsia="Roboto"/>
          <w:color w:val="202024"/>
        </w:rPr>
        <w:t>room</w:t>
      </w:r>
      <w:r>
        <w:rPr>
          <w:rFonts w:eastAsia="Roboto"/>
          <w:color w:val="202024"/>
          <w:spacing w:val="11"/>
        </w:rPr>
        <w:t xml:space="preserve"> </w:t>
      </w:r>
      <w:r>
        <w:rPr>
          <w:rFonts w:eastAsia="Roboto"/>
          <w:color w:val="202024"/>
        </w:rPr>
        <w:t>for</w:t>
      </w:r>
      <w:r>
        <w:rPr>
          <w:rFonts w:eastAsia="Roboto"/>
          <w:color w:val="202024"/>
          <w:spacing w:val="-49"/>
        </w:rPr>
        <w:t xml:space="preserve"> </w:t>
      </w:r>
      <w:r>
        <w:rPr>
          <w:rFonts w:eastAsia="Roboto"/>
          <w:color w:val="202024"/>
        </w:rPr>
        <w:t>lingering</w:t>
      </w:r>
      <w:r>
        <w:rPr>
          <w:rFonts w:eastAsia="Roboto"/>
          <w:color w:val="202024"/>
          <w:spacing w:val="7"/>
        </w:rPr>
        <w:t xml:space="preserve"> </w:t>
      </w:r>
      <w:r>
        <w:rPr>
          <w:rFonts w:eastAsia="Roboto"/>
          <w:color w:val="202024"/>
        </w:rPr>
        <w:t>doubt</w:t>
      </w:r>
      <w:r>
        <w:rPr>
          <w:rFonts w:eastAsia="Roboto"/>
          <w:color w:val="202024"/>
          <w:spacing w:val="8"/>
        </w:rPr>
        <w:t xml:space="preserve"> </w:t>
      </w:r>
      <w:r>
        <w:rPr>
          <w:rFonts w:eastAsia="Roboto"/>
          <w:color w:val="202024"/>
        </w:rPr>
        <w:t>on</w:t>
      </w:r>
      <w:r>
        <w:rPr>
          <w:rFonts w:eastAsia="Roboto"/>
          <w:color w:val="202024"/>
          <w:spacing w:val="8"/>
        </w:rPr>
        <w:t xml:space="preserve"> </w:t>
      </w:r>
      <w:r>
        <w:rPr>
          <w:rFonts w:eastAsia="Roboto"/>
          <w:color w:val="202024"/>
        </w:rPr>
        <w:t>the</w:t>
      </w:r>
      <w:r>
        <w:rPr>
          <w:rFonts w:eastAsia="Roboto"/>
          <w:color w:val="202024"/>
          <w:spacing w:val="7"/>
        </w:rPr>
        <w:t xml:space="preserve"> </w:t>
      </w:r>
      <w:r>
        <w:rPr>
          <w:rFonts w:eastAsia="Roboto"/>
          <w:color w:val="202024"/>
        </w:rPr>
        <w:t>position</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the</w:t>
      </w:r>
      <w:r>
        <w:rPr>
          <w:rFonts w:eastAsia="Roboto"/>
          <w:color w:val="202024"/>
          <w:spacing w:val="3"/>
        </w:rPr>
        <w:t xml:space="preserve"> </w:t>
      </w:r>
      <w:r>
        <w:rPr>
          <w:rFonts w:eastAsia="Roboto"/>
          <w:color w:val="202024"/>
        </w:rPr>
        <w:t>TAT</w:t>
      </w:r>
      <w:r>
        <w:rPr>
          <w:rFonts w:eastAsia="Roboto"/>
          <w:color w:val="202024"/>
          <w:spacing w:val="4"/>
        </w:rPr>
        <w:t xml:space="preserve"> </w:t>
      </w:r>
      <w:r>
        <w:rPr>
          <w:rFonts w:eastAsia="Roboto"/>
          <w:color w:val="202024"/>
        </w:rPr>
        <w:t>on</w:t>
      </w:r>
      <w:r>
        <w:rPr>
          <w:rFonts w:eastAsia="Roboto"/>
          <w:color w:val="202024"/>
          <w:spacing w:val="8"/>
        </w:rPr>
        <w:t xml:space="preserve"> </w:t>
      </w:r>
      <w:r>
        <w:rPr>
          <w:rFonts w:eastAsia="Roboto"/>
          <w:color w:val="202024"/>
        </w:rPr>
        <w:t>some</w:t>
      </w:r>
      <w:r>
        <w:rPr>
          <w:rFonts w:eastAsia="Roboto"/>
          <w:color w:val="202024"/>
          <w:spacing w:val="7"/>
        </w:rPr>
        <w:t xml:space="preserve"> </w:t>
      </w:r>
      <w:r>
        <w:rPr>
          <w:rFonts w:eastAsia="Roboto"/>
          <w:color w:val="202024"/>
        </w:rPr>
        <w:t>matters.</w:t>
      </w:r>
      <w:r>
        <w:rPr>
          <w:rFonts w:eastAsia="Roboto"/>
          <w:color w:val="202024"/>
          <w:spacing w:val="4"/>
        </w:rPr>
        <w:t xml:space="preserve"> </w:t>
      </w:r>
      <w:r>
        <w:rPr>
          <w:rFonts w:eastAsia="Roboto"/>
          <w:color w:val="202024"/>
        </w:rPr>
        <w:t>This</w:t>
      </w:r>
      <w:r>
        <w:rPr>
          <w:rFonts w:eastAsia="Roboto"/>
          <w:color w:val="202024"/>
          <w:spacing w:val="7"/>
        </w:rPr>
        <w:t xml:space="preserve"> </w:t>
      </w:r>
      <w:r>
        <w:rPr>
          <w:rFonts w:eastAsia="Roboto"/>
          <w:color w:val="202024"/>
        </w:rPr>
        <w:t>is</w:t>
      </w:r>
      <w:r>
        <w:rPr>
          <w:rFonts w:eastAsia="Roboto"/>
          <w:color w:val="202024"/>
          <w:spacing w:val="8"/>
        </w:rPr>
        <w:t xml:space="preserve"> </w:t>
      </w:r>
      <w:r>
        <w:rPr>
          <w:rFonts w:eastAsia="Roboto"/>
          <w:color w:val="202024"/>
        </w:rPr>
        <w:t>all</w:t>
      </w:r>
      <w:r>
        <w:rPr>
          <w:rFonts w:eastAsia="Roboto"/>
          <w:color w:val="202024"/>
          <w:spacing w:val="8"/>
        </w:rPr>
        <w:t xml:space="preserve"> </w:t>
      </w:r>
      <w:r>
        <w:rPr>
          <w:rFonts w:eastAsia="Roboto"/>
          <w:color w:val="202024"/>
        </w:rPr>
        <w:t>however</w:t>
      </w:r>
      <w:r>
        <w:rPr>
          <w:rFonts w:eastAsia="Roboto"/>
          <w:color w:val="202024"/>
          <w:spacing w:val="8"/>
        </w:rPr>
        <w:t xml:space="preserve"> </w:t>
      </w:r>
      <w:r>
        <w:rPr>
          <w:rFonts w:eastAsia="Roboto"/>
          <w:color w:val="202024"/>
        </w:rPr>
        <w:t>subject</w:t>
      </w:r>
      <w:r>
        <w:rPr>
          <w:rFonts w:eastAsia="Roboto"/>
          <w:color w:val="202024"/>
          <w:spacing w:val="7"/>
        </w:rPr>
        <w:t xml:space="preserve"> </w:t>
      </w:r>
      <w:r>
        <w:rPr>
          <w:rFonts w:eastAsia="Roboto"/>
          <w:color w:val="202024"/>
        </w:rPr>
        <w:t>to</w:t>
      </w:r>
      <w:r>
        <w:rPr>
          <w:rFonts w:eastAsia="Roboto"/>
          <w:color w:val="202024"/>
          <w:spacing w:val="8"/>
        </w:rPr>
        <w:t xml:space="preserve"> </w:t>
      </w:r>
      <w:r>
        <w:rPr>
          <w:rFonts w:eastAsia="Roboto"/>
          <w:color w:val="202024"/>
        </w:rPr>
        <w:t>the</w:t>
      </w:r>
      <w:r>
        <w:rPr>
          <w:rFonts w:eastAsia="Roboto"/>
          <w:color w:val="202024"/>
          <w:spacing w:val="1"/>
        </w:rPr>
        <w:t xml:space="preserve"> </w:t>
      </w:r>
      <w:r>
        <w:rPr>
          <w:rFonts w:eastAsia="Roboto"/>
          <w:color w:val="202024"/>
        </w:rPr>
        <w:t>appellate</w:t>
      </w:r>
      <w:r>
        <w:rPr>
          <w:rFonts w:eastAsia="Roboto"/>
          <w:color w:val="202024"/>
          <w:spacing w:val="5"/>
        </w:rPr>
        <w:t xml:space="preserve"> </w:t>
      </w:r>
      <w:r>
        <w:rPr>
          <w:rFonts w:eastAsia="Roboto"/>
          <w:color w:val="202024"/>
        </w:rPr>
        <w:t>jurisdiction</w:t>
      </w:r>
      <w:r>
        <w:rPr>
          <w:rFonts w:eastAsia="Roboto"/>
          <w:color w:val="202024"/>
          <w:spacing w:val="5"/>
        </w:rPr>
        <w:t xml:space="preserve"> </w:t>
      </w:r>
      <w:r>
        <w:rPr>
          <w:rFonts w:eastAsia="Roboto"/>
          <w:color w:val="202024"/>
        </w:rPr>
        <w:t>of</w:t>
      </w:r>
      <w:r>
        <w:rPr>
          <w:rFonts w:eastAsia="Roboto"/>
          <w:color w:val="202024"/>
          <w:spacing w:val="6"/>
        </w:rPr>
        <w:t xml:space="preserve"> </w:t>
      </w:r>
      <w:r>
        <w:rPr>
          <w:rFonts w:eastAsia="Roboto"/>
          <w:color w:val="202024"/>
        </w:rPr>
        <w:t>the</w:t>
      </w:r>
      <w:r>
        <w:rPr>
          <w:rFonts w:eastAsia="Roboto"/>
          <w:color w:val="202024"/>
          <w:spacing w:val="5"/>
        </w:rPr>
        <w:t xml:space="preserve"> </w:t>
      </w:r>
      <w:r>
        <w:rPr>
          <w:rFonts w:eastAsia="Roboto"/>
          <w:color w:val="202024"/>
        </w:rPr>
        <w:t>FHC.</w:t>
      </w:r>
    </w:p>
    <w:p w14:paraId="2FDB0213">
      <w:pPr>
        <w:widowControl w:val="0"/>
        <w:autoSpaceDE w:val="0"/>
        <w:autoSpaceDN w:val="0"/>
        <w:jc w:val="both"/>
        <w:rPr>
          <w:rFonts w:eastAsia="Roboto"/>
        </w:rPr>
      </w:pPr>
    </w:p>
    <w:p w14:paraId="7FEB4D7E">
      <w:pPr>
        <w:widowControl w:val="0"/>
        <w:autoSpaceDE w:val="0"/>
        <w:autoSpaceDN w:val="0"/>
        <w:spacing w:line="285" w:lineRule="auto"/>
        <w:ind w:right="504"/>
        <w:jc w:val="both"/>
        <w:rPr>
          <w:rFonts w:eastAsia="Roboto"/>
        </w:rPr>
      </w:pPr>
      <w:r>
        <w:rPr>
          <w:rFonts w:eastAsia="Roboto"/>
          <w:color w:val="202024"/>
        </w:rPr>
        <w:t>Some</w:t>
      </w:r>
      <w:r>
        <w:rPr>
          <w:rFonts w:eastAsia="Roboto"/>
          <w:color w:val="202024"/>
          <w:spacing w:val="13"/>
        </w:rPr>
        <w:t xml:space="preserve"> </w:t>
      </w:r>
      <w:r>
        <w:rPr>
          <w:rFonts w:eastAsia="Roboto"/>
          <w:color w:val="202024"/>
        </w:rPr>
        <w:t>of</w:t>
      </w:r>
      <w:r>
        <w:rPr>
          <w:rFonts w:eastAsia="Roboto"/>
          <w:color w:val="202024"/>
          <w:spacing w:val="13"/>
        </w:rPr>
        <w:t xml:space="preserve"> </w:t>
      </w:r>
      <w:r>
        <w:rPr>
          <w:rFonts w:eastAsia="Roboto"/>
          <w:color w:val="202024"/>
        </w:rPr>
        <w:t>the</w:t>
      </w:r>
      <w:r>
        <w:rPr>
          <w:rFonts w:eastAsia="Roboto"/>
          <w:color w:val="202024"/>
          <w:spacing w:val="13"/>
        </w:rPr>
        <w:t xml:space="preserve"> </w:t>
      </w:r>
      <w:r>
        <w:rPr>
          <w:rFonts w:eastAsia="Roboto"/>
          <w:color w:val="202024"/>
        </w:rPr>
        <w:t>recent</w:t>
      </w:r>
      <w:r>
        <w:rPr>
          <w:rFonts w:eastAsia="Roboto"/>
          <w:color w:val="202024"/>
          <w:spacing w:val="13"/>
        </w:rPr>
        <w:t xml:space="preserve"> </w:t>
      </w:r>
      <w:r>
        <w:rPr>
          <w:rFonts w:eastAsia="Roboto"/>
          <w:color w:val="202024"/>
        </w:rPr>
        <w:t>judicial</w:t>
      </w:r>
      <w:r>
        <w:rPr>
          <w:rFonts w:eastAsia="Roboto"/>
          <w:color w:val="202024"/>
          <w:spacing w:val="13"/>
        </w:rPr>
        <w:t xml:space="preserve"> </w:t>
      </w:r>
      <w:r>
        <w:rPr>
          <w:rFonts w:eastAsia="Roboto"/>
          <w:color w:val="202024"/>
        </w:rPr>
        <w:t>decisions</w:t>
      </w:r>
      <w:r>
        <w:rPr>
          <w:rFonts w:eastAsia="Roboto"/>
          <w:color w:val="202024"/>
          <w:spacing w:val="14"/>
        </w:rPr>
        <w:t xml:space="preserve"> </w:t>
      </w:r>
      <w:r>
        <w:rPr>
          <w:rFonts w:eastAsia="Roboto"/>
          <w:color w:val="202024"/>
        </w:rPr>
        <w:t>affecting</w:t>
      </w:r>
      <w:r>
        <w:rPr>
          <w:rFonts w:eastAsia="Roboto"/>
          <w:color w:val="202024"/>
          <w:spacing w:val="13"/>
        </w:rPr>
        <w:t xml:space="preserve"> </w:t>
      </w:r>
      <w:r>
        <w:rPr>
          <w:rFonts w:eastAsia="Roboto"/>
          <w:color w:val="202024"/>
        </w:rPr>
        <w:t>the</w:t>
      </w:r>
      <w:r>
        <w:rPr>
          <w:rFonts w:eastAsia="Roboto"/>
          <w:color w:val="202024"/>
          <w:spacing w:val="13"/>
        </w:rPr>
        <w:t xml:space="preserve"> </w:t>
      </w:r>
      <w:r>
        <w:rPr>
          <w:rFonts w:eastAsia="Roboto"/>
          <w:color w:val="202024"/>
        </w:rPr>
        <w:t>upstream</w:t>
      </w:r>
      <w:r>
        <w:rPr>
          <w:rFonts w:eastAsia="Roboto"/>
          <w:color w:val="202024"/>
          <w:spacing w:val="13"/>
        </w:rPr>
        <w:t xml:space="preserve"> </w:t>
      </w:r>
      <w:r>
        <w:rPr>
          <w:rFonts w:eastAsia="Roboto"/>
          <w:color w:val="202024"/>
        </w:rPr>
        <w:t>petroleum</w:t>
      </w:r>
      <w:r>
        <w:rPr>
          <w:rFonts w:eastAsia="Roboto"/>
          <w:color w:val="202024"/>
          <w:spacing w:val="13"/>
        </w:rPr>
        <w:t xml:space="preserve"> </w:t>
      </w:r>
      <w:r>
        <w:rPr>
          <w:rFonts w:eastAsia="Roboto"/>
          <w:color w:val="202024"/>
        </w:rPr>
        <w:t>companies</w:t>
      </w:r>
      <w:r>
        <w:rPr>
          <w:rFonts w:eastAsia="Roboto"/>
          <w:color w:val="202024"/>
          <w:spacing w:val="13"/>
        </w:rPr>
        <w:t xml:space="preserve"> </w:t>
      </w:r>
      <w:r>
        <w:rPr>
          <w:rFonts w:eastAsia="Roboto"/>
          <w:color w:val="202024"/>
        </w:rPr>
        <w:t>have</w:t>
      </w:r>
      <w:r>
        <w:rPr>
          <w:rFonts w:eastAsia="Roboto"/>
          <w:color w:val="202024"/>
          <w:spacing w:val="14"/>
        </w:rPr>
        <w:t xml:space="preserve"> </w:t>
      </w:r>
      <w:r>
        <w:rPr>
          <w:rFonts w:eastAsia="Roboto"/>
          <w:color w:val="202024"/>
        </w:rPr>
        <w:t>not</w:t>
      </w:r>
      <w:r>
        <w:rPr>
          <w:rFonts w:eastAsia="Roboto"/>
          <w:color w:val="202024"/>
          <w:spacing w:val="-50"/>
        </w:rPr>
        <w:t xml:space="preserve"> </w:t>
      </w:r>
      <w:r>
        <w:rPr>
          <w:rFonts w:eastAsia="Roboto"/>
          <w:color w:val="202024"/>
        </w:rPr>
        <w:t>been</w:t>
      </w:r>
      <w:r>
        <w:rPr>
          <w:rFonts w:eastAsia="Roboto"/>
          <w:color w:val="202024"/>
          <w:spacing w:val="7"/>
        </w:rPr>
        <w:t xml:space="preserve"> </w:t>
      </w:r>
      <w:r>
        <w:rPr>
          <w:rFonts w:eastAsia="Roboto"/>
          <w:color w:val="202024"/>
        </w:rPr>
        <w:t>clear</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consistent</w:t>
      </w:r>
      <w:r>
        <w:rPr>
          <w:rFonts w:eastAsia="Roboto"/>
          <w:color w:val="202024"/>
          <w:spacing w:val="8"/>
        </w:rPr>
        <w:t xml:space="preserve"> </w:t>
      </w:r>
      <w:r>
        <w:rPr>
          <w:rFonts w:eastAsia="Roboto"/>
          <w:color w:val="202024"/>
        </w:rPr>
        <w:t>as</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decisions</w:t>
      </w:r>
      <w:r>
        <w:rPr>
          <w:rFonts w:eastAsia="Roboto"/>
          <w:color w:val="202024"/>
          <w:spacing w:val="8"/>
        </w:rPr>
        <w:t xml:space="preserve"> </w:t>
      </w:r>
      <w:r>
        <w:rPr>
          <w:rFonts w:eastAsia="Roboto"/>
          <w:color w:val="202024"/>
        </w:rPr>
        <w:t>appear</w:t>
      </w:r>
      <w:r>
        <w:rPr>
          <w:rFonts w:eastAsia="Roboto"/>
          <w:color w:val="202024"/>
          <w:spacing w:val="8"/>
        </w:rPr>
        <w:t xml:space="preserve"> </w:t>
      </w:r>
      <w:r>
        <w:rPr>
          <w:rFonts w:eastAsia="Roboto"/>
          <w:color w:val="202024"/>
        </w:rPr>
        <w:t>to</w:t>
      </w:r>
      <w:r>
        <w:rPr>
          <w:rFonts w:eastAsia="Roboto"/>
          <w:color w:val="202024"/>
          <w:spacing w:val="8"/>
        </w:rPr>
        <w:t xml:space="preserve"> </w:t>
      </w:r>
      <w:r>
        <w:rPr>
          <w:rFonts w:eastAsia="Roboto"/>
          <w:color w:val="202024"/>
        </w:rPr>
        <w:t>be</w:t>
      </w:r>
      <w:r>
        <w:rPr>
          <w:rFonts w:eastAsia="Roboto"/>
          <w:color w:val="202024"/>
          <w:spacing w:val="8"/>
        </w:rPr>
        <w:t xml:space="preserve"> </w:t>
      </w:r>
      <w:r>
        <w:rPr>
          <w:rFonts w:eastAsia="Roboto"/>
          <w:color w:val="202024"/>
        </w:rPr>
        <w:t>borne</w:t>
      </w:r>
      <w:r>
        <w:rPr>
          <w:rFonts w:eastAsia="Roboto"/>
          <w:color w:val="202024"/>
          <w:spacing w:val="8"/>
        </w:rPr>
        <w:t xml:space="preserve"> </w:t>
      </w:r>
      <w:r>
        <w:rPr>
          <w:rFonts w:eastAsia="Roboto"/>
          <w:color w:val="202024"/>
        </w:rPr>
        <w:t>from</w:t>
      </w:r>
      <w:r>
        <w:rPr>
          <w:rFonts w:eastAsia="Roboto"/>
          <w:color w:val="202024"/>
          <w:spacing w:val="8"/>
        </w:rPr>
        <w:t xml:space="preserve"> </w:t>
      </w:r>
      <w:r>
        <w:rPr>
          <w:rFonts w:eastAsia="Roboto"/>
          <w:color w:val="202024"/>
        </w:rPr>
        <w:t>a</w:t>
      </w:r>
      <w:r>
        <w:rPr>
          <w:rFonts w:eastAsia="Roboto"/>
          <w:color w:val="202024"/>
          <w:spacing w:val="7"/>
        </w:rPr>
        <w:t xml:space="preserve"> </w:t>
      </w:r>
      <w:r>
        <w:rPr>
          <w:rFonts w:eastAsia="Roboto"/>
          <w:color w:val="202024"/>
        </w:rPr>
        <w:t>place</w:t>
      </w:r>
      <w:r>
        <w:rPr>
          <w:rFonts w:eastAsia="Roboto"/>
          <w:color w:val="202024"/>
          <w:spacing w:val="8"/>
        </w:rPr>
        <w:t xml:space="preserve"> </w:t>
      </w:r>
      <w:r>
        <w:rPr>
          <w:rFonts w:eastAsia="Roboto"/>
          <w:color w:val="202024"/>
        </w:rPr>
        <w:t>of</w:t>
      </w:r>
      <w:r>
        <w:rPr>
          <w:rFonts w:eastAsia="Roboto"/>
          <w:color w:val="202024"/>
          <w:spacing w:val="8"/>
        </w:rPr>
        <w:t xml:space="preserve"> </w:t>
      </w:r>
      <w:r>
        <w:rPr>
          <w:rFonts w:eastAsia="Roboto"/>
          <w:color w:val="202024"/>
        </w:rPr>
        <w:t>bias.</w:t>
      </w:r>
    </w:p>
    <w:p w14:paraId="0108DCA1">
      <w:pPr>
        <w:widowControl w:val="0"/>
        <w:autoSpaceDE w:val="0"/>
        <w:autoSpaceDN w:val="0"/>
        <w:jc w:val="both"/>
        <w:rPr>
          <w:rFonts w:eastAsia="Roboto"/>
        </w:rPr>
      </w:pPr>
    </w:p>
    <w:p w14:paraId="4C04B7B9">
      <w:pPr>
        <w:widowControl w:val="0"/>
        <w:autoSpaceDE w:val="0"/>
        <w:autoSpaceDN w:val="0"/>
        <w:spacing w:line="285" w:lineRule="auto"/>
        <w:ind w:right="316"/>
        <w:jc w:val="both"/>
        <w:rPr>
          <w:rFonts w:eastAsia="Roboto"/>
        </w:rPr>
      </w:pPr>
      <w:r>
        <w:rPr>
          <w:rFonts w:eastAsia="Roboto"/>
          <w:color w:val="202024"/>
        </w:rPr>
        <w:t>Recent</w:t>
      </w:r>
      <w:r>
        <w:rPr>
          <w:rFonts w:eastAsia="Roboto"/>
          <w:color w:val="202024"/>
          <w:spacing w:val="14"/>
        </w:rPr>
        <w:t xml:space="preserve"> </w:t>
      </w:r>
      <w:r>
        <w:rPr>
          <w:rFonts w:eastAsia="Roboto"/>
          <w:color w:val="202024"/>
        </w:rPr>
        <w:t>judicial</w:t>
      </w:r>
      <w:r>
        <w:rPr>
          <w:rFonts w:eastAsia="Roboto"/>
          <w:color w:val="202024"/>
          <w:spacing w:val="15"/>
        </w:rPr>
        <w:t xml:space="preserve"> </w:t>
      </w:r>
      <w:r>
        <w:rPr>
          <w:rFonts w:eastAsia="Roboto"/>
          <w:color w:val="202024"/>
        </w:rPr>
        <w:t>decisions</w:t>
      </w:r>
      <w:r>
        <w:rPr>
          <w:rFonts w:eastAsia="Roboto"/>
          <w:color w:val="202024"/>
          <w:spacing w:val="15"/>
        </w:rPr>
        <w:t xml:space="preserve"> </w:t>
      </w:r>
      <w:r>
        <w:rPr>
          <w:rFonts w:eastAsia="Roboto"/>
          <w:color w:val="202024"/>
        </w:rPr>
        <w:t>affecting</w:t>
      </w:r>
      <w:r>
        <w:rPr>
          <w:rFonts w:eastAsia="Roboto"/>
          <w:color w:val="202024"/>
          <w:spacing w:val="15"/>
        </w:rPr>
        <w:t xml:space="preserve"> </w:t>
      </w:r>
      <w:r>
        <w:rPr>
          <w:rFonts w:eastAsia="Roboto"/>
          <w:color w:val="202024"/>
        </w:rPr>
        <w:t>upstream</w:t>
      </w:r>
      <w:r>
        <w:rPr>
          <w:rFonts w:eastAsia="Roboto"/>
          <w:color w:val="202024"/>
          <w:spacing w:val="15"/>
        </w:rPr>
        <w:t xml:space="preserve"> </w:t>
      </w:r>
      <w:r>
        <w:rPr>
          <w:rFonts w:eastAsia="Roboto"/>
          <w:color w:val="202024"/>
        </w:rPr>
        <w:t>petroleum</w:t>
      </w:r>
      <w:r>
        <w:rPr>
          <w:rFonts w:eastAsia="Roboto"/>
          <w:color w:val="202024"/>
          <w:spacing w:val="14"/>
        </w:rPr>
        <w:t xml:space="preserve"> </w:t>
      </w:r>
      <w:r>
        <w:rPr>
          <w:rFonts w:eastAsia="Roboto"/>
          <w:color w:val="202024"/>
        </w:rPr>
        <w:t>taxation</w:t>
      </w:r>
      <w:r>
        <w:rPr>
          <w:rFonts w:eastAsia="Roboto"/>
          <w:color w:val="202024"/>
          <w:spacing w:val="15"/>
        </w:rPr>
        <w:t xml:space="preserve"> </w:t>
      </w:r>
      <w:r>
        <w:rPr>
          <w:rFonts w:eastAsia="Roboto"/>
          <w:color w:val="202024"/>
        </w:rPr>
        <w:t>have</w:t>
      </w:r>
      <w:r>
        <w:rPr>
          <w:rFonts w:eastAsia="Roboto"/>
          <w:color w:val="202024"/>
          <w:spacing w:val="15"/>
        </w:rPr>
        <w:t xml:space="preserve"> </w:t>
      </w:r>
      <w:r>
        <w:rPr>
          <w:rFonts w:eastAsia="Roboto"/>
          <w:color w:val="202024"/>
        </w:rPr>
        <w:t>been</w:t>
      </w:r>
      <w:r>
        <w:rPr>
          <w:rFonts w:eastAsia="Roboto"/>
          <w:color w:val="202024"/>
          <w:spacing w:val="15"/>
        </w:rPr>
        <w:t xml:space="preserve"> </w:t>
      </w:r>
      <w:r>
        <w:rPr>
          <w:rFonts w:eastAsia="Roboto"/>
          <w:color w:val="202024"/>
        </w:rPr>
        <w:t>quite</w:t>
      </w:r>
      <w:r>
        <w:rPr>
          <w:rFonts w:eastAsia="Roboto"/>
          <w:color w:val="202024"/>
          <w:spacing w:val="15"/>
        </w:rPr>
        <w:t xml:space="preserve"> </w:t>
      </w:r>
      <w:r>
        <w:rPr>
          <w:rFonts w:eastAsia="Roboto"/>
          <w:color w:val="202024"/>
        </w:rPr>
        <w:t>inconsistent.</w:t>
      </w:r>
      <w:r>
        <w:rPr>
          <w:rFonts w:eastAsia="Roboto"/>
          <w:color w:val="202024"/>
          <w:spacing w:val="-50"/>
        </w:rPr>
        <w:t xml:space="preserve"> </w:t>
      </w:r>
      <w:r>
        <w:rPr>
          <w:rFonts w:eastAsia="Roboto"/>
          <w:color w:val="202024"/>
        </w:rPr>
        <w:t>This</w:t>
      </w:r>
      <w:r>
        <w:rPr>
          <w:rFonts w:eastAsia="Roboto"/>
          <w:color w:val="202024"/>
          <w:spacing w:val="6"/>
        </w:rPr>
        <w:t xml:space="preserve"> </w:t>
      </w:r>
      <w:r>
        <w:rPr>
          <w:rFonts w:eastAsia="Roboto"/>
          <w:color w:val="202024"/>
        </w:rPr>
        <w:t>is</w:t>
      </w:r>
      <w:r>
        <w:rPr>
          <w:rFonts w:eastAsia="Roboto"/>
          <w:color w:val="202024"/>
          <w:spacing w:val="7"/>
        </w:rPr>
        <w:t xml:space="preserve"> </w:t>
      </w:r>
      <w:r>
        <w:rPr>
          <w:rFonts w:eastAsia="Roboto"/>
          <w:color w:val="202024"/>
        </w:rPr>
        <w:t>reflective</w:t>
      </w:r>
      <w:r>
        <w:rPr>
          <w:rFonts w:eastAsia="Roboto"/>
          <w:color w:val="202024"/>
          <w:spacing w:val="7"/>
        </w:rPr>
        <w:t xml:space="preserve"> </w:t>
      </w:r>
      <w:r>
        <w:rPr>
          <w:rFonts w:eastAsia="Roboto"/>
          <w:color w:val="202024"/>
        </w:rPr>
        <w:t>of</w:t>
      </w:r>
      <w:r>
        <w:rPr>
          <w:rFonts w:eastAsia="Roboto"/>
          <w:color w:val="202024"/>
          <w:spacing w:val="6"/>
        </w:rPr>
        <w:t xml:space="preserve"> </w:t>
      </w:r>
      <w:r>
        <w:rPr>
          <w:rFonts w:eastAsia="Roboto"/>
          <w:color w:val="202024"/>
        </w:rPr>
        <w:t>falling</w:t>
      </w:r>
      <w:r>
        <w:rPr>
          <w:rFonts w:eastAsia="Roboto"/>
          <w:color w:val="202024"/>
          <w:spacing w:val="7"/>
        </w:rPr>
        <w:t xml:space="preserve"> </w:t>
      </w:r>
      <w:r>
        <w:rPr>
          <w:rFonts w:eastAsia="Roboto"/>
          <w:color w:val="202024"/>
        </w:rPr>
        <w:t>standards</w:t>
      </w:r>
      <w:r>
        <w:rPr>
          <w:rFonts w:eastAsia="Roboto"/>
          <w:color w:val="202024"/>
          <w:spacing w:val="7"/>
        </w:rPr>
        <w:t xml:space="preserve"> </w:t>
      </w:r>
      <w:r>
        <w:rPr>
          <w:rFonts w:eastAsia="Roboto"/>
          <w:color w:val="202024"/>
        </w:rPr>
        <w:t>in</w:t>
      </w:r>
      <w:r>
        <w:rPr>
          <w:rFonts w:eastAsia="Roboto"/>
          <w:color w:val="202024"/>
          <w:spacing w:val="7"/>
        </w:rPr>
        <w:t xml:space="preserve"> </w:t>
      </w:r>
      <w:r>
        <w:rPr>
          <w:rFonts w:eastAsia="Roboto"/>
          <w:color w:val="202024"/>
        </w:rPr>
        <w:t>the</w:t>
      </w:r>
      <w:r>
        <w:rPr>
          <w:rFonts w:eastAsia="Roboto"/>
          <w:color w:val="202024"/>
          <w:spacing w:val="6"/>
        </w:rPr>
        <w:t xml:space="preserve"> </w:t>
      </w:r>
      <w:r>
        <w:rPr>
          <w:rFonts w:eastAsia="Roboto"/>
          <w:color w:val="202024"/>
        </w:rPr>
        <w:t>judiciary</w:t>
      </w:r>
      <w:r>
        <w:rPr>
          <w:rFonts w:eastAsia="Roboto"/>
          <w:color w:val="202024"/>
          <w:spacing w:val="7"/>
        </w:rPr>
        <w:t xml:space="preserve"> </w:t>
      </w:r>
      <w:r>
        <w:rPr>
          <w:rFonts w:eastAsia="Roboto"/>
          <w:color w:val="202024"/>
        </w:rPr>
        <w:t>-</w:t>
      </w:r>
      <w:r>
        <w:rPr>
          <w:rFonts w:eastAsia="Roboto"/>
          <w:color w:val="202024"/>
          <w:spacing w:val="7"/>
        </w:rPr>
        <w:t xml:space="preserve"> </w:t>
      </w:r>
      <w:r>
        <w:rPr>
          <w:rFonts w:eastAsia="Roboto"/>
          <w:color w:val="202024"/>
        </w:rPr>
        <w:t>thus</w:t>
      </w:r>
      <w:r>
        <w:rPr>
          <w:rFonts w:eastAsia="Roboto"/>
          <w:color w:val="202024"/>
          <w:spacing w:val="7"/>
        </w:rPr>
        <w:t xml:space="preserve"> </w:t>
      </w:r>
      <w:r>
        <w:rPr>
          <w:rFonts w:eastAsia="Roboto"/>
          <w:color w:val="202024"/>
        </w:rPr>
        <w:t>making</w:t>
      </w:r>
      <w:r>
        <w:rPr>
          <w:rFonts w:eastAsia="Roboto"/>
          <w:color w:val="202024"/>
          <w:spacing w:val="6"/>
        </w:rPr>
        <w:t xml:space="preserve"> </w:t>
      </w:r>
      <w:r>
        <w:rPr>
          <w:rFonts w:eastAsia="Roboto"/>
          <w:color w:val="202024"/>
        </w:rPr>
        <w:t>the</w:t>
      </w:r>
      <w:r>
        <w:rPr>
          <w:rFonts w:eastAsia="Roboto"/>
          <w:color w:val="202024"/>
          <w:spacing w:val="7"/>
        </w:rPr>
        <w:t xml:space="preserve"> </w:t>
      </w:r>
      <w:r>
        <w:rPr>
          <w:rFonts w:eastAsia="Roboto"/>
          <w:color w:val="202024"/>
        </w:rPr>
        <w:t>work</w:t>
      </w:r>
      <w:r>
        <w:rPr>
          <w:rFonts w:eastAsia="Roboto"/>
          <w:color w:val="202024"/>
          <w:spacing w:val="7"/>
        </w:rPr>
        <w:t xml:space="preserve"> </w:t>
      </w:r>
      <w:r>
        <w:rPr>
          <w:rFonts w:eastAsia="Roboto"/>
          <w:color w:val="202024"/>
        </w:rPr>
        <w:t>of</w:t>
      </w:r>
      <w:r>
        <w:rPr>
          <w:rFonts w:eastAsia="Roboto"/>
          <w:color w:val="202024"/>
          <w:spacing w:val="7"/>
        </w:rPr>
        <w:t xml:space="preserve"> </w:t>
      </w:r>
      <w:r>
        <w:rPr>
          <w:rFonts w:eastAsia="Roboto"/>
          <w:color w:val="202024"/>
        </w:rPr>
        <w:t>advisers</w:t>
      </w:r>
      <w:r>
        <w:rPr>
          <w:rFonts w:eastAsia="Roboto"/>
          <w:color w:val="202024"/>
          <w:spacing w:val="6"/>
        </w:rPr>
        <w:t xml:space="preserve"> </w:t>
      </w:r>
      <w:r>
        <w:rPr>
          <w:rFonts w:eastAsia="Roboto"/>
          <w:color w:val="202024"/>
        </w:rPr>
        <w:t>to</w:t>
      </w:r>
      <w:r>
        <w:rPr>
          <w:rFonts w:eastAsia="Roboto"/>
          <w:color w:val="202024"/>
          <w:spacing w:val="7"/>
        </w:rPr>
        <w:t xml:space="preserve"> </w:t>
      </w:r>
      <w:r>
        <w:rPr>
          <w:rFonts w:eastAsia="Roboto"/>
          <w:color w:val="202024"/>
        </w:rPr>
        <w:t>be</w:t>
      </w:r>
      <w:r>
        <w:rPr>
          <w:rFonts w:eastAsia="Roboto"/>
          <w:color w:val="202024"/>
          <w:spacing w:val="1"/>
        </w:rPr>
        <w:t xml:space="preserve"> </w:t>
      </w:r>
      <w:r>
        <w:rPr>
          <w:rFonts w:eastAsia="Roboto"/>
          <w:color w:val="202024"/>
        </w:rPr>
        <w:t>ever</w:t>
      </w:r>
      <w:r>
        <w:rPr>
          <w:rFonts w:eastAsia="Roboto"/>
          <w:color w:val="202024"/>
          <w:spacing w:val="5"/>
        </w:rPr>
        <w:t xml:space="preserve"> </w:t>
      </w:r>
      <w:r>
        <w:rPr>
          <w:rFonts w:eastAsia="Roboto"/>
          <w:color w:val="202024"/>
        </w:rPr>
        <w:t>more</w:t>
      </w:r>
      <w:r>
        <w:rPr>
          <w:rFonts w:eastAsia="Roboto"/>
          <w:color w:val="202024"/>
          <w:spacing w:val="5"/>
        </w:rPr>
        <w:t xml:space="preserve"> </w:t>
      </w:r>
      <w:r>
        <w:rPr>
          <w:rFonts w:eastAsia="Roboto"/>
          <w:color w:val="202024"/>
        </w:rPr>
        <w:t>difficult.</w:t>
      </w:r>
    </w:p>
    <w:p w14:paraId="6C0906A1">
      <w:pPr>
        <w:widowControl w:val="0"/>
        <w:autoSpaceDE w:val="0"/>
        <w:autoSpaceDN w:val="0"/>
        <w:rPr>
          <w:rFonts w:ascii="Roboto" w:hAnsi="Roboto" w:eastAsia="Roboto" w:cs="Roboto"/>
          <w:sz w:val="30"/>
          <w:szCs w:val="21"/>
        </w:rPr>
      </w:pPr>
    </w:p>
    <w:p w14:paraId="31502C4D">
      <w:pPr>
        <w:widowControl w:val="0"/>
        <w:autoSpaceDE w:val="0"/>
        <w:autoSpaceDN w:val="0"/>
        <w:spacing w:line="285" w:lineRule="auto"/>
        <w:ind w:right="407"/>
        <w:jc w:val="both"/>
        <w:rPr>
          <w:rFonts w:eastAsia="Roboto"/>
        </w:rPr>
      </w:pPr>
      <w:r>
        <w:rPr>
          <w:rFonts w:eastAsia="Roboto"/>
          <w:color w:val="202024"/>
        </w:rPr>
        <w:t>Regrettably,</w:t>
      </w:r>
      <w:r>
        <w:rPr>
          <w:rFonts w:eastAsia="Roboto"/>
          <w:color w:val="202024"/>
          <w:spacing w:val="7"/>
        </w:rPr>
        <w:t xml:space="preserve"> </w:t>
      </w:r>
      <w:r>
        <w:rPr>
          <w:rFonts w:eastAsia="Roboto"/>
          <w:color w:val="202024"/>
        </w:rPr>
        <w:t>I</w:t>
      </w:r>
      <w:r>
        <w:rPr>
          <w:rFonts w:eastAsia="Roboto"/>
          <w:color w:val="202024"/>
          <w:spacing w:val="8"/>
        </w:rPr>
        <w:t xml:space="preserve"> </w:t>
      </w:r>
      <w:r>
        <w:rPr>
          <w:rFonts w:eastAsia="Roboto"/>
          <w:color w:val="202024"/>
        </w:rPr>
        <w:t>am</w:t>
      </w:r>
      <w:r>
        <w:rPr>
          <w:rFonts w:eastAsia="Roboto"/>
          <w:color w:val="202024"/>
          <w:spacing w:val="8"/>
        </w:rPr>
        <w:t xml:space="preserve"> </w:t>
      </w:r>
      <w:r>
        <w:rPr>
          <w:rFonts w:eastAsia="Roboto"/>
          <w:color w:val="202024"/>
        </w:rPr>
        <w:t>not</w:t>
      </w:r>
      <w:r>
        <w:rPr>
          <w:rFonts w:eastAsia="Roboto"/>
          <w:color w:val="202024"/>
          <w:spacing w:val="7"/>
        </w:rPr>
        <w:t xml:space="preserve"> </w:t>
      </w:r>
      <w:r>
        <w:rPr>
          <w:rFonts w:eastAsia="Roboto"/>
          <w:color w:val="202024"/>
        </w:rPr>
        <w:t>able</w:t>
      </w:r>
      <w:r>
        <w:rPr>
          <w:rFonts w:eastAsia="Roboto"/>
          <w:color w:val="202024"/>
          <w:spacing w:val="8"/>
        </w:rPr>
        <w:t xml:space="preserve"> </w:t>
      </w:r>
      <w:r>
        <w:rPr>
          <w:rFonts w:eastAsia="Roboto"/>
          <w:color w:val="202024"/>
        </w:rPr>
        <w:t>to</w:t>
      </w:r>
      <w:r>
        <w:rPr>
          <w:rFonts w:eastAsia="Roboto"/>
          <w:color w:val="202024"/>
          <w:spacing w:val="8"/>
        </w:rPr>
        <w:t xml:space="preserve"> </w:t>
      </w:r>
      <w:r>
        <w:rPr>
          <w:rFonts w:eastAsia="Roboto"/>
          <w:color w:val="202024"/>
        </w:rPr>
        <w:t>answer</w:t>
      </w:r>
      <w:r>
        <w:rPr>
          <w:rFonts w:eastAsia="Roboto"/>
          <w:color w:val="202024"/>
          <w:spacing w:val="7"/>
        </w:rPr>
        <w:t xml:space="preserve"> </w:t>
      </w:r>
      <w:r>
        <w:rPr>
          <w:rFonts w:eastAsia="Roboto"/>
          <w:color w:val="202024"/>
        </w:rPr>
        <w:t>Question</w:t>
      </w:r>
      <w:r>
        <w:rPr>
          <w:rFonts w:eastAsia="Roboto"/>
          <w:color w:val="202024"/>
          <w:spacing w:val="8"/>
        </w:rPr>
        <w:t xml:space="preserve"> </w:t>
      </w:r>
      <w:r>
        <w:rPr>
          <w:rFonts w:eastAsia="Roboto"/>
          <w:color w:val="202024"/>
        </w:rPr>
        <w:t>nr</w:t>
      </w:r>
      <w:r>
        <w:rPr>
          <w:rFonts w:eastAsia="Roboto"/>
          <w:color w:val="202024"/>
          <w:spacing w:val="8"/>
        </w:rPr>
        <w:t xml:space="preserve"> </w:t>
      </w:r>
      <w:r>
        <w:rPr>
          <w:rFonts w:eastAsia="Roboto"/>
          <w:color w:val="202024"/>
        </w:rPr>
        <w:t>17,</w:t>
      </w:r>
      <w:r>
        <w:rPr>
          <w:rFonts w:eastAsia="Roboto"/>
          <w:color w:val="202024"/>
          <w:spacing w:val="7"/>
        </w:rPr>
        <w:t xml:space="preserve"> </w:t>
      </w:r>
      <w:r>
        <w:rPr>
          <w:rFonts w:eastAsia="Roboto"/>
          <w:color w:val="202024"/>
        </w:rPr>
        <w:t>as</w:t>
      </w:r>
      <w:r>
        <w:rPr>
          <w:rFonts w:eastAsia="Roboto"/>
          <w:color w:val="202024"/>
          <w:spacing w:val="8"/>
        </w:rPr>
        <w:t xml:space="preserve"> </w:t>
      </w:r>
      <w:r>
        <w:rPr>
          <w:rFonts w:eastAsia="Roboto"/>
          <w:color w:val="202024"/>
        </w:rPr>
        <w:t>I</w:t>
      </w:r>
      <w:r>
        <w:rPr>
          <w:rFonts w:eastAsia="Roboto"/>
          <w:color w:val="202024"/>
          <w:spacing w:val="8"/>
        </w:rPr>
        <w:t xml:space="preserve"> </w:t>
      </w:r>
      <w:r>
        <w:rPr>
          <w:rFonts w:eastAsia="Roboto"/>
          <w:color w:val="202024"/>
        </w:rPr>
        <w:t>do</w:t>
      </w:r>
      <w:r>
        <w:rPr>
          <w:rFonts w:eastAsia="Roboto"/>
          <w:color w:val="202024"/>
          <w:spacing w:val="7"/>
        </w:rPr>
        <w:t xml:space="preserve"> </w:t>
      </w:r>
      <w:r>
        <w:rPr>
          <w:rFonts w:eastAsia="Roboto"/>
          <w:color w:val="202024"/>
        </w:rPr>
        <w:t>not</w:t>
      </w:r>
      <w:r>
        <w:rPr>
          <w:rFonts w:eastAsia="Roboto"/>
          <w:color w:val="202024"/>
          <w:spacing w:val="8"/>
        </w:rPr>
        <w:t xml:space="preserve"> </w:t>
      </w:r>
      <w:r>
        <w:rPr>
          <w:rFonts w:eastAsia="Roboto"/>
          <w:color w:val="202024"/>
        </w:rPr>
        <w:t>know</w:t>
      </w:r>
      <w:r>
        <w:rPr>
          <w:rFonts w:eastAsia="Roboto"/>
          <w:color w:val="202024"/>
          <w:spacing w:val="8"/>
        </w:rPr>
        <w:t xml:space="preserve"> </w:t>
      </w:r>
      <w:r>
        <w:rPr>
          <w:rFonts w:eastAsia="Roboto"/>
          <w:color w:val="202024"/>
        </w:rPr>
        <w:t>which</w:t>
      </w:r>
      <w:r>
        <w:rPr>
          <w:rFonts w:eastAsia="Roboto"/>
          <w:color w:val="202024"/>
          <w:spacing w:val="7"/>
        </w:rPr>
        <w:t xml:space="preserve"> </w:t>
      </w:r>
      <w:r>
        <w:rPr>
          <w:rFonts w:eastAsia="Roboto"/>
          <w:color w:val="202024"/>
        </w:rPr>
        <w:t>judicial</w:t>
      </w:r>
      <w:r>
        <w:rPr>
          <w:rFonts w:eastAsia="Roboto"/>
          <w:color w:val="202024"/>
          <w:spacing w:val="8"/>
        </w:rPr>
        <w:t xml:space="preserve"> </w:t>
      </w:r>
      <w:r>
        <w:rPr>
          <w:rFonts w:eastAsia="Roboto"/>
          <w:color w:val="202024"/>
        </w:rPr>
        <w:t>decisions</w:t>
      </w:r>
      <w:r>
        <w:rPr>
          <w:rFonts w:eastAsia="Roboto"/>
          <w:color w:val="202024"/>
          <w:spacing w:val="-49"/>
        </w:rPr>
        <w:t xml:space="preserve"> </w:t>
      </w:r>
      <w:r>
        <w:rPr>
          <w:rFonts w:eastAsia="Roboto"/>
          <w:color w:val="202024"/>
        </w:rPr>
        <w:t>are</w:t>
      </w:r>
      <w:r>
        <w:rPr>
          <w:rFonts w:eastAsia="Roboto"/>
          <w:color w:val="202024"/>
          <w:spacing w:val="5"/>
        </w:rPr>
        <w:t xml:space="preserve"> </w:t>
      </w:r>
      <w:r>
        <w:rPr>
          <w:rFonts w:eastAsia="Roboto"/>
          <w:color w:val="202024"/>
        </w:rPr>
        <w:t>being</w:t>
      </w:r>
      <w:r>
        <w:rPr>
          <w:rFonts w:eastAsia="Roboto"/>
          <w:color w:val="202024"/>
          <w:spacing w:val="5"/>
        </w:rPr>
        <w:t xml:space="preserve"> </w:t>
      </w:r>
      <w:r>
        <w:rPr>
          <w:rFonts w:eastAsia="Roboto"/>
          <w:color w:val="202024"/>
        </w:rPr>
        <w:t>referenced.</w:t>
      </w:r>
    </w:p>
    <w:p w14:paraId="6BC04955">
      <w:pPr>
        <w:widowControl w:val="0"/>
        <w:autoSpaceDE w:val="0"/>
        <w:autoSpaceDN w:val="0"/>
        <w:jc w:val="both"/>
        <w:rPr>
          <w:rFonts w:eastAsia="Roboto"/>
        </w:rPr>
      </w:pPr>
    </w:p>
    <w:p w14:paraId="4ACA2708">
      <w:pPr>
        <w:widowControl w:val="0"/>
        <w:autoSpaceDE w:val="0"/>
        <w:autoSpaceDN w:val="0"/>
        <w:spacing w:line="285" w:lineRule="auto"/>
        <w:ind w:right="366"/>
        <w:jc w:val="both"/>
        <w:rPr>
          <w:rFonts w:eastAsia="Roboto"/>
        </w:rPr>
      </w:pPr>
      <w:r>
        <w:rPr>
          <w:rFonts w:eastAsia="Roboto"/>
          <w:color w:val="202024"/>
        </w:rPr>
        <w:t>Owing</w:t>
      </w:r>
      <w:r>
        <w:rPr>
          <w:rFonts w:eastAsia="Roboto"/>
          <w:color w:val="202024"/>
          <w:spacing w:val="6"/>
        </w:rPr>
        <w:t xml:space="preserve"> </w:t>
      </w:r>
      <w:r>
        <w:rPr>
          <w:rFonts w:eastAsia="Roboto"/>
          <w:color w:val="202024"/>
        </w:rPr>
        <w:t>to</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technicality</w:t>
      </w:r>
      <w:r>
        <w:rPr>
          <w:rFonts w:eastAsia="Roboto"/>
          <w:color w:val="202024"/>
          <w:spacing w:val="6"/>
        </w:rPr>
        <w:t xml:space="preserve"> </w:t>
      </w:r>
      <w:r>
        <w:rPr>
          <w:rFonts w:eastAsia="Roboto"/>
          <w:color w:val="202024"/>
        </w:rPr>
        <w:t>of</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oil</w:t>
      </w:r>
      <w:r>
        <w:rPr>
          <w:rFonts w:eastAsia="Roboto"/>
          <w:color w:val="202024"/>
          <w:spacing w:val="6"/>
        </w:rPr>
        <w:t xml:space="preserve"> </w:t>
      </w:r>
      <w:r>
        <w:rPr>
          <w:rFonts w:eastAsia="Roboto"/>
          <w:color w:val="202024"/>
        </w:rPr>
        <w:t>and</w:t>
      </w:r>
      <w:r>
        <w:rPr>
          <w:rFonts w:eastAsia="Roboto"/>
          <w:color w:val="202024"/>
          <w:spacing w:val="7"/>
        </w:rPr>
        <w:t xml:space="preserve"> </w:t>
      </w:r>
      <w:r>
        <w:rPr>
          <w:rFonts w:eastAsia="Roboto"/>
          <w:color w:val="202024"/>
        </w:rPr>
        <w:t>gas</w:t>
      </w:r>
      <w:r>
        <w:rPr>
          <w:rFonts w:eastAsia="Roboto"/>
          <w:color w:val="202024"/>
          <w:spacing w:val="7"/>
        </w:rPr>
        <w:t xml:space="preserve"> </w:t>
      </w:r>
      <w:r>
        <w:rPr>
          <w:rFonts w:eastAsia="Roboto"/>
          <w:color w:val="202024"/>
        </w:rPr>
        <w:t>industry,</w:t>
      </w:r>
      <w:r>
        <w:rPr>
          <w:rFonts w:eastAsia="Roboto"/>
          <w:color w:val="202024"/>
          <w:spacing w:val="6"/>
        </w:rPr>
        <w:t xml:space="preserve"> </w:t>
      </w:r>
      <w:r>
        <w:rPr>
          <w:rFonts w:eastAsia="Roboto"/>
          <w:color w:val="202024"/>
        </w:rPr>
        <w:t>it</w:t>
      </w:r>
      <w:r>
        <w:rPr>
          <w:rFonts w:eastAsia="Roboto"/>
          <w:color w:val="202024"/>
          <w:spacing w:val="7"/>
        </w:rPr>
        <w:t xml:space="preserve"> </w:t>
      </w:r>
      <w:r>
        <w:rPr>
          <w:rFonts w:eastAsia="Roboto"/>
          <w:color w:val="202024"/>
        </w:rPr>
        <w:t>is</w:t>
      </w:r>
      <w:r>
        <w:rPr>
          <w:rFonts w:eastAsia="Roboto"/>
          <w:color w:val="202024"/>
          <w:spacing w:val="7"/>
        </w:rPr>
        <w:t xml:space="preserve"> </w:t>
      </w:r>
      <w:r>
        <w:rPr>
          <w:rFonts w:eastAsia="Roboto"/>
          <w:color w:val="202024"/>
        </w:rPr>
        <w:t>imperative</w:t>
      </w:r>
      <w:r>
        <w:rPr>
          <w:rFonts w:eastAsia="Roboto"/>
          <w:color w:val="202024"/>
          <w:spacing w:val="6"/>
        </w:rPr>
        <w:t xml:space="preserve"> </w:t>
      </w:r>
      <w:r>
        <w:rPr>
          <w:rFonts w:eastAsia="Roboto"/>
          <w:color w:val="202024"/>
        </w:rPr>
        <w:t>that</w:t>
      </w:r>
      <w:r>
        <w:rPr>
          <w:rFonts w:eastAsia="Roboto"/>
          <w:color w:val="202024"/>
          <w:spacing w:val="7"/>
        </w:rPr>
        <w:t xml:space="preserve"> </w:t>
      </w:r>
      <w:r>
        <w:rPr>
          <w:rFonts w:eastAsia="Roboto"/>
          <w:color w:val="202024"/>
        </w:rPr>
        <w:t>there</w:t>
      </w:r>
      <w:r>
        <w:rPr>
          <w:rFonts w:eastAsia="Roboto"/>
          <w:color w:val="202024"/>
          <w:spacing w:val="7"/>
        </w:rPr>
        <w:t xml:space="preserve"> </w:t>
      </w:r>
      <w:r>
        <w:rPr>
          <w:rFonts w:eastAsia="Roboto"/>
          <w:color w:val="202024"/>
        </w:rPr>
        <w:t>are</w:t>
      </w:r>
      <w:r>
        <w:rPr>
          <w:rFonts w:eastAsia="Roboto"/>
          <w:color w:val="202024"/>
          <w:spacing w:val="7"/>
        </w:rPr>
        <w:t xml:space="preserve"> </w:t>
      </w:r>
      <w:r>
        <w:rPr>
          <w:rFonts w:eastAsia="Roboto"/>
          <w:color w:val="202024"/>
        </w:rPr>
        <w:t>a</w:t>
      </w:r>
      <w:r>
        <w:rPr>
          <w:rFonts w:eastAsia="Roboto"/>
          <w:color w:val="202024"/>
          <w:spacing w:val="6"/>
        </w:rPr>
        <w:t xml:space="preserve"> </w:t>
      </w:r>
      <w:r>
        <w:rPr>
          <w:rFonts w:eastAsia="Roboto"/>
          <w:color w:val="202024"/>
        </w:rPr>
        <w:t>high</w:t>
      </w:r>
      <w:r>
        <w:rPr>
          <w:rFonts w:eastAsia="Roboto"/>
          <w:color w:val="202024"/>
          <w:spacing w:val="7"/>
        </w:rPr>
        <w:t xml:space="preserve"> </w:t>
      </w:r>
      <w:r>
        <w:rPr>
          <w:rFonts w:eastAsia="Roboto"/>
          <w:color w:val="202024"/>
        </w:rPr>
        <w:t>level</w:t>
      </w:r>
      <w:r>
        <w:rPr>
          <w:rFonts w:eastAsia="Roboto"/>
          <w:color w:val="202024"/>
          <w:spacing w:val="-49"/>
        </w:rPr>
        <w:t xml:space="preserve"> </w:t>
      </w:r>
      <w:r>
        <w:rPr>
          <w:rFonts w:eastAsia="Roboto"/>
          <w:color w:val="202024"/>
        </w:rPr>
        <w:t>of</w:t>
      </w:r>
      <w:r>
        <w:rPr>
          <w:rFonts w:eastAsia="Roboto"/>
          <w:color w:val="202024"/>
          <w:spacing w:val="7"/>
        </w:rPr>
        <w:t xml:space="preserve"> </w:t>
      </w:r>
      <w:r>
        <w:rPr>
          <w:rFonts w:eastAsia="Roboto"/>
          <w:color w:val="202024"/>
        </w:rPr>
        <w:t>clarity</w:t>
      </w:r>
      <w:r>
        <w:rPr>
          <w:rFonts w:eastAsia="Roboto"/>
          <w:color w:val="202024"/>
          <w:spacing w:val="7"/>
        </w:rPr>
        <w:t xml:space="preserve"> </w:t>
      </w:r>
      <w:r>
        <w:rPr>
          <w:rFonts w:eastAsia="Roboto"/>
          <w:color w:val="202024"/>
        </w:rPr>
        <w:t>in</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fiscal</w:t>
      </w:r>
      <w:r>
        <w:rPr>
          <w:rFonts w:eastAsia="Roboto"/>
          <w:color w:val="202024"/>
          <w:spacing w:val="7"/>
        </w:rPr>
        <w:t xml:space="preserve"> </w:t>
      </w:r>
      <w:r>
        <w:rPr>
          <w:rFonts w:eastAsia="Roboto"/>
          <w:color w:val="202024"/>
        </w:rPr>
        <w:t>terms</w:t>
      </w:r>
      <w:r>
        <w:rPr>
          <w:rFonts w:eastAsia="Roboto"/>
          <w:color w:val="202024"/>
          <w:spacing w:val="7"/>
        </w:rPr>
        <w:t xml:space="preserve"> </w:t>
      </w:r>
      <w:r>
        <w:rPr>
          <w:rFonts w:eastAsia="Roboto"/>
          <w:color w:val="202024"/>
        </w:rPr>
        <w:t>in</w:t>
      </w:r>
      <w:r>
        <w:rPr>
          <w:rFonts w:eastAsia="Roboto"/>
          <w:color w:val="202024"/>
          <w:spacing w:val="8"/>
        </w:rPr>
        <w:t xml:space="preserve"> </w:t>
      </w:r>
      <w:r>
        <w:rPr>
          <w:rFonts w:eastAsia="Roboto"/>
          <w:color w:val="202024"/>
        </w:rPr>
        <w:t>order</w:t>
      </w:r>
      <w:r>
        <w:rPr>
          <w:rFonts w:eastAsia="Roboto"/>
          <w:color w:val="202024"/>
          <w:spacing w:val="7"/>
        </w:rPr>
        <w:t xml:space="preserve"> </w:t>
      </w:r>
      <w:r>
        <w:rPr>
          <w:rFonts w:eastAsia="Roboto"/>
          <w:color w:val="202024"/>
        </w:rPr>
        <w:t>to</w:t>
      </w:r>
      <w:r>
        <w:rPr>
          <w:rFonts w:eastAsia="Roboto"/>
          <w:color w:val="202024"/>
          <w:spacing w:val="7"/>
        </w:rPr>
        <w:t xml:space="preserve"> </w:t>
      </w:r>
      <w:r>
        <w:rPr>
          <w:rFonts w:eastAsia="Roboto"/>
          <w:color w:val="202024"/>
        </w:rPr>
        <w:t>avoid</w:t>
      </w:r>
      <w:r>
        <w:rPr>
          <w:rFonts w:eastAsia="Roboto"/>
          <w:color w:val="202024"/>
          <w:spacing w:val="7"/>
        </w:rPr>
        <w:t xml:space="preserve"> </w:t>
      </w:r>
      <w:r>
        <w:rPr>
          <w:rFonts w:eastAsia="Roboto"/>
          <w:color w:val="202024"/>
        </w:rPr>
        <w:t>frequent</w:t>
      </w:r>
      <w:r>
        <w:rPr>
          <w:rFonts w:eastAsia="Roboto"/>
          <w:color w:val="202024"/>
          <w:spacing w:val="7"/>
        </w:rPr>
        <w:t xml:space="preserve"> </w:t>
      </w:r>
      <w:r>
        <w:rPr>
          <w:rFonts w:eastAsia="Roboto"/>
          <w:color w:val="202024"/>
        </w:rPr>
        <w:t>disputes</w:t>
      </w:r>
      <w:r>
        <w:rPr>
          <w:rFonts w:eastAsia="Roboto"/>
          <w:color w:val="202024"/>
          <w:spacing w:val="7"/>
        </w:rPr>
        <w:t xml:space="preserve"> </w:t>
      </w:r>
      <w:r>
        <w:rPr>
          <w:rFonts w:eastAsia="Roboto"/>
          <w:color w:val="202024"/>
        </w:rPr>
        <w:t>that</w:t>
      </w:r>
      <w:r>
        <w:rPr>
          <w:rFonts w:eastAsia="Roboto"/>
          <w:color w:val="202024"/>
          <w:spacing w:val="8"/>
        </w:rPr>
        <w:t xml:space="preserve"> </w:t>
      </w:r>
      <w:r>
        <w:rPr>
          <w:rFonts w:eastAsia="Roboto"/>
          <w:color w:val="202024"/>
        </w:rPr>
        <w:t>are</w:t>
      </w:r>
      <w:r>
        <w:rPr>
          <w:rFonts w:eastAsia="Roboto"/>
          <w:color w:val="202024"/>
          <w:spacing w:val="7"/>
        </w:rPr>
        <w:t xml:space="preserve"> </w:t>
      </w:r>
      <w:r>
        <w:rPr>
          <w:rFonts w:eastAsia="Roboto"/>
          <w:color w:val="202024"/>
        </w:rPr>
        <w:t>prevalent</w:t>
      </w:r>
      <w:r>
        <w:rPr>
          <w:rFonts w:eastAsia="Roboto"/>
          <w:color w:val="202024"/>
          <w:spacing w:val="7"/>
        </w:rPr>
        <w:t xml:space="preserve"> </w:t>
      </w:r>
      <w:r>
        <w:rPr>
          <w:rFonts w:eastAsia="Roboto"/>
          <w:color w:val="202024"/>
        </w:rPr>
        <w:t>in</w:t>
      </w:r>
      <w:r>
        <w:rPr>
          <w:rFonts w:eastAsia="Roboto"/>
          <w:color w:val="202024"/>
          <w:spacing w:val="7"/>
        </w:rPr>
        <w:t xml:space="preserve"> </w:t>
      </w:r>
      <w:r>
        <w:rPr>
          <w:rFonts w:eastAsia="Roboto"/>
          <w:color w:val="202024"/>
        </w:rPr>
        <w:t>the</w:t>
      </w:r>
      <w:r>
        <w:rPr>
          <w:rFonts w:eastAsia="Roboto"/>
          <w:color w:val="202024"/>
          <w:spacing w:val="1"/>
        </w:rPr>
        <w:t xml:space="preserve"> </w:t>
      </w:r>
      <w:r>
        <w:rPr>
          <w:rFonts w:eastAsia="Roboto"/>
          <w:color w:val="202024"/>
        </w:rPr>
        <w:t>industry.</w:t>
      </w:r>
    </w:p>
    <w:p w14:paraId="48484023">
      <w:pPr>
        <w:widowControl w:val="0"/>
        <w:autoSpaceDE w:val="0"/>
        <w:autoSpaceDN w:val="0"/>
        <w:jc w:val="both"/>
        <w:rPr>
          <w:rFonts w:eastAsia="Roboto"/>
        </w:rPr>
      </w:pPr>
    </w:p>
    <w:p w14:paraId="16D15D94">
      <w:pPr>
        <w:widowControl w:val="0"/>
        <w:autoSpaceDE w:val="0"/>
        <w:autoSpaceDN w:val="0"/>
        <w:spacing w:before="1" w:line="285" w:lineRule="auto"/>
        <w:ind w:right="272"/>
        <w:jc w:val="both"/>
        <w:rPr>
          <w:rFonts w:eastAsia="Roboto"/>
        </w:rPr>
      </w:pPr>
      <w:r>
        <w:rPr>
          <w:rFonts w:eastAsia="Roboto"/>
          <w:color w:val="202024"/>
        </w:rPr>
        <w:t>Some</w:t>
      </w:r>
      <w:r>
        <w:rPr>
          <w:rFonts w:eastAsia="Roboto"/>
          <w:color w:val="202024"/>
          <w:spacing w:val="10"/>
        </w:rPr>
        <w:t xml:space="preserve"> </w:t>
      </w:r>
      <w:r>
        <w:rPr>
          <w:rFonts w:eastAsia="Roboto"/>
          <w:color w:val="202024"/>
        </w:rPr>
        <w:t>Rules</w:t>
      </w:r>
      <w:r>
        <w:rPr>
          <w:rFonts w:eastAsia="Roboto"/>
          <w:color w:val="202024"/>
          <w:spacing w:val="11"/>
        </w:rPr>
        <w:t xml:space="preserve"> </w:t>
      </w:r>
      <w:r>
        <w:rPr>
          <w:rFonts w:eastAsia="Roboto"/>
          <w:color w:val="202024"/>
        </w:rPr>
        <w:t>of</w:t>
      </w:r>
      <w:r>
        <w:rPr>
          <w:rFonts w:eastAsia="Roboto"/>
          <w:color w:val="202024"/>
          <w:spacing w:val="10"/>
        </w:rPr>
        <w:t xml:space="preserve"> </w:t>
      </w:r>
      <w:r>
        <w:rPr>
          <w:rFonts w:eastAsia="Roboto"/>
          <w:color w:val="202024"/>
        </w:rPr>
        <w:t>court</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practice</w:t>
      </w:r>
      <w:r>
        <w:rPr>
          <w:rFonts w:eastAsia="Roboto"/>
          <w:color w:val="202024"/>
          <w:spacing w:val="10"/>
        </w:rPr>
        <w:t xml:space="preserve"> </w:t>
      </w:r>
      <w:r>
        <w:rPr>
          <w:rFonts w:eastAsia="Roboto"/>
          <w:color w:val="202024"/>
        </w:rPr>
        <w:t>directions</w:t>
      </w:r>
      <w:r>
        <w:rPr>
          <w:rFonts w:eastAsia="Roboto"/>
          <w:color w:val="202024"/>
          <w:spacing w:val="11"/>
        </w:rPr>
        <w:t xml:space="preserve"> </w:t>
      </w:r>
      <w:r>
        <w:rPr>
          <w:rFonts w:eastAsia="Roboto"/>
          <w:color w:val="202024"/>
        </w:rPr>
        <w:t>recently</w:t>
      </w:r>
      <w:r>
        <w:rPr>
          <w:rFonts w:eastAsia="Roboto"/>
          <w:color w:val="202024"/>
          <w:spacing w:val="11"/>
        </w:rPr>
        <w:t xml:space="preserve"> </w:t>
      </w:r>
      <w:r>
        <w:rPr>
          <w:rFonts w:eastAsia="Roboto"/>
          <w:color w:val="202024"/>
        </w:rPr>
        <w:t>issued</w:t>
      </w:r>
      <w:r>
        <w:rPr>
          <w:rFonts w:eastAsia="Roboto"/>
          <w:color w:val="202024"/>
          <w:spacing w:val="10"/>
        </w:rPr>
        <w:t xml:space="preserve"> </w:t>
      </w:r>
      <w:r>
        <w:rPr>
          <w:rFonts w:eastAsia="Roboto"/>
          <w:color w:val="202024"/>
        </w:rPr>
        <w:t>further</w:t>
      </w:r>
      <w:r>
        <w:rPr>
          <w:rFonts w:eastAsia="Roboto"/>
          <w:color w:val="202024"/>
          <w:spacing w:val="11"/>
        </w:rPr>
        <w:t xml:space="preserve"> </w:t>
      </w:r>
      <w:r>
        <w:rPr>
          <w:rFonts w:eastAsia="Roboto"/>
          <w:color w:val="202024"/>
        </w:rPr>
        <w:t>threatens</w:t>
      </w:r>
      <w:r>
        <w:rPr>
          <w:rFonts w:eastAsia="Roboto"/>
          <w:color w:val="202024"/>
          <w:spacing w:val="11"/>
        </w:rPr>
        <w:t xml:space="preserve"> </w:t>
      </w:r>
      <w:r>
        <w:rPr>
          <w:rFonts w:eastAsia="Roboto"/>
          <w:color w:val="202024"/>
        </w:rPr>
        <w:t>the</w:t>
      </w:r>
      <w:r>
        <w:rPr>
          <w:rFonts w:eastAsia="Roboto"/>
          <w:color w:val="202024"/>
          <w:spacing w:val="10"/>
        </w:rPr>
        <w:t xml:space="preserve"> </w:t>
      </w:r>
      <w:r>
        <w:rPr>
          <w:rFonts w:eastAsia="Roboto"/>
          <w:color w:val="202024"/>
        </w:rPr>
        <w:t>effective</w:t>
      </w:r>
      <w:r>
        <w:rPr>
          <w:rFonts w:eastAsia="Roboto"/>
          <w:color w:val="202024"/>
          <w:spacing w:val="1"/>
        </w:rPr>
        <w:t xml:space="preserve"> </w:t>
      </w:r>
      <w:r>
        <w:rPr>
          <w:rFonts w:eastAsia="Roboto"/>
          <w:color w:val="202024"/>
        </w:rPr>
        <w:t>administration</w:t>
      </w:r>
      <w:r>
        <w:rPr>
          <w:rFonts w:eastAsia="Roboto"/>
          <w:color w:val="202024"/>
          <w:spacing w:val="11"/>
        </w:rPr>
        <w:t xml:space="preserve"> </w:t>
      </w:r>
      <w:r>
        <w:rPr>
          <w:rFonts w:eastAsia="Roboto"/>
          <w:color w:val="202024"/>
        </w:rPr>
        <w:t>of</w:t>
      </w:r>
      <w:r>
        <w:rPr>
          <w:rFonts w:eastAsia="Roboto"/>
          <w:color w:val="202024"/>
          <w:spacing w:val="11"/>
        </w:rPr>
        <w:t xml:space="preserve"> </w:t>
      </w:r>
      <w:r>
        <w:rPr>
          <w:rFonts w:eastAsia="Roboto"/>
          <w:color w:val="202024"/>
        </w:rPr>
        <w:t>tax</w:t>
      </w:r>
      <w:r>
        <w:rPr>
          <w:rFonts w:eastAsia="Roboto"/>
          <w:color w:val="202024"/>
          <w:spacing w:val="12"/>
        </w:rPr>
        <w:t xml:space="preserve"> </w:t>
      </w:r>
      <w:r>
        <w:rPr>
          <w:rFonts w:eastAsia="Roboto"/>
          <w:color w:val="202024"/>
        </w:rPr>
        <w:t>legislation</w:t>
      </w:r>
      <w:r>
        <w:rPr>
          <w:rFonts w:eastAsia="Roboto"/>
          <w:color w:val="202024"/>
          <w:spacing w:val="11"/>
        </w:rPr>
        <w:t xml:space="preserve"> </w:t>
      </w:r>
      <w:r>
        <w:rPr>
          <w:rFonts w:eastAsia="Roboto"/>
          <w:color w:val="202024"/>
        </w:rPr>
        <w:t>as</w:t>
      </w:r>
      <w:r>
        <w:rPr>
          <w:rFonts w:eastAsia="Roboto"/>
          <w:color w:val="202024"/>
          <w:spacing w:val="11"/>
        </w:rPr>
        <w:t xml:space="preserve"> </w:t>
      </w:r>
      <w:r>
        <w:rPr>
          <w:rFonts w:eastAsia="Roboto"/>
          <w:color w:val="202024"/>
        </w:rPr>
        <w:t>the</w:t>
      </w:r>
      <w:r>
        <w:rPr>
          <w:rFonts w:eastAsia="Roboto"/>
          <w:color w:val="202024"/>
          <w:spacing w:val="12"/>
        </w:rPr>
        <w:t xml:space="preserve"> </w:t>
      </w:r>
      <w:r>
        <w:rPr>
          <w:rFonts w:eastAsia="Roboto"/>
          <w:color w:val="202024"/>
        </w:rPr>
        <w:t>rules</w:t>
      </w:r>
      <w:r>
        <w:rPr>
          <w:rFonts w:eastAsia="Roboto"/>
          <w:color w:val="202024"/>
          <w:spacing w:val="11"/>
        </w:rPr>
        <w:t xml:space="preserve"> </w:t>
      </w:r>
      <w:r>
        <w:rPr>
          <w:rFonts w:eastAsia="Roboto"/>
          <w:color w:val="202024"/>
        </w:rPr>
        <w:t>seek</w:t>
      </w:r>
      <w:r>
        <w:rPr>
          <w:rFonts w:eastAsia="Roboto"/>
          <w:color w:val="202024"/>
          <w:spacing w:val="11"/>
        </w:rPr>
        <w:t xml:space="preserve"> </w:t>
      </w:r>
      <w:r>
        <w:rPr>
          <w:rFonts w:eastAsia="Roboto"/>
          <w:color w:val="202024"/>
        </w:rPr>
        <w:t>to</w:t>
      </w:r>
      <w:r>
        <w:rPr>
          <w:rFonts w:eastAsia="Roboto"/>
          <w:color w:val="202024"/>
          <w:spacing w:val="12"/>
        </w:rPr>
        <w:t xml:space="preserve"> </w:t>
      </w:r>
      <w:r>
        <w:rPr>
          <w:rFonts w:eastAsia="Roboto"/>
          <w:color w:val="202024"/>
        </w:rPr>
        <w:t>derogate</w:t>
      </w:r>
      <w:r>
        <w:rPr>
          <w:rFonts w:eastAsia="Roboto"/>
          <w:color w:val="202024"/>
          <w:spacing w:val="11"/>
        </w:rPr>
        <w:t xml:space="preserve"> </w:t>
      </w:r>
      <w:r>
        <w:rPr>
          <w:rFonts w:eastAsia="Roboto"/>
          <w:color w:val="202024"/>
        </w:rPr>
        <w:t>from</w:t>
      </w:r>
      <w:r>
        <w:rPr>
          <w:rFonts w:eastAsia="Roboto"/>
          <w:color w:val="202024"/>
          <w:spacing w:val="11"/>
        </w:rPr>
        <w:t xml:space="preserve"> </w:t>
      </w:r>
      <w:r>
        <w:rPr>
          <w:rFonts w:eastAsia="Roboto"/>
          <w:color w:val="202024"/>
        </w:rPr>
        <w:t>the</w:t>
      </w:r>
      <w:r>
        <w:rPr>
          <w:rFonts w:eastAsia="Roboto"/>
          <w:color w:val="202024"/>
          <w:spacing w:val="12"/>
        </w:rPr>
        <w:t xml:space="preserve"> </w:t>
      </w:r>
      <w:r>
        <w:rPr>
          <w:rFonts w:eastAsia="Roboto"/>
          <w:color w:val="202024"/>
        </w:rPr>
        <w:t>constitutional</w:t>
      </w:r>
      <w:r>
        <w:rPr>
          <w:rFonts w:eastAsia="Roboto"/>
          <w:color w:val="202024"/>
          <w:spacing w:val="11"/>
        </w:rPr>
        <w:t xml:space="preserve"> </w:t>
      </w:r>
      <w:r>
        <w:rPr>
          <w:rFonts w:eastAsia="Roboto"/>
          <w:color w:val="202024"/>
        </w:rPr>
        <w:t>rights</w:t>
      </w:r>
      <w:r>
        <w:rPr>
          <w:rFonts w:eastAsia="Roboto"/>
          <w:color w:val="202024"/>
          <w:spacing w:val="11"/>
        </w:rPr>
        <w:t xml:space="preserve"> </w:t>
      </w:r>
      <w:r>
        <w:rPr>
          <w:rFonts w:eastAsia="Roboto"/>
          <w:color w:val="202024"/>
        </w:rPr>
        <w:t>of</w:t>
      </w:r>
      <w:r>
        <w:rPr>
          <w:rFonts w:eastAsia="Roboto"/>
          <w:color w:val="202024"/>
          <w:spacing w:val="-49"/>
        </w:rPr>
        <w:t xml:space="preserve"> </w:t>
      </w:r>
      <w:r>
        <w:rPr>
          <w:rFonts w:eastAsia="Roboto"/>
          <w:color w:val="202024"/>
        </w:rPr>
        <w:t>the</w:t>
      </w:r>
      <w:r>
        <w:rPr>
          <w:rFonts w:eastAsia="Roboto"/>
          <w:color w:val="202024"/>
          <w:spacing w:val="5"/>
        </w:rPr>
        <w:t xml:space="preserve"> </w:t>
      </w:r>
      <w:r>
        <w:rPr>
          <w:rFonts w:eastAsia="Roboto"/>
          <w:color w:val="202024"/>
        </w:rPr>
        <w:t>tax</w:t>
      </w:r>
      <w:r>
        <w:rPr>
          <w:rFonts w:eastAsia="Roboto"/>
          <w:color w:val="202024"/>
          <w:spacing w:val="5"/>
        </w:rPr>
        <w:t xml:space="preserve"> </w:t>
      </w:r>
      <w:r>
        <w:rPr>
          <w:rFonts w:eastAsia="Roboto"/>
          <w:color w:val="202024"/>
        </w:rPr>
        <w:t>payers</w:t>
      </w:r>
      <w:r>
        <w:rPr>
          <w:rFonts w:eastAsia="Roboto"/>
          <w:color w:val="202024"/>
          <w:spacing w:val="5"/>
        </w:rPr>
        <w:t xml:space="preserve"> </w:t>
      </w:r>
      <w:r>
        <w:rPr>
          <w:rFonts w:eastAsia="Roboto"/>
          <w:color w:val="202024"/>
        </w:rPr>
        <w:t>to</w:t>
      </w:r>
      <w:r>
        <w:rPr>
          <w:rFonts w:eastAsia="Roboto"/>
          <w:color w:val="202024"/>
          <w:spacing w:val="5"/>
        </w:rPr>
        <w:t xml:space="preserve"> </w:t>
      </w:r>
      <w:r>
        <w:rPr>
          <w:rFonts w:eastAsia="Roboto"/>
          <w:color w:val="202024"/>
        </w:rPr>
        <w:t>appeal.</w:t>
      </w:r>
    </w:p>
    <w:p w14:paraId="78FFA897">
      <w:pPr>
        <w:widowControl w:val="0"/>
        <w:autoSpaceDE w:val="0"/>
        <w:autoSpaceDN w:val="0"/>
        <w:spacing w:before="11"/>
        <w:jc w:val="both"/>
        <w:rPr>
          <w:rFonts w:eastAsia="Roboto"/>
        </w:rPr>
      </w:pPr>
    </w:p>
    <w:p w14:paraId="02F3A10B">
      <w:pPr>
        <w:widowControl w:val="0"/>
        <w:autoSpaceDE w:val="0"/>
        <w:autoSpaceDN w:val="0"/>
        <w:spacing w:before="1"/>
        <w:jc w:val="both"/>
        <w:rPr>
          <w:rFonts w:eastAsia="Roboto"/>
        </w:rPr>
      </w:pPr>
      <w:r>
        <w:rPr>
          <w:rFonts w:eastAsia="Roboto"/>
          <w:color w:val="202024"/>
        </w:rPr>
        <w:t>The</w:t>
      </w:r>
      <w:r>
        <w:rPr>
          <w:rFonts w:eastAsia="Roboto"/>
          <w:color w:val="202024"/>
          <w:spacing w:val="9"/>
        </w:rPr>
        <w:t xml:space="preserve"> </w:t>
      </w:r>
      <w:r>
        <w:rPr>
          <w:rFonts w:eastAsia="Roboto"/>
          <w:color w:val="202024"/>
        </w:rPr>
        <w:t>judicial</w:t>
      </w:r>
      <w:r>
        <w:rPr>
          <w:rFonts w:eastAsia="Roboto"/>
          <w:color w:val="202024"/>
          <w:spacing w:val="10"/>
        </w:rPr>
        <w:t xml:space="preserve"> </w:t>
      </w:r>
      <w:r>
        <w:rPr>
          <w:rFonts w:eastAsia="Roboto"/>
          <w:color w:val="202024"/>
        </w:rPr>
        <w:t>decisions</w:t>
      </w:r>
      <w:r>
        <w:rPr>
          <w:rFonts w:eastAsia="Roboto"/>
          <w:color w:val="202024"/>
          <w:spacing w:val="9"/>
        </w:rPr>
        <w:t xml:space="preserve"> </w:t>
      </w:r>
      <w:r>
        <w:rPr>
          <w:rFonts w:eastAsia="Roboto"/>
          <w:color w:val="202024"/>
        </w:rPr>
        <w:t>have</w:t>
      </w:r>
      <w:r>
        <w:rPr>
          <w:rFonts w:eastAsia="Roboto"/>
          <w:color w:val="202024"/>
          <w:spacing w:val="10"/>
        </w:rPr>
        <w:t xml:space="preserve"> </w:t>
      </w:r>
      <w:r>
        <w:rPr>
          <w:rFonts w:eastAsia="Roboto"/>
          <w:color w:val="202024"/>
        </w:rPr>
        <w:t>been</w:t>
      </w:r>
      <w:r>
        <w:rPr>
          <w:rFonts w:eastAsia="Roboto"/>
          <w:color w:val="202024"/>
          <w:spacing w:val="10"/>
        </w:rPr>
        <w:t xml:space="preserve"> </w:t>
      </w:r>
      <w:r>
        <w:rPr>
          <w:rFonts w:eastAsia="Roboto"/>
          <w:color w:val="202024"/>
        </w:rPr>
        <w:t>mixed</w:t>
      </w:r>
      <w:r>
        <w:rPr>
          <w:rFonts w:eastAsia="Roboto"/>
          <w:color w:val="202024"/>
          <w:spacing w:val="9"/>
        </w:rPr>
        <w:t xml:space="preserve"> </w:t>
      </w:r>
      <w:r>
        <w:rPr>
          <w:rFonts w:eastAsia="Roboto"/>
          <w:color w:val="202024"/>
        </w:rPr>
        <w:t>in</w:t>
      </w:r>
      <w:r>
        <w:rPr>
          <w:rFonts w:eastAsia="Roboto"/>
          <w:color w:val="202024"/>
          <w:spacing w:val="10"/>
        </w:rPr>
        <w:t xml:space="preserve"> </w:t>
      </w:r>
      <w:r>
        <w:rPr>
          <w:rFonts w:eastAsia="Roboto"/>
          <w:color w:val="202024"/>
        </w:rPr>
        <w:t>their</w:t>
      </w:r>
      <w:r>
        <w:rPr>
          <w:rFonts w:eastAsia="Roboto"/>
          <w:color w:val="202024"/>
          <w:spacing w:val="10"/>
        </w:rPr>
        <w:t xml:space="preserve"> </w:t>
      </w:r>
      <w:r>
        <w:rPr>
          <w:rFonts w:eastAsia="Roboto"/>
          <w:color w:val="202024"/>
        </w:rPr>
        <w:t>impact</w:t>
      </w:r>
    </w:p>
    <w:p w14:paraId="5775E3F5">
      <w:pPr>
        <w:widowControl w:val="0"/>
        <w:autoSpaceDE w:val="0"/>
        <w:autoSpaceDN w:val="0"/>
        <w:spacing w:before="11"/>
        <w:jc w:val="both"/>
        <w:rPr>
          <w:rFonts w:eastAsia="Roboto"/>
        </w:rPr>
      </w:pPr>
    </w:p>
    <w:p w14:paraId="60B71A5A">
      <w:pPr>
        <w:widowControl w:val="0"/>
        <w:autoSpaceDE w:val="0"/>
        <w:autoSpaceDN w:val="0"/>
        <w:spacing w:before="1" w:line="285" w:lineRule="auto"/>
        <w:ind w:right="412"/>
        <w:jc w:val="both"/>
        <w:rPr>
          <w:rFonts w:eastAsia="Roboto"/>
        </w:rPr>
      </w:pPr>
      <w:r>
        <w:rPr>
          <w:rFonts w:eastAsia="Roboto"/>
          <w:color w:val="202024"/>
        </w:rPr>
        <w:t>knowledge of the system cannot be over -emphasised. this is an area that we require a lot of</w:t>
      </w:r>
      <w:r>
        <w:rPr>
          <w:rFonts w:eastAsia="Roboto"/>
          <w:color w:val="202024"/>
          <w:spacing w:val="1"/>
        </w:rPr>
        <w:t xml:space="preserve"> </w:t>
      </w:r>
      <w:r>
        <w:rPr>
          <w:rFonts w:eastAsia="Roboto"/>
          <w:color w:val="202024"/>
        </w:rPr>
        <w:t>work in Nigeria. in some instances there is a struggle to understand tax on the one hand then</w:t>
      </w:r>
      <w:r>
        <w:rPr>
          <w:rFonts w:eastAsia="Roboto"/>
          <w:color w:val="202024"/>
          <w:spacing w:val="1"/>
        </w:rPr>
        <w:t xml:space="preserve"> </w:t>
      </w:r>
      <w:r>
        <w:rPr>
          <w:rFonts w:eastAsia="Roboto"/>
          <w:color w:val="202024"/>
        </w:rPr>
        <w:t>layered</w:t>
      </w:r>
      <w:r>
        <w:rPr>
          <w:rFonts w:eastAsia="Roboto"/>
          <w:color w:val="202024"/>
          <w:spacing w:val="5"/>
        </w:rPr>
        <w:t xml:space="preserve"> </w:t>
      </w:r>
      <w:r>
        <w:rPr>
          <w:rFonts w:eastAsia="Roboto"/>
          <w:color w:val="202024"/>
        </w:rPr>
        <w:t>with</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industry</w:t>
      </w:r>
      <w:r>
        <w:rPr>
          <w:rFonts w:eastAsia="Roboto"/>
          <w:color w:val="202024"/>
          <w:spacing w:val="6"/>
        </w:rPr>
        <w:t xml:space="preserve"> </w:t>
      </w:r>
      <w:r>
        <w:rPr>
          <w:rFonts w:eastAsia="Roboto"/>
          <w:color w:val="202024"/>
        </w:rPr>
        <w:t>knowledge</w:t>
      </w:r>
      <w:r>
        <w:rPr>
          <w:rFonts w:eastAsia="Roboto"/>
          <w:color w:val="202024"/>
          <w:spacing w:val="6"/>
        </w:rPr>
        <w:t xml:space="preserve"> </w:t>
      </w:r>
      <w:r>
        <w:rPr>
          <w:rFonts w:eastAsia="Roboto"/>
          <w:color w:val="202024"/>
        </w:rPr>
        <w:t>-</w:t>
      </w:r>
      <w:r>
        <w:rPr>
          <w:rFonts w:eastAsia="Roboto"/>
          <w:color w:val="202024"/>
          <w:spacing w:val="6"/>
        </w:rPr>
        <w:t xml:space="preserve"> </w:t>
      </w:r>
      <w:r>
        <w:rPr>
          <w:rFonts w:eastAsia="Roboto"/>
          <w:color w:val="202024"/>
        </w:rPr>
        <w:t>judicial</w:t>
      </w:r>
      <w:r>
        <w:rPr>
          <w:rFonts w:eastAsia="Roboto"/>
          <w:color w:val="202024"/>
          <w:spacing w:val="6"/>
        </w:rPr>
        <w:t xml:space="preserve"> </w:t>
      </w:r>
      <w:r>
        <w:rPr>
          <w:rFonts w:eastAsia="Roboto"/>
          <w:color w:val="202024"/>
        </w:rPr>
        <w:t>officers</w:t>
      </w:r>
      <w:r>
        <w:rPr>
          <w:rFonts w:eastAsia="Roboto"/>
          <w:color w:val="202024"/>
          <w:spacing w:val="6"/>
        </w:rPr>
        <w:t xml:space="preserve"> </w:t>
      </w:r>
      <w:r>
        <w:rPr>
          <w:rFonts w:eastAsia="Roboto"/>
          <w:color w:val="202024"/>
        </w:rPr>
        <w:t>need</w:t>
      </w:r>
      <w:r>
        <w:rPr>
          <w:rFonts w:eastAsia="Roboto"/>
          <w:color w:val="202024"/>
          <w:spacing w:val="6"/>
        </w:rPr>
        <w:t xml:space="preserve"> </w:t>
      </w:r>
      <w:r>
        <w:rPr>
          <w:rFonts w:eastAsia="Roboto"/>
          <w:color w:val="202024"/>
        </w:rPr>
        <w:t>quite</w:t>
      </w:r>
      <w:r>
        <w:rPr>
          <w:rFonts w:eastAsia="Roboto"/>
          <w:color w:val="202024"/>
          <w:spacing w:val="6"/>
        </w:rPr>
        <w:t xml:space="preserve"> </w:t>
      </w:r>
      <w:r>
        <w:rPr>
          <w:rFonts w:eastAsia="Roboto"/>
          <w:color w:val="202024"/>
        </w:rPr>
        <w:t>some</w:t>
      </w:r>
      <w:r>
        <w:rPr>
          <w:rFonts w:eastAsia="Roboto"/>
          <w:color w:val="202024"/>
          <w:spacing w:val="6"/>
        </w:rPr>
        <w:t xml:space="preserve"> </w:t>
      </w:r>
      <w:r>
        <w:rPr>
          <w:rFonts w:eastAsia="Roboto"/>
          <w:color w:val="202024"/>
        </w:rPr>
        <w:t>training</w:t>
      </w:r>
    </w:p>
    <w:p w14:paraId="6B7AD233">
      <w:pPr>
        <w:widowControl w:val="0"/>
        <w:autoSpaceDE w:val="0"/>
        <w:autoSpaceDN w:val="0"/>
        <w:jc w:val="both"/>
        <w:rPr>
          <w:rFonts w:eastAsia="Roboto"/>
        </w:rPr>
      </w:pPr>
    </w:p>
    <w:p w14:paraId="61DED0C2">
      <w:pPr>
        <w:widowControl w:val="0"/>
        <w:autoSpaceDE w:val="0"/>
        <w:autoSpaceDN w:val="0"/>
        <w:spacing w:line="285" w:lineRule="auto"/>
        <w:ind w:right="272"/>
        <w:jc w:val="both"/>
        <w:rPr>
          <w:rFonts w:eastAsia="Roboto"/>
        </w:rPr>
      </w:pPr>
      <w:r>
        <w:rPr>
          <w:rFonts w:eastAsia="Roboto"/>
          <w:color w:val="202024"/>
        </w:rPr>
        <w:t>The</w:t>
      </w:r>
      <w:r>
        <w:rPr>
          <w:rFonts w:eastAsia="Roboto"/>
          <w:color w:val="202024"/>
          <w:spacing w:val="9"/>
        </w:rPr>
        <w:t xml:space="preserve"> </w:t>
      </w:r>
      <w:r>
        <w:rPr>
          <w:rFonts w:eastAsia="Roboto"/>
          <w:color w:val="202024"/>
        </w:rPr>
        <w:t>role</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10"/>
        </w:rPr>
        <w:t xml:space="preserve"> </w:t>
      </w:r>
      <w:r>
        <w:rPr>
          <w:rFonts w:eastAsia="Roboto"/>
          <w:color w:val="202024"/>
        </w:rPr>
        <w:t>judiciary</w:t>
      </w:r>
      <w:r>
        <w:rPr>
          <w:rFonts w:eastAsia="Roboto"/>
          <w:color w:val="202024"/>
          <w:spacing w:val="9"/>
        </w:rPr>
        <w:t xml:space="preserve"> </w:t>
      </w:r>
      <w:r>
        <w:rPr>
          <w:rFonts w:eastAsia="Roboto"/>
          <w:color w:val="202024"/>
        </w:rPr>
        <w:t>cannot</w:t>
      </w:r>
      <w:r>
        <w:rPr>
          <w:rFonts w:eastAsia="Roboto"/>
          <w:color w:val="202024"/>
          <w:spacing w:val="9"/>
        </w:rPr>
        <w:t xml:space="preserve"> </w:t>
      </w:r>
      <w:r>
        <w:rPr>
          <w:rFonts w:eastAsia="Roboto"/>
          <w:color w:val="202024"/>
        </w:rPr>
        <w:t>be</w:t>
      </w:r>
      <w:r>
        <w:rPr>
          <w:rFonts w:eastAsia="Roboto"/>
          <w:color w:val="202024"/>
          <w:spacing w:val="9"/>
        </w:rPr>
        <w:t xml:space="preserve"> </w:t>
      </w:r>
      <w:r>
        <w:rPr>
          <w:rFonts w:eastAsia="Roboto"/>
          <w:color w:val="202024"/>
        </w:rPr>
        <w:t>understated.</w:t>
      </w:r>
      <w:r>
        <w:rPr>
          <w:rFonts w:eastAsia="Roboto"/>
          <w:color w:val="202024"/>
          <w:spacing w:val="10"/>
        </w:rPr>
        <w:t xml:space="preserve"> </w:t>
      </w:r>
      <w:r>
        <w:rPr>
          <w:rFonts w:eastAsia="Roboto"/>
          <w:color w:val="202024"/>
        </w:rPr>
        <w:t>Interpretation</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numerous</w:t>
      </w:r>
      <w:r>
        <w:rPr>
          <w:rFonts w:eastAsia="Roboto"/>
          <w:color w:val="202024"/>
          <w:spacing w:val="9"/>
        </w:rPr>
        <w:t xml:space="preserve"> </w:t>
      </w:r>
      <w:r>
        <w:rPr>
          <w:rFonts w:eastAsia="Roboto"/>
          <w:color w:val="202024"/>
        </w:rPr>
        <w:t>ambigous</w:t>
      </w:r>
      <w:r>
        <w:rPr>
          <w:rFonts w:eastAsia="Roboto"/>
          <w:color w:val="202024"/>
          <w:spacing w:val="1"/>
        </w:rPr>
        <w:t xml:space="preserve"> </w:t>
      </w:r>
      <w:r>
        <w:rPr>
          <w:rFonts w:eastAsia="Roboto"/>
          <w:color w:val="202024"/>
        </w:rPr>
        <w:t>provisions</w:t>
      </w:r>
      <w:r>
        <w:rPr>
          <w:rFonts w:eastAsia="Roboto"/>
          <w:color w:val="202024"/>
          <w:spacing w:val="10"/>
        </w:rPr>
        <w:t xml:space="preserve"> </w:t>
      </w:r>
      <w:r>
        <w:rPr>
          <w:rFonts w:eastAsia="Roboto"/>
          <w:color w:val="202024"/>
        </w:rPr>
        <w:t>often</w:t>
      </w:r>
      <w:r>
        <w:rPr>
          <w:rFonts w:eastAsia="Roboto"/>
          <w:color w:val="202024"/>
          <w:spacing w:val="11"/>
        </w:rPr>
        <w:t xml:space="preserve"> </w:t>
      </w:r>
      <w:r>
        <w:rPr>
          <w:rFonts w:eastAsia="Roboto"/>
          <w:color w:val="202024"/>
        </w:rPr>
        <w:t>turn</w:t>
      </w:r>
      <w:r>
        <w:rPr>
          <w:rFonts w:eastAsia="Roboto"/>
          <w:color w:val="202024"/>
          <w:spacing w:val="11"/>
        </w:rPr>
        <w:t xml:space="preserve"> </w:t>
      </w:r>
      <w:r>
        <w:rPr>
          <w:rFonts w:eastAsia="Roboto"/>
          <w:color w:val="202024"/>
        </w:rPr>
        <w:t>on</w:t>
      </w:r>
      <w:r>
        <w:rPr>
          <w:rFonts w:eastAsia="Roboto"/>
          <w:color w:val="202024"/>
          <w:spacing w:val="11"/>
        </w:rPr>
        <w:t xml:space="preserve"> </w:t>
      </w:r>
      <w:r>
        <w:rPr>
          <w:rFonts w:eastAsia="Roboto"/>
          <w:color w:val="202024"/>
        </w:rPr>
        <w:t>the</w:t>
      </w:r>
      <w:r>
        <w:rPr>
          <w:rFonts w:eastAsia="Roboto"/>
          <w:color w:val="202024"/>
          <w:spacing w:val="11"/>
        </w:rPr>
        <w:t xml:space="preserve"> </w:t>
      </w:r>
      <w:r>
        <w:rPr>
          <w:rFonts w:eastAsia="Roboto"/>
          <w:color w:val="202024"/>
        </w:rPr>
        <w:t>judicial</w:t>
      </w:r>
      <w:r>
        <w:rPr>
          <w:rFonts w:eastAsia="Roboto"/>
          <w:color w:val="202024"/>
          <w:spacing w:val="10"/>
        </w:rPr>
        <w:t xml:space="preserve"> </w:t>
      </w:r>
      <w:r>
        <w:rPr>
          <w:rFonts w:eastAsia="Roboto"/>
          <w:color w:val="202024"/>
        </w:rPr>
        <w:t>interpretation</w:t>
      </w:r>
      <w:r>
        <w:rPr>
          <w:rFonts w:eastAsia="Roboto"/>
          <w:color w:val="202024"/>
          <w:spacing w:val="11"/>
        </w:rPr>
        <w:t xml:space="preserve"> </w:t>
      </w:r>
      <w:r>
        <w:rPr>
          <w:rFonts w:eastAsia="Roboto"/>
          <w:color w:val="202024"/>
        </w:rPr>
        <w:t>and</w:t>
      </w:r>
      <w:r>
        <w:rPr>
          <w:rFonts w:eastAsia="Roboto"/>
          <w:color w:val="202024"/>
          <w:spacing w:val="11"/>
        </w:rPr>
        <w:t xml:space="preserve"> </w:t>
      </w:r>
      <w:r>
        <w:rPr>
          <w:rFonts w:eastAsia="Roboto"/>
          <w:color w:val="202024"/>
        </w:rPr>
        <w:t>judicial</w:t>
      </w:r>
      <w:r>
        <w:rPr>
          <w:rFonts w:eastAsia="Roboto"/>
          <w:color w:val="202024"/>
          <w:spacing w:val="11"/>
        </w:rPr>
        <w:t xml:space="preserve"> </w:t>
      </w:r>
      <w:r>
        <w:rPr>
          <w:rFonts w:eastAsia="Roboto"/>
          <w:color w:val="202024"/>
        </w:rPr>
        <w:t>officers</w:t>
      </w:r>
      <w:r>
        <w:rPr>
          <w:rFonts w:eastAsia="Roboto"/>
          <w:color w:val="202024"/>
          <w:spacing w:val="11"/>
        </w:rPr>
        <w:t xml:space="preserve"> </w:t>
      </w:r>
      <w:r>
        <w:rPr>
          <w:rFonts w:eastAsia="Roboto"/>
          <w:color w:val="202024"/>
        </w:rPr>
        <w:t>are</w:t>
      </w:r>
      <w:r>
        <w:rPr>
          <w:rFonts w:eastAsia="Roboto"/>
          <w:color w:val="202024"/>
          <w:spacing w:val="11"/>
        </w:rPr>
        <w:t xml:space="preserve"> </w:t>
      </w:r>
      <w:r>
        <w:rPr>
          <w:rFonts w:eastAsia="Roboto"/>
          <w:color w:val="202024"/>
        </w:rPr>
        <w:t>therefore</w:t>
      </w:r>
      <w:r>
        <w:rPr>
          <w:rFonts w:eastAsia="Roboto"/>
          <w:color w:val="202024"/>
          <w:spacing w:val="10"/>
        </w:rPr>
        <w:t xml:space="preserve"> </w:t>
      </w:r>
      <w:r>
        <w:rPr>
          <w:rFonts w:eastAsia="Roboto"/>
          <w:color w:val="202024"/>
        </w:rPr>
        <w:t>key</w:t>
      </w:r>
      <w:r>
        <w:rPr>
          <w:rFonts w:eastAsia="Roboto"/>
          <w:color w:val="202024"/>
          <w:spacing w:val="11"/>
        </w:rPr>
        <w:t xml:space="preserve"> </w:t>
      </w:r>
      <w:r>
        <w:rPr>
          <w:rFonts w:eastAsia="Roboto"/>
          <w:color w:val="202024"/>
        </w:rPr>
        <w:t>to</w:t>
      </w:r>
      <w:r>
        <w:rPr>
          <w:rFonts w:eastAsia="Roboto"/>
          <w:color w:val="202024"/>
          <w:spacing w:val="-49"/>
        </w:rPr>
        <w:t xml:space="preserve"> </w:t>
      </w:r>
      <w:r>
        <w:rPr>
          <w:rFonts w:eastAsia="Roboto"/>
          <w:color w:val="202024"/>
        </w:rPr>
        <w:t>providing</w:t>
      </w:r>
      <w:r>
        <w:rPr>
          <w:rFonts w:eastAsia="Roboto"/>
          <w:color w:val="202024"/>
          <w:spacing w:val="5"/>
        </w:rPr>
        <w:t xml:space="preserve"> </w:t>
      </w:r>
      <w:r>
        <w:rPr>
          <w:rFonts w:eastAsia="Roboto"/>
          <w:color w:val="202024"/>
        </w:rPr>
        <w:t>the</w:t>
      </w:r>
      <w:r>
        <w:rPr>
          <w:rFonts w:eastAsia="Roboto"/>
          <w:color w:val="202024"/>
          <w:spacing w:val="5"/>
        </w:rPr>
        <w:t xml:space="preserve"> </w:t>
      </w:r>
      <w:r>
        <w:rPr>
          <w:rFonts w:eastAsia="Roboto"/>
          <w:color w:val="202024"/>
        </w:rPr>
        <w:t>much</w:t>
      </w:r>
      <w:r>
        <w:rPr>
          <w:rFonts w:eastAsia="Roboto"/>
          <w:color w:val="202024"/>
          <w:spacing w:val="6"/>
        </w:rPr>
        <w:t xml:space="preserve"> </w:t>
      </w:r>
      <w:r>
        <w:rPr>
          <w:rFonts w:eastAsia="Roboto"/>
          <w:color w:val="202024"/>
        </w:rPr>
        <w:t>needed</w:t>
      </w:r>
      <w:r>
        <w:rPr>
          <w:rFonts w:eastAsia="Roboto"/>
          <w:color w:val="202024"/>
          <w:spacing w:val="5"/>
        </w:rPr>
        <w:t xml:space="preserve"> </w:t>
      </w:r>
      <w:r>
        <w:rPr>
          <w:rFonts w:eastAsia="Roboto"/>
          <w:color w:val="202024"/>
        </w:rPr>
        <w:t>clarity</w:t>
      </w:r>
      <w:r>
        <w:rPr>
          <w:rFonts w:eastAsia="Roboto"/>
          <w:color w:val="202024"/>
          <w:spacing w:val="6"/>
        </w:rPr>
        <w:t xml:space="preserve"> </w:t>
      </w:r>
      <w:r>
        <w:rPr>
          <w:rFonts w:eastAsia="Roboto"/>
          <w:color w:val="202024"/>
        </w:rPr>
        <w:t>to</w:t>
      </w:r>
      <w:r>
        <w:rPr>
          <w:rFonts w:eastAsia="Roboto"/>
          <w:color w:val="202024"/>
          <w:spacing w:val="5"/>
        </w:rPr>
        <w:t xml:space="preserve"> </w:t>
      </w:r>
      <w:r>
        <w:rPr>
          <w:rFonts w:eastAsia="Roboto"/>
          <w:color w:val="202024"/>
        </w:rPr>
        <w:t>the</w:t>
      </w:r>
      <w:r>
        <w:rPr>
          <w:rFonts w:eastAsia="Roboto"/>
          <w:color w:val="202024"/>
          <w:spacing w:val="5"/>
        </w:rPr>
        <w:t xml:space="preserve"> </w:t>
      </w:r>
      <w:r>
        <w:rPr>
          <w:rFonts w:eastAsia="Roboto"/>
          <w:color w:val="202024"/>
        </w:rPr>
        <w:t>tax</w:t>
      </w:r>
      <w:r>
        <w:rPr>
          <w:rFonts w:eastAsia="Roboto"/>
          <w:color w:val="202024"/>
          <w:spacing w:val="6"/>
        </w:rPr>
        <w:t xml:space="preserve"> </w:t>
      </w:r>
      <w:r>
        <w:rPr>
          <w:rFonts w:eastAsia="Roboto"/>
          <w:color w:val="202024"/>
        </w:rPr>
        <w:t>space</w:t>
      </w:r>
    </w:p>
    <w:p w14:paraId="3BFB8169">
      <w:pPr>
        <w:widowControl w:val="0"/>
        <w:autoSpaceDE w:val="0"/>
        <w:autoSpaceDN w:val="0"/>
        <w:jc w:val="both"/>
        <w:rPr>
          <w:rFonts w:eastAsia="Roboto"/>
        </w:rPr>
      </w:pPr>
    </w:p>
    <w:p w14:paraId="3AA0784E">
      <w:pPr>
        <w:widowControl w:val="0"/>
        <w:autoSpaceDE w:val="0"/>
        <w:autoSpaceDN w:val="0"/>
        <w:spacing w:line="285" w:lineRule="auto"/>
        <w:ind w:right="272"/>
        <w:jc w:val="both"/>
        <w:rPr>
          <w:rFonts w:eastAsia="Roboto"/>
        </w:rPr>
      </w:pPr>
      <w:r>
        <w:rPr>
          <w:rFonts w:eastAsia="Roboto"/>
          <w:color w:val="202024"/>
        </w:rPr>
        <w:t>For</w:t>
      </w:r>
      <w:r>
        <w:rPr>
          <w:rFonts w:eastAsia="Roboto"/>
          <w:color w:val="202024"/>
          <w:spacing w:val="5"/>
        </w:rPr>
        <w:t xml:space="preserve"> </w:t>
      </w:r>
      <w:r>
        <w:rPr>
          <w:rFonts w:eastAsia="Roboto"/>
          <w:color w:val="202024"/>
        </w:rPr>
        <w:t>the</w:t>
      </w:r>
      <w:r>
        <w:rPr>
          <w:rFonts w:eastAsia="Roboto"/>
          <w:color w:val="202024"/>
          <w:spacing w:val="6"/>
        </w:rPr>
        <w:t xml:space="preserve"> </w:t>
      </w:r>
      <w:r>
        <w:rPr>
          <w:rFonts w:eastAsia="Roboto"/>
          <w:color w:val="202024"/>
        </w:rPr>
        <w:t>Petroleum</w:t>
      </w:r>
      <w:r>
        <w:rPr>
          <w:rFonts w:eastAsia="Roboto"/>
          <w:color w:val="202024"/>
          <w:spacing w:val="6"/>
        </w:rPr>
        <w:t xml:space="preserve"> </w:t>
      </w:r>
      <w:r>
        <w:rPr>
          <w:rFonts w:eastAsia="Roboto"/>
          <w:color w:val="202024"/>
        </w:rPr>
        <w:t>sector,</w:t>
      </w:r>
      <w:r>
        <w:rPr>
          <w:rFonts w:eastAsia="Roboto"/>
          <w:color w:val="202024"/>
          <w:spacing w:val="6"/>
        </w:rPr>
        <w:t xml:space="preserve"> </w:t>
      </w:r>
      <w:r>
        <w:rPr>
          <w:rFonts w:eastAsia="Roboto"/>
          <w:color w:val="202024"/>
        </w:rPr>
        <w:t>we</w:t>
      </w:r>
      <w:r>
        <w:rPr>
          <w:rFonts w:eastAsia="Roboto"/>
          <w:color w:val="202024"/>
          <w:spacing w:val="6"/>
        </w:rPr>
        <w:t xml:space="preserve"> </w:t>
      </w:r>
      <w:r>
        <w:rPr>
          <w:rFonts w:eastAsia="Roboto"/>
          <w:color w:val="202024"/>
        </w:rPr>
        <w:t>continue</w:t>
      </w:r>
      <w:r>
        <w:rPr>
          <w:rFonts w:eastAsia="Roboto"/>
          <w:color w:val="202024"/>
          <w:spacing w:val="6"/>
        </w:rPr>
        <w:t xml:space="preserve"> </w:t>
      </w:r>
      <w:r>
        <w:rPr>
          <w:rFonts w:eastAsia="Roboto"/>
          <w:color w:val="202024"/>
        </w:rPr>
        <w:t>to</w:t>
      </w:r>
      <w:r>
        <w:rPr>
          <w:rFonts w:eastAsia="Roboto"/>
          <w:color w:val="202024"/>
          <w:spacing w:val="6"/>
        </w:rPr>
        <w:t xml:space="preserve"> </w:t>
      </w:r>
      <w:r>
        <w:rPr>
          <w:rFonts w:eastAsia="Roboto"/>
          <w:color w:val="202024"/>
        </w:rPr>
        <w:t>see</w:t>
      </w:r>
      <w:r>
        <w:rPr>
          <w:rFonts w:eastAsia="Roboto"/>
          <w:color w:val="202024"/>
          <w:spacing w:val="6"/>
        </w:rPr>
        <w:t xml:space="preserve"> </w:t>
      </w:r>
      <w:r>
        <w:rPr>
          <w:rFonts w:eastAsia="Roboto"/>
          <w:color w:val="202024"/>
        </w:rPr>
        <w:t>more</w:t>
      </w:r>
      <w:r>
        <w:rPr>
          <w:rFonts w:eastAsia="Roboto"/>
          <w:color w:val="202024"/>
          <w:spacing w:val="6"/>
        </w:rPr>
        <w:t xml:space="preserve"> </w:t>
      </w:r>
      <w:r>
        <w:rPr>
          <w:rFonts w:eastAsia="Roboto"/>
          <w:color w:val="202024"/>
        </w:rPr>
        <w:t>quality</w:t>
      </w:r>
      <w:r>
        <w:rPr>
          <w:rFonts w:eastAsia="Roboto"/>
          <w:color w:val="202024"/>
          <w:spacing w:val="6"/>
        </w:rPr>
        <w:t xml:space="preserve"> </w:t>
      </w:r>
      <w:r>
        <w:rPr>
          <w:rFonts w:eastAsia="Roboto"/>
          <w:color w:val="202024"/>
        </w:rPr>
        <w:t>adjudication</w:t>
      </w:r>
      <w:r>
        <w:rPr>
          <w:rFonts w:eastAsia="Roboto"/>
          <w:color w:val="202024"/>
          <w:spacing w:val="6"/>
        </w:rPr>
        <w:t xml:space="preserve"> </w:t>
      </w:r>
      <w:r>
        <w:rPr>
          <w:rFonts w:eastAsia="Roboto"/>
          <w:color w:val="202024"/>
        </w:rPr>
        <w:t>at</w:t>
      </w:r>
      <w:r>
        <w:rPr>
          <w:rFonts w:eastAsia="Roboto"/>
          <w:color w:val="202024"/>
          <w:spacing w:val="6"/>
        </w:rPr>
        <w:t xml:space="preserve"> </w:t>
      </w:r>
      <w:r>
        <w:rPr>
          <w:rFonts w:eastAsia="Roboto"/>
          <w:color w:val="202024"/>
        </w:rPr>
        <w:t>the</w:t>
      </w:r>
      <w:r>
        <w:rPr>
          <w:rFonts w:eastAsia="Roboto"/>
          <w:color w:val="202024"/>
          <w:spacing w:val="1"/>
        </w:rPr>
        <w:t xml:space="preserve"> </w:t>
      </w:r>
      <w:r>
        <w:rPr>
          <w:rFonts w:eastAsia="Roboto"/>
          <w:color w:val="202024"/>
        </w:rPr>
        <w:t>TAT,</w:t>
      </w:r>
      <w:r>
        <w:rPr>
          <w:rFonts w:eastAsia="Roboto"/>
          <w:color w:val="202024"/>
          <w:spacing w:val="6"/>
        </w:rPr>
        <w:t xml:space="preserve"> </w:t>
      </w:r>
      <w:r>
        <w:rPr>
          <w:rFonts w:eastAsia="Roboto"/>
          <w:color w:val="202024"/>
        </w:rPr>
        <w:t>while</w:t>
      </w:r>
      <w:r>
        <w:rPr>
          <w:rFonts w:eastAsia="Roboto"/>
          <w:color w:val="202024"/>
          <w:spacing w:val="6"/>
        </w:rPr>
        <w:t xml:space="preserve"> </w:t>
      </w:r>
      <w:r>
        <w:rPr>
          <w:rFonts w:eastAsia="Roboto"/>
          <w:color w:val="202024"/>
        </w:rPr>
        <w:t>in</w:t>
      </w:r>
      <w:r>
        <w:rPr>
          <w:rFonts w:eastAsia="Roboto"/>
          <w:color w:val="202024"/>
          <w:spacing w:val="1"/>
        </w:rPr>
        <w:t xml:space="preserve"> </w:t>
      </w:r>
      <w:r>
        <w:rPr>
          <w:rFonts w:eastAsia="Roboto"/>
          <w:color w:val="202024"/>
        </w:rPr>
        <w:t>some</w:t>
      </w:r>
      <w:r>
        <w:rPr>
          <w:rFonts w:eastAsia="Roboto"/>
          <w:color w:val="202024"/>
          <w:spacing w:val="10"/>
        </w:rPr>
        <w:t xml:space="preserve"> </w:t>
      </w:r>
      <w:r>
        <w:rPr>
          <w:rFonts w:eastAsia="Roboto"/>
          <w:color w:val="202024"/>
        </w:rPr>
        <w:t>instances</w:t>
      </w:r>
      <w:r>
        <w:rPr>
          <w:rFonts w:eastAsia="Roboto"/>
          <w:color w:val="202024"/>
          <w:spacing w:val="10"/>
        </w:rPr>
        <w:t xml:space="preserve"> </w:t>
      </w:r>
      <w:r>
        <w:rPr>
          <w:rFonts w:eastAsia="Roboto"/>
          <w:color w:val="202024"/>
        </w:rPr>
        <w:t>at</w:t>
      </w:r>
      <w:r>
        <w:rPr>
          <w:rFonts w:eastAsia="Roboto"/>
          <w:color w:val="202024"/>
          <w:spacing w:val="10"/>
        </w:rPr>
        <w:t xml:space="preserve"> </w:t>
      </w:r>
      <w:r>
        <w:rPr>
          <w:rFonts w:eastAsia="Roboto"/>
          <w:color w:val="202024"/>
        </w:rPr>
        <w:t>the</w:t>
      </w:r>
      <w:r>
        <w:rPr>
          <w:rFonts w:eastAsia="Roboto"/>
          <w:color w:val="202024"/>
          <w:spacing w:val="11"/>
        </w:rPr>
        <w:t xml:space="preserve"> </w:t>
      </w:r>
      <w:r>
        <w:rPr>
          <w:rFonts w:eastAsia="Roboto"/>
          <w:color w:val="202024"/>
        </w:rPr>
        <w:t>FHC</w:t>
      </w:r>
      <w:r>
        <w:rPr>
          <w:rFonts w:eastAsia="Roboto"/>
          <w:color w:val="202024"/>
          <w:spacing w:val="10"/>
        </w:rPr>
        <w:t xml:space="preserve"> </w:t>
      </w:r>
      <w:r>
        <w:rPr>
          <w:rFonts w:eastAsia="Roboto"/>
          <w:color w:val="202024"/>
        </w:rPr>
        <w:t>less</w:t>
      </w:r>
      <w:r>
        <w:rPr>
          <w:rFonts w:eastAsia="Roboto"/>
          <w:color w:val="202024"/>
          <w:spacing w:val="10"/>
        </w:rPr>
        <w:t xml:space="preserve"> </w:t>
      </w:r>
      <w:r>
        <w:rPr>
          <w:rFonts w:eastAsia="Roboto"/>
          <w:color w:val="202024"/>
        </w:rPr>
        <w:t>quality</w:t>
      </w:r>
      <w:r>
        <w:rPr>
          <w:rFonts w:eastAsia="Roboto"/>
          <w:color w:val="202024"/>
          <w:spacing w:val="11"/>
        </w:rPr>
        <w:t xml:space="preserve"> </w:t>
      </w:r>
      <w:r>
        <w:rPr>
          <w:rFonts w:eastAsia="Roboto"/>
          <w:color w:val="202024"/>
        </w:rPr>
        <w:t>kicks</w:t>
      </w:r>
      <w:r>
        <w:rPr>
          <w:rFonts w:eastAsia="Roboto"/>
          <w:color w:val="202024"/>
          <w:spacing w:val="10"/>
        </w:rPr>
        <w:t xml:space="preserve"> </w:t>
      </w:r>
      <w:r>
        <w:rPr>
          <w:rFonts w:eastAsia="Roboto"/>
          <w:color w:val="202024"/>
        </w:rPr>
        <w:t>in</w:t>
      </w:r>
      <w:r>
        <w:rPr>
          <w:rFonts w:eastAsia="Roboto"/>
          <w:color w:val="202024"/>
          <w:spacing w:val="10"/>
        </w:rPr>
        <w:t xml:space="preserve"> </w:t>
      </w:r>
      <w:r>
        <w:rPr>
          <w:rFonts w:eastAsia="Roboto"/>
          <w:color w:val="202024"/>
        </w:rPr>
        <w:t>due</w:t>
      </w:r>
      <w:r>
        <w:rPr>
          <w:rFonts w:eastAsia="Roboto"/>
          <w:color w:val="202024"/>
          <w:spacing w:val="10"/>
        </w:rPr>
        <w:t xml:space="preserve"> </w:t>
      </w:r>
      <w:r>
        <w:rPr>
          <w:rFonts w:eastAsia="Roboto"/>
          <w:color w:val="202024"/>
        </w:rPr>
        <w:t>to</w:t>
      </w:r>
      <w:r>
        <w:rPr>
          <w:rFonts w:eastAsia="Roboto"/>
          <w:color w:val="202024"/>
          <w:spacing w:val="11"/>
        </w:rPr>
        <w:t xml:space="preserve"> </w:t>
      </w:r>
      <w:r>
        <w:rPr>
          <w:rFonts w:eastAsia="Roboto"/>
          <w:color w:val="202024"/>
        </w:rPr>
        <w:t>dearth</w:t>
      </w:r>
      <w:r>
        <w:rPr>
          <w:rFonts w:eastAsia="Roboto"/>
          <w:color w:val="202024"/>
          <w:spacing w:val="10"/>
        </w:rPr>
        <w:t xml:space="preserve"> </w:t>
      </w:r>
      <w:r>
        <w:rPr>
          <w:rFonts w:eastAsia="Roboto"/>
          <w:color w:val="202024"/>
        </w:rPr>
        <w:t>of</w:t>
      </w:r>
      <w:r>
        <w:rPr>
          <w:rFonts w:eastAsia="Roboto"/>
          <w:color w:val="202024"/>
          <w:spacing w:val="10"/>
        </w:rPr>
        <w:t xml:space="preserve"> </w:t>
      </w:r>
      <w:r>
        <w:rPr>
          <w:rFonts w:eastAsia="Roboto"/>
          <w:color w:val="202024"/>
        </w:rPr>
        <w:t>tax</w:t>
      </w:r>
      <w:r>
        <w:rPr>
          <w:rFonts w:eastAsia="Roboto"/>
          <w:color w:val="202024"/>
          <w:spacing w:val="11"/>
        </w:rPr>
        <w:t xml:space="preserve"> </w:t>
      </w:r>
      <w:r>
        <w:rPr>
          <w:rFonts w:eastAsia="Roboto"/>
          <w:color w:val="202024"/>
        </w:rPr>
        <w:t>expertise</w:t>
      </w:r>
      <w:r>
        <w:rPr>
          <w:rFonts w:eastAsia="Roboto"/>
          <w:color w:val="202024"/>
          <w:spacing w:val="10"/>
        </w:rPr>
        <w:t xml:space="preserve"> </w:t>
      </w:r>
      <w:r>
        <w:rPr>
          <w:rFonts w:eastAsia="Roboto"/>
          <w:color w:val="202024"/>
        </w:rPr>
        <w:t>in</w:t>
      </w:r>
      <w:r>
        <w:rPr>
          <w:rFonts w:eastAsia="Roboto"/>
          <w:color w:val="202024"/>
          <w:spacing w:val="10"/>
        </w:rPr>
        <w:t xml:space="preserve"> </w:t>
      </w:r>
      <w:r>
        <w:rPr>
          <w:rFonts w:eastAsia="Roboto"/>
          <w:color w:val="202024"/>
        </w:rPr>
        <w:t>most</w:t>
      </w:r>
      <w:r>
        <w:rPr>
          <w:rFonts w:eastAsia="Roboto"/>
          <w:color w:val="202024"/>
          <w:spacing w:val="10"/>
        </w:rPr>
        <w:t xml:space="preserve"> </w:t>
      </w:r>
      <w:r>
        <w:rPr>
          <w:rFonts w:eastAsia="Roboto"/>
          <w:color w:val="202024"/>
        </w:rPr>
        <w:t>of</w:t>
      </w:r>
      <w:r>
        <w:rPr>
          <w:rFonts w:eastAsia="Roboto"/>
          <w:color w:val="202024"/>
          <w:spacing w:val="11"/>
        </w:rPr>
        <w:t xml:space="preserve"> </w:t>
      </w:r>
      <w:r>
        <w:rPr>
          <w:rFonts w:eastAsia="Roboto"/>
          <w:color w:val="202024"/>
        </w:rPr>
        <w:t>the</w:t>
      </w:r>
      <w:r>
        <w:rPr>
          <w:rFonts w:eastAsia="Roboto"/>
          <w:color w:val="202024"/>
          <w:spacing w:val="-49"/>
        </w:rPr>
        <w:t xml:space="preserve"> </w:t>
      </w:r>
      <w:r>
        <w:rPr>
          <w:rFonts w:eastAsia="Roboto"/>
          <w:color w:val="202024"/>
        </w:rPr>
        <w:t>FHC</w:t>
      </w:r>
    </w:p>
    <w:p w14:paraId="3934160A">
      <w:pPr>
        <w:widowControl w:val="0"/>
        <w:autoSpaceDE w:val="0"/>
        <w:autoSpaceDN w:val="0"/>
        <w:jc w:val="both"/>
        <w:rPr>
          <w:rFonts w:eastAsia="Roboto"/>
        </w:rPr>
      </w:pPr>
    </w:p>
    <w:p w14:paraId="1E3E3EF9">
      <w:pPr>
        <w:widowControl w:val="0"/>
        <w:autoSpaceDE w:val="0"/>
        <w:autoSpaceDN w:val="0"/>
        <w:jc w:val="both"/>
        <w:rPr>
          <w:rFonts w:eastAsia="Roboto"/>
        </w:rPr>
      </w:pPr>
      <w:r>
        <w:rPr>
          <w:rFonts w:eastAsia="Roboto"/>
          <w:color w:val="202024"/>
        </w:rPr>
        <w:t>none</w:t>
      </w:r>
    </w:p>
    <w:p w14:paraId="550298EB">
      <w:pPr>
        <w:widowControl w:val="0"/>
        <w:autoSpaceDE w:val="0"/>
        <w:autoSpaceDN w:val="0"/>
        <w:jc w:val="both"/>
        <w:rPr>
          <w:rFonts w:eastAsia="Roboto"/>
        </w:rPr>
      </w:pPr>
    </w:p>
    <w:p w14:paraId="5FB14DA1">
      <w:pPr>
        <w:widowControl w:val="0"/>
        <w:autoSpaceDE w:val="0"/>
        <w:autoSpaceDN w:val="0"/>
        <w:spacing w:line="285" w:lineRule="auto"/>
        <w:ind w:right="731"/>
        <w:jc w:val="both"/>
        <w:rPr>
          <w:rFonts w:eastAsia="Roboto"/>
        </w:rPr>
      </w:pPr>
      <w:r>
        <w:rPr>
          <w:rFonts w:eastAsia="Roboto"/>
          <w:color w:val="202024"/>
        </w:rPr>
        <w:t>some</w:t>
      </w:r>
      <w:r>
        <w:rPr>
          <w:rFonts w:eastAsia="Roboto"/>
          <w:color w:val="202024"/>
          <w:spacing w:val="13"/>
        </w:rPr>
        <w:t xml:space="preserve"> </w:t>
      </w:r>
      <w:r>
        <w:rPr>
          <w:rFonts w:eastAsia="Roboto"/>
          <w:color w:val="202024"/>
        </w:rPr>
        <w:t>of</w:t>
      </w:r>
      <w:r>
        <w:rPr>
          <w:rFonts w:eastAsia="Roboto"/>
          <w:color w:val="202024"/>
          <w:spacing w:val="13"/>
        </w:rPr>
        <w:t xml:space="preserve"> </w:t>
      </w:r>
      <w:r>
        <w:rPr>
          <w:rFonts w:eastAsia="Roboto"/>
          <w:color w:val="202024"/>
        </w:rPr>
        <w:t>the</w:t>
      </w:r>
      <w:r>
        <w:rPr>
          <w:rFonts w:eastAsia="Roboto"/>
          <w:color w:val="202024"/>
          <w:spacing w:val="13"/>
        </w:rPr>
        <w:t xml:space="preserve"> </w:t>
      </w:r>
      <w:r>
        <w:rPr>
          <w:rFonts w:eastAsia="Roboto"/>
          <w:color w:val="202024"/>
        </w:rPr>
        <w:t>judicial</w:t>
      </w:r>
      <w:r>
        <w:rPr>
          <w:rFonts w:eastAsia="Roboto"/>
          <w:color w:val="202024"/>
          <w:spacing w:val="13"/>
        </w:rPr>
        <w:t xml:space="preserve"> </w:t>
      </w:r>
      <w:r>
        <w:rPr>
          <w:rFonts w:eastAsia="Roboto"/>
          <w:color w:val="202024"/>
        </w:rPr>
        <w:t>officers</w:t>
      </w:r>
      <w:r>
        <w:rPr>
          <w:rFonts w:eastAsia="Roboto"/>
          <w:color w:val="202024"/>
          <w:spacing w:val="13"/>
        </w:rPr>
        <w:t xml:space="preserve"> </w:t>
      </w:r>
      <w:r>
        <w:rPr>
          <w:rFonts w:eastAsia="Roboto"/>
          <w:color w:val="202024"/>
        </w:rPr>
        <w:t>exhibit</w:t>
      </w:r>
      <w:r>
        <w:rPr>
          <w:rFonts w:eastAsia="Roboto"/>
          <w:color w:val="202024"/>
          <w:spacing w:val="13"/>
        </w:rPr>
        <w:t xml:space="preserve"> </w:t>
      </w:r>
      <w:r>
        <w:rPr>
          <w:rFonts w:eastAsia="Roboto"/>
          <w:color w:val="202024"/>
        </w:rPr>
        <w:t>vague</w:t>
      </w:r>
      <w:r>
        <w:rPr>
          <w:rFonts w:eastAsia="Roboto"/>
          <w:color w:val="202024"/>
          <w:spacing w:val="14"/>
        </w:rPr>
        <w:t xml:space="preserve"> </w:t>
      </w:r>
      <w:r>
        <w:rPr>
          <w:rFonts w:eastAsia="Roboto"/>
          <w:color w:val="202024"/>
        </w:rPr>
        <w:t>understand</w:t>
      </w:r>
      <w:r>
        <w:rPr>
          <w:rFonts w:eastAsia="Roboto"/>
          <w:color w:val="202024"/>
          <w:spacing w:val="13"/>
        </w:rPr>
        <w:t xml:space="preserve"> </w:t>
      </w:r>
      <w:r>
        <w:rPr>
          <w:rFonts w:eastAsia="Roboto"/>
          <w:color w:val="202024"/>
        </w:rPr>
        <w:t>of</w:t>
      </w:r>
      <w:r>
        <w:rPr>
          <w:rFonts w:eastAsia="Roboto"/>
          <w:color w:val="202024"/>
          <w:spacing w:val="13"/>
        </w:rPr>
        <w:t xml:space="preserve"> </w:t>
      </w:r>
      <w:r>
        <w:rPr>
          <w:rFonts w:eastAsia="Roboto"/>
          <w:color w:val="202024"/>
        </w:rPr>
        <w:t>the</w:t>
      </w:r>
      <w:r>
        <w:rPr>
          <w:rFonts w:eastAsia="Roboto"/>
          <w:color w:val="202024"/>
          <w:spacing w:val="13"/>
        </w:rPr>
        <w:t xml:space="preserve"> </w:t>
      </w:r>
      <w:r>
        <w:rPr>
          <w:rFonts w:eastAsia="Roboto"/>
          <w:color w:val="202024"/>
        </w:rPr>
        <w:t>peculiarities</w:t>
      </w:r>
      <w:r>
        <w:rPr>
          <w:rFonts w:eastAsia="Roboto"/>
          <w:color w:val="202024"/>
          <w:spacing w:val="13"/>
        </w:rPr>
        <w:t xml:space="preserve"> </w:t>
      </w:r>
      <w:r>
        <w:rPr>
          <w:rFonts w:eastAsia="Roboto"/>
          <w:color w:val="202024"/>
        </w:rPr>
        <w:t>of</w:t>
      </w:r>
      <w:r>
        <w:rPr>
          <w:rFonts w:eastAsia="Roboto"/>
          <w:color w:val="202024"/>
          <w:spacing w:val="13"/>
        </w:rPr>
        <w:t xml:space="preserve"> </w:t>
      </w:r>
      <w:r>
        <w:rPr>
          <w:rFonts w:eastAsia="Roboto"/>
          <w:color w:val="202024"/>
        </w:rPr>
        <w:t>the</w:t>
      </w:r>
      <w:r>
        <w:rPr>
          <w:rFonts w:eastAsia="Roboto"/>
          <w:color w:val="202024"/>
          <w:spacing w:val="14"/>
        </w:rPr>
        <w:t xml:space="preserve"> </w:t>
      </w:r>
      <w:r>
        <w:rPr>
          <w:rFonts w:eastAsia="Roboto"/>
          <w:color w:val="202024"/>
        </w:rPr>
        <w:t>upstream</w:t>
      </w:r>
      <w:r>
        <w:rPr>
          <w:rFonts w:eastAsia="Roboto"/>
          <w:color w:val="202024"/>
          <w:spacing w:val="-50"/>
        </w:rPr>
        <w:t xml:space="preserve"> </w:t>
      </w:r>
      <w:r>
        <w:rPr>
          <w:rFonts w:eastAsia="Roboto"/>
          <w:color w:val="202024"/>
        </w:rPr>
        <w:t>fiscal</w:t>
      </w:r>
      <w:r>
        <w:rPr>
          <w:rFonts w:eastAsia="Roboto"/>
          <w:color w:val="202024"/>
          <w:spacing w:val="5"/>
        </w:rPr>
        <w:t xml:space="preserve"> </w:t>
      </w:r>
      <w:r>
        <w:rPr>
          <w:rFonts w:eastAsia="Roboto"/>
          <w:color w:val="202024"/>
        </w:rPr>
        <w:t>environment</w:t>
      </w:r>
    </w:p>
    <w:p w14:paraId="2FFC06A9">
      <w:pPr>
        <w:widowControl w:val="0"/>
        <w:autoSpaceDE w:val="0"/>
        <w:autoSpaceDN w:val="0"/>
        <w:spacing w:line="285" w:lineRule="auto"/>
        <w:jc w:val="both"/>
        <w:rPr>
          <w:rFonts w:eastAsia="Roboto"/>
        </w:rPr>
        <w:sectPr>
          <w:headerReference r:id="rId24" w:type="default"/>
          <w:footerReference r:id="rId25" w:type="default"/>
          <w:pgSz w:w="11900" w:h="16840"/>
          <w:pgMar w:top="480" w:right="1280" w:bottom="440" w:left="1040" w:header="269" w:footer="253" w:gutter="0"/>
          <w:cols w:space="720" w:num="1"/>
        </w:sectPr>
      </w:pPr>
    </w:p>
    <w:p w14:paraId="72984DD2">
      <w:pPr>
        <w:widowControl w:val="0"/>
        <w:autoSpaceDE w:val="0"/>
        <w:autoSpaceDN w:val="0"/>
        <w:jc w:val="both"/>
        <w:rPr>
          <w:rFonts w:eastAsia="Roboto"/>
        </w:rPr>
      </w:pPr>
    </w:p>
    <w:p w14:paraId="57EE559E">
      <w:pPr>
        <w:widowControl w:val="0"/>
        <w:autoSpaceDE w:val="0"/>
        <w:autoSpaceDN w:val="0"/>
        <w:jc w:val="both"/>
        <w:rPr>
          <w:rFonts w:eastAsia="Roboto"/>
        </w:rPr>
      </w:pPr>
    </w:p>
    <w:p w14:paraId="6D5770A1">
      <w:pPr>
        <w:widowControl w:val="0"/>
        <w:autoSpaceDE w:val="0"/>
        <w:autoSpaceDN w:val="0"/>
        <w:spacing w:before="10"/>
        <w:rPr>
          <w:rFonts w:ascii="Roboto" w:hAnsi="Roboto" w:eastAsia="Roboto" w:cs="Roboto"/>
          <w:sz w:val="26"/>
          <w:szCs w:val="21"/>
        </w:rPr>
      </w:pPr>
    </w:p>
    <w:p w14:paraId="4E88AF59">
      <w:pPr>
        <w:widowControl w:val="0"/>
        <w:autoSpaceDE w:val="0"/>
        <w:autoSpaceDN w:val="0"/>
        <w:spacing w:before="94"/>
        <w:rPr>
          <w:rFonts w:ascii="Roboto" w:hAnsi="Roboto" w:eastAsia="Roboto" w:cs="Roboto"/>
          <w:szCs w:val="22"/>
        </w:rPr>
      </w:pPr>
      <w:r>
        <mc:AlternateContent>
          <mc:Choice Requires="wpg">
            <w:drawing>
              <wp:anchor distT="0" distB="0" distL="114300" distR="114300" simplePos="0" relativeHeight="251730944" behindDoc="0" locked="0" layoutInCell="1" allowOverlap="1">
                <wp:simplePos x="0" y="0"/>
                <wp:positionH relativeFrom="page">
                  <wp:posOffset>733425</wp:posOffset>
                </wp:positionH>
                <wp:positionV relativeFrom="paragraph">
                  <wp:posOffset>-462280</wp:posOffset>
                </wp:positionV>
                <wp:extent cx="6096000" cy="390525"/>
                <wp:effectExtent l="0" t="0" r="0" b="0"/>
                <wp:wrapNone/>
                <wp:docPr id="1111462405" name="Group 60"/>
                <wp:cNvGraphicFramePr/>
                <a:graphic xmlns:a="http://schemas.openxmlformats.org/drawingml/2006/main">
                  <a:graphicData uri="http://schemas.microsoft.com/office/word/2010/wordprocessingGroup">
                    <wpg:wgp>
                      <wpg:cNvGrpSpPr/>
                      <wpg:grpSpPr>
                        <a:xfrm>
                          <a:off x="0" y="0"/>
                          <a:ext cx="6096000" cy="390525"/>
                          <a:chOff x="1155" y="-728"/>
                          <a:chExt cx="9600" cy="615"/>
                        </a:xfrm>
                        <a:effectLst/>
                      </wpg:grpSpPr>
                      <wps:wsp>
                        <wps:cNvPr id="108958069" name="Freeform 104"/>
                        <wps:cNvSpPr/>
                        <wps:spPr bwMode="auto">
                          <a:xfrm>
                            <a:off x="1154" y="-728"/>
                            <a:ext cx="9600" cy="615"/>
                          </a:xfrm>
                          <a:custGeom>
                            <a:avLst/>
                            <a:gdLst>
                              <a:gd name="T0" fmla="+- 0 10755 1155"/>
                              <a:gd name="T1" fmla="*/ T0 w 9600"/>
                              <a:gd name="T2" fmla="+- 0 -728 -728"/>
                              <a:gd name="T3" fmla="*/ -728 h 615"/>
                              <a:gd name="T4" fmla="+- 0 10740 1155"/>
                              <a:gd name="T5" fmla="*/ T4 w 9600"/>
                              <a:gd name="T6" fmla="+- 0 -728 -728"/>
                              <a:gd name="T7" fmla="*/ -728 h 615"/>
                              <a:gd name="T8" fmla="+- 0 10740 1155"/>
                              <a:gd name="T9" fmla="*/ T8 w 9600"/>
                              <a:gd name="T10" fmla="+- 0 -233 -728"/>
                              <a:gd name="T11" fmla="*/ -233 h 615"/>
                              <a:gd name="T12" fmla="+- 0 10739 1155"/>
                              <a:gd name="T13" fmla="*/ T12 w 9600"/>
                              <a:gd name="T14" fmla="+- 0 -223 -728"/>
                              <a:gd name="T15" fmla="*/ -223 h 615"/>
                              <a:gd name="T16" fmla="+- 0 10716 1155"/>
                              <a:gd name="T17" fmla="*/ T16 w 9600"/>
                              <a:gd name="T18" fmla="+- 0 -166 -728"/>
                              <a:gd name="T19" fmla="*/ -166 h 615"/>
                              <a:gd name="T20" fmla="+- 0 10708 1155"/>
                              <a:gd name="T21" fmla="*/ T20 w 9600"/>
                              <a:gd name="T22" fmla="+- 0 -158 -728"/>
                              <a:gd name="T23" fmla="*/ -158 h 615"/>
                              <a:gd name="T24" fmla="+- 0 10645 1155"/>
                              <a:gd name="T25" fmla="*/ T24 w 9600"/>
                              <a:gd name="T26" fmla="+- 0 -128 -728"/>
                              <a:gd name="T27" fmla="*/ -128 h 615"/>
                              <a:gd name="T28" fmla="+- 0 10635 1155"/>
                              <a:gd name="T29" fmla="*/ T28 w 9600"/>
                              <a:gd name="T30" fmla="+- 0 -128 -728"/>
                              <a:gd name="T31" fmla="*/ -128 h 615"/>
                              <a:gd name="T32" fmla="+- 0 1275 1155"/>
                              <a:gd name="T33" fmla="*/ T32 w 9600"/>
                              <a:gd name="T34" fmla="+- 0 -128 -728"/>
                              <a:gd name="T35" fmla="*/ -128 h 615"/>
                              <a:gd name="T36" fmla="+- 0 1217 1155"/>
                              <a:gd name="T37" fmla="*/ T36 w 9600"/>
                              <a:gd name="T38" fmla="+- 0 -146 -728"/>
                              <a:gd name="T39" fmla="*/ -146 h 615"/>
                              <a:gd name="T40" fmla="+- 0 1202 1155"/>
                              <a:gd name="T41" fmla="*/ T40 w 9600"/>
                              <a:gd name="T42" fmla="+- 0 -158 -728"/>
                              <a:gd name="T43" fmla="*/ -158 h 615"/>
                              <a:gd name="T44" fmla="+- 0 1194 1155"/>
                              <a:gd name="T45" fmla="*/ T44 w 9600"/>
                              <a:gd name="T46" fmla="+- 0 -166 -728"/>
                              <a:gd name="T47" fmla="*/ -166 h 615"/>
                              <a:gd name="T48" fmla="+- 0 1170 1155"/>
                              <a:gd name="T49" fmla="*/ T48 w 9600"/>
                              <a:gd name="T50" fmla="+- 0 -223 -728"/>
                              <a:gd name="T51" fmla="*/ -223 h 615"/>
                              <a:gd name="T52" fmla="+- 0 1170 1155"/>
                              <a:gd name="T53" fmla="*/ T52 w 9600"/>
                              <a:gd name="T54" fmla="+- 0 -233 -728"/>
                              <a:gd name="T55" fmla="*/ -233 h 615"/>
                              <a:gd name="T56" fmla="+- 0 1170 1155"/>
                              <a:gd name="T57" fmla="*/ T56 w 9600"/>
                              <a:gd name="T58" fmla="+- 0 -728 -728"/>
                              <a:gd name="T59" fmla="*/ -728 h 615"/>
                              <a:gd name="T60" fmla="+- 0 1155 1155"/>
                              <a:gd name="T61" fmla="*/ T60 w 9600"/>
                              <a:gd name="T62" fmla="+- 0 -728 -728"/>
                              <a:gd name="T63" fmla="*/ -728 h 615"/>
                              <a:gd name="T64" fmla="+- 0 1155 1155"/>
                              <a:gd name="T65" fmla="*/ T64 w 9600"/>
                              <a:gd name="T66" fmla="+- 0 -233 -728"/>
                              <a:gd name="T67" fmla="*/ -233 h 615"/>
                              <a:gd name="T68" fmla="+- 0 1156 1155"/>
                              <a:gd name="T69" fmla="*/ T68 w 9600"/>
                              <a:gd name="T70" fmla="+- 0 -221 -728"/>
                              <a:gd name="T71" fmla="*/ -221 h 615"/>
                              <a:gd name="T72" fmla="+- 0 1182 1155"/>
                              <a:gd name="T73" fmla="*/ T72 w 9600"/>
                              <a:gd name="T74" fmla="+- 0 -157 -728"/>
                              <a:gd name="T75" fmla="*/ -157 h 615"/>
                              <a:gd name="T76" fmla="+- 0 1190 1155"/>
                              <a:gd name="T77" fmla="*/ T76 w 9600"/>
                              <a:gd name="T78" fmla="+- 0 -148 -728"/>
                              <a:gd name="T79" fmla="*/ -148 h 615"/>
                              <a:gd name="T80" fmla="+- 0 1252 1155"/>
                              <a:gd name="T81" fmla="*/ T80 w 9600"/>
                              <a:gd name="T82" fmla="+- 0 -115 -728"/>
                              <a:gd name="T83" fmla="*/ -115 h 615"/>
                              <a:gd name="T84" fmla="+- 0 1275 1155"/>
                              <a:gd name="T85" fmla="*/ T84 w 9600"/>
                              <a:gd name="T86" fmla="+- 0 -113 -728"/>
                              <a:gd name="T87" fmla="*/ -113 h 615"/>
                              <a:gd name="T88" fmla="+- 0 10635 1155"/>
                              <a:gd name="T89" fmla="*/ T88 w 9600"/>
                              <a:gd name="T90" fmla="+- 0 -113 -728"/>
                              <a:gd name="T91" fmla="*/ -113 h 615"/>
                              <a:gd name="T92" fmla="+- 0 10693 1155"/>
                              <a:gd name="T93" fmla="*/ T92 w 9600"/>
                              <a:gd name="T94" fmla="+- 0 -128 -728"/>
                              <a:gd name="T95" fmla="*/ -128 h 615"/>
                              <a:gd name="T96" fmla="+- 0 10702 1155"/>
                              <a:gd name="T97" fmla="*/ T96 w 9600"/>
                              <a:gd name="T98" fmla="+- 0 -133 -728"/>
                              <a:gd name="T99" fmla="*/ -133 h 615"/>
                              <a:gd name="T100" fmla="+- 0 10711 1155"/>
                              <a:gd name="T101" fmla="*/ T100 w 9600"/>
                              <a:gd name="T102" fmla="+- 0 -140 -728"/>
                              <a:gd name="T103" fmla="*/ -140 h 615"/>
                              <a:gd name="T104" fmla="+- 0 10719 1155"/>
                              <a:gd name="T105" fmla="*/ T104 w 9600"/>
                              <a:gd name="T106" fmla="+- 0 -147 -728"/>
                              <a:gd name="T107" fmla="*/ -147 h 615"/>
                              <a:gd name="T108" fmla="+- 0 10720 1155"/>
                              <a:gd name="T109" fmla="*/ T108 w 9600"/>
                              <a:gd name="T110" fmla="+- 0 -148 -728"/>
                              <a:gd name="T111" fmla="*/ -148 h 615"/>
                              <a:gd name="T112" fmla="+- 0 10728 1155"/>
                              <a:gd name="T113" fmla="*/ T112 w 9600"/>
                              <a:gd name="T114" fmla="+- 0 -157 -728"/>
                              <a:gd name="T115" fmla="*/ -157 h 615"/>
                              <a:gd name="T116" fmla="+- 0 10735 1155"/>
                              <a:gd name="T117" fmla="*/ T116 w 9600"/>
                              <a:gd name="T118" fmla="+- 0 -166 -728"/>
                              <a:gd name="T119" fmla="*/ -166 h 615"/>
                              <a:gd name="T120" fmla="+- 0 10755 1155"/>
                              <a:gd name="T121" fmla="*/ T120 w 9600"/>
                              <a:gd name="T122" fmla="+- 0 -233 -728"/>
                              <a:gd name="T123" fmla="*/ -233 h 615"/>
                              <a:gd name="T124" fmla="+- 0 10755 1155"/>
                              <a:gd name="T125" fmla="*/ T124 w 9600"/>
                              <a:gd name="T126" fmla="+- 0 -728 -728"/>
                              <a:gd name="T127" fmla="*/ -72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00" h="615">
                                <a:moveTo>
                                  <a:pt x="9600" y="0"/>
                                </a:moveTo>
                                <a:lnTo>
                                  <a:pt x="9585" y="0"/>
                                </a:lnTo>
                                <a:lnTo>
                                  <a:pt x="9585" y="495"/>
                                </a:lnTo>
                                <a:lnTo>
                                  <a:pt x="9584" y="505"/>
                                </a:lnTo>
                                <a:lnTo>
                                  <a:pt x="9561" y="562"/>
                                </a:lnTo>
                                <a:lnTo>
                                  <a:pt x="9553" y="570"/>
                                </a:lnTo>
                                <a:lnTo>
                                  <a:pt x="9490" y="600"/>
                                </a:lnTo>
                                <a:lnTo>
                                  <a:pt x="9480" y="600"/>
                                </a:lnTo>
                                <a:lnTo>
                                  <a:pt x="120" y="600"/>
                                </a:lnTo>
                                <a:lnTo>
                                  <a:pt x="62" y="582"/>
                                </a:lnTo>
                                <a:lnTo>
                                  <a:pt x="47" y="570"/>
                                </a:lnTo>
                                <a:lnTo>
                                  <a:pt x="39" y="562"/>
                                </a:lnTo>
                                <a:lnTo>
                                  <a:pt x="15" y="505"/>
                                </a:lnTo>
                                <a:lnTo>
                                  <a:pt x="15" y="495"/>
                                </a:lnTo>
                                <a:lnTo>
                                  <a:pt x="15" y="0"/>
                                </a:lnTo>
                                <a:lnTo>
                                  <a:pt x="0" y="0"/>
                                </a:lnTo>
                                <a:lnTo>
                                  <a:pt x="0" y="495"/>
                                </a:lnTo>
                                <a:lnTo>
                                  <a:pt x="1" y="507"/>
                                </a:lnTo>
                                <a:lnTo>
                                  <a:pt x="27" y="571"/>
                                </a:lnTo>
                                <a:lnTo>
                                  <a:pt x="35" y="580"/>
                                </a:lnTo>
                                <a:lnTo>
                                  <a:pt x="97" y="613"/>
                                </a:lnTo>
                                <a:lnTo>
                                  <a:pt x="120" y="615"/>
                                </a:lnTo>
                                <a:lnTo>
                                  <a:pt x="9480" y="615"/>
                                </a:lnTo>
                                <a:lnTo>
                                  <a:pt x="9538" y="600"/>
                                </a:lnTo>
                                <a:lnTo>
                                  <a:pt x="9547" y="595"/>
                                </a:lnTo>
                                <a:lnTo>
                                  <a:pt x="9556" y="588"/>
                                </a:lnTo>
                                <a:lnTo>
                                  <a:pt x="9564" y="581"/>
                                </a:lnTo>
                                <a:lnTo>
                                  <a:pt x="9565" y="580"/>
                                </a:lnTo>
                                <a:lnTo>
                                  <a:pt x="9573" y="571"/>
                                </a:lnTo>
                                <a:lnTo>
                                  <a:pt x="9580" y="562"/>
                                </a:lnTo>
                                <a:lnTo>
                                  <a:pt x="9600" y="495"/>
                                </a:lnTo>
                                <a:lnTo>
                                  <a:pt x="9600" y="0"/>
                                </a:lnTo>
                                <a:close/>
                              </a:path>
                            </a:pathLst>
                          </a:custGeom>
                          <a:solidFill>
                            <a:srgbClr val="D9DBDF"/>
                          </a:solidFill>
                          <a:ln>
                            <a:noFill/>
                          </a:ln>
                          <a:effectLst/>
                        </wps:spPr>
                        <wps:bodyPr rot="0" vert="horz" wrap="square" lIns="91440" tIns="45720" rIns="91440" bIns="45720" anchor="t" anchorCtr="0" upright="1">
                          <a:noAutofit/>
                        </wps:bodyPr>
                      </wps:wsp>
                      <wps:wsp>
                        <wps:cNvPr id="266790277" name="Freeform 103"/>
                        <wps:cNvSpPr/>
                        <wps:spPr bwMode="auto">
                          <a:xfrm>
                            <a:off x="1170" y="-728"/>
                            <a:ext cx="9390" cy="600"/>
                          </a:xfrm>
                          <a:custGeom>
                            <a:avLst/>
                            <a:gdLst>
                              <a:gd name="T0" fmla="+- 0 10508 1170"/>
                              <a:gd name="T1" fmla="*/ T0 w 9390"/>
                              <a:gd name="T2" fmla="+- 0 -128 -728"/>
                              <a:gd name="T3" fmla="*/ -128 h 600"/>
                              <a:gd name="T4" fmla="+- 0 1222 1170"/>
                              <a:gd name="T5" fmla="*/ T4 w 9390"/>
                              <a:gd name="T6" fmla="+- 0 -128 -728"/>
                              <a:gd name="T7" fmla="*/ -128 h 600"/>
                              <a:gd name="T8" fmla="+- 0 1214 1170"/>
                              <a:gd name="T9" fmla="*/ T8 w 9390"/>
                              <a:gd name="T10" fmla="+- 0 -130 -728"/>
                              <a:gd name="T11" fmla="*/ -130 h 600"/>
                              <a:gd name="T12" fmla="+- 0 1172 1170"/>
                              <a:gd name="T13" fmla="*/ T12 w 9390"/>
                              <a:gd name="T14" fmla="+- 0 -172 -728"/>
                              <a:gd name="T15" fmla="*/ -172 h 600"/>
                              <a:gd name="T16" fmla="+- 0 1170 1170"/>
                              <a:gd name="T17" fmla="*/ T16 w 9390"/>
                              <a:gd name="T18" fmla="+- 0 -180 -728"/>
                              <a:gd name="T19" fmla="*/ -180 h 600"/>
                              <a:gd name="T20" fmla="+- 0 1170 1170"/>
                              <a:gd name="T21" fmla="*/ T20 w 9390"/>
                              <a:gd name="T22" fmla="+- 0 -188 -728"/>
                              <a:gd name="T23" fmla="*/ -188 h 600"/>
                              <a:gd name="T24" fmla="+- 0 1170 1170"/>
                              <a:gd name="T25" fmla="*/ T24 w 9390"/>
                              <a:gd name="T26" fmla="+- 0 -676 -728"/>
                              <a:gd name="T27" fmla="*/ -676 h 600"/>
                              <a:gd name="T28" fmla="+- 0 1214 1170"/>
                              <a:gd name="T29" fmla="*/ T28 w 9390"/>
                              <a:gd name="T30" fmla="+- 0 -726 -728"/>
                              <a:gd name="T31" fmla="*/ -726 h 600"/>
                              <a:gd name="T32" fmla="+- 0 1222 1170"/>
                              <a:gd name="T33" fmla="*/ T32 w 9390"/>
                              <a:gd name="T34" fmla="+- 0 -728 -728"/>
                              <a:gd name="T35" fmla="*/ -728 h 600"/>
                              <a:gd name="T36" fmla="+- 0 10508 1170"/>
                              <a:gd name="T37" fmla="*/ T36 w 9390"/>
                              <a:gd name="T38" fmla="+- 0 -728 -728"/>
                              <a:gd name="T39" fmla="*/ -728 h 600"/>
                              <a:gd name="T40" fmla="+- 0 10558 1170"/>
                              <a:gd name="T41" fmla="*/ T40 w 9390"/>
                              <a:gd name="T42" fmla="+- 0 -684 -728"/>
                              <a:gd name="T43" fmla="*/ -684 h 600"/>
                              <a:gd name="T44" fmla="+- 0 10560 1170"/>
                              <a:gd name="T45" fmla="*/ T44 w 9390"/>
                              <a:gd name="T46" fmla="+- 0 -676 -728"/>
                              <a:gd name="T47" fmla="*/ -676 h 600"/>
                              <a:gd name="T48" fmla="+- 0 10560 1170"/>
                              <a:gd name="T49" fmla="*/ T48 w 9390"/>
                              <a:gd name="T50" fmla="+- 0 -180 -728"/>
                              <a:gd name="T51" fmla="*/ -180 h 600"/>
                              <a:gd name="T52" fmla="+- 0 10516 1170"/>
                              <a:gd name="T53" fmla="*/ T52 w 9390"/>
                              <a:gd name="T54" fmla="+- 0 -130 -728"/>
                              <a:gd name="T55" fmla="*/ -130 h 600"/>
                              <a:gd name="T56" fmla="+- 0 10508 1170"/>
                              <a:gd name="T57" fmla="*/ T56 w 9390"/>
                              <a:gd name="T58" fmla="+- 0 -128 -728"/>
                              <a:gd name="T59" fmla="*/ -12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90" h="600">
                                <a:moveTo>
                                  <a:pt x="9338" y="600"/>
                                </a:moveTo>
                                <a:lnTo>
                                  <a:pt x="52" y="600"/>
                                </a:lnTo>
                                <a:lnTo>
                                  <a:pt x="44" y="598"/>
                                </a:lnTo>
                                <a:lnTo>
                                  <a:pt x="2" y="556"/>
                                </a:lnTo>
                                <a:lnTo>
                                  <a:pt x="0" y="548"/>
                                </a:lnTo>
                                <a:lnTo>
                                  <a:pt x="0" y="540"/>
                                </a:lnTo>
                                <a:lnTo>
                                  <a:pt x="0" y="52"/>
                                </a:lnTo>
                                <a:lnTo>
                                  <a:pt x="44" y="2"/>
                                </a:lnTo>
                                <a:lnTo>
                                  <a:pt x="52" y="0"/>
                                </a:lnTo>
                                <a:lnTo>
                                  <a:pt x="9338" y="0"/>
                                </a:lnTo>
                                <a:lnTo>
                                  <a:pt x="9388" y="44"/>
                                </a:lnTo>
                                <a:lnTo>
                                  <a:pt x="9390" y="52"/>
                                </a:lnTo>
                                <a:lnTo>
                                  <a:pt x="9390" y="548"/>
                                </a:lnTo>
                                <a:lnTo>
                                  <a:pt x="9346" y="598"/>
                                </a:lnTo>
                                <a:lnTo>
                                  <a:pt x="9338" y="600"/>
                                </a:lnTo>
                                <a:close/>
                              </a:path>
                            </a:pathLst>
                          </a:custGeom>
                          <a:solidFill>
                            <a:srgbClr val="FFFFFF"/>
                          </a:solidFill>
                          <a:ln>
                            <a:noFill/>
                          </a:ln>
                          <a:effectLst/>
                        </wps:spPr>
                        <wps:bodyPr rot="0" vert="horz" wrap="square" lIns="91440" tIns="45720" rIns="91440" bIns="45720" anchor="t" anchorCtr="0" upright="1">
                          <a:noAutofit/>
                        </wps:bodyPr>
                      </wps:wsp>
                      <wps:wsp>
                        <wps:cNvPr id="1439520759" name="Text Box 102"/>
                        <wps:cNvSpPr txBox="1">
                          <a:spLocks noChangeArrowheads="1"/>
                        </wps:cNvSpPr>
                        <wps:spPr bwMode="auto">
                          <a:xfrm>
                            <a:off x="1155" y="-728"/>
                            <a:ext cx="9600" cy="615"/>
                          </a:xfrm>
                          <a:prstGeom prst="rect">
                            <a:avLst/>
                          </a:prstGeom>
                          <a:noFill/>
                          <a:ln>
                            <a:noFill/>
                          </a:ln>
                          <a:effectLst/>
                        </wps:spPr>
                        <wps:txbx>
                          <w:txbxContent>
                            <w:p w14:paraId="6F7A085F">
                              <w:pPr>
                                <w:spacing w:before="160"/>
                              </w:pPr>
                              <w:r>
                                <w:rPr>
                                  <w:color w:val="202024"/>
                                </w:rPr>
                                <w:t>conflict</w:t>
                              </w:r>
                              <w:r>
                                <w:rPr>
                                  <w:color w:val="202024"/>
                                  <w:spacing w:val="10"/>
                                </w:rPr>
                                <w:t xml:space="preserve"> </w:t>
                              </w:r>
                              <w:r>
                                <w:rPr>
                                  <w:color w:val="202024"/>
                                </w:rPr>
                                <w:t>in</w:t>
                              </w:r>
                              <w:r>
                                <w:rPr>
                                  <w:color w:val="202024"/>
                                  <w:spacing w:val="10"/>
                                </w:rPr>
                                <w:t xml:space="preserve"> </w:t>
                              </w:r>
                              <w:r>
                                <w:rPr>
                                  <w:color w:val="202024"/>
                                </w:rPr>
                                <w:t>rulings</w:t>
                              </w:r>
                              <w:r>
                                <w:rPr>
                                  <w:color w:val="202024"/>
                                  <w:spacing w:val="11"/>
                                </w:rPr>
                                <w:t xml:space="preserve"> </w:t>
                              </w:r>
                              <w:r>
                                <w:rPr>
                                  <w:color w:val="202024"/>
                                </w:rPr>
                                <w:t>on</w:t>
                              </w:r>
                              <w:r>
                                <w:rPr>
                                  <w:color w:val="202024"/>
                                  <w:spacing w:val="10"/>
                                </w:rPr>
                                <w:t xml:space="preserve"> </w:t>
                              </w:r>
                              <w:r>
                                <w:rPr>
                                  <w:color w:val="202024"/>
                                </w:rPr>
                                <w:t>the</w:t>
                              </w:r>
                              <w:r>
                                <w:rPr>
                                  <w:color w:val="202024"/>
                                  <w:spacing w:val="11"/>
                                </w:rPr>
                                <w:t xml:space="preserve"> </w:t>
                              </w:r>
                              <w:r>
                                <w:rPr>
                                  <w:color w:val="202024"/>
                                </w:rPr>
                                <w:t>same</w:t>
                              </w:r>
                              <w:r>
                                <w:rPr>
                                  <w:color w:val="202024"/>
                                  <w:spacing w:val="10"/>
                                </w:rPr>
                                <w:t xml:space="preserve"> </w:t>
                              </w:r>
                              <w:r>
                                <w:rPr>
                                  <w:color w:val="202024"/>
                                </w:rPr>
                                <w:t>subject</w:t>
                              </w:r>
                              <w:r>
                                <w:rPr>
                                  <w:color w:val="202024"/>
                                  <w:spacing w:val="11"/>
                                </w:rPr>
                                <w:t xml:space="preserve"> </w:t>
                              </w:r>
                              <w:r>
                                <w:rPr>
                                  <w:color w:val="202024"/>
                                </w:rPr>
                                <w:t>but</w:t>
                              </w:r>
                              <w:r>
                                <w:rPr>
                                  <w:color w:val="202024"/>
                                  <w:spacing w:val="10"/>
                                </w:rPr>
                                <w:t xml:space="preserve"> </w:t>
                              </w:r>
                              <w:r>
                                <w:rPr>
                                  <w:color w:val="202024"/>
                                </w:rPr>
                                <w:t>different</w:t>
                              </w:r>
                              <w:r>
                                <w:rPr>
                                  <w:color w:val="202024"/>
                                  <w:spacing w:val="11"/>
                                </w:rPr>
                                <w:t xml:space="preserve"> </w:t>
                              </w:r>
                              <w:r>
                                <w:rPr>
                                  <w:color w:val="202024"/>
                                </w:rPr>
                                <w:t>courts</w:t>
                              </w:r>
                              <w:r>
                                <w:rPr>
                                  <w:color w:val="202024"/>
                                  <w:spacing w:val="10"/>
                                </w:rPr>
                                <w:t xml:space="preserve"> </w:t>
                              </w:r>
                              <w:r>
                                <w:rPr>
                                  <w:color w:val="202024"/>
                                </w:rPr>
                                <w:t>of</w:t>
                              </w:r>
                              <w:r>
                                <w:rPr>
                                  <w:color w:val="202024"/>
                                  <w:spacing w:val="11"/>
                                </w:rPr>
                                <w:t xml:space="preserve"> </w:t>
                              </w:r>
                              <w:r>
                                <w:rPr>
                                  <w:color w:val="202024"/>
                                </w:rPr>
                                <w:t>the</w:t>
                              </w:r>
                              <w:r>
                                <w:rPr>
                                  <w:color w:val="202024"/>
                                  <w:spacing w:val="10"/>
                                </w:rPr>
                                <w:t xml:space="preserve"> </w:t>
                              </w:r>
                              <w:r>
                                <w:rPr>
                                  <w:color w:val="202024"/>
                                </w:rPr>
                                <w:t>same</w:t>
                              </w:r>
                              <w:r>
                                <w:rPr>
                                  <w:color w:val="202024"/>
                                  <w:spacing w:val="11"/>
                                </w:rPr>
                                <w:t xml:space="preserve"> </w:t>
                              </w:r>
                              <w:r>
                                <w:rPr>
                                  <w:color w:val="202024"/>
                                </w:rPr>
                                <w:t>level</w:t>
                              </w:r>
                            </w:p>
                          </w:txbxContent>
                        </wps:txbx>
                        <wps:bodyPr rot="0" vert="horz" wrap="square" lIns="0" tIns="0" rIns="0" bIns="0" anchor="t" anchorCtr="0" upright="1">
                          <a:noAutofit/>
                        </wps:bodyPr>
                      </wps:wsp>
                    </wpg:wgp>
                  </a:graphicData>
                </a:graphic>
              </wp:anchor>
            </w:drawing>
          </mc:Choice>
          <mc:Fallback>
            <w:pict>
              <v:group id="Group 60" o:spid="_x0000_s1026" o:spt="203" style="position:absolute;left:0pt;margin-left:57.75pt;margin-top:-36.4pt;height:30.75pt;width:480pt;mso-position-horizontal-relative:page;z-index:251730944;mso-width-relative:page;mso-height-relative:page;" coordorigin="1155,-728" coordsize="9600,615" o:gfxdata="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">
                <o:lock v:ext="edit" aspectratio="f"/>
                <v:shape id="Freeform 104" o:spid="_x0000_s1026" o:spt="100" style="position:absolute;left:1154;top:-728;height:615;width:9600;" fillcolor="#D9DBDF" filled="t" stroked="f" coordsize="9600,615" o:gfxdata="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83I8&#10;wAAAAOIAAAAPAAAAAAAAAAEAIAAAACIAAABkcnMvZG93bnJldi54bWxQSwECFAAUAAAACACHTuJA&#10;My8FnjsAAAA5AAAAEAAAAAAAAAABACAAAAAPAQAAZHJzL3NoYXBleG1sLnhtbFBLBQYAAAAABgAG&#10;AFsBAAC5AwAAAAA=&#10;" path="m9600,0l9585,0,9585,495,9584,505,9561,562,9553,570,9490,600,9480,600,120,600,62,582,47,570,39,562,15,505,15,495,15,0,0,0,0,495,1,507,27,571,35,580,97,613,120,615,9480,615,9538,600,9547,595,9556,588,9564,581,9565,580,9573,571,9580,562,9600,495,9600,0xe">
                  <v:path o:connectlocs="9600,-728;9585,-728;9585,-233;9584,-223;9561,-166;9553,-158;9490,-128;9480,-128;120,-128;62,-146;47,-158;39,-166;15,-223;15,-233;15,-728;0,-728;0,-233;1,-221;27,-157;35,-148;97,-115;120,-113;9480,-113;9538,-128;9547,-133;9556,-140;9564,-147;9565,-148;9573,-157;9580,-166;9600,-233;9600,-728" o:connectangles="0,0,0,0,0,0,0,0,0,0,0,0,0,0,0,0,0,0,0,0,0,0,0,0,0,0,0,0,0,0,0,0"/>
                  <v:fill on="t" focussize="0,0"/>
                  <v:stroke on="f"/>
                  <v:imagedata o:title=""/>
                  <o:lock v:ext="edit" aspectratio="f"/>
                </v:shape>
                <v:shape id="Freeform 103" o:spid="_x0000_s1026" o:spt="100" style="position:absolute;left:1170;top:-728;height:600;width:9390;" fillcolor="#FFFFFF" filled="t" stroked="f" coordsize="9390,600" o:gfxdata="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pz&#10;jyzCAAAA4gAAAA8AAAAAAAAAAQAgAAAAIgAAAGRycy9kb3ducmV2LnhtbFBLAQIUABQAAAAIAIdO&#10;4kAzLwWeOwAAADkAAAAQAAAAAAAAAAEAIAAAABEBAABkcnMvc2hhcGV4bWwueG1sUEsFBgAAAAAG&#10;AAYAWwEAALsDAAAAAA==&#10;" path="m9338,600l52,600,44,598,2,556,0,548,0,540,0,52,44,2,52,0,9338,0,9388,44,9390,52,9390,548,9346,598,9338,600xe">
                  <v:path o:connectlocs="9338,-128;52,-128;44,-130;2,-172;0,-180;0,-188;0,-676;44,-726;52,-728;9338,-728;9388,-684;9390,-676;9390,-180;9346,-130;9338,-128" o:connectangles="0,0,0,0,0,0,0,0,0,0,0,0,0,0,0"/>
                  <v:fill on="t" focussize="0,0"/>
                  <v:stroke on="f"/>
                  <v:imagedata o:title=""/>
                  <o:lock v:ext="edit" aspectratio="f"/>
                </v:shape>
                <v:shape id="Text Box 102" o:spid="_x0000_s1026" o:spt="202" type="#_x0000_t202" style="position:absolute;left:1155;top:-728;height:615;width:9600;" filled="f" stroked="f" coordsize="21600,21600" o:gfxdata="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Yc&#10;M2L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F7A085F">
                        <w:pPr>
                          <w:spacing w:before="160"/>
                        </w:pPr>
                        <w:r>
                          <w:rPr>
                            <w:color w:val="202024"/>
                          </w:rPr>
                          <w:t>conflict</w:t>
                        </w:r>
                        <w:r>
                          <w:rPr>
                            <w:color w:val="202024"/>
                            <w:spacing w:val="10"/>
                          </w:rPr>
                          <w:t xml:space="preserve"> </w:t>
                        </w:r>
                        <w:r>
                          <w:rPr>
                            <w:color w:val="202024"/>
                          </w:rPr>
                          <w:t>in</w:t>
                        </w:r>
                        <w:r>
                          <w:rPr>
                            <w:color w:val="202024"/>
                            <w:spacing w:val="10"/>
                          </w:rPr>
                          <w:t xml:space="preserve"> </w:t>
                        </w:r>
                        <w:r>
                          <w:rPr>
                            <w:color w:val="202024"/>
                          </w:rPr>
                          <w:t>rulings</w:t>
                        </w:r>
                        <w:r>
                          <w:rPr>
                            <w:color w:val="202024"/>
                            <w:spacing w:val="11"/>
                          </w:rPr>
                          <w:t xml:space="preserve"> </w:t>
                        </w:r>
                        <w:r>
                          <w:rPr>
                            <w:color w:val="202024"/>
                          </w:rPr>
                          <w:t>on</w:t>
                        </w:r>
                        <w:r>
                          <w:rPr>
                            <w:color w:val="202024"/>
                            <w:spacing w:val="10"/>
                          </w:rPr>
                          <w:t xml:space="preserve"> </w:t>
                        </w:r>
                        <w:r>
                          <w:rPr>
                            <w:color w:val="202024"/>
                          </w:rPr>
                          <w:t>the</w:t>
                        </w:r>
                        <w:r>
                          <w:rPr>
                            <w:color w:val="202024"/>
                            <w:spacing w:val="11"/>
                          </w:rPr>
                          <w:t xml:space="preserve"> </w:t>
                        </w:r>
                        <w:r>
                          <w:rPr>
                            <w:color w:val="202024"/>
                          </w:rPr>
                          <w:t>same</w:t>
                        </w:r>
                        <w:r>
                          <w:rPr>
                            <w:color w:val="202024"/>
                            <w:spacing w:val="10"/>
                          </w:rPr>
                          <w:t xml:space="preserve"> </w:t>
                        </w:r>
                        <w:r>
                          <w:rPr>
                            <w:color w:val="202024"/>
                          </w:rPr>
                          <w:t>subject</w:t>
                        </w:r>
                        <w:r>
                          <w:rPr>
                            <w:color w:val="202024"/>
                            <w:spacing w:val="11"/>
                          </w:rPr>
                          <w:t xml:space="preserve"> </w:t>
                        </w:r>
                        <w:r>
                          <w:rPr>
                            <w:color w:val="202024"/>
                          </w:rPr>
                          <w:t>but</w:t>
                        </w:r>
                        <w:r>
                          <w:rPr>
                            <w:color w:val="202024"/>
                            <w:spacing w:val="10"/>
                          </w:rPr>
                          <w:t xml:space="preserve"> </w:t>
                        </w:r>
                        <w:r>
                          <w:rPr>
                            <w:color w:val="202024"/>
                          </w:rPr>
                          <w:t>different</w:t>
                        </w:r>
                        <w:r>
                          <w:rPr>
                            <w:color w:val="202024"/>
                            <w:spacing w:val="11"/>
                          </w:rPr>
                          <w:t xml:space="preserve"> </w:t>
                        </w:r>
                        <w:r>
                          <w:rPr>
                            <w:color w:val="202024"/>
                          </w:rPr>
                          <w:t>courts</w:t>
                        </w:r>
                        <w:r>
                          <w:rPr>
                            <w:color w:val="202024"/>
                            <w:spacing w:val="10"/>
                          </w:rPr>
                          <w:t xml:space="preserve"> </w:t>
                        </w:r>
                        <w:r>
                          <w:rPr>
                            <w:color w:val="202024"/>
                          </w:rPr>
                          <w:t>of</w:t>
                        </w:r>
                        <w:r>
                          <w:rPr>
                            <w:color w:val="202024"/>
                            <w:spacing w:val="11"/>
                          </w:rPr>
                          <w:t xml:space="preserve"> </w:t>
                        </w:r>
                        <w:r>
                          <w:rPr>
                            <w:color w:val="202024"/>
                          </w:rPr>
                          <w:t>the</w:t>
                        </w:r>
                        <w:r>
                          <w:rPr>
                            <w:color w:val="202024"/>
                            <w:spacing w:val="10"/>
                          </w:rPr>
                          <w:t xml:space="preserve"> </w:t>
                        </w:r>
                        <w:r>
                          <w:rPr>
                            <w:color w:val="202024"/>
                          </w:rPr>
                          <w:t>same</w:t>
                        </w:r>
                        <w:r>
                          <w:rPr>
                            <w:color w:val="202024"/>
                            <w:spacing w:val="11"/>
                          </w:rPr>
                          <w:t xml:space="preserve"> </w:t>
                        </w:r>
                        <w:r>
                          <w:rPr>
                            <w:color w:val="202024"/>
                          </w:rPr>
                          <w:t>level</w:t>
                        </w:r>
                      </w:p>
                    </w:txbxContent>
                  </v:textbox>
                </v:shape>
              </v:group>
            </w:pict>
          </mc:Fallback>
        </mc:AlternateContent>
      </w:r>
      <w:r>
        <w:rPr>
          <w:rFonts w:ascii="Roboto" w:hAnsi="Roboto" w:eastAsia="Roboto" w:cs="Roboto"/>
          <w:color w:val="ABABAB"/>
          <w:szCs w:val="22"/>
        </w:rPr>
        <w:t>Fiscal</w:t>
      </w:r>
      <w:r>
        <w:rPr>
          <w:rFonts w:ascii="Roboto" w:hAnsi="Roboto" w:eastAsia="Roboto" w:cs="Roboto"/>
          <w:color w:val="ABABAB"/>
          <w:spacing w:val="-11"/>
          <w:szCs w:val="22"/>
        </w:rPr>
        <w:t xml:space="preserve"> </w:t>
      </w:r>
      <w:r>
        <w:rPr>
          <w:rFonts w:ascii="Roboto" w:hAnsi="Roboto" w:eastAsia="Roboto" w:cs="Roboto"/>
          <w:color w:val="ABABAB"/>
          <w:szCs w:val="22"/>
        </w:rPr>
        <w:t>and</w:t>
      </w:r>
      <w:r>
        <w:rPr>
          <w:rFonts w:ascii="Roboto" w:hAnsi="Roboto" w:eastAsia="Roboto" w:cs="Roboto"/>
          <w:color w:val="ABABAB"/>
          <w:spacing w:val="-14"/>
          <w:szCs w:val="22"/>
        </w:rPr>
        <w:t xml:space="preserve"> </w:t>
      </w:r>
      <w:r>
        <w:rPr>
          <w:rFonts w:ascii="Roboto" w:hAnsi="Roboto" w:eastAsia="Roboto" w:cs="Roboto"/>
          <w:color w:val="ABABAB"/>
          <w:szCs w:val="22"/>
        </w:rPr>
        <w:t>Tax</w:t>
      </w:r>
      <w:r>
        <w:rPr>
          <w:rFonts w:ascii="Roboto" w:hAnsi="Roboto" w:eastAsia="Roboto" w:cs="Roboto"/>
          <w:color w:val="ABABAB"/>
          <w:spacing w:val="-10"/>
          <w:szCs w:val="22"/>
        </w:rPr>
        <w:t xml:space="preserve"> </w:t>
      </w:r>
      <w:r>
        <w:rPr>
          <w:rFonts w:ascii="Roboto" w:hAnsi="Roboto" w:eastAsia="Roboto" w:cs="Roboto"/>
          <w:color w:val="ABABAB"/>
          <w:szCs w:val="22"/>
        </w:rPr>
        <w:t>Policy</w:t>
      </w:r>
      <w:r>
        <w:rPr>
          <w:rFonts w:ascii="Roboto" w:hAnsi="Roboto" w:eastAsia="Roboto" w:cs="Roboto"/>
          <w:color w:val="ABABAB"/>
          <w:spacing w:val="-11"/>
          <w:szCs w:val="22"/>
        </w:rPr>
        <w:t xml:space="preserve"> </w:t>
      </w:r>
      <w:r>
        <w:rPr>
          <w:rFonts w:ascii="Roboto" w:hAnsi="Roboto" w:eastAsia="Roboto" w:cs="Roboto"/>
          <w:color w:val="ABABAB"/>
          <w:szCs w:val="22"/>
        </w:rPr>
        <w:t>and</w:t>
      </w:r>
      <w:r>
        <w:rPr>
          <w:rFonts w:ascii="Roboto" w:hAnsi="Roboto" w:eastAsia="Roboto" w:cs="Roboto"/>
          <w:color w:val="ABABAB"/>
          <w:spacing w:val="-14"/>
          <w:szCs w:val="22"/>
        </w:rPr>
        <w:t xml:space="preserve"> </w:t>
      </w:r>
      <w:r>
        <w:rPr>
          <w:rFonts w:ascii="Roboto" w:hAnsi="Roboto" w:eastAsia="Roboto" w:cs="Roboto"/>
          <w:color w:val="ABABAB"/>
          <w:szCs w:val="22"/>
        </w:rPr>
        <w:t>Tax</w:t>
      </w:r>
      <w:r>
        <w:rPr>
          <w:rFonts w:ascii="Roboto" w:hAnsi="Roboto" w:eastAsia="Roboto" w:cs="Roboto"/>
          <w:color w:val="ABABAB"/>
          <w:spacing w:val="-10"/>
          <w:szCs w:val="22"/>
        </w:rPr>
        <w:t xml:space="preserve"> </w:t>
      </w:r>
      <w:r>
        <w:rPr>
          <w:rFonts w:ascii="Roboto" w:hAnsi="Roboto" w:eastAsia="Roboto" w:cs="Roboto"/>
          <w:color w:val="ABABAB"/>
          <w:szCs w:val="22"/>
        </w:rPr>
        <w:t>Law</w:t>
      </w:r>
      <w:r>
        <w:rPr>
          <w:rFonts w:ascii="Roboto" w:hAnsi="Roboto" w:eastAsia="Roboto" w:cs="Roboto"/>
          <w:color w:val="ABABAB"/>
          <w:spacing w:val="-10"/>
          <w:szCs w:val="22"/>
        </w:rPr>
        <w:t xml:space="preserve"> </w:t>
      </w:r>
      <w:r>
        <w:rPr>
          <w:rFonts w:ascii="Roboto" w:hAnsi="Roboto" w:eastAsia="Roboto" w:cs="Roboto"/>
          <w:color w:val="ABABAB"/>
          <w:szCs w:val="22"/>
        </w:rPr>
        <w:t>reform.</w:t>
      </w:r>
    </w:p>
    <w:p w14:paraId="6CBBC1AC">
      <w:pPr>
        <w:widowControl w:val="0"/>
        <w:autoSpaceDE w:val="0"/>
        <w:autoSpaceDN w:val="0"/>
        <w:spacing w:before="1"/>
        <w:rPr>
          <w:rFonts w:ascii="Roboto" w:hAnsi="Roboto" w:eastAsia="Roboto" w:cs="Roboto"/>
          <w:sz w:val="23"/>
          <w:szCs w:val="21"/>
        </w:rPr>
      </w:pPr>
    </w:p>
    <w:p w14:paraId="7A01C33D">
      <w:pPr>
        <w:widowControl w:val="0"/>
        <w:autoSpaceDE w:val="0"/>
        <w:autoSpaceDN w:val="0"/>
        <w:rPr>
          <w:rFonts w:ascii="Roboto" w:hAnsi="Roboto" w:eastAsia="Roboto" w:cs="Roboto"/>
          <w:sz w:val="23"/>
          <w:szCs w:val="22"/>
        </w:rPr>
        <w:sectPr>
          <w:headerReference r:id="rId26" w:type="default"/>
          <w:footerReference r:id="rId27" w:type="default"/>
          <w:pgSz w:w="11900" w:h="16840"/>
          <w:pgMar w:top="480" w:right="1280" w:bottom="1680" w:left="1040" w:header="269" w:footer="1490" w:gutter="0"/>
          <w:cols w:space="720" w:num="1"/>
        </w:sectPr>
      </w:pPr>
    </w:p>
    <w:p w14:paraId="30AC00C2">
      <w:pPr>
        <w:widowControl w:val="0"/>
        <w:numPr>
          <w:ilvl w:val="0"/>
          <w:numId w:val="47"/>
        </w:numPr>
        <w:tabs>
          <w:tab w:val="left" w:pos="527"/>
        </w:tabs>
        <w:autoSpaceDE w:val="0"/>
        <w:autoSpaceDN w:val="0"/>
        <w:spacing w:before="95" w:line="300" w:lineRule="auto"/>
        <w:ind w:right="38" w:firstLine="0"/>
        <w:jc w:val="both"/>
        <w:rPr>
          <w:rFonts w:eastAsia="Roboto"/>
          <w:szCs w:val="22"/>
        </w:rPr>
      </w:pPr>
      <w:r>
        <mc:AlternateContent>
          <mc:Choice Requires="wpg">
            <w:drawing>
              <wp:anchor distT="0" distB="0" distL="114300" distR="114300" simplePos="0" relativeHeight="251731968" behindDoc="1" locked="0" layoutInCell="1" allowOverlap="1">
                <wp:simplePos x="0" y="0"/>
                <wp:positionH relativeFrom="page">
                  <wp:posOffset>733425</wp:posOffset>
                </wp:positionH>
                <wp:positionV relativeFrom="paragraph">
                  <wp:posOffset>-33020</wp:posOffset>
                </wp:positionV>
                <wp:extent cx="6096000" cy="7038975"/>
                <wp:effectExtent l="9525" t="6985" r="0" b="2540"/>
                <wp:wrapNone/>
                <wp:docPr id="743059132" name="Group 88"/>
                <wp:cNvGraphicFramePr/>
                <a:graphic xmlns:a="http://schemas.openxmlformats.org/drawingml/2006/main">
                  <a:graphicData uri="http://schemas.microsoft.com/office/word/2010/wordprocessingGroup">
                    <wpg:wgp>
                      <wpg:cNvGrpSpPr/>
                      <wpg:grpSpPr>
                        <a:xfrm>
                          <a:off x="0" y="0"/>
                          <a:ext cx="6096000" cy="7038975"/>
                          <a:chOff x="1155" y="-52"/>
                          <a:chExt cx="9600" cy="11085"/>
                        </a:xfrm>
                        <a:effectLst/>
                      </wpg:grpSpPr>
                      <wps:wsp>
                        <wps:cNvPr id="1957294791" name="Freeform 100"/>
                        <wps:cNvSpPr/>
                        <wps:spPr bwMode="auto">
                          <a:xfrm>
                            <a:off x="1154" y="-52"/>
                            <a:ext cx="9600" cy="5535"/>
                          </a:xfrm>
                          <a:custGeom>
                            <a:avLst/>
                            <a:gdLst>
                              <a:gd name="T0" fmla="*/ 9600 w 9600"/>
                              <a:gd name="T1" fmla="*/ -52 h 5535"/>
                              <a:gd name="T2" fmla="*/ 9585 w 9600"/>
                              <a:gd name="T3" fmla="*/ -52 h 5535"/>
                              <a:gd name="T4" fmla="*/ 9585 w 9600"/>
                              <a:gd name="T5" fmla="*/ 5363 h 5535"/>
                              <a:gd name="T6" fmla="*/ 9584 w 9600"/>
                              <a:gd name="T7" fmla="*/ 5373 h 5535"/>
                              <a:gd name="T8" fmla="*/ 9561 w 9600"/>
                              <a:gd name="T9" fmla="*/ 5430 h 5535"/>
                              <a:gd name="T10" fmla="*/ 9553 w 9600"/>
                              <a:gd name="T11" fmla="*/ 5438 h 5535"/>
                              <a:gd name="T12" fmla="*/ 9490 w 9600"/>
                              <a:gd name="T13" fmla="*/ 5468 h 5535"/>
                              <a:gd name="T14" fmla="*/ 9480 w 9600"/>
                              <a:gd name="T15" fmla="*/ 5468 h 5535"/>
                              <a:gd name="T16" fmla="*/ 120 w 9600"/>
                              <a:gd name="T17" fmla="*/ 5468 h 5535"/>
                              <a:gd name="T18" fmla="*/ 62 w 9600"/>
                              <a:gd name="T19" fmla="*/ 5450 h 5535"/>
                              <a:gd name="T20" fmla="*/ 47 w 9600"/>
                              <a:gd name="T21" fmla="*/ 5438 h 5535"/>
                              <a:gd name="T22" fmla="*/ 39 w 9600"/>
                              <a:gd name="T23" fmla="*/ 5430 h 5535"/>
                              <a:gd name="T24" fmla="*/ 15 w 9600"/>
                              <a:gd name="T25" fmla="*/ 5373 h 5535"/>
                              <a:gd name="T26" fmla="*/ 15 w 9600"/>
                              <a:gd name="T27" fmla="*/ 5363 h 5535"/>
                              <a:gd name="T28" fmla="*/ 15 w 9600"/>
                              <a:gd name="T29" fmla="*/ -52 h 5535"/>
                              <a:gd name="T30" fmla="*/ 0 w 9600"/>
                              <a:gd name="T31" fmla="*/ -52 h 5535"/>
                              <a:gd name="T32" fmla="*/ 0 w 9600"/>
                              <a:gd name="T33" fmla="*/ 5363 h 5535"/>
                              <a:gd name="T34" fmla="*/ 1 w 9600"/>
                              <a:gd name="T35" fmla="*/ 5375 h 5535"/>
                              <a:gd name="T36" fmla="*/ 27 w 9600"/>
                              <a:gd name="T37" fmla="*/ 5439 h 5535"/>
                              <a:gd name="T38" fmla="*/ 35 w 9600"/>
                              <a:gd name="T39" fmla="*/ 5448 h 5535"/>
                              <a:gd name="T40" fmla="*/ 97 w 9600"/>
                              <a:gd name="T41" fmla="*/ 5481 h 5535"/>
                              <a:gd name="T42" fmla="*/ 120 w 9600"/>
                              <a:gd name="T43" fmla="*/ 5483 h 5535"/>
                              <a:gd name="T44" fmla="*/ 9480 w 9600"/>
                              <a:gd name="T45" fmla="*/ 5483 h 5535"/>
                              <a:gd name="T46" fmla="*/ 9538 w 9600"/>
                              <a:gd name="T47" fmla="*/ 5468 h 5535"/>
                              <a:gd name="T48" fmla="*/ 9547 w 9600"/>
                              <a:gd name="T49" fmla="*/ 5463 h 5535"/>
                              <a:gd name="T50" fmla="*/ 9556 w 9600"/>
                              <a:gd name="T51" fmla="*/ 5456 h 5535"/>
                              <a:gd name="T52" fmla="*/ 9564 w 9600"/>
                              <a:gd name="T53" fmla="*/ 5449 h 5535"/>
                              <a:gd name="T54" fmla="*/ 9565 w 9600"/>
                              <a:gd name="T55" fmla="*/ 5448 h 5535"/>
                              <a:gd name="T56" fmla="*/ 9573 w 9600"/>
                              <a:gd name="T57" fmla="*/ 5439 h 5535"/>
                              <a:gd name="T58" fmla="*/ 9580 w 9600"/>
                              <a:gd name="T59" fmla="*/ 5430 h 5535"/>
                              <a:gd name="T60" fmla="*/ 9600 w 9600"/>
                              <a:gd name="T61" fmla="*/ 5363 h 5535"/>
                              <a:gd name="T62" fmla="*/ 9600 w 9600"/>
                              <a:gd name="T63" fmla="*/ -52 h 553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00" h="5535">
                                <a:moveTo>
                                  <a:pt x="9600" y="0"/>
                                </a:moveTo>
                                <a:lnTo>
                                  <a:pt x="9585" y="0"/>
                                </a:lnTo>
                                <a:lnTo>
                                  <a:pt x="9585" y="5415"/>
                                </a:lnTo>
                                <a:lnTo>
                                  <a:pt x="9584" y="5425"/>
                                </a:lnTo>
                                <a:lnTo>
                                  <a:pt x="9561" y="5482"/>
                                </a:lnTo>
                                <a:lnTo>
                                  <a:pt x="9553" y="5490"/>
                                </a:lnTo>
                                <a:lnTo>
                                  <a:pt x="9490" y="5520"/>
                                </a:lnTo>
                                <a:lnTo>
                                  <a:pt x="9480" y="5520"/>
                                </a:lnTo>
                                <a:lnTo>
                                  <a:pt x="120" y="5520"/>
                                </a:lnTo>
                                <a:lnTo>
                                  <a:pt x="62" y="5502"/>
                                </a:lnTo>
                                <a:lnTo>
                                  <a:pt x="47" y="5490"/>
                                </a:lnTo>
                                <a:lnTo>
                                  <a:pt x="39" y="5482"/>
                                </a:lnTo>
                                <a:lnTo>
                                  <a:pt x="15" y="5425"/>
                                </a:lnTo>
                                <a:lnTo>
                                  <a:pt x="15" y="5415"/>
                                </a:lnTo>
                                <a:lnTo>
                                  <a:pt x="15" y="0"/>
                                </a:lnTo>
                                <a:lnTo>
                                  <a:pt x="0" y="0"/>
                                </a:lnTo>
                                <a:lnTo>
                                  <a:pt x="0" y="5415"/>
                                </a:lnTo>
                                <a:lnTo>
                                  <a:pt x="1" y="5427"/>
                                </a:lnTo>
                                <a:lnTo>
                                  <a:pt x="27" y="5491"/>
                                </a:lnTo>
                                <a:lnTo>
                                  <a:pt x="35" y="5500"/>
                                </a:lnTo>
                                <a:lnTo>
                                  <a:pt x="97" y="5533"/>
                                </a:lnTo>
                                <a:lnTo>
                                  <a:pt x="120" y="5535"/>
                                </a:lnTo>
                                <a:lnTo>
                                  <a:pt x="9480" y="5535"/>
                                </a:lnTo>
                                <a:lnTo>
                                  <a:pt x="9538" y="5520"/>
                                </a:lnTo>
                                <a:lnTo>
                                  <a:pt x="9547" y="5515"/>
                                </a:lnTo>
                                <a:lnTo>
                                  <a:pt x="9556" y="5508"/>
                                </a:lnTo>
                                <a:lnTo>
                                  <a:pt x="9564" y="5501"/>
                                </a:lnTo>
                                <a:lnTo>
                                  <a:pt x="9565" y="5500"/>
                                </a:lnTo>
                                <a:lnTo>
                                  <a:pt x="9573" y="5491"/>
                                </a:lnTo>
                                <a:lnTo>
                                  <a:pt x="9580" y="5482"/>
                                </a:lnTo>
                                <a:lnTo>
                                  <a:pt x="9600" y="5415"/>
                                </a:lnTo>
                                <a:lnTo>
                                  <a:pt x="9600" y="0"/>
                                </a:lnTo>
                                <a:close/>
                              </a:path>
                            </a:pathLst>
                          </a:custGeom>
                          <a:solidFill>
                            <a:srgbClr val="D9DBDF"/>
                          </a:solidFill>
                          <a:ln>
                            <a:noFill/>
                          </a:ln>
                          <a:effectLst/>
                        </wps:spPr>
                        <wps:bodyPr rot="0" vert="horz" wrap="square" lIns="91440" tIns="45720" rIns="91440" bIns="45720" anchor="t" anchorCtr="0" upright="1">
                          <a:noAutofit/>
                        </wps:bodyPr>
                      </wps:wsp>
                      <wps:wsp>
                        <wps:cNvPr id="1652084861" name="Freeform 99"/>
                        <wps:cNvSpPr/>
                        <wps:spPr bwMode="auto">
                          <a:xfrm>
                            <a:off x="1162" y="5490"/>
                            <a:ext cx="9585" cy="5535"/>
                          </a:xfrm>
                          <a:custGeom>
                            <a:avLst/>
                            <a:gdLst>
                              <a:gd name="T0" fmla="*/ 0 w 9585"/>
                              <a:gd name="T1" fmla="*/ 10913 h 5535"/>
                              <a:gd name="T2" fmla="*/ 0 w 9585"/>
                              <a:gd name="T3" fmla="*/ 5603 h 5535"/>
                              <a:gd name="T4" fmla="*/ 0 w 9585"/>
                              <a:gd name="T5" fmla="*/ 5596 h 5535"/>
                              <a:gd name="T6" fmla="*/ 1 w 9585"/>
                              <a:gd name="T7" fmla="*/ 5588 h 5535"/>
                              <a:gd name="T8" fmla="*/ 28 w 9585"/>
                              <a:gd name="T9" fmla="*/ 5529 h 5535"/>
                              <a:gd name="T10" fmla="*/ 50 w 9585"/>
                              <a:gd name="T11" fmla="*/ 5509 h 5535"/>
                              <a:gd name="T12" fmla="*/ 57 w 9585"/>
                              <a:gd name="T13" fmla="*/ 5505 h 5535"/>
                              <a:gd name="T14" fmla="*/ 91 w 9585"/>
                              <a:gd name="T15" fmla="*/ 5493 h 5535"/>
                              <a:gd name="T16" fmla="*/ 98 w 9585"/>
                              <a:gd name="T17" fmla="*/ 5491 h 5535"/>
                              <a:gd name="T18" fmla="*/ 106 w 9585"/>
                              <a:gd name="T19" fmla="*/ 5491 h 5535"/>
                              <a:gd name="T20" fmla="*/ 113 w 9585"/>
                              <a:gd name="T21" fmla="*/ 5491 h 5535"/>
                              <a:gd name="T22" fmla="*/ 9473 w 9585"/>
                              <a:gd name="T23" fmla="*/ 5491 h 5535"/>
                              <a:gd name="T24" fmla="*/ 9480 w 9585"/>
                              <a:gd name="T25" fmla="*/ 5491 h 5535"/>
                              <a:gd name="T26" fmla="*/ 9488 w 9585"/>
                              <a:gd name="T27" fmla="*/ 5491 h 5535"/>
                              <a:gd name="T28" fmla="*/ 9495 w 9585"/>
                              <a:gd name="T29" fmla="*/ 5493 h 5535"/>
                              <a:gd name="T30" fmla="*/ 9502 w 9585"/>
                              <a:gd name="T31" fmla="*/ 5494 h 5535"/>
                              <a:gd name="T32" fmla="*/ 9535 w 9585"/>
                              <a:gd name="T33" fmla="*/ 5509 h 5535"/>
                              <a:gd name="T34" fmla="*/ 9542 w 9585"/>
                              <a:gd name="T35" fmla="*/ 5514 h 5535"/>
                              <a:gd name="T36" fmla="*/ 9580 w 9585"/>
                              <a:gd name="T37" fmla="*/ 5567 h 5535"/>
                              <a:gd name="T38" fmla="*/ 9585 w 9585"/>
                              <a:gd name="T39" fmla="*/ 5596 h 5535"/>
                              <a:gd name="T40" fmla="*/ 9585 w 9585"/>
                              <a:gd name="T41" fmla="*/ 5603 h 5535"/>
                              <a:gd name="T42" fmla="*/ 9585 w 9585"/>
                              <a:gd name="T43" fmla="*/ 10913 h 5535"/>
                              <a:gd name="T44" fmla="*/ 9585 w 9585"/>
                              <a:gd name="T45" fmla="*/ 10920 h 5535"/>
                              <a:gd name="T46" fmla="*/ 9585 w 9585"/>
                              <a:gd name="T47" fmla="*/ 10928 h 5535"/>
                              <a:gd name="T48" fmla="*/ 9558 w 9585"/>
                              <a:gd name="T49" fmla="*/ 10987 h 5535"/>
                              <a:gd name="T50" fmla="*/ 9535 w 9585"/>
                              <a:gd name="T51" fmla="*/ 11007 h 5535"/>
                              <a:gd name="T52" fmla="*/ 9529 w 9585"/>
                              <a:gd name="T53" fmla="*/ 11011 h 5535"/>
                              <a:gd name="T54" fmla="*/ 9495 w 9585"/>
                              <a:gd name="T55" fmla="*/ 11023 h 5535"/>
                              <a:gd name="T56" fmla="*/ 9488 w 9585"/>
                              <a:gd name="T57" fmla="*/ 11025 h 5535"/>
                              <a:gd name="T58" fmla="*/ 9480 w 9585"/>
                              <a:gd name="T59" fmla="*/ 11026 h 5535"/>
                              <a:gd name="T60" fmla="*/ 9473 w 9585"/>
                              <a:gd name="T61" fmla="*/ 11026 h 5535"/>
                              <a:gd name="T62" fmla="*/ 113 w 9585"/>
                              <a:gd name="T63" fmla="*/ 11026 h 5535"/>
                              <a:gd name="T64" fmla="*/ 106 w 9585"/>
                              <a:gd name="T65" fmla="*/ 11026 h 5535"/>
                              <a:gd name="T66" fmla="*/ 98 w 9585"/>
                              <a:gd name="T67" fmla="*/ 11025 h 5535"/>
                              <a:gd name="T68" fmla="*/ 91 w 9585"/>
                              <a:gd name="T69" fmla="*/ 11023 h 5535"/>
                              <a:gd name="T70" fmla="*/ 84 w 9585"/>
                              <a:gd name="T71" fmla="*/ 11022 h 5535"/>
                              <a:gd name="T72" fmla="*/ 50 w 9585"/>
                              <a:gd name="T73" fmla="*/ 11007 h 5535"/>
                              <a:gd name="T74" fmla="*/ 44 w 9585"/>
                              <a:gd name="T75" fmla="*/ 11002 h 5535"/>
                              <a:gd name="T76" fmla="*/ 6 w 9585"/>
                              <a:gd name="T77" fmla="*/ 10949 h 5535"/>
                              <a:gd name="T78" fmla="*/ 0 w 9585"/>
                              <a:gd name="T79" fmla="*/ 10920 h 5535"/>
                              <a:gd name="T80" fmla="*/ 0 w 9585"/>
                              <a:gd name="T81" fmla="*/ 10913 h 553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585" h="5535">
                                <a:moveTo>
                                  <a:pt x="0" y="5422"/>
                                </a:moveTo>
                                <a:lnTo>
                                  <a:pt x="0" y="112"/>
                                </a:lnTo>
                                <a:lnTo>
                                  <a:pt x="0" y="105"/>
                                </a:lnTo>
                                <a:lnTo>
                                  <a:pt x="1" y="97"/>
                                </a:lnTo>
                                <a:lnTo>
                                  <a:pt x="28" y="38"/>
                                </a:lnTo>
                                <a:lnTo>
                                  <a:pt x="50" y="18"/>
                                </a:lnTo>
                                <a:lnTo>
                                  <a:pt x="57" y="14"/>
                                </a:lnTo>
                                <a:lnTo>
                                  <a:pt x="91" y="2"/>
                                </a:lnTo>
                                <a:lnTo>
                                  <a:pt x="98" y="0"/>
                                </a:lnTo>
                                <a:lnTo>
                                  <a:pt x="106" y="0"/>
                                </a:lnTo>
                                <a:lnTo>
                                  <a:pt x="113" y="0"/>
                                </a:lnTo>
                                <a:lnTo>
                                  <a:pt x="9473" y="0"/>
                                </a:lnTo>
                                <a:lnTo>
                                  <a:pt x="9480" y="0"/>
                                </a:lnTo>
                                <a:lnTo>
                                  <a:pt x="9488" y="0"/>
                                </a:lnTo>
                                <a:lnTo>
                                  <a:pt x="9495" y="2"/>
                                </a:lnTo>
                                <a:lnTo>
                                  <a:pt x="9502" y="3"/>
                                </a:lnTo>
                                <a:lnTo>
                                  <a:pt x="9535" y="18"/>
                                </a:lnTo>
                                <a:lnTo>
                                  <a:pt x="9542" y="23"/>
                                </a:lnTo>
                                <a:lnTo>
                                  <a:pt x="9580" y="76"/>
                                </a:lnTo>
                                <a:lnTo>
                                  <a:pt x="9585" y="105"/>
                                </a:lnTo>
                                <a:lnTo>
                                  <a:pt x="9585" y="112"/>
                                </a:lnTo>
                                <a:lnTo>
                                  <a:pt x="9585" y="5422"/>
                                </a:lnTo>
                                <a:lnTo>
                                  <a:pt x="9585" y="5429"/>
                                </a:lnTo>
                                <a:lnTo>
                                  <a:pt x="9585" y="5437"/>
                                </a:lnTo>
                                <a:lnTo>
                                  <a:pt x="9558" y="5496"/>
                                </a:lnTo>
                                <a:lnTo>
                                  <a:pt x="9535" y="5516"/>
                                </a:lnTo>
                                <a:lnTo>
                                  <a:pt x="9529" y="5520"/>
                                </a:lnTo>
                                <a:lnTo>
                                  <a:pt x="9495" y="5532"/>
                                </a:lnTo>
                                <a:lnTo>
                                  <a:pt x="9488" y="5534"/>
                                </a:lnTo>
                                <a:lnTo>
                                  <a:pt x="9480" y="5535"/>
                                </a:lnTo>
                                <a:lnTo>
                                  <a:pt x="9473" y="5535"/>
                                </a:lnTo>
                                <a:lnTo>
                                  <a:pt x="113" y="5535"/>
                                </a:lnTo>
                                <a:lnTo>
                                  <a:pt x="106" y="5535"/>
                                </a:lnTo>
                                <a:lnTo>
                                  <a:pt x="98" y="5534"/>
                                </a:lnTo>
                                <a:lnTo>
                                  <a:pt x="91" y="5532"/>
                                </a:lnTo>
                                <a:lnTo>
                                  <a:pt x="84" y="5531"/>
                                </a:lnTo>
                                <a:lnTo>
                                  <a:pt x="50" y="5516"/>
                                </a:lnTo>
                                <a:lnTo>
                                  <a:pt x="44" y="5511"/>
                                </a:lnTo>
                                <a:lnTo>
                                  <a:pt x="6" y="5458"/>
                                </a:lnTo>
                                <a:lnTo>
                                  <a:pt x="0" y="5429"/>
                                </a:lnTo>
                                <a:lnTo>
                                  <a:pt x="0" y="5422"/>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734452087" name="Pictur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8"/>
                            <a:ext cx="255" cy="300"/>
                          </a:xfrm>
                          <a:prstGeom prst="rect">
                            <a:avLst/>
                          </a:prstGeom>
                          <a:noFill/>
                          <a:ln>
                            <a:noFill/>
                          </a:ln>
                          <a:effectLst/>
                        </pic:spPr>
                      </pic:pic>
                      <wps:wsp>
                        <wps:cNvPr id="926447026" name="Rectangle 97"/>
                        <wps:cNvSpPr>
                          <a:spLocks noChangeArrowheads="1"/>
                        </wps:cNvSpPr>
                        <wps:spPr bwMode="auto">
                          <a:xfrm>
                            <a:off x="1170" y="1868"/>
                            <a:ext cx="9030" cy="3600"/>
                          </a:xfrm>
                          <a:prstGeom prst="rect">
                            <a:avLst/>
                          </a:prstGeom>
                          <a:solidFill>
                            <a:srgbClr val="FFFFFF"/>
                          </a:solidFill>
                          <a:ln>
                            <a:noFill/>
                          </a:ln>
                          <a:effectLst/>
                        </wps:spPr>
                        <wps:bodyPr rot="0" vert="horz" wrap="square" lIns="91440" tIns="45720" rIns="91440" bIns="45720" anchor="t" anchorCtr="0" upright="1">
                          <a:noAutofit/>
                        </wps:bodyPr>
                      </wps:wsp>
                      <pic:pic xmlns:pic="http://schemas.openxmlformats.org/drawingml/2006/picture">
                        <pic:nvPicPr>
                          <pic:cNvPr id="86055963"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5618"/>
                            <a:ext cx="255" cy="300"/>
                          </a:xfrm>
                          <a:prstGeom prst="rect">
                            <a:avLst/>
                          </a:prstGeom>
                          <a:noFill/>
                          <a:ln>
                            <a:noFill/>
                          </a:ln>
                          <a:effectLst/>
                        </pic:spPr>
                      </pic:pic>
                      <wps:wsp>
                        <wps:cNvPr id="468668941" name="Rectangle 95"/>
                        <wps:cNvSpPr>
                          <a:spLocks noChangeArrowheads="1"/>
                        </wps:cNvSpPr>
                        <wps:spPr bwMode="auto">
                          <a:xfrm>
                            <a:off x="2070" y="7568"/>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396130267" name="AutoShape 94"/>
                        <wps:cNvSpPr/>
                        <wps:spPr bwMode="auto">
                          <a:xfrm>
                            <a:off x="2069" y="7568"/>
                            <a:ext cx="8130" cy="2700"/>
                          </a:xfrm>
                          <a:custGeom>
                            <a:avLst/>
                            <a:gdLst>
                              <a:gd name="T0" fmla="*/ 6810 w 8130"/>
                              <a:gd name="T1" fmla="*/ 9353 h 2700"/>
                              <a:gd name="T2" fmla="*/ 0 w 8130"/>
                              <a:gd name="T3" fmla="*/ 9353 h 2700"/>
                              <a:gd name="T4" fmla="*/ 0 w 8130"/>
                              <a:gd name="T5" fmla="*/ 9368 h 2700"/>
                              <a:gd name="T6" fmla="*/ 6810 w 8130"/>
                              <a:gd name="T7" fmla="*/ 9368 h 2700"/>
                              <a:gd name="T8" fmla="*/ 6810 w 8130"/>
                              <a:gd name="T9" fmla="*/ 9353 h 2700"/>
                              <a:gd name="T10" fmla="*/ 6810 w 8130"/>
                              <a:gd name="T11" fmla="*/ 8468 h 2700"/>
                              <a:gd name="T12" fmla="*/ 0 w 8130"/>
                              <a:gd name="T13" fmla="*/ 8468 h 2700"/>
                              <a:gd name="T14" fmla="*/ 0 w 8130"/>
                              <a:gd name="T15" fmla="*/ 8483 h 2700"/>
                              <a:gd name="T16" fmla="*/ 6810 w 8130"/>
                              <a:gd name="T17" fmla="*/ 8483 h 2700"/>
                              <a:gd name="T18" fmla="*/ 6810 w 8130"/>
                              <a:gd name="T19" fmla="*/ 8468 h 2700"/>
                              <a:gd name="T20" fmla="*/ 8130 w 8130"/>
                              <a:gd name="T21" fmla="*/ 10253 h 2700"/>
                              <a:gd name="T22" fmla="*/ 0 w 8130"/>
                              <a:gd name="T23" fmla="*/ 10253 h 2700"/>
                              <a:gd name="T24" fmla="*/ 0 w 8130"/>
                              <a:gd name="T25" fmla="*/ 10268 h 2700"/>
                              <a:gd name="T26" fmla="*/ 8130 w 8130"/>
                              <a:gd name="T27" fmla="*/ 10268 h 2700"/>
                              <a:gd name="T28" fmla="*/ 8130 w 8130"/>
                              <a:gd name="T29" fmla="*/ 10253 h 2700"/>
                              <a:gd name="T30" fmla="*/ 8130 w 8130"/>
                              <a:gd name="T31" fmla="*/ 9353 h 2700"/>
                              <a:gd name="T32" fmla="*/ 7815 w 8130"/>
                              <a:gd name="T33" fmla="*/ 9353 h 2700"/>
                              <a:gd name="T34" fmla="*/ 7815 w 8130"/>
                              <a:gd name="T35" fmla="*/ 9368 h 2700"/>
                              <a:gd name="T36" fmla="*/ 8130 w 8130"/>
                              <a:gd name="T37" fmla="*/ 9368 h 2700"/>
                              <a:gd name="T38" fmla="*/ 8130 w 8130"/>
                              <a:gd name="T39" fmla="*/ 9353 h 2700"/>
                              <a:gd name="T40" fmla="*/ 8130 w 8130"/>
                              <a:gd name="T41" fmla="*/ 8468 h 2700"/>
                              <a:gd name="T42" fmla="*/ 7815 w 8130"/>
                              <a:gd name="T43" fmla="*/ 8468 h 2700"/>
                              <a:gd name="T44" fmla="*/ 7815 w 8130"/>
                              <a:gd name="T45" fmla="*/ 8483 h 2700"/>
                              <a:gd name="T46" fmla="*/ 8130 w 8130"/>
                              <a:gd name="T47" fmla="*/ 8483 h 2700"/>
                              <a:gd name="T48" fmla="*/ 8130 w 8130"/>
                              <a:gd name="T49" fmla="*/ 8468 h 2700"/>
                              <a:gd name="T50" fmla="*/ 8130 w 8130"/>
                              <a:gd name="T51" fmla="*/ 7568 h 2700"/>
                              <a:gd name="T52" fmla="*/ 0 w 8130"/>
                              <a:gd name="T53" fmla="*/ 7568 h 2700"/>
                              <a:gd name="T54" fmla="*/ 0 w 8130"/>
                              <a:gd name="T55" fmla="*/ 7583 h 2700"/>
                              <a:gd name="T56" fmla="*/ 8130 w 8130"/>
                              <a:gd name="T57" fmla="*/ 7583 h 2700"/>
                              <a:gd name="T58" fmla="*/ 8130 w 8130"/>
                              <a:gd name="T59" fmla="*/ 7568 h 27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30" h="2700">
                                <a:moveTo>
                                  <a:pt x="6810" y="1785"/>
                                </a:moveTo>
                                <a:lnTo>
                                  <a:pt x="0" y="1785"/>
                                </a:lnTo>
                                <a:lnTo>
                                  <a:pt x="0" y="1800"/>
                                </a:lnTo>
                                <a:lnTo>
                                  <a:pt x="6810" y="1800"/>
                                </a:lnTo>
                                <a:lnTo>
                                  <a:pt x="6810" y="1785"/>
                                </a:lnTo>
                                <a:close/>
                                <a:moveTo>
                                  <a:pt x="6810" y="900"/>
                                </a:moveTo>
                                <a:lnTo>
                                  <a:pt x="0" y="900"/>
                                </a:lnTo>
                                <a:lnTo>
                                  <a:pt x="0" y="915"/>
                                </a:lnTo>
                                <a:lnTo>
                                  <a:pt x="6810" y="915"/>
                                </a:lnTo>
                                <a:lnTo>
                                  <a:pt x="6810" y="900"/>
                                </a:lnTo>
                                <a:close/>
                                <a:moveTo>
                                  <a:pt x="8130" y="2685"/>
                                </a:moveTo>
                                <a:lnTo>
                                  <a:pt x="0" y="2685"/>
                                </a:lnTo>
                                <a:lnTo>
                                  <a:pt x="0" y="2700"/>
                                </a:lnTo>
                                <a:lnTo>
                                  <a:pt x="8130" y="2700"/>
                                </a:lnTo>
                                <a:lnTo>
                                  <a:pt x="8130" y="2685"/>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543104211" name="AutoShape 93"/>
                        <wps:cNvSpPr/>
                        <wps:spPr bwMode="auto">
                          <a:xfrm>
                            <a:off x="2069" y="8018"/>
                            <a:ext cx="8130" cy="1800"/>
                          </a:xfrm>
                          <a:custGeom>
                            <a:avLst/>
                            <a:gdLst>
                              <a:gd name="T0" fmla="*/ 3570 w 8130"/>
                              <a:gd name="T1" fmla="*/ 9803 h 1800"/>
                              <a:gd name="T2" fmla="*/ 0 w 8130"/>
                              <a:gd name="T3" fmla="*/ 9803 h 1800"/>
                              <a:gd name="T4" fmla="*/ 0 w 8130"/>
                              <a:gd name="T5" fmla="*/ 9818 h 1800"/>
                              <a:gd name="T6" fmla="*/ 3570 w 8130"/>
                              <a:gd name="T7" fmla="*/ 9818 h 1800"/>
                              <a:gd name="T8" fmla="*/ 3570 w 8130"/>
                              <a:gd name="T9" fmla="*/ 9803 h 1800"/>
                              <a:gd name="T10" fmla="*/ 5190 w 8130"/>
                              <a:gd name="T11" fmla="*/ 9803 h 1800"/>
                              <a:gd name="T12" fmla="*/ 4560 w 8130"/>
                              <a:gd name="T13" fmla="*/ 9803 h 1800"/>
                              <a:gd name="T14" fmla="*/ 4560 w 8130"/>
                              <a:gd name="T15" fmla="*/ 9818 h 1800"/>
                              <a:gd name="T16" fmla="*/ 5190 w 8130"/>
                              <a:gd name="T17" fmla="*/ 9818 h 1800"/>
                              <a:gd name="T18" fmla="*/ 5190 w 8130"/>
                              <a:gd name="T19" fmla="*/ 9803 h 1800"/>
                              <a:gd name="T20" fmla="*/ 6810 w 8130"/>
                              <a:gd name="T21" fmla="*/ 9803 h 1800"/>
                              <a:gd name="T22" fmla="*/ 6195 w 8130"/>
                              <a:gd name="T23" fmla="*/ 9803 h 1800"/>
                              <a:gd name="T24" fmla="*/ 6195 w 8130"/>
                              <a:gd name="T25" fmla="*/ 9818 h 1800"/>
                              <a:gd name="T26" fmla="*/ 6810 w 8130"/>
                              <a:gd name="T27" fmla="*/ 9818 h 1800"/>
                              <a:gd name="T28" fmla="*/ 6810 w 8130"/>
                              <a:gd name="T29" fmla="*/ 9803 h 1800"/>
                              <a:gd name="T30" fmla="*/ 6810 w 8130"/>
                              <a:gd name="T31" fmla="*/ 8918 h 1800"/>
                              <a:gd name="T32" fmla="*/ 0 w 8130"/>
                              <a:gd name="T33" fmla="*/ 8918 h 1800"/>
                              <a:gd name="T34" fmla="*/ 0 w 8130"/>
                              <a:gd name="T35" fmla="*/ 8933 h 1800"/>
                              <a:gd name="T36" fmla="*/ 6810 w 8130"/>
                              <a:gd name="T37" fmla="*/ 8933 h 1800"/>
                              <a:gd name="T38" fmla="*/ 6810 w 8130"/>
                              <a:gd name="T39" fmla="*/ 8918 h 1800"/>
                              <a:gd name="T40" fmla="*/ 8130 w 8130"/>
                              <a:gd name="T41" fmla="*/ 9803 h 1800"/>
                              <a:gd name="T42" fmla="*/ 7815 w 8130"/>
                              <a:gd name="T43" fmla="*/ 9803 h 1800"/>
                              <a:gd name="T44" fmla="*/ 7815 w 8130"/>
                              <a:gd name="T45" fmla="*/ 9818 h 1800"/>
                              <a:gd name="T46" fmla="*/ 8130 w 8130"/>
                              <a:gd name="T47" fmla="*/ 9818 h 1800"/>
                              <a:gd name="T48" fmla="*/ 8130 w 8130"/>
                              <a:gd name="T49" fmla="*/ 9803 h 1800"/>
                              <a:gd name="T50" fmla="*/ 8130 w 8130"/>
                              <a:gd name="T51" fmla="*/ 8918 h 1800"/>
                              <a:gd name="T52" fmla="*/ 7815 w 8130"/>
                              <a:gd name="T53" fmla="*/ 8918 h 1800"/>
                              <a:gd name="T54" fmla="*/ 7815 w 8130"/>
                              <a:gd name="T55" fmla="*/ 8933 h 1800"/>
                              <a:gd name="T56" fmla="*/ 8130 w 8130"/>
                              <a:gd name="T57" fmla="*/ 8933 h 1800"/>
                              <a:gd name="T58" fmla="*/ 8130 w 8130"/>
                              <a:gd name="T59" fmla="*/ 8918 h 1800"/>
                              <a:gd name="T60" fmla="*/ 8130 w 8130"/>
                              <a:gd name="T61" fmla="*/ 8018 h 1800"/>
                              <a:gd name="T62" fmla="*/ 0 w 8130"/>
                              <a:gd name="T63" fmla="*/ 8018 h 1800"/>
                              <a:gd name="T64" fmla="*/ 0 w 8130"/>
                              <a:gd name="T65" fmla="*/ 8033 h 1800"/>
                              <a:gd name="T66" fmla="*/ 8130 w 8130"/>
                              <a:gd name="T67" fmla="*/ 8033 h 1800"/>
                              <a:gd name="T68" fmla="*/ 8130 w 8130"/>
                              <a:gd name="T69" fmla="*/ 8018 h 18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130" h="1800">
                                <a:moveTo>
                                  <a:pt x="3570" y="1785"/>
                                </a:moveTo>
                                <a:lnTo>
                                  <a:pt x="0" y="1785"/>
                                </a:lnTo>
                                <a:lnTo>
                                  <a:pt x="0" y="1800"/>
                                </a:lnTo>
                                <a:lnTo>
                                  <a:pt x="3570" y="1800"/>
                                </a:lnTo>
                                <a:lnTo>
                                  <a:pt x="3570" y="1785"/>
                                </a:lnTo>
                                <a:close/>
                                <a:moveTo>
                                  <a:pt x="5190" y="1785"/>
                                </a:moveTo>
                                <a:lnTo>
                                  <a:pt x="4560" y="1785"/>
                                </a:lnTo>
                                <a:lnTo>
                                  <a:pt x="4560" y="1800"/>
                                </a:lnTo>
                                <a:lnTo>
                                  <a:pt x="5190" y="1800"/>
                                </a:lnTo>
                                <a:lnTo>
                                  <a:pt x="5190" y="1785"/>
                                </a:lnTo>
                                <a:close/>
                                <a:moveTo>
                                  <a:pt x="6810" y="1785"/>
                                </a:moveTo>
                                <a:lnTo>
                                  <a:pt x="6195" y="1785"/>
                                </a:lnTo>
                                <a:lnTo>
                                  <a:pt x="6195" y="1800"/>
                                </a:lnTo>
                                <a:lnTo>
                                  <a:pt x="6810" y="1800"/>
                                </a:lnTo>
                                <a:lnTo>
                                  <a:pt x="6810" y="1785"/>
                                </a:lnTo>
                                <a:close/>
                                <a:moveTo>
                                  <a:pt x="6810" y="900"/>
                                </a:moveTo>
                                <a:lnTo>
                                  <a:pt x="0" y="900"/>
                                </a:lnTo>
                                <a:lnTo>
                                  <a:pt x="0" y="915"/>
                                </a:lnTo>
                                <a:lnTo>
                                  <a:pt x="6810" y="915"/>
                                </a:lnTo>
                                <a:lnTo>
                                  <a:pt x="6810" y="900"/>
                                </a:lnTo>
                                <a:close/>
                                <a:moveTo>
                                  <a:pt x="8130" y="1785"/>
                                </a:moveTo>
                                <a:lnTo>
                                  <a:pt x="7815" y="1785"/>
                                </a:lnTo>
                                <a:lnTo>
                                  <a:pt x="7815" y="1800"/>
                                </a:lnTo>
                                <a:lnTo>
                                  <a:pt x="8130" y="1800"/>
                                </a:lnTo>
                                <a:lnTo>
                                  <a:pt x="8130" y="1785"/>
                                </a:lnTo>
                                <a:close/>
                                <a:moveTo>
                                  <a:pt x="8130" y="900"/>
                                </a:moveTo>
                                <a:lnTo>
                                  <a:pt x="7815" y="900"/>
                                </a:lnTo>
                                <a:lnTo>
                                  <a:pt x="7815" y="915"/>
                                </a:lnTo>
                                <a:lnTo>
                                  <a:pt x="8130" y="915"/>
                                </a:lnTo>
                                <a:lnTo>
                                  <a:pt x="8130" y="900"/>
                                </a:lnTo>
                                <a:close/>
                                <a:moveTo>
                                  <a:pt x="8130" y="0"/>
                                </a:moveTo>
                                <a:lnTo>
                                  <a:pt x="0" y="0"/>
                                </a:lnTo>
                                <a:lnTo>
                                  <a:pt x="0"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191562927" name="AutoShape 92"/>
                        <wps:cNvSpPr/>
                        <wps:spPr bwMode="auto">
                          <a:xfrm>
                            <a:off x="2384" y="8168"/>
                            <a:ext cx="7500" cy="2093"/>
                          </a:xfrm>
                          <a:custGeom>
                            <a:avLst/>
                            <a:gdLst>
                              <a:gd name="T0" fmla="*/ 1005 w 7500"/>
                              <a:gd name="T1" fmla="*/ 10253 h 2093"/>
                              <a:gd name="T2" fmla="*/ 0 w 7500"/>
                              <a:gd name="T3" fmla="*/ 10253 h 2093"/>
                              <a:gd name="T4" fmla="*/ 0 w 7500"/>
                              <a:gd name="T5" fmla="*/ 10261 h 2093"/>
                              <a:gd name="T6" fmla="*/ 1005 w 7500"/>
                              <a:gd name="T7" fmla="*/ 10261 h 2093"/>
                              <a:gd name="T8" fmla="*/ 1005 w 7500"/>
                              <a:gd name="T9" fmla="*/ 10253 h 2093"/>
                              <a:gd name="T10" fmla="*/ 2625 w 7500"/>
                              <a:gd name="T11" fmla="*/ 10223 h 2093"/>
                              <a:gd name="T12" fmla="*/ 1620 w 7500"/>
                              <a:gd name="T13" fmla="*/ 10223 h 2093"/>
                              <a:gd name="T14" fmla="*/ 1620 w 7500"/>
                              <a:gd name="T15" fmla="*/ 10253 h 2093"/>
                              <a:gd name="T16" fmla="*/ 2625 w 7500"/>
                              <a:gd name="T17" fmla="*/ 10253 h 2093"/>
                              <a:gd name="T18" fmla="*/ 2625 w 7500"/>
                              <a:gd name="T19" fmla="*/ 10223 h 2093"/>
                              <a:gd name="T20" fmla="*/ 7500 w 7500"/>
                              <a:gd name="T21" fmla="*/ 8168 h 2093"/>
                              <a:gd name="T22" fmla="*/ 6495 w 7500"/>
                              <a:gd name="T23" fmla="*/ 8168 h 2093"/>
                              <a:gd name="T24" fmla="*/ 6495 w 7500"/>
                              <a:gd name="T25" fmla="*/ 10253 h 2093"/>
                              <a:gd name="T26" fmla="*/ 7500 w 7500"/>
                              <a:gd name="T27" fmla="*/ 10253 h 2093"/>
                              <a:gd name="T28" fmla="*/ 7500 w 7500"/>
                              <a:gd name="T29" fmla="*/ 8168 h 20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00" h="2093">
                                <a:moveTo>
                                  <a:pt x="1005" y="2085"/>
                                </a:moveTo>
                                <a:lnTo>
                                  <a:pt x="0" y="2085"/>
                                </a:lnTo>
                                <a:lnTo>
                                  <a:pt x="0" y="2093"/>
                                </a:lnTo>
                                <a:lnTo>
                                  <a:pt x="1005" y="2093"/>
                                </a:lnTo>
                                <a:lnTo>
                                  <a:pt x="1005" y="2085"/>
                                </a:lnTo>
                                <a:close/>
                                <a:moveTo>
                                  <a:pt x="2625" y="2055"/>
                                </a:moveTo>
                                <a:lnTo>
                                  <a:pt x="1620" y="2055"/>
                                </a:lnTo>
                                <a:lnTo>
                                  <a:pt x="1620" y="2085"/>
                                </a:lnTo>
                                <a:lnTo>
                                  <a:pt x="2625" y="2085"/>
                                </a:lnTo>
                                <a:lnTo>
                                  <a:pt x="2625" y="2055"/>
                                </a:lnTo>
                                <a:close/>
                                <a:moveTo>
                                  <a:pt x="7500" y="0"/>
                                </a:moveTo>
                                <a:lnTo>
                                  <a:pt x="6495" y="0"/>
                                </a:lnTo>
                                <a:lnTo>
                                  <a:pt x="6495" y="2085"/>
                                </a:lnTo>
                                <a:lnTo>
                                  <a:pt x="7500" y="2085"/>
                                </a:lnTo>
                                <a:lnTo>
                                  <a:pt x="7500" y="0"/>
                                </a:lnTo>
                                <a:close/>
                              </a:path>
                            </a:pathLst>
                          </a:custGeom>
                          <a:solidFill>
                            <a:srgbClr val="663AB6"/>
                          </a:solidFill>
                          <a:ln>
                            <a:noFill/>
                          </a:ln>
                          <a:effectLst/>
                        </wps:spPr>
                        <wps:bodyPr rot="0" vert="horz" wrap="square" lIns="91440" tIns="45720" rIns="91440" bIns="45720" anchor="t" anchorCtr="0" upright="1">
                          <a:noAutofit/>
                        </wps:bodyPr>
                      </wps:wsp>
                      <wps:wsp>
                        <wps:cNvPr id="141149290" name="Rectangle 91"/>
                        <wps:cNvSpPr>
                          <a:spLocks noChangeArrowheads="1"/>
                        </wps:cNvSpPr>
                        <wps:spPr bwMode="auto">
                          <a:xfrm>
                            <a:off x="2070" y="10253"/>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1952584799" name="AutoShape 90"/>
                        <wps:cNvSpPr/>
                        <wps:spPr bwMode="auto">
                          <a:xfrm>
                            <a:off x="2879" y="10043"/>
                            <a:ext cx="1635" cy="210"/>
                          </a:xfrm>
                          <a:custGeom>
                            <a:avLst/>
                            <a:gdLst>
                              <a:gd name="T0" fmla="*/ 15 w 1635"/>
                              <a:gd name="T1" fmla="*/ 10073 h 210"/>
                              <a:gd name="T2" fmla="*/ 0 w 1635"/>
                              <a:gd name="T3" fmla="*/ 10073 h 210"/>
                              <a:gd name="T4" fmla="*/ 0 w 1635"/>
                              <a:gd name="T5" fmla="*/ 10253 h 210"/>
                              <a:gd name="T6" fmla="*/ 15 w 1635"/>
                              <a:gd name="T7" fmla="*/ 10253 h 210"/>
                              <a:gd name="T8" fmla="*/ 15 w 1635"/>
                              <a:gd name="T9" fmla="*/ 10073 h 210"/>
                              <a:gd name="T10" fmla="*/ 1635 w 1635"/>
                              <a:gd name="T11" fmla="*/ 10043 h 210"/>
                              <a:gd name="T12" fmla="*/ 1620 w 1635"/>
                              <a:gd name="T13" fmla="*/ 10043 h 210"/>
                              <a:gd name="T14" fmla="*/ 1620 w 1635"/>
                              <a:gd name="T15" fmla="*/ 10223 h 210"/>
                              <a:gd name="T16" fmla="*/ 1635 w 1635"/>
                              <a:gd name="T17" fmla="*/ 10223 h 210"/>
                              <a:gd name="T18" fmla="*/ 1635 w 1635"/>
                              <a:gd name="T19" fmla="*/ 10043 h 2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35" h="210">
                                <a:moveTo>
                                  <a:pt x="15" y="30"/>
                                </a:moveTo>
                                <a:lnTo>
                                  <a:pt x="0" y="30"/>
                                </a:lnTo>
                                <a:lnTo>
                                  <a:pt x="0" y="210"/>
                                </a:lnTo>
                                <a:lnTo>
                                  <a:pt x="15" y="210"/>
                                </a:lnTo>
                                <a:lnTo>
                                  <a:pt x="15" y="30"/>
                                </a:lnTo>
                                <a:close/>
                                <a:moveTo>
                                  <a:pt x="1635" y="0"/>
                                </a:moveTo>
                                <a:lnTo>
                                  <a:pt x="1620" y="0"/>
                                </a:lnTo>
                                <a:lnTo>
                                  <a:pt x="1620" y="180"/>
                                </a:lnTo>
                                <a:lnTo>
                                  <a:pt x="1635" y="180"/>
                                </a:lnTo>
                                <a:lnTo>
                                  <a:pt x="1635" y="0"/>
                                </a:lnTo>
                                <a:close/>
                              </a:path>
                            </a:pathLst>
                          </a:custGeom>
                          <a:solidFill>
                            <a:srgbClr val="999999"/>
                          </a:solidFill>
                          <a:ln>
                            <a:noFill/>
                          </a:ln>
                          <a:effectLst/>
                        </wps:spPr>
                        <wps:bodyPr rot="0" vert="horz" wrap="square" lIns="91440" tIns="45720" rIns="91440" bIns="45720" anchor="t" anchorCtr="0" upright="1">
                          <a:noAutofit/>
                        </wps:bodyPr>
                      </wps:wsp>
                      <wps:wsp>
                        <wps:cNvPr id="410002372" name="AutoShape 89"/>
                        <wps:cNvSpPr/>
                        <wps:spPr bwMode="auto">
                          <a:xfrm>
                            <a:off x="2622" y="9884"/>
                            <a:ext cx="2212" cy="199"/>
                          </a:xfrm>
                          <a:custGeom>
                            <a:avLst/>
                            <a:gdLst>
                              <a:gd name="T0" fmla="*/ 42 w 2212"/>
                              <a:gd name="T1" fmla="*/ 9916 h 199"/>
                              <a:gd name="T2" fmla="*/ 83 w 2212"/>
                              <a:gd name="T3" fmla="*/ 9959 h 199"/>
                              <a:gd name="T4" fmla="*/ 52 w 2212"/>
                              <a:gd name="T5" fmla="*/ 10048 h 199"/>
                              <a:gd name="T6" fmla="*/ 17 w 2212"/>
                              <a:gd name="T7" fmla="*/ 9997 h 199"/>
                              <a:gd name="T8" fmla="*/ 64 w 2212"/>
                              <a:gd name="T9" fmla="*/ 10018 h 199"/>
                              <a:gd name="T10" fmla="*/ 42 w 2212"/>
                              <a:gd name="T11" fmla="*/ 9930 h 199"/>
                              <a:gd name="T12" fmla="*/ 173 w 2212"/>
                              <a:gd name="T13" fmla="*/ 10066 h 199"/>
                              <a:gd name="T14" fmla="*/ 161 w 2212"/>
                              <a:gd name="T15" fmla="*/ 9959 h 199"/>
                              <a:gd name="T16" fmla="*/ 176 w 2212"/>
                              <a:gd name="T17" fmla="*/ 9957 h 199"/>
                              <a:gd name="T18" fmla="*/ 210 w 2212"/>
                              <a:gd name="T19" fmla="*/ 9982 h 199"/>
                              <a:gd name="T20" fmla="*/ 259 w 2212"/>
                              <a:gd name="T21" fmla="*/ 9916 h 199"/>
                              <a:gd name="T22" fmla="*/ 294 w 2212"/>
                              <a:gd name="T23" fmla="*/ 9970 h 199"/>
                              <a:gd name="T24" fmla="*/ 252 w 2212"/>
                              <a:gd name="T25" fmla="*/ 10048 h 199"/>
                              <a:gd name="T26" fmla="*/ 229 w 2212"/>
                              <a:gd name="T27" fmla="*/ 10009 h 199"/>
                              <a:gd name="T28" fmla="*/ 276 w 2212"/>
                              <a:gd name="T29" fmla="*/ 10009 h 199"/>
                              <a:gd name="T30" fmla="*/ 245 w 2212"/>
                              <a:gd name="T31" fmla="*/ 9930 h 199"/>
                              <a:gd name="T32" fmla="*/ 320 w 2212"/>
                              <a:gd name="T33" fmla="*/ 9924 h 199"/>
                              <a:gd name="T34" fmla="*/ 369 w 2212"/>
                              <a:gd name="T35" fmla="*/ 9960 h 199"/>
                              <a:gd name="T36" fmla="*/ 314 w 2212"/>
                              <a:gd name="T37" fmla="*/ 9960 h 199"/>
                              <a:gd name="T38" fmla="*/ 329 w 2212"/>
                              <a:gd name="T39" fmla="*/ 9964 h 199"/>
                              <a:gd name="T40" fmla="*/ 355 w 2212"/>
                              <a:gd name="T41" fmla="*/ 9948 h 199"/>
                              <a:gd name="T42" fmla="*/ 354 w 2212"/>
                              <a:gd name="T43" fmla="*/ 10051 h 199"/>
                              <a:gd name="T44" fmla="*/ 439 w 2212"/>
                              <a:gd name="T45" fmla="*/ 9985 h 199"/>
                              <a:gd name="T46" fmla="*/ 424 w 2212"/>
                              <a:gd name="T47" fmla="*/ 10051 h 199"/>
                              <a:gd name="T48" fmla="*/ 415 w 2212"/>
                              <a:gd name="T49" fmla="*/ 9998 h 199"/>
                              <a:gd name="T50" fmla="*/ 428 w 2212"/>
                              <a:gd name="T51" fmla="*/ 10040 h 199"/>
                              <a:gd name="T52" fmla="*/ 428 w 2212"/>
                              <a:gd name="T53" fmla="*/ 9993 h 199"/>
                              <a:gd name="T54" fmla="*/ 497 w 2212"/>
                              <a:gd name="T55" fmla="*/ 9966 h 199"/>
                              <a:gd name="T56" fmla="*/ 505 w 2212"/>
                              <a:gd name="T57" fmla="*/ 9948 h 199"/>
                              <a:gd name="T58" fmla="*/ 503 w 2212"/>
                              <a:gd name="T59" fmla="*/ 10056 h 199"/>
                              <a:gd name="T60" fmla="*/ 1568 w 2212"/>
                              <a:gd name="T61" fmla="*/ 9930 h 199"/>
                              <a:gd name="T62" fmla="*/ 1605 w 2212"/>
                              <a:gd name="T63" fmla="*/ 9886 h 199"/>
                              <a:gd name="T64" fmla="*/ 1699 w 2212"/>
                              <a:gd name="T65" fmla="*/ 9969 h 199"/>
                              <a:gd name="T66" fmla="*/ 1734 w 2212"/>
                              <a:gd name="T67" fmla="*/ 9897 h 199"/>
                              <a:gd name="T68" fmla="*/ 1722 w 2212"/>
                              <a:gd name="T69" fmla="*/ 10012 h 199"/>
                              <a:gd name="T70" fmla="*/ 1778 w 2212"/>
                              <a:gd name="T71" fmla="*/ 9930 h 199"/>
                              <a:gd name="T72" fmla="*/ 1815 w 2212"/>
                              <a:gd name="T73" fmla="*/ 9886 h 199"/>
                              <a:gd name="T74" fmla="*/ 1926 w 2212"/>
                              <a:gd name="T75" fmla="*/ 9995 h 199"/>
                              <a:gd name="T76" fmla="*/ 1973 w 2212"/>
                              <a:gd name="T77" fmla="*/ 9978 h 199"/>
                              <a:gd name="T78" fmla="*/ 1938 w 2212"/>
                              <a:gd name="T79" fmla="*/ 9941 h 199"/>
                              <a:gd name="T80" fmla="*/ 1967 w 2212"/>
                              <a:gd name="T81" fmla="*/ 9914 h 199"/>
                              <a:gd name="T82" fmla="*/ 1924 w 2212"/>
                              <a:gd name="T83" fmla="*/ 9915 h 199"/>
                              <a:gd name="T84" fmla="*/ 1959 w 2212"/>
                              <a:gd name="T85" fmla="*/ 9888 h 199"/>
                              <a:gd name="T86" fmla="*/ 1979 w 2212"/>
                              <a:gd name="T87" fmla="*/ 9935 h 199"/>
                              <a:gd name="T88" fmla="*/ 1990 w 2212"/>
                              <a:gd name="T89" fmla="*/ 9989 h 199"/>
                              <a:gd name="T90" fmla="*/ 1906 w 2212"/>
                              <a:gd name="T91" fmla="*/ 9993 h 199"/>
                              <a:gd name="T92" fmla="*/ 2050 w 2212"/>
                              <a:gd name="T93" fmla="*/ 9888 h 199"/>
                              <a:gd name="T94" fmla="*/ 2036 w 2212"/>
                              <a:gd name="T95" fmla="*/ 9953 h 199"/>
                              <a:gd name="T96" fmla="*/ 2026 w 2212"/>
                              <a:gd name="T97" fmla="*/ 9901 h 199"/>
                              <a:gd name="T98" fmla="*/ 2040 w 2212"/>
                              <a:gd name="T99" fmla="*/ 9942 h 199"/>
                              <a:gd name="T100" fmla="*/ 2040 w 2212"/>
                              <a:gd name="T101" fmla="*/ 9896 h 199"/>
                              <a:gd name="T102" fmla="*/ 2099 w 2212"/>
                              <a:gd name="T103" fmla="*/ 9962 h 199"/>
                              <a:gd name="T104" fmla="*/ 2147 w 2212"/>
                              <a:gd name="T105" fmla="*/ 9997 h 199"/>
                              <a:gd name="T106" fmla="*/ 2092 w 2212"/>
                              <a:gd name="T107" fmla="*/ 9997 h 199"/>
                              <a:gd name="T108" fmla="*/ 2107 w 2212"/>
                              <a:gd name="T109" fmla="*/ 10001 h 199"/>
                              <a:gd name="T110" fmla="*/ 2133 w 2212"/>
                              <a:gd name="T111" fmla="*/ 9986 h 199"/>
                              <a:gd name="T112" fmla="*/ 2189 w 2212"/>
                              <a:gd name="T113" fmla="*/ 10012 h 199"/>
                              <a:gd name="T114" fmla="*/ 2176 w 2212"/>
                              <a:gd name="T115" fmla="*/ 9897 h 199"/>
                              <a:gd name="T116" fmla="*/ 2211 w 2212"/>
                              <a:gd name="T117" fmla="*/ 9969 h 19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12" h="199">
                                <a:moveTo>
                                  <a:pt x="0" y="97"/>
                                </a:moveTo>
                                <a:lnTo>
                                  <a:pt x="0" y="82"/>
                                </a:lnTo>
                                <a:lnTo>
                                  <a:pt x="2" y="70"/>
                                </a:lnTo>
                                <a:lnTo>
                                  <a:pt x="5" y="61"/>
                                </a:lnTo>
                                <a:lnTo>
                                  <a:pt x="8" y="51"/>
                                </a:lnTo>
                                <a:lnTo>
                                  <a:pt x="13" y="44"/>
                                </a:lnTo>
                                <a:lnTo>
                                  <a:pt x="19" y="39"/>
                                </a:lnTo>
                                <a:lnTo>
                                  <a:pt x="25" y="34"/>
                                </a:lnTo>
                                <a:lnTo>
                                  <a:pt x="33" y="31"/>
                                </a:lnTo>
                                <a:lnTo>
                                  <a:pt x="42" y="31"/>
                                </a:lnTo>
                                <a:lnTo>
                                  <a:pt x="49" y="31"/>
                                </a:lnTo>
                                <a:lnTo>
                                  <a:pt x="55" y="33"/>
                                </a:lnTo>
                                <a:lnTo>
                                  <a:pt x="61" y="36"/>
                                </a:lnTo>
                                <a:lnTo>
                                  <a:pt x="66" y="38"/>
                                </a:lnTo>
                                <a:lnTo>
                                  <a:pt x="70" y="42"/>
                                </a:lnTo>
                                <a:lnTo>
                                  <a:pt x="74" y="48"/>
                                </a:lnTo>
                                <a:lnTo>
                                  <a:pt x="77" y="53"/>
                                </a:lnTo>
                                <a:lnTo>
                                  <a:pt x="80" y="59"/>
                                </a:lnTo>
                                <a:lnTo>
                                  <a:pt x="82" y="67"/>
                                </a:lnTo>
                                <a:lnTo>
                                  <a:pt x="83" y="74"/>
                                </a:lnTo>
                                <a:lnTo>
                                  <a:pt x="84" y="85"/>
                                </a:lnTo>
                                <a:lnTo>
                                  <a:pt x="84" y="97"/>
                                </a:lnTo>
                                <a:lnTo>
                                  <a:pt x="84" y="112"/>
                                </a:lnTo>
                                <a:lnTo>
                                  <a:pt x="83" y="125"/>
                                </a:lnTo>
                                <a:lnTo>
                                  <a:pt x="80" y="134"/>
                                </a:lnTo>
                                <a:lnTo>
                                  <a:pt x="77" y="143"/>
                                </a:lnTo>
                                <a:lnTo>
                                  <a:pt x="72" y="150"/>
                                </a:lnTo>
                                <a:lnTo>
                                  <a:pt x="66" y="155"/>
                                </a:lnTo>
                                <a:lnTo>
                                  <a:pt x="60" y="161"/>
                                </a:lnTo>
                                <a:lnTo>
                                  <a:pt x="52" y="163"/>
                                </a:lnTo>
                                <a:lnTo>
                                  <a:pt x="42" y="163"/>
                                </a:lnTo>
                                <a:lnTo>
                                  <a:pt x="30" y="163"/>
                                </a:lnTo>
                                <a:lnTo>
                                  <a:pt x="20" y="159"/>
                                </a:lnTo>
                                <a:lnTo>
                                  <a:pt x="13" y="150"/>
                                </a:lnTo>
                                <a:lnTo>
                                  <a:pt x="8" y="140"/>
                                </a:lnTo>
                                <a:lnTo>
                                  <a:pt x="4" y="129"/>
                                </a:lnTo>
                                <a:lnTo>
                                  <a:pt x="1" y="114"/>
                                </a:lnTo>
                                <a:lnTo>
                                  <a:pt x="0" y="97"/>
                                </a:lnTo>
                                <a:close/>
                                <a:moveTo>
                                  <a:pt x="17" y="97"/>
                                </a:moveTo>
                                <a:lnTo>
                                  <a:pt x="17" y="112"/>
                                </a:lnTo>
                                <a:lnTo>
                                  <a:pt x="19" y="124"/>
                                </a:lnTo>
                                <a:lnTo>
                                  <a:pt x="21" y="133"/>
                                </a:lnTo>
                                <a:lnTo>
                                  <a:pt x="24" y="140"/>
                                </a:lnTo>
                                <a:lnTo>
                                  <a:pt x="29" y="147"/>
                                </a:lnTo>
                                <a:lnTo>
                                  <a:pt x="35" y="150"/>
                                </a:lnTo>
                                <a:lnTo>
                                  <a:pt x="42" y="150"/>
                                </a:lnTo>
                                <a:lnTo>
                                  <a:pt x="50" y="150"/>
                                </a:lnTo>
                                <a:lnTo>
                                  <a:pt x="56" y="147"/>
                                </a:lnTo>
                                <a:lnTo>
                                  <a:pt x="61" y="140"/>
                                </a:lnTo>
                                <a:lnTo>
                                  <a:pt x="64" y="133"/>
                                </a:lnTo>
                                <a:lnTo>
                                  <a:pt x="66" y="124"/>
                                </a:lnTo>
                                <a:lnTo>
                                  <a:pt x="68" y="112"/>
                                </a:lnTo>
                                <a:lnTo>
                                  <a:pt x="68" y="97"/>
                                </a:lnTo>
                                <a:lnTo>
                                  <a:pt x="68" y="83"/>
                                </a:lnTo>
                                <a:lnTo>
                                  <a:pt x="66" y="71"/>
                                </a:lnTo>
                                <a:lnTo>
                                  <a:pt x="64" y="62"/>
                                </a:lnTo>
                                <a:lnTo>
                                  <a:pt x="61" y="55"/>
                                </a:lnTo>
                                <a:lnTo>
                                  <a:pt x="56" y="48"/>
                                </a:lnTo>
                                <a:lnTo>
                                  <a:pt x="50" y="45"/>
                                </a:lnTo>
                                <a:lnTo>
                                  <a:pt x="42" y="45"/>
                                </a:lnTo>
                                <a:lnTo>
                                  <a:pt x="35" y="45"/>
                                </a:lnTo>
                                <a:lnTo>
                                  <a:pt x="29" y="48"/>
                                </a:lnTo>
                                <a:lnTo>
                                  <a:pt x="25" y="54"/>
                                </a:lnTo>
                                <a:lnTo>
                                  <a:pt x="21" y="61"/>
                                </a:lnTo>
                                <a:lnTo>
                                  <a:pt x="19" y="71"/>
                                </a:lnTo>
                                <a:lnTo>
                                  <a:pt x="17" y="83"/>
                                </a:lnTo>
                                <a:lnTo>
                                  <a:pt x="17" y="97"/>
                                </a:lnTo>
                                <a:close/>
                                <a:moveTo>
                                  <a:pt x="185" y="199"/>
                                </a:moveTo>
                                <a:lnTo>
                                  <a:pt x="179" y="190"/>
                                </a:lnTo>
                                <a:lnTo>
                                  <a:pt x="173" y="181"/>
                                </a:lnTo>
                                <a:lnTo>
                                  <a:pt x="168" y="171"/>
                                </a:lnTo>
                                <a:lnTo>
                                  <a:pt x="163" y="160"/>
                                </a:lnTo>
                                <a:lnTo>
                                  <a:pt x="159" y="149"/>
                                </a:lnTo>
                                <a:lnTo>
                                  <a:pt x="156" y="138"/>
                                </a:lnTo>
                                <a:lnTo>
                                  <a:pt x="155" y="126"/>
                                </a:lnTo>
                                <a:lnTo>
                                  <a:pt x="154" y="114"/>
                                </a:lnTo>
                                <a:lnTo>
                                  <a:pt x="154" y="104"/>
                                </a:lnTo>
                                <a:lnTo>
                                  <a:pt x="156" y="94"/>
                                </a:lnTo>
                                <a:lnTo>
                                  <a:pt x="158" y="84"/>
                                </a:lnTo>
                                <a:lnTo>
                                  <a:pt x="161" y="74"/>
                                </a:lnTo>
                                <a:lnTo>
                                  <a:pt x="165" y="63"/>
                                </a:lnTo>
                                <a:lnTo>
                                  <a:pt x="171" y="52"/>
                                </a:lnTo>
                                <a:lnTo>
                                  <a:pt x="177" y="41"/>
                                </a:lnTo>
                                <a:lnTo>
                                  <a:pt x="185" y="30"/>
                                </a:lnTo>
                                <a:lnTo>
                                  <a:pt x="196" y="30"/>
                                </a:lnTo>
                                <a:lnTo>
                                  <a:pt x="189" y="42"/>
                                </a:lnTo>
                                <a:lnTo>
                                  <a:pt x="185" y="51"/>
                                </a:lnTo>
                                <a:lnTo>
                                  <a:pt x="182" y="56"/>
                                </a:lnTo>
                                <a:lnTo>
                                  <a:pt x="179" y="64"/>
                                </a:lnTo>
                                <a:lnTo>
                                  <a:pt x="176" y="72"/>
                                </a:lnTo>
                                <a:lnTo>
                                  <a:pt x="174" y="81"/>
                                </a:lnTo>
                                <a:lnTo>
                                  <a:pt x="171" y="92"/>
                                </a:lnTo>
                                <a:lnTo>
                                  <a:pt x="170" y="103"/>
                                </a:lnTo>
                                <a:lnTo>
                                  <a:pt x="170" y="114"/>
                                </a:lnTo>
                                <a:lnTo>
                                  <a:pt x="172" y="135"/>
                                </a:lnTo>
                                <a:lnTo>
                                  <a:pt x="177" y="157"/>
                                </a:lnTo>
                                <a:lnTo>
                                  <a:pt x="185" y="178"/>
                                </a:lnTo>
                                <a:lnTo>
                                  <a:pt x="196" y="199"/>
                                </a:lnTo>
                                <a:lnTo>
                                  <a:pt x="185" y="199"/>
                                </a:lnTo>
                                <a:close/>
                                <a:moveTo>
                                  <a:pt x="210" y="97"/>
                                </a:moveTo>
                                <a:lnTo>
                                  <a:pt x="210" y="82"/>
                                </a:lnTo>
                                <a:lnTo>
                                  <a:pt x="212" y="70"/>
                                </a:lnTo>
                                <a:lnTo>
                                  <a:pt x="215" y="61"/>
                                </a:lnTo>
                                <a:lnTo>
                                  <a:pt x="218" y="51"/>
                                </a:lnTo>
                                <a:lnTo>
                                  <a:pt x="223" y="44"/>
                                </a:lnTo>
                                <a:lnTo>
                                  <a:pt x="229" y="39"/>
                                </a:lnTo>
                                <a:lnTo>
                                  <a:pt x="235" y="34"/>
                                </a:lnTo>
                                <a:lnTo>
                                  <a:pt x="243" y="31"/>
                                </a:lnTo>
                                <a:lnTo>
                                  <a:pt x="252" y="31"/>
                                </a:lnTo>
                                <a:lnTo>
                                  <a:pt x="259" y="31"/>
                                </a:lnTo>
                                <a:lnTo>
                                  <a:pt x="265" y="33"/>
                                </a:lnTo>
                                <a:lnTo>
                                  <a:pt x="271" y="36"/>
                                </a:lnTo>
                                <a:lnTo>
                                  <a:pt x="276" y="38"/>
                                </a:lnTo>
                                <a:lnTo>
                                  <a:pt x="280" y="42"/>
                                </a:lnTo>
                                <a:lnTo>
                                  <a:pt x="284" y="48"/>
                                </a:lnTo>
                                <a:lnTo>
                                  <a:pt x="287" y="53"/>
                                </a:lnTo>
                                <a:lnTo>
                                  <a:pt x="290" y="59"/>
                                </a:lnTo>
                                <a:lnTo>
                                  <a:pt x="292" y="67"/>
                                </a:lnTo>
                                <a:lnTo>
                                  <a:pt x="294" y="74"/>
                                </a:lnTo>
                                <a:lnTo>
                                  <a:pt x="294" y="85"/>
                                </a:lnTo>
                                <a:lnTo>
                                  <a:pt x="294" y="97"/>
                                </a:lnTo>
                                <a:lnTo>
                                  <a:pt x="294" y="112"/>
                                </a:lnTo>
                                <a:lnTo>
                                  <a:pt x="293" y="125"/>
                                </a:lnTo>
                                <a:lnTo>
                                  <a:pt x="290" y="134"/>
                                </a:lnTo>
                                <a:lnTo>
                                  <a:pt x="287" y="143"/>
                                </a:lnTo>
                                <a:lnTo>
                                  <a:pt x="282" y="150"/>
                                </a:lnTo>
                                <a:lnTo>
                                  <a:pt x="276" y="155"/>
                                </a:lnTo>
                                <a:lnTo>
                                  <a:pt x="270" y="161"/>
                                </a:lnTo>
                                <a:lnTo>
                                  <a:pt x="262" y="163"/>
                                </a:lnTo>
                                <a:lnTo>
                                  <a:pt x="252" y="163"/>
                                </a:lnTo>
                                <a:lnTo>
                                  <a:pt x="240" y="163"/>
                                </a:lnTo>
                                <a:lnTo>
                                  <a:pt x="230" y="159"/>
                                </a:lnTo>
                                <a:lnTo>
                                  <a:pt x="223" y="150"/>
                                </a:lnTo>
                                <a:lnTo>
                                  <a:pt x="218" y="140"/>
                                </a:lnTo>
                                <a:lnTo>
                                  <a:pt x="214" y="129"/>
                                </a:lnTo>
                                <a:lnTo>
                                  <a:pt x="211" y="114"/>
                                </a:lnTo>
                                <a:lnTo>
                                  <a:pt x="210" y="97"/>
                                </a:lnTo>
                                <a:close/>
                                <a:moveTo>
                                  <a:pt x="227" y="97"/>
                                </a:moveTo>
                                <a:lnTo>
                                  <a:pt x="227" y="112"/>
                                </a:lnTo>
                                <a:lnTo>
                                  <a:pt x="229" y="124"/>
                                </a:lnTo>
                                <a:lnTo>
                                  <a:pt x="231" y="133"/>
                                </a:lnTo>
                                <a:lnTo>
                                  <a:pt x="234" y="140"/>
                                </a:lnTo>
                                <a:lnTo>
                                  <a:pt x="239" y="147"/>
                                </a:lnTo>
                                <a:lnTo>
                                  <a:pt x="245" y="150"/>
                                </a:lnTo>
                                <a:lnTo>
                                  <a:pt x="252" y="150"/>
                                </a:lnTo>
                                <a:lnTo>
                                  <a:pt x="260" y="150"/>
                                </a:lnTo>
                                <a:lnTo>
                                  <a:pt x="266" y="147"/>
                                </a:lnTo>
                                <a:lnTo>
                                  <a:pt x="271" y="140"/>
                                </a:lnTo>
                                <a:lnTo>
                                  <a:pt x="274" y="133"/>
                                </a:lnTo>
                                <a:lnTo>
                                  <a:pt x="276" y="124"/>
                                </a:lnTo>
                                <a:lnTo>
                                  <a:pt x="278" y="112"/>
                                </a:lnTo>
                                <a:lnTo>
                                  <a:pt x="278" y="97"/>
                                </a:lnTo>
                                <a:lnTo>
                                  <a:pt x="278" y="83"/>
                                </a:lnTo>
                                <a:lnTo>
                                  <a:pt x="276" y="71"/>
                                </a:lnTo>
                                <a:lnTo>
                                  <a:pt x="274" y="62"/>
                                </a:lnTo>
                                <a:lnTo>
                                  <a:pt x="271" y="55"/>
                                </a:lnTo>
                                <a:lnTo>
                                  <a:pt x="266" y="48"/>
                                </a:lnTo>
                                <a:lnTo>
                                  <a:pt x="260" y="45"/>
                                </a:lnTo>
                                <a:lnTo>
                                  <a:pt x="252" y="45"/>
                                </a:lnTo>
                                <a:lnTo>
                                  <a:pt x="245" y="45"/>
                                </a:lnTo>
                                <a:lnTo>
                                  <a:pt x="239" y="48"/>
                                </a:lnTo>
                                <a:lnTo>
                                  <a:pt x="235" y="54"/>
                                </a:lnTo>
                                <a:lnTo>
                                  <a:pt x="231" y="61"/>
                                </a:lnTo>
                                <a:lnTo>
                                  <a:pt x="229" y="71"/>
                                </a:lnTo>
                                <a:lnTo>
                                  <a:pt x="227" y="83"/>
                                </a:lnTo>
                                <a:lnTo>
                                  <a:pt x="227" y="97"/>
                                </a:lnTo>
                                <a:close/>
                                <a:moveTo>
                                  <a:pt x="314" y="63"/>
                                </a:moveTo>
                                <a:lnTo>
                                  <a:pt x="314" y="54"/>
                                </a:lnTo>
                                <a:lnTo>
                                  <a:pt x="316" y="46"/>
                                </a:lnTo>
                                <a:lnTo>
                                  <a:pt x="320" y="39"/>
                                </a:lnTo>
                                <a:lnTo>
                                  <a:pt x="325" y="33"/>
                                </a:lnTo>
                                <a:lnTo>
                                  <a:pt x="332" y="30"/>
                                </a:lnTo>
                                <a:lnTo>
                                  <a:pt x="341" y="30"/>
                                </a:lnTo>
                                <a:lnTo>
                                  <a:pt x="349" y="30"/>
                                </a:lnTo>
                                <a:lnTo>
                                  <a:pt x="355" y="33"/>
                                </a:lnTo>
                                <a:lnTo>
                                  <a:pt x="361" y="38"/>
                                </a:lnTo>
                                <a:lnTo>
                                  <a:pt x="366" y="44"/>
                                </a:lnTo>
                                <a:lnTo>
                                  <a:pt x="369" y="53"/>
                                </a:lnTo>
                                <a:lnTo>
                                  <a:pt x="369" y="64"/>
                                </a:lnTo>
                                <a:lnTo>
                                  <a:pt x="369" y="75"/>
                                </a:lnTo>
                                <a:lnTo>
                                  <a:pt x="366" y="83"/>
                                </a:lnTo>
                                <a:lnTo>
                                  <a:pt x="361" y="89"/>
                                </a:lnTo>
                                <a:lnTo>
                                  <a:pt x="355" y="95"/>
                                </a:lnTo>
                                <a:lnTo>
                                  <a:pt x="349" y="98"/>
                                </a:lnTo>
                                <a:lnTo>
                                  <a:pt x="341" y="98"/>
                                </a:lnTo>
                                <a:lnTo>
                                  <a:pt x="333" y="98"/>
                                </a:lnTo>
                                <a:lnTo>
                                  <a:pt x="327" y="95"/>
                                </a:lnTo>
                                <a:lnTo>
                                  <a:pt x="321" y="89"/>
                                </a:lnTo>
                                <a:lnTo>
                                  <a:pt x="316" y="83"/>
                                </a:lnTo>
                                <a:lnTo>
                                  <a:pt x="314" y="75"/>
                                </a:lnTo>
                                <a:lnTo>
                                  <a:pt x="314" y="63"/>
                                </a:lnTo>
                                <a:close/>
                                <a:moveTo>
                                  <a:pt x="341" y="41"/>
                                </a:moveTo>
                                <a:lnTo>
                                  <a:pt x="337" y="41"/>
                                </a:lnTo>
                                <a:lnTo>
                                  <a:pt x="334" y="42"/>
                                </a:lnTo>
                                <a:lnTo>
                                  <a:pt x="331" y="46"/>
                                </a:lnTo>
                                <a:lnTo>
                                  <a:pt x="329" y="49"/>
                                </a:lnTo>
                                <a:lnTo>
                                  <a:pt x="327" y="55"/>
                                </a:lnTo>
                                <a:lnTo>
                                  <a:pt x="327" y="65"/>
                                </a:lnTo>
                                <a:lnTo>
                                  <a:pt x="327" y="73"/>
                                </a:lnTo>
                                <a:lnTo>
                                  <a:pt x="329" y="79"/>
                                </a:lnTo>
                                <a:lnTo>
                                  <a:pt x="331" y="82"/>
                                </a:lnTo>
                                <a:lnTo>
                                  <a:pt x="334" y="85"/>
                                </a:lnTo>
                                <a:lnTo>
                                  <a:pt x="337" y="87"/>
                                </a:lnTo>
                                <a:lnTo>
                                  <a:pt x="341" y="87"/>
                                </a:lnTo>
                                <a:lnTo>
                                  <a:pt x="345" y="87"/>
                                </a:lnTo>
                                <a:lnTo>
                                  <a:pt x="348" y="85"/>
                                </a:lnTo>
                                <a:lnTo>
                                  <a:pt x="351" y="82"/>
                                </a:lnTo>
                                <a:lnTo>
                                  <a:pt x="354" y="79"/>
                                </a:lnTo>
                                <a:lnTo>
                                  <a:pt x="355" y="72"/>
                                </a:lnTo>
                                <a:lnTo>
                                  <a:pt x="355" y="63"/>
                                </a:lnTo>
                                <a:lnTo>
                                  <a:pt x="355" y="55"/>
                                </a:lnTo>
                                <a:lnTo>
                                  <a:pt x="354" y="49"/>
                                </a:lnTo>
                                <a:lnTo>
                                  <a:pt x="351" y="46"/>
                                </a:lnTo>
                                <a:lnTo>
                                  <a:pt x="348" y="42"/>
                                </a:lnTo>
                                <a:lnTo>
                                  <a:pt x="345" y="41"/>
                                </a:lnTo>
                                <a:lnTo>
                                  <a:pt x="341" y="41"/>
                                </a:lnTo>
                                <a:close/>
                                <a:moveTo>
                                  <a:pt x="341" y="166"/>
                                </a:moveTo>
                                <a:lnTo>
                                  <a:pt x="412" y="30"/>
                                </a:lnTo>
                                <a:lnTo>
                                  <a:pt x="424" y="30"/>
                                </a:lnTo>
                                <a:lnTo>
                                  <a:pt x="354" y="166"/>
                                </a:lnTo>
                                <a:lnTo>
                                  <a:pt x="341" y="166"/>
                                </a:lnTo>
                                <a:close/>
                                <a:moveTo>
                                  <a:pt x="397" y="131"/>
                                </a:moveTo>
                                <a:lnTo>
                                  <a:pt x="397" y="121"/>
                                </a:lnTo>
                                <a:lnTo>
                                  <a:pt x="399" y="114"/>
                                </a:lnTo>
                                <a:lnTo>
                                  <a:pt x="404" y="107"/>
                                </a:lnTo>
                                <a:lnTo>
                                  <a:pt x="408" y="101"/>
                                </a:lnTo>
                                <a:lnTo>
                                  <a:pt x="415" y="97"/>
                                </a:lnTo>
                                <a:lnTo>
                                  <a:pt x="424" y="97"/>
                                </a:lnTo>
                                <a:lnTo>
                                  <a:pt x="432" y="97"/>
                                </a:lnTo>
                                <a:lnTo>
                                  <a:pt x="439" y="100"/>
                                </a:lnTo>
                                <a:lnTo>
                                  <a:pt x="444" y="106"/>
                                </a:lnTo>
                                <a:lnTo>
                                  <a:pt x="449" y="112"/>
                                </a:lnTo>
                                <a:lnTo>
                                  <a:pt x="452" y="120"/>
                                </a:lnTo>
                                <a:lnTo>
                                  <a:pt x="452" y="132"/>
                                </a:lnTo>
                                <a:lnTo>
                                  <a:pt x="452" y="142"/>
                                </a:lnTo>
                                <a:lnTo>
                                  <a:pt x="449" y="151"/>
                                </a:lnTo>
                                <a:lnTo>
                                  <a:pt x="444" y="157"/>
                                </a:lnTo>
                                <a:lnTo>
                                  <a:pt x="439" y="163"/>
                                </a:lnTo>
                                <a:lnTo>
                                  <a:pt x="432" y="166"/>
                                </a:lnTo>
                                <a:lnTo>
                                  <a:pt x="424" y="166"/>
                                </a:lnTo>
                                <a:lnTo>
                                  <a:pt x="416" y="166"/>
                                </a:lnTo>
                                <a:lnTo>
                                  <a:pt x="410" y="163"/>
                                </a:lnTo>
                                <a:lnTo>
                                  <a:pt x="405" y="157"/>
                                </a:lnTo>
                                <a:lnTo>
                                  <a:pt x="399" y="151"/>
                                </a:lnTo>
                                <a:lnTo>
                                  <a:pt x="397" y="142"/>
                                </a:lnTo>
                                <a:lnTo>
                                  <a:pt x="397" y="131"/>
                                </a:lnTo>
                                <a:close/>
                                <a:moveTo>
                                  <a:pt x="424" y="108"/>
                                </a:moveTo>
                                <a:lnTo>
                                  <a:pt x="420" y="108"/>
                                </a:lnTo>
                                <a:lnTo>
                                  <a:pt x="417" y="110"/>
                                </a:lnTo>
                                <a:lnTo>
                                  <a:pt x="415" y="113"/>
                                </a:lnTo>
                                <a:lnTo>
                                  <a:pt x="412" y="117"/>
                                </a:lnTo>
                                <a:lnTo>
                                  <a:pt x="411" y="123"/>
                                </a:lnTo>
                                <a:lnTo>
                                  <a:pt x="411" y="132"/>
                                </a:lnTo>
                                <a:lnTo>
                                  <a:pt x="411" y="140"/>
                                </a:lnTo>
                                <a:lnTo>
                                  <a:pt x="412" y="146"/>
                                </a:lnTo>
                                <a:lnTo>
                                  <a:pt x="415" y="150"/>
                                </a:lnTo>
                                <a:lnTo>
                                  <a:pt x="417" y="153"/>
                                </a:lnTo>
                                <a:lnTo>
                                  <a:pt x="421" y="155"/>
                                </a:lnTo>
                                <a:lnTo>
                                  <a:pt x="424" y="155"/>
                                </a:lnTo>
                                <a:lnTo>
                                  <a:pt x="428" y="155"/>
                                </a:lnTo>
                                <a:lnTo>
                                  <a:pt x="432" y="153"/>
                                </a:lnTo>
                                <a:lnTo>
                                  <a:pt x="434" y="150"/>
                                </a:lnTo>
                                <a:lnTo>
                                  <a:pt x="437" y="146"/>
                                </a:lnTo>
                                <a:lnTo>
                                  <a:pt x="438" y="140"/>
                                </a:lnTo>
                                <a:lnTo>
                                  <a:pt x="438" y="131"/>
                                </a:lnTo>
                                <a:lnTo>
                                  <a:pt x="438" y="123"/>
                                </a:lnTo>
                                <a:lnTo>
                                  <a:pt x="437" y="117"/>
                                </a:lnTo>
                                <a:lnTo>
                                  <a:pt x="434" y="113"/>
                                </a:lnTo>
                                <a:lnTo>
                                  <a:pt x="432" y="110"/>
                                </a:lnTo>
                                <a:lnTo>
                                  <a:pt x="428" y="108"/>
                                </a:lnTo>
                                <a:lnTo>
                                  <a:pt x="424" y="108"/>
                                </a:lnTo>
                                <a:close/>
                                <a:moveTo>
                                  <a:pt x="485" y="199"/>
                                </a:moveTo>
                                <a:lnTo>
                                  <a:pt x="474" y="199"/>
                                </a:lnTo>
                                <a:lnTo>
                                  <a:pt x="486" y="178"/>
                                </a:lnTo>
                                <a:lnTo>
                                  <a:pt x="494" y="157"/>
                                </a:lnTo>
                                <a:lnTo>
                                  <a:pt x="499" y="135"/>
                                </a:lnTo>
                                <a:lnTo>
                                  <a:pt x="500" y="114"/>
                                </a:lnTo>
                                <a:lnTo>
                                  <a:pt x="500" y="103"/>
                                </a:lnTo>
                                <a:lnTo>
                                  <a:pt x="499" y="92"/>
                                </a:lnTo>
                                <a:lnTo>
                                  <a:pt x="497" y="81"/>
                                </a:lnTo>
                                <a:lnTo>
                                  <a:pt x="495" y="73"/>
                                </a:lnTo>
                                <a:lnTo>
                                  <a:pt x="492" y="64"/>
                                </a:lnTo>
                                <a:lnTo>
                                  <a:pt x="488" y="56"/>
                                </a:lnTo>
                                <a:lnTo>
                                  <a:pt x="486" y="51"/>
                                </a:lnTo>
                                <a:lnTo>
                                  <a:pt x="481" y="42"/>
                                </a:lnTo>
                                <a:lnTo>
                                  <a:pt x="474" y="30"/>
                                </a:lnTo>
                                <a:lnTo>
                                  <a:pt x="485" y="30"/>
                                </a:lnTo>
                                <a:lnTo>
                                  <a:pt x="493" y="41"/>
                                </a:lnTo>
                                <a:lnTo>
                                  <a:pt x="500" y="52"/>
                                </a:lnTo>
                                <a:lnTo>
                                  <a:pt x="505" y="63"/>
                                </a:lnTo>
                                <a:lnTo>
                                  <a:pt x="510" y="74"/>
                                </a:lnTo>
                                <a:lnTo>
                                  <a:pt x="513" y="84"/>
                                </a:lnTo>
                                <a:lnTo>
                                  <a:pt x="515" y="94"/>
                                </a:lnTo>
                                <a:lnTo>
                                  <a:pt x="516" y="104"/>
                                </a:lnTo>
                                <a:lnTo>
                                  <a:pt x="517" y="114"/>
                                </a:lnTo>
                                <a:lnTo>
                                  <a:pt x="516" y="126"/>
                                </a:lnTo>
                                <a:lnTo>
                                  <a:pt x="514" y="138"/>
                                </a:lnTo>
                                <a:lnTo>
                                  <a:pt x="511" y="149"/>
                                </a:lnTo>
                                <a:lnTo>
                                  <a:pt x="507" y="160"/>
                                </a:lnTo>
                                <a:lnTo>
                                  <a:pt x="503" y="171"/>
                                </a:lnTo>
                                <a:lnTo>
                                  <a:pt x="497" y="181"/>
                                </a:lnTo>
                                <a:lnTo>
                                  <a:pt x="492" y="190"/>
                                </a:lnTo>
                                <a:lnTo>
                                  <a:pt x="485" y="199"/>
                                </a:lnTo>
                                <a:close/>
                                <a:moveTo>
                                  <a:pt x="1605" y="131"/>
                                </a:moveTo>
                                <a:lnTo>
                                  <a:pt x="1589" y="131"/>
                                </a:lnTo>
                                <a:lnTo>
                                  <a:pt x="1589" y="30"/>
                                </a:lnTo>
                                <a:lnTo>
                                  <a:pt x="1585" y="34"/>
                                </a:lnTo>
                                <a:lnTo>
                                  <a:pt x="1580" y="37"/>
                                </a:lnTo>
                                <a:lnTo>
                                  <a:pt x="1574" y="41"/>
                                </a:lnTo>
                                <a:lnTo>
                                  <a:pt x="1568" y="45"/>
                                </a:lnTo>
                                <a:lnTo>
                                  <a:pt x="1562" y="47"/>
                                </a:lnTo>
                                <a:lnTo>
                                  <a:pt x="1557" y="49"/>
                                </a:lnTo>
                                <a:lnTo>
                                  <a:pt x="1557" y="34"/>
                                </a:lnTo>
                                <a:lnTo>
                                  <a:pt x="1566" y="30"/>
                                </a:lnTo>
                                <a:lnTo>
                                  <a:pt x="1574" y="25"/>
                                </a:lnTo>
                                <a:lnTo>
                                  <a:pt x="1580" y="19"/>
                                </a:lnTo>
                                <a:lnTo>
                                  <a:pt x="1587" y="13"/>
                                </a:lnTo>
                                <a:lnTo>
                                  <a:pt x="1592" y="7"/>
                                </a:lnTo>
                                <a:lnTo>
                                  <a:pt x="1595" y="1"/>
                                </a:lnTo>
                                <a:lnTo>
                                  <a:pt x="1605" y="1"/>
                                </a:lnTo>
                                <a:lnTo>
                                  <a:pt x="1605" y="131"/>
                                </a:lnTo>
                                <a:close/>
                                <a:moveTo>
                                  <a:pt x="1730" y="169"/>
                                </a:moveTo>
                                <a:lnTo>
                                  <a:pt x="1724" y="160"/>
                                </a:lnTo>
                                <a:lnTo>
                                  <a:pt x="1718" y="151"/>
                                </a:lnTo>
                                <a:lnTo>
                                  <a:pt x="1713" y="141"/>
                                </a:lnTo>
                                <a:lnTo>
                                  <a:pt x="1708" y="130"/>
                                </a:lnTo>
                                <a:lnTo>
                                  <a:pt x="1704" y="119"/>
                                </a:lnTo>
                                <a:lnTo>
                                  <a:pt x="1701" y="108"/>
                                </a:lnTo>
                                <a:lnTo>
                                  <a:pt x="1699" y="96"/>
                                </a:lnTo>
                                <a:lnTo>
                                  <a:pt x="1699" y="84"/>
                                </a:lnTo>
                                <a:lnTo>
                                  <a:pt x="1699" y="74"/>
                                </a:lnTo>
                                <a:lnTo>
                                  <a:pt x="1700" y="64"/>
                                </a:lnTo>
                                <a:lnTo>
                                  <a:pt x="1703" y="54"/>
                                </a:lnTo>
                                <a:lnTo>
                                  <a:pt x="1705" y="44"/>
                                </a:lnTo>
                                <a:lnTo>
                                  <a:pt x="1710" y="33"/>
                                </a:lnTo>
                                <a:lnTo>
                                  <a:pt x="1716" y="22"/>
                                </a:lnTo>
                                <a:lnTo>
                                  <a:pt x="1722" y="11"/>
                                </a:lnTo>
                                <a:lnTo>
                                  <a:pt x="1730" y="0"/>
                                </a:lnTo>
                                <a:lnTo>
                                  <a:pt x="1741" y="0"/>
                                </a:lnTo>
                                <a:lnTo>
                                  <a:pt x="1734" y="12"/>
                                </a:lnTo>
                                <a:lnTo>
                                  <a:pt x="1729" y="21"/>
                                </a:lnTo>
                                <a:lnTo>
                                  <a:pt x="1727" y="26"/>
                                </a:lnTo>
                                <a:lnTo>
                                  <a:pt x="1724" y="34"/>
                                </a:lnTo>
                                <a:lnTo>
                                  <a:pt x="1721" y="42"/>
                                </a:lnTo>
                                <a:lnTo>
                                  <a:pt x="1719" y="51"/>
                                </a:lnTo>
                                <a:lnTo>
                                  <a:pt x="1716" y="62"/>
                                </a:lnTo>
                                <a:lnTo>
                                  <a:pt x="1715" y="73"/>
                                </a:lnTo>
                                <a:lnTo>
                                  <a:pt x="1715" y="84"/>
                                </a:lnTo>
                                <a:lnTo>
                                  <a:pt x="1717" y="105"/>
                                </a:lnTo>
                                <a:lnTo>
                                  <a:pt x="1722" y="127"/>
                                </a:lnTo>
                                <a:lnTo>
                                  <a:pt x="1730" y="148"/>
                                </a:lnTo>
                                <a:lnTo>
                                  <a:pt x="1741" y="169"/>
                                </a:lnTo>
                                <a:lnTo>
                                  <a:pt x="1730" y="169"/>
                                </a:lnTo>
                                <a:close/>
                                <a:moveTo>
                                  <a:pt x="1815" y="131"/>
                                </a:moveTo>
                                <a:lnTo>
                                  <a:pt x="1799" y="131"/>
                                </a:lnTo>
                                <a:lnTo>
                                  <a:pt x="1799" y="30"/>
                                </a:lnTo>
                                <a:lnTo>
                                  <a:pt x="1795" y="34"/>
                                </a:lnTo>
                                <a:lnTo>
                                  <a:pt x="1790" y="37"/>
                                </a:lnTo>
                                <a:lnTo>
                                  <a:pt x="1784" y="41"/>
                                </a:lnTo>
                                <a:lnTo>
                                  <a:pt x="1778" y="45"/>
                                </a:lnTo>
                                <a:lnTo>
                                  <a:pt x="1772" y="47"/>
                                </a:lnTo>
                                <a:lnTo>
                                  <a:pt x="1767" y="49"/>
                                </a:lnTo>
                                <a:lnTo>
                                  <a:pt x="1767" y="34"/>
                                </a:lnTo>
                                <a:lnTo>
                                  <a:pt x="1776" y="30"/>
                                </a:lnTo>
                                <a:lnTo>
                                  <a:pt x="1784" y="25"/>
                                </a:lnTo>
                                <a:lnTo>
                                  <a:pt x="1791" y="19"/>
                                </a:lnTo>
                                <a:lnTo>
                                  <a:pt x="1797" y="13"/>
                                </a:lnTo>
                                <a:lnTo>
                                  <a:pt x="1802" y="7"/>
                                </a:lnTo>
                                <a:lnTo>
                                  <a:pt x="1805" y="1"/>
                                </a:lnTo>
                                <a:lnTo>
                                  <a:pt x="1815" y="1"/>
                                </a:lnTo>
                                <a:lnTo>
                                  <a:pt x="1815" y="131"/>
                                </a:lnTo>
                                <a:close/>
                                <a:moveTo>
                                  <a:pt x="1864" y="131"/>
                                </a:moveTo>
                                <a:lnTo>
                                  <a:pt x="1864" y="113"/>
                                </a:lnTo>
                                <a:lnTo>
                                  <a:pt x="1882" y="113"/>
                                </a:lnTo>
                                <a:lnTo>
                                  <a:pt x="1882" y="131"/>
                                </a:lnTo>
                                <a:lnTo>
                                  <a:pt x="1864" y="131"/>
                                </a:lnTo>
                                <a:close/>
                                <a:moveTo>
                                  <a:pt x="1905" y="97"/>
                                </a:moveTo>
                                <a:lnTo>
                                  <a:pt x="1921" y="95"/>
                                </a:lnTo>
                                <a:lnTo>
                                  <a:pt x="1923" y="104"/>
                                </a:lnTo>
                                <a:lnTo>
                                  <a:pt x="1926" y="110"/>
                                </a:lnTo>
                                <a:lnTo>
                                  <a:pt x="1931" y="114"/>
                                </a:lnTo>
                                <a:lnTo>
                                  <a:pt x="1935" y="118"/>
                                </a:lnTo>
                                <a:lnTo>
                                  <a:pt x="1940" y="120"/>
                                </a:lnTo>
                                <a:lnTo>
                                  <a:pt x="1946" y="120"/>
                                </a:lnTo>
                                <a:lnTo>
                                  <a:pt x="1954" y="120"/>
                                </a:lnTo>
                                <a:lnTo>
                                  <a:pt x="1960" y="117"/>
                                </a:lnTo>
                                <a:lnTo>
                                  <a:pt x="1965" y="112"/>
                                </a:lnTo>
                                <a:lnTo>
                                  <a:pt x="1970" y="107"/>
                                </a:lnTo>
                                <a:lnTo>
                                  <a:pt x="1973" y="101"/>
                                </a:lnTo>
                                <a:lnTo>
                                  <a:pt x="1973" y="93"/>
                                </a:lnTo>
                                <a:lnTo>
                                  <a:pt x="1973" y="86"/>
                                </a:lnTo>
                                <a:lnTo>
                                  <a:pt x="1971" y="80"/>
                                </a:lnTo>
                                <a:lnTo>
                                  <a:pt x="1966" y="75"/>
                                </a:lnTo>
                                <a:lnTo>
                                  <a:pt x="1961" y="70"/>
                                </a:lnTo>
                                <a:lnTo>
                                  <a:pt x="1955" y="68"/>
                                </a:lnTo>
                                <a:lnTo>
                                  <a:pt x="1948" y="68"/>
                                </a:lnTo>
                                <a:lnTo>
                                  <a:pt x="1945" y="68"/>
                                </a:lnTo>
                                <a:lnTo>
                                  <a:pt x="1941" y="69"/>
                                </a:lnTo>
                                <a:lnTo>
                                  <a:pt x="1937" y="70"/>
                                </a:lnTo>
                                <a:lnTo>
                                  <a:pt x="1938" y="56"/>
                                </a:lnTo>
                                <a:lnTo>
                                  <a:pt x="1939" y="56"/>
                                </a:lnTo>
                                <a:lnTo>
                                  <a:pt x="1940" y="56"/>
                                </a:lnTo>
                                <a:lnTo>
                                  <a:pt x="1941" y="56"/>
                                </a:lnTo>
                                <a:lnTo>
                                  <a:pt x="1948" y="56"/>
                                </a:lnTo>
                                <a:lnTo>
                                  <a:pt x="1954" y="54"/>
                                </a:lnTo>
                                <a:lnTo>
                                  <a:pt x="1959" y="51"/>
                                </a:lnTo>
                                <a:lnTo>
                                  <a:pt x="1965" y="47"/>
                                </a:lnTo>
                                <a:lnTo>
                                  <a:pt x="1967" y="42"/>
                                </a:lnTo>
                                <a:lnTo>
                                  <a:pt x="1967" y="35"/>
                                </a:lnTo>
                                <a:lnTo>
                                  <a:pt x="1967" y="29"/>
                                </a:lnTo>
                                <a:lnTo>
                                  <a:pt x="1965" y="24"/>
                                </a:lnTo>
                                <a:lnTo>
                                  <a:pt x="1961" y="20"/>
                                </a:lnTo>
                                <a:lnTo>
                                  <a:pt x="1957" y="16"/>
                                </a:lnTo>
                                <a:lnTo>
                                  <a:pt x="1952" y="14"/>
                                </a:lnTo>
                                <a:lnTo>
                                  <a:pt x="1946" y="14"/>
                                </a:lnTo>
                                <a:lnTo>
                                  <a:pt x="1940" y="14"/>
                                </a:lnTo>
                                <a:lnTo>
                                  <a:pt x="1935" y="16"/>
                                </a:lnTo>
                                <a:lnTo>
                                  <a:pt x="1931" y="20"/>
                                </a:lnTo>
                                <a:lnTo>
                                  <a:pt x="1927" y="24"/>
                                </a:lnTo>
                                <a:lnTo>
                                  <a:pt x="1924" y="30"/>
                                </a:lnTo>
                                <a:lnTo>
                                  <a:pt x="1923" y="38"/>
                                </a:lnTo>
                                <a:lnTo>
                                  <a:pt x="1907" y="35"/>
                                </a:lnTo>
                                <a:lnTo>
                                  <a:pt x="1909" y="24"/>
                                </a:lnTo>
                                <a:lnTo>
                                  <a:pt x="1913" y="16"/>
                                </a:lnTo>
                                <a:lnTo>
                                  <a:pt x="1920" y="10"/>
                                </a:lnTo>
                                <a:lnTo>
                                  <a:pt x="1927" y="4"/>
                                </a:lnTo>
                                <a:lnTo>
                                  <a:pt x="1936" y="1"/>
                                </a:lnTo>
                                <a:lnTo>
                                  <a:pt x="1946" y="1"/>
                                </a:lnTo>
                                <a:lnTo>
                                  <a:pt x="1953" y="1"/>
                                </a:lnTo>
                                <a:lnTo>
                                  <a:pt x="1959" y="3"/>
                                </a:lnTo>
                                <a:lnTo>
                                  <a:pt x="1965" y="6"/>
                                </a:lnTo>
                                <a:lnTo>
                                  <a:pt x="1971" y="9"/>
                                </a:lnTo>
                                <a:lnTo>
                                  <a:pt x="1976" y="13"/>
                                </a:lnTo>
                                <a:lnTo>
                                  <a:pt x="1979" y="18"/>
                                </a:lnTo>
                                <a:lnTo>
                                  <a:pt x="1982" y="24"/>
                                </a:lnTo>
                                <a:lnTo>
                                  <a:pt x="1983" y="29"/>
                                </a:lnTo>
                                <a:lnTo>
                                  <a:pt x="1983" y="35"/>
                                </a:lnTo>
                                <a:lnTo>
                                  <a:pt x="1983" y="41"/>
                                </a:lnTo>
                                <a:lnTo>
                                  <a:pt x="1982" y="46"/>
                                </a:lnTo>
                                <a:lnTo>
                                  <a:pt x="1979" y="50"/>
                                </a:lnTo>
                                <a:lnTo>
                                  <a:pt x="1976" y="55"/>
                                </a:lnTo>
                                <a:lnTo>
                                  <a:pt x="1972" y="58"/>
                                </a:lnTo>
                                <a:lnTo>
                                  <a:pt x="1966" y="61"/>
                                </a:lnTo>
                                <a:lnTo>
                                  <a:pt x="1973" y="63"/>
                                </a:lnTo>
                                <a:lnTo>
                                  <a:pt x="1979" y="66"/>
                                </a:lnTo>
                                <a:lnTo>
                                  <a:pt x="1983" y="72"/>
                                </a:lnTo>
                                <a:lnTo>
                                  <a:pt x="1988" y="78"/>
                                </a:lnTo>
                                <a:lnTo>
                                  <a:pt x="1990" y="84"/>
                                </a:lnTo>
                                <a:lnTo>
                                  <a:pt x="1990" y="93"/>
                                </a:lnTo>
                                <a:lnTo>
                                  <a:pt x="1990" y="104"/>
                                </a:lnTo>
                                <a:lnTo>
                                  <a:pt x="1986" y="114"/>
                                </a:lnTo>
                                <a:lnTo>
                                  <a:pt x="1977" y="121"/>
                                </a:lnTo>
                                <a:lnTo>
                                  <a:pt x="1969" y="129"/>
                                </a:lnTo>
                                <a:lnTo>
                                  <a:pt x="1959" y="133"/>
                                </a:lnTo>
                                <a:lnTo>
                                  <a:pt x="1946" y="133"/>
                                </a:lnTo>
                                <a:lnTo>
                                  <a:pt x="1935" y="133"/>
                                </a:lnTo>
                                <a:lnTo>
                                  <a:pt x="1926" y="130"/>
                                </a:lnTo>
                                <a:lnTo>
                                  <a:pt x="1918" y="123"/>
                                </a:lnTo>
                                <a:lnTo>
                                  <a:pt x="1911" y="116"/>
                                </a:lnTo>
                                <a:lnTo>
                                  <a:pt x="1906" y="108"/>
                                </a:lnTo>
                                <a:lnTo>
                                  <a:pt x="1905" y="97"/>
                                </a:lnTo>
                                <a:close/>
                                <a:moveTo>
                                  <a:pt x="2008" y="33"/>
                                </a:moveTo>
                                <a:lnTo>
                                  <a:pt x="2008" y="24"/>
                                </a:lnTo>
                                <a:lnTo>
                                  <a:pt x="2011" y="16"/>
                                </a:lnTo>
                                <a:lnTo>
                                  <a:pt x="2015" y="9"/>
                                </a:lnTo>
                                <a:lnTo>
                                  <a:pt x="2020" y="3"/>
                                </a:lnTo>
                                <a:lnTo>
                                  <a:pt x="2027" y="0"/>
                                </a:lnTo>
                                <a:lnTo>
                                  <a:pt x="2035" y="0"/>
                                </a:lnTo>
                                <a:lnTo>
                                  <a:pt x="2044" y="0"/>
                                </a:lnTo>
                                <a:lnTo>
                                  <a:pt x="2050" y="3"/>
                                </a:lnTo>
                                <a:lnTo>
                                  <a:pt x="2056" y="8"/>
                                </a:lnTo>
                                <a:lnTo>
                                  <a:pt x="2061" y="14"/>
                                </a:lnTo>
                                <a:lnTo>
                                  <a:pt x="2064" y="23"/>
                                </a:lnTo>
                                <a:lnTo>
                                  <a:pt x="2064" y="34"/>
                                </a:lnTo>
                                <a:lnTo>
                                  <a:pt x="2064" y="45"/>
                                </a:lnTo>
                                <a:lnTo>
                                  <a:pt x="2061" y="53"/>
                                </a:lnTo>
                                <a:lnTo>
                                  <a:pt x="2055" y="59"/>
                                </a:lnTo>
                                <a:lnTo>
                                  <a:pt x="2050" y="65"/>
                                </a:lnTo>
                                <a:lnTo>
                                  <a:pt x="2044" y="68"/>
                                </a:lnTo>
                                <a:lnTo>
                                  <a:pt x="2036" y="68"/>
                                </a:lnTo>
                                <a:lnTo>
                                  <a:pt x="2028" y="68"/>
                                </a:lnTo>
                                <a:lnTo>
                                  <a:pt x="2021" y="65"/>
                                </a:lnTo>
                                <a:lnTo>
                                  <a:pt x="2016" y="59"/>
                                </a:lnTo>
                                <a:lnTo>
                                  <a:pt x="2011" y="53"/>
                                </a:lnTo>
                                <a:lnTo>
                                  <a:pt x="2008" y="45"/>
                                </a:lnTo>
                                <a:lnTo>
                                  <a:pt x="2008" y="33"/>
                                </a:lnTo>
                                <a:close/>
                                <a:moveTo>
                                  <a:pt x="2036" y="11"/>
                                </a:moveTo>
                                <a:lnTo>
                                  <a:pt x="2032" y="11"/>
                                </a:lnTo>
                                <a:lnTo>
                                  <a:pt x="2029" y="12"/>
                                </a:lnTo>
                                <a:lnTo>
                                  <a:pt x="2026" y="16"/>
                                </a:lnTo>
                                <a:lnTo>
                                  <a:pt x="2024" y="19"/>
                                </a:lnTo>
                                <a:lnTo>
                                  <a:pt x="2022" y="25"/>
                                </a:lnTo>
                                <a:lnTo>
                                  <a:pt x="2022" y="35"/>
                                </a:lnTo>
                                <a:lnTo>
                                  <a:pt x="2022" y="43"/>
                                </a:lnTo>
                                <a:lnTo>
                                  <a:pt x="2024" y="49"/>
                                </a:lnTo>
                                <a:lnTo>
                                  <a:pt x="2026" y="52"/>
                                </a:lnTo>
                                <a:lnTo>
                                  <a:pt x="2029" y="55"/>
                                </a:lnTo>
                                <a:lnTo>
                                  <a:pt x="2032" y="57"/>
                                </a:lnTo>
                                <a:lnTo>
                                  <a:pt x="2036" y="57"/>
                                </a:lnTo>
                                <a:lnTo>
                                  <a:pt x="2040" y="57"/>
                                </a:lnTo>
                                <a:lnTo>
                                  <a:pt x="2043" y="55"/>
                                </a:lnTo>
                                <a:lnTo>
                                  <a:pt x="2046" y="52"/>
                                </a:lnTo>
                                <a:lnTo>
                                  <a:pt x="2048" y="49"/>
                                </a:lnTo>
                                <a:lnTo>
                                  <a:pt x="2050" y="42"/>
                                </a:lnTo>
                                <a:lnTo>
                                  <a:pt x="2050" y="33"/>
                                </a:lnTo>
                                <a:lnTo>
                                  <a:pt x="2050" y="25"/>
                                </a:lnTo>
                                <a:lnTo>
                                  <a:pt x="2048" y="19"/>
                                </a:lnTo>
                                <a:lnTo>
                                  <a:pt x="2046" y="16"/>
                                </a:lnTo>
                                <a:lnTo>
                                  <a:pt x="2043" y="12"/>
                                </a:lnTo>
                                <a:lnTo>
                                  <a:pt x="2040" y="11"/>
                                </a:lnTo>
                                <a:lnTo>
                                  <a:pt x="2036" y="11"/>
                                </a:lnTo>
                                <a:close/>
                                <a:moveTo>
                                  <a:pt x="2036" y="136"/>
                                </a:moveTo>
                                <a:lnTo>
                                  <a:pt x="2107" y="0"/>
                                </a:lnTo>
                                <a:lnTo>
                                  <a:pt x="2119" y="0"/>
                                </a:lnTo>
                                <a:lnTo>
                                  <a:pt x="2049" y="136"/>
                                </a:lnTo>
                                <a:lnTo>
                                  <a:pt x="2036" y="136"/>
                                </a:lnTo>
                                <a:close/>
                                <a:moveTo>
                                  <a:pt x="2092" y="101"/>
                                </a:moveTo>
                                <a:lnTo>
                                  <a:pt x="2092" y="91"/>
                                </a:lnTo>
                                <a:lnTo>
                                  <a:pt x="2094" y="84"/>
                                </a:lnTo>
                                <a:lnTo>
                                  <a:pt x="2099" y="77"/>
                                </a:lnTo>
                                <a:lnTo>
                                  <a:pt x="2103" y="71"/>
                                </a:lnTo>
                                <a:lnTo>
                                  <a:pt x="2110" y="67"/>
                                </a:lnTo>
                                <a:lnTo>
                                  <a:pt x="2119" y="67"/>
                                </a:lnTo>
                                <a:lnTo>
                                  <a:pt x="2127" y="67"/>
                                </a:lnTo>
                                <a:lnTo>
                                  <a:pt x="2134" y="70"/>
                                </a:lnTo>
                                <a:lnTo>
                                  <a:pt x="2139" y="76"/>
                                </a:lnTo>
                                <a:lnTo>
                                  <a:pt x="2144" y="82"/>
                                </a:lnTo>
                                <a:lnTo>
                                  <a:pt x="2147" y="90"/>
                                </a:lnTo>
                                <a:lnTo>
                                  <a:pt x="2147" y="102"/>
                                </a:lnTo>
                                <a:lnTo>
                                  <a:pt x="2147" y="112"/>
                                </a:lnTo>
                                <a:lnTo>
                                  <a:pt x="2144" y="121"/>
                                </a:lnTo>
                                <a:lnTo>
                                  <a:pt x="2139" y="127"/>
                                </a:lnTo>
                                <a:lnTo>
                                  <a:pt x="2134" y="133"/>
                                </a:lnTo>
                                <a:lnTo>
                                  <a:pt x="2127" y="136"/>
                                </a:lnTo>
                                <a:lnTo>
                                  <a:pt x="2119" y="136"/>
                                </a:lnTo>
                                <a:lnTo>
                                  <a:pt x="2111" y="136"/>
                                </a:lnTo>
                                <a:lnTo>
                                  <a:pt x="2105" y="133"/>
                                </a:lnTo>
                                <a:lnTo>
                                  <a:pt x="2100" y="127"/>
                                </a:lnTo>
                                <a:lnTo>
                                  <a:pt x="2094" y="121"/>
                                </a:lnTo>
                                <a:lnTo>
                                  <a:pt x="2092" y="112"/>
                                </a:lnTo>
                                <a:lnTo>
                                  <a:pt x="2092" y="101"/>
                                </a:lnTo>
                                <a:close/>
                                <a:moveTo>
                                  <a:pt x="2119" y="78"/>
                                </a:moveTo>
                                <a:lnTo>
                                  <a:pt x="2115" y="78"/>
                                </a:lnTo>
                                <a:lnTo>
                                  <a:pt x="2112" y="80"/>
                                </a:lnTo>
                                <a:lnTo>
                                  <a:pt x="2109" y="83"/>
                                </a:lnTo>
                                <a:lnTo>
                                  <a:pt x="2107" y="87"/>
                                </a:lnTo>
                                <a:lnTo>
                                  <a:pt x="2106" y="93"/>
                                </a:lnTo>
                                <a:lnTo>
                                  <a:pt x="2106" y="102"/>
                                </a:lnTo>
                                <a:lnTo>
                                  <a:pt x="2106" y="110"/>
                                </a:lnTo>
                                <a:lnTo>
                                  <a:pt x="2107" y="116"/>
                                </a:lnTo>
                                <a:lnTo>
                                  <a:pt x="2110" y="120"/>
                                </a:lnTo>
                                <a:lnTo>
                                  <a:pt x="2112" y="123"/>
                                </a:lnTo>
                                <a:lnTo>
                                  <a:pt x="2115" y="125"/>
                                </a:lnTo>
                                <a:lnTo>
                                  <a:pt x="2119" y="125"/>
                                </a:lnTo>
                                <a:lnTo>
                                  <a:pt x="2123" y="125"/>
                                </a:lnTo>
                                <a:lnTo>
                                  <a:pt x="2127" y="123"/>
                                </a:lnTo>
                                <a:lnTo>
                                  <a:pt x="2129" y="120"/>
                                </a:lnTo>
                                <a:lnTo>
                                  <a:pt x="2132" y="116"/>
                                </a:lnTo>
                                <a:lnTo>
                                  <a:pt x="2133" y="110"/>
                                </a:lnTo>
                                <a:lnTo>
                                  <a:pt x="2133" y="101"/>
                                </a:lnTo>
                                <a:lnTo>
                                  <a:pt x="2133" y="93"/>
                                </a:lnTo>
                                <a:lnTo>
                                  <a:pt x="2132" y="87"/>
                                </a:lnTo>
                                <a:lnTo>
                                  <a:pt x="2129" y="83"/>
                                </a:lnTo>
                                <a:lnTo>
                                  <a:pt x="2127" y="80"/>
                                </a:lnTo>
                                <a:lnTo>
                                  <a:pt x="2123" y="78"/>
                                </a:lnTo>
                                <a:lnTo>
                                  <a:pt x="2119" y="78"/>
                                </a:lnTo>
                                <a:close/>
                                <a:moveTo>
                                  <a:pt x="2180" y="169"/>
                                </a:moveTo>
                                <a:lnTo>
                                  <a:pt x="2169" y="169"/>
                                </a:lnTo>
                                <a:lnTo>
                                  <a:pt x="2180" y="148"/>
                                </a:lnTo>
                                <a:lnTo>
                                  <a:pt x="2189" y="127"/>
                                </a:lnTo>
                                <a:lnTo>
                                  <a:pt x="2194" y="105"/>
                                </a:lnTo>
                                <a:lnTo>
                                  <a:pt x="2195" y="84"/>
                                </a:lnTo>
                                <a:lnTo>
                                  <a:pt x="2195" y="73"/>
                                </a:lnTo>
                                <a:lnTo>
                                  <a:pt x="2194" y="62"/>
                                </a:lnTo>
                                <a:lnTo>
                                  <a:pt x="2191" y="51"/>
                                </a:lnTo>
                                <a:lnTo>
                                  <a:pt x="2189" y="43"/>
                                </a:lnTo>
                                <a:lnTo>
                                  <a:pt x="2187" y="34"/>
                                </a:lnTo>
                                <a:lnTo>
                                  <a:pt x="2183" y="26"/>
                                </a:lnTo>
                                <a:lnTo>
                                  <a:pt x="2181" y="21"/>
                                </a:lnTo>
                                <a:lnTo>
                                  <a:pt x="2176" y="12"/>
                                </a:lnTo>
                                <a:lnTo>
                                  <a:pt x="2169" y="0"/>
                                </a:lnTo>
                                <a:lnTo>
                                  <a:pt x="2180" y="0"/>
                                </a:lnTo>
                                <a:lnTo>
                                  <a:pt x="2188" y="11"/>
                                </a:lnTo>
                                <a:lnTo>
                                  <a:pt x="2195" y="22"/>
                                </a:lnTo>
                                <a:lnTo>
                                  <a:pt x="2200" y="33"/>
                                </a:lnTo>
                                <a:lnTo>
                                  <a:pt x="2205" y="44"/>
                                </a:lnTo>
                                <a:lnTo>
                                  <a:pt x="2208" y="54"/>
                                </a:lnTo>
                                <a:lnTo>
                                  <a:pt x="2210" y="64"/>
                                </a:lnTo>
                                <a:lnTo>
                                  <a:pt x="2211" y="74"/>
                                </a:lnTo>
                                <a:lnTo>
                                  <a:pt x="2211" y="84"/>
                                </a:lnTo>
                                <a:lnTo>
                                  <a:pt x="2211" y="96"/>
                                </a:lnTo>
                                <a:lnTo>
                                  <a:pt x="2209" y="108"/>
                                </a:lnTo>
                                <a:lnTo>
                                  <a:pt x="2206" y="119"/>
                                </a:lnTo>
                                <a:lnTo>
                                  <a:pt x="2202" y="130"/>
                                </a:lnTo>
                                <a:lnTo>
                                  <a:pt x="2198" y="141"/>
                                </a:lnTo>
                                <a:lnTo>
                                  <a:pt x="2192" y="151"/>
                                </a:lnTo>
                                <a:lnTo>
                                  <a:pt x="2187" y="160"/>
                                </a:lnTo>
                                <a:lnTo>
                                  <a:pt x="2180" y="169"/>
                                </a:lnTo>
                                <a:close/>
                              </a:path>
                            </a:pathLst>
                          </a:custGeom>
                          <a:noFill/>
                          <a:ln w="28575">
                            <a:solidFill>
                              <a:srgbClr val="FFFFFF"/>
                            </a:solidFill>
                            <a:round/>
                          </a:ln>
                          <a:effectLst/>
                        </wps:spPr>
                        <wps:bodyPr rot="0" vert="horz" wrap="square" lIns="91440" tIns="45720" rIns="91440" bIns="45720" anchor="t" anchorCtr="0" upright="1">
                          <a:noAutofit/>
                        </wps:bodyPr>
                      </wps:wsp>
                    </wpg:wgp>
                  </a:graphicData>
                </a:graphic>
              </wp:anchor>
            </w:drawing>
          </mc:Choice>
          <mc:Fallback>
            <w:pict>
              <v:group id="Group 88" o:spid="_x0000_s1026" o:spt="203" style="position:absolute;left:0pt;margin-left:57.75pt;margin-top:-2.6pt;height:554.25pt;width:480pt;mso-position-horizontal-relative:page;z-index:-251584512;mso-width-relative:page;mso-height-relative:page;" coordorigin="1155,-52" coordsize="9600,11085" o:gfxdata="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">
                <o:lock v:ext="edit" aspectratio="f"/>
                <v:shape id="Freeform 100" o:spid="_x0000_s1026" o:spt="100" style="position:absolute;left:1154;top:-52;height:5535;width:9600;" fillcolor="#D9DBDF" filled="t" stroked="f" coordsize="9600,5535" o:gfxdata="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2Ff&#10;AsEAAADjAAAADwAAAAAAAAABACAAAAAiAAAAZHJzL2Rvd25yZXYueG1sUEsBAhQAFAAAAAgAh07i&#10;QDMvBZ47AAAAOQAAABAAAAAAAAAAAQAgAAAAEAEAAGRycy9zaGFwZXhtbC54bWxQSwUGAAAAAAYA&#10;BgBbAQAAugMAAAAA&#10;" path="m9600,0l9585,0,9585,5415,9584,5425,9561,5482,9553,5490,9490,5520,9480,5520,120,5520,62,5502,47,5490,39,5482,15,5425,15,5415,15,0,0,0,0,5415,1,5427,27,5491,35,5500,97,5533,120,5535,9480,5535,9538,5520,9547,5515,9556,5508,9564,5501,9565,5500,9573,5491,9580,5482,9600,5415,9600,0xe">
                  <v:path o:connectlocs="9600,-52;9585,-52;9585,5363;9584,5373;9561,5430;9553,5438;9490,5468;9480,5468;120,5468;62,5450;47,5438;39,5430;15,5373;15,5363;15,-52;0,-52;0,5363;1,5375;27,5439;35,5448;97,5481;120,5483;9480,5483;9538,5468;9547,5463;9556,5456;9564,5449;9565,5448;9573,5439;9580,5430;9600,5363;9600,-52" o:connectangles="0,0,0,0,0,0,0,0,0,0,0,0,0,0,0,0,0,0,0,0,0,0,0,0,0,0,0,0,0,0,0,0"/>
                  <v:fill on="t" focussize="0,0"/>
                  <v:stroke on="f"/>
                  <v:imagedata o:title=""/>
                  <o:lock v:ext="edit" aspectratio="f"/>
                </v:shape>
                <v:shape id="Freeform 99" o:spid="_x0000_s1026" o:spt="100" style="position:absolute;left:1162;top:5490;height:5535;width:9585;" filled="f" stroked="t" coordsize="9585,5535" o:gfxdata="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M0xo&#10;wAAAAOMAAAAPAAAAAAAAAAEAIAAAACIAAABkcnMvZG93bnJldi54bWxQSwECFAAUAAAACACHTuJA&#10;My8FnjsAAAA5AAAAEAAAAAAAAAABACAAAAAPAQAAZHJzL3NoYXBleG1sLnhtbFBLBQYAAAAABgAG&#10;AFsBAAC5AwAAAAA=&#10;" path="m0,5422l0,112,0,105,1,97,28,38,50,18,57,14,91,2,98,0,106,0,113,0,9473,0,9480,0,9488,0,9495,2,9502,3,9535,18,9542,23,9580,76,9585,105,9585,112,9585,5422,9585,5429,9585,5437,9558,5496,9535,5516,9529,5520,9495,5532,9488,5534,9480,5535,9473,5535,113,5535,106,5535,98,5534,91,5532,84,5531,50,5516,44,5511,6,5458,0,5429,0,5422xe">
                  <v:path o:connectlocs="0,10913;0,5603;0,5596;1,5588;28,5529;50,5509;57,5505;91,5493;98,5491;106,5491;113,5491;9473,5491;9480,5491;9488,5491;9495,5493;9502,5494;9535,5509;9542,5514;9580,5567;9585,5596;9585,5603;9585,10913;9585,10920;9585,10928;9558,10987;9535,11007;9529,11011;9495,11023;9488,11025;9480,11026;9473,11026;113,11026;106,11026;98,11025;91,11023;84,11022;50,11007;44,11002;6,10949;0,10920;0,10913" o:connectangles="0,0,0,0,0,0,0,0,0,0,0,0,0,0,0,0,0,0,0,0,0,0,0,0,0,0,0,0,0,0,0,0,0,0,0,0,0,0,0,0,0"/>
                  <v:fill on="f" focussize="0,0"/>
                  <v:stroke color="#D9DBDF" joinstyle="round"/>
                  <v:imagedata o:title=""/>
                  <o:lock v:ext="edit" aspectratio="f"/>
                </v:shape>
                <v:shape id="Picture 98" o:spid="_x0000_s1026" o:spt="75" type="#_x0000_t75" style="position:absolute;left:9525;top:68;height:300;width:255;" filled="f" o:preferrelative="t" stroked="f" coordsize="21600,21600" o:gfxdata="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JNiVDscAAADiAAAADwAAAAAAAAABACAAAAAiAAAAZHJzL2Rvd25yZXYueG1sUEsBAhQAFAAA&#10;AAgAh07iQDMvBZ47AAAAOQAAABAAAAAAAAAAAQAgAAAAFgEAAGRycy9zaGFwZXhtbC54bWxQSwUG&#10;AAAAAAYABgBbAQAAwAMAAAAA&#10;">
                  <v:fill on="f" focussize="0,0"/>
                  <v:stroke on="f"/>
                  <v:imagedata r:id="rId110" o:title=""/>
                  <o:lock v:ext="edit" aspectratio="t"/>
                </v:shape>
                <v:rect id="Rectangle 97" o:spid="_x0000_s1026" o:spt="1" style="position:absolute;left:1170;top:1868;height:3600;width:9030;" fillcolor="#FFFFFF" filled="t" stroked="f" coordsize="21600,21600" o:gfxdata="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E&#10;LplXwwAAAOIAAAAPAAAAAAAAAAEAIAAAACIAAABkcnMvZG93bnJldi54bWxQSwECFAAUAAAACACH&#10;TuJAMy8FnjsAAAA5AAAAEAAAAAAAAAABACAAAAASAQAAZHJzL3NoYXBleG1sLnhtbFBLBQYAAAAA&#10;BgAGAFsBAAC8AwAAAAA=&#10;">
                  <v:fill on="t" focussize="0,0"/>
                  <v:stroke on="f"/>
                  <v:imagedata o:title=""/>
                  <o:lock v:ext="edit" aspectratio="f"/>
                </v:rect>
                <v:shape id="Picture 96" o:spid="_x0000_s1026" o:spt="75" type="#_x0000_t75" style="position:absolute;left:9525;top:5618;height:300;width:255;" filled="f" o:preferrelative="t" stroked="f" coordsize="21600,21600" o:gfxdata="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UcE2wxgAAAOEAAAAPAAAAAAAAAAEAIAAAACIAAABkcnMvZG93bnJldi54bWxQSwECFAAUAAAA&#10;CACHTuJAMy8FnjsAAAA5AAAAEAAAAAAAAAABACAAAAAVAQAAZHJzL3NoYXBleG1sLnhtbFBLBQYA&#10;AAAABgAGAFsBAAC/AwAAAAA=&#10;">
                  <v:fill on="f" focussize="0,0"/>
                  <v:stroke on="f"/>
                  <v:imagedata r:id="rId110" o:title=""/>
                  <o:lock v:ext="edit" aspectratio="t"/>
                </v:shape>
                <v:rect id="Rectangle 95" o:spid="_x0000_s1026" o:spt="1" style="position:absolute;left:2070;top:7568;height:2700;width:8130;" filled="f" stroked="t" coordsize="21600,21600" o:gfxdata="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6&#10;qgXtwwAAAOIAAAAPAAAAAAAAAAEAIAAAACIAAABkcnMvZG93bnJldi54bWxQSwECFAAUAAAACACH&#10;TuJAMy8FnjsAAAA5AAAAEAAAAAAAAAABACAAAAASAQAAZHJzL3NoYXBleG1sLnhtbFBLBQYAAAAA&#10;BgAGAFsBAAC8AwAAAAA=&#10;">
                  <v:fill on="f" focussize="0,0"/>
                  <v:stroke color="#EDEDED" miterlimit="8" joinstyle="miter"/>
                  <v:imagedata o:title=""/>
                  <o:lock v:ext="edit" aspectratio="f"/>
                </v:rect>
                <v:shape id="AutoShape 94" o:spid="_x0000_s1026" o:spt="100" style="position:absolute;left:2069;top:7568;height:2700;width:8130;" fillcolor="#EDEDED" filled="t" stroked="f" coordsize="8130,2700" o:gfxdata="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Zp&#10;TYjCAAAA4wAAAA8AAAAAAAAAAQAgAAAAIgAAAGRycy9kb3ducmV2LnhtbFBLAQIUABQAAAAIAIdO&#10;4kAzLwWeOwAAADkAAAAQAAAAAAAAAAEAIAAAABEBAABkcnMvc2hhcGV4bWwueG1sUEsFBgAAAAAG&#10;AAYAWwEAALsDAAAAAA==&#10;" path="m6810,1785l0,1785,0,1800,6810,1800,6810,1785xm6810,900l0,900,0,915,6810,915,6810,900xm8130,2685l0,2685,0,2700,8130,2700,8130,2685xm8130,1785l7815,1785,7815,1800,8130,1800,8130,1785xm8130,900l7815,900,7815,915,8130,915,8130,900xm8130,0l0,0,0,15,8130,15,8130,0xe">
                  <v:path o:connectlocs="6810,9353;0,9353;0,9368;6810,9368;6810,9353;6810,8468;0,8468;0,8483;6810,8483;6810,8468;8130,10253;0,10253;0,10268;8130,10268;8130,10253;8130,9353;7815,9353;7815,9368;8130,9368;8130,9353;8130,8468;7815,8468;7815,8483;8130,8483;8130,8468;8130,7568;0,7568;0,7583;8130,7583;8130,7568" o:connectangles="0,0,0,0,0,0,0,0,0,0,0,0,0,0,0,0,0,0,0,0,0,0,0,0,0,0,0,0,0,0"/>
                  <v:fill on="t" focussize="0,0"/>
                  <v:stroke on="f"/>
                  <v:imagedata o:title=""/>
                  <o:lock v:ext="edit" aspectratio="f"/>
                </v:shape>
                <v:shape id="AutoShape 93" o:spid="_x0000_s1026" o:spt="100" style="position:absolute;left:2069;top:8018;height:1800;width:8130;" fillcolor="#F7F7F7" filled="t" stroked="f" coordsize="8130,1800" o:gfxdata="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Rn&#10;7sEAAADjAAAADwAAAAAAAAABACAAAAAiAAAAZHJzL2Rvd25yZXYueG1sUEsBAhQAFAAAAAgAh07i&#10;QDMvBZ47AAAAOQAAABAAAAAAAAAAAQAgAAAAEAEAAGRycy9zaGFwZXhtbC54bWxQSwUGAAAAAAYA&#10;BgBbAQAAugMAAAAA&#10;" path="m3570,1785l0,1785,0,1800,3570,1800,3570,1785xm5190,1785l4560,1785,4560,1800,5190,1800,5190,1785xm6810,1785l6195,1785,6195,1800,6810,1800,6810,1785xm6810,900l0,900,0,915,6810,915,6810,900xm8130,1785l7815,1785,7815,1800,8130,1800,8130,1785xm8130,900l7815,900,7815,915,8130,915,8130,900xm8130,0l0,0,0,15,8130,15,8130,0xe">
                  <v:path o:connectlocs="3570,9803;0,9803;0,9818;3570,9818;3570,9803;5190,9803;4560,9803;4560,9818;5190,9818;5190,9803;6810,9803;6195,9803;6195,9818;6810,9818;6810,9803;6810,8918;0,8918;0,8933;6810,8933;6810,8918;8130,9803;7815,9803;7815,9818;8130,9818;8130,9803;8130,8918;7815,8918;7815,8933;8130,8933;8130,8918;8130,8018;0,8018;0,8033;8130,8033;8130,8018" o:connectangles="0,0,0,0,0,0,0,0,0,0,0,0,0,0,0,0,0,0,0,0,0,0,0,0,0,0,0,0,0,0,0,0,0,0,0"/>
                  <v:fill on="t" focussize="0,0"/>
                  <v:stroke on="f"/>
                  <v:imagedata o:title=""/>
                  <o:lock v:ext="edit" aspectratio="f"/>
                </v:shape>
                <v:shape id="AutoShape 92" o:spid="_x0000_s1026" o:spt="100" style="position:absolute;left:2384;top:8168;height:2093;width:7500;" fillcolor="#663AB6" filled="t" stroked="f" coordsize="7500,2093" o:gfxdata="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i6&#10;tN7CAAAA4wAAAA8AAAAAAAAAAQAgAAAAIgAAAGRycy9kb3ducmV2LnhtbFBLAQIUABQAAAAIAIdO&#10;4kAzLwWeOwAAADkAAAAQAAAAAAAAAAEAIAAAABEBAABkcnMvc2hhcGV4bWwueG1sUEsFBgAAAAAG&#10;AAYAWwEAALsDAAAAAA==&#10;" path="m1005,2085l0,2085,0,2093,1005,2093,1005,2085xm2625,2055l1620,2055,1620,2085,2625,2085,2625,2055xm7500,0l6495,0,6495,2085,7500,2085,7500,0xe">
                  <v:path o:connectlocs="1005,10253;0,10253;0,10261;1005,10261;1005,10253;2625,10223;1620,10223;1620,10253;2625,10253;2625,10223;7500,8168;6495,8168;6495,10253;7500,10253;7500,8168" o:connectangles="0,0,0,0,0,0,0,0,0,0,0,0,0,0,0"/>
                  <v:fill on="t" focussize="0,0"/>
                  <v:stroke on="f"/>
                  <v:imagedata o:title=""/>
                  <o:lock v:ext="edit" aspectratio="f"/>
                </v:shape>
                <v:rect id="Rectangle 91" o:spid="_x0000_s1026" o:spt="1" style="position:absolute;left:2070;top:10253;height:15;width:8130;" fillcolor="#333333" filled="t" stroked="f" coordsize="21600,21600" o:gfxdata="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tB7y&#10;wAAAAOIAAAAPAAAAAAAAAAEAIAAAACIAAABkcnMvZG93bnJldi54bWxQSwECFAAUAAAACACHTuJA&#10;My8FnjsAAAA5AAAAEAAAAAAAAAABACAAAAAPAQAAZHJzL3NoYXBleG1sLnhtbFBLBQYAAAAABgAG&#10;AFsBAAC5AwAAAAA=&#10;">
                  <v:fill on="t" focussize="0,0"/>
                  <v:stroke on="f"/>
                  <v:imagedata o:title=""/>
                  <o:lock v:ext="edit" aspectratio="f"/>
                </v:rect>
                <v:shape id="AutoShape 90" o:spid="_x0000_s1026" o:spt="100" style="position:absolute;left:2879;top:10043;height:210;width:1635;" fillcolor="#999999" filled="t" stroked="f" coordsize="1635,210" o:gfxdata="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r&#10;1cEAAADjAAAADwAAAAAAAAABACAAAAAiAAAAZHJzL2Rvd25yZXYueG1sUEsBAhQAFAAAAAgAh07i&#10;QDMvBZ47AAAAOQAAABAAAAAAAAAAAQAgAAAAEAEAAGRycy9zaGFwZXhtbC54bWxQSwUGAAAAAAYA&#10;BgBbAQAAugMAAAAA&#10;" path="m15,30l0,30,0,210,15,210,15,30xm1635,0l1620,0,1620,180,1635,180,1635,0xe">
                  <v:path o:connectlocs="15,10073;0,10073;0,10253;15,10253;15,10073;1635,10043;1620,10043;1620,10223;1635,10223;1635,10043" o:connectangles="0,0,0,0,0,0,0,0,0,0"/>
                  <v:fill on="t" focussize="0,0"/>
                  <v:stroke on="f"/>
                  <v:imagedata o:title=""/>
                  <o:lock v:ext="edit" aspectratio="f"/>
                </v:shape>
                <v:shape id="AutoShape 89" o:spid="_x0000_s1026" o:spt="100" style="position:absolute;left:2622;top:9884;height:199;width:2212;" filled="f" stroked="t" coordsize="2212,199" o:gfxdata="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E/jpcQAAADiAAAADwAAAAAAAAABACAAAAAiAAAAZHJzL2Rvd25yZXYueG1sUEsBAhQAFAAAAAgA&#10;h07iQDMvBZ47AAAAOQAAABAAAAAAAAAAAQAgAAAAEwEAAGRycy9zaGFwZXhtbC54bWxQSwUGAAAA&#10;AAYABgBbAQAAvQMAAAAA&#10;" path="m0,97l0,82,2,70,5,61,8,51,13,44,19,39,25,34,33,31,42,31,49,31,55,33,61,36,66,38,70,42,74,48,77,53,80,59,82,67,83,74,84,85,84,97,84,112,83,125,80,134,77,143,72,150,66,155,60,161,52,163,42,163,30,163,20,159,13,150,8,140,4,129,1,114,0,97xm17,97l17,112,19,124,21,133,24,140,29,147,35,150,42,150,50,150,56,147,61,140,64,133,66,124,68,112,68,97,68,83,66,71,64,62,61,55,56,48,50,45,42,45,35,45,29,48,25,54,21,61,19,71,17,83,17,97xm185,199l179,190,173,181,168,171,163,160,159,149,156,138,155,126,154,114,154,104,156,94,158,84,161,74,165,63,171,52,177,41,185,30,196,30,189,42,185,51,182,56,179,64,176,72,174,81,171,92,170,103,170,114,172,135,177,157,185,178,196,199,185,199xm210,97l210,82,212,70,215,61,218,51,223,44,229,39,235,34,243,31,252,31,259,31,265,33,271,36,276,38,280,42,284,48,287,53,290,59,292,67,294,74,294,85,294,97,294,112,293,125,290,134,287,143,282,150,276,155,270,161,262,163,252,163,240,163,230,159,223,150,218,140,214,129,211,114,210,97xm227,97l227,112,229,124,231,133,234,140,239,147,245,150,252,150,260,150,266,147,271,140,274,133,276,124,278,112,278,97,278,83,276,71,274,62,271,55,266,48,260,45,252,45,245,45,239,48,235,54,231,61,229,71,227,83,227,97xm314,63l314,54,316,46,320,39,325,33,332,30,341,30,349,30,355,33,361,38,366,44,369,53,369,64,369,75,366,83,361,89,355,95,349,98,341,98,333,98,327,95,321,89,316,83,314,75,314,63xm341,41l337,41,334,42,331,46,329,49,327,55,327,65,327,73,329,79,331,82,334,85,337,87,341,87,345,87,348,85,351,82,354,79,355,72,355,63,355,55,354,49,351,46,348,42,345,41,341,41xm341,166l412,30,424,30,354,166,341,166xm397,131l397,121,399,114,404,107,408,101,415,97,424,97,432,97,439,100,444,106,449,112,452,120,452,132,452,142,449,151,444,157,439,163,432,166,424,166,416,166,410,163,405,157,399,151,397,142,397,131xm424,108l420,108,417,110,415,113,412,117,411,123,411,132,411,140,412,146,415,150,417,153,421,155,424,155,428,155,432,153,434,150,437,146,438,140,438,131,438,123,437,117,434,113,432,110,428,108,424,108xm485,199l474,199,486,178,494,157,499,135,500,114,500,103,499,92,497,81,495,73,492,64,488,56,486,51,481,42,474,30,485,30,493,41,500,52,505,63,510,74,513,84,515,94,516,104,517,114,516,126,514,138,511,149,507,160,503,171,497,181,492,190,485,199xm1605,131l1589,131,1589,30,1585,34,1580,37,1574,41,1568,45,1562,47,1557,49,1557,34,1566,30,1574,25,1580,19,1587,13,1592,7,1595,1,1605,1,1605,131xm1730,169l1724,160,1718,151,1713,141,1708,130,1704,119,1701,108,1699,96,1699,84,1699,74,1700,64,1703,54,1705,44,1710,33,1716,22,1722,11,1730,0,1741,0,1734,12,1729,21,1727,26,1724,34,1721,42,1719,51,1716,62,1715,73,1715,84,1717,105,1722,127,1730,148,1741,169,1730,169xm1815,131l1799,131,1799,30,1795,34,1790,37,1784,41,1778,45,1772,47,1767,49,1767,34,1776,30,1784,25,1791,19,1797,13,1802,7,1805,1,1815,1,1815,131xm1864,131l1864,113,1882,113,1882,131,1864,131xm1905,97l1921,95,1923,104,1926,110,1931,114,1935,118,1940,120,1946,120,1954,120,1960,117,1965,112,1970,107,1973,101,1973,93,1973,86,1971,80,1966,75,1961,70,1955,68,1948,68,1945,68,1941,69,1937,70,1938,56,1939,56,1940,56,1941,56,1948,56,1954,54,1959,51,1965,47,1967,42,1967,35,1967,29,1965,24,1961,20,1957,16,1952,14,1946,14,1940,14,1935,16,1931,20,1927,24,1924,30,1923,38,1907,35,1909,24,1913,16,1920,10,1927,4,1936,1,1946,1,1953,1,1959,3,1965,6,1971,9,1976,13,1979,18,1982,24,1983,29,1983,35,1983,41,1982,46,1979,50,1976,55,1972,58,1966,61,1973,63,1979,66,1983,72,1988,78,1990,84,1990,93,1990,104,1986,114,1977,121,1969,129,1959,133,1946,133,1935,133,1926,130,1918,123,1911,116,1906,108,1905,97xm2008,33l2008,24,2011,16,2015,9,2020,3,2027,0,2035,0,2044,0,2050,3,2056,8,2061,14,2064,23,2064,34,2064,45,2061,53,2055,59,2050,65,2044,68,2036,68,2028,68,2021,65,2016,59,2011,53,2008,45,2008,33xm2036,11l2032,11,2029,12,2026,16,2024,19,2022,25,2022,35,2022,43,2024,49,2026,52,2029,55,2032,57,2036,57,2040,57,2043,55,2046,52,2048,49,2050,42,2050,33,2050,25,2048,19,2046,16,2043,12,2040,11,2036,11xm2036,136l2107,0,2119,0,2049,136,2036,136xm2092,101l2092,91,2094,84,2099,77,2103,71,2110,67,2119,67,2127,67,2134,70,2139,76,2144,82,2147,90,2147,102,2147,112,2144,121,2139,127,2134,133,2127,136,2119,136,2111,136,2105,133,2100,127,2094,121,2092,112,2092,101xm2119,78l2115,78,2112,80,2109,83,2107,87,2106,93,2106,102,2106,110,2107,116,2110,120,2112,123,2115,125,2119,125,2123,125,2127,123,2129,120,2132,116,2133,110,2133,101,2133,93,2132,87,2129,83,2127,80,2123,78,2119,78xm2180,169l2169,169,2180,148,2189,127,2194,105,2195,84,2195,73,2194,62,2191,51,2189,43,2187,34,2183,26,2181,21,2176,12,2169,0,2180,0,2188,11,2195,22,2200,33,2205,44,2208,54,2210,64,2211,74,2211,84,2211,96,2209,108,2206,119,2202,130,2198,141,2192,151,2187,160,2180,169xe">
                  <v:path o:connectlocs="42,9916;83,9959;52,10048;17,9997;64,10018;42,9930;173,10066;161,9959;176,9957;210,9982;259,9916;294,9970;252,10048;229,10009;276,10009;245,9930;320,9924;369,9960;314,9960;329,9964;355,9948;354,10051;439,9985;424,10051;415,9998;428,10040;428,9993;497,9966;505,9948;503,10056;1568,9930;1605,9886;1699,9969;1734,9897;1722,10012;1778,9930;1815,9886;1926,9995;1973,9978;1938,9941;1967,9914;1924,9915;1959,9888;1979,9935;1990,9989;1906,9993;2050,9888;2036,9953;2026,9901;2040,9942;2040,9896;2099,9962;2147,9997;2092,9997;2107,10001;2133,9986;2189,10012;2176,9897;2211,9969" o:connectangles="0,0,0,0,0,0,0,0,0,0,0,0,0,0,0,0,0,0,0,0,0,0,0,0,0,0,0,0,0,0,0,0,0,0,0,0,0,0,0,0,0,0,0,0,0,0,0,0,0,0,0,0,0,0,0,0,0,0,0"/>
                  <v:fill on="f" focussize="0,0"/>
                  <v:stroke weight="2.25pt" color="#FFFFFF" joinstyle="round"/>
                  <v:imagedata o:title=""/>
                  <o:lock v:ext="edit" aspectratio="f"/>
                </v:shape>
              </v:group>
            </w:pict>
          </mc:Fallback>
        </mc:AlternateContent>
      </w:r>
      <w:r>
        <w:rPr>
          <w:rFonts w:eastAsia="Roboto"/>
          <w:color w:val="202024"/>
          <w:szCs w:val="22"/>
        </w:rPr>
        <w:t>In</w:t>
      </w:r>
      <w:r>
        <w:rPr>
          <w:rFonts w:eastAsia="Roboto"/>
          <w:color w:val="202024"/>
          <w:spacing w:val="9"/>
          <w:szCs w:val="22"/>
        </w:rPr>
        <w:t xml:space="preserve"> </w:t>
      </w:r>
      <w:r>
        <w:rPr>
          <w:rFonts w:eastAsia="Roboto"/>
          <w:color w:val="202024"/>
          <w:szCs w:val="22"/>
        </w:rPr>
        <w:t>your</w:t>
      </w:r>
      <w:r>
        <w:rPr>
          <w:rFonts w:eastAsia="Roboto"/>
          <w:color w:val="202024"/>
          <w:spacing w:val="10"/>
          <w:szCs w:val="22"/>
        </w:rPr>
        <w:t xml:space="preserve"> </w:t>
      </w:r>
      <w:r>
        <w:rPr>
          <w:rFonts w:eastAsia="Roboto"/>
          <w:color w:val="202024"/>
          <w:szCs w:val="22"/>
        </w:rPr>
        <w:t>experience,</w:t>
      </w:r>
      <w:r>
        <w:rPr>
          <w:rFonts w:eastAsia="Roboto"/>
          <w:color w:val="202024"/>
          <w:spacing w:val="10"/>
          <w:szCs w:val="22"/>
        </w:rPr>
        <w:t xml:space="preserve"> </w:t>
      </w:r>
      <w:r>
        <w:rPr>
          <w:rFonts w:eastAsia="Roboto"/>
          <w:color w:val="202024"/>
          <w:szCs w:val="22"/>
        </w:rPr>
        <w:t>how</w:t>
      </w:r>
      <w:r>
        <w:rPr>
          <w:rFonts w:eastAsia="Roboto"/>
          <w:color w:val="202024"/>
          <w:spacing w:val="10"/>
          <w:szCs w:val="22"/>
        </w:rPr>
        <w:t xml:space="preserve"> </w:t>
      </w:r>
      <w:r>
        <w:rPr>
          <w:rFonts w:eastAsia="Roboto"/>
          <w:color w:val="202024"/>
          <w:szCs w:val="22"/>
        </w:rPr>
        <w:t>significant</w:t>
      </w:r>
      <w:r>
        <w:rPr>
          <w:rFonts w:eastAsia="Roboto"/>
          <w:color w:val="202024"/>
          <w:spacing w:val="10"/>
          <w:szCs w:val="22"/>
        </w:rPr>
        <w:t xml:space="preserve"> </w:t>
      </w:r>
      <w:r>
        <w:rPr>
          <w:rFonts w:eastAsia="Roboto"/>
          <w:color w:val="202024"/>
          <w:szCs w:val="22"/>
        </w:rPr>
        <w:t>or</w:t>
      </w:r>
      <w:r>
        <w:rPr>
          <w:rFonts w:eastAsia="Roboto"/>
          <w:color w:val="202024"/>
          <w:spacing w:val="10"/>
          <w:szCs w:val="22"/>
        </w:rPr>
        <w:t xml:space="preserve"> </w:t>
      </w:r>
      <w:r>
        <w:rPr>
          <w:rFonts w:eastAsia="Roboto"/>
          <w:color w:val="202024"/>
          <w:szCs w:val="22"/>
        </w:rPr>
        <w:t>important</w:t>
      </w:r>
      <w:r>
        <w:rPr>
          <w:rFonts w:eastAsia="Roboto"/>
          <w:color w:val="202024"/>
          <w:spacing w:val="9"/>
          <w:szCs w:val="22"/>
        </w:rPr>
        <w:t xml:space="preserve"> </w:t>
      </w:r>
      <w:r>
        <w:rPr>
          <w:rFonts w:eastAsia="Roboto"/>
          <w:color w:val="202024"/>
          <w:szCs w:val="22"/>
        </w:rPr>
        <w:t>is</w:t>
      </w:r>
      <w:r>
        <w:rPr>
          <w:rFonts w:eastAsia="Roboto"/>
          <w:color w:val="202024"/>
          <w:spacing w:val="10"/>
          <w:szCs w:val="22"/>
        </w:rPr>
        <w:t xml:space="preserve"> </w:t>
      </w:r>
      <w:r>
        <w:rPr>
          <w:rFonts w:eastAsia="Roboto"/>
          <w:color w:val="202024"/>
          <w:szCs w:val="22"/>
        </w:rPr>
        <w:t>regular</w:t>
      </w:r>
      <w:r>
        <w:rPr>
          <w:rFonts w:eastAsia="Roboto"/>
          <w:color w:val="202024"/>
          <w:spacing w:val="10"/>
          <w:szCs w:val="22"/>
        </w:rPr>
        <w:t xml:space="preserve"> </w:t>
      </w:r>
      <w:r>
        <w:rPr>
          <w:rFonts w:eastAsia="Roboto"/>
          <w:color w:val="202024"/>
          <w:szCs w:val="22"/>
        </w:rPr>
        <w:t>structured</w:t>
      </w:r>
      <w:r>
        <w:rPr>
          <w:rFonts w:eastAsia="Roboto"/>
          <w:color w:val="202024"/>
          <w:spacing w:val="-57"/>
          <w:szCs w:val="22"/>
        </w:rPr>
        <w:t xml:space="preserve"> </w:t>
      </w:r>
      <w:r>
        <w:rPr>
          <w:rFonts w:eastAsia="Roboto"/>
          <w:color w:val="202024"/>
          <w:szCs w:val="22"/>
        </w:rPr>
        <w:t>fiscal</w:t>
      </w:r>
      <w:r>
        <w:rPr>
          <w:rFonts w:eastAsia="Roboto"/>
          <w:color w:val="202024"/>
          <w:spacing w:val="7"/>
          <w:szCs w:val="22"/>
        </w:rPr>
        <w:t xml:space="preserve"> </w:t>
      </w:r>
      <w:r>
        <w:rPr>
          <w:rFonts w:eastAsia="Roboto"/>
          <w:color w:val="202024"/>
          <w:szCs w:val="22"/>
        </w:rPr>
        <w:t>and</w:t>
      </w:r>
      <w:r>
        <w:rPr>
          <w:rFonts w:eastAsia="Roboto"/>
          <w:color w:val="202024"/>
          <w:spacing w:val="7"/>
          <w:szCs w:val="22"/>
        </w:rPr>
        <w:t xml:space="preserve"> </w:t>
      </w:r>
      <w:r>
        <w:rPr>
          <w:rFonts w:eastAsia="Roboto"/>
          <w:color w:val="202024"/>
          <w:szCs w:val="22"/>
        </w:rPr>
        <w:t>tax</w:t>
      </w:r>
      <w:r>
        <w:rPr>
          <w:rFonts w:eastAsia="Roboto"/>
          <w:color w:val="202024"/>
          <w:spacing w:val="7"/>
          <w:szCs w:val="22"/>
        </w:rPr>
        <w:t xml:space="preserve"> </w:t>
      </w:r>
      <w:r>
        <w:rPr>
          <w:rFonts w:eastAsia="Roboto"/>
          <w:color w:val="202024"/>
          <w:szCs w:val="22"/>
        </w:rPr>
        <w:t>policy</w:t>
      </w:r>
      <w:r>
        <w:rPr>
          <w:rFonts w:eastAsia="Roboto"/>
          <w:color w:val="202024"/>
          <w:spacing w:val="7"/>
          <w:szCs w:val="22"/>
        </w:rPr>
        <w:t xml:space="preserve"> </w:t>
      </w:r>
      <w:r>
        <w:rPr>
          <w:rFonts w:eastAsia="Roboto"/>
          <w:color w:val="202024"/>
          <w:szCs w:val="22"/>
        </w:rPr>
        <w:t>review,</w:t>
      </w:r>
      <w:r>
        <w:rPr>
          <w:rFonts w:eastAsia="Roboto"/>
          <w:color w:val="202024"/>
          <w:spacing w:val="7"/>
          <w:szCs w:val="22"/>
        </w:rPr>
        <w:t xml:space="preserve"> </w:t>
      </w:r>
      <w:r>
        <w:rPr>
          <w:rFonts w:eastAsia="Roboto"/>
          <w:color w:val="202024"/>
          <w:szCs w:val="22"/>
        </w:rPr>
        <w:t>tax</w:t>
      </w:r>
      <w:r>
        <w:rPr>
          <w:rFonts w:eastAsia="Roboto"/>
          <w:color w:val="202024"/>
          <w:spacing w:val="7"/>
          <w:szCs w:val="22"/>
        </w:rPr>
        <w:t xml:space="preserve"> </w:t>
      </w:r>
      <w:r>
        <w:rPr>
          <w:rFonts w:eastAsia="Roboto"/>
          <w:color w:val="202024"/>
          <w:szCs w:val="22"/>
        </w:rPr>
        <w:t>law</w:t>
      </w:r>
      <w:r>
        <w:rPr>
          <w:rFonts w:eastAsia="Roboto"/>
          <w:color w:val="202024"/>
          <w:spacing w:val="7"/>
          <w:szCs w:val="22"/>
        </w:rPr>
        <w:t xml:space="preserve"> </w:t>
      </w:r>
      <w:r>
        <w:rPr>
          <w:rFonts w:eastAsia="Roboto"/>
          <w:color w:val="202024"/>
          <w:szCs w:val="22"/>
        </w:rPr>
        <w:t>reform</w:t>
      </w:r>
      <w:r>
        <w:rPr>
          <w:rFonts w:eastAsia="Roboto"/>
          <w:color w:val="202024"/>
          <w:spacing w:val="8"/>
          <w:szCs w:val="22"/>
        </w:rPr>
        <w:t xml:space="preserve"> </w:t>
      </w:r>
      <w:r>
        <w:rPr>
          <w:rFonts w:eastAsia="Roboto"/>
          <w:color w:val="202024"/>
          <w:szCs w:val="22"/>
        </w:rPr>
        <w:t>and</w:t>
      </w:r>
      <w:r>
        <w:rPr>
          <w:rFonts w:eastAsia="Roboto"/>
          <w:color w:val="202024"/>
          <w:spacing w:val="7"/>
          <w:szCs w:val="22"/>
        </w:rPr>
        <w:t xml:space="preserve"> </w:t>
      </w:r>
      <w:r>
        <w:rPr>
          <w:rFonts w:eastAsia="Roboto"/>
          <w:color w:val="202024"/>
          <w:szCs w:val="22"/>
        </w:rPr>
        <w:t>tax</w:t>
      </w:r>
      <w:r>
        <w:rPr>
          <w:rFonts w:eastAsia="Roboto"/>
          <w:color w:val="202024"/>
          <w:spacing w:val="7"/>
          <w:szCs w:val="22"/>
        </w:rPr>
        <w:t xml:space="preserve"> </w:t>
      </w:r>
      <w:r>
        <w:rPr>
          <w:rFonts w:eastAsia="Roboto"/>
          <w:color w:val="202024"/>
          <w:szCs w:val="22"/>
        </w:rPr>
        <w:t>law</w:t>
      </w:r>
      <w:r>
        <w:rPr>
          <w:rFonts w:eastAsia="Roboto"/>
          <w:color w:val="202024"/>
          <w:spacing w:val="7"/>
          <w:szCs w:val="22"/>
        </w:rPr>
        <w:t xml:space="preserve"> </w:t>
      </w:r>
      <w:r>
        <w:rPr>
          <w:rFonts w:eastAsia="Roboto"/>
          <w:color w:val="202024"/>
          <w:szCs w:val="22"/>
        </w:rPr>
        <w:t>amendment,</w:t>
      </w:r>
      <w:r>
        <w:rPr>
          <w:rFonts w:eastAsia="Roboto"/>
          <w:color w:val="202024"/>
          <w:spacing w:val="7"/>
          <w:szCs w:val="22"/>
        </w:rPr>
        <w:t xml:space="preserve"> </w:t>
      </w:r>
      <w:r>
        <w:rPr>
          <w:rFonts w:eastAsia="Roboto"/>
          <w:color w:val="202024"/>
          <w:szCs w:val="22"/>
        </w:rPr>
        <w:t>in</w:t>
      </w:r>
      <w:r>
        <w:rPr>
          <w:rFonts w:eastAsia="Roboto"/>
          <w:color w:val="202024"/>
          <w:spacing w:val="1"/>
          <w:szCs w:val="22"/>
        </w:rPr>
        <w:t xml:space="preserve"> </w:t>
      </w:r>
      <w:r>
        <w:rPr>
          <w:rFonts w:eastAsia="Roboto"/>
          <w:color w:val="202024"/>
          <w:szCs w:val="22"/>
        </w:rPr>
        <w:t>achieving</w:t>
      </w:r>
      <w:r>
        <w:rPr>
          <w:rFonts w:eastAsia="Roboto"/>
          <w:color w:val="202024"/>
          <w:spacing w:val="6"/>
          <w:szCs w:val="22"/>
        </w:rPr>
        <w:t xml:space="preserve"> </w:t>
      </w:r>
      <w:r>
        <w:rPr>
          <w:rFonts w:eastAsia="Roboto"/>
          <w:color w:val="202024"/>
          <w:szCs w:val="22"/>
        </w:rPr>
        <w:t>clarity</w:t>
      </w:r>
      <w:r>
        <w:rPr>
          <w:rFonts w:eastAsia="Roboto"/>
          <w:color w:val="202024"/>
          <w:spacing w:val="6"/>
          <w:szCs w:val="22"/>
        </w:rPr>
        <w:t xml:space="preserve"> </w:t>
      </w:r>
      <w:r>
        <w:rPr>
          <w:rFonts w:eastAsia="Roboto"/>
          <w:color w:val="202024"/>
          <w:szCs w:val="22"/>
        </w:rPr>
        <w:t>and</w:t>
      </w:r>
      <w:r>
        <w:rPr>
          <w:rFonts w:eastAsia="Roboto"/>
          <w:color w:val="202024"/>
          <w:spacing w:val="6"/>
          <w:szCs w:val="22"/>
        </w:rPr>
        <w:t xml:space="preserve"> </w:t>
      </w:r>
      <w:r>
        <w:rPr>
          <w:rFonts w:eastAsia="Roboto"/>
          <w:color w:val="202024"/>
          <w:szCs w:val="22"/>
        </w:rPr>
        <w:t>certainty</w:t>
      </w:r>
      <w:r>
        <w:rPr>
          <w:rFonts w:eastAsia="Roboto"/>
          <w:color w:val="202024"/>
          <w:spacing w:val="7"/>
          <w:szCs w:val="22"/>
        </w:rPr>
        <w:t xml:space="preserve"> </w:t>
      </w:r>
      <w:r>
        <w:rPr>
          <w:rFonts w:eastAsia="Roboto"/>
          <w:color w:val="202024"/>
          <w:szCs w:val="22"/>
        </w:rPr>
        <w:t>in</w:t>
      </w:r>
      <w:r>
        <w:rPr>
          <w:rFonts w:eastAsia="Roboto"/>
          <w:color w:val="202024"/>
          <w:spacing w:val="6"/>
          <w:szCs w:val="22"/>
        </w:rPr>
        <w:t xml:space="preserve"> </w:t>
      </w:r>
      <w:r>
        <w:rPr>
          <w:rFonts w:eastAsia="Roboto"/>
          <w:color w:val="202024"/>
          <w:szCs w:val="22"/>
        </w:rPr>
        <w:t>Upstream</w:t>
      </w:r>
      <w:r>
        <w:rPr>
          <w:rFonts w:eastAsia="Roboto"/>
          <w:color w:val="202024"/>
          <w:spacing w:val="6"/>
          <w:szCs w:val="22"/>
        </w:rPr>
        <w:t xml:space="preserve"> </w:t>
      </w:r>
      <w:r>
        <w:rPr>
          <w:rFonts w:eastAsia="Roboto"/>
          <w:color w:val="202024"/>
          <w:szCs w:val="22"/>
        </w:rPr>
        <w:t>petroleum</w:t>
      </w:r>
      <w:r>
        <w:rPr>
          <w:rFonts w:eastAsia="Roboto"/>
          <w:color w:val="202024"/>
          <w:spacing w:val="7"/>
          <w:szCs w:val="22"/>
        </w:rPr>
        <w:t xml:space="preserve"> </w:t>
      </w:r>
      <w:r>
        <w:rPr>
          <w:rFonts w:eastAsia="Roboto"/>
          <w:color w:val="202024"/>
          <w:szCs w:val="22"/>
        </w:rPr>
        <w:t>taxation.</w:t>
      </w:r>
    </w:p>
    <w:p w14:paraId="51A5E738">
      <w:pPr>
        <w:widowControl w:val="0"/>
        <w:autoSpaceDE w:val="0"/>
        <w:autoSpaceDN w:val="0"/>
        <w:spacing w:before="102"/>
        <w:rPr>
          <w:rFonts w:ascii="Roboto" w:hAnsi="Roboto" w:eastAsia="Roboto" w:cs="Roboto"/>
          <w:sz w:val="18"/>
          <w:szCs w:val="22"/>
        </w:rPr>
      </w:pPr>
      <w:r>
        <w:rPr>
          <w:rFonts w:ascii="Roboto" w:hAnsi="Roboto" w:eastAsia="Roboto" w:cs="Roboto"/>
          <w:color w:val="202024"/>
          <w:sz w:val="18"/>
          <w:szCs w:val="22"/>
        </w:rPr>
        <w:t>76</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64A439E4">
      <w:pPr>
        <w:widowControl w:val="0"/>
        <w:autoSpaceDE w:val="0"/>
        <w:autoSpaceDN w:val="0"/>
        <w:spacing w:before="74"/>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0B4DC4E9">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8024" w:space="772"/>
            <w:col w:w="784"/>
          </w:cols>
        </w:sectPr>
      </w:pPr>
    </w:p>
    <w:p w14:paraId="4187D365">
      <w:pPr>
        <w:widowControl w:val="0"/>
        <w:autoSpaceDE w:val="0"/>
        <w:autoSpaceDN w:val="0"/>
        <w:spacing w:before="10"/>
        <w:rPr>
          <w:rFonts w:ascii="Lucida Sans Unicode" w:hAnsi="Roboto" w:eastAsia="Roboto" w:cs="Roboto"/>
          <w:sz w:val="21"/>
          <w:szCs w:val="21"/>
        </w:rPr>
      </w:pPr>
    </w:p>
    <w:p w14:paraId="12C59EBD">
      <w:pPr>
        <w:widowControl w:val="0"/>
        <w:autoSpaceDE w:val="0"/>
        <w:autoSpaceDN w:val="0"/>
        <w:spacing w:before="94"/>
        <w:rPr>
          <w:rFonts w:ascii="Arial MT" w:hAnsi="Roboto" w:eastAsia="Roboto" w:cs="Roboto"/>
          <w:sz w:val="18"/>
          <w:szCs w:val="22"/>
        </w:rPr>
      </w:pPr>
      <w:r>
        <mc:AlternateContent>
          <mc:Choice Requires="wps">
            <w:drawing>
              <wp:anchor distT="0" distB="0" distL="114300" distR="114300" simplePos="0" relativeHeight="251732992" behindDoc="0" locked="0" layoutInCell="1" allowOverlap="1">
                <wp:simplePos x="0" y="0"/>
                <wp:positionH relativeFrom="page">
                  <wp:posOffset>1309370</wp:posOffset>
                </wp:positionH>
                <wp:positionV relativeFrom="paragraph">
                  <wp:posOffset>117475</wp:posOffset>
                </wp:positionV>
                <wp:extent cx="5177155" cy="1724025"/>
                <wp:effectExtent l="0" t="0" r="0" b="0"/>
                <wp:wrapNone/>
                <wp:docPr id="1522007571" name="Text Box 59"/>
                <wp:cNvGraphicFramePr/>
                <a:graphic xmlns:a="http://schemas.openxmlformats.org/drawingml/2006/main">
                  <a:graphicData uri="http://schemas.microsoft.com/office/word/2010/wordprocessingShape">
                    <wps:wsp>
                      <wps:cNvSpPr txBox="1">
                        <a:spLocks noChangeArrowheads="1"/>
                      </wps:cNvSpPr>
                      <wps:spPr bwMode="auto">
                        <a:xfrm>
                          <a:off x="0" y="0"/>
                          <a:ext cx="5177155" cy="1724025"/>
                        </a:xfrm>
                        <a:prstGeom prst="rect">
                          <a:avLst/>
                        </a:prstGeom>
                        <a:noFill/>
                        <a:ln>
                          <a:noFill/>
                        </a:ln>
                        <a:effectLst/>
                      </wps:spPr>
                      <wps:txbx>
                        <w:txbxContent>
                          <w:tbl>
                            <w:tblPr>
                              <w:tblStyle w:val="13"/>
                              <w:tblW w:w="0" w:type="auto"/>
                              <w:tblInd w:w="7" w:type="dxa"/>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Layout w:type="fixed"/>
                              <w:tblCellMar>
                                <w:top w:w="0" w:type="dxa"/>
                                <w:left w:w="0" w:type="dxa"/>
                                <w:bottom w:w="0" w:type="dxa"/>
                                <w:right w:w="0" w:type="dxa"/>
                              </w:tblCellMar>
                            </w:tblPr>
                            <w:tblGrid>
                              <w:gridCol w:w="817"/>
                              <w:gridCol w:w="1619"/>
                              <w:gridCol w:w="2751"/>
                              <w:gridCol w:w="1004"/>
                              <w:gridCol w:w="614"/>
                              <w:gridCol w:w="1004"/>
                              <w:gridCol w:w="314"/>
                            </w:tblGrid>
                            <w:tr w14:paraId="43434684">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31" w:hRule="atLeast"/>
                              </w:trPr>
                              <w:tc>
                                <w:tcPr>
                                  <w:tcW w:w="8123" w:type="dxa"/>
                                  <w:gridSpan w:val="7"/>
                                  <w:tcBorders>
                                    <w:left w:val="single" w:color="EDEDED" w:sz="6" w:space="0"/>
                                    <w:bottom w:val="single" w:color="F7F7F7" w:sz="6" w:space="0"/>
                                    <w:right w:val="single" w:color="EDEDED" w:sz="6" w:space="0"/>
                                  </w:tcBorders>
                                </w:tcPr>
                                <w:p w14:paraId="1420A414">
                                  <w:pPr>
                                    <w:pStyle w:val="119"/>
                                    <w:rPr>
                                      <w:sz w:val="20"/>
                                    </w:rPr>
                                  </w:pPr>
                                </w:p>
                              </w:tc>
                            </w:tr>
                            <w:tr w14:paraId="0E94FBB6">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27" w:hRule="atLeast"/>
                              </w:trPr>
                              <w:tc>
                                <w:tcPr>
                                  <w:tcW w:w="6805" w:type="dxa"/>
                                  <w:gridSpan w:val="5"/>
                                  <w:tcBorders>
                                    <w:top w:val="single" w:color="F7F7F7" w:sz="6" w:space="0"/>
                                    <w:left w:val="single" w:color="EDEDED" w:sz="6" w:space="0"/>
                                    <w:bottom w:val="single" w:color="EDEDED" w:sz="6" w:space="0"/>
                                    <w:right w:val="nil"/>
                                  </w:tcBorders>
                                </w:tcPr>
                                <w:p w14:paraId="06F51916">
                                  <w:pPr>
                                    <w:pStyle w:val="119"/>
                                    <w:rPr>
                                      <w:sz w:val="20"/>
                                    </w:rPr>
                                  </w:pPr>
                                </w:p>
                              </w:tc>
                              <w:tc>
                                <w:tcPr>
                                  <w:tcW w:w="1004" w:type="dxa"/>
                                  <w:vMerge w:val="restart"/>
                                  <w:tcBorders>
                                    <w:top w:val="single" w:color="F7F7F7" w:sz="6" w:space="0"/>
                                    <w:left w:val="nil"/>
                                    <w:right w:val="nil"/>
                                  </w:tcBorders>
                                  <w:shd w:val="clear" w:color="auto" w:fill="663AB6"/>
                                </w:tcPr>
                                <w:p w14:paraId="03D02063">
                                  <w:pPr>
                                    <w:pStyle w:val="119"/>
                                    <w:spacing w:before="59"/>
                                    <w:rPr>
                                      <w:sz w:val="18"/>
                                    </w:rPr>
                                  </w:pPr>
                                  <w:r>
                                    <w:rPr>
                                      <w:color w:val="FFFFFF"/>
                                      <w:sz w:val="18"/>
                                    </w:rPr>
                                    <w:t>49 (64.5%)</w:t>
                                  </w:r>
                                </w:p>
                              </w:tc>
                              <w:tc>
                                <w:tcPr>
                                  <w:tcW w:w="314" w:type="dxa"/>
                                  <w:tcBorders>
                                    <w:top w:val="single" w:color="F7F7F7" w:sz="6" w:space="0"/>
                                    <w:left w:val="nil"/>
                                    <w:bottom w:val="single" w:color="EDEDED" w:sz="6" w:space="0"/>
                                    <w:right w:val="single" w:color="EDEDED" w:sz="6" w:space="0"/>
                                  </w:tcBorders>
                                </w:tcPr>
                                <w:p w14:paraId="62771CB3">
                                  <w:pPr>
                                    <w:pStyle w:val="119"/>
                                    <w:rPr>
                                      <w:sz w:val="20"/>
                                    </w:rPr>
                                  </w:pPr>
                                </w:p>
                              </w:tc>
                            </w:tr>
                            <w:tr w14:paraId="5001E086">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5" w:type="dxa"/>
                                  <w:gridSpan w:val="5"/>
                                  <w:tcBorders>
                                    <w:top w:val="single" w:color="EDEDED" w:sz="6" w:space="0"/>
                                    <w:left w:val="single" w:color="EDEDED" w:sz="6" w:space="0"/>
                                    <w:bottom w:val="single" w:color="F7F7F7" w:sz="6" w:space="0"/>
                                    <w:right w:val="nil"/>
                                  </w:tcBorders>
                                </w:tcPr>
                                <w:p w14:paraId="04893230">
                                  <w:pPr>
                                    <w:pStyle w:val="119"/>
                                    <w:rPr>
                                      <w:sz w:val="20"/>
                                    </w:rPr>
                                  </w:pPr>
                                </w:p>
                              </w:tc>
                              <w:tc>
                                <w:tcPr>
                                  <w:tcW w:w="1004" w:type="dxa"/>
                                  <w:vMerge w:val="continue"/>
                                  <w:tcBorders>
                                    <w:top w:val="nil"/>
                                    <w:left w:val="nil"/>
                                    <w:right w:val="nil"/>
                                  </w:tcBorders>
                                  <w:shd w:val="clear" w:color="auto" w:fill="663AB6"/>
                                </w:tcPr>
                                <w:p w14:paraId="1E571057">
                                  <w:pPr>
                                    <w:rPr>
                                      <w:sz w:val="2"/>
                                      <w:szCs w:val="2"/>
                                    </w:rPr>
                                  </w:pPr>
                                </w:p>
                              </w:tc>
                              <w:tc>
                                <w:tcPr>
                                  <w:tcW w:w="314" w:type="dxa"/>
                                  <w:tcBorders>
                                    <w:top w:val="single" w:color="EDEDED" w:sz="6" w:space="0"/>
                                    <w:left w:val="nil"/>
                                    <w:bottom w:val="single" w:color="F7F7F7" w:sz="6" w:space="0"/>
                                    <w:right w:val="single" w:color="EDEDED" w:sz="6" w:space="0"/>
                                  </w:tcBorders>
                                </w:tcPr>
                                <w:p w14:paraId="0D1A963A">
                                  <w:pPr>
                                    <w:pStyle w:val="119"/>
                                    <w:rPr>
                                      <w:sz w:val="20"/>
                                    </w:rPr>
                                  </w:pPr>
                                </w:p>
                              </w:tc>
                            </w:tr>
                            <w:tr w14:paraId="38939FC6">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322" w:hRule="atLeast"/>
                              </w:trPr>
                              <w:tc>
                                <w:tcPr>
                                  <w:tcW w:w="6805" w:type="dxa"/>
                                  <w:gridSpan w:val="5"/>
                                  <w:tcBorders>
                                    <w:top w:val="single" w:color="F7F7F7" w:sz="6" w:space="0"/>
                                    <w:left w:val="single" w:color="EDEDED" w:sz="6" w:space="0"/>
                                    <w:bottom w:val="nil"/>
                                    <w:right w:val="nil"/>
                                  </w:tcBorders>
                                </w:tcPr>
                                <w:p w14:paraId="730F4A05">
                                  <w:pPr>
                                    <w:pStyle w:val="119"/>
                                    <w:rPr>
                                      <w:sz w:val="20"/>
                                    </w:rPr>
                                  </w:pPr>
                                </w:p>
                              </w:tc>
                              <w:tc>
                                <w:tcPr>
                                  <w:tcW w:w="1004" w:type="dxa"/>
                                  <w:vMerge w:val="continue"/>
                                  <w:tcBorders>
                                    <w:top w:val="nil"/>
                                    <w:left w:val="nil"/>
                                    <w:right w:val="nil"/>
                                  </w:tcBorders>
                                  <w:shd w:val="clear" w:color="auto" w:fill="663AB6"/>
                                </w:tcPr>
                                <w:p w14:paraId="2C979DC0">
                                  <w:pPr>
                                    <w:rPr>
                                      <w:sz w:val="2"/>
                                      <w:szCs w:val="2"/>
                                    </w:rPr>
                                  </w:pPr>
                                </w:p>
                              </w:tc>
                              <w:tc>
                                <w:tcPr>
                                  <w:tcW w:w="314" w:type="dxa"/>
                                  <w:vMerge w:val="restart"/>
                                  <w:tcBorders>
                                    <w:top w:val="single" w:color="F7F7F7" w:sz="6" w:space="0"/>
                                    <w:left w:val="nil"/>
                                    <w:bottom w:val="single" w:color="EDEDED" w:sz="6" w:space="0"/>
                                    <w:right w:val="single" w:color="EDEDED" w:sz="6" w:space="0"/>
                                  </w:tcBorders>
                                </w:tcPr>
                                <w:p w14:paraId="4F8B9302">
                                  <w:pPr>
                                    <w:pStyle w:val="119"/>
                                    <w:rPr>
                                      <w:sz w:val="20"/>
                                    </w:rPr>
                                  </w:pPr>
                                </w:p>
                              </w:tc>
                            </w:tr>
                            <w:tr w14:paraId="024910F1">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52" w:hRule="atLeast"/>
                              </w:trPr>
                              <w:tc>
                                <w:tcPr>
                                  <w:tcW w:w="5187" w:type="dxa"/>
                                  <w:gridSpan w:val="3"/>
                                  <w:tcBorders>
                                    <w:top w:val="nil"/>
                                    <w:left w:val="single" w:color="EDEDED" w:sz="6" w:space="0"/>
                                    <w:bottom w:val="single" w:color="EDEDED" w:sz="6" w:space="0"/>
                                    <w:right w:val="nil"/>
                                  </w:tcBorders>
                                </w:tcPr>
                                <w:p w14:paraId="126545ED">
                                  <w:pPr>
                                    <w:pStyle w:val="119"/>
                                    <w:rPr>
                                      <w:sz w:val="2"/>
                                    </w:rPr>
                                  </w:pPr>
                                </w:p>
                              </w:tc>
                              <w:tc>
                                <w:tcPr>
                                  <w:tcW w:w="1004" w:type="dxa"/>
                                  <w:vMerge w:val="restart"/>
                                  <w:tcBorders>
                                    <w:top w:val="nil"/>
                                    <w:left w:val="nil"/>
                                    <w:right w:val="nil"/>
                                  </w:tcBorders>
                                  <w:shd w:val="clear" w:color="auto" w:fill="663AB6"/>
                                </w:tcPr>
                                <w:p w14:paraId="52384427">
                                  <w:pPr>
                                    <w:pStyle w:val="119"/>
                                    <w:spacing w:line="206" w:lineRule="exact"/>
                                    <w:rPr>
                                      <w:sz w:val="18"/>
                                    </w:rPr>
                                  </w:pPr>
                                  <w:r>
                                    <w:rPr>
                                      <w:color w:val="FFFFFF"/>
                                      <w:sz w:val="18"/>
                                    </w:rPr>
                                    <w:t>22 (28.9%)</w:t>
                                  </w:r>
                                </w:p>
                              </w:tc>
                              <w:tc>
                                <w:tcPr>
                                  <w:tcW w:w="614" w:type="dxa"/>
                                  <w:tcBorders>
                                    <w:top w:val="nil"/>
                                    <w:left w:val="nil"/>
                                    <w:bottom w:val="single" w:color="EDEDED" w:sz="6" w:space="0"/>
                                    <w:right w:val="nil"/>
                                  </w:tcBorders>
                                </w:tcPr>
                                <w:p w14:paraId="539B68B4">
                                  <w:pPr>
                                    <w:pStyle w:val="119"/>
                                    <w:rPr>
                                      <w:sz w:val="2"/>
                                    </w:rPr>
                                  </w:pPr>
                                </w:p>
                              </w:tc>
                              <w:tc>
                                <w:tcPr>
                                  <w:tcW w:w="1004" w:type="dxa"/>
                                  <w:vMerge w:val="continue"/>
                                  <w:tcBorders>
                                    <w:top w:val="nil"/>
                                    <w:left w:val="nil"/>
                                    <w:right w:val="nil"/>
                                  </w:tcBorders>
                                  <w:shd w:val="clear" w:color="auto" w:fill="663AB6"/>
                                </w:tcPr>
                                <w:p w14:paraId="0C0CA7BF">
                                  <w:pPr>
                                    <w:rPr>
                                      <w:sz w:val="2"/>
                                      <w:szCs w:val="2"/>
                                    </w:rPr>
                                  </w:pPr>
                                </w:p>
                              </w:tc>
                              <w:tc>
                                <w:tcPr>
                                  <w:tcW w:w="314" w:type="dxa"/>
                                  <w:vMerge w:val="continue"/>
                                  <w:tcBorders>
                                    <w:top w:val="nil"/>
                                    <w:left w:val="nil"/>
                                    <w:bottom w:val="single" w:color="EDEDED" w:sz="6" w:space="0"/>
                                    <w:right w:val="single" w:color="EDEDED" w:sz="6" w:space="0"/>
                                  </w:tcBorders>
                                </w:tcPr>
                                <w:p w14:paraId="5C8C0282">
                                  <w:pPr>
                                    <w:rPr>
                                      <w:sz w:val="2"/>
                                      <w:szCs w:val="2"/>
                                    </w:rPr>
                                  </w:pPr>
                                </w:p>
                              </w:tc>
                            </w:tr>
                            <w:tr w14:paraId="1A9622E4">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5187" w:type="dxa"/>
                                  <w:gridSpan w:val="3"/>
                                  <w:tcBorders>
                                    <w:top w:val="single" w:color="EDEDED" w:sz="6" w:space="0"/>
                                    <w:left w:val="single" w:color="EDEDED" w:sz="6" w:space="0"/>
                                    <w:bottom w:val="single" w:color="F7F7F7" w:sz="6" w:space="0"/>
                                    <w:right w:val="nil"/>
                                  </w:tcBorders>
                                </w:tcPr>
                                <w:p w14:paraId="481BAD9D">
                                  <w:pPr>
                                    <w:pStyle w:val="119"/>
                                    <w:rPr>
                                      <w:sz w:val="20"/>
                                    </w:rPr>
                                  </w:pPr>
                                </w:p>
                              </w:tc>
                              <w:tc>
                                <w:tcPr>
                                  <w:tcW w:w="1004" w:type="dxa"/>
                                  <w:vMerge w:val="continue"/>
                                  <w:tcBorders>
                                    <w:top w:val="nil"/>
                                    <w:left w:val="nil"/>
                                    <w:right w:val="nil"/>
                                  </w:tcBorders>
                                  <w:shd w:val="clear" w:color="auto" w:fill="663AB6"/>
                                </w:tcPr>
                                <w:p w14:paraId="68E0457D">
                                  <w:pPr>
                                    <w:rPr>
                                      <w:sz w:val="2"/>
                                      <w:szCs w:val="2"/>
                                    </w:rPr>
                                  </w:pPr>
                                </w:p>
                              </w:tc>
                              <w:tc>
                                <w:tcPr>
                                  <w:tcW w:w="614" w:type="dxa"/>
                                  <w:tcBorders>
                                    <w:top w:val="single" w:color="EDEDED" w:sz="6" w:space="0"/>
                                    <w:left w:val="nil"/>
                                    <w:bottom w:val="single" w:color="F7F7F7" w:sz="6" w:space="0"/>
                                    <w:right w:val="nil"/>
                                  </w:tcBorders>
                                </w:tcPr>
                                <w:p w14:paraId="7ED6BB00">
                                  <w:pPr>
                                    <w:pStyle w:val="119"/>
                                    <w:rPr>
                                      <w:sz w:val="20"/>
                                    </w:rPr>
                                  </w:pPr>
                                </w:p>
                              </w:tc>
                              <w:tc>
                                <w:tcPr>
                                  <w:tcW w:w="1004" w:type="dxa"/>
                                  <w:vMerge w:val="continue"/>
                                  <w:tcBorders>
                                    <w:top w:val="nil"/>
                                    <w:left w:val="nil"/>
                                    <w:right w:val="nil"/>
                                  </w:tcBorders>
                                  <w:shd w:val="clear" w:color="auto" w:fill="663AB6"/>
                                </w:tcPr>
                                <w:p w14:paraId="0ED0F31A">
                                  <w:pPr>
                                    <w:rPr>
                                      <w:sz w:val="2"/>
                                      <w:szCs w:val="2"/>
                                    </w:rPr>
                                  </w:pPr>
                                </w:p>
                              </w:tc>
                              <w:tc>
                                <w:tcPr>
                                  <w:tcW w:w="314" w:type="dxa"/>
                                  <w:tcBorders>
                                    <w:top w:val="single" w:color="EDEDED" w:sz="6" w:space="0"/>
                                    <w:left w:val="nil"/>
                                    <w:bottom w:val="single" w:color="F7F7F7" w:sz="6" w:space="0"/>
                                    <w:right w:val="single" w:color="EDEDED" w:sz="6" w:space="0"/>
                                  </w:tcBorders>
                                </w:tcPr>
                                <w:p w14:paraId="010AE8EB">
                                  <w:pPr>
                                    <w:pStyle w:val="119"/>
                                    <w:rPr>
                                      <w:sz w:val="20"/>
                                    </w:rPr>
                                  </w:pPr>
                                </w:p>
                              </w:tc>
                            </w:tr>
                            <w:tr w14:paraId="35B891CB">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232" w:hRule="atLeast"/>
                              </w:trPr>
                              <w:tc>
                                <w:tcPr>
                                  <w:tcW w:w="5187" w:type="dxa"/>
                                  <w:gridSpan w:val="3"/>
                                  <w:tcBorders>
                                    <w:top w:val="single" w:color="F7F7F7" w:sz="6" w:space="0"/>
                                    <w:left w:val="single" w:color="EDEDED" w:sz="6" w:space="0"/>
                                    <w:bottom w:val="nil"/>
                                    <w:right w:val="nil"/>
                                  </w:tcBorders>
                                </w:tcPr>
                                <w:p w14:paraId="0CC53C0E">
                                  <w:pPr>
                                    <w:pStyle w:val="119"/>
                                    <w:tabs>
                                      <w:tab w:val="left" w:pos="2164"/>
                                    </w:tabs>
                                    <w:spacing w:before="51" w:line="161" w:lineRule="exact"/>
                                    <w:rPr>
                                      <w:sz w:val="18"/>
                                    </w:rPr>
                                  </w:pPr>
                                  <w:r>
                                    <w:rPr>
                                      <w:sz w:val="18"/>
                                    </w:rPr>
                                    <w:t>0 (0%)</w:t>
                                  </w:r>
                                  <w:r>
                                    <w:rPr>
                                      <w:sz w:val="18"/>
                                    </w:rPr>
                                    <w:tab/>
                                  </w:r>
                                  <w:r>
                                    <w:rPr>
                                      <w:color w:val="202024"/>
                                      <w:sz w:val="18"/>
                                    </w:rPr>
                                    <w:t>0 (0%)</w:t>
                                  </w:r>
                                </w:p>
                              </w:tc>
                              <w:tc>
                                <w:tcPr>
                                  <w:tcW w:w="1004" w:type="dxa"/>
                                  <w:vMerge w:val="continue"/>
                                  <w:tcBorders>
                                    <w:top w:val="nil"/>
                                    <w:left w:val="nil"/>
                                    <w:right w:val="nil"/>
                                  </w:tcBorders>
                                  <w:shd w:val="clear" w:color="auto" w:fill="663AB6"/>
                                </w:tcPr>
                                <w:p w14:paraId="059D9F0C">
                                  <w:pPr>
                                    <w:rPr>
                                      <w:sz w:val="2"/>
                                      <w:szCs w:val="2"/>
                                    </w:rPr>
                                  </w:pPr>
                                </w:p>
                              </w:tc>
                              <w:tc>
                                <w:tcPr>
                                  <w:tcW w:w="614" w:type="dxa"/>
                                  <w:vMerge w:val="restart"/>
                                  <w:tcBorders>
                                    <w:top w:val="single" w:color="F7F7F7" w:sz="6" w:space="0"/>
                                    <w:left w:val="nil"/>
                                    <w:right w:val="nil"/>
                                  </w:tcBorders>
                                </w:tcPr>
                                <w:p w14:paraId="0AEB42CD">
                                  <w:pPr>
                                    <w:pStyle w:val="119"/>
                                    <w:rPr>
                                      <w:sz w:val="20"/>
                                    </w:rPr>
                                  </w:pPr>
                                </w:p>
                              </w:tc>
                              <w:tc>
                                <w:tcPr>
                                  <w:tcW w:w="1004" w:type="dxa"/>
                                  <w:vMerge w:val="continue"/>
                                  <w:tcBorders>
                                    <w:top w:val="nil"/>
                                    <w:left w:val="nil"/>
                                    <w:right w:val="nil"/>
                                  </w:tcBorders>
                                  <w:shd w:val="clear" w:color="auto" w:fill="663AB6"/>
                                </w:tcPr>
                                <w:p w14:paraId="7E6E6D7A">
                                  <w:pPr>
                                    <w:rPr>
                                      <w:sz w:val="2"/>
                                      <w:szCs w:val="2"/>
                                    </w:rPr>
                                  </w:pPr>
                                </w:p>
                              </w:tc>
                              <w:tc>
                                <w:tcPr>
                                  <w:tcW w:w="314" w:type="dxa"/>
                                  <w:vMerge w:val="restart"/>
                                  <w:tcBorders>
                                    <w:top w:val="single" w:color="F7F7F7" w:sz="6" w:space="0"/>
                                    <w:left w:val="nil"/>
                                    <w:right w:val="single" w:color="EDEDED" w:sz="6" w:space="0"/>
                                  </w:tcBorders>
                                </w:tcPr>
                                <w:p w14:paraId="6D6ACFF3">
                                  <w:pPr>
                                    <w:pStyle w:val="119"/>
                                    <w:rPr>
                                      <w:sz w:val="20"/>
                                    </w:rPr>
                                  </w:pPr>
                                </w:p>
                              </w:tc>
                            </w:tr>
                            <w:tr w14:paraId="07C0697F">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161" w:hRule="atLeast"/>
                              </w:trPr>
                              <w:tc>
                                <w:tcPr>
                                  <w:tcW w:w="817" w:type="dxa"/>
                                  <w:tcBorders>
                                    <w:top w:val="nil"/>
                                    <w:left w:val="single" w:color="EDEDED" w:sz="6" w:space="0"/>
                                    <w:right w:val="single" w:color="999999" w:sz="6" w:space="0"/>
                                  </w:tcBorders>
                                </w:tcPr>
                                <w:p w14:paraId="04BDDD9C">
                                  <w:pPr>
                                    <w:pStyle w:val="119"/>
                                    <w:rPr>
                                      <w:sz w:val="10"/>
                                    </w:rPr>
                                  </w:pPr>
                                </w:p>
                              </w:tc>
                              <w:tc>
                                <w:tcPr>
                                  <w:tcW w:w="1619" w:type="dxa"/>
                                  <w:tcBorders>
                                    <w:top w:val="nil"/>
                                    <w:left w:val="single" w:color="999999" w:sz="6" w:space="0"/>
                                    <w:right w:val="single" w:color="999999" w:sz="6" w:space="0"/>
                                  </w:tcBorders>
                                </w:tcPr>
                                <w:p w14:paraId="02EB5A61">
                                  <w:pPr>
                                    <w:pStyle w:val="119"/>
                                    <w:rPr>
                                      <w:sz w:val="10"/>
                                    </w:rPr>
                                  </w:pPr>
                                </w:p>
                              </w:tc>
                              <w:tc>
                                <w:tcPr>
                                  <w:tcW w:w="2751" w:type="dxa"/>
                                  <w:tcBorders>
                                    <w:top w:val="nil"/>
                                    <w:left w:val="single" w:color="999999" w:sz="6" w:space="0"/>
                                    <w:right w:val="nil"/>
                                  </w:tcBorders>
                                </w:tcPr>
                                <w:p w14:paraId="19F6F144">
                                  <w:pPr>
                                    <w:pStyle w:val="119"/>
                                    <w:tabs>
                                      <w:tab w:val="left" w:pos="5693"/>
                                    </w:tabs>
                                    <w:spacing w:line="141" w:lineRule="exact"/>
                                    <w:ind w:right="-2952"/>
                                    <w:rPr>
                                      <w:sz w:val="18"/>
                                    </w:rPr>
                                  </w:pPr>
                                  <w:r>
                                    <w:rPr>
                                      <w:color w:val="FFFFFF"/>
                                      <w:sz w:val="18"/>
                                      <w:u w:val="single" w:color="333333"/>
                                      <w:shd w:val="clear" w:color="auto" w:fill="663AB6"/>
                                    </w:rPr>
                                    <w:t xml:space="preserve">                                                                              </w:t>
                                  </w:r>
                                  <w:r>
                                    <w:rPr>
                                      <w:color w:val="FFFFFF"/>
                                      <w:spacing w:val="15"/>
                                      <w:sz w:val="18"/>
                                      <w:u w:val="single" w:color="333333"/>
                                      <w:shd w:val="clear" w:color="auto" w:fill="663AB6"/>
                                    </w:rPr>
                                    <w:t xml:space="preserve"> </w:t>
                                  </w:r>
                                  <w:r>
                                    <w:rPr>
                                      <w:color w:val="FFFFFF"/>
                                      <w:sz w:val="18"/>
                                      <w:u w:val="single" w:color="333333"/>
                                      <w:shd w:val="clear" w:color="auto" w:fill="663AB6"/>
                                    </w:rPr>
                                    <w:t xml:space="preserve">  </w:t>
                                  </w:r>
                                  <w:r>
                                    <w:rPr>
                                      <w:color w:val="FFFFFF"/>
                                      <w:spacing w:val="19"/>
                                      <w:sz w:val="18"/>
                                      <w:u w:val="single" w:color="333333"/>
                                      <w:shd w:val="clear" w:color="auto" w:fill="663AB6"/>
                                    </w:rPr>
                                    <w:t xml:space="preserve"> </w:t>
                                  </w:r>
                                  <w:r>
                                    <w:rPr>
                                      <w:color w:val="FFFFFF"/>
                                      <w:sz w:val="18"/>
                                      <w:u w:val="single" w:color="333333"/>
                                      <w:shd w:val="clear" w:color="auto" w:fill="663AB6"/>
                                    </w:rPr>
                                    <w:t>5 (6.6%)</w:t>
                                  </w:r>
                                  <w:r>
                                    <w:rPr>
                                      <w:color w:val="FFFFFF"/>
                                      <w:sz w:val="18"/>
                                      <w:u w:val="single" w:color="333333"/>
                                      <w:shd w:val="clear" w:color="auto" w:fill="663AB6"/>
                                    </w:rPr>
                                    <w:tab/>
                                  </w:r>
                                </w:p>
                              </w:tc>
                              <w:tc>
                                <w:tcPr>
                                  <w:tcW w:w="1004" w:type="dxa"/>
                                  <w:vMerge w:val="continue"/>
                                  <w:tcBorders>
                                    <w:top w:val="nil"/>
                                    <w:left w:val="nil"/>
                                    <w:right w:val="nil"/>
                                  </w:tcBorders>
                                  <w:shd w:val="clear" w:color="auto" w:fill="663AB6"/>
                                </w:tcPr>
                                <w:p w14:paraId="31926FC2">
                                  <w:pPr>
                                    <w:rPr>
                                      <w:sz w:val="2"/>
                                      <w:szCs w:val="2"/>
                                    </w:rPr>
                                  </w:pPr>
                                </w:p>
                              </w:tc>
                              <w:tc>
                                <w:tcPr>
                                  <w:tcW w:w="614" w:type="dxa"/>
                                  <w:vMerge w:val="continue"/>
                                  <w:tcBorders>
                                    <w:top w:val="nil"/>
                                    <w:left w:val="nil"/>
                                    <w:right w:val="nil"/>
                                  </w:tcBorders>
                                </w:tcPr>
                                <w:p w14:paraId="59D63CD7">
                                  <w:pPr>
                                    <w:rPr>
                                      <w:sz w:val="2"/>
                                      <w:szCs w:val="2"/>
                                    </w:rPr>
                                  </w:pPr>
                                </w:p>
                              </w:tc>
                              <w:tc>
                                <w:tcPr>
                                  <w:tcW w:w="1004" w:type="dxa"/>
                                  <w:vMerge w:val="continue"/>
                                  <w:tcBorders>
                                    <w:top w:val="nil"/>
                                    <w:left w:val="nil"/>
                                    <w:right w:val="nil"/>
                                  </w:tcBorders>
                                  <w:shd w:val="clear" w:color="auto" w:fill="663AB6"/>
                                </w:tcPr>
                                <w:p w14:paraId="0AE8FC5E">
                                  <w:pPr>
                                    <w:rPr>
                                      <w:sz w:val="2"/>
                                      <w:szCs w:val="2"/>
                                    </w:rPr>
                                  </w:pPr>
                                </w:p>
                              </w:tc>
                              <w:tc>
                                <w:tcPr>
                                  <w:tcW w:w="314" w:type="dxa"/>
                                  <w:vMerge w:val="continue"/>
                                  <w:tcBorders>
                                    <w:top w:val="nil"/>
                                    <w:left w:val="nil"/>
                                    <w:right w:val="single" w:color="EDEDED" w:sz="6" w:space="0"/>
                                  </w:tcBorders>
                                </w:tcPr>
                                <w:p w14:paraId="27266A15">
                                  <w:pPr>
                                    <w:rPr>
                                      <w:sz w:val="2"/>
                                      <w:szCs w:val="2"/>
                                    </w:rPr>
                                  </w:pPr>
                                </w:p>
                              </w:tc>
                            </w:tr>
                          </w:tbl>
                          <w:p w14:paraId="7B9BD3A6">
                            <w:pPr>
                              <w:pStyle w:val="15"/>
                            </w:pPr>
                          </w:p>
                        </w:txbxContent>
                      </wps:txbx>
                      <wps:bodyPr rot="0" vert="horz" wrap="square" lIns="0" tIns="0" rIns="0" bIns="0" anchor="t" anchorCtr="0" upright="1">
                        <a:noAutofit/>
                      </wps:bodyPr>
                    </wps:wsp>
                  </a:graphicData>
                </a:graphic>
              </wp:anchor>
            </w:drawing>
          </mc:Choice>
          <mc:Fallback>
            <w:pict>
              <v:shape id="Text Box 59" o:spid="_x0000_s1026" o:spt="202" type="#_x0000_t202" style="position:absolute;left:0pt;margin-left:103.1pt;margin-top:9.25pt;height:135.75pt;width:407.65pt;mso-position-horizontal-relative:page;z-index:251732992;mso-width-relative:page;mso-height-relative:page;" filled="f" stroked="f" coordsize="21600,21600" o:gfxdata="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xjrutgAAAALAQAADwAAAAAAAAABACAAAAAi&#10;AAAAZHJzL2Rvd25yZXYueG1sUEsBAhQAFAAAAAgAh07iQOX+vuEKAgAAHQQAAA4AAAAAAAAAAQAg&#10;AAAAJwEAAGRycy9lMm9Eb2MueG1sUEsFBgAAAAAGAAYAWQEAAKMFAAAAAA==&#10;">
                <v:fill on="f" focussize="0,0"/>
                <v:stroke on="f"/>
                <v:imagedata o:title=""/>
                <o:lock v:ext="edit" aspectratio="f"/>
                <v:textbox inset="0mm,0mm,0mm,0mm">
                  <w:txbxContent>
                    <w:tbl>
                      <w:tblPr>
                        <w:tblStyle w:val="13"/>
                        <w:tblW w:w="0" w:type="auto"/>
                        <w:tblInd w:w="7" w:type="dxa"/>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Layout w:type="fixed"/>
                        <w:tblCellMar>
                          <w:top w:w="0" w:type="dxa"/>
                          <w:left w:w="0" w:type="dxa"/>
                          <w:bottom w:w="0" w:type="dxa"/>
                          <w:right w:w="0" w:type="dxa"/>
                        </w:tblCellMar>
                      </w:tblPr>
                      <w:tblGrid>
                        <w:gridCol w:w="817"/>
                        <w:gridCol w:w="1619"/>
                        <w:gridCol w:w="2751"/>
                        <w:gridCol w:w="1004"/>
                        <w:gridCol w:w="614"/>
                        <w:gridCol w:w="1004"/>
                        <w:gridCol w:w="314"/>
                      </w:tblGrid>
                      <w:tr w14:paraId="43434684">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31" w:hRule="atLeast"/>
                        </w:trPr>
                        <w:tc>
                          <w:tcPr>
                            <w:tcW w:w="8123" w:type="dxa"/>
                            <w:gridSpan w:val="7"/>
                            <w:tcBorders>
                              <w:left w:val="single" w:color="EDEDED" w:sz="6" w:space="0"/>
                              <w:bottom w:val="single" w:color="F7F7F7" w:sz="6" w:space="0"/>
                              <w:right w:val="single" w:color="EDEDED" w:sz="6" w:space="0"/>
                            </w:tcBorders>
                          </w:tcPr>
                          <w:p w14:paraId="1420A414">
                            <w:pPr>
                              <w:pStyle w:val="119"/>
                              <w:rPr>
                                <w:sz w:val="20"/>
                              </w:rPr>
                            </w:pPr>
                          </w:p>
                        </w:tc>
                      </w:tr>
                      <w:tr w14:paraId="0E94FBB6">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27" w:hRule="atLeast"/>
                        </w:trPr>
                        <w:tc>
                          <w:tcPr>
                            <w:tcW w:w="6805" w:type="dxa"/>
                            <w:gridSpan w:val="5"/>
                            <w:tcBorders>
                              <w:top w:val="single" w:color="F7F7F7" w:sz="6" w:space="0"/>
                              <w:left w:val="single" w:color="EDEDED" w:sz="6" w:space="0"/>
                              <w:bottom w:val="single" w:color="EDEDED" w:sz="6" w:space="0"/>
                              <w:right w:val="nil"/>
                            </w:tcBorders>
                          </w:tcPr>
                          <w:p w14:paraId="06F51916">
                            <w:pPr>
                              <w:pStyle w:val="119"/>
                              <w:rPr>
                                <w:sz w:val="20"/>
                              </w:rPr>
                            </w:pPr>
                          </w:p>
                        </w:tc>
                        <w:tc>
                          <w:tcPr>
                            <w:tcW w:w="1004" w:type="dxa"/>
                            <w:vMerge w:val="restart"/>
                            <w:tcBorders>
                              <w:top w:val="single" w:color="F7F7F7" w:sz="6" w:space="0"/>
                              <w:left w:val="nil"/>
                              <w:right w:val="nil"/>
                            </w:tcBorders>
                            <w:shd w:val="clear" w:color="auto" w:fill="663AB6"/>
                          </w:tcPr>
                          <w:p w14:paraId="03D02063">
                            <w:pPr>
                              <w:pStyle w:val="119"/>
                              <w:spacing w:before="59"/>
                              <w:rPr>
                                <w:sz w:val="18"/>
                              </w:rPr>
                            </w:pPr>
                            <w:r>
                              <w:rPr>
                                <w:color w:val="FFFFFF"/>
                                <w:sz w:val="18"/>
                              </w:rPr>
                              <w:t>49 (64.5%)</w:t>
                            </w:r>
                          </w:p>
                        </w:tc>
                        <w:tc>
                          <w:tcPr>
                            <w:tcW w:w="314" w:type="dxa"/>
                            <w:tcBorders>
                              <w:top w:val="single" w:color="F7F7F7" w:sz="6" w:space="0"/>
                              <w:left w:val="nil"/>
                              <w:bottom w:val="single" w:color="EDEDED" w:sz="6" w:space="0"/>
                              <w:right w:val="single" w:color="EDEDED" w:sz="6" w:space="0"/>
                            </w:tcBorders>
                          </w:tcPr>
                          <w:p w14:paraId="62771CB3">
                            <w:pPr>
                              <w:pStyle w:val="119"/>
                              <w:rPr>
                                <w:sz w:val="20"/>
                              </w:rPr>
                            </w:pPr>
                          </w:p>
                        </w:tc>
                      </w:tr>
                      <w:tr w14:paraId="5001E086">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6805" w:type="dxa"/>
                            <w:gridSpan w:val="5"/>
                            <w:tcBorders>
                              <w:top w:val="single" w:color="EDEDED" w:sz="6" w:space="0"/>
                              <w:left w:val="single" w:color="EDEDED" w:sz="6" w:space="0"/>
                              <w:bottom w:val="single" w:color="F7F7F7" w:sz="6" w:space="0"/>
                              <w:right w:val="nil"/>
                            </w:tcBorders>
                          </w:tcPr>
                          <w:p w14:paraId="04893230">
                            <w:pPr>
                              <w:pStyle w:val="119"/>
                              <w:rPr>
                                <w:sz w:val="20"/>
                              </w:rPr>
                            </w:pPr>
                          </w:p>
                        </w:tc>
                        <w:tc>
                          <w:tcPr>
                            <w:tcW w:w="1004" w:type="dxa"/>
                            <w:vMerge w:val="continue"/>
                            <w:tcBorders>
                              <w:top w:val="nil"/>
                              <w:left w:val="nil"/>
                              <w:right w:val="nil"/>
                            </w:tcBorders>
                            <w:shd w:val="clear" w:color="auto" w:fill="663AB6"/>
                          </w:tcPr>
                          <w:p w14:paraId="1E571057">
                            <w:pPr>
                              <w:rPr>
                                <w:sz w:val="2"/>
                                <w:szCs w:val="2"/>
                              </w:rPr>
                            </w:pPr>
                          </w:p>
                        </w:tc>
                        <w:tc>
                          <w:tcPr>
                            <w:tcW w:w="314" w:type="dxa"/>
                            <w:tcBorders>
                              <w:top w:val="single" w:color="EDEDED" w:sz="6" w:space="0"/>
                              <w:left w:val="nil"/>
                              <w:bottom w:val="single" w:color="F7F7F7" w:sz="6" w:space="0"/>
                              <w:right w:val="single" w:color="EDEDED" w:sz="6" w:space="0"/>
                            </w:tcBorders>
                          </w:tcPr>
                          <w:p w14:paraId="0D1A963A">
                            <w:pPr>
                              <w:pStyle w:val="119"/>
                              <w:rPr>
                                <w:sz w:val="20"/>
                              </w:rPr>
                            </w:pPr>
                          </w:p>
                        </w:tc>
                      </w:tr>
                      <w:tr w14:paraId="38939FC6">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322" w:hRule="atLeast"/>
                        </w:trPr>
                        <w:tc>
                          <w:tcPr>
                            <w:tcW w:w="6805" w:type="dxa"/>
                            <w:gridSpan w:val="5"/>
                            <w:tcBorders>
                              <w:top w:val="single" w:color="F7F7F7" w:sz="6" w:space="0"/>
                              <w:left w:val="single" w:color="EDEDED" w:sz="6" w:space="0"/>
                              <w:bottom w:val="nil"/>
                              <w:right w:val="nil"/>
                            </w:tcBorders>
                          </w:tcPr>
                          <w:p w14:paraId="730F4A05">
                            <w:pPr>
                              <w:pStyle w:val="119"/>
                              <w:rPr>
                                <w:sz w:val="20"/>
                              </w:rPr>
                            </w:pPr>
                          </w:p>
                        </w:tc>
                        <w:tc>
                          <w:tcPr>
                            <w:tcW w:w="1004" w:type="dxa"/>
                            <w:vMerge w:val="continue"/>
                            <w:tcBorders>
                              <w:top w:val="nil"/>
                              <w:left w:val="nil"/>
                              <w:right w:val="nil"/>
                            </w:tcBorders>
                            <w:shd w:val="clear" w:color="auto" w:fill="663AB6"/>
                          </w:tcPr>
                          <w:p w14:paraId="2C979DC0">
                            <w:pPr>
                              <w:rPr>
                                <w:sz w:val="2"/>
                                <w:szCs w:val="2"/>
                              </w:rPr>
                            </w:pPr>
                          </w:p>
                        </w:tc>
                        <w:tc>
                          <w:tcPr>
                            <w:tcW w:w="314" w:type="dxa"/>
                            <w:vMerge w:val="restart"/>
                            <w:tcBorders>
                              <w:top w:val="single" w:color="F7F7F7" w:sz="6" w:space="0"/>
                              <w:left w:val="nil"/>
                              <w:bottom w:val="single" w:color="EDEDED" w:sz="6" w:space="0"/>
                              <w:right w:val="single" w:color="EDEDED" w:sz="6" w:space="0"/>
                            </w:tcBorders>
                          </w:tcPr>
                          <w:p w14:paraId="4F8B9302">
                            <w:pPr>
                              <w:pStyle w:val="119"/>
                              <w:rPr>
                                <w:sz w:val="20"/>
                              </w:rPr>
                            </w:pPr>
                          </w:p>
                        </w:tc>
                      </w:tr>
                      <w:tr w14:paraId="024910F1">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52" w:hRule="atLeast"/>
                        </w:trPr>
                        <w:tc>
                          <w:tcPr>
                            <w:tcW w:w="5187" w:type="dxa"/>
                            <w:gridSpan w:val="3"/>
                            <w:tcBorders>
                              <w:top w:val="nil"/>
                              <w:left w:val="single" w:color="EDEDED" w:sz="6" w:space="0"/>
                              <w:bottom w:val="single" w:color="EDEDED" w:sz="6" w:space="0"/>
                              <w:right w:val="nil"/>
                            </w:tcBorders>
                          </w:tcPr>
                          <w:p w14:paraId="126545ED">
                            <w:pPr>
                              <w:pStyle w:val="119"/>
                              <w:rPr>
                                <w:sz w:val="2"/>
                              </w:rPr>
                            </w:pPr>
                          </w:p>
                        </w:tc>
                        <w:tc>
                          <w:tcPr>
                            <w:tcW w:w="1004" w:type="dxa"/>
                            <w:vMerge w:val="restart"/>
                            <w:tcBorders>
                              <w:top w:val="nil"/>
                              <w:left w:val="nil"/>
                              <w:right w:val="nil"/>
                            </w:tcBorders>
                            <w:shd w:val="clear" w:color="auto" w:fill="663AB6"/>
                          </w:tcPr>
                          <w:p w14:paraId="52384427">
                            <w:pPr>
                              <w:pStyle w:val="119"/>
                              <w:spacing w:line="206" w:lineRule="exact"/>
                              <w:rPr>
                                <w:sz w:val="18"/>
                              </w:rPr>
                            </w:pPr>
                            <w:r>
                              <w:rPr>
                                <w:color w:val="FFFFFF"/>
                                <w:sz w:val="18"/>
                              </w:rPr>
                              <w:t>22 (28.9%)</w:t>
                            </w:r>
                          </w:p>
                        </w:tc>
                        <w:tc>
                          <w:tcPr>
                            <w:tcW w:w="614" w:type="dxa"/>
                            <w:tcBorders>
                              <w:top w:val="nil"/>
                              <w:left w:val="nil"/>
                              <w:bottom w:val="single" w:color="EDEDED" w:sz="6" w:space="0"/>
                              <w:right w:val="nil"/>
                            </w:tcBorders>
                          </w:tcPr>
                          <w:p w14:paraId="539B68B4">
                            <w:pPr>
                              <w:pStyle w:val="119"/>
                              <w:rPr>
                                <w:sz w:val="2"/>
                              </w:rPr>
                            </w:pPr>
                          </w:p>
                        </w:tc>
                        <w:tc>
                          <w:tcPr>
                            <w:tcW w:w="1004" w:type="dxa"/>
                            <w:vMerge w:val="continue"/>
                            <w:tcBorders>
                              <w:top w:val="nil"/>
                              <w:left w:val="nil"/>
                              <w:right w:val="nil"/>
                            </w:tcBorders>
                            <w:shd w:val="clear" w:color="auto" w:fill="663AB6"/>
                          </w:tcPr>
                          <w:p w14:paraId="0C0CA7BF">
                            <w:pPr>
                              <w:rPr>
                                <w:sz w:val="2"/>
                                <w:szCs w:val="2"/>
                              </w:rPr>
                            </w:pPr>
                          </w:p>
                        </w:tc>
                        <w:tc>
                          <w:tcPr>
                            <w:tcW w:w="314" w:type="dxa"/>
                            <w:vMerge w:val="continue"/>
                            <w:tcBorders>
                              <w:top w:val="nil"/>
                              <w:left w:val="nil"/>
                              <w:bottom w:val="single" w:color="EDEDED" w:sz="6" w:space="0"/>
                              <w:right w:val="single" w:color="EDEDED" w:sz="6" w:space="0"/>
                            </w:tcBorders>
                          </w:tcPr>
                          <w:p w14:paraId="5C8C0282">
                            <w:pPr>
                              <w:rPr>
                                <w:sz w:val="2"/>
                                <w:szCs w:val="2"/>
                              </w:rPr>
                            </w:pPr>
                          </w:p>
                        </w:tc>
                      </w:tr>
                      <w:tr w14:paraId="1A9622E4">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419" w:hRule="atLeast"/>
                        </w:trPr>
                        <w:tc>
                          <w:tcPr>
                            <w:tcW w:w="5187" w:type="dxa"/>
                            <w:gridSpan w:val="3"/>
                            <w:tcBorders>
                              <w:top w:val="single" w:color="EDEDED" w:sz="6" w:space="0"/>
                              <w:left w:val="single" w:color="EDEDED" w:sz="6" w:space="0"/>
                              <w:bottom w:val="single" w:color="F7F7F7" w:sz="6" w:space="0"/>
                              <w:right w:val="nil"/>
                            </w:tcBorders>
                          </w:tcPr>
                          <w:p w14:paraId="481BAD9D">
                            <w:pPr>
                              <w:pStyle w:val="119"/>
                              <w:rPr>
                                <w:sz w:val="20"/>
                              </w:rPr>
                            </w:pPr>
                          </w:p>
                        </w:tc>
                        <w:tc>
                          <w:tcPr>
                            <w:tcW w:w="1004" w:type="dxa"/>
                            <w:vMerge w:val="continue"/>
                            <w:tcBorders>
                              <w:top w:val="nil"/>
                              <w:left w:val="nil"/>
                              <w:right w:val="nil"/>
                            </w:tcBorders>
                            <w:shd w:val="clear" w:color="auto" w:fill="663AB6"/>
                          </w:tcPr>
                          <w:p w14:paraId="68E0457D">
                            <w:pPr>
                              <w:rPr>
                                <w:sz w:val="2"/>
                                <w:szCs w:val="2"/>
                              </w:rPr>
                            </w:pPr>
                          </w:p>
                        </w:tc>
                        <w:tc>
                          <w:tcPr>
                            <w:tcW w:w="614" w:type="dxa"/>
                            <w:tcBorders>
                              <w:top w:val="single" w:color="EDEDED" w:sz="6" w:space="0"/>
                              <w:left w:val="nil"/>
                              <w:bottom w:val="single" w:color="F7F7F7" w:sz="6" w:space="0"/>
                              <w:right w:val="nil"/>
                            </w:tcBorders>
                          </w:tcPr>
                          <w:p w14:paraId="7ED6BB00">
                            <w:pPr>
                              <w:pStyle w:val="119"/>
                              <w:rPr>
                                <w:sz w:val="20"/>
                              </w:rPr>
                            </w:pPr>
                          </w:p>
                        </w:tc>
                        <w:tc>
                          <w:tcPr>
                            <w:tcW w:w="1004" w:type="dxa"/>
                            <w:vMerge w:val="continue"/>
                            <w:tcBorders>
                              <w:top w:val="nil"/>
                              <w:left w:val="nil"/>
                              <w:right w:val="nil"/>
                            </w:tcBorders>
                            <w:shd w:val="clear" w:color="auto" w:fill="663AB6"/>
                          </w:tcPr>
                          <w:p w14:paraId="0ED0F31A">
                            <w:pPr>
                              <w:rPr>
                                <w:sz w:val="2"/>
                                <w:szCs w:val="2"/>
                              </w:rPr>
                            </w:pPr>
                          </w:p>
                        </w:tc>
                        <w:tc>
                          <w:tcPr>
                            <w:tcW w:w="314" w:type="dxa"/>
                            <w:tcBorders>
                              <w:top w:val="single" w:color="EDEDED" w:sz="6" w:space="0"/>
                              <w:left w:val="nil"/>
                              <w:bottom w:val="single" w:color="F7F7F7" w:sz="6" w:space="0"/>
                              <w:right w:val="single" w:color="EDEDED" w:sz="6" w:space="0"/>
                            </w:tcBorders>
                          </w:tcPr>
                          <w:p w14:paraId="010AE8EB">
                            <w:pPr>
                              <w:pStyle w:val="119"/>
                              <w:rPr>
                                <w:sz w:val="20"/>
                              </w:rPr>
                            </w:pPr>
                          </w:p>
                        </w:tc>
                      </w:tr>
                      <w:tr w14:paraId="35B891CB">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232" w:hRule="atLeast"/>
                        </w:trPr>
                        <w:tc>
                          <w:tcPr>
                            <w:tcW w:w="5187" w:type="dxa"/>
                            <w:gridSpan w:val="3"/>
                            <w:tcBorders>
                              <w:top w:val="single" w:color="F7F7F7" w:sz="6" w:space="0"/>
                              <w:left w:val="single" w:color="EDEDED" w:sz="6" w:space="0"/>
                              <w:bottom w:val="nil"/>
                              <w:right w:val="nil"/>
                            </w:tcBorders>
                          </w:tcPr>
                          <w:p w14:paraId="0CC53C0E">
                            <w:pPr>
                              <w:pStyle w:val="119"/>
                              <w:tabs>
                                <w:tab w:val="left" w:pos="2164"/>
                              </w:tabs>
                              <w:spacing w:before="51" w:line="161" w:lineRule="exact"/>
                              <w:rPr>
                                <w:sz w:val="18"/>
                              </w:rPr>
                            </w:pPr>
                            <w:r>
                              <w:rPr>
                                <w:sz w:val="18"/>
                              </w:rPr>
                              <w:t>0 (0%)</w:t>
                            </w:r>
                            <w:r>
                              <w:rPr>
                                <w:sz w:val="18"/>
                              </w:rPr>
                              <w:tab/>
                            </w:r>
                            <w:r>
                              <w:rPr>
                                <w:color w:val="202024"/>
                                <w:sz w:val="18"/>
                              </w:rPr>
                              <w:t>0 (0%)</w:t>
                            </w:r>
                          </w:p>
                        </w:tc>
                        <w:tc>
                          <w:tcPr>
                            <w:tcW w:w="1004" w:type="dxa"/>
                            <w:vMerge w:val="continue"/>
                            <w:tcBorders>
                              <w:top w:val="nil"/>
                              <w:left w:val="nil"/>
                              <w:right w:val="nil"/>
                            </w:tcBorders>
                            <w:shd w:val="clear" w:color="auto" w:fill="663AB6"/>
                          </w:tcPr>
                          <w:p w14:paraId="059D9F0C">
                            <w:pPr>
                              <w:rPr>
                                <w:sz w:val="2"/>
                                <w:szCs w:val="2"/>
                              </w:rPr>
                            </w:pPr>
                          </w:p>
                        </w:tc>
                        <w:tc>
                          <w:tcPr>
                            <w:tcW w:w="614" w:type="dxa"/>
                            <w:vMerge w:val="restart"/>
                            <w:tcBorders>
                              <w:top w:val="single" w:color="F7F7F7" w:sz="6" w:space="0"/>
                              <w:left w:val="nil"/>
                              <w:right w:val="nil"/>
                            </w:tcBorders>
                          </w:tcPr>
                          <w:p w14:paraId="0AEB42CD">
                            <w:pPr>
                              <w:pStyle w:val="119"/>
                              <w:rPr>
                                <w:sz w:val="20"/>
                              </w:rPr>
                            </w:pPr>
                          </w:p>
                        </w:tc>
                        <w:tc>
                          <w:tcPr>
                            <w:tcW w:w="1004" w:type="dxa"/>
                            <w:vMerge w:val="continue"/>
                            <w:tcBorders>
                              <w:top w:val="nil"/>
                              <w:left w:val="nil"/>
                              <w:right w:val="nil"/>
                            </w:tcBorders>
                            <w:shd w:val="clear" w:color="auto" w:fill="663AB6"/>
                          </w:tcPr>
                          <w:p w14:paraId="7E6E6D7A">
                            <w:pPr>
                              <w:rPr>
                                <w:sz w:val="2"/>
                                <w:szCs w:val="2"/>
                              </w:rPr>
                            </w:pPr>
                          </w:p>
                        </w:tc>
                        <w:tc>
                          <w:tcPr>
                            <w:tcW w:w="314" w:type="dxa"/>
                            <w:vMerge w:val="restart"/>
                            <w:tcBorders>
                              <w:top w:val="single" w:color="F7F7F7" w:sz="6" w:space="0"/>
                              <w:left w:val="nil"/>
                              <w:right w:val="single" w:color="EDEDED" w:sz="6" w:space="0"/>
                            </w:tcBorders>
                          </w:tcPr>
                          <w:p w14:paraId="6D6ACFF3">
                            <w:pPr>
                              <w:pStyle w:val="119"/>
                              <w:rPr>
                                <w:sz w:val="20"/>
                              </w:rPr>
                            </w:pPr>
                          </w:p>
                        </w:tc>
                      </w:tr>
                      <w:tr w14:paraId="07C0697F">
                        <w:tblPrEx>
                          <w:tblBorders>
                            <w:top w:val="single" w:color="EDEDED" w:sz="12" w:space="0"/>
                            <w:left w:val="single" w:color="EDEDED" w:sz="12" w:space="0"/>
                            <w:bottom w:val="single" w:color="EDEDED" w:sz="12" w:space="0"/>
                            <w:right w:val="single" w:color="EDEDED" w:sz="12" w:space="0"/>
                            <w:insideH w:val="single" w:color="EDEDED" w:sz="12" w:space="0"/>
                            <w:insideV w:val="single" w:color="EDEDED" w:sz="12" w:space="0"/>
                          </w:tblBorders>
                          <w:tblCellMar>
                            <w:top w:w="0" w:type="dxa"/>
                            <w:left w:w="0" w:type="dxa"/>
                            <w:bottom w:w="0" w:type="dxa"/>
                            <w:right w:w="0" w:type="dxa"/>
                          </w:tblCellMar>
                        </w:tblPrEx>
                        <w:trPr>
                          <w:trHeight w:val="161" w:hRule="atLeast"/>
                        </w:trPr>
                        <w:tc>
                          <w:tcPr>
                            <w:tcW w:w="817" w:type="dxa"/>
                            <w:tcBorders>
                              <w:top w:val="nil"/>
                              <w:left w:val="single" w:color="EDEDED" w:sz="6" w:space="0"/>
                              <w:right w:val="single" w:color="999999" w:sz="6" w:space="0"/>
                            </w:tcBorders>
                          </w:tcPr>
                          <w:p w14:paraId="04BDDD9C">
                            <w:pPr>
                              <w:pStyle w:val="119"/>
                              <w:rPr>
                                <w:sz w:val="10"/>
                              </w:rPr>
                            </w:pPr>
                          </w:p>
                        </w:tc>
                        <w:tc>
                          <w:tcPr>
                            <w:tcW w:w="1619" w:type="dxa"/>
                            <w:tcBorders>
                              <w:top w:val="nil"/>
                              <w:left w:val="single" w:color="999999" w:sz="6" w:space="0"/>
                              <w:right w:val="single" w:color="999999" w:sz="6" w:space="0"/>
                            </w:tcBorders>
                          </w:tcPr>
                          <w:p w14:paraId="02EB5A61">
                            <w:pPr>
                              <w:pStyle w:val="119"/>
                              <w:rPr>
                                <w:sz w:val="10"/>
                              </w:rPr>
                            </w:pPr>
                          </w:p>
                        </w:tc>
                        <w:tc>
                          <w:tcPr>
                            <w:tcW w:w="2751" w:type="dxa"/>
                            <w:tcBorders>
                              <w:top w:val="nil"/>
                              <w:left w:val="single" w:color="999999" w:sz="6" w:space="0"/>
                              <w:right w:val="nil"/>
                            </w:tcBorders>
                          </w:tcPr>
                          <w:p w14:paraId="19F6F144">
                            <w:pPr>
                              <w:pStyle w:val="119"/>
                              <w:tabs>
                                <w:tab w:val="left" w:pos="5693"/>
                              </w:tabs>
                              <w:spacing w:line="141" w:lineRule="exact"/>
                              <w:ind w:right="-2952"/>
                              <w:rPr>
                                <w:sz w:val="18"/>
                              </w:rPr>
                            </w:pPr>
                            <w:r>
                              <w:rPr>
                                <w:color w:val="FFFFFF"/>
                                <w:sz w:val="18"/>
                                <w:u w:val="single" w:color="333333"/>
                                <w:shd w:val="clear" w:color="auto" w:fill="663AB6"/>
                              </w:rPr>
                              <w:t xml:space="preserve">                                                                              </w:t>
                            </w:r>
                            <w:r>
                              <w:rPr>
                                <w:color w:val="FFFFFF"/>
                                <w:spacing w:val="15"/>
                                <w:sz w:val="18"/>
                                <w:u w:val="single" w:color="333333"/>
                                <w:shd w:val="clear" w:color="auto" w:fill="663AB6"/>
                              </w:rPr>
                              <w:t xml:space="preserve"> </w:t>
                            </w:r>
                            <w:r>
                              <w:rPr>
                                <w:color w:val="FFFFFF"/>
                                <w:sz w:val="18"/>
                                <w:u w:val="single" w:color="333333"/>
                                <w:shd w:val="clear" w:color="auto" w:fill="663AB6"/>
                              </w:rPr>
                              <w:t xml:space="preserve">  </w:t>
                            </w:r>
                            <w:r>
                              <w:rPr>
                                <w:color w:val="FFFFFF"/>
                                <w:spacing w:val="19"/>
                                <w:sz w:val="18"/>
                                <w:u w:val="single" w:color="333333"/>
                                <w:shd w:val="clear" w:color="auto" w:fill="663AB6"/>
                              </w:rPr>
                              <w:t xml:space="preserve"> </w:t>
                            </w:r>
                            <w:r>
                              <w:rPr>
                                <w:color w:val="FFFFFF"/>
                                <w:sz w:val="18"/>
                                <w:u w:val="single" w:color="333333"/>
                                <w:shd w:val="clear" w:color="auto" w:fill="663AB6"/>
                              </w:rPr>
                              <w:t>5 (6.6%)</w:t>
                            </w:r>
                            <w:r>
                              <w:rPr>
                                <w:color w:val="FFFFFF"/>
                                <w:sz w:val="18"/>
                                <w:u w:val="single" w:color="333333"/>
                                <w:shd w:val="clear" w:color="auto" w:fill="663AB6"/>
                              </w:rPr>
                              <w:tab/>
                            </w:r>
                          </w:p>
                        </w:tc>
                        <w:tc>
                          <w:tcPr>
                            <w:tcW w:w="1004" w:type="dxa"/>
                            <w:vMerge w:val="continue"/>
                            <w:tcBorders>
                              <w:top w:val="nil"/>
                              <w:left w:val="nil"/>
                              <w:right w:val="nil"/>
                            </w:tcBorders>
                            <w:shd w:val="clear" w:color="auto" w:fill="663AB6"/>
                          </w:tcPr>
                          <w:p w14:paraId="31926FC2">
                            <w:pPr>
                              <w:rPr>
                                <w:sz w:val="2"/>
                                <w:szCs w:val="2"/>
                              </w:rPr>
                            </w:pPr>
                          </w:p>
                        </w:tc>
                        <w:tc>
                          <w:tcPr>
                            <w:tcW w:w="614" w:type="dxa"/>
                            <w:vMerge w:val="continue"/>
                            <w:tcBorders>
                              <w:top w:val="nil"/>
                              <w:left w:val="nil"/>
                              <w:right w:val="nil"/>
                            </w:tcBorders>
                          </w:tcPr>
                          <w:p w14:paraId="59D63CD7">
                            <w:pPr>
                              <w:rPr>
                                <w:sz w:val="2"/>
                                <w:szCs w:val="2"/>
                              </w:rPr>
                            </w:pPr>
                          </w:p>
                        </w:tc>
                        <w:tc>
                          <w:tcPr>
                            <w:tcW w:w="1004" w:type="dxa"/>
                            <w:vMerge w:val="continue"/>
                            <w:tcBorders>
                              <w:top w:val="nil"/>
                              <w:left w:val="nil"/>
                              <w:right w:val="nil"/>
                            </w:tcBorders>
                            <w:shd w:val="clear" w:color="auto" w:fill="663AB6"/>
                          </w:tcPr>
                          <w:p w14:paraId="0AE8FC5E">
                            <w:pPr>
                              <w:rPr>
                                <w:sz w:val="2"/>
                                <w:szCs w:val="2"/>
                              </w:rPr>
                            </w:pPr>
                          </w:p>
                        </w:tc>
                        <w:tc>
                          <w:tcPr>
                            <w:tcW w:w="314" w:type="dxa"/>
                            <w:vMerge w:val="continue"/>
                            <w:tcBorders>
                              <w:top w:val="nil"/>
                              <w:left w:val="nil"/>
                              <w:right w:val="single" w:color="EDEDED" w:sz="6" w:space="0"/>
                            </w:tcBorders>
                          </w:tcPr>
                          <w:p w14:paraId="27266A15">
                            <w:pPr>
                              <w:rPr>
                                <w:sz w:val="2"/>
                                <w:szCs w:val="2"/>
                              </w:rPr>
                            </w:pPr>
                          </w:p>
                        </w:tc>
                      </w:tr>
                    </w:tbl>
                    <w:p w14:paraId="7B9BD3A6">
                      <w:pPr>
                        <w:pStyle w:val="15"/>
                      </w:pPr>
                    </w:p>
                  </w:txbxContent>
                </v:textbox>
              </v:shape>
            </w:pict>
          </mc:Fallback>
        </mc:AlternateContent>
      </w:r>
      <w:r>
        <w:rPr>
          <w:rFonts w:ascii="Arial MT" w:hAnsi="Roboto" w:eastAsia="Roboto" w:cs="Roboto"/>
          <w:color w:val="444444"/>
          <w:sz w:val="18"/>
          <w:szCs w:val="22"/>
        </w:rPr>
        <w:t>60</w:t>
      </w:r>
    </w:p>
    <w:p w14:paraId="4267725B">
      <w:pPr>
        <w:widowControl w:val="0"/>
        <w:autoSpaceDE w:val="0"/>
        <w:autoSpaceDN w:val="0"/>
        <w:rPr>
          <w:rFonts w:ascii="Arial MT" w:hAnsi="Roboto" w:eastAsia="Roboto" w:cs="Roboto"/>
          <w:sz w:val="20"/>
          <w:szCs w:val="21"/>
        </w:rPr>
      </w:pPr>
    </w:p>
    <w:p w14:paraId="159AE1A8">
      <w:pPr>
        <w:widowControl w:val="0"/>
        <w:autoSpaceDE w:val="0"/>
        <w:autoSpaceDN w:val="0"/>
        <w:rPr>
          <w:rFonts w:ascii="Arial MT" w:hAnsi="Roboto" w:eastAsia="Roboto" w:cs="Roboto"/>
          <w:sz w:val="20"/>
          <w:szCs w:val="21"/>
        </w:rPr>
      </w:pPr>
    </w:p>
    <w:p w14:paraId="71CFA047">
      <w:pPr>
        <w:widowControl w:val="0"/>
        <w:autoSpaceDE w:val="0"/>
        <w:autoSpaceDN w:val="0"/>
        <w:spacing w:before="9"/>
        <w:rPr>
          <w:rFonts w:ascii="Arial MT" w:hAnsi="Roboto" w:eastAsia="Roboto" w:cs="Roboto"/>
          <w:sz w:val="19"/>
          <w:szCs w:val="21"/>
        </w:rPr>
      </w:pPr>
    </w:p>
    <w:p w14:paraId="4544B11D">
      <w:pPr>
        <w:widowControl w:val="0"/>
        <w:autoSpaceDE w:val="0"/>
        <w:autoSpaceDN w:val="0"/>
        <w:spacing w:before="1"/>
        <w:rPr>
          <w:rFonts w:ascii="Arial MT" w:hAnsi="Roboto" w:eastAsia="Roboto" w:cs="Roboto"/>
          <w:sz w:val="18"/>
          <w:szCs w:val="22"/>
        </w:rPr>
      </w:pPr>
      <w:r>
        <w:rPr>
          <w:rFonts w:ascii="Arial MT" w:hAnsi="Roboto" w:eastAsia="Roboto" w:cs="Roboto"/>
          <w:color w:val="444444"/>
          <w:sz w:val="18"/>
          <w:szCs w:val="22"/>
        </w:rPr>
        <w:t>40</w:t>
      </w:r>
    </w:p>
    <w:p w14:paraId="774B7FF8">
      <w:pPr>
        <w:widowControl w:val="0"/>
        <w:autoSpaceDE w:val="0"/>
        <w:autoSpaceDN w:val="0"/>
        <w:rPr>
          <w:rFonts w:ascii="Arial MT" w:hAnsi="Roboto" w:eastAsia="Roboto" w:cs="Roboto"/>
          <w:sz w:val="20"/>
          <w:szCs w:val="21"/>
        </w:rPr>
      </w:pPr>
    </w:p>
    <w:p w14:paraId="26795684">
      <w:pPr>
        <w:widowControl w:val="0"/>
        <w:autoSpaceDE w:val="0"/>
        <w:autoSpaceDN w:val="0"/>
        <w:rPr>
          <w:rFonts w:ascii="Arial MT" w:hAnsi="Roboto" w:eastAsia="Roboto" w:cs="Roboto"/>
          <w:sz w:val="20"/>
          <w:szCs w:val="21"/>
        </w:rPr>
      </w:pPr>
    </w:p>
    <w:p w14:paraId="17F8BE87">
      <w:pPr>
        <w:widowControl w:val="0"/>
        <w:autoSpaceDE w:val="0"/>
        <w:autoSpaceDN w:val="0"/>
        <w:spacing w:before="9"/>
        <w:rPr>
          <w:rFonts w:ascii="Arial MT" w:hAnsi="Roboto" w:eastAsia="Roboto" w:cs="Roboto"/>
          <w:sz w:val="19"/>
          <w:szCs w:val="21"/>
        </w:rPr>
      </w:pPr>
    </w:p>
    <w:p w14:paraId="3CB1F9D7">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12CA7ACF">
      <w:pPr>
        <w:widowControl w:val="0"/>
        <w:autoSpaceDE w:val="0"/>
        <w:autoSpaceDN w:val="0"/>
        <w:rPr>
          <w:rFonts w:ascii="Arial MT" w:hAnsi="Roboto" w:eastAsia="Roboto" w:cs="Roboto"/>
          <w:sz w:val="20"/>
          <w:szCs w:val="21"/>
        </w:rPr>
      </w:pPr>
    </w:p>
    <w:p w14:paraId="7CD61889">
      <w:pPr>
        <w:widowControl w:val="0"/>
        <w:autoSpaceDE w:val="0"/>
        <w:autoSpaceDN w:val="0"/>
        <w:spacing w:before="7"/>
        <w:rPr>
          <w:rFonts w:ascii="Arial MT" w:hAnsi="Roboto" w:eastAsia="Roboto" w:cs="Roboto"/>
          <w:sz w:val="13"/>
          <w:szCs w:val="21"/>
        </w:rPr>
      </w:pPr>
      <w:r>
        <mc:AlternateContent>
          <mc:Choice Requires="wps">
            <w:drawing>
              <wp:anchor distT="0" distB="0" distL="0" distR="0" simplePos="0" relativeHeight="251734016" behindDoc="1" locked="0" layoutInCell="1" allowOverlap="1">
                <wp:simplePos x="0" y="0"/>
                <wp:positionH relativeFrom="page">
                  <wp:posOffset>1664970</wp:posOffset>
                </wp:positionH>
                <wp:positionV relativeFrom="paragraph">
                  <wp:posOffset>139065</wp:posOffset>
                </wp:positionV>
                <wp:extent cx="328295" cy="107315"/>
                <wp:effectExtent l="17145" t="14605" r="35560" b="20955"/>
                <wp:wrapTopAndBottom/>
                <wp:docPr id="1934000827" name="AutoShape 86"/>
                <wp:cNvGraphicFramePr/>
                <a:graphic xmlns:a="http://schemas.openxmlformats.org/drawingml/2006/main">
                  <a:graphicData uri="http://schemas.microsoft.com/office/word/2010/wordprocessingShape">
                    <wps:wsp>
                      <wps:cNvSpPr/>
                      <wps:spPr bwMode="auto">
                        <a:xfrm>
                          <a:off x="0" y="0"/>
                          <a:ext cx="328295" cy="107315"/>
                        </a:xfrm>
                        <a:custGeom>
                          <a:avLst/>
                          <a:gdLst>
                            <a:gd name="T0" fmla="*/ 5080 w 517"/>
                            <a:gd name="T1" fmla="*/ 152400 h 169"/>
                            <a:gd name="T2" fmla="*/ 26670 w 517"/>
                            <a:gd name="T3" fmla="*/ 139700 h 169"/>
                            <a:gd name="T4" fmla="*/ 44450 w 517"/>
                            <a:gd name="T5" fmla="*/ 146685 h 169"/>
                            <a:gd name="T6" fmla="*/ 52705 w 517"/>
                            <a:gd name="T7" fmla="*/ 167005 h 169"/>
                            <a:gd name="T8" fmla="*/ 50800 w 517"/>
                            <a:gd name="T9" fmla="*/ 205105 h 169"/>
                            <a:gd name="T10" fmla="*/ 33020 w 517"/>
                            <a:gd name="T11" fmla="*/ 223520 h 169"/>
                            <a:gd name="T12" fmla="*/ 5080 w 517"/>
                            <a:gd name="T13" fmla="*/ 208915 h 169"/>
                            <a:gd name="T14" fmla="*/ 10795 w 517"/>
                            <a:gd name="T15" fmla="*/ 191135 h 169"/>
                            <a:gd name="T16" fmla="*/ 22225 w 517"/>
                            <a:gd name="T17" fmla="*/ 215265 h 169"/>
                            <a:gd name="T18" fmla="*/ 40640 w 517"/>
                            <a:gd name="T19" fmla="*/ 204470 h 169"/>
                            <a:gd name="T20" fmla="*/ 41910 w 517"/>
                            <a:gd name="T21" fmla="*/ 165100 h 169"/>
                            <a:gd name="T22" fmla="*/ 26670 w 517"/>
                            <a:gd name="T23" fmla="*/ 147955 h 169"/>
                            <a:gd name="T24" fmla="*/ 12065 w 517"/>
                            <a:gd name="T25" fmla="*/ 164465 h 169"/>
                            <a:gd name="T26" fmla="*/ 109855 w 517"/>
                            <a:gd name="T27" fmla="*/ 234950 h 169"/>
                            <a:gd name="T28" fmla="*/ 98425 w 517"/>
                            <a:gd name="T29" fmla="*/ 200025 h 169"/>
                            <a:gd name="T30" fmla="*/ 102235 w 517"/>
                            <a:gd name="T31" fmla="*/ 167005 h 169"/>
                            <a:gd name="T32" fmla="*/ 124460 w 517"/>
                            <a:gd name="T33" fmla="*/ 139065 h 169"/>
                            <a:gd name="T34" fmla="*/ 111760 w 517"/>
                            <a:gd name="T35" fmla="*/ 165735 h 169"/>
                            <a:gd name="T36" fmla="*/ 109220 w 517"/>
                            <a:gd name="T37" fmla="*/ 205740 h 169"/>
                            <a:gd name="T38" fmla="*/ 133350 w 517"/>
                            <a:gd name="T39" fmla="*/ 181610 h 169"/>
                            <a:gd name="T40" fmla="*/ 141605 w 517"/>
                            <a:gd name="T41" fmla="*/ 147955 h 169"/>
                            <a:gd name="T42" fmla="*/ 164465 w 517"/>
                            <a:gd name="T43" fmla="*/ 139700 h 169"/>
                            <a:gd name="T44" fmla="*/ 180340 w 517"/>
                            <a:gd name="T45" fmla="*/ 150495 h 169"/>
                            <a:gd name="T46" fmla="*/ 186690 w 517"/>
                            <a:gd name="T47" fmla="*/ 173355 h 169"/>
                            <a:gd name="T48" fmla="*/ 182245 w 517"/>
                            <a:gd name="T49" fmla="*/ 210820 h 169"/>
                            <a:gd name="T50" fmla="*/ 160020 w 517"/>
                            <a:gd name="T51" fmla="*/ 223520 h 169"/>
                            <a:gd name="T52" fmla="*/ 135890 w 517"/>
                            <a:gd name="T53" fmla="*/ 201295 h 169"/>
                            <a:gd name="T54" fmla="*/ 145415 w 517"/>
                            <a:gd name="T55" fmla="*/ 198755 h 169"/>
                            <a:gd name="T56" fmla="*/ 160020 w 517"/>
                            <a:gd name="T57" fmla="*/ 215265 h 169"/>
                            <a:gd name="T58" fmla="*/ 175260 w 517"/>
                            <a:gd name="T59" fmla="*/ 198755 h 169"/>
                            <a:gd name="T60" fmla="*/ 173990 w 517"/>
                            <a:gd name="T61" fmla="*/ 158750 h 169"/>
                            <a:gd name="T62" fmla="*/ 155575 w 517"/>
                            <a:gd name="T63" fmla="*/ 147955 h 169"/>
                            <a:gd name="T64" fmla="*/ 144145 w 517"/>
                            <a:gd name="T65" fmla="*/ 172720 h 169"/>
                            <a:gd name="T66" fmla="*/ 203200 w 517"/>
                            <a:gd name="T67" fmla="*/ 144780 h 169"/>
                            <a:gd name="T68" fmla="*/ 225425 w 517"/>
                            <a:gd name="T69" fmla="*/ 140970 h 169"/>
                            <a:gd name="T70" fmla="*/ 234315 w 517"/>
                            <a:gd name="T71" fmla="*/ 167640 h 169"/>
                            <a:gd name="T72" fmla="*/ 216535 w 517"/>
                            <a:gd name="T73" fmla="*/ 182245 h 169"/>
                            <a:gd name="T74" fmla="*/ 199390 w 517"/>
                            <a:gd name="T75" fmla="*/ 167640 h 169"/>
                            <a:gd name="T76" fmla="*/ 210185 w 517"/>
                            <a:gd name="T77" fmla="*/ 149225 h 169"/>
                            <a:gd name="T78" fmla="*/ 208915 w 517"/>
                            <a:gd name="T79" fmla="*/ 169545 h 169"/>
                            <a:gd name="T80" fmla="*/ 219075 w 517"/>
                            <a:gd name="T81" fmla="*/ 175260 h 169"/>
                            <a:gd name="T82" fmla="*/ 225425 w 517"/>
                            <a:gd name="T83" fmla="*/ 160020 h 169"/>
                            <a:gd name="T84" fmla="*/ 219075 w 517"/>
                            <a:gd name="T85" fmla="*/ 146050 h 169"/>
                            <a:gd name="T86" fmla="*/ 224790 w 517"/>
                            <a:gd name="T87" fmla="*/ 224790 h 169"/>
                            <a:gd name="T88" fmla="*/ 256540 w 517"/>
                            <a:gd name="T89" fmla="*/ 187960 h 169"/>
                            <a:gd name="T90" fmla="*/ 278765 w 517"/>
                            <a:gd name="T91" fmla="*/ 183515 h 169"/>
                            <a:gd name="T92" fmla="*/ 287020 w 517"/>
                            <a:gd name="T93" fmla="*/ 210185 h 169"/>
                            <a:gd name="T94" fmla="*/ 269240 w 517"/>
                            <a:gd name="T95" fmla="*/ 224790 h 169"/>
                            <a:gd name="T96" fmla="*/ 252095 w 517"/>
                            <a:gd name="T97" fmla="*/ 210185 h 169"/>
                            <a:gd name="T98" fmla="*/ 263525 w 517"/>
                            <a:gd name="T99" fmla="*/ 191770 h 169"/>
                            <a:gd name="T100" fmla="*/ 261620 w 517"/>
                            <a:gd name="T101" fmla="*/ 212725 h 169"/>
                            <a:gd name="T102" fmla="*/ 271780 w 517"/>
                            <a:gd name="T103" fmla="*/ 218440 h 169"/>
                            <a:gd name="T104" fmla="*/ 278130 w 517"/>
                            <a:gd name="T105" fmla="*/ 203200 h 169"/>
                            <a:gd name="T106" fmla="*/ 271780 w 517"/>
                            <a:gd name="T107" fmla="*/ 188595 h 169"/>
                            <a:gd name="T108" fmla="*/ 313690 w 517"/>
                            <a:gd name="T109" fmla="*/ 219075 h 169"/>
                            <a:gd name="T110" fmla="*/ 315595 w 517"/>
                            <a:gd name="T111" fmla="*/ 171450 h 169"/>
                            <a:gd name="T112" fmla="*/ 305435 w 517"/>
                            <a:gd name="T113" fmla="*/ 146685 h 169"/>
                            <a:gd name="T114" fmla="*/ 320675 w 517"/>
                            <a:gd name="T115" fmla="*/ 160020 h 169"/>
                            <a:gd name="T116" fmla="*/ 328295 w 517"/>
                            <a:gd name="T117" fmla="*/ 192405 h 169"/>
                            <a:gd name="T118" fmla="*/ 319405 w 517"/>
                            <a:gd name="T119" fmla="*/ 228600 h 16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17" h="169">
                              <a:moveTo>
                                <a:pt x="0" y="67"/>
                              </a:moveTo>
                              <a:lnTo>
                                <a:pt x="0" y="52"/>
                              </a:lnTo>
                              <a:lnTo>
                                <a:pt x="2" y="40"/>
                              </a:lnTo>
                              <a:lnTo>
                                <a:pt x="5" y="30"/>
                              </a:lnTo>
                              <a:lnTo>
                                <a:pt x="8" y="21"/>
                              </a:lnTo>
                              <a:lnTo>
                                <a:pt x="13" y="14"/>
                              </a:lnTo>
                              <a:lnTo>
                                <a:pt x="19" y="9"/>
                              </a:lnTo>
                              <a:lnTo>
                                <a:pt x="25" y="4"/>
                              </a:lnTo>
                              <a:lnTo>
                                <a:pt x="33" y="1"/>
                              </a:lnTo>
                              <a:lnTo>
                                <a:pt x="42" y="1"/>
                              </a:lnTo>
                              <a:lnTo>
                                <a:pt x="49" y="1"/>
                              </a:lnTo>
                              <a:lnTo>
                                <a:pt x="55" y="3"/>
                              </a:lnTo>
                              <a:lnTo>
                                <a:pt x="61" y="6"/>
                              </a:lnTo>
                              <a:lnTo>
                                <a:pt x="66" y="8"/>
                              </a:lnTo>
                              <a:lnTo>
                                <a:pt x="70" y="12"/>
                              </a:lnTo>
                              <a:lnTo>
                                <a:pt x="74" y="18"/>
                              </a:lnTo>
                              <a:lnTo>
                                <a:pt x="77" y="23"/>
                              </a:lnTo>
                              <a:lnTo>
                                <a:pt x="80" y="29"/>
                              </a:lnTo>
                              <a:lnTo>
                                <a:pt x="82" y="37"/>
                              </a:lnTo>
                              <a:lnTo>
                                <a:pt x="83" y="44"/>
                              </a:lnTo>
                              <a:lnTo>
                                <a:pt x="84" y="54"/>
                              </a:lnTo>
                              <a:lnTo>
                                <a:pt x="84" y="67"/>
                              </a:lnTo>
                              <a:lnTo>
                                <a:pt x="84" y="82"/>
                              </a:lnTo>
                              <a:lnTo>
                                <a:pt x="83" y="94"/>
                              </a:lnTo>
                              <a:lnTo>
                                <a:pt x="80" y="104"/>
                              </a:lnTo>
                              <a:lnTo>
                                <a:pt x="77" y="113"/>
                              </a:lnTo>
                              <a:lnTo>
                                <a:pt x="72" y="120"/>
                              </a:lnTo>
                              <a:lnTo>
                                <a:pt x="66" y="125"/>
                              </a:lnTo>
                              <a:lnTo>
                                <a:pt x="60" y="130"/>
                              </a:lnTo>
                              <a:lnTo>
                                <a:pt x="52" y="133"/>
                              </a:lnTo>
                              <a:lnTo>
                                <a:pt x="42" y="133"/>
                              </a:lnTo>
                              <a:lnTo>
                                <a:pt x="30" y="133"/>
                              </a:lnTo>
                              <a:lnTo>
                                <a:pt x="20" y="128"/>
                              </a:lnTo>
                              <a:lnTo>
                                <a:pt x="13" y="120"/>
                              </a:lnTo>
                              <a:lnTo>
                                <a:pt x="8" y="110"/>
                              </a:lnTo>
                              <a:lnTo>
                                <a:pt x="4" y="98"/>
                              </a:lnTo>
                              <a:lnTo>
                                <a:pt x="1" y="84"/>
                              </a:lnTo>
                              <a:lnTo>
                                <a:pt x="0" y="67"/>
                              </a:lnTo>
                              <a:close/>
                              <a:moveTo>
                                <a:pt x="17" y="67"/>
                              </a:moveTo>
                              <a:lnTo>
                                <a:pt x="17" y="82"/>
                              </a:lnTo>
                              <a:lnTo>
                                <a:pt x="19" y="94"/>
                              </a:lnTo>
                              <a:lnTo>
                                <a:pt x="21" y="103"/>
                              </a:lnTo>
                              <a:lnTo>
                                <a:pt x="24" y="109"/>
                              </a:lnTo>
                              <a:lnTo>
                                <a:pt x="29" y="116"/>
                              </a:lnTo>
                              <a:lnTo>
                                <a:pt x="35" y="120"/>
                              </a:lnTo>
                              <a:lnTo>
                                <a:pt x="42" y="120"/>
                              </a:lnTo>
                              <a:lnTo>
                                <a:pt x="50" y="120"/>
                              </a:lnTo>
                              <a:lnTo>
                                <a:pt x="56" y="116"/>
                              </a:lnTo>
                              <a:lnTo>
                                <a:pt x="61" y="109"/>
                              </a:lnTo>
                              <a:lnTo>
                                <a:pt x="64" y="103"/>
                              </a:lnTo>
                              <a:lnTo>
                                <a:pt x="66" y="94"/>
                              </a:lnTo>
                              <a:lnTo>
                                <a:pt x="68" y="82"/>
                              </a:lnTo>
                              <a:lnTo>
                                <a:pt x="68" y="67"/>
                              </a:lnTo>
                              <a:lnTo>
                                <a:pt x="68" y="53"/>
                              </a:lnTo>
                              <a:lnTo>
                                <a:pt x="66" y="41"/>
                              </a:lnTo>
                              <a:lnTo>
                                <a:pt x="64" y="31"/>
                              </a:lnTo>
                              <a:lnTo>
                                <a:pt x="61" y="25"/>
                              </a:lnTo>
                              <a:lnTo>
                                <a:pt x="56" y="18"/>
                              </a:lnTo>
                              <a:lnTo>
                                <a:pt x="50" y="14"/>
                              </a:lnTo>
                              <a:lnTo>
                                <a:pt x="42" y="14"/>
                              </a:lnTo>
                              <a:lnTo>
                                <a:pt x="35" y="14"/>
                              </a:lnTo>
                              <a:lnTo>
                                <a:pt x="29" y="17"/>
                              </a:lnTo>
                              <a:lnTo>
                                <a:pt x="25" y="24"/>
                              </a:lnTo>
                              <a:lnTo>
                                <a:pt x="21" y="31"/>
                              </a:lnTo>
                              <a:lnTo>
                                <a:pt x="19" y="40"/>
                              </a:lnTo>
                              <a:lnTo>
                                <a:pt x="17" y="53"/>
                              </a:lnTo>
                              <a:lnTo>
                                <a:pt x="17" y="67"/>
                              </a:lnTo>
                              <a:close/>
                              <a:moveTo>
                                <a:pt x="185" y="169"/>
                              </a:moveTo>
                              <a:lnTo>
                                <a:pt x="179" y="160"/>
                              </a:lnTo>
                              <a:lnTo>
                                <a:pt x="173" y="151"/>
                              </a:lnTo>
                              <a:lnTo>
                                <a:pt x="168" y="141"/>
                              </a:lnTo>
                              <a:lnTo>
                                <a:pt x="163" y="130"/>
                              </a:lnTo>
                              <a:lnTo>
                                <a:pt x="159" y="119"/>
                              </a:lnTo>
                              <a:lnTo>
                                <a:pt x="156" y="107"/>
                              </a:lnTo>
                              <a:lnTo>
                                <a:pt x="155" y="96"/>
                              </a:lnTo>
                              <a:lnTo>
                                <a:pt x="154" y="84"/>
                              </a:lnTo>
                              <a:lnTo>
                                <a:pt x="154" y="74"/>
                              </a:lnTo>
                              <a:lnTo>
                                <a:pt x="156" y="64"/>
                              </a:lnTo>
                              <a:lnTo>
                                <a:pt x="158" y="54"/>
                              </a:lnTo>
                              <a:lnTo>
                                <a:pt x="161" y="44"/>
                              </a:lnTo>
                              <a:lnTo>
                                <a:pt x="165" y="33"/>
                              </a:lnTo>
                              <a:lnTo>
                                <a:pt x="171" y="22"/>
                              </a:lnTo>
                              <a:lnTo>
                                <a:pt x="177" y="11"/>
                              </a:lnTo>
                              <a:lnTo>
                                <a:pt x="185" y="0"/>
                              </a:lnTo>
                              <a:lnTo>
                                <a:pt x="196" y="0"/>
                              </a:lnTo>
                              <a:lnTo>
                                <a:pt x="189" y="12"/>
                              </a:lnTo>
                              <a:lnTo>
                                <a:pt x="185" y="21"/>
                              </a:lnTo>
                              <a:lnTo>
                                <a:pt x="182" y="26"/>
                              </a:lnTo>
                              <a:lnTo>
                                <a:pt x="179" y="34"/>
                              </a:lnTo>
                              <a:lnTo>
                                <a:pt x="176" y="42"/>
                              </a:lnTo>
                              <a:lnTo>
                                <a:pt x="174" y="51"/>
                              </a:lnTo>
                              <a:lnTo>
                                <a:pt x="171" y="62"/>
                              </a:lnTo>
                              <a:lnTo>
                                <a:pt x="170" y="73"/>
                              </a:lnTo>
                              <a:lnTo>
                                <a:pt x="170" y="84"/>
                              </a:lnTo>
                              <a:lnTo>
                                <a:pt x="172" y="105"/>
                              </a:lnTo>
                              <a:lnTo>
                                <a:pt x="177" y="126"/>
                              </a:lnTo>
                              <a:lnTo>
                                <a:pt x="185" y="147"/>
                              </a:lnTo>
                              <a:lnTo>
                                <a:pt x="196" y="169"/>
                              </a:lnTo>
                              <a:lnTo>
                                <a:pt x="185" y="169"/>
                              </a:lnTo>
                              <a:close/>
                              <a:moveTo>
                                <a:pt x="210" y="67"/>
                              </a:moveTo>
                              <a:lnTo>
                                <a:pt x="210" y="52"/>
                              </a:lnTo>
                              <a:lnTo>
                                <a:pt x="212" y="40"/>
                              </a:lnTo>
                              <a:lnTo>
                                <a:pt x="215" y="30"/>
                              </a:lnTo>
                              <a:lnTo>
                                <a:pt x="218" y="21"/>
                              </a:lnTo>
                              <a:lnTo>
                                <a:pt x="223" y="14"/>
                              </a:lnTo>
                              <a:lnTo>
                                <a:pt x="229" y="9"/>
                              </a:lnTo>
                              <a:lnTo>
                                <a:pt x="235" y="4"/>
                              </a:lnTo>
                              <a:lnTo>
                                <a:pt x="243" y="1"/>
                              </a:lnTo>
                              <a:lnTo>
                                <a:pt x="252" y="1"/>
                              </a:lnTo>
                              <a:lnTo>
                                <a:pt x="259" y="1"/>
                              </a:lnTo>
                              <a:lnTo>
                                <a:pt x="265" y="3"/>
                              </a:lnTo>
                              <a:lnTo>
                                <a:pt x="271" y="6"/>
                              </a:lnTo>
                              <a:lnTo>
                                <a:pt x="276" y="8"/>
                              </a:lnTo>
                              <a:lnTo>
                                <a:pt x="280" y="12"/>
                              </a:lnTo>
                              <a:lnTo>
                                <a:pt x="284" y="18"/>
                              </a:lnTo>
                              <a:lnTo>
                                <a:pt x="287" y="23"/>
                              </a:lnTo>
                              <a:lnTo>
                                <a:pt x="290" y="29"/>
                              </a:lnTo>
                              <a:lnTo>
                                <a:pt x="292" y="37"/>
                              </a:lnTo>
                              <a:lnTo>
                                <a:pt x="294" y="44"/>
                              </a:lnTo>
                              <a:lnTo>
                                <a:pt x="294" y="54"/>
                              </a:lnTo>
                              <a:lnTo>
                                <a:pt x="294" y="67"/>
                              </a:lnTo>
                              <a:lnTo>
                                <a:pt x="294" y="82"/>
                              </a:lnTo>
                              <a:lnTo>
                                <a:pt x="293" y="94"/>
                              </a:lnTo>
                              <a:lnTo>
                                <a:pt x="290" y="104"/>
                              </a:lnTo>
                              <a:lnTo>
                                <a:pt x="287" y="113"/>
                              </a:lnTo>
                              <a:lnTo>
                                <a:pt x="282" y="120"/>
                              </a:lnTo>
                              <a:lnTo>
                                <a:pt x="276" y="125"/>
                              </a:lnTo>
                              <a:lnTo>
                                <a:pt x="270" y="130"/>
                              </a:lnTo>
                              <a:lnTo>
                                <a:pt x="262" y="133"/>
                              </a:lnTo>
                              <a:lnTo>
                                <a:pt x="252" y="133"/>
                              </a:lnTo>
                              <a:lnTo>
                                <a:pt x="240" y="133"/>
                              </a:lnTo>
                              <a:lnTo>
                                <a:pt x="230" y="128"/>
                              </a:lnTo>
                              <a:lnTo>
                                <a:pt x="223" y="120"/>
                              </a:lnTo>
                              <a:lnTo>
                                <a:pt x="218" y="110"/>
                              </a:lnTo>
                              <a:lnTo>
                                <a:pt x="214" y="98"/>
                              </a:lnTo>
                              <a:lnTo>
                                <a:pt x="211" y="84"/>
                              </a:lnTo>
                              <a:lnTo>
                                <a:pt x="210" y="67"/>
                              </a:lnTo>
                              <a:close/>
                              <a:moveTo>
                                <a:pt x="227" y="67"/>
                              </a:moveTo>
                              <a:lnTo>
                                <a:pt x="227" y="82"/>
                              </a:lnTo>
                              <a:lnTo>
                                <a:pt x="229" y="94"/>
                              </a:lnTo>
                              <a:lnTo>
                                <a:pt x="231" y="103"/>
                              </a:lnTo>
                              <a:lnTo>
                                <a:pt x="234" y="109"/>
                              </a:lnTo>
                              <a:lnTo>
                                <a:pt x="239" y="116"/>
                              </a:lnTo>
                              <a:lnTo>
                                <a:pt x="245" y="120"/>
                              </a:lnTo>
                              <a:lnTo>
                                <a:pt x="252" y="120"/>
                              </a:lnTo>
                              <a:lnTo>
                                <a:pt x="260" y="120"/>
                              </a:lnTo>
                              <a:lnTo>
                                <a:pt x="266" y="116"/>
                              </a:lnTo>
                              <a:lnTo>
                                <a:pt x="271" y="109"/>
                              </a:lnTo>
                              <a:lnTo>
                                <a:pt x="274" y="103"/>
                              </a:lnTo>
                              <a:lnTo>
                                <a:pt x="276" y="94"/>
                              </a:lnTo>
                              <a:lnTo>
                                <a:pt x="278" y="82"/>
                              </a:lnTo>
                              <a:lnTo>
                                <a:pt x="278" y="67"/>
                              </a:lnTo>
                              <a:lnTo>
                                <a:pt x="278" y="53"/>
                              </a:lnTo>
                              <a:lnTo>
                                <a:pt x="276" y="41"/>
                              </a:lnTo>
                              <a:lnTo>
                                <a:pt x="274" y="31"/>
                              </a:lnTo>
                              <a:lnTo>
                                <a:pt x="271" y="25"/>
                              </a:lnTo>
                              <a:lnTo>
                                <a:pt x="266" y="18"/>
                              </a:lnTo>
                              <a:lnTo>
                                <a:pt x="260" y="14"/>
                              </a:lnTo>
                              <a:lnTo>
                                <a:pt x="252" y="14"/>
                              </a:lnTo>
                              <a:lnTo>
                                <a:pt x="245" y="14"/>
                              </a:lnTo>
                              <a:lnTo>
                                <a:pt x="239" y="17"/>
                              </a:lnTo>
                              <a:lnTo>
                                <a:pt x="235" y="24"/>
                              </a:lnTo>
                              <a:lnTo>
                                <a:pt x="231" y="31"/>
                              </a:lnTo>
                              <a:lnTo>
                                <a:pt x="229" y="40"/>
                              </a:lnTo>
                              <a:lnTo>
                                <a:pt x="227" y="53"/>
                              </a:lnTo>
                              <a:lnTo>
                                <a:pt x="227" y="67"/>
                              </a:lnTo>
                              <a:close/>
                              <a:moveTo>
                                <a:pt x="314" y="33"/>
                              </a:moveTo>
                              <a:lnTo>
                                <a:pt x="314" y="24"/>
                              </a:lnTo>
                              <a:lnTo>
                                <a:pt x="316" y="16"/>
                              </a:lnTo>
                              <a:lnTo>
                                <a:pt x="320" y="9"/>
                              </a:lnTo>
                              <a:lnTo>
                                <a:pt x="325" y="3"/>
                              </a:lnTo>
                              <a:lnTo>
                                <a:pt x="332" y="0"/>
                              </a:lnTo>
                              <a:lnTo>
                                <a:pt x="341" y="0"/>
                              </a:lnTo>
                              <a:lnTo>
                                <a:pt x="349" y="0"/>
                              </a:lnTo>
                              <a:lnTo>
                                <a:pt x="355" y="3"/>
                              </a:lnTo>
                              <a:lnTo>
                                <a:pt x="361" y="8"/>
                              </a:lnTo>
                              <a:lnTo>
                                <a:pt x="366" y="14"/>
                              </a:lnTo>
                              <a:lnTo>
                                <a:pt x="369" y="23"/>
                              </a:lnTo>
                              <a:lnTo>
                                <a:pt x="369" y="34"/>
                              </a:lnTo>
                              <a:lnTo>
                                <a:pt x="369" y="45"/>
                              </a:lnTo>
                              <a:lnTo>
                                <a:pt x="366" y="53"/>
                              </a:lnTo>
                              <a:lnTo>
                                <a:pt x="361" y="59"/>
                              </a:lnTo>
                              <a:lnTo>
                                <a:pt x="355" y="65"/>
                              </a:lnTo>
                              <a:lnTo>
                                <a:pt x="349" y="68"/>
                              </a:lnTo>
                              <a:lnTo>
                                <a:pt x="341" y="68"/>
                              </a:lnTo>
                              <a:lnTo>
                                <a:pt x="333" y="68"/>
                              </a:lnTo>
                              <a:lnTo>
                                <a:pt x="327" y="65"/>
                              </a:lnTo>
                              <a:lnTo>
                                <a:pt x="321" y="59"/>
                              </a:lnTo>
                              <a:lnTo>
                                <a:pt x="316" y="53"/>
                              </a:lnTo>
                              <a:lnTo>
                                <a:pt x="314" y="45"/>
                              </a:lnTo>
                              <a:lnTo>
                                <a:pt x="314" y="33"/>
                              </a:lnTo>
                              <a:close/>
                              <a:moveTo>
                                <a:pt x="341" y="11"/>
                              </a:moveTo>
                              <a:lnTo>
                                <a:pt x="337" y="11"/>
                              </a:lnTo>
                              <a:lnTo>
                                <a:pt x="334" y="12"/>
                              </a:lnTo>
                              <a:lnTo>
                                <a:pt x="331" y="16"/>
                              </a:lnTo>
                              <a:lnTo>
                                <a:pt x="329" y="19"/>
                              </a:lnTo>
                              <a:lnTo>
                                <a:pt x="327" y="25"/>
                              </a:lnTo>
                              <a:lnTo>
                                <a:pt x="327" y="34"/>
                              </a:lnTo>
                              <a:lnTo>
                                <a:pt x="327" y="43"/>
                              </a:lnTo>
                              <a:lnTo>
                                <a:pt x="329" y="48"/>
                              </a:lnTo>
                              <a:lnTo>
                                <a:pt x="331" y="52"/>
                              </a:lnTo>
                              <a:lnTo>
                                <a:pt x="334" y="55"/>
                              </a:lnTo>
                              <a:lnTo>
                                <a:pt x="337" y="57"/>
                              </a:lnTo>
                              <a:lnTo>
                                <a:pt x="341" y="57"/>
                              </a:lnTo>
                              <a:lnTo>
                                <a:pt x="345" y="57"/>
                              </a:lnTo>
                              <a:lnTo>
                                <a:pt x="348" y="55"/>
                              </a:lnTo>
                              <a:lnTo>
                                <a:pt x="351" y="52"/>
                              </a:lnTo>
                              <a:lnTo>
                                <a:pt x="354" y="48"/>
                              </a:lnTo>
                              <a:lnTo>
                                <a:pt x="355" y="42"/>
                              </a:lnTo>
                              <a:lnTo>
                                <a:pt x="355" y="33"/>
                              </a:lnTo>
                              <a:lnTo>
                                <a:pt x="355" y="25"/>
                              </a:lnTo>
                              <a:lnTo>
                                <a:pt x="354" y="19"/>
                              </a:lnTo>
                              <a:lnTo>
                                <a:pt x="351" y="16"/>
                              </a:lnTo>
                              <a:lnTo>
                                <a:pt x="348" y="12"/>
                              </a:lnTo>
                              <a:lnTo>
                                <a:pt x="345" y="11"/>
                              </a:lnTo>
                              <a:lnTo>
                                <a:pt x="341" y="11"/>
                              </a:lnTo>
                              <a:close/>
                              <a:moveTo>
                                <a:pt x="341" y="135"/>
                              </a:moveTo>
                              <a:lnTo>
                                <a:pt x="412" y="0"/>
                              </a:lnTo>
                              <a:lnTo>
                                <a:pt x="424" y="0"/>
                              </a:lnTo>
                              <a:lnTo>
                                <a:pt x="354" y="135"/>
                              </a:lnTo>
                              <a:lnTo>
                                <a:pt x="341" y="135"/>
                              </a:lnTo>
                              <a:close/>
                              <a:moveTo>
                                <a:pt x="397" y="100"/>
                              </a:moveTo>
                              <a:lnTo>
                                <a:pt x="397" y="91"/>
                              </a:lnTo>
                              <a:lnTo>
                                <a:pt x="399" y="83"/>
                              </a:lnTo>
                              <a:lnTo>
                                <a:pt x="404" y="77"/>
                              </a:lnTo>
                              <a:lnTo>
                                <a:pt x="408" y="71"/>
                              </a:lnTo>
                              <a:lnTo>
                                <a:pt x="415" y="67"/>
                              </a:lnTo>
                              <a:lnTo>
                                <a:pt x="424" y="67"/>
                              </a:lnTo>
                              <a:lnTo>
                                <a:pt x="432" y="67"/>
                              </a:lnTo>
                              <a:lnTo>
                                <a:pt x="439" y="70"/>
                              </a:lnTo>
                              <a:lnTo>
                                <a:pt x="444" y="76"/>
                              </a:lnTo>
                              <a:lnTo>
                                <a:pt x="449" y="82"/>
                              </a:lnTo>
                              <a:lnTo>
                                <a:pt x="452" y="90"/>
                              </a:lnTo>
                              <a:lnTo>
                                <a:pt x="452" y="101"/>
                              </a:lnTo>
                              <a:lnTo>
                                <a:pt x="452" y="112"/>
                              </a:lnTo>
                              <a:lnTo>
                                <a:pt x="449" y="121"/>
                              </a:lnTo>
                              <a:lnTo>
                                <a:pt x="444" y="127"/>
                              </a:lnTo>
                              <a:lnTo>
                                <a:pt x="439" y="133"/>
                              </a:lnTo>
                              <a:lnTo>
                                <a:pt x="432" y="135"/>
                              </a:lnTo>
                              <a:lnTo>
                                <a:pt x="424" y="135"/>
                              </a:lnTo>
                              <a:lnTo>
                                <a:pt x="416" y="135"/>
                              </a:lnTo>
                              <a:lnTo>
                                <a:pt x="410" y="133"/>
                              </a:lnTo>
                              <a:lnTo>
                                <a:pt x="405" y="127"/>
                              </a:lnTo>
                              <a:lnTo>
                                <a:pt x="399" y="121"/>
                              </a:lnTo>
                              <a:lnTo>
                                <a:pt x="397" y="112"/>
                              </a:lnTo>
                              <a:lnTo>
                                <a:pt x="397" y="100"/>
                              </a:lnTo>
                              <a:close/>
                              <a:moveTo>
                                <a:pt x="424" y="78"/>
                              </a:moveTo>
                              <a:lnTo>
                                <a:pt x="420" y="78"/>
                              </a:lnTo>
                              <a:lnTo>
                                <a:pt x="417" y="80"/>
                              </a:lnTo>
                              <a:lnTo>
                                <a:pt x="415" y="83"/>
                              </a:lnTo>
                              <a:lnTo>
                                <a:pt x="412" y="87"/>
                              </a:lnTo>
                              <a:lnTo>
                                <a:pt x="411" y="93"/>
                              </a:lnTo>
                              <a:lnTo>
                                <a:pt x="411" y="102"/>
                              </a:lnTo>
                              <a:lnTo>
                                <a:pt x="411" y="110"/>
                              </a:lnTo>
                              <a:lnTo>
                                <a:pt x="412" y="116"/>
                              </a:lnTo>
                              <a:lnTo>
                                <a:pt x="415" y="119"/>
                              </a:lnTo>
                              <a:lnTo>
                                <a:pt x="417" y="123"/>
                              </a:lnTo>
                              <a:lnTo>
                                <a:pt x="421" y="125"/>
                              </a:lnTo>
                              <a:lnTo>
                                <a:pt x="424" y="125"/>
                              </a:lnTo>
                              <a:lnTo>
                                <a:pt x="428" y="125"/>
                              </a:lnTo>
                              <a:lnTo>
                                <a:pt x="432" y="123"/>
                              </a:lnTo>
                              <a:lnTo>
                                <a:pt x="434" y="119"/>
                              </a:lnTo>
                              <a:lnTo>
                                <a:pt x="437" y="116"/>
                              </a:lnTo>
                              <a:lnTo>
                                <a:pt x="438" y="110"/>
                              </a:lnTo>
                              <a:lnTo>
                                <a:pt x="438" y="101"/>
                              </a:lnTo>
                              <a:lnTo>
                                <a:pt x="438" y="92"/>
                              </a:lnTo>
                              <a:lnTo>
                                <a:pt x="437" y="87"/>
                              </a:lnTo>
                              <a:lnTo>
                                <a:pt x="434" y="83"/>
                              </a:lnTo>
                              <a:lnTo>
                                <a:pt x="432" y="80"/>
                              </a:lnTo>
                              <a:lnTo>
                                <a:pt x="428" y="78"/>
                              </a:lnTo>
                              <a:lnTo>
                                <a:pt x="424" y="78"/>
                              </a:lnTo>
                              <a:close/>
                              <a:moveTo>
                                <a:pt x="485" y="169"/>
                              </a:moveTo>
                              <a:lnTo>
                                <a:pt x="474" y="169"/>
                              </a:lnTo>
                              <a:lnTo>
                                <a:pt x="486" y="147"/>
                              </a:lnTo>
                              <a:lnTo>
                                <a:pt x="494" y="126"/>
                              </a:lnTo>
                              <a:lnTo>
                                <a:pt x="499" y="105"/>
                              </a:lnTo>
                              <a:lnTo>
                                <a:pt x="500" y="84"/>
                              </a:lnTo>
                              <a:lnTo>
                                <a:pt x="500" y="73"/>
                              </a:lnTo>
                              <a:lnTo>
                                <a:pt x="499" y="62"/>
                              </a:lnTo>
                              <a:lnTo>
                                <a:pt x="497" y="51"/>
                              </a:lnTo>
                              <a:lnTo>
                                <a:pt x="495" y="43"/>
                              </a:lnTo>
                              <a:lnTo>
                                <a:pt x="492" y="34"/>
                              </a:lnTo>
                              <a:lnTo>
                                <a:pt x="488" y="26"/>
                              </a:lnTo>
                              <a:lnTo>
                                <a:pt x="486" y="21"/>
                              </a:lnTo>
                              <a:lnTo>
                                <a:pt x="481" y="12"/>
                              </a:lnTo>
                              <a:lnTo>
                                <a:pt x="474" y="0"/>
                              </a:lnTo>
                              <a:lnTo>
                                <a:pt x="485" y="0"/>
                              </a:lnTo>
                              <a:lnTo>
                                <a:pt x="493" y="11"/>
                              </a:lnTo>
                              <a:lnTo>
                                <a:pt x="500" y="22"/>
                              </a:lnTo>
                              <a:lnTo>
                                <a:pt x="505" y="33"/>
                              </a:lnTo>
                              <a:lnTo>
                                <a:pt x="510" y="44"/>
                              </a:lnTo>
                              <a:lnTo>
                                <a:pt x="513" y="54"/>
                              </a:lnTo>
                              <a:lnTo>
                                <a:pt x="515" y="64"/>
                              </a:lnTo>
                              <a:lnTo>
                                <a:pt x="516" y="74"/>
                              </a:lnTo>
                              <a:lnTo>
                                <a:pt x="517" y="84"/>
                              </a:lnTo>
                              <a:lnTo>
                                <a:pt x="516" y="96"/>
                              </a:lnTo>
                              <a:lnTo>
                                <a:pt x="514" y="107"/>
                              </a:lnTo>
                              <a:lnTo>
                                <a:pt x="511" y="119"/>
                              </a:lnTo>
                              <a:lnTo>
                                <a:pt x="507" y="130"/>
                              </a:lnTo>
                              <a:lnTo>
                                <a:pt x="503" y="141"/>
                              </a:lnTo>
                              <a:lnTo>
                                <a:pt x="497" y="151"/>
                              </a:lnTo>
                              <a:lnTo>
                                <a:pt x="492" y="160"/>
                              </a:lnTo>
                              <a:lnTo>
                                <a:pt x="485" y="169"/>
                              </a:lnTo>
                              <a:close/>
                            </a:path>
                          </a:pathLst>
                        </a:custGeom>
                        <a:noFill/>
                        <a:ln w="28575">
                          <a:solidFill>
                            <a:srgbClr val="FFFFFF"/>
                          </a:solidFill>
                          <a:round/>
                        </a:ln>
                        <a:effectLst/>
                      </wps:spPr>
                      <wps:bodyPr rot="0" vert="horz" wrap="square" lIns="91440" tIns="45720" rIns="91440" bIns="45720" anchor="t" anchorCtr="0" upright="1">
                        <a:noAutofit/>
                      </wps:bodyPr>
                    </wps:wsp>
                  </a:graphicData>
                </a:graphic>
              </wp:anchor>
            </w:drawing>
          </mc:Choice>
          <mc:Fallback>
            <w:pict>
              <v:shape id="AutoShape 86" o:spid="_x0000_s1026" o:spt="100" style="position:absolute;left:0pt;margin-left:131.1pt;margin-top:10.95pt;height:8.45pt;width:25.85pt;mso-position-horizontal-relative:page;mso-wrap-distance-bottom:0pt;mso-wrap-distance-top:0pt;z-index:-251582464;mso-width-relative:page;mso-height-relative:page;" filled="f" stroked="t" coordsize="517,169" o:gfxdata="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" path="m0,67l0,52,2,40,5,30,8,21,13,14,19,9,25,4,33,1,42,1,49,1,55,3,61,6,66,8,70,12,74,18,77,23,80,29,82,37,83,44,84,54,84,67,84,82,83,94,80,104,77,113,72,120,66,125,60,130,52,133,42,133,30,133,20,128,13,120,8,110,4,98,1,84,0,67xm17,67l17,82,19,94,21,103,24,109,29,116,35,120,42,120,50,120,56,116,61,109,64,103,66,94,68,82,68,67,68,53,66,41,64,31,61,25,56,18,50,14,42,14,35,14,29,17,25,24,21,31,19,40,17,53,17,67xm185,169l179,160,173,151,168,141,163,130,159,119,156,107,155,96,154,84,154,74,156,64,158,54,161,44,165,33,171,22,177,11,185,0,196,0,189,12,185,21,182,26,179,34,176,42,174,51,171,62,170,73,170,84,172,105,177,126,185,147,196,169,185,169xm210,67l210,52,212,40,215,30,218,21,223,14,229,9,235,4,243,1,252,1,259,1,265,3,271,6,276,8,280,12,284,18,287,23,290,29,292,37,294,44,294,54,294,67,294,82,293,94,290,104,287,113,282,120,276,125,270,130,262,133,252,133,240,133,230,128,223,120,218,110,214,98,211,84,210,67xm227,67l227,82,229,94,231,103,234,109,239,116,245,120,252,120,260,120,266,116,271,109,274,103,276,94,278,82,278,67,278,53,276,41,274,31,271,25,266,18,260,14,252,14,245,14,239,17,235,24,231,31,229,40,227,53,227,67xm314,33l314,24,316,16,320,9,325,3,332,0,341,0,349,0,355,3,361,8,366,14,369,23,369,34,369,45,366,53,361,59,355,65,349,68,341,68,333,68,327,65,321,59,316,53,314,45,314,33xm341,11l337,11,334,12,331,16,329,19,327,25,327,34,327,43,329,48,331,52,334,55,337,57,341,57,345,57,348,55,351,52,354,48,355,42,355,33,355,25,354,19,351,16,348,12,345,11,341,11xm341,135l412,0,424,0,354,135,341,135xm397,100l397,91,399,83,404,77,408,71,415,67,424,67,432,67,439,70,444,76,449,82,452,90,452,101,452,112,449,121,444,127,439,133,432,135,424,135,416,135,410,133,405,127,399,121,397,112,397,100xm424,78l420,78,417,80,415,83,412,87,411,93,411,102,411,110,412,116,415,119,417,123,421,125,424,125,428,125,432,123,434,119,437,116,438,110,438,101,438,92,437,87,434,83,432,80,428,78,424,78xm485,169l474,169,486,147,494,126,499,105,500,84,500,73,499,62,497,51,495,43,492,34,488,26,486,21,481,12,474,0,485,0,493,11,500,22,505,33,510,44,513,54,515,64,516,74,517,84,516,96,514,107,511,119,507,130,503,141,497,151,492,160,485,169xe">
                <v:path o:connectlocs="3225800,96774000;16935450,88709500;28225750,93144975;33467675,106048175;32258000,130241675;20967700,141935200;3225800,132661025;6854825,121370725;14112875,136693275;25806400,129838450;26612850,104838500;16935450,93951425;7661275,104435275;69757925,149193250;62499875,127015875;64919225,106048175;79032100,88306275;70967600,105241725;69354700,130644900;84677250,115322350;89919175,93951425;104435275,88709500;114515900,95564325;118548150,110080425;115725575,133870700;101612700,141935200;86290150,127822325;92338525,126209425;101612700,136693275;111290100,126209425;110483650,100806250;98790125,93951425;91532075,109677200;129032000,91935300;143144875,89515950;148790025,106451400;137499725,115725575;126612650,106451400;133467475,94757875;132661025,107661075;139112625,111290100;143144875,101612700;139112625,92741750;142741650,142741650;162902900,119354600;177015775,116532025;182257700,133467475;170967400,142741650;160080325,133467475;167338375,121773950;166128700,135080375;172580300,138709400;176612550,129032000;172580300,119757825;199193150,139112625;200402825,108870750;193951225,93144975;203628625,101612700;208467325,122177175;202822175,145161000" o:connectangles="0,0,0,0,0,0,0,0,0,0,0,0,0,0,0,0,0,0,0,0,0,0,0,0,0,0,0,0,0,0,0,0,0,0,0,0,0,0,0,0,0,0,0,0,0,0,0,0,0,0,0,0,0,0,0,0,0,0,0,0"/>
                <v:fill on="f" focussize="0,0"/>
                <v:stroke weight="2.25pt" color="#FFFFFF" joinstyle="round"/>
                <v:imagedata o:title=""/>
                <o:lock v:ext="edit" aspectratio="f"/>
                <w10:wrap type="topAndBottom"/>
              </v:shape>
            </w:pict>
          </mc:Fallback>
        </mc:AlternateContent>
      </w:r>
      <w:r>
        <mc:AlternateContent>
          <mc:Choice Requires="wps">
            <w:drawing>
              <wp:anchor distT="0" distB="0" distL="0" distR="0" simplePos="0" relativeHeight="251735040" behindDoc="1" locked="0" layoutInCell="1" allowOverlap="1">
                <wp:simplePos x="0" y="0"/>
                <wp:positionH relativeFrom="page">
                  <wp:posOffset>2693670</wp:posOffset>
                </wp:positionH>
                <wp:positionV relativeFrom="paragraph">
                  <wp:posOffset>139065</wp:posOffset>
                </wp:positionV>
                <wp:extent cx="328295" cy="107315"/>
                <wp:effectExtent l="17145" t="14605" r="35560" b="20955"/>
                <wp:wrapTopAndBottom/>
                <wp:docPr id="893605445" name="AutoShape 85"/>
                <wp:cNvGraphicFramePr/>
                <a:graphic xmlns:a="http://schemas.openxmlformats.org/drawingml/2006/main">
                  <a:graphicData uri="http://schemas.microsoft.com/office/word/2010/wordprocessingShape">
                    <wps:wsp>
                      <wps:cNvSpPr/>
                      <wps:spPr bwMode="auto">
                        <a:xfrm>
                          <a:off x="0" y="0"/>
                          <a:ext cx="328295" cy="107315"/>
                        </a:xfrm>
                        <a:custGeom>
                          <a:avLst/>
                          <a:gdLst>
                            <a:gd name="T0" fmla="*/ 5080 w 517"/>
                            <a:gd name="T1" fmla="*/ 152400 h 169"/>
                            <a:gd name="T2" fmla="*/ 26670 w 517"/>
                            <a:gd name="T3" fmla="*/ 139700 h 169"/>
                            <a:gd name="T4" fmla="*/ 44450 w 517"/>
                            <a:gd name="T5" fmla="*/ 146685 h 169"/>
                            <a:gd name="T6" fmla="*/ 52705 w 517"/>
                            <a:gd name="T7" fmla="*/ 167005 h 169"/>
                            <a:gd name="T8" fmla="*/ 50800 w 517"/>
                            <a:gd name="T9" fmla="*/ 205105 h 169"/>
                            <a:gd name="T10" fmla="*/ 33020 w 517"/>
                            <a:gd name="T11" fmla="*/ 223520 h 169"/>
                            <a:gd name="T12" fmla="*/ 5080 w 517"/>
                            <a:gd name="T13" fmla="*/ 208915 h 169"/>
                            <a:gd name="T14" fmla="*/ 10795 w 517"/>
                            <a:gd name="T15" fmla="*/ 191135 h 169"/>
                            <a:gd name="T16" fmla="*/ 22225 w 517"/>
                            <a:gd name="T17" fmla="*/ 215265 h 169"/>
                            <a:gd name="T18" fmla="*/ 40640 w 517"/>
                            <a:gd name="T19" fmla="*/ 204470 h 169"/>
                            <a:gd name="T20" fmla="*/ 41910 w 517"/>
                            <a:gd name="T21" fmla="*/ 165100 h 169"/>
                            <a:gd name="T22" fmla="*/ 26670 w 517"/>
                            <a:gd name="T23" fmla="*/ 147955 h 169"/>
                            <a:gd name="T24" fmla="*/ 12065 w 517"/>
                            <a:gd name="T25" fmla="*/ 164465 h 169"/>
                            <a:gd name="T26" fmla="*/ 109855 w 517"/>
                            <a:gd name="T27" fmla="*/ 234950 h 169"/>
                            <a:gd name="T28" fmla="*/ 98425 w 517"/>
                            <a:gd name="T29" fmla="*/ 200025 h 169"/>
                            <a:gd name="T30" fmla="*/ 102235 w 517"/>
                            <a:gd name="T31" fmla="*/ 167005 h 169"/>
                            <a:gd name="T32" fmla="*/ 124460 w 517"/>
                            <a:gd name="T33" fmla="*/ 139065 h 169"/>
                            <a:gd name="T34" fmla="*/ 111760 w 517"/>
                            <a:gd name="T35" fmla="*/ 165735 h 169"/>
                            <a:gd name="T36" fmla="*/ 109220 w 517"/>
                            <a:gd name="T37" fmla="*/ 205740 h 169"/>
                            <a:gd name="T38" fmla="*/ 133350 w 517"/>
                            <a:gd name="T39" fmla="*/ 181610 h 169"/>
                            <a:gd name="T40" fmla="*/ 141605 w 517"/>
                            <a:gd name="T41" fmla="*/ 147955 h 169"/>
                            <a:gd name="T42" fmla="*/ 164465 w 517"/>
                            <a:gd name="T43" fmla="*/ 139700 h 169"/>
                            <a:gd name="T44" fmla="*/ 180340 w 517"/>
                            <a:gd name="T45" fmla="*/ 150495 h 169"/>
                            <a:gd name="T46" fmla="*/ 186690 w 517"/>
                            <a:gd name="T47" fmla="*/ 173355 h 169"/>
                            <a:gd name="T48" fmla="*/ 182245 w 517"/>
                            <a:gd name="T49" fmla="*/ 210820 h 169"/>
                            <a:gd name="T50" fmla="*/ 160020 w 517"/>
                            <a:gd name="T51" fmla="*/ 223520 h 169"/>
                            <a:gd name="T52" fmla="*/ 135890 w 517"/>
                            <a:gd name="T53" fmla="*/ 201295 h 169"/>
                            <a:gd name="T54" fmla="*/ 145415 w 517"/>
                            <a:gd name="T55" fmla="*/ 198755 h 169"/>
                            <a:gd name="T56" fmla="*/ 160020 w 517"/>
                            <a:gd name="T57" fmla="*/ 215265 h 169"/>
                            <a:gd name="T58" fmla="*/ 175260 w 517"/>
                            <a:gd name="T59" fmla="*/ 198755 h 169"/>
                            <a:gd name="T60" fmla="*/ 173990 w 517"/>
                            <a:gd name="T61" fmla="*/ 158750 h 169"/>
                            <a:gd name="T62" fmla="*/ 155575 w 517"/>
                            <a:gd name="T63" fmla="*/ 147955 h 169"/>
                            <a:gd name="T64" fmla="*/ 144145 w 517"/>
                            <a:gd name="T65" fmla="*/ 172720 h 169"/>
                            <a:gd name="T66" fmla="*/ 203200 w 517"/>
                            <a:gd name="T67" fmla="*/ 144780 h 169"/>
                            <a:gd name="T68" fmla="*/ 225425 w 517"/>
                            <a:gd name="T69" fmla="*/ 140970 h 169"/>
                            <a:gd name="T70" fmla="*/ 234315 w 517"/>
                            <a:gd name="T71" fmla="*/ 167640 h 169"/>
                            <a:gd name="T72" fmla="*/ 216535 w 517"/>
                            <a:gd name="T73" fmla="*/ 182245 h 169"/>
                            <a:gd name="T74" fmla="*/ 199390 w 517"/>
                            <a:gd name="T75" fmla="*/ 167640 h 169"/>
                            <a:gd name="T76" fmla="*/ 210185 w 517"/>
                            <a:gd name="T77" fmla="*/ 149225 h 169"/>
                            <a:gd name="T78" fmla="*/ 208915 w 517"/>
                            <a:gd name="T79" fmla="*/ 169545 h 169"/>
                            <a:gd name="T80" fmla="*/ 219075 w 517"/>
                            <a:gd name="T81" fmla="*/ 175260 h 169"/>
                            <a:gd name="T82" fmla="*/ 225425 w 517"/>
                            <a:gd name="T83" fmla="*/ 160020 h 169"/>
                            <a:gd name="T84" fmla="*/ 219075 w 517"/>
                            <a:gd name="T85" fmla="*/ 146050 h 169"/>
                            <a:gd name="T86" fmla="*/ 224790 w 517"/>
                            <a:gd name="T87" fmla="*/ 224790 h 169"/>
                            <a:gd name="T88" fmla="*/ 256540 w 517"/>
                            <a:gd name="T89" fmla="*/ 187960 h 169"/>
                            <a:gd name="T90" fmla="*/ 278765 w 517"/>
                            <a:gd name="T91" fmla="*/ 183515 h 169"/>
                            <a:gd name="T92" fmla="*/ 287020 w 517"/>
                            <a:gd name="T93" fmla="*/ 210185 h 169"/>
                            <a:gd name="T94" fmla="*/ 269240 w 517"/>
                            <a:gd name="T95" fmla="*/ 224790 h 169"/>
                            <a:gd name="T96" fmla="*/ 252095 w 517"/>
                            <a:gd name="T97" fmla="*/ 210185 h 169"/>
                            <a:gd name="T98" fmla="*/ 263525 w 517"/>
                            <a:gd name="T99" fmla="*/ 191770 h 169"/>
                            <a:gd name="T100" fmla="*/ 261620 w 517"/>
                            <a:gd name="T101" fmla="*/ 212725 h 169"/>
                            <a:gd name="T102" fmla="*/ 271780 w 517"/>
                            <a:gd name="T103" fmla="*/ 218440 h 169"/>
                            <a:gd name="T104" fmla="*/ 278130 w 517"/>
                            <a:gd name="T105" fmla="*/ 203200 h 169"/>
                            <a:gd name="T106" fmla="*/ 271780 w 517"/>
                            <a:gd name="T107" fmla="*/ 188595 h 169"/>
                            <a:gd name="T108" fmla="*/ 313690 w 517"/>
                            <a:gd name="T109" fmla="*/ 219075 h 169"/>
                            <a:gd name="T110" fmla="*/ 315595 w 517"/>
                            <a:gd name="T111" fmla="*/ 171450 h 169"/>
                            <a:gd name="T112" fmla="*/ 305435 w 517"/>
                            <a:gd name="T113" fmla="*/ 146685 h 169"/>
                            <a:gd name="T114" fmla="*/ 320675 w 517"/>
                            <a:gd name="T115" fmla="*/ 160020 h 169"/>
                            <a:gd name="T116" fmla="*/ 328295 w 517"/>
                            <a:gd name="T117" fmla="*/ 192405 h 169"/>
                            <a:gd name="T118" fmla="*/ 319405 w 517"/>
                            <a:gd name="T119" fmla="*/ 228600 h 16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17" h="169">
                              <a:moveTo>
                                <a:pt x="0" y="67"/>
                              </a:moveTo>
                              <a:lnTo>
                                <a:pt x="0" y="52"/>
                              </a:lnTo>
                              <a:lnTo>
                                <a:pt x="2" y="40"/>
                              </a:lnTo>
                              <a:lnTo>
                                <a:pt x="5" y="30"/>
                              </a:lnTo>
                              <a:lnTo>
                                <a:pt x="8" y="21"/>
                              </a:lnTo>
                              <a:lnTo>
                                <a:pt x="13" y="14"/>
                              </a:lnTo>
                              <a:lnTo>
                                <a:pt x="19" y="9"/>
                              </a:lnTo>
                              <a:lnTo>
                                <a:pt x="25" y="4"/>
                              </a:lnTo>
                              <a:lnTo>
                                <a:pt x="33" y="1"/>
                              </a:lnTo>
                              <a:lnTo>
                                <a:pt x="42" y="1"/>
                              </a:lnTo>
                              <a:lnTo>
                                <a:pt x="49" y="1"/>
                              </a:lnTo>
                              <a:lnTo>
                                <a:pt x="55" y="3"/>
                              </a:lnTo>
                              <a:lnTo>
                                <a:pt x="61" y="6"/>
                              </a:lnTo>
                              <a:lnTo>
                                <a:pt x="66" y="8"/>
                              </a:lnTo>
                              <a:lnTo>
                                <a:pt x="70" y="12"/>
                              </a:lnTo>
                              <a:lnTo>
                                <a:pt x="74" y="18"/>
                              </a:lnTo>
                              <a:lnTo>
                                <a:pt x="77" y="23"/>
                              </a:lnTo>
                              <a:lnTo>
                                <a:pt x="80" y="29"/>
                              </a:lnTo>
                              <a:lnTo>
                                <a:pt x="82" y="37"/>
                              </a:lnTo>
                              <a:lnTo>
                                <a:pt x="83" y="44"/>
                              </a:lnTo>
                              <a:lnTo>
                                <a:pt x="84" y="54"/>
                              </a:lnTo>
                              <a:lnTo>
                                <a:pt x="84" y="67"/>
                              </a:lnTo>
                              <a:lnTo>
                                <a:pt x="84" y="82"/>
                              </a:lnTo>
                              <a:lnTo>
                                <a:pt x="83" y="94"/>
                              </a:lnTo>
                              <a:lnTo>
                                <a:pt x="80" y="104"/>
                              </a:lnTo>
                              <a:lnTo>
                                <a:pt x="77" y="113"/>
                              </a:lnTo>
                              <a:lnTo>
                                <a:pt x="72" y="120"/>
                              </a:lnTo>
                              <a:lnTo>
                                <a:pt x="66" y="125"/>
                              </a:lnTo>
                              <a:lnTo>
                                <a:pt x="60" y="130"/>
                              </a:lnTo>
                              <a:lnTo>
                                <a:pt x="52" y="133"/>
                              </a:lnTo>
                              <a:lnTo>
                                <a:pt x="42" y="133"/>
                              </a:lnTo>
                              <a:lnTo>
                                <a:pt x="30" y="133"/>
                              </a:lnTo>
                              <a:lnTo>
                                <a:pt x="20" y="128"/>
                              </a:lnTo>
                              <a:lnTo>
                                <a:pt x="13" y="120"/>
                              </a:lnTo>
                              <a:lnTo>
                                <a:pt x="8" y="110"/>
                              </a:lnTo>
                              <a:lnTo>
                                <a:pt x="4" y="98"/>
                              </a:lnTo>
                              <a:lnTo>
                                <a:pt x="1" y="84"/>
                              </a:lnTo>
                              <a:lnTo>
                                <a:pt x="0" y="67"/>
                              </a:lnTo>
                              <a:close/>
                              <a:moveTo>
                                <a:pt x="17" y="67"/>
                              </a:moveTo>
                              <a:lnTo>
                                <a:pt x="17" y="82"/>
                              </a:lnTo>
                              <a:lnTo>
                                <a:pt x="19" y="94"/>
                              </a:lnTo>
                              <a:lnTo>
                                <a:pt x="21" y="103"/>
                              </a:lnTo>
                              <a:lnTo>
                                <a:pt x="24" y="109"/>
                              </a:lnTo>
                              <a:lnTo>
                                <a:pt x="29" y="116"/>
                              </a:lnTo>
                              <a:lnTo>
                                <a:pt x="35" y="120"/>
                              </a:lnTo>
                              <a:lnTo>
                                <a:pt x="42" y="120"/>
                              </a:lnTo>
                              <a:lnTo>
                                <a:pt x="50" y="120"/>
                              </a:lnTo>
                              <a:lnTo>
                                <a:pt x="56" y="116"/>
                              </a:lnTo>
                              <a:lnTo>
                                <a:pt x="61" y="109"/>
                              </a:lnTo>
                              <a:lnTo>
                                <a:pt x="64" y="103"/>
                              </a:lnTo>
                              <a:lnTo>
                                <a:pt x="66" y="94"/>
                              </a:lnTo>
                              <a:lnTo>
                                <a:pt x="68" y="82"/>
                              </a:lnTo>
                              <a:lnTo>
                                <a:pt x="68" y="67"/>
                              </a:lnTo>
                              <a:lnTo>
                                <a:pt x="68" y="53"/>
                              </a:lnTo>
                              <a:lnTo>
                                <a:pt x="66" y="41"/>
                              </a:lnTo>
                              <a:lnTo>
                                <a:pt x="64" y="31"/>
                              </a:lnTo>
                              <a:lnTo>
                                <a:pt x="61" y="25"/>
                              </a:lnTo>
                              <a:lnTo>
                                <a:pt x="56" y="18"/>
                              </a:lnTo>
                              <a:lnTo>
                                <a:pt x="50" y="14"/>
                              </a:lnTo>
                              <a:lnTo>
                                <a:pt x="42" y="14"/>
                              </a:lnTo>
                              <a:lnTo>
                                <a:pt x="35" y="14"/>
                              </a:lnTo>
                              <a:lnTo>
                                <a:pt x="29" y="17"/>
                              </a:lnTo>
                              <a:lnTo>
                                <a:pt x="25" y="24"/>
                              </a:lnTo>
                              <a:lnTo>
                                <a:pt x="21" y="31"/>
                              </a:lnTo>
                              <a:lnTo>
                                <a:pt x="19" y="40"/>
                              </a:lnTo>
                              <a:lnTo>
                                <a:pt x="17" y="53"/>
                              </a:lnTo>
                              <a:lnTo>
                                <a:pt x="17" y="67"/>
                              </a:lnTo>
                              <a:close/>
                              <a:moveTo>
                                <a:pt x="185" y="169"/>
                              </a:moveTo>
                              <a:lnTo>
                                <a:pt x="179" y="160"/>
                              </a:lnTo>
                              <a:lnTo>
                                <a:pt x="173" y="151"/>
                              </a:lnTo>
                              <a:lnTo>
                                <a:pt x="168" y="141"/>
                              </a:lnTo>
                              <a:lnTo>
                                <a:pt x="163" y="130"/>
                              </a:lnTo>
                              <a:lnTo>
                                <a:pt x="159" y="119"/>
                              </a:lnTo>
                              <a:lnTo>
                                <a:pt x="156" y="107"/>
                              </a:lnTo>
                              <a:lnTo>
                                <a:pt x="155" y="96"/>
                              </a:lnTo>
                              <a:lnTo>
                                <a:pt x="154" y="84"/>
                              </a:lnTo>
                              <a:lnTo>
                                <a:pt x="154" y="74"/>
                              </a:lnTo>
                              <a:lnTo>
                                <a:pt x="156" y="64"/>
                              </a:lnTo>
                              <a:lnTo>
                                <a:pt x="158" y="54"/>
                              </a:lnTo>
                              <a:lnTo>
                                <a:pt x="161" y="44"/>
                              </a:lnTo>
                              <a:lnTo>
                                <a:pt x="165" y="33"/>
                              </a:lnTo>
                              <a:lnTo>
                                <a:pt x="171" y="22"/>
                              </a:lnTo>
                              <a:lnTo>
                                <a:pt x="177" y="11"/>
                              </a:lnTo>
                              <a:lnTo>
                                <a:pt x="185" y="0"/>
                              </a:lnTo>
                              <a:lnTo>
                                <a:pt x="196" y="0"/>
                              </a:lnTo>
                              <a:lnTo>
                                <a:pt x="189" y="12"/>
                              </a:lnTo>
                              <a:lnTo>
                                <a:pt x="185" y="21"/>
                              </a:lnTo>
                              <a:lnTo>
                                <a:pt x="182" y="26"/>
                              </a:lnTo>
                              <a:lnTo>
                                <a:pt x="179" y="34"/>
                              </a:lnTo>
                              <a:lnTo>
                                <a:pt x="176" y="42"/>
                              </a:lnTo>
                              <a:lnTo>
                                <a:pt x="174" y="51"/>
                              </a:lnTo>
                              <a:lnTo>
                                <a:pt x="171" y="62"/>
                              </a:lnTo>
                              <a:lnTo>
                                <a:pt x="170" y="73"/>
                              </a:lnTo>
                              <a:lnTo>
                                <a:pt x="170" y="84"/>
                              </a:lnTo>
                              <a:lnTo>
                                <a:pt x="172" y="105"/>
                              </a:lnTo>
                              <a:lnTo>
                                <a:pt x="177" y="126"/>
                              </a:lnTo>
                              <a:lnTo>
                                <a:pt x="185" y="147"/>
                              </a:lnTo>
                              <a:lnTo>
                                <a:pt x="196" y="169"/>
                              </a:lnTo>
                              <a:lnTo>
                                <a:pt x="185" y="169"/>
                              </a:lnTo>
                              <a:close/>
                              <a:moveTo>
                                <a:pt x="210" y="67"/>
                              </a:moveTo>
                              <a:lnTo>
                                <a:pt x="210" y="52"/>
                              </a:lnTo>
                              <a:lnTo>
                                <a:pt x="212" y="40"/>
                              </a:lnTo>
                              <a:lnTo>
                                <a:pt x="215" y="30"/>
                              </a:lnTo>
                              <a:lnTo>
                                <a:pt x="218" y="21"/>
                              </a:lnTo>
                              <a:lnTo>
                                <a:pt x="223" y="14"/>
                              </a:lnTo>
                              <a:lnTo>
                                <a:pt x="229" y="9"/>
                              </a:lnTo>
                              <a:lnTo>
                                <a:pt x="235" y="4"/>
                              </a:lnTo>
                              <a:lnTo>
                                <a:pt x="243" y="1"/>
                              </a:lnTo>
                              <a:lnTo>
                                <a:pt x="252" y="1"/>
                              </a:lnTo>
                              <a:lnTo>
                                <a:pt x="259" y="1"/>
                              </a:lnTo>
                              <a:lnTo>
                                <a:pt x="265" y="3"/>
                              </a:lnTo>
                              <a:lnTo>
                                <a:pt x="271" y="6"/>
                              </a:lnTo>
                              <a:lnTo>
                                <a:pt x="276" y="8"/>
                              </a:lnTo>
                              <a:lnTo>
                                <a:pt x="280" y="12"/>
                              </a:lnTo>
                              <a:lnTo>
                                <a:pt x="284" y="18"/>
                              </a:lnTo>
                              <a:lnTo>
                                <a:pt x="287" y="23"/>
                              </a:lnTo>
                              <a:lnTo>
                                <a:pt x="290" y="29"/>
                              </a:lnTo>
                              <a:lnTo>
                                <a:pt x="292" y="37"/>
                              </a:lnTo>
                              <a:lnTo>
                                <a:pt x="294" y="44"/>
                              </a:lnTo>
                              <a:lnTo>
                                <a:pt x="294" y="54"/>
                              </a:lnTo>
                              <a:lnTo>
                                <a:pt x="294" y="67"/>
                              </a:lnTo>
                              <a:lnTo>
                                <a:pt x="294" y="82"/>
                              </a:lnTo>
                              <a:lnTo>
                                <a:pt x="293" y="94"/>
                              </a:lnTo>
                              <a:lnTo>
                                <a:pt x="290" y="104"/>
                              </a:lnTo>
                              <a:lnTo>
                                <a:pt x="287" y="113"/>
                              </a:lnTo>
                              <a:lnTo>
                                <a:pt x="282" y="120"/>
                              </a:lnTo>
                              <a:lnTo>
                                <a:pt x="276" y="125"/>
                              </a:lnTo>
                              <a:lnTo>
                                <a:pt x="270" y="130"/>
                              </a:lnTo>
                              <a:lnTo>
                                <a:pt x="262" y="133"/>
                              </a:lnTo>
                              <a:lnTo>
                                <a:pt x="252" y="133"/>
                              </a:lnTo>
                              <a:lnTo>
                                <a:pt x="240" y="133"/>
                              </a:lnTo>
                              <a:lnTo>
                                <a:pt x="230" y="128"/>
                              </a:lnTo>
                              <a:lnTo>
                                <a:pt x="223" y="120"/>
                              </a:lnTo>
                              <a:lnTo>
                                <a:pt x="218" y="110"/>
                              </a:lnTo>
                              <a:lnTo>
                                <a:pt x="214" y="98"/>
                              </a:lnTo>
                              <a:lnTo>
                                <a:pt x="211" y="84"/>
                              </a:lnTo>
                              <a:lnTo>
                                <a:pt x="210" y="67"/>
                              </a:lnTo>
                              <a:close/>
                              <a:moveTo>
                                <a:pt x="227" y="67"/>
                              </a:moveTo>
                              <a:lnTo>
                                <a:pt x="227" y="82"/>
                              </a:lnTo>
                              <a:lnTo>
                                <a:pt x="229" y="94"/>
                              </a:lnTo>
                              <a:lnTo>
                                <a:pt x="231" y="103"/>
                              </a:lnTo>
                              <a:lnTo>
                                <a:pt x="234" y="109"/>
                              </a:lnTo>
                              <a:lnTo>
                                <a:pt x="239" y="116"/>
                              </a:lnTo>
                              <a:lnTo>
                                <a:pt x="245" y="120"/>
                              </a:lnTo>
                              <a:lnTo>
                                <a:pt x="252" y="120"/>
                              </a:lnTo>
                              <a:lnTo>
                                <a:pt x="260" y="120"/>
                              </a:lnTo>
                              <a:lnTo>
                                <a:pt x="266" y="116"/>
                              </a:lnTo>
                              <a:lnTo>
                                <a:pt x="271" y="109"/>
                              </a:lnTo>
                              <a:lnTo>
                                <a:pt x="274" y="103"/>
                              </a:lnTo>
                              <a:lnTo>
                                <a:pt x="276" y="94"/>
                              </a:lnTo>
                              <a:lnTo>
                                <a:pt x="278" y="82"/>
                              </a:lnTo>
                              <a:lnTo>
                                <a:pt x="278" y="67"/>
                              </a:lnTo>
                              <a:lnTo>
                                <a:pt x="278" y="53"/>
                              </a:lnTo>
                              <a:lnTo>
                                <a:pt x="276" y="41"/>
                              </a:lnTo>
                              <a:lnTo>
                                <a:pt x="274" y="31"/>
                              </a:lnTo>
                              <a:lnTo>
                                <a:pt x="271" y="25"/>
                              </a:lnTo>
                              <a:lnTo>
                                <a:pt x="266" y="18"/>
                              </a:lnTo>
                              <a:lnTo>
                                <a:pt x="260" y="14"/>
                              </a:lnTo>
                              <a:lnTo>
                                <a:pt x="252" y="14"/>
                              </a:lnTo>
                              <a:lnTo>
                                <a:pt x="245" y="14"/>
                              </a:lnTo>
                              <a:lnTo>
                                <a:pt x="239" y="17"/>
                              </a:lnTo>
                              <a:lnTo>
                                <a:pt x="235" y="24"/>
                              </a:lnTo>
                              <a:lnTo>
                                <a:pt x="231" y="31"/>
                              </a:lnTo>
                              <a:lnTo>
                                <a:pt x="229" y="40"/>
                              </a:lnTo>
                              <a:lnTo>
                                <a:pt x="227" y="53"/>
                              </a:lnTo>
                              <a:lnTo>
                                <a:pt x="227" y="67"/>
                              </a:lnTo>
                              <a:close/>
                              <a:moveTo>
                                <a:pt x="314" y="33"/>
                              </a:moveTo>
                              <a:lnTo>
                                <a:pt x="314" y="24"/>
                              </a:lnTo>
                              <a:lnTo>
                                <a:pt x="316" y="16"/>
                              </a:lnTo>
                              <a:lnTo>
                                <a:pt x="320" y="9"/>
                              </a:lnTo>
                              <a:lnTo>
                                <a:pt x="325" y="3"/>
                              </a:lnTo>
                              <a:lnTo>
                                <a:pt x="332" y="0"/>
                              </a:lnTo>
                              <a:lnTo>
                                <a:pt x="341" y="0"/>
                              </a:lnTo>
                              <a:lnTo>
                                <a:pt x="349" y="0"/>
                              </a:lnTo>
                              <a:lnTo>
                                <a:pt x="355" y="3"/>
                              </a:lnTo>
                              <a:lnTo>
                                <a:pt x="361" y="8"/>
                              </a:lnTo>
                              <a:lnTo>
                                <a:pt x="366" y="14"/>
                              </a:lnTo>
                              <a:lnTo>
                                <a:pt x="369" y="23"/>
                              </a:lnTo>
                              <a:lnTo>
                                <a:pt x="369" y="34"/>
                              </a:lnTo>
                              <a:lnTo>
                                <a:pt x="369" y="45"/>
                              </a:lnTo>
                              <a:lnTo>
                                <a:pt x="366" y="53"/>
                              </a:lnTo>
                              <a:lnTo>
                                <a:pt x="361" y="59"/>
                              </a:lnTo>
                              <a:lnTo>
                                <a:pt x="355" y="65"/>
                              </a:lnTo>
                              <a:lnTo>
                                <a:pt x="349" y="68"/>
                              </a:lnTo>
                              <a:lnTo>
                                <a:pt x="341" y="68"/>
                              </a:lnTo>
                              <a:lnTo>
                                <a:pt x="333" y="68"/>
                              </a:lnTo>
                              <a:lnTo>
                                <a:pt x="327" y="65"/>
                              </a:lnTo>
                              <a:lnTo>
                                <a:pt x="321" y="59"/>
                              </a:lnTo>
                              <a:lnTo>
                                <a:pt x="316" y="53"/>
                              </a:lnTo>
                              <a:lnTo>
                                <a:pt x="314" y="45"/>
                              </a:lnTo>
                              <a:lnTo>
                                <a:pt x="314" y="33"/>
                              </a:lnTo>
                              <a:close/>
                              <a:moveTo>
                                <a:pt x="341" y="11"/>
                              </a:moveTo>
                              <a:lnTo>
                                <a:pt x="337" y="11"/>
                              </a:lnTo>
                              <a:lnTo>
                                <a:pt x="334" y="12"/>
                              </a:lnTo>
                              <a:lnTo>
                                <a:pt x="331" y="16"/>
                              </a:lnTo>
                              <a:lnTo>
                                <a:pt x="329" y="19"/>
                              </a:lnTo>
                              <a:lnTo>
                                <a:pt x="327" y="25"/>
                              </a:lnTo>
                              <a:lnTo>
                                <a:pt x="327" y="34"/>
                              </a:lnTo>
                              <a:lnTo>
                                <a:pt x="327" y="43"/>
                              </a:lnTo>
                              <a:lnTo>
                                <a:pt x="329" y="48"/>
                              </a:lnTo>
                              <a:lnTo>
                                <a:pt x="331" y="52"/>
                              </a:lnTo>
                              <a:lnTo>
                                <a:pt x="334" y="55"/>
                              </a:lnTo>
                              <a:lnTo>
                                <a:pt x="337" y="57"/>
                              </a:lnTo>
                              <a:lnTo>
                                <a:pt x="341" y="57"/>
                              </a:lnTo>
                              <a:lnTo>
                                <a:pt x="345" y="57"/>
                              </a:lnTo>
                              <a:lnTo>
                                <a:pt x="348" y="55"/>
                              </a:lnTo>
                              <a:lnTo>
                                <a:pt x="351" y="52"/>
                              </a:lnTo>
                              <a:lnTo>
                                <a:pt x="354" y="48"/>
                              </a:lnTo>
                              <a:lnTo>
                                <a:pt x="355" y="42"/>
                              </a:lnTo>
                              <a:lnTo>
                                <a:pt x="355" y="33"/>
                              </a:lnTo>
                              <a:lnTo>
                                <a:pt x="355" y="25"/>
                              </a:lnTo>
                              <a:lnTo>
                                <a:pt x="354" y="19"/>
                              </a:lnTo>
                              <a:lnTo>
                                <a:pt x="351" y="16"/>
                              </a:lnTo>
                              <a:lnTo>
                                <a:pt x="348" y="12"/>
                              </a:lnTo>
                              <a:lnTo>
                                <a:pt x="345" y="11"/>
                              </a:lnTo>
                              <a:lnTo>
                                <a:pt x="341" y="11"/>
                              </a:lnTo>
                              <a:close/>
                              <a:moveTo>
                                <a:pt x="341" y="135"/>
                              </a:moveTo>
                              <a:lnTo>
                                <a:pt x="412" y="0"/>
                              </a:lnTo>
                              <a:lnTo>
                                <a:pt x="424" y="0"/>
                              </a:lnTo>
                              <a:lnTo>
                                <a:pt x="354" y="135"/>
                              </a:lnTo>
                              <a:lnTo>
                                <a:pt x="341" y="135"/>
                              </a:lnTo>
                              <a:close/>
                              <a:moveTo>
                                <a:pt x="397" y="100"/>
                              </a:moveTo>
                              <a:lnTo>
                                <a:pt x="397" y="91"/>
                              </a:lnTo>
                              <a:lnTo>
                                <a:pt x="399" y="83"/>
                              </a:lnTo>
                              <a:lnTo>
                                <a:pt x="404" y="77"/>
                              </a:lnTo>
                              <a:lnTo>
                                <a:pt x="408" y="71"/>
                              </a:lnTo>
                              <a:lnTo>
                                <a:pt x="415" y="67"/>
                              </a:lnTo>
                              <a:lnTo>
                                <a:pt x="424" y="67"/>
                              </a:lnTo>
                              <a:lnTo>
                                <a:pt x="432" y="67"/>
                              </a:lnTo>
                              <a:lnTo>
                                <a:pt x="439" y="70"/>
                              </a:lnTo>
                              <a:lnTo>
                                <a:pt x="444" y="76"/>
                              </a:lnTo>
                              <a:lnTo>
                                <a:pt x="449" y="82"/>
                              </a:lnTo>
                              <a:lnTo>
                                <a:pt x="452" y="90"/>
                              </a:lnTo>
                              <a:lnTo>
                                <a:pt x="452" y="101"/>
                              </a:lnTo>
                              <a:lnTo>
                                <a:pt x="452" y="112"/>
                              </a:lnTo>
                              <a:lnTo>
                                <a:pt x="449" y="121"/>
                              </a:lnTo>
                              <a:lnTo>
                                <a:pt x="444" y="127"/>
                              </a:lnTo>
                              <a:lnTo>
                                <a:pt x="439" y="133"/>
                              </a:lnTo>
                              <a:lnTo>
                                <a:pt x="432" y="135"/>
                              </a:lnTo>
                              <a:lnTo>
                                <a:pt x="424" y="135"/>
                              </a:lnTo>
                              <a:lnTo>
                                <a:pt x="416" y="135"/>
                              </a:lnTo>
                              <a:lnTo>
                                <a:pt x="410" y="133"/>
                              </a:lnTo>
                              <a:lnTo>
                                <a:pt x="405" y="127"/>
                              </a:lnTo>
                              <a:lnTo>
                                <a:pt x="399" y="121"/>
                              </a:lnTo>
                              <a:lnTo>
                                <a:pt x="397" y="112"/>
                              </a:lnTo>
                              <a:lnTo>
                                <a:pt x="397" y="100"/>
                              </a:lnTo>
                              <a:close/>
                              <a:moveTo>
                                <a:pt x="424" y="78"/>
                              </a:moveTo>
                              <a:lnTo>
                                <a:pt x="420" y="78"/>
                              </a:lnTo>
                              <a:lnTo>
                                <a:pt x="417" y="80"/>
                              </a:lnTo>
                              <a:lnTo>
                                <a:pt x="415" y="83"/>
                              </a:lnTo>
                              <a:lnTo>
                                <a:pt x="412" y="87"/>
                              </a:lnTo>
                              <a:lnTo>
                                <a:pt x="411" y="93"/>
                              </a:lnTo>
                              <a:lnTo>
                                <a:pt x="411" y="102"/>
                              </a:lnTo>
                              <a:lnTo>
                                <a:pt x="411" y="110"/>
                              </a:lnTo>
                              <a:lnTo>
                                <a:pt x="412" y="116"/>
                              </a:lnTo>
                              <a:lnTo>
                                <a:pt x="415" y="119"/>
                              </a:lnTo>
                              <a:lnTo>
                                <a:pt x="417" y="123"/>
                              </a:lnTo>
                              <a:lnTo>
                                <a:pt x="421" y="125"/>
                              </a:lnTo>
                              <a:lnTo>
                                <a:pt x="424" y="125"/>
                              </a:lnTo>
                              <a:lnTo>
                                <a:pt x="428" y="125"/>
                              </a:lnTo>
                              <a:lnTo>
                                <a:pt x="432" y="123"/>
                              </a:lnTo>
                              <a:lnTo>
                                <a:pt x="434" y="119"/>
                              </a:lnTo>
                              <a:lnTo>
                                <a:pt x="437" y="116"/>
                              </a:lnTo>
                              <a:lnTo>
                                <a:pt x="438" y="110"/>
                              </a:lnTo>
                              <a:lnTo>
                                <a:pt x="438" y="101"/>
                              </a:lnTo>
                              <a:lnTo>
                                <a:pt x="438" y="92"/>
                              </a:lnTo>
                              <a:lnTo>
                                <a:pt x="437" y="87"/>
                              </a:lnTo>
                              <a:lnTo>
                                <a:pt x="434" y="83"/>
                              </a:lnTo>
                              <a:lnTo>
                                <a:pt x="432" y="80"/>
                              </a:lnTo>
                              <a:lnTo>
                                <a:pt x="428" y="78"/>
                              </a:lnTo>
                              <a:lnTo>
                                <a:pt x="424" y="78"/>
                              </a:lnTo>
                              <a:close/>
                              <a:moveTo>
                                <a:pt x="485" y="169"/>
                              </a:moveTo>
                              <a:lnTo>
                                <a:pt x="474" y="169"/>
                              </a:lnTo>
                              <a:lnTo>
                                <a:pt x="486" y="147"/>
                              </a:lnTo>
                              <a:lnTo>
                                <a:pt x="494" y="126"/>
                              </a:lnTo>
                              <a:lnTo>
                                <a:pt x="499" y="105"/>
                              </a:lnTo>
                              <a:lnTo>
                                <a:pt x="500" y="84"/>
                              </a:lnTo>
                              <a:lnTo>
                                <a:pt x="500" y="73"/>
                              </a:lnTo>
                              <a:lnTo>
                                <a:pt x="499" y="62"/>
                              </a:lnTo>
                              <a:lnTo>
                                <a:pt x="497" y="51"/>
                              </a:lnTo>
                              <a:lnTo>
                                <a:pt x="495" y="43"/>
                              </a:lnTo>
                              <a:lnTo>
                                <a:pt x="492" y="34"/>
                              </a:lnTo>
                              <a:lnTo>
                                <a:pt x="488" y="26"/>
                              </a:lnTo>
                              <a:lnTo>
                                <a:pt x="486" y="21"/>
                              </a:lnTo>
                              <a:lnTo>
                                <a:pt x="481" y="12"/>
                              </a:lnTo>
                              <a:lnTo>
                                <a:pt x="474" y="0"/>
                              </a:lnTo>
                              <a:lnTo>
                                <a:pt x="485" y="0"/>
                              </a:lnTo>
                              <a:lnTo>
                                <a:pt x="493" y="11"/>
                              </a:lnTo>
                              <a:lnTo>
                                <a:pt x="500" y="22"/>
                              </a:lnTo>
                              <a:lnTo>
                                <a:pt x="505" y="33"/>
                              </a:lnTo>
                              <a:lnTo>
                                <a:pt x="510" y="44"/>
                              </a:lnTo>
                              <a:lnTo>
                                <a:pt x="513" y="54"/>
                              </a:lnTo>
                              <a:lnTo>
                                <a:pt x="515" y="64"/>
                              </a:lnTo>
                              <a:lnTo>
                                <a:pt x="516" y="74"/>
                              </a:lnTo>
                              <a:lnTo>
                                <a:pt x="517" y="84"/>
                              </a:lnTo>
                              <a:lnTo>
                                <a:pt x="516" y="96"/>
                              </a:lnTo>
                              <a:lnTo>
                                <a:pt x="514" y="107"/>
                              </a:lnTo>
                              <a:lnTo>
                                <a:pt x="511" y="119"/>
                              </a:lnTo>
                              <a:lnTo>
                                <a:pt x="507" y="130"/>
                              </a:lnTo>
                              <a:lnTo>
                                <a:pt x="503" y="141"/>
                              </a:lnTo>
                              <a:lnTo>
                                <a:pt x="497" y="151"/>
                              </a:lnTo>
                              <a:lnTo>
                                <a:pt x="492" y="160"/>
                              </a:lnTo>
                              <a:lnTo>
                                <a:pt x="485" y="169"/>
                              </a:lnTo>
                              <a:close/>
                            </a:path>
                          </a:pathLst>
                        </a:custGeom>
                        <a:noFill/>
                        <a:ln w="28575">
                          <a:solidFill>
                            <a:srgbClr val="FFFFFF"/>
                          </a:solidFill>
                          <a:round/>
                        </a:ln>
                        <a:effectLst/>
                      </wps:spPr>
                      <wps:bodyPr rot="0" vert="horz" wrap="square" lIns="91440" tIns="45720" rIns="91440" bIns="45720" anchor="t" anchorCtr="0" upright="1">
                        <a:noAutofit/>
                      </wps:bodyPr>
                    </wps:wsp>
                  </a:graphicData>
                </a:graphic>
              </wp:anchor>
            </w:drawing>
          </mc:Choice>
          <mc:Fallback>
            <w:pict>
              <v:shape id="AutoShape 85" o:spid="_x0000_s1026" o:spt="100" style="position:absolute;left:0pt;margin-left:212.1pt;margin-top:10.95pt;height:8.45pt;width:25.85pt;mso-position-horizontal-relative:page;mso-wrap-distance-bottom:0pt;mso-wrap-distance-top:0pt;z-index:-251581440;mso-width-relative:page;mso-height-relative:page;" filled="f" stroked="t" coordsize="517,169" o:gfxdata="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" path="m0,67l0,52,2,40,5,30,8,21,13,14,19,9,25,4,33,1,42,1,49,1,55,3,61,6,66,8,70,12,74,18,77,23,80,29,82,37,83,44,84,54,84,67,84,82,83,94,80,104,77,113,72,120,66,125,60,130,52,133,42,133,30,133,20,128,13,120,8,110,4,98,1,84,0,67xm17,67l17,82,19,94,21,103,24,109,29,116,35,120,42,120,50,120,56,116,61,109,64,103,66,94,68,82,68,67,68,53,66,41,64,31,61,25,56,18,50,14,42,14,35,14,29,17,25,24,21,31,19,40,17,53,17,67xm185,169l179,160,173,151,168,141,163,130,159,119,156,107,155,96,154,84,154,74,156,64,158,54,161,44,165,33,171,22,177,11,185,0,196,0,189,12,185,21,182,26,179,34,176,42,174,51,171,62,170,73,170,84,172,105,177,126,185,147,196,169,185,169xm210,67l210,52,212,40,215,30,218,21,223,14,229,9,235,4,243,1,252,1,259,1,265,3,271,6,276,8,280,12,284,18,287,23,290,29,292,37,294,44,294,54,294,67,294,82,293,94,290,104,287,113,282,120,276,125,270,130,262,133,252,133,240,133,230,128,223,120,218,110,214,98,211,84,210,67xm227,67l227,82,229,94,231,103,234,109,239,116,245,120,252,120,260,120,266,116,271,109,274,103,276,94,278,82,278,67,278,53,276,41,274,31,271,25,266,18,260,14,252,14,245,14,239,17,235,24,231,31,229,40,227,53,227,67xm314,33l314,24,316,16,320,9,325,3,332,0,341,0,349,0,355,3,361,8,366,14,369,23,369,34,369,45,366,53,361,59,355,65,349,68,341,68,333,68,327,65,321,59,316,53,314,45,314,33xm341,11l337,11,334,12,331,16,329,19,327,25,327,34,327,43,329,48,331,52,334,55,337,57,341,57,345,57,348,55,351,52,354,48,355,42,355,33,355,25,354,19,351,16,348,12,345,11,341,11xm341,135l412,0,424,0,354,135,341,135xm397,100l397,91,399,83,404,77,408,71,415,67,424,67,432,67,439,70,444,76,449,82,452,90,452,101,452,112,449,121,444,127,439,133,432,135,424,135,416,135,410,133,405,127,399,121,397,112,397,100xm424,78l420,78,417,80,415,83,412,87,411,93,411,102,411,110,412,116,415,119,417,123,421,125,424,125,428,125,432,123,434,119,437,116,438,110,438,101,438,92,437,87,434,83,432,80,428,78,424,78xm485,169l474,169,486,147,494,126,499,105,500,84,500,73,499,62,497,51,495,43,492,34,488,26,486,21,481,12,474,0,485,0,493,11,500,22,505,33,510,44,513,54,515,64,516,74,517,84,516,96,514,107,511,119,507,130,503,141,497,151,492,160,485,169xe">
                <v:path o:connectlocs="3225800,96774000;16935450,88709500;28225750,93144975;33467675,106048175;32258000,130241675;20967700,141935200;3225800,132661025;6854825,121370725;14112875,136693275;25806400,129838450;26612850,104838500;16935450,93951425;7661275,104435275;69757925,149193250;62499875,127015875;64919225,106048175;79032100,88306275;70967600,105241725;69354700,130644900;84677250,115322350;89919175,93951425;104435275,88709500;114515900,95564325;118548150,110080425;115725575,133870700;101612700,141935200;86290150,127822325;92338525,126209425;101612700,136693275;111290100,126209425;110483650,100806250;98790125,93951425;91532075,109677200;129032000,91935300;143144875,89515950;148790025,106451400;137499725,115725575;126612650,106451400;133467475,94757875;132661025,107661075;139112625,111290100;143144875,101612700;139112625,92741750;142741650,142741650;162902900,119354600;177015775,116532025;182257700,133467475;170967400,142741650;160080325,133467475;167338375,121773950;166128700,135080375;172580300,138709400;176612550,129032000;172580300,119757825;199193150,139112625;200402825,108870750;193951225,93144975;203628625,101612700;208467325,122177175;202822175,145161000" o:connectangles="0,0,0,0,0,0,0,0,0,0,0,0,0,0,0,0,0,0,0,0,0,0,0,0,0,0,0,0,0,0,0,0,0,0,0,0,0,0,0,0,0,0,0,0,0,0,0,0,0,0,0,0,0,0,0,0,0,0,0,0"/>
                <v:fill on="f" focussize="0,0"/>
                <v:stroke weight="2.25pt" color="#FFFFFF" joinstyle="round"/>
                <v:imagedata o:title=""/>
                <o:lock v:ext="edit" aspectratio="f"/>
                <w10:wrap type="topAndBottom"/>
              </v:shape>
            </w:pict>
          </mc:Fallback>
        </mc:AlternateContent>
      </w:r>
    </w:p>
    <w:p w14:paraId="3C782898">
      <w:pPr>
        <w:widowControl w:val="0"/>
        <w:autoSpaceDE w:val="0"/>
        <w:autoSpaceDN w:val="0"/>
        <w:spacing w:before="18" w:line="205" w:lineRule="exact"/>
        <w:rPr>
          <w:rFonts w:ascii="Arial MT" w:hAnsi="Roboto" w:eastAsia="Roboto" w:cs="Roboto"/>
          <w:sz w:val="18"/>
          <w:szCs w:val="22"/>
        </w:rPr>
      </w:pPr>
      <w:r>
        <w:rPr>
          <w:rFonts w:ascii="Arial MT" w:hAnsi="Roboto" w:eastAsia="Roboto" w:cs="Roboto"/>
          <w:color w:val="444444"/>
          <w:sz w:val="18"/>
          <w:szCs w:val="22"/>
        </w:rPr>
        <w:t>0</w:t>
      </w:r>
    </w:p>
    <w:p w14:paraId="68BA2D8D">
      <w:pPr>
        <w:widowControl w:val="0"/>
        <w:tabs>
          <w:tab w:val="left" w:pos="3421"/>
          <w:tab w:val="left" w:pos="5044"/>
          <w:tab w:val="left" w:pos="6667"/>
          <w:tab w:val="left" w:pos="8290"/>
        </w:tabs>
        <w:autoSpaceDE w:val="0"/>
        <w:autoSpaceDN w:val="0"/>
        <w:spacing w:line="205"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49726E5C">
      <w:pPr>
        <w:widowControl w:val="0"/>
        <w:autoSpaceDE w:val="0"/>
        <w:autoSpaceDN w:val="0"/>
        <w:rPr>
          <w:rFonts w:ascii="Arial MT" w:hAnsi="Roboto" w:eastAsia="Roboto" w:cs="Roboto"/>
          <w:sz w:val="20"/>
          <w:szCs w:val="21"/>
        </w:rPr>
      </w:pPr>
    </w:p>
    <w:p w14:paraId="4600AE17">
      <w:pPr>
        <w:widowControl w:val="0"/>
        <w:autoSpaceDE w:val="0"/>
        <w:autoSpaceDN w:val="0"/>
        <w:spacing w:before="8"/>
        <w:rPr>
          <w:rFonts w:ascii="Arial MT" w:hAnsi="Roboto" w:eastAsia="Roboto" w:cs="Roboto"/>
          <w:sz w:val="26"/>
          <w:szCs w:val="21"/>
        </w:rPr>
      </w:pPr>
    </w:p>
    <w:p w14:paraId="23238D10">
      <w:pPr>
        <w:widowControl w:val="0"/>
        <w:autoSpaceDE w:val="0"/>
        <w:autoSpaceDN w:val="0"/>
        <w:rPr>
          <w:rFonts w:ascii="Arial MT" w:hAnsi="Roboto" w:eastAsia="Roboto" w:cs="Roboto"/>
          <w:sz w:val="26"/>
          <w:szCs w:val="22"/>
        </w:rPr>
        <w:sectPr>
          <w:type w:val="continuous"/>
          <w:pgSz w:w="11900" w:h="16840"/>
          <w:pgMar w:top="480" w:right="1280" w:bottom="1680" w:left="1040" w:header="720" w:footer="720" w:gutter="0"/>
          <w:cols w:space="720" w:num="1"/>
        </w:sectPr>
      </w:pPr>
    </w:p>
    <w:p w14:paraId="25E75716">
      <w:pPr>
        <w:widowControl w:val="0"/>
        <w:numPr>
          <w:ilvl w:val="0"/>
          <w:numId w:val="47"/>
        </w:numPr>
        <w:tabs>
          <w:tab w:val="left" w:pos="527"/>
        </w:tabs>
        <w:autoSpaceDE w:val="0"/>
        <w:autoSpaceDN w:val="0"/>
        <w:spacing w:before="95" w:line="300" w:lineRule="auto"/>
        <w:ind w:right="38" w:firstLine="0"/>
        <w:jc w:val="both"/>
        <w:outlineLvl w:val="0"/>
        <w:rPr>
          <w:rFonts w:eastAsia="Roboto"/>
        </w:rPr>
      </w:pPr>
      <w:r>
        <w:rPr>
          <w:rFonts w:eastAsia="Roboto"/>
          <w:color w:val="202024"/>
        </w:rPr>
        <w:t>In</w:t>
      </w:r>
      <w:r>
        <w:rPr>
          <w:rFonts w:eastAsia="Roboto"/>
          <w:color w:val="202024"/>
          <w:spacing w:val="5"/>
        </w:rPr>
        <w:t xml:space="preserve"> </w:t>
      </w:r>
      <w:r>
        <w:rPr>
          <w:rFonts w:eastAsia="Roboto"/>
          <w:color w:val="202024"/>
        </w:rPr>
        <w:t>your</w:t>
      </w:r>
      <w:r>
        <w:rPr>
          <w:rFonts w:eastAsia="Roboto"/>
          <w:color w:val="202024"/>
          <w:spacing w:val="6"/>
        </w:rPr>
        <w:t xml:space="preserve"> </w:t>
      </w:r>
      <w:r>
        <w:rPr>
          <w:rFonts w:eastAsia="Roboto"/>
          <w:color w:val="202024"/>
        </w:rPr>
        <w:t>opinion,</w:t>
      </w:r>
      <w:r>
        <w:rPr>
          <w:rFonts w:eastAsia="Roboto"/>
          <w:color w:val="202024"/>
          <w:spacing w:val="6"/>
        </w:rPr>
        <w:t xml:space="preserve"> </w:t>
      </w:r>
      <w:r>
        <w:rPr>
          <w:rFonts w:eastAsia="Roboto"/>
          <w:color w:val="202024"/>
        </w:rPr>
        <w:t>to</w:t>
      </w:r>
      <w:r>
        <w:rPr>
          <w:rFonts w:eastAsia="Roboto"/>
          <w:color w:val="202024"/>
          <w:spacing w:val="6"/>
        </w:rPr>
        <w:t xml:space="preserve"> </w:t>
      </w:r>
      <w:r>
        <w:rPr>
          <w:rFonts w:eastAsia="Roboto"/>
          <w:color w:val="202024"/>
        </w:rPr>
        <w:t>what</w:t>
      </w:r>
      <w:r>
        <w:rPr>
          <w:rFonts w:eastAsia="Roboto"/>
          <w:color w:val="202024"/>
          <w:spacing w:val="6"/>
        </w:rPr>
        <w:t xml:space="preserve"> </w:t>
      </w:r>
      <w:r>
        <w:rPr>
          <w:rFonts w:eastAsia="Roboto"/>
          <w:color w:val="202024"/>
        </w:rPr>
        <w:t>extent</w:t>
      </w:r>
      <w:r>
        <w:rPr>
          <w:rFonts w:eastAsia="Roboto"/>
          <w:color w:val="202024"/>
          <w:spacing w:val="6"/>
        </w:rPr>
        <w:t xml:space="preserve"> </w:t>
      </w:r>
      <w:r>
        <w:rPr>
          <w:rFonts w:eastAsia="Roboto"/>
          <w:color w:val="202024"/>
        </w:rPr>
        <w:t>has</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delay</w:t>
      </w:r>
      <w:r>
        <w:rPr>
          <w:rFonts w:eastAsia="Roboto"/>
          <w:color w:val="202024"/>
          <w:spacing w:val="6"/>
        </w:rPr>
        <w:t xml:space="preserve"> </w:t>
      </w:r>
      <w:r>
        <w:rPr>
          <w:rFonts w:eastAsia="Roboto"/>
          <w:color w:val="202024"/>
        </w:rPr>
        <w:t>in</w:t>
      </w:r>
      <w:r>
        <w:rPr>
          <w:rFonts w:eastAsia="Roboto"/>
          <w:color w:val="202024"/>
          <w:spacing w:val="6"/>
        </w:rPr>
        <w:t xml:space="preserve"> </w:t>
      </w:r>
      <w:r>
        <w:rPr>
          <w:rFonts w:eastAsia="Roboto"/>
          <w:color w:val="202024"/>
        </w:rPr>
        <w:t>fiscal</w:t>
      </w:r>
      <w:r>
        <w:rPr>
          <w:rFonts w:eastAsia="Roboto"/>
          <w:color w:val="202024"/>
          <w:spacing w:val="6"/>
        </w:rPr>
        <w:t xml:space="preserve"> </w:t>
      </w:r>
      <w:r>
        <w:rPr>
          <w:rFonts w:eastAsia="Roboto"/>
          <w:color w:val="202024"/>
        </w:rPr>
        <w:t>and</w:t>
      </w:r>
      <w:r>
        <w:rPr>
          <w:rFonts w:eastAsia="Roboto"/>
          <w:color w:val="202024"/>
          <w:spacing w:val="5"/>
        </w:rPr>
        <w:t xml:space="preserve"> </w:t>
      </w:r>
      <w:r>
        <w:rPr>
          <w:rFonts w:eastAsia="Roboto"/>
          <w:color w:val="202024"/>
        </w:rPr>
        <w:t>tax</w:t>
      </w:r>
      <w:r>
        <w:rPr>
          <w:rFonts w:eastAsia="Roboto"/>
          <w:color w:val="202024"/>
          <w:spacing w:val="6"/>
        </w:rPr>
        <w:t xml:space="preserve"> </w:t>
      </w:r>
      <w:r>
        <w:rPr>
          <w:rFonts w:eastAsia="Roboto"/>
          <w:color w:val="202024"/>
        </w:rPr>
        <w:t>policy</w:t>
      </w:r>
      <w:r>
        <w:rPr>
          <w:rFonts w:eastAsia="Roboto"/>
          <w:color w:val="202024"/>
          <w:spacing w:val="-56"/>
        </w:rPr>
        <w:t xml:space="preserve"> </w:t>
      </w:r>
      <w:r>
        <w:rPr>
          <w:rFonts w:eastAsia="Roboto"/>
          <w:color w:val="202024"/>
        </w:rPr>
        <w:t>and</w:t>
      </w:r>
      <w:r>
        <w:rPr>
          <w:rFonts w:eastAsia="Roboto"/>
          <w:color w:val="202024"/>
          <w:spacing w:val="7"/>
        </w:rPr>
        <w:t xml:space="preserve"> </w:t>
      </w:r>
      <w:r>
        <w:rPr>
          <w:rFonts w:eastAsia="Roboto"/>
          <w:color w:val="202024"/>
        </w:rPr>
        <w:t>tax</w:t>
      </w:r>
      <w:r>
        <w:rPr>
          <w:rFonts w:eastAsia="Roboto"/>
          <w:color w:val="202024"/>
          <w:spacing w:val="8"/>
        </w:rPr>
        <w:t xml:space="preserve"> </w:t>
      </w:r>
      <w:r>
        <w:rPr>
          <w:rFonts w:eastAsia="Roboto"/>
          <w:color w:val="202024"/>
        </w:rPr>
        <w:t>law</w:t>
      </w:r>
      <w:r>
        <w:rPr>
          <w:rFonts w:eastAsia="Roboto"/>
          <w:color w:val="202024"/>
          <w:spacing w:val="8"/>
        </w:rPr>
        <w:t xml:space="preserve"> </w:t>
      </w:r>
      <w:r>
        <w:rPr>
          <w:rFonts w:eastAsia="Roboto"/>
          <w:color w:val="202024"/>
        </w:rPr>
        <w:t>reform</w:t>
      </w:r>
      <w:r>
        <w:rPr>
          <w:rFonts w:eastAsia="Roboto"/>
          <w:color w:val="202024"/>
          <w:spacing w:val="8"/>
        </w:rPr>
        <w:t xml:space="preserve"> </w:t>
      </w:r>
      <w:r>
        <w:rPr>
          <w:rFonts w:eastAsia="Roboto"/>
          <w:color w:val="202024"/>
        </w:rPr>
        <w:t>contributed</w:t>
      </w:r>
      <w:r>
        <w:rPr>
          <w:rFonts w:eastAsia="Roboto"/>
          <w:color w:val="202024"/>
          <w:spacing w:val="8"/>
        </w:rPr>
        <w:t xml:space="preserve"> </w:t>
      </w:r>
      <w:r>
        <w:rPr>
          <w:rFonts w:eastAsia="Roboto"/>
          <w:color w:val="202024"/>
        </w:rPr>
        <w:t>to</w:t>
      </w:r>
      <w:r>
        <w:rPr>
          <w:rFonts w:eastAsia="Roboto"/>
          <w:color w:val="202024"/>
          <w:spacing w:val="8"/>
        </w:rPr>
        <w:t xml:space="preserve"> </w:t>
      </w:r>
      <w:r>
        <w:rPr>
          <w:rFonts w:eastAsia="Roboto"/>
          <w:color w:val="202024"/>
        </w:rPr>
        <w:t>creating</w:t>
      </w:r>
      <w:r>
        <w:rPr>
          <w:rFonts w:eastAsia="Roboto"/>
          <w:color w:val="202024"/>
          <w:spacing w:val="8"/>
        </w:rPr>
        <w:t xml:space="preserve"> </w:t>
      </w:r>
      <w:r>
        <w:rPr>
          <w:rFonts w:eastAsia="Roboto"/>
          <w:color w:val="202024"/>
        </w:rPr>
        <w:t>uncertainty</w:t>
      </w:r>
      <w:r>
        <w:rPr>
          <w:rFonts w:eastAsia="Roboto"/>
          <w:color w:val="202024"/>
          <w:spacing w:val="7"/>
        </w:rPr>
        <w:t xml:space="preserve"> </w:t>
      </w:r>
      <w:r>
        <w:rPr>
          <w:rFonts w:eastAsia="Roboto"/>
          <w:color w:val="202024"/>
        </w:rPr>
        <w:t>in</w:t>
      </w:r>
      <w:r>
        <w:rPr>
          <w:rFonts w:eastAsia="Roboto"/>
          <w:color w:val="202024"/>
          <w:spacing w:val="8"/>
        </w:rPr>
        <w:t xml:space="preserve"> </w:t>
      </w:r>
      <w:r>
        <w:rPr>
          <w:rFonts w:eastAsia="Roboto"/>
          <w:color w:val="202024"/>
        </w:rPr>
        <w:t>investment</w:t>
      </w:r>
      <w:r>
        <w:rPr>
          <w:rFonts w:eastAsia="Roboto"/>
          <w:color w:val="202024"/>
          <w:spacing w:val="1"/>
        </w:rPr>
        <w:t xml:space="preserve"> </w:t>
      </w:r>
      <w:r>
        <w:rPr>
          <w:rFonts w:eastAsia="Roboto"/>
          <w:color w:val="202024"/>
        </w:rPr>
        <w:t>decision</w:t>
      </w:r>
      <w:r>
        <w:rPr>
          <w:rFonts w:eastAsia="Roboto"/>
          <w:color w:val="202024"/>
          <w:spacing w:val="6"/>
        </w:rPr>
        <w:t xml:space="preserve"> </w:t>
      </w:r>
      <w:r>
        <w:rPr>
          <w:rFonts w:eastAsia="Roboto"/>
          <w:color w:val="202024"/>
        </w:rPr>
        <w:t>making</w:t>
      </w:r>
      <w:r>
        <w:rPr>
          <w:rFonts w:eastAsia="Roboto"/>
          <w:color w:val="202024"/>
          <w:spacing w:val="6"/>
        </w:rPr>
        <w:t xml:space="preserve"> </w:t>
      </w:r>
      <w:r>
        <w:rPr>
          <w:rFonts w:eastAsia="Roboto"/>
          <w:color w:val="202024"/>
        </w:rPr>
        <w:t>in</w:t>
      </w:r>
      <w:r>
        <w:rPr>
          <w:rFonts w:eastAsia="Roboto"/>
          <w:color w:val="202024"/>
          <w:spacing w:val="6"/>
        </w:rPr>
        <w:t xml:space="preserve"> </w:t>
      </w:r>
      <w:r>
        <w:rPr>
          <w:rFonts w:eastAsia="Roboto"/>
          <w:color w:val="202024"/>
        </w:rPr>
        <w:t>the</w:t>
      </w:r>
      <w:r>
        <w:rPr>
          <w:rFonts w:eastAsia="Roboto"/>
          <w:color w:val="202024"/>
          <w:spacing w:val="6"/>
        </w:rPr>
        <w:t xml:space="preserve"> </w:t>
      </w:r>
      <w:r>
        <w:rPr>
          <w:rFonts w:eastAsia="Roboto"/>
          <w:color w:val="202024"/>
        </w:rPr>
        <w:t>Nigerian</w:t>
      </w:r>
      <w:r>
        <w:rPr>
          <w:rFonts w:eastAsia="Roboto"/>
          <w:color w:val="202024"/>
          <w:spacing w:val="6"/>
        </w:rPr>
        <w:t xml:space="preserve"> </w:t>
      </w:r>
      <w:r>
        <w:rPr>
          <w:rFonts w:eastAsia="Roboto"/>
          <w:color w:val="202024"/>
        </w:rPr>
        <w:t>oil</w:t>
      </w:r>
      <w:r>
        <w:rPr>
          <w:rFonts w:eastAsia="Roboto"/>
          <w:color w:val="202024"/>
          <w:spacing w:val="6"/>
        </w:rPr>
        <w:t xml:space="preserve"> </w:t>
      </w:r>
      <w:r>
        <w:rPr>
          <w:rFonts w:eastAsia="Roboto"/>
          <w:color w:val="202024"/>
        </w:rPr>
        <w:t>and</w:t>
      </w:r>
      <w:r>
        <w:rPr>
          <w:rFonts w:eastAsia="Roboto"/>
          <w:color w:val="202024"/>
          <w:spacing w:val="6"/>
        </w:rPr>
        <w:t xml:space="preserve"> </w:t>
      </w:r>
      <w:r>
        <w:rPr>
          <w:rFonts w:eastAsia="Roboto"/>
          <w:color w:val="202024"/>
        </w:rPr>
        <w:t>gas</w:t>
      </w:r>
      <w:r>
        <w:rPr>
          <w:rFonts w:eastAsia="Roboto"/>
          <w:color w:val="202024"/>
          <w:spacing w:val="6"/>
        </w:rPr>
        <w:t xml:space="preserve"> </w:t>
      </w:r>
      <w:r>
        <w:rPr>
          <w:rFonts w:eastAsia="Roboto"/>
          <w:color w:val="202024"/>
        </w:rPr>
        <w:t>tax</w:t>
      </w:r>
      <w:r>
        <w:rPr>
          <w:rFonts w:eastAsia="Roboto"/>
          <w:color w:val="202024"/>
          <w:spacing w:val="6"/>
        </w:rPr>
        <w:t xml:space="preserve"> </w:t>
      </w:r>
      <w:r>
        <w:rPr>
          <w:rFonts w:eastAsia="Roboto"/>
          <w:color w:val="202024"/>
        </w:rPr>
        <w:t>sector?</w:t>
      </w:r>
    </w:p>
    <w:p w14:paraId="3704AA47">
      <w:pPr>
        <w:widowControl w:val="0"/>
        <w:autoSpaceDE w:val="0"/>
        <w:autoSpaceDN w:val="0"/>
        <w:spacing w:before="101"/>
        <w:rPr>
          <w:rFonts w:ascii="Roboto" w:hAnsi="Roboto" w:eastAsia="Roboto" w:cs="Roboto"/>
          <w:sz w:val="18"/>
          <w:szCs w:val="22"/>
        </w:rPr>
      </w:pPr>
      <w:r>
        <w:rPr>
          <w:rFonts w:ascii="Roboto" w:hAnsi="Roboto" w:eastAsia="Roboto" w:cs="Roboto"/>
          <w:color w:val="202024"/>
          <w:sz w:val="18"/>
          <w:szCs w:val="22"/>
        </w:rPr>
        <w:t>76</w:t>
      </w:r>
      <w:r>
        <w:rPr>
          <w:rFonts w:ascii="Roboto" w:hAnsi="Roboto" w:eastAsia="Roboto" w:cs="Roboto"/>
          <w:color w:val="202024"/>
          <w:spacing w:val="20"/>
          <w:sz w:val="18"/>
          <w:szCs w:val="22"/>
        </w:rPr>
        <w:t xml:space="preserve"> </w:t>
      </w:r>
      <w:r>
        <w:rPr>
          <w:rFonts w:ascii="Roboto" w:hAnsi="Roboto" w:eastAsia="Roboto" w:cs="Roboto"/>
          <w:color w:val="202024"/>
          <w:sz w:val="18"/>
          <w:szCs w:val="22"/>
        </w:rPr>
        <w:t>responses</w:t>
      </w:r>
    </w:p>
    <w:p w14:paraId="490543FA">
      <w:pPr>
        <w:widowControl w:val="0"/>
        <w:autoSpaceDE w:val="0"/>
        <w:autoSpaceDN w:val="0"/>
        <w:spacing w:before="73"/>
        <w:rPr>
          <w:rFonts w:ascii="Lucida Sans Unicode" w:hAnsi="Roboto" w:eastAsia="Roboto" w:cs="Roboto"/>
          <w:sz w:val="20"/>
          <w:szCs w:val="22"/>
        </w:rPr>
      </w:pPr>
      <w:r>
        <w:rPr>
          <w:rFonts w:ascii="Roboto" w:hAnsi="Roboto" w:eastAsia="Roboto" w:cs="Roboto"/>
          <w:sz w:val="22"/>
          <w:szCs w:val="22"/>
        </w:rPr>
        <w:br w:type="column"/>
      </w:r>
      <w:r>
        <w:rPr>
          <w:rFonts w:ascii="Lucida Sans Unicode" w:hAnsi="Roboto" w:eastAsia="Roboto" w:cs="Roboto"/>
          <w:color w:val="1A73E7"/>
          <w:w w:val="105"/>
          <w:sz w:val="20"/>
          <w:szCs w:val="22"/>
        </w:rPr>
        <w:t>Copy</w:t>
      </w:r>
    </w:p>
    <w:p w14:paraId="6A0DB405">
      <w:pPr>
        <w:widowControl w:val="0"/>
        <w:autoSpaceDE w:val="0"/>
        <w:autoSpaceDN w:val="0"/>
        <w:rPr>
          <w:rFonts w:ascii="Lucida Sans Unicode" w:hAnsi="Roboto" w:eastAsia="Roboto" w:cs="Roboto"/>
          <w:sz w:val="20"/>
          <w:szCs w:val="22"/>
        </w:rPr>
        <w:sectPr>
          <w:type w:val="continuous"/>
          <w:pgSz w:w="11900" w:h="16840"/>
          <w:pgMar w:top="480" w:right="1280" w:bottom="1680" w:left="1040" w:header="720" w:footer="720" w:gutter="0"/>
          <w:cols w:equalWidth="0" w:num="2">
            <w:col w:w="7851" w:space="945"/>
            <w:col w:w="784"/>
          </w:cols>
        </w:sectPr>
      </w:pPr>
    </w:p>
    <w:p w14:paraId="2AC01ABB">
      <w:pPr>
        <w:widowControl w:val="0"/>
        <w:autoSpaceDE w:val="0"/>
        <w:autoSpaceDN w:val="0"/>
        <w:spacing w:before="10"/>
        <w:rPr>
          <w:rFonts w:ascii="Lucida Sans Unicode" w:hAnsi="Roboto" w:eastAsia="Roboto" w:cs="Roboto"/>
          <w:sz w:val="21"/>
          <w:szCs w:val="21"/>
        </w:rPr>
      </w:pPr>
    </w:p>
    <w:p w14:paraId="26CE3587">
      <w:pPr>
        <w:widowControl w:val="0"/>
        <w:autoSpaceDE w:val="0"/>
        <w:autoSpaceDN w:val="0"/>
        <w:spacing w:before="94"/>
        <w:rPr>
          <w:rFonts w:ascii="Arial MT" w:hAnsi="Roboto" w:eastAsia="Roboto" w:cs="Roboto"/>
          <w:sz w:val="18"/>
          <w:szCs w:val="22"/>
        </w:rPr>
      </w:pPr>
      <w:r>
        <w:rPr>
          <w:rFonts w:ascii="Arial MT" w:hAnsi="Roboto" w:eastAsia="Roboto" w:cs="Roboto"/>
          <w:color w:val="444444"/>
          <w:sz w:val="18"/>
          <w:szCs w:val="22"/>
        </w:rPr>
        <w:t>60</w:t>
      </w:r>
    </w:p>
    <w:p w14:paraId="4FE83B5B">
      <w:pPr>
        <w:widowControl w:val="0"/>
        <w:autoSpaceDE w:val="0"/>
        <w:autoSpaceDN w:val="0"/>
        <w:rPr>
          <w:rFonts w:ascii="Arial MT" w:hAnsi="Roboto" w:eastAsia="Roboto" w:cs="Roboto"/>
          <w:sz w:val="20"/>
          <w:szCs w:val="21"/>
        </w:rPr>
      </w:pPr>
    </w:p>
    <w:p w14:paraId="1B39FE8F">
      <w:pPr>
        <w:widowControl w:val="0"/>
        <w:autoSpaceDE w:val="0"/>
        <w:autoSpaceDN w:val="0"/>
        <w:rPr>
          <w:rFonts w:ascii="Arial MT" w:hAnsi="Roboto" w:eastAsia="Roboto" w:cs="Roboto"/>
          <w:sz w:val="20"/>
          <w:szCs w:val="21"/>
        </w:rPr>
      </w:pPr>
    </w:p>
    <w:p w14:paraId="1AE76807">
      <w:pPr>
        <w:widowControl w:val="0"/>
        <w:autoSpaceDE w:val="0"/>
        <w:autoSpaceDN w:val="0"/>
        <w:spacing w:before="10"/>
        <w:rPr>
          <w:rFonts w:ascii="Arial MT" w:hAnsi="Roboto" w:eastAsia="Roboto" w:cs="Roboto"/>
          <w:sz w:val="19"/>
          <w:szCs w:val="21"/>
        </w:rPr>
      </w:pPr>
    </w:p>
    <w:p w14:paraId="3A8E913C">
      <w:pPr>
        <w:widowControl w:val="0"/>
        <w:autoSpaceDE w:val="0"/>
        <w:autoSpaceDN w:val="0"/>
        <w:rPr>
          <w:rFonts w:ascii="Arial MT" w:hAnsi="Roboto" w:eastAsia="Roboto" w:cs="Roboto"/>
          <w:sz w:val="18"/>
          <w:szCs w:val="22"/>
        </w:rPr>
      </w:pPr>
      <w:r>
        <mc:AlternateContent>
          <mc:Choice Requires="wps">
            <w:drawing>
              <wp:anchor distT="0" distB="0" distL="114300" distR="114300" simplePos="0" relativeHeight="251736064" behindDoc="0" locked="0" layoutInCell="1" allowOverlap="1">
                <wp:simplePos x="0" y="0"/>
                <wp:positionH relativeFrom="page">
                  <wp:posOffset>5638800</wp:posOffset>
                </wp:positionH>
                <wp:positionV relativeFrom="paragraph">
                  <wp:posOffset>-125095</wp:posOffset>
                </wp:positionV>
                <wp:extent cx="638175" cy="1323975"/>
                <wp:effectExtent l="0" t="0" r="0" b="0"/>
                <wp:wrapNone/>
                <wp:docPr id="1199714689" name="Text Box 58"/>
                <wp:cNvGraphicFramePr/>
                <a:graphic xmlns:a="http://schemas.openxmlformats.org/drawingml/2006/main">
                  <a:graphicData uri="http://schemas.microsoft.com/office/word/2010/wordprocessingShape">
                    <wps:wsp>
                      <wps:cNvSpPr txBox="1">
                        <a:spLocks noChangeArrowheads="1"/>
                      </wps:cNvSpPr>
                      <wps:spPr bwMode="auto">
                        <a:xfrm>
                          <a:off x="0" y="0"/>
                          <a:ext cx="638175" cy="1323975"/>
                        </a:xfrm>
                        <a:prstGeom prst="rect">
                          <a:avLst/>
                        </a:prstGeom>
                        <a:solidFill>
                          <a:srgbClr val="663AB6"/>
                        </a:solidFill>
                        <a:ln>
                          <a:noFill/>
                        </a:ln>
                        <a:effectLst/>
                      </wps:spPr>
                      <wps:txbx>
                        <w:txbxContent>
                          <w:p w14:paraId="18994223">
                            <w:pPr>
                              <w:spacing w:before="14"/>
                              <w:rPr>
                                <w:rFonts w:ascii="Arial MT"/>
                                <w:sz w:val="18"/>
                              </w:rPr>
                            </w:pPr>
                            <w:r>
                              <w:rPr>
                                <w:rFonts w:ascii="Arial MT"/>
                                <w:color w:val="FFFFFF"/>
                                <w:sz w:val="18"/>
                              </w:rPr>
                              <w:t>47 (61.8%)</w:t>
                            </w:r>
                          </w:p>
                        </w:txbxContent>
                      </wps:txbx>
                      <wps:bodyPr rot="0" vert="horz" wrap="square" lIns="0" tIns="0" rIns="0" bIns="0" anchor="t" anchorCtr="0" upright="1">
                        <a:noAutofit/>
                      </wps:bodyPr>
                    </wps:wsp>
                  </a:graphicData>
                </a:graphic>
              </wp:anchor>
            </w:drawing>
          </mc:Choice>
          <mc:Fallback>
            <w:pict>
              <v:shape id="Text Box 58" o:spid="_x0000_s1026" o:spt="202" type="#_x0000_t202" style="position:absolute;left:0pt;margin-left:444pt;margin-top:-9.85pt;height:104.25pt;width:50.25pt;mso-position-horizontal-relative:page;z-index:251736064;mso-width-relative:page;mso-height-relative:page;" fillcolor="#663AB6" filled="t" stroked="f" coordsize="21600,21600" o:gfxdata="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o0jndcA&#10;AAALAQAADwAAAAAAAAABACAAAAAiAAAAZHJzL2Rvd25yZXYueG1sUEsBAhQAFAAAAAgAh07iQL4e&#10;CVYgAgAARQQAAA4AAAAAAAAAAQAgAAAAJgEAAGRycy9lMm9Eb2MueG1sUEsFBgAAAAAGAAYAWQEA&#10;ALgFAAAAAA==&#10;">
                <v:fill on="t" focussize="0,0"/>
                <v:stroke on="f"/>
                <v:imagedata o:title=""/>
                <o:lock v:ext="edit" aspectratio="f"/>
                <v:textbox inset="0mm,0mm,0mm,0mm">
                  <w:txbxContent>
                    <w:p w14:paraId="18994223">
                      <w:pPr>
                        <w:spacing w:before="14"/>
                        <w:rPr>
                          <w:rFonts w:ascii="Arial MT"/>
                          <w:sz w:val="18"/>
                        </w:rPr>
                      </w:pPr>
                      <w:r>
                        <w:rPr>
                          <w:rFonts w:ascii="Arial MT"/>
                          <w:color w:val="FFFFFF"/>
                          <w:sz w:val="18"/>
                        </w:rPr>
                        <w:t>47 (61.8%)</w:t>
                      </w:r>
                    </w:p>
                  </w:txbxContent>
                </v:textbox>
              </v:shape>
            </w:pict>
          </mc:Fallback>
        </mc:AlternateContent>
      </w:r>
      <w:r>
        <w:rPr>
          <w:rFonts w:ascii="Arial MT" w:hAnsi="Roboto" w:eastAsia="Roboto" w:cs="Roboto"/>
          <w:color w:val="444444"/>
          <w:sz w:val="18"/>
          <w:szCs w:val="22"/>
        </w:rPr>
        <w:t>40</w:t>
      </w:r>
    </w:p>
    <w:p w14:paraId="0A668996">
      <w:pPr>
        <w:widowControl w:val="0"/>
        <w:autoSpaceDE w:val="0"/>
        <w:autoSpaceDN w:val="0"/>
        <w:rPr>
          <w:rFonts w:ascii="Arial MT" w:hAnsi="Roboto" w:eastAsia="Roboto" w:cs="Roboto"/>
          <w:sz w:val="20"/>
          <w:szCs w:val="21"/>
        </w:rPr>
      </w:pPr>
    </w:p>
    <w:p w14:paraId="1AB8EA5B">
      <w:pPr>
        <w:widowControl w:val="0"/>
        <w:autoSpaceDE w:val="0"/>
        <w:autoSpaceDN w:val="0"/>
        <w:rPr>
          <w:rFonts w:ascii="Arial MT" w:hAnsi="Roboto" w:eastAsia="Roboto" w:cs="Roboto"/>
          <w:sz w:val="20"/>
          <w:szCs w:val="21"/>
        </w:rPr>
      </w:pPr>
    </w:p>
    <w:p w14:paraId="430354A3">
      <w:pPr>
        <w:widowControl w:val="0"/>
        <w:autoSpaceDE w:val="0"/>
        <w:autoSpaceDN w:val="0"/>
        <w:spacing w:before="9"/>
        <w:rPr>
          <w:rFonts w:ascii="Arial MT" w:hAnsi="Roboto" w:eastAsia="Roboto" w:cs="Roboto"/>
          <w:sz w:val="19"/>
          <w:szCs w:val="21"/>
        </w:rPr>
      </w:pPr>
    </w:p>
    <w:p w14:paraId="71D2D82A">
      <w:pPr>
        <w:widowControl w:val="0"/>
        <w:autoSpaceDE w:val="0"/>
        <w:autoSpaceDN w:val="0"/>
        <w:rPr>
          <w:rFonts w:ascii="Arial MT" w:hAnsi="Roboto" w:eastAsia="Roboto" w:cs="Roboto"/>
          <w:sz w:val="18"/>
          <w:szCs w:val="22"/>
        </w:rPr>
      </w:pPr>
      <w:r>
        <w:rPr>
          <w:rFonts w:ascii="Arial MT" w:hAnsi="Roboto" w:eastAsia="Roboto" w:cs="Roboto"/>
          <w:color w:val="444444"/>
          <w:sz w:val="18"/>
          <w:szCs w:val="22"/>
        </w:rPr>
        <w:t>20</w:t>
      </w:r>
    </w:p>
    <w:p w14:paraId="40BBB320">
      <w:pPr>
        <w:widowControl w:val="0"/>
        <w:autoSpaceDE w:val="0"/>
        <w:autoSpaceDN w:val="0"/>
        <w:spacing w:before="11"/>
        <w:rPr>
          <w:rFonts w:ascii="Arial MT" w:hAnsi="Roboto" w:eastAsia="Roboto" w:cs="Roboto"/>
          <w:szCs w:val="21"/>
        </w:rPr>
      </w:pPr>
    </w:p>
    <w:p w14:paraId="7BD3B3CE">
      <w:pPr>
        <w:widowControl w:val="0"/>
        <w:tabs>
          <w:tab w:val="left" w:pos="3119"/>
        </w:tabs>
        <w:autoSpaceDE w:val="0"/>
        <w:autoSpaceDN w:val="0"/>
        <w:spacing w:before="94"/>
        <w:rPr>
          <w:rFonts w:ascii="Arial MT" w:hAnsi="Roboto" w:eastAsia="Roboto" w:cs="Roboto"/>
          <w:sz w:val="18"/>
          <w:szCs w:val="22"/>
        </w:rPr>
      </w:pPr>
      <w:r>
        <mc:AlternateContent>
          <mc:Choice Requires="wps">
            <w:drawing>
              <wp:anchor distT="0" distB="0" distL="114300" distR="114300" simplePos="0" relativeHeight="251737088" behindDoc="0" locked="0" layoutInCell="1" allowOverlap="1">
                <wp:simplePos x="0" y="0"/>
                <wp:positionH relativeFrom="page">
                  <wp:posOffset>4610100</wp:posOffset>
                </wp:positionH>
                <wp:positionV relativeFrom="paragraph">
                  <wp:posOffset>-158750</wp:posOffset>
                </wp:positionV>
                <wp:extent cx="638175" cy="476250"/>
                <wp:effectExtent l="0" t="0" r="0" b="0"/>
                <wp:wrapNone/>
                <wp:docPr id="180242870" name="Text Box 57"/>
                <wp:cNvGraphicFramePr/>
                <a:graphic xmlns:a="http://schemas.openxmlformats.org/drawingml/2006/main">
                  <a:graphicData uri="http://schemas.microsoft.com/office/word/2010/wordprocessingShape">
                    <wps:wsp>
                      <wps:cNvSpPr txBox="1">
                        <a:spLocks noChangeArrowheads="1"/>
                      </wps:cNvSpPr>
                      <wps:spPr bwMode="auto">
                        <a:xfrm>
                          <a:off x="0" y="0"/>
                          <a:ext cx="638175" cy="476250"/>
                        </a:xfrm>
                        <a:prstGeom prst="rect">
                          <a:avLst/>
                        </a:prstGeom>
                        <a:solidFill>
                          <a:srgbClr val="663AB6"/>
                        </a:solidFill>
                        <a:ln>
                          <a:noFill/>
                        </a:ln>
                        <a:effectLst/>
                      </wps:spPr>
                      <wps:txbx>
                        <w:txbxContent>
                          <w:p w14:paraId="4FAAB8ED">
                            <w:pPr>
                              <w:spacing w:before="14"/>
                              <w:rPr>
                                <w:rFonts w:ascii="Arial MT"/>
                                <w:sz w:val="18"/>
                              </w:rPr>
                            </w:pPr>
                            <w:r>
                              <w:rPr>
                                <w:rFonts w:ascii="Arial MT"/>
                                <w:color w:val="FFFFFF"/>
                                <w:sz w:val="18"/>
                              </w:rPr>
                              <w:t>17 (22.4%)</w:t>
                            </w:r>
                          </w:p>
                        </w:txbxContent>
                      </wps:txbx>
                      <wps:bodyPr rot="0" vert="horz" wrap="square" lIns="0" tIns="0" rIns="0" bIns="0" anchor="t" anchorCtr="0" upright="1">
                        <a:noAutofit/>
                      </wps:bodyPr>
                    </wps:wsp>
                  </a:graphicData>
                </a:graphic>
              </wp:anchor>
            </w:drawing>
          </mc:Choice>
          <mc:Fallback>
            <w:pict>
              <v:shape id="Text Box 57" o:spid="_x0000_s1026" o:spt="202" type="#_x0000_t202" style="position:absolute;left:0pt;margin-left:363pt;margin-top:-12.5pt;height:37.5pt;width:50.25pt;mso-position-horizontal-relative:page;z-index:251737088;mso-width-relative:page;mso-height-relative:page;" fillcolor="#663AB6" filled="t" stroked="f" coordsize="21600,21600" o:gfxdata="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Z/JTdcA&#10;AAAKAQAADwAAAAAAAAABACAAAAAiAAAAZHJzL2Rvd25yZXYueG1sUEsBAhQAFAAAAAgAh07iQKsd&#10;74QgAgAAQwQAAA4AAAAAAAAAAQAgAAAAJgEAAGRycy9lMm9Eb2MueG1sUEsFBgAAAAAGAAYAWQEA&#10;ALgFAAAAAA==&#10;">
                <v:fill on="t" focussize="0,0"/>
                <v:stroke on="f"/>
                <v:imagedata o:title=""/>
                <o:lock v:ext="edit" aspectratio="f"/>
                <v:textbox inset="0mm,0mm,0mm,0mm">
                  <w:txbxContent>
                    <w:p w14:paraId="4FAAB8ED">
                      <w:pPr>
                        <w:spacing w:before="14"/>
                        <w:rPr>
                          <w:rFonts w:ascii="Arial MT"/>
                          <w:sz w:val="18"/>
                        </w:rPr>
                      </w:pPr>
                      <w:r>
                        <w:rPr>
                          <w:rFonts w:ascii="Arial MT"/>
                          <w:color w:val="FFFFFF"/>
                          <w:sz w:val="18"/>
                        </w:rPr>
                        <w:t>17 (22.4%)</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page">
                  <wp:posOffset>3581400</wp:posOffset>
                </wp:positionH>
                <wp:positionV relativeFrom="paragraph">
                  <wp:posOffset>12700</wp:posOffset>
                </wp:positionV>
                <wp:extent cx="628650" cy="304800"/>
                <wp:effectExtent l="0" t="0" r="0" b="0"/>
                <wp:wrapNone/>
                <wp:docPr id="467523008" name="Text Box 56"/>
                <wp:cNvGraphicFramePr/>
                <a:graphic xmlns:a="http://schemas.openxmlformats.org/drawingml/2006/main">
                  <a:graphicData uri="http://schemas.microsoft.com/office/word/2010/wordprocessingShape">
                    <wps:wsp>
                      <wps:cNvSpPr txBox="1">
                        <a:spLocks noChangeArrowheads="1"/>
                      </wps:cNvSpPr>
                      <wps:spPr bwMode="auto">
                        <a:xfrm>
                          <a:off x="0" y="0"/>
                          <a:ext cx="628650" cy="304800"/>
                        </a:xfrm>
                        <a:prstGeom prst="rect">
                          <a:avLst/>
                        </a:prstGeom>
                        <a:solidFill>
                          <a:srgbClr val="663AB6"/>
                        </a:solidFill>
                        <a:ln>
                          <a:noFill/>
                        </a:ln>
                        <a:effectLst/>
                      </wps:spPr>
                      <wps:txbx>
                        <w:txbxContent>
                          <w:p w14:paraId="0BB7843B">
                            <w:pPr>
                              <w:spacing w:before="14"/>
                              <w:rPr>
                                <w:rFonts w:ascii="Arial MT"/>
                                <w:sz w:val="18"/>
                              </w:rPr>
                            </w:pPr>
                            <w:r>
                              <w:rPr>
                                <w:rFonts w:ascii="Arial MT"/>
                                <w:color w:val="FFFFFF"/>
                                <w:sz w:val="18"/>
                              </w:rPr>
                              <w:t>11</w:t>
                            </w:r>
                            <w:r>
                              <w:rPr>
                                <w:rFonts w:ascii="Arial MT"/>
                                <w:color w:val="FFFFFF"/>
                                <w:spacing w:val="-7"/>
                                <w:sz w:val="18"/>
                              </w:rPr>
                              <w:t xml:space="preserve"> </w:t>
                            </w:r>
                            <w:r>
                              <w:rPr>
                                <w:rFonts w:ascii="Arial MT"/>
                                <w:color w:val="FFFFFF"/>
                                <w:sz w:val="18"/>
                              </w:rPr>
                              <w:t>(14.5%)</w:t>
                            </w:r>
                          </w:p>
                        </w:txbxContent>
                      </wps:txbx>
                      <wps:bodyPr rot="0" vert="horz" wrap="square" lIns="0" tIns="0" rIns="0" bIns="0" anchor="t" anchorCtr="0" upright="1">
                        <a:noAutofit/>
                      </wps:bodyPr>
                    </wps:wsp>
                  </a:graphicData>
                </a:graphic>
              </wp:anchor>
            </w:drawing>
          </mc:Choice>
          <mc:Fallback>
            <w:pict>
              <v:shape id="Text Box 56" o:spid="_x0000_s1026" o:spt="202" type="#_x0000_t202" style="position:absolute;left:0pt;margin-left:282pt;margin-top:1pt;height:24pt;width:49.5pt;mso-position-horizontal-relative:page;z-index:251738112;mso-width-relative:page;mso-height-relative:page;" fillcolor="#663AB6" filled="t" stroked="f" coordsize="21600,21600" o:gfxdata="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ujZ1QAA&#10;AAgBAAAPAAAAAAAAAAEAIAAAACIAAABkcnMvZG93bnJldi54bWxQSwECFAAUAAAACACHTuJAh7XV&#10;oCECAABDBAAADgAAAAAAAAABACAAAAAkAQAAZHJzL2Uyb0RvYy54bWxQSwUGAAAAAAYABgBZAQAA&#10;twUAAAAA&#10;">
                <v:fill on="t" focussize="0,0"/>
                <v:stroke on="f"/>
                <v:imagedata o:title=""/>
                <o:lock v:ext="edit" aspectratio="f"/>
                <v:textbox inset="0mm,0mm,0mm,0mm">
                  <w:txbxContent>
                    <w:p w14:paraId="0BB7843B">
                      <w:pPr>
                        <w:spacing w:before="14"/>
                        <w:rPr>
                          <w:rFonts w:ascii="Arial MT"/>
                          <w:sz w:val="18"/>
                        </w:rPr>
                      </w:pPr>
                      <w:r>
                        <w:rPr>
                          <w:rFonts w:ascii="Arial MT"/>
                          <w:color w:val="FFFFFF"/>
                          <w:sz w:val="18"/>
                        </w:rPr>
                        <w:t>11</w:t>
                      </w:r>
                      <w:r>
                        <w:rPr>
                          <w:rFonts w:ascii="Arial MT"/>
                          <w:color w:val="FFFFFF"/>
                          <w:spacing w:val="-7"/>
                          <w:sz w:val="18"/>
                        </w:rPr>
                        <w:t xml:space="preserve"> </w:t>
                      </w:r>
                      <w:r>
                        <w:rPr>
                          <w:rFonts w:ascii="Arial MT"/>
                          <w:color w:val="FFFFFF"/>
                          <w:sz w:val="18"/>
                        </w:rPr>
                        <w:t>(14.5%)</w:t>
                      </w:r>
                    </w:p>
                  </w:txbxContent>
                </v:textbox>
              </v:shape>
            </w:pict>
          </mc:Fallback>
        </mc:AlternateContent>
      </w:r>
      <w:r>
        <w:rPr>
          <w:rFonts w:ascii="Arial MT" w:hAnsi="Roboto" w:eastAsia="Roboto" w:cs="Roboto"/>
          <w:position w:val="-2"/>
          <w:sz w:val="18"/>
          <w:szCs w:val="22"/>
        </w:rPr>
        <w:t>0 (0%)</w:t>
      </w:r>
      <w:r>
        <w:rPr>
          <w:rFonts w:ascii="Arial MT" w:hAnsi="Roboto" w:eastAsia="Roboto" w:cs="Roboto"/>
          <w:position w:val="-2"/>
          <w:sz w:val="18"/>
          <w:szCs w:val="22"/>
        </w:rPr>
        <w:tab/>
      </w:r>
      <w:r>
        <w:rPr>
          <w:rFonts w:ascii="Arial MT" w:hAnsi="Roboto" w:eastAsia="Roboto" w:cs="Roboto"/>
          <w:color w:val="202024"/>
          <w:sz w:val="18"/>
          <w:szCs w:val="22"/>
        </w:rPr>
        <w:t>1 (1.3%)</w:t>
      </w:r>
    </w:p>
    <w:p w14:paraId="03A5D63B">
      <w:pPr>
        <w:widowControl w:val="0"/>
        <w:autoSpaceDE w:val="0"/>
        <w:autoSpaceDN w:val="0"/>
        <w:spacing w:before="70" w:line="205" w:lineRule="exact"/>
        <w:rPr>
          <w:rFonts w:ascii="Arial MT" w:hAnsi="Roboto" w:eastAsia="Roboto" w:cs="Roboto"/>
          <w:sz w:val="18"/>
          <w:szCs w:val="22"/>
        </w:rPr>
      </w:pPr>
      <w:r>
        <w:rPr>
          <w:rFonts w:ascii="Arial MT" w:hAnsi="Roboto" w:eastAsia="Roboto" w:cs="Roboto"/>
          <w:color w:val="444444"/>
          <w:sz w:val="18"/>
          <w:szCs w:val="22"/>
        </w:rPr>
        <w:t>0</w:t>
      </w:r>
    </w:p>
    <w:p w14:paraId="0C185A99">
      <w:pPr>
        <w:widowControl w:val="0"/>
        <w:tabs>
          <w:tab w:val="left" w:pos="3421"/>
          <w:tab w:val="left" w:pos="5044"/>
          <w:tab w:val="left" w:pos="6667"/>
          <w:tab w:val="left" w:pos="8290"/>
        </w:tabs>
        <w:autoSpaceDE w:val="0"/>
        <w:autoSpaceDN w:val="0"/>
        <w:spacing w:line="205" w:lineRule="exact"/>
        <w:rPr>
          <w:rFonts w:ascii="Arial MT" w:hAnsi="Roboto" w:eastAsia="Roboto" w:cs="Roboto"/>
          <w:sz w:val="18"/>
          <w:szCs w:val="22"/>
        </w:rPr>
      </w:pPr>
      <w:r>
        <w:rPr>
          <w:rFonts w:ascii="Arial MT" w:hAnsi="Roboto" w:eastAsia="Roboto" w:cs="Roboto"/>
          <w:color w:val="212121"/>
          <w:sz w:val="18"/>
          <w:szCs w:val="22"/>
        </w:rPr>
        <w:t>1</w:t>
      </w:r>
      <w:r>
        <w:rPr>
          <w:rFonts w:ascii="Arial MT" w:hAnsi="Roboto" w:eastAsia="Roboto" w:cs="Roboto"/>
          <w:color w:val="212121"/>
          <w:sz w:val="18"/>
          <w:szCs w:val="22"/>
        </w:rPr>
        <w:tab/>
      </w:r>
      <w:r>
        <w:rPr>
          <w:rFonts w:ascii="Arial MT" w:hAnsi="Roboto" w:eastAsia="Roboto" w:cs="Roboto"/>
          <w:color w:val="212121"/>
          <w:sz w:val="18"/>
          <w:szCs w:val="22"/>
        </w:rPr>
        <w:t>2</w:t>
      </w:r>
      <w:r>
        <w:rPr>
          <w:rFonts w:ascii="Arial MT" w:hAnsi="Roboto" w:eastAsia="Roboto" w:cs="Roboto"/>
          <w:color w:val="212121"/>
          <w:sz w:val="18"/>
          <w:szCs w:val="22"/>
        </w:rPr>
        <w:tab/>
      </w:r>
      <w:r>
        <w:rPr>
          <w:rFonts w:ascii="Arial MT" w:hAnsi="Roboto" w:eastAsia="Roboto" w:cs="Roboto"/>
          <w:color w:val="212121"/>
          <w:sz w:val="18"/>
          <w:szCs w:val="22"/>
        </w:rPr>
        <w:t>3</w:t>
      </w:r>
      <w:r>
        <w:rPr>
          <w:rFonts w:ascii="Arial MT" w:hAnsi="Roboto" w:eastAsia="Roboto" w:cs="Roboto"/>
          <w:color w:val="212121"/>
          <w:sz w:val="18"/>
          <w:szCs w:val="22"/>
        </w:rPr>
        <w:tab/>
      </w:r>
      <w:r>
        <w:rPr>
          <w:rFonts w:ascii="Arial MT" w:hAnsi="Roboto" w:eastAsia="Roboto" w:cs="Roboto"/>
          <w:color w:val="212121"/>
          <w:sz w:val="18"/>
          <w:szCs w:val="22"/>
        </w:rPr>
        <w:t>4</w:t>
      </w:r>
      <w:r>
        <w:rPr>
          <w:rFonts w:ascii="Arial MT" w:hAnsi="Roboto" w:eastAsia="Roboto" w:cs="Roboto"/>
          <w:color w:val="212121"/>
          <w:sz w:val="18"/>
          <w:szCs w:val="22"/>
        </w:rPr>
        <w:tab/>
      </w:r>
      <w:r>
        <w:rPr>
          <w:rFonts w:ascii="Arial MT" w:hAnsi="Roboto" w:eastAsia="Roboto" w:cs="Roboto"/>
          <w:color w:val="212121"/>
          <w:sz w:val="18"/>
          <w:szCs w:val="22"/>
        </w:rPr>
        <w:t>5</w:t>
      </w:r>
    </w:p>
    <w:p w14:paraId="1D5845CC">
      <w:pPr>
        <w:widowControl w:val="0"/>
        <w:autoSpaceDE w:val="0"/>
        <w:autoSpaceDN w:val="0"/>
        <w:spacing w:line="205" w:lineRule="exact"/>
        <w:rPr>
          <w:rFonts w:ascii="Arial MT" w:hAnsi="Roboto" w:eastAsia="Roboto" w:cs="Roboto"/>
          <w:sz w:val="18"/>
          <w:szCs w:val="22"/>
        </w:rPr>
        <w:sectPr>
          <w:type w:val="continuous"/>
          <w:pgSz w:w="11900" w:h="16840"/>
          <w:pgMar w:top="480" w:right="1280" w:bottom="1680" w:left="1040" w:header="720" w:footer="720" w:gutter="0"/>
          <w:cols w:space="720" w:num="1"/>
        </w:sectPr>
      </w:pPr>
    </w:p>
    <w:p w14:paraId="5E7A6F03">
      <w:pPr>
        <w:widowControl w:val="0"/>
        <w:autoSpaceDE w:val="0"/>
        <w:autoSpaceDN w:val="0"/>
        <w:spacing w:before="4"/>
        <w:rPr>
          <w:rFonts w:ascii="Arial MT" w:hAnsi="Roboto" w:eastAsia="Roboto" w:cs="Roboto"/>
          <w:sz w:val="17"/>
          <w:szCs w:val="21"/>
        </w:rPr>
      </w:pPr>
      <w:r>
        <mc:AlternateContent>
          <mc:Choice Requires="wpg">
            <w:drawing>
              <wp:anchor distT="0" distB="0" distL="114300" distR="114300" simplePos="0" relativeHeight="251739136" behindDoc="0" locked="0" layoutInCell="1" allowOverlap="1">
                <wp:simplePos x="0" y="0"/>
                <wp:positionH relativeFrom="page">
                  <wp:posOffset>733425</wp:posOffset>
                </wp:positionH>
                <wp:positionV relativeFrom="page">
                  <wp:posOffset>352425</wp:posOffset>
                </wp:positionV>
                <wp:extent cx="6096000" cy="3752850"/>
                <wp:effectExtent l="9525" t="9525" r="0" b="0"/>
                <wp:wrapNone/>
                <wp:docPr id="366951539" name="Group 56"/>
                <wp:cNvGraphicFramePr/>
                <a:graphic xmlns:a="http://schemas.openxmlformats.org/drawingml/2006/main">
                  <a:graphicData uri="http://schemas.microsoft.com/office/word/2010/wordprocessingGroup">
                    <wpg:wgp>
                      <wpg:cNvGrpSpPr/>
                      <wpg:grpSpPr>
                        <a:xfrm>
                          <a:off x="0" y="0"/>
                          <a:ext cx="6096000" cy="3752850"/>
                          <a:chOff x="1155" y="555"/>
                          <a:chExt cx="9600" cy="5910"/>
                        </a:xfrm>
                        <a:effectLst/>
                      </wpg:grpSpPr>
                      <wps:wsp>
                        <wps:cNvPr id="1127339507" name="Freeform 81"/>
                        <wps:cNvSpPr/>
                        <wps:spPr bwMode="auto">
                          <a:xfrm>
                            <a:off x="1162" y="562"/>
                            <a:ext cx="9585" cy="5895"/>
                          </a:xfrm>
                          <a:custGeom>
                            <a:avLst/>
                            <a:gdLst>
                              <a:gd name="T0" fmla="*/ 0 w 9585"/>
                              <a:gd name="T1" fmla="*/ 6345 h 5895"/>
                              <a:gd name="T2" fmla="*/ 0 w 9585"/>
                              <a:gd name="T3" fmla="*/ 675 h 5895"/>
                              <a:gd name="T4" fmla="*/ 0 w 9585"/>
                              <a:gd name="T5" fmla="*/ 668 h 5895"/>
                              <a:gd name="T6" fmla="*/ 1 w 9585"/>
                              <a:gd name="T7" fmla="*/ 660 h 5895"/>
                              <a:gd name="T8" fmla="*/ 28 w 9585"/>
                              <a:gd name="T9" fmla="*/ 601 h 5895"/>
                              <a:gd name="T10" fmla="*/ 50 w 9585"/>
                              <a:gd name="T11" fmla="*/ 581 h 5895"/>
                              <a:gd name="T12" fmla="*/ 57 w 9585"/>
                              <a:gd name="T13" fmla="*/ 577 h 5895"/>
                              <a:gd name="T14" fmla="*/ 113 w 9585"/>
                              <a:gd name="T15" fmla="*/ 562 h 5895"/>
                              <a:gd name="T16" fmla="*/ 9473 w 9585"/>
                              <a:gd name="T17" fmla="*/ 562 h 5895"/>
                              <a:gd name="T18" fmla="*/ 9535 w 9585"/>
                              <a:gd name="T19" fmla="*/ 581 h 5895"/>
                              <a:gd name="T20" fmla="*/ 9542 w 9585"/>
                              <a:gd name="T21" fmla="*/ 586 h 5895"/>
                              <a:gd name="T22" fmla="*/ 9580 w 9585"/>
                              <a:gd name="T23" fmla="*/ 639 h 5895"/>
                              <a:gd name="T24" fmla="*/ 9585 w 9585"/>
                              <a:gd name="T25" fmla="*/ 668 h 5895"/>
                              <a:gd name="T26" fmla="*/ 9585 w 9585"/>
                              <a:gd name="T27" fmla="*/ 675 h 5895"/>
                              <a:gd name="T28" fmla="*/ 9585 w 9585"/>
                              <a:gd name="T29" fmla="*/ 6345 h 5895"/>
                              <a:gd name="T30" fmla="*/ 9585 w 9585"/>
                              <a:gd name="T31" fmla="*/ 6352 h 5895"/>
                              <a:gd name="T32" fmla="*/ 9585 w 9585"/>
                              <a:gd name="T33" fmla="*/ 6360 h 5895"/>
                              <a:gd name="T34" fmla="*/ 9583 w 9585"/>
                              <a:gd name="T35" fmla="*/ 6367 h 5895"/>
                              <a:gd name="T36" fmla="*/ 9582 w 9585"/>
                              <a:gd name="T37" fmla="*/ 6374 h 5895"/>
                              <a:gd name="T38" fmla="*/ 9547 w 9585"/>
                              <a:gd name="T39" fmla="*/ 6430 h 5895"/>
                              <a:gd name="T40" fmla="*/ 9535 w 9585"/>
                              <a:gd name="T41" fmla="*/ 6439 h 5895"/>
                              <a:gd name="T42" fmla="*/ 9529 w 9585"/>
                              <a:gd name="T43" fmla="*/ 6443 h 5895"/>
                              <a:gd name="T44" fmla="*/ 9495 w 9585"/>
                              <a:gd name="T45" fmla="*/ 6455 h 5895"/>
                              <a:gd name="T46" fmla="*/ 9488 w 9585"/>
                              <a:gd name="T47" fmla="*/ 6457 h 5895"/>
                              <a:gd name="T48" fmla="*/ 9480 w 9585"/>
                              <a:gd name="T49" fmla="*/ 6457 h 5895"/>
                              <a:gd name="T50" fmla="*/ 9473 w 9585"/>
                              <a:gd name="T51" fmla="*/ 6457 h 5895"/>
                              <a:gd name="T52" fmla="*/ 113 w 9585"/>
                              <a:gd name="T53" fmla="*/ 6457 h 5895"/>
                              <a:gd name="T54" fmla="*/ 106 w 9585"/>
                              <a:gd name="T55" fmla="*/ 6457 h 5895"/>
                              <a:gd name="T56" fmla="*/ 98 w 9585"/>
                              <a:gd name="T57" fmla="*/ 6457 h 5895"/>
                              <a:gd name="T58" fmla="*/ 91 w 9585"/>
                              <a:gd name="T59" fmla="*/ 6455 h 5895"/>
                              <a:gd name="T60" fmla="*/ 84 w 9585"/>
                              <a:gd name="T61" fmla="*/ 6454 h 5895"/>
                              <a:gd name="T62" fmla="*/ 50 w 9585"/>
                              <a:gd name="T63" fmla="*/ 6439 h 5895"/>
                              <a:gd name="T64" fmla="*/ 44 w 9585"/>
                              <a:gd name="T65" fmla="*/ 6434 h 5895"/>
                              <a:gd name="T66" fmla="*/ 19 w 9585"/>
                              <a:gd name="T67" fmla="*/ 6407 h 5895"/>
                              <a:gd name="T68" fmla="*/ 15 w 9585"/>
                              <a:gd name="T69" fmla="*/ 6401 h 5895"/>
                              <a:gd name="T70" fmla="*/ 3 w 9585"/>
                              <a:gd name="T71" fmla="*/ 6367 h 5895"/>
                              <a:gd name="T72" fmla="*/ 1 w 9585"/>
                              <a:gd name="T73" fmla="*/ 6360 h 5895"/>
                              <a:gd name="T74" fmla="*/ 0 w 9585"/>
                              <a:gd name="T75" fmla="*/ 6352 h 5895"/>
                              <a:gd name="T76" fmla="*/ 0 w 9585"/>
                              <a:gd name="T77" fmla="*/ 6345 h 589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585" h="5895">
                                <a:moveTo>
                                  <a:pt x="0" y="5783"/>
                                </a:moveTo>
                                <a:lnTo>
                                  <a:pt x="0" y="113"/>
                                </a:lnTo>
                                <a:lnTo>
                                  <a:pt x="0" y="106"/>
                                </a:lnTo>
                                <a:lnTo>
                                  <a:pt x="1" y="98"/>
                                </a:lnTo>
                                <a:lnTo>
                                  <a:pt x="28" y="39"/>
                                </a:lnTo>
                                <a:lnTo>
                                  <a:pt x="50" y="19"/>
                                </a:lnTo>
                                <a:lnTo>
                                  <a:pt x="57" y="15"/>
                                </a:lnTo>
                                <a:lnTo>
                                  <a:pt x="113" y="0"/>
                                </a:lnTo>
                                <a:lnTo>
                                  <a:pt x="9473" y="0"/>
                                </a:lnTo>
                                <a:lnTo>
                                  <a:pt x="9535" y="19"/>
                                </a:lnTo>
                                <a:lnTo>
                                  <a:pt x="9542" y="24"/>
                                </a:lnTo>
                                <a:lnTo>
                                  <a:pt x="9580" y="77"/>
                                </a:lnTo>
                                <a:lnTo>
                                  <a:pt x="9585" y="106"/>
                                </a:lnTo>
                                <a:lnTo>
                                  <a:pt x="9585" y="113"/>
                                </a:lnTo>
                                <a:lnTo>
                                  <a:pt x="9585" y="5783"/>
                                </a:lnTo>
                                <a:lnTo>
                                  <a:pt x="9585" y="5790"/>
                                </a:lnTo>
                                <a:lnTo>
                                  <a:pt x="9585" y="5798"/>
                                </a:lnTo>
                                <a:lnTo>
                                  <a:pt x="9583" y="5805"/>
                                </a:lnTo>
                                <a:lnTo>
                                  <a:pt x="9582" y="5812"/>
                                </a:lnTo>
                                <a:lnTo>
                                  <a:pt x="9547" y="5868"/>
                                </a:lnTo>
                                <a:lnTo>
                                  <a:pt x="9535" y="5877"/>
                                </a:lnTo>
                                <a:lnTo>
                                  <a:pt x="9529" y="5881"/>
                                </a:lnTo>
                                <a:lnTo>
                                  <a:pt x="9495" y="5893"/>
                                </a:lnTo>
                                <a:lnTo>
                                  <a:pt x="9488" y="5895"/>
                                </a:lnTo>
                                <a:lnTo>
                                  <a:pt x="9480" y="5895"/>
                                </a:lnTo>
                                <a:lnTo>
                                  <a:pt x="9473" y="5895"/>
                                </a:lnTo>
                                <a:lnTo>
                                  <a:pt x="113" y="5895"/>
                                </a:lnTo>
                                <a:lnTo>
                                  <a:pt x="106" y="5895"/>
                                </a:lnTo>
                                <a:lnTo>
                                  <a:pt x="98" y="5895"/>
                                </a:lnTo>
                                <a:lnTo>
                                  <a:pt x="91" y="5893"/>
                                </a:lnTo>
                                <a:lnTo>
                                  <a:pt x="84" y="5892"/>
                                </a:lnTo>
                                <a:lnTo>
                                  <a:pt x="50" y="5877"/>
                                </a:lnTo>
                                <a:lnTo>
                                  <a:pt x="44" y="5872"/>
                                </a:lnTo>
                                <a:lnTo>
                                  <a:pt x="19" y="5845"/>
                                </a:lnTo>
                                <a:lnTo>
                                  <a:pt x="15" y="5839"/>
                                </a:lnTo>
                                <a:lnTo>
                                  <a:pt x="3" y="5805"/>
                                </a:lnTo>
                                <a:lnTo>
                                  <a:pt x="1" y="5798"/>
                                </a:lnTo>
                                <a:lnTo>
                                  <a:pt x="0" y="5790"/>
                                </a:lnTo>
                                <a:lnTo>
                                  <a:pt x="0" y="5783"/>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234888854" name="Picture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90"/>
                            <a:ext cx="255" cy="300"/>
                          </a:xfrm>
                          <a:prstGeom prst="rect">
                            <a:avLst/>
                          </a:prstGeom>
                          <a:noFill/>
                          <a:ln>
                            <a:noFill/>
                          </a:ln>
                          <a:effectLst/>
                        </pic:spPr>
                      </pic:pic>
                      <wps:wsp>
                        <wps:cNvPr id="1341267616" name="Rectangle 79"/>
                        <wps:cNvSpPr>
                          <a:spLocks noChangeArrowheads="1"/>
                        </wps:cNvSpPr>
                        <wps:spPr bwMode="auto">
                          <a:xfrm>
                            <a:off x="2070" y="3000"/>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360719841" name="AutoShape 78"/>
                        <wps:cNvSpPr/>
                        <wps:spPr bwMode="auto">
                          <a:xfrm>
                            <a:off x="2069" y="3000"/>
                            <a:ext cx="8130" cy="2700"/>
                          </a:xfrm>
                          <a:custGeom>
                            <a:avLst/>
                            <a:gdLst>
                              <a:gd name="T0" fmla="*/ 5190 w 8130"/>
                              <a:gd name="T1" fmla="*/ 5010 h 2700"/>
                              <a:gd name="T2" fmla="*/ 0 w 8130"/>
                              <a:gd name="T3" fmla="*/ 5010 h 2700"/>
                              <a:gd name="T4" fmla="*/ 0 w 8130"/>
                              <a:gd name="T5" fmla="*/ 5025 h 2700"/>
                              <a:gd name="T6" fmla="*/ 5190 w 8130"/>
                              <a:gd name="T7" fmla="*/ 5025 h 2700"/>
                              <a:gd name="T8" fmla="*/ 5190 w 8130"/>
                              <a:gd name="T9" fmla="*/ 5010 h 2700"/>
                              <a:gd name="T10" fmla="*/ 5190 w 8130"/>
                              <a:gd name="T11" fmla="*/ 4350 h 2700"/>
                              <a:gd name="T12" fmla="*/ 0 w 8130"/>
                              <a:gd name="T13" fmla="*/ 4350 h 2700"/>
                              <a:gd name="T14" fmla="*/ 0 w 8130"/>
                              <a:gd name="T15" fmla="*/ 4365 h 2700"/>
                              <a:gd name="T16" fmla="*/ 5190 w 8130"/>
                              <a:gd name="T17" fmla="*/ 4365 h 2700"/>
                              <a:gd name="T18" fmla="*/ 5190 w 8130"/>
                              <a:gd name="T19" fmla="*/ 4350 h 2700"/>
                              <a:gd name="T20" fmla="*/ 5190 w 8130"/>
                              <a:gd name="T21" fmla="*/ 3675 h 2700"/>
                              <a:gd name="T22" fmla="*/ 0 w 8130"/>
                              <a:gd name="T23" fmla="*/ 3675 h 2700"/>
                              <a:gd name="T24" fmla="*/ 0 w 8130"/>
                              <a:gd name="T25" fmla="*/ 3690 h 2700"/>
                              <a:gd name="T26" fmla="*/ 5190 w 8130"/>
                              <a:gd name="T27" fmla="*/ 3690 h 2700"/>
                              <a:gd name="T28" fmla="*/ 5190 w 8130"/>
                              <a:gd name="T29" fmla="*/ 3675 h 2700"/>
                              <a:gd name="T30" fmla="*/ 6810 w 8130"/>
                              <a:gd name="T31" fmla="*/ 5010 h 2700"/>
                              <a:gd name="T32" fmla="*/ 6195 w 8130"/>
                              <a:gd name="T33" fmla="*/ 5010 h 2700"/>
                              <a:gd name="T34" fmla="*/ 6195 w 8130"/>
                              <a:gd name="T35" fmla="*/ 5025 h 2700"/>
                              <a:gd name="T36" fmla="*/ 6810 w 8130"/>
                              <a:gd name="T37" fmla="*/ 5025 h 2700"/>
                              <a:gd name="T38" fmla="*/ 6810 w 8130"/>
                              <a:gd name="T39" fmla="*/ 5010 h 2700"/>
                              <a:gd name="T40" fmla="*/ 6810 w 8130"/>
                              <a:gd name="T41" fmla="*/ 4350 h 2700"/>
                              <a:gd name="T42" fmla="*/ 6195 w 8130"/>
                              <a:gd name="T43" fmla="*/ 4350 h 2700"/>
                              <a:gd name="T44" fmla="*/ 6195 w 8130"/>
                              <a:gd name="T45" fmla="*/ 4365 h 2700"/>
                              <a:gd name="T46" fmla="*/ 6810 w 8130"/>
                              <a:gd name="T47" fmla="*/ 4365 h 2700"/>
                              <a:gd name="T48" fmla="*/ 6810 w 8130"/>
                              <a:gd name="T49" fmla="*/ 4350 h 2700"/>
                              <a:gd name="T50" fmla="*/ 8130 w 8130"/>
                              <a:gd name="T51" fmla="*/ 5685 h 2700"/>
                              <a:gd name="T52" fmla="*/ 0 w 8130"/>
                              <a:gd name="T53" fmla="*/ 5685 h 2700"/>
                              <a:gd name="T54" fmla="*/ 0 w 8130"/>
                              <a:gd name="T55" fmla="*/ 5700 h 2700"/>
                              <a:gd name="T56" fmla="*/ 8130 w 8130"/>
                              <a:gd name="T57" fmla="*/ 5700 h 2700"/>
                              <a:gd name="T58" fmla="*/ 8130 w 8130"/>
                              <a:gd name="T59" fmla="*/ 5685 h 2700"/>
                              <a:gd name="T60" fmla="*/ 8130 w 8130"/>
                              <a:gd name="T61" fmla="*/ 5010 h 2700"/>
                              <a:gd name="T62" fmla="*/ 7815 w 8130"/>
                              <a:gd name="T63" fmla="*/ 5010 h 2700"/>
                              <a:gd name="T64" fmla="*/ 7815 w 8130"/>
                              <a:gd name="T65" fmla="*/ 5025 h 2700"/>
                              <a:gd name="T66" fmla="*/ 8130 w 8130"/>
                              <a:gd name="T67" fmla="*/ 5025 h 2700"/>
                              <a:gd name="T68" fmla="*/ 8130 w 8130"/>
                              <a:gd name="T69" fmla="*/ 5010 h 2700"/>
                              <a:gd name="T70" fmla="*/ 8130 w 8130"/>
                              <a:gd name="T71" fmla="*/ 4350 h 2700"/>
                              <a:gd name="T72" fmla="*/ 7815 w 8130"/>
                              <a:gd name="T73" fmla="*/ 4350 h 2700"/>
                              <a:gd name="T74" fmla="*/ 7815 w 8130"/>
                              <a:gd name="T75" fmla="*/ 4365 h 2700"/>
                              <a:gd name="T76" fmla="*/ 8130 w 8130"/>
                              <a:gd name="T77" fmla="*/ 4365 h 2700"/>
                              <a:gd name="T78" fmla="*/ 8130 w 8130"/>
                              <a:gd name="T79" fmla="*/ 4350 h 2700"/>
                              <a:gd name="T80" fmla="*/ 8130 w 8130"/>
                              <a:gd name="T81" fmla="*/ 3675 h 2700"/>
                              <a:gd name="T82" fmla="*/ 6195 w 8130"/>
                              <a:gd name="T83" fmla="*/ 3675 h 2700"/>
                              <a:gd name="T84" fmla="*/ 6195 w 8130"/>
                              <a:gd name="T85" fmla="*/ 3690 h 2700"/>
                              <a:gd name="T86" fmla="*/ 8130 w 8130"/>
                              <a:gd name="T87" fmla="*/ 3690 h 2700"/>
                              <a:gd name="T88" fmla="*/ 8130 w 8130"/>
                              <a:gd name="T89" fmla="*/ 3675 h 2700"/>
                              <a:gd name="T90" fmla="*/ 8130 w 8130"/>
                              <a:gd name="T91" fmla="*/ 3000 h 2700"/>
                              <a:gd name="T92" fmla="*/ 0 w 8130"/>
                              <a:gd name="T93" fmla="*/ 3000 h 2700"/>
                              <a:gd name="T94" fmla="*/ 0 w 8130"/>
                              <a:gd name="T95" fmla="*/ 3015 h 2700"/>
                              <a:gd name="T96" fmla="*/ 8130 w 8130"/>
                              <a:gd name="T97" fmla="*/ 3015 h 2700"/>
                              <a:gd name="T98" fmla="*/ 8130 w 8130"/>
                              <a:gd name="T99" fmla="*/ 3000 h 27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30" h="2700">
                                <a:moveTo>
                                  <a:pt x="5190" y="2010"/>
                                </a:moveTo>
                                <a:lnTo>
                                  <a:pt x="0" y="2010"/>
                                </a:lnTo>
                                <a:lnTo>
                                  <a:pt x="0" y="2025"/>
                                </a:lnTo>
                                <a:lnTo>
                                  <a:pt x="5190" y="2025"/>
                                </a:lnTo>
                                <a:lnTo>
                                  <a:pt x="5190" y="2010"/>
                                </a:lnTo>
                                <a:close/>
                                <a:moveTo>
                                  <a:pt x="5190" y="1350"/>
                                </a:moveTo>
                                <a:lnTo>
                                  <a:pt x="0" y="1350"/>
                                </a:lnTo>
                                <a:lnTo>
                                  <a:pt x="0" y="1365"/>
                                </a:lnTo>
                                <a:lnTo>
                                  <a:pt x="5190" y="1365"/>
                                </a:lnTo>
                                <a:lnTo>
                                  <a:pt x="5190" y="1350"/>
                                </a:lnTo>
                                <a:close/>
                                <a:moveTo>
                                  <a:pt x="5190" y="675"/>
                                </a:moveTo>
                                <a:lnTo>
                                  <a:pt x="0" y="675"/>
                                </a:lnTo>
                                <a:lnTo>
                                  <a:pt x="0" y="690"/>
                                </a:lnTo>
                                <a:lnTo>
                                  <a:pt x="5190" y="690"/>
                                </a:lnTo>
                                <a:lnTo>
                                  <a:pt x="5190" y="675"/>
                                </a:lnTo>
                                <a:close/>
                                <a:moveTo>
                                  <a:pt x="6810" y="2010"/>
                                </a:moveTo>
                                <a:lnTo>
                                  <a:pt x="6195" y="2010"/>
                                </a:lnTo>
                                <a:lnTo>
                                  <a:pt x="6195" y="2025"/>
                                </a:lnTo>
                                <a:lnTo>
                                  <a:pt x="6810" y="2025"/>
                                </a:lnTo>
                                <a:lnTo>
                                  <a:pt x="6810" y="2010"/>
                                </a:lnTo>
                                <a:close/>
                                <a:moveTo>
                                  <a:pt x="6810" y="1350"/>
                                </a:moveTo>
                                <a:lnTo>
                                  <a:pt x="6195" y="1350"/>
                                </a:lnTo>
                                <a:lnTo>
                                  <a:pt x="6195" y="1365"/>
                                </a:lnTo>
                                <a:lnTo>
                                  <a:pt x="6810" y="1365"/>
                                </a:lnTo>
                                <a:lnTo>
                                  <a:pt x="6810" y="1350"/>
                                </a:lnTo>
                                <a:close/>
                                <a:moveTo>
                                  <a:pt x="8130" y="2685"/>
                                </a:moveTo>
                                <a:lnTo>
                                  <a:pt x="0" y="2685"/>
                                </a:lnTo>
                                <a:lnTo>
                                  <a:pt x="0" y="2700"/>
                                </a:lnTo>
                                <a:lnTo>
                                  <a:pt x="8130" y="2700"/>
                                </a:lnTo>
                                <a:lnTo>
                                  <a:pt x="8130" y="2685"/>
                                </a:lnTo>
                                <a:close/>
                                <a:moveTo>
                                  <a:pt x="8130" y="2010"/>
                                </a:moveTo>
                                <a:lnTo>
                                  <a:pt x="7815" y="2010"/>
                                </a:lnTo>
                                <a:lnTo>
                                  <a:pt x="7815" y="2025"/>
                                </a:lnTo>
                                <a:lnTo>
                                  <a:pt x="8130" y="2025"/>
                                </a:lnTo>
                                <a:lnTo>
                                  <a:pt x="8130" y="2010"/>
                                </a:lnTo>
                                <a:close/>
                                <a:moveTo>
                                  <a:pt x="8130" y="1350"/>
                                </a:moveTo>
                                <a:lnTo>
                                  <a:pt x="7815" y="1350"/>
                                </a:lnTo>
                                <a:lnTo>
                                  <a:pt x="7815" y="1365"/>
                                </a:lnTo>
                                <a:lnTo>
                                  <a:pt x="8130" y="1365"/>
                                </a:lnTo>
                                <a:lnTo>
                                  <a:pt x="8130" y="1350"/>
                                </a:lnTo>
                                <a:close/>
                                <a:moveTo>
                                  <a:pt x="8130" y="675"/>
                                </a:moveTo>
                                <a:lnTo>
                                  <a:pt x="6195" y="675"/>
                                </a:lnTo>
                                <a:lnTo>
                                  <a:pt x="6195" y="690"/>
                                </a:lnTo>
                                <a:lnTo>
                                  <a:pt x="8130" y="690"/>
                                </a:lnTo>
                                <a:lnTo>
                                  <a:pt x="8130" y="675"/>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787289933" name="AutoShape 77"/>
                        <wps:cNvSpPr/>
                        <wps:spPr bwMode="auto">
                          <a:xfrm>
                            <a:off x="2069" y="3330"/>
                            <a:ext cx="8130" cy="2040"/>
                          </a:xfrm>
                          <a:custGeom>
                            <a:avLst/>
                            <a:gdLst>
                              <a:gd name="T0" fmla="*/ 3570 w 8130"/>
                              <a:gd name="T1" fmla="*/ 5355 h 2040"/>
                              <a:gd name="T2" fmla="*/ 0 w 8130"/>
                              <a:gd name="T3" fmla="*/ 5355 h 2040"/>
                              <a:gd name="T4" fmla="*/ 0 w 8130"/>
                              <a:gd name="T5" fmla="*/ 5370 h 2040"/>
                              <a:gd name="T6" fmla="*/ 3570 w 8130"/>
                              <a:gd name="T7" fmla="*/ 5370 h 2040"/>
                              <a:gd name="T8" fmla="*/ 3570 w 8130"/>
                              <a:gd name="T9" fmla="*/ 5355 h 2040"/>
                              <a:gd name="T10" fmla="*/ 5190 w 8130"/>
                              <a:gd name="T11" fmla="*/ 5355 h 2040"/>
                              <a:gd name="T12" fmla="*/ 4560 w 8130"/>
                              <a:gd name="T13" fmla="*/ 5355 h 2040"/>
                              <a:gd name="T14" fmla="*/ 4560 w 8130"/>
                              <a:gd name="T15" fmla="*/ 5370 h 2040"/>
                              <a:gd name="T16" fmla="*/ 5190 w 8130"/>
                              <a:gd name="T17" fmla="*/ 5370 h 2040"/>
                              <a:gd name="T18" fmla="*/ 5190 w 8130"/>
                              <a:gd name="T19" fmla="*/ 5355 h 2040"/>
                              <a:gd name="T20" fmla="*/ 5190 w 8130"/>
                              <a:gd name="T21" fmla="*/ 4680 h 2040"/>
                              <a:gd name="T22" fmla="*/ 0 w 8130"/>
                              <a:gd name="T23" fmla="*/ 4680 h 2040"/>
                              <a:gd name="T24" fmla="*/ 0 w 8130"/>
                              <a:gd name="T25" fmla="*/ 4695 h 2040"/>
                              <a:gd name="T26" fmla="*/ 5190 w 8130"/>
                              <a:gd name="T27" fmla="*/ 4695 h 2040"/>
                              <a:gd name="T28" fmla="*/ 5190 w 8130"/>
                              <a:gd name="T29" fmla="*/ 4680 h 2040"/>
                              <a:gd name="T30" fmla="*/ 5190 w 8130"/>
                              <a:gd name="T31" fmla="*/ 4005 h 2040"/>
                              <a:gd name="T32" fmla="*/ 0 w 8130"/>
                              <a:gd name="T33" fmla="*/ 4005 h 2040"/>
                              <a:gd name="T34" fmla="*/ 0 w 8130"/>
                              <a:gd name="T35" fmla="*/ 4020 h 2040"/>
                              <a:gd name="T36" fmla="*/ 5190 w 8130"/>
                              <a:gd name="T37" fmla="*/ 4020 h 2040"/>
                              <a:gd name="T38" fmla="*/ 5190 w 8130"/>
                              <a:gd name="T39" fmla="*/ 4005 h 2040"/>
                              <a:gd name="T40" fmla="*/ 5190 w 8130"/>
                              <a:gd name="T41" fmla="*/ 3330 h 2040"/>
                              <a:gd name="T42" fmla="*/ 0 w 8130"/>
                              <a:gd name="T43" fmla="*/ 3330 h 2040"/>
                              <a:gd name="T44" fmla="*/ 0 w 8130"/>
                              <a:gd name="T45" fmla="*/ 3345 h 2040"/>
                              <a:gd name="T46" fmla="*/ 5190 w 8130"/>
                              <a:gd name="T47" fmla="*/ 3345 h 2040"/>
                              <a:gd name="T48" fmla="*/ 5190 w 8130"/>
                              <a:gd name="T49" fmla="*/ 3330 h 2040"/>
                              <a:gd name="T50" fmla="*/ 6810 w 8130"/>
                              <a:gd name="T51" fmla="*/ 5355 h 2040"/>
                              <a:gd name="T52" fmla="*/ 6195 w 8130"/>
                              <a:gd name="T53" fmla="*/ 5355 h 2040"/>
                              <a:gd name="T54" fmla="*/ 6195 w 8130"/>
                              <a:gd name="T55" fmla="*/ 5370 h 2040"/>
                              <a:gd name="T56" fmla="*/ 6810 w 8130"/>
                              <a:gd name="T57" fmla="*/ 5370 h 2040"/>
                              <a:gd name="T58" fmla="*/ 6810 w 8130"/>
                              <a:gd name="T59" fmla="*/ 5355 h 2040"/>
                              <a:gd name="T60" fmla="*/ 6810 w 8130"/>
                              <a:gd name="T61" fmla="*/ 4680 h 2040"/>
                              <a:gd name="T62" fmla="*/ 6195 w 8130"/>
                              <a:gd name="T63" fmla="*/ 4680 h 2040"/>
                              <a:gd name="T64" fmla="*/ 6195 w 8130"/>
                              <a:gd name="T65" fmla="*/ 4695 h 2040"/>
                              <a:gd name="T66" fmla="*/ 6810 w 8130"/>
                              <a:gd name="T67" fmla="*/ 4695 h 2040"/>
                              <a:gd name="T68" fmla="*/ 6810 w 8130"/>
                              <a:gd name="T69" fmla="*/ 4680 h 2040"/>
                              <a:gd name="T70" fmla="*/ 8130 w 8130"/>
                              <a:gd name="T71" fmla="*/ 5355 h 2040"/>
                              <a:gd name="T72" fmla="*/ 7815 w 8130"/>
                              <a:gd name="T73" fmla="*/ 5355 h 2040"/>
                              <a:gd name="T74" fmla="*/ 7815 w 8130"/>
                              <a:gd name="T75" fmla="*/ 5370 h 2040"/>
                              <a:gd name="T76" fmla="*/ 8130 w 8130"/>
                              <a:gd name="T77" fmla="*/ 5370 h 2040"/>
                              <a:gd name="T78" fmla="*/ 8130 w 8130"/>
                              <a:gd name="T79" fmla="*/ 5355 h 2040"/>
                              <a:gd name="T80" fmla="*/ 8130 w 8130"/>
                              <a:gd name="T81" fmla="*/ 4680 h 2040"/>
                              <a:gd name="T82" fmla="*/ 7815 w 8130"/>
                              <a:gd name="T83" fmla="*/ 4680 h 2040"/>
                              <a:gd name="T84" fmla="*/ 7815 w 8130"/>
                              <a:gd name="T85" fmla="*/ 4695 h 2040"/>
                              <a:gd name="T86" fmla="*/ 8130 w 8130"/>
                              <a:gd name="T87" fmla="*/ 4695 h 2040"/>
                              <a:gd name="T88" fmla="*/ 8130 w 8130"/>
                              <a:gd name="T89" fmla="*/ 4680 h 2040"/>
                              <a:gd name="T90" fmla="*/ 8130 w 8130"/>
                              <a:gd name="T91" fmla="*/ 4005 h 2040"/>
                              <a:gd name="T92" fmla="*/ 6195 w 8130"/>
                              <a:gd name="T93" fmla="*/ 4005 h 2040"/>
                              <a:gd name="T94" fmla="*/ 6195 w 8130"/>
                              <a:gd name="T95" fmla="*/ 4020 h 2040"/>
                              <a:gd name="T96" fmla="*/ 8130 w 8130"/>
                              <a:gd name="T97" fmla="*/ 4020 h 2040"/>
                              <a:gd name="T98" fmla="*/ 8130 w 8130"/>
                              <a:gd name="T99" fmla="*/ 4005 h 2040"/>
                              <a:gd name="T100" fmla="*/ 8130 w 8130"/>
                              <a:gd name="T101" fmla="*/ 3330 h 2040"/>
                              <a:gd name="T102" fmla="*/ 6195 w 8130"/>
                              <a:gd name="T103" fmla="*/ 3330 h 2040"/>
                              <a:gd name="T104" fmla="*/ 6195 w 8130"/>
                              <a:gd name="T105" fmla="*/ 3345 h 2040"/>
                              <a:gd name="T106" fmla="*/ 8130 w 8130"/>
                              <a:gd name="T107" fmla="*/ 3345 h 2040"/>
                              <a:gd name="T108" fmla="*/ 8130 w 8130"/>
                              <a:gd name="T109" fmla="*/ 3330 h 204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130" h="2040">
                                <a:moveTo>
                                  <a:pt x="3570" y="2025"/>
                                </a:moveTo>
                                <a:lnTo>
                                  <a:pt x="0" y="2025"/>
                                </a:lnTo>
                                <a:lnTo>
                                  <a:pt x="0" y="2040"/>
                                </a:lnTo>
                                <a:lnTo>
                                  <a:pt x="3570" y="2040"/>
                                </a:lnTo>
                                <a:lnTo>
                                  <a:pt x="3570" y="2025"/>
                                </a:lnTo>
                                <a:close/>
                                <a:moveTo>
                                  <a:pt x="5190" y="2025"/>
                                </a:moveTo>
                                <a:lnTo>
                                  <a:pt x="4560" y="2025"/>
                                </a:lnTo>
                                <a:lnTo>
                                  <a:pt x="4560" y="2040"/>
                                </a:lnTo>
                                <a:lnTo>
                                  <a:pt x="5190" y="2040"/>
                                </a:lnTo>
                                <a:lnTo>
                                  <a:pt x="5190" y="2025"/>
                                </a:lnTo>
                                <a:close/>
                                <a:moveTo>
                                  <a:pt x="5190" y="1350"/>
                                </a:moveTo>
                                <a:lnTo>
                                  <a:pt x="0" y="1350"/>
                                </a:lnTo>
                                <a:lnTo>
                                  <a:pt x="0" y="1365"/>
                                </a:lnTo>
                                <a:lnTo>
                                  <a:pt x="5190" y="1365"/>
                                </a:lnTo>
                                <a:lnTo>
                                  <a:pt x="5190" y="1350"/>
                                </a:lnTo>
                                <a:close/>
                                <a:moveTo>
                                  <a:pt x="5190" y="675"/>
                                </a:moveTo>
                                <a:lnTo>
                                  <a:pt x="0" y="675"/>
                                </a:lnTo>
                                <a:lnTo>
                                  <a:pt x="0" y="690"/>
                                </a:lnTo>
                                <a:lnTo>
                                  <a:pt x="5190" y="690"/>
                                </a:lnTo>
                                <a:lnTo>
                                  <a:pt x="5190" y="675"/>
                                </a:lnTo>
                                <a:close/>
                                <a:moveTo>
                                  <a:pt x="5190" y="0"/>
                                </a:moveTo>
                                <a:lnTo>
                                  <a:pt x="0" y="0"/>
                                </a:lnTo>
                                <a:lnTo>
                                  <a:pt x="0" y="15"/>
                                </a:lnTo>
                                <a:lnTo>
                                  <a:pt x="5190" y="15"/>
                                </a:lnTo>
                                <a:lnTo>
                                  <a:pt x="5190" y="0"/>
                                </a:lnTo>
                                <a:close/>
                                <a:moveTo>
                                  <a:pt x="6810" y="2025"/>
                                </a:moveTo>
                                <a:lnTo>
                                  <a:pt x="6195" y="2025"/>
                                </a:lnTo>
                                <a:lnTo>
                                  <a:pt x="6195" y="2040"/>
                                </a:lnTo>
                                <a:lnTo>
                                  <a:pt x="6810" y="2040"/>
                                </a:lnTo>
                                <a:lnTo>
                                  <a:pt x="6810" y="2025"/>
                                </a:lnTo>
                                <a:close/>
                                <a:moveTo>
                                  <a:pt x="6810" y="1350"/>
                                </a:moveTo>
                                <a:lnTo>
                                  <a:pt x="6195" y="1350"/>
                                </a:lnTo>
                                <a:lnTo>
                                  <a:pt x="6195" y="1365"/>
                                </a:lnTo>
                                <a:lnTo>
                                  <a:pt x="6810" y="1365"/>
                                </a:lnTo>
                                <a:lnTo>
                                  <a:pt x="6810" y="1350"/>
                                </a:lnTo>
                                <a:close/>
                                <a:moveTo>
                                  <a:pt x="8130" y="2025"/>
                                </a:moveTo>
                                <a:lnTo>
                                  <a:pt x="7815" y="2025"/>
                                </a:lnTo>
                                <a:lnTo>
                                  <a:pt x="7815" y="2040"/>
                                </a:lnTo>
                                <a:lnTo>
                                  <a:pt x="8130" y="2040"/>
                                </a:lnTo>
                                <a:lnTo>
                                  <a:pt x="8130" y="2025"/>
                                </a:lnTo>
                                <a:close/>
                                <a:moveTo>
                                  <a:pt x="8130" y="1350"/>
                                </a:moveTo>
                                <a:lnTo>
                                  <a:pt x="7815" y="1350"/>
                                </a:lnTo>
                                <a:lnTo>
                                  <a:pt x="7815" y="1365"/>
                                </a:lnTo>
                                <a:lnTo>
                                  <a:pt x="8130" y="1365"/>
                                </a:lnTo>
                                <a:lnTo>
                                  <a:pt x="8130" y="1350"/>
                                </a:lnTo>
                                <a:close/>
                                <a:moveTo>
                                  <a:pt x="8130" y="675"/>
                                </a:moveTo>
                                <a:lnTo>
                                  <a:pt x="6195" y="675"/>
                                </a:lnTo>
                                <a:lnTo>
                                  <a:pt x="6195" y="690"/>
                                </a:lnTo>
                                <a:lnTo>
                                  <a:pt x="8130" y="690"/>
                                </a:lnTo>
                                <a:lnTo>
                                  <a:pt x="8130" y="675"/>
                                </a:lnTo>
                                <a:close/>
                                <a:moveTo>
                                  <a:pt x="8130" y="0"/>
                                </a:moveTo>
                                <a:lnTo>
                                  <a:pt x="6195" y="0"/>
                                </a:lnTo>
                                <a:lnTo>
                                  <a:pt x="6195"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1355153471" name="Rectangle 76"/>
                        <wps:cNvSpPr>
                          <a:spLocks noChangeArrowheads="1"/>
                        </wps:cNvSpPr>
                        <wps:spPr bwMode="auto">
                          <a:xfrm>
                            <a:off x="2385" y="5685"/>
                            <a:ext cx="1005" cy="8"/>
                          </a:xfrm>
                          <a:prstGeom prst="rect">
                            <a:avLst/>
                          </a:prstGeom>
                          <a:solidFill>
                            <a:srgbClr val="663AB6"/>
                          </a:solidFill>
                          <a:ln>
                            <a:noFill/>
                          </a:ln>
                          <a:effectLst/>
                        </wps:spPr>
                        <wps:bodyPr rot="0" vert="horz" wrap="square" lIns="91440" tIns="45720" rIns="91440" bIns="45720" anchor="t" anchorCtr="0" upright="1">
                          <a:noAutofit/>
                        </wps:bodyPr>
                      </wps:wsp>
                      <wps:wsp>
                        <wps:cNvPr id="1578100429" name="Rectangle 75"/>
                        <wps:cNvSpPr>
                          <a:spLocks noChangeArrowheads="1"/>
                        </wps:cNvSpPr>
                        <wps:spPr bwMode="auto">
                          <a:xfrm>
                            <a:off x="2070" y="5685"/>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385714629" name="Rectangle 64"/>
                        <wps:cNvSpPr>
                          <a:spLocks noChangeArrowheads="1"/>
                        </wps:cNvSpPr>
                        <wps:spPr bwMode="auto">
                          <a:xfrm>
                            <a:off x="2880" y="5505"/>
                            <a:ext cx="15" cy="180"/>
                          </a:xfrm>
                          <a:prstGeom prst="rect">
                            <a:avLst/>
                          </a:prstGeom>
                          <a:solidFill>
                            <a:srgbClr val="999999"/>
                          </a:solidFill>
                          <a:ln>
                            <a:noFill/>
                          </a:ln>
                          <a:effectLst/>
                        </wps:spPr>
                        <wps:bodyPr rot="0" vert="horz" wrap="square" lIns="91440" tIns="45720" rIns="91440" bIns="45720" anchor="t" anchorCtr="0" upright="1">
                          <a:noAutofit/>
                        </wps:bodyPr>
                      </wps:wsp>
                      <wps:wsp>
                        <wps:cNvPr id="2069504444" name="AutoShape 73"/>
                        <wps:cNvSpPr/>
                        <wps:spPr bwMode="auto">
                          <a:xfrm>
                            <a:off x="2622" y="5346"/>
                            <a:ext cx="517" cy="169"/>
                          </a:xfrm>
                          <a:custGeom>
                            <a:avLst/>
                            <a:gdLst>
                              <a:gd name="T0" fmla="*/ 8 w 517"/>
                              <a:gd name="T1" fmla="*/ 5368 h 169"/>
                              <a:gd name="T2" fmla="*/ 42 w 517"/>
                              <a:gd name="T3" fmla="*/ 5348 h 169"/>
                              <a:gd name="T4" fmla="*/ 70 w 517"/>
                              <a:gd name="T5" fmla="*/ 5359 h 169"/>
                              <a:gd name="T6" fmla="*/ 83 w 517"/>
                              <a:gd name="T7" fmla="*/ 5391 h 169"/>
                              <a:gd name="T8" fmla="*/ 80 w 517"/>
                              <a:gd name="T9" fmla="*/ 5451 h 169"/>
                              <a:gd name="T10" fmla="*/ 52 w 517"/>
                              <a:gd name="T11" fmla="*/ 5480 h 169"/>
                              <a:gd name="T12" fmla="*/ 8 w 517"/>
                              <a:gd name="T13" fmla="*/ 5457 h 169"/>
                              <a:gd name="T14" fmla="*/ 17 w 517"/>
                              <a:gd name="T15" fmla="*/ 5429 h 169"/>
                              <a:gd name="T16" fmla="*/ 35 w 517"/>
                              <a:gd name="T17" fmla="*/ 5467 h 169"/>
                              <a:gd name="T18" fmla="*/ 64 w 517"/>
                              <a:gd name="T19" fmla="*/ 5450 h 169"/>
                              <a:gd name="T20" fmla="*/ 66 w 517"/>
                              <a:gd name="T21" fmla="*/ 5388 h 169"/>
                              <a:gd name="T22" fmla="*/ 42 w 517"/>
                              <a:gd name="T23" fmla="*/ 5362 h 169"/>
                              <a:gd name="T24" fmla="*/ 19 w 517"/>
                              <a:gd name="T25" fmla="*/ 5388 h 169"/>
                              <a:gd name="T26" fmla="*/ 173 w 517"/>
                              <a:gd name="T27" fmla="*/ 5498 h 169"/>
                              <a:gd name="T28" fmla="*/ 155 w 517"/>
                              <a:gd name="T29" fmla="*/ 5443 h 169"/>
                              <a:gd name="T30" fmla="*/ 161 w 517"/>
                              <a:gd name="T31" fmla="*/ 5391 h 169"/>
                              <a:gd name="T32" fmla="*/ 196 w 517"/>
                              <a:gd name="T33" fmla="*/ 5347 h 169"/>
                              <a:gd name="T34" fmla="*/ 176 w 517"/>
                              <a:gd name="T35" fmla="*/ 5389 h 169"/>
                              <a:gd name="T36" fmla="*/ 172 w 517"/>
                              <a:gd name="T37" fmla="*/ 5452 h 169"/>
                              <a:gd name="T38" fmla="*/ 210 w 517"/>
                              <a:gd name="T39" fmla="*/ 5414 h 169"/>
                              <a:gd name="T40" fmla="*/ 223 w 517"/>
                              <a:gd name="T41" fmla="*/ 5361 h 169"/>
                              <a:gd name="T42" fmla="*/ 259 w 517"/>
                              <a:gd name="T43" fmla="*/ 5348 h 169"/>
                              <a:gd name="T44" fmla="*/ 284 w 517"/>
                              <a:gd name="T45" fmla="*/ 5365 h 169"/>
                              <a:gd name="T46" fmla="*/ 294 w 517"/>
                              <a:gd name="T47" fmla="*/ 5401 h 169"/>
                              <a:gd name="T48" fmla="*/ 287 w 517"/>
                              <a:gd name="T49" fmla="*/ 5460 h 169"/>
                              <a:gd name="T50" fmla="*/ 252 w 517"/>
                              <a:gd name="T51" fmla="*/ 5480 h 169"/>
                              <a:gd name="T52" fmla="*/ 214 w 517"/>
                              <a:gd name="T53" fmla="*/ 5446 h 169"/>
                              <a:gd name="T54" fmla="*/ 229 w 517"/>
                              <a:gd name="T55" fmla="*/ 5441 h 169"/>
                              <a:gd name="T56" fmla="*/ 252 w 517"/>
                              <a:gd name="T57" fmla="*/ 5467 h 169"/>
                              <a:gd name="T58" fmla="*/ 276 w 517"/>
                              <a:gd name="T59" fmla="*/ 5441 h 169"/>
                              <a:gd name="T60" fmla="*/ 274 w 517"/>
                              <a:gd name="T61" fmla="*/ 5379 h 169"/>
                              <a:gd name="T62" fmla="*/ 245 w 517"/>
                              <a:gd name="T63" fmla="*/ 5362 h 169"/>
                              <a:gd name="T64" fmla="*/ 227 w 517"/>
                              <a:gd name="T65" fmla="*/ 5400 h 169"/>
                              <a:gd name="T66" fmla="*/ 320 w 517"/>
                              <a:gd name="T67" fmla="*/ 5356 h 169"/>
                              <a:gd name="T68" fmla="*/ 355 w 517"/>
                              <a:gd name="T69" fmla="*/ 5350 h 169"/>
                              <a:gd name="T70" fmla="*/ 369 w 517"/>
                              <a:gd name="T71" fmla="*/ 5392 h 169"/>
                              <a:gd name="T72" fmla="*/ 341 w 517"/>
                              <a:gd name="T73" fmla="*/ 5415 h 169"/>
                              <a:gd name="T74" fmla="*/ 314 w 517"/>
                              <a:gd name="T75" fmla="*/ 5392 h 169"/>
                              <a:gd name="T76" fmla="*/ 331 w 517"/>
                              <a:gd name="T77" fmla="*/ 5363 h 169"/>
                              <a:gd name="T78" fmla="*/ 329 w 517"/>
                              <a:gd name="T79" fmla="*/ 5396 h 169"/>
                              <a:gd name="T80" fmla="*/ 345 w 517"/>
                              <a:gd name="T81" fmla="*/ 5404 h 169"/>
                              <a:gd name="T82" fmla="*/ 355 w 517"/>
                              <a:gd name="T83" fmla="*/ 5380 h 169"/>
                              <a:gd name="T84" fmla="*/ 345 w 517"/>
                              <a:gd name="T85" fmla="*/ 5358 h 169"/>
                              <a:gd name="T86" fmla="*/ 354 w 517"/>
                              <a:gd name="T87" fmla="*/ 5483 h 169"/>
                              <a:gd name="T88" fmla="*/ 404 w 517"/>
                              <a:gd name="T89" fmla="*/ 5424 h 169"/>
                              <a:gd name="T90" fmla="*/ 439 w 517"/>
                              <a:gd name="T91" fmla="*/ 5417 h 169"/>
                              <a:gd name="T92" fmla="*/ 452 w 517"/>
                              <a:gd name="T93" fmla="*/ 5459 h 169"/>
                              <a:gd name="T94" fmla="*/ 424 w 517"/>
                              <a:gd name="T95" fmla="*/ 5483 h 169"/>
                              <a:gd name="T96" fmla="*/ 397 w 517"/>
                              <a:gd name="T97" fmla="*/ 5459 h 169"/>
                              <a:gd name="T98" fmla="*/ 415 w 517"/>
                              <a:gd name="T99" fmla="*/ 5430 h 169"/>
                              <a:gd name="T100" fmla="*/ 412 w 517"/>
                              <a:gd name="T101" fmla="*/ 5463 h 169"/>
                              <a:gd name="T102" fmla="*/ 428 w 517"/>
                              <a:gd name="T103" fmla="*/ 5472 h 169"/>
                              <a:gd name="T104" fmla="*/ 438 w 517"/>
                              <a:gd name="T105" fmla="*/ 5448 h 169"/>
                              <a:gd name="T106" fmla="*/ 428 w 517"/>
                              <a:gd name="T107" fmla="*/ 5425 h 169"/>
                              <a:gd name="T108" fmla="*/ 494 w 517"/>
                              <a:gd name="T109" fmla="*/ 5473 h 169"/>
                              <a:gd name="T110" fmla="*/ 497 w 517"/>
                              <a:gd name="T111" fmla="*/ 5398 h 169"/>
                              <a:gd name="T112" fmla="*/ 481 w 517"/>
                              <a:gd name="T113" fmla="*/ 5359 h 169"/>
                              <a:gd name="T114" fmla="*/ 505 w 517"/>
                              <a:gd name="T115" fmla="*/ 5380 h 169"/>
                              <a:gd name="T116" fmla="*/ 517 w 517"/>
                              <a:gd name="T117" fmla="*/ 5431 h 169"/>
                              <a:gd name="T118" fmla="*/ 503 w 517"/>
                              <a:gd name="T119" fmla="*/ 5488 h 16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17" h="169">
                                <a:moveTo>
                                  <a:pt x="0" y="67"/>
                                </a:moveTo>
                                <a:lnTo>
                                  <a:pt x="0" y="52"/>
                                </a:lnTo>
                                <a:lnTo>
                                  <a:pt x="2" y="40"/>
                                </a:lnTo>
                                <a:lnTo>
                                  <a:pt x="5" y="30"/>
                                </a:lnTo>
                                <a:lnTo>
                                  <a:pt x="8" y="21"/>
                                </a:lnTo>
                                <a:lnTo>
                                  <a:pt x="13" y="14"/>
                                </a:lnTo>
                                <a:lnTo>
                                  <a:pt x="19" y="9"/>
                                </a:lnTo>
                                <a:lnTo>
                                  <a:pt x="25" y="4"/>
                                </a:lnTo>
                                <a:lnTo>
                                  <a:pt x="33" y="1"/>
                                </a:lnTo>
                                <a:lnTo>
                                  <a:pt x="42" y="1"/>
                                </a:lnTo>
                                <a:lnTo>
                                  <a:pt x="49" y="1"/>
                                </a:lnTo>
                                <a:lnTo>
                                  <a:pt x="55" y="3"/>
                                </a:lnTo>
                                <a:lnTo>
                                  <a:pt x="61" y="6"/>
                                </a:lnTo>
                                <a:lnTo>
                                  <a:pt x="66" y="8"/>
                                </a:lnTo>
                                <a:lnTo>
                                  <a:pt x="70" y="12"/>
                                </a:lnTo>
                                <a:lnTo>
                                  <a:pt x="74" y="18"/>
                                </a:lnTo>
                                <a:lnTo>
                                  <a:pt x="77" y="23"/>
                                </a:lnTo>
                                <a:lnTo>
                                  <a:pt x="80" y="29"/>
                                </a:lnTo>
                                <a:lnTo>
                                  <a:pt x="82" y="37"/>
                                </a:lnTo>
                                <a:lnTo>
                                  <a:pt x="83" y="44"/>
                                </a:lnTo>
                                <a:lnTo>
                                  <a:pt x="84" y="54"/>
                                </a:lnTo>
                                <a:lnTo>
                                  <a:pt x="84" y="67"/>
                                </a:lnTo>
                                <a:lnTo>
                                  <a:pt x="84" y="82"/>
                                </a:lnTo>
                                <a:lnTo>
                                  <a:pt x="83" y="95"/>
                                </a:lnTo>
                                <a:lnTo>
                                  <a:pt x="80" y="104"/>
                                </a:lnTo>
                                <a:lnTo>
                                  <a:pt x="77" y="113"/>
                                </a:lnTo>
                                <a:lnTo>
                                  <a:pt x="72" y="120"/>
                                </a:lnTo>
                                <a:lnTo>
                                  <a:pt x="66" y="125"/>
                                </a:lnTo>
                                <a:lnTo>
                                  <a:pt x="60" y="130"/>
                                </a:lnTo>
                                <a:lnTo>
                                  <a:pt x="52" y="133"/>
                                </a:lnTo>
                                <a:lnTo>
                                  <a:pt x="42" y="133"/>
                                </a:lnTo>
                                <a:lnTo>
                                  <a:pt x="30" y="133"/>
                                </a:lnTo>
                                <a:lnTo>
                                  <a:pt x="20" y="129"/>
                                </a:lnTo>
                                <a:lnTo>
                                  <a:pt x="13" y="120"/>
                                </a:lnTo>
                                <a:lnTo>
                                  <a:pt x="8" y="110"/>
                                </a:lnTo>
                                <a:lnTo>
                                  <a:pt x="4" y="99"/>
                                </a:lnTo>
                                <a:lnTo>
                                  <a:pt x="1" y="84"/>
                                </a:lnTo>
                                <a:lnTo>
                                  <a:pt x="0" y="67"/>
                                </a:lnTo>
                                <a:close/>
                                <a:moveTo>
                                  <a:pt x="17" y="67"/>
                                </a:moveTo>
                                <a:lnTo>
                                  <a:pt x="17" y="82"/>
                                </a:lnTo>
                                <a:lnTo>
                                  <a:pt x="19" y="94"/>
                                </a:lnTo>
                                <a:lnTo>
                                  <a:pt x="21" y="103"/>
                                </a:lnTo>
                                <a:lnTo>
                                  <a:pt x="24" y="109"/>
                                </a:lnTo>
                                <a:lnTo>
                                  <a:pt x="29" y="117"/>
                                </a:lnTo>
                                <a:lnTo>
                                  <a:pt x="35" y="120"/>
                                </a:lnTo>
                                <a:lnTo>
                                  <a:pt x="42" y="120"/>
                                </a:lnTo>
                                <a:lnTo>
                                  <a:pt x="50" y="120"/>
                                </a:lnTo>
                                <a:lnTo>
                                  <a:pt x="56" y="116"/>
                                </a:lnTo>
                                <a:lnTo>
                                  <a:pt x="61" y="109"/>
                                </a:lnTo>
                                <a:lnTo>
                                  <a:pt x="64" y="103"/>
                                </a:lnTo>
                                <a:lnTo>
                                  <a:pt x="66" y="94"/>
                                </a:lnTo>
                                <a:lnTo>
                                  <a:pt x="68" y="82"/>
                                </a:lnTo>
                                <a:lnTo>
                                  <a:pt x="68" y="67"/>
                                </a:lnTo>
                                <a:lnTo>
                                  <a:pt x="68" y="53"/>
                                </a:lnTo>
                                <a:lnTo>
                                  <a:pt x="66" y="41"/>
                                </a:lnTo>
                                <a:lnTo>
                                  <a:pt x="64" y="32"/>
                                </a:lnTo>
                                <a:lnTo>
                                  <a:pt x="61" y="25"/>
                                </a:lnTo>
                                <a:lnTo>
                                  <a:pt x="56" y="18"/>
                                </a:lnTo>
                                <a:lnTo>
                                  <a:pt x="50" y="15"/>
                                </a:lnTo>
                                <a:lnTo>
                                  <a:pt x="42" y="15"/>
                                </a:lnTo>
                                <a:lnTo>
                                  <a:pt x="35" y="15"/>
                                </a:lnTo>
                                <a:lnTo>
                                  <a:pt x="29" y="18"/>
                                </a:lnTo>
                                <a:lnTo>
                                  <a:pt x="25" y="24"/>
                                </a:lnTo>
                                <a:lnTo>
                                  <a:pt x="21" y="31"/>
                                </a:lnTo>
                                <a:lnTo>
                                  <a:pt x="19" y="41"/>
                                </a:lnTo>
                                <a:lnTo>
                                  <a:pt x="17" y="53"/>
                                </a:lnTo>
                                <a:lnTo>
                                  <a:pt x="17" y="67"/>
                                </a:lnTo>
                                <a:close/>
                                <a:moveTo>
                                  <a:pt x="185" y="169"/>
                                </a:moveTo>
                                <a:lnTo>
                                  <a:pt x="179" y="160"/>
                                </a:lnTo>
                                <a:lnTo>
                                  <a:pt x="173" y="151"/>
                                </a:lnTo>
                                <a:lnTo>
                                  <a:pt x="168" y="141"/>
                                </a:lnTo>
                                <a:lnTo>
                                  <a:pt x="163" y="130"/>
                                </a:lnTo>
                                <a:lnTo>
                                  <a:pt x="159" y="119"/>
                                </a:lnTo>
                                <a:lnTo>
                                  <a:pt x="156" y="107"/>
                                </a:lnTo>
                                <a:lnTo>
                                  <a:pt x="155" y="96"/>
                                </a:lnTo>
                                <a:lnTo>
                                  <a:pt x="154" y="84"/>
                                </a:lnTo>
                                <a:lnTo>
                                  <a:pt x="154" y="74"/>
                                </a:lnTo>
                                <a:lnTo>
                                  <a:pt x="156" y="64"/>
                                </a:lnTo>
                                <a:lnTo>
                                  <a:pt x="158" y="54"/>
                                </a:lnTo>
                                <a:lnTo>
                                  <a:pt x="161" y="44"/>
                                </a:lnTo>
                                <a:lnTo>
                                  <a:pt x="165" y="33"/>
                                </a:lnTo>
                                <a:lnTo>
                                  <a:pt x="171" y="22"/>
                                </a:lnTo>
                                <a:lnTo>
                                  <a:pt x="177" y="11"/>
                                </a:lnTo>
                                <a:lnTo>
                                  <a:pt x="185" y="0"/>
                                </a:lnTo>
                                <a:lnTo>
                                  <a:pt x="196" y="0"/>
                                </a:lnTo>
                                <a:lnTo>
                                  <a:pt x="189" y="12"/>
                                </a:lnTo>
                                <a:lnTo>
                                  <a:pt x="185" y="21"/>
                                </a:lnTo>
                                <a:lnTo>
                                  <a:pt x="182" y="26"/>
                                </a:lnTo>
                                <a:lnTo>
                                  <a:pt x="179" y="34"/>
                                </a:lnTo>
                                <a:lnTo>
                                  <a:pt x="176" y="42"/>
                                </a:lnTo>
                                <a:lnTo>
                                  <a:pt x="174" y="51"/>
                                </a:lnTo>
                                <a:lnTo>
                                  <a:pt x="171" y="62"/>
                                </a:lnTo>
                                <a:lnTo>
                                  <a:pt x="170" y="73"/>
                                </a:lnTo>
                                <a:lnTo>
                                  <a:pt x="170" y="84"/>
                                </a:lnTo>
                                <a:lnTo>
                                  <a:pt x="172" y="105"/>
                                </a:lnTo>
                                <a:lnTo>
                                  <a:pt x="177" y="126"/>
                                </a:lnTo>
                                <a:lnTo>
                                  <a:pt x="185" y="148"/>
                                </a:lnTo>
                                <a:lnTo>
                                  <a:pt x="196" y="169"/>
                                </a:lnTo>
                                <a:lnTo>
                                  <a:pt x="185" y="169"/>
                                </a:lnTo>
                                <a:close/>
                                <a:moveTo>
                                  <a:pt x="210" y="67"/>
                                </a:moveTo>
                                <a:lnTo>
                                  <a:pt x="210" y="52"/>
                                </a:lnTo>
                                <a:lnTo>
                                  <a:pt x="212" y="40"/>
                                </a:lnTo>
                                <a:lnTo>
                                  <a:pt x="215" y="30"/>
                                </a:lnTo>
                                <a:lnTo>
                                  <a:pt x="218" y="21"/>
                                </a:lnTo>
                                <a:lnTo>
                                  <a:pt x="223" y="14"/>
                                </a:lnTo>
                                <a:lnTo>
                                  <a:pt x="229" y="9"/>
                                </a:lnTo>
                                <a:lnTo>
                                  <a:pt x="235" y="4"/>
                                </a:lnTo>
                                <a:lnTo>
                                  <a:pt x="243" y="1"/>
                                </a:lnTo>
                                <a:lnTo>
                                  <a:pt x="252" y="1"/>
                                </a:lnTo>
                                <a:lnTo>
                                  <a:pt x="259" y="1"/>
                                </a:lnTo>
                                <a:lnTo>
                                  <a:pt x="265" y="3"/>
                                </a:lnTo>
                                <a:lnTo>
                                  <a:pt x="271" y="6"/>
                                </a:lnTo>
                                <a:lnTo>
                                  <a:pt x="276" y="8"/>
                                </a:lnTo>
                                <a:lnTo>
                                  <a:pt x="280" y="12"/>
                                </a:lnTo>
                                <a:lnTo>
                                  <a:pt x="284" y="18"/>
                                </a:lnTo>
                                <a:lnTo>
                                  <a:pt x="287" y="23"/>
                                </a:lnTo>
                                <a:lnTo>
                                  <a:pt x="290" y="29"/>
                                </a:lnTo>
                                <a:lnTo>
                                  <a:pt x="292" y="37"/>
                                </a:lnTo>
                                <a:lnTo>
                                  <a:pt x="294" y="44"/>
                                </a:lnTo>
                                <a:lnTo>
                                  <a:pt x="294" y="54"/>
                                </a:lnTo>
                                <a:lnTo>
                                  <a:pt x="294" y="67"/>
                                </a:lnTo>
                                <a:lnTo>
                                  <a:pt x="294" y="82"/>
                                </a:lnTo>
                                <a:lnTo>
                                  <a:pt x="293" y="95"/>
                                </a:lnTo>
                                <a:lnTo>
                                  <a:pt x="290" y="104"/>
                                </a:lnTo>
                                <a:lnTo>
                                  <a:pt x="287" y="113"/>
                                </a:lnTo>
                                <a:lnTo>
                                  <a:pt x="282" y="120"/>
                                </a:lnTo>
                                <a:lnTo>
                                  <a:pt x="276" y="125"/>
                                </a:lnTo>
                                <a:lnTo>
                                  <a:pt x="270" y="130"/>
                                </a:lnTo>
                                <a:lnTo>
                                  <a:pt x="262" y="133"/>
                                </a:lnTo>
                                <a:lnTo>
                                  <a:pt x="252" y="133"/>
                                </a:lnTo>
                                <a:lnTo>
                                  <a:pt x="240" y="133"/>
                                </a:lnTo>
                                <a:lnTo>
                                  <a:pt x="230" y="129"/>
                                </a:lnTo>
                                <a:lnTo>
                                  <a:pt x="223" y="120"/>
                                </a:lnTo>
                                <a:lnTo>
                                  <a:pt x="218" y="110"/>
                                </a:lnTo>
                                <a:lnTo>
                                  <a:pt x="214" y="99"/>
                                </a:lnTo>
                                <a:lnTo>
                                  <a:pt x="211" y="84"/>
                                </a:lnTo>
                                <a:lnTo>
                                  <a:pt x="210" y="67"/>
                                </a:lnTo>
                                <a:close/>
                                <a:moveTo>
                                  <a:pt x="227" y="67"/>
                                </a:moveTo>
                                <a:lnTo>
                                  <a:pt x="227" y="82"/>
                                </a:lnTo>
                                <a:lnTo>
                                  <a:pt x="229" y="94"/>
                                </a:lnTo>
                                <a:lnTo>
                                  <a:pt x="231" y="103"/>
                                </a:lnTo>
                                <a:lnTo>
                                  <a:pt x="234" y="109"/>
                                </a:lnTo>
                                <a:lnTo>
                                  <a:pt x="239" y="117"/>
                                </a:lnTo>
                                <a:lnTo>
                                  <a:pt x="245" y="120"/>
                                </a:lnTo>
                                <a:lnTo>
                                  <a:pt x="252" y="120"/>
                                </a:lnTo>
                                <a:lnTo>
                                  <a:pt x="260" y="120"/>
                                </a:lnTo>
                                <a:lnTo>
                                  <a:pt x="266" y="116"/>
                                </a:lnTo>
                                <a:lnTo>
                                  <a:pt x="271" y="109"/>
                                </a:lnTo>
                                <a:lnTo>
                                  <a:pt x="274" y="103"/>
                                </a:lnTo>
                                <a:lnTo>
                                  <a:pt x="276" y="94"/>
                                </a:lnTo>
                                <a:lnTo>
                                  <a:pt x="278" y="82"/>
                                </a:lnTo>
                                <a:lnTo>
                                  <a:pt x="278" y="67"/>
                                </a:lnTo>
                                <a:lnTo>
                                  <a:pt x="278" y="53"/>
                                </a:lnTo>
                                <a:lnTo>
                                  <a:pt x="276" y="41"/>
                                </a:lnTo>
                                <a:lnTo>
                                  <a:pt x="274" y="32"/>
                                </a:lnTo>
                                <a:lnTo>
                                  <a:pt x="271" y="25"/>
                                </a:lnTo>
                                <a:lnTo>
                                  <a:pt x="266" y="18"/>
                                </a:lnTo>
                                <a:lnTo>
                                  <a:pt x="260" y="15"/>
                                </a:lnTo>
                                <a:lnTo>
                                  <a:pt x="252" y="15"/>
                                </a:lnTo>
                                <a:lnTo>
                                  <a:pt x="245" y="15"/>
                                </a:lnTo>
                                <a:lnTo>
                                  <a:pt x="239" y="18"/>
                                </a:lnTo>
                                <a:lnTo>
                                  <a:pt x="235" y="24"/>
                                </a:lnTo>
                                <a:lnTo>
                                  <a:pt x="231" y="31"/>
                                </a:lnTo>
                                <a:lnTo>
                                  <a:pt x="229" y="41"/>
                                </a:lnTo>
                                <a:lnTo>
                                  <a:pt x="227" y="53"/>
                                </a:lnTo>
                                <a:lnTo>
                                  <a:pt x="227" y="67"/>
                                </a:lnTo>
                                <a:close/>
                                <a:moveTo>
                                  <a:pt x="314" y="33"/>
                                </a:moveTo>
                                <a:lnTo>
                                  <a:pt x="314" y="24"/>
                                </a:lnTo>
                                <a:lnTo>
                                  <a:pt x="316" y="16"/>
                                </a:lnTo>
                                <a:lnTo>
                                  <a:pt x="320" y="9"/>
                                </a:lnTo>
                                <a:lnTo>
                                  <a:pt x="325" y="3"/>
                                </a:lnTo>
                                <a:lnTo>
                                  <a:pt x="332" y="0"/>
                                </a:lnTo>
                                <a:lnTo>
                                  <a:pt x="341" y="0"/>
                                </a:lnTo>
                                <a:lnTo>
                                  <a:pt x="349" y="0"/>
                                </a:lnTo>
                                <a:lnTo>
                                  <a:pt x="355" y="3"/>
                                </a:lnTo>
                                <a:lnTo>
                                  <a:pt x="361" y="8"/>
                                </a:lnTo>
                                <a:lnTo>
                                  <a:pt x="366" y="14"/>
                                </a:lnTo>
                                <a:lnTo>
                                  <a:pt x="369" y="23"/>
                                </a:lnTo>
                                <a:lnTo>
                                  <a:pt x="369" y="34"/>
                                </a:lnTo>
                                <a:lnTo>
                                  <a:pt x="369" y="45"/>
                                </a:lnTo>
                                <a:lnTo>
                                  <a:pt x="366" y="53"/>
                                </a:lnTo>
                                <a:lnTo>
                                  <a:pt x="361" y="59"/>
                                </a:lnTo>
                                <a:lnTo>
                                  <a:pt x="355" y="65"/>
                                </a:lnTo>
                                <a:lnTo>
                                  <a:pt x="349" y="68"/>
                                </a:lnTo>
                                <a:lnTo>
                                  <a:pt x="341" y="68"/>
                                </a:lnTo>
                                <a:lnTo>
                                  <a:pt x="333" y="68"/>
                                </a:lnTo>
                                <a:lnTo>
                                  <a:pt x="327" y="65"/>
                                </a:lnTo>
                                <a:lnTo>
                                  <a:pt x="321" y="59"/>
                                </a:lnTo>
                                <a:lnTo>
                                  <a:pt x="316" y="53"/>
                                </a:lnTo>
                                <a:lnTo>
                                  <a:pt x="314" y="45"/>
                                </a:lnTo>
                                <a:lnTo>
                                  <a:pt x="314" y="33"/>
                                </a:lnTo>
                                <a:close/>
                                <a:moveTo>
                                  <a:pt x="341" y="11"/>
                                </a:moveTo>
                                <a:lnTo>
                                  <a:pt x="337" y="11"/>
                                </a:lnTo>
                                <a:lnTo>
                                  <a:pt x="334" y="12"/>
                                </a:lnTo>
                                <a:lnTo>
                                  <a:pt x="331" y="16"/>
                                </a:lnTo>
                                <a:lnTo>
                                  <a:pt x="329" y="19"/>
                                </a:lnTo>
                                <a:lnTo>
                                  <a:pt x="327" y="25"/>
                                </a:lnTo>
                                <a:lnTo>
                                  <a:pt x="327" y="34"/>
                                </a:lnTo>
                                <a:lnTo>
                                  <a:pt x="327" y="43"/>
                                </a:lnTo>
                                <a:lnTo>
                                  <a:pt x="329" y="49"/>
                                </a:lnTo>
                                <a:lnTo>
                                  <a:pt x="331" y="52"/>
                                </a:lnTo>
                                <a:lnTo>
                                  <a:pt x="334" y="55"/>
                                </a:lnTo>
                                <a:lnTo>
                                  <a:pt x="337" y="57"/>
                                </a:lnTo>
                                <a:lnTo>
                                  <a:pt x="341" y="57"/>
                                </a:lnTo>
                                <a:lnTo>
                                  <a:pt x="345" y="57"/>
                                </a:lnTo>
                                <a:lnTo>
                                  <a:pt x="348" y="55"/>
                                </a:lnTo>
                                <a:lnTo>
                                  <a:pt x="351" y="52"/>
                                </a:lnTo>
                                <a:lnTo>
                                  <a:pt x="354" y="48"/>
                                </a:lnTo>
                                <a:lnTo>
                                  <a:pt x="355" y="42"/>
                                </a:lnTo>
                                <a:lnTo>
                                  <a:pt x="355" y="33"/>
                                </a:lnTo>
                                <a:lnTo>
                                  <a:pt x="355" y="25"/>
                                </a:lnTo>
                                <a:lnTo>
                                  <a:pt x="354" y="19"/>
                                </a:lnTo>
                                <a:lnTo>
                                  <a:pt x="351" y="16"/>
                                </a:lnTo>
                                <a:lnTo>
                                  <a:pt x="348" y="12"/>
                                </a:lnTo>
                                <a:lnTo>
                                  <a:pt x="345" y="11"/>
                                </a:lnTo>
                                <a:lnTo>
                                  <a:pt x="341" y="11"/>
                                </a:lnTo>
                                <a:close/>
                                <a:moveTo>
                                  <a:pt x="341" y="136"/>
                                </a:moveTo>
                                <a:lnTo>
                                  <a:pt x="412" y="0"/>
                                </a:lnTo>
                                <a:lnTo>
                                  <a:pt x="424" y="0"/>
                                </a:lnTo>
                                <a:lnTo>
                                  <a:pt x="354" y="136"/>
                                </a:lnTo>
                                <a:lnTo>
                                  <a:pt x="341" y="136"/>
                                </a:lnTo>
                                <a:close/>
                                <a:moveTo>
                                  <a:pt x="397" y="101"/>
                                </a:moveTo>
                                <a:lnTo>
                                  <a:pt x="397" y="91"/>
                                </a:lnTo>
                                <a:lnTo>
                                  <a:pt x="399" y="83"/>
                                </a:lnTo>
                                <a:lnTo>
                                  <a:pt x="404" y="77"/>
                                </a:lnTo>
                                <a:lnTo>
                                  <a:pt x="408" y="71"/>
                                </a:lnTo>
                                <a:lnTo>
                                  <a:pt x="415" y="67"/>
                                </a:lnTo>
                                <a:lnTo>
                                  <a:pt x="424" y="67"/>
                                </a:lnTo>
                                <a:lnTo>
                                  <a:pt x="432" y="67"/>
                                </a:lnTo>
                                <a:lnTo>
                                  <a:pt x="439" y="70"/>
                                </a:lnTo>
                                <a:lnTo>
                                  <a:pt x="444" y="76"/>
                                </a:lnTo>
                                <a:lnTo>
                                  <a:pt x="449" y="82"/>
                                </a:lnTo>
                                <a:lnTo>
                                  <a:pt x="452" y="90"/>
                                </a:lnTo>
                                <a:lnTo>
                                  <a:pt x="452" y="102"/>
                                </a:lnTo>
                                <a:lnTo>
                                  <a:pt x="452" y="112"/>
                                </a:lnTo>
                                <a:lnTo>
                                  <a:pt x="449" y="121"/>
                                </a:lnTo>
                                <a:lnTo>
                                  <a:pt x="444" y="127"/>
                                </a:lnTo>
                                <a:lnTo>
                                  <a:pt x="439" y="133"/>
                                </a:lnTo>
                                <a:lnTo>
                                  <a:pt x="432" y="136"/>
                                </a:lnTo>
                                <a:lnTo>
                                  <a:pt x="424" y="136"/>
                                </a:lnTo>
                                <a:lnTo>
                                  <a:pt x="416" y="136"/>
                                </a:lnTo>
                                <a:lnTo>
                                  <a:pt x="410" y="133"/>
                                </a:lnTo>
                                <a:lnTo>
                                  <a:pt x="405" y="127"/>
                                </a:lnTo>
                                <a:lnTo>
                                  <a:pt x="399" y="121"/>
                                </a:lnTo>
                                <a:lnTo>
                                  <a:pt x="397" y="112"/>
                                </a:lnTo>
                                <a:lnTo>
                                  <a:pt x="397" y="101"/>
                                </a:lnTo>
                                <a:close/>
                                <a:moveTo>
                                  <a:pt x="424" y="78"/>
                                </a:moveTo>
                                <a:lnTo>
                                  <a:pt x="420" y="78"/>
                                </a:lnTo>
                                <a:lnTo>
                                  <a:pt x="417" y="80"/>
                                </a:lnTo>
                                <a:lnTo>
                                  <a:pt x="415" y="83"/>
                                </a:lnTo>
                                <a:lnTo>
                                  <a:pt x="412" y="87"/>
                                </a:lnTo>
                                <a:lnTo>
                                  <a:pt x="411" y="93"/>
                                </a:lnTo>
                                <a:lnTo>
                                  <a:pt x="411" y="102"/>
                                </a:lnTo>
                                <a:lnTo>
                                  <a:pt x="411" y="110"/>
                                </a:lnTo>
                                <a:lnTo>
                                  <a:pt x="412" y="116"/>
                                </a:lnTo>
                                <a:lnTo>
                                  <a:pt x="415" y="120"/>
                                </a:lnTo>
                                <a:lnTo>
                                  <a:pt x="417" y="123"/>
                                </a:lnTo>
                                <a:lnTo>
                                  <a:pt x="421" y="125"/>
                                </a:lnTo>
                                <a:lnTo>
                                  <a:pt x="424" y="125"/>
                                </a:lnTo>
                                <a:lnTo>
                                  <a:pt x="428" y="125"/>
                                </a:lnTo>
                                <a:lnTo>
                                  <a:pt x="432" y="123"/>
                                </a:lnTo>
                                <a:lnTo>
                                  <a:pt x="434" y="120"/>
                                </a:lnTo>
                                <a:lnTo>
                                  <a:pt x="437" y="116"/>
                                </a:lnTo>
                                <a:lnTo>
                                  <a:pt x="438" y="110"/>
                                </a:lnTo>
                                <a:lnTo>
                                  <a:pt x="438" y="101"/>
                                </a:lnTo>
                                <a:lnTo>
                                  <a:pt x="438" y="93"/>
                                </a:lnTo>
                                <a:lnTo>
                                  <a:pt x="437" y="87"/>
                                </a:lnTo>
                                <a:lnTo>
                                  <a:pt x="434" y="83"/>
                                </a:lnTo>
                                <a:lnTo>
                                  <a:pt x="432" y="80"/>
                                </a:lnTo>
                                <a:lnTo>
                                  <a:pt x="428" y="78"/>
                                </a:lnTo>
                                <a:lnTo>
                                  <a:pt x="424" y="78"/>
                                </a:lnTo>
                                <a:close/>
                                <a:moveTo>
                                  <a:pt x="485" y="169"/>
                                </a:moveTo>
                                <a:lnTo>
                                  <a:pt x="474" y="169"/>
                                </a:lnTo>
                                <a:lnTo>
                                  <a:pt x="486" y="148"/>
                                </a:lnTo>
                                <a:lnTo>
                                  <a:pt x="494" y="126"/>
                                </a:lnTo>
                                <a:lnTo>
                                  <a:pt x="499" y="105"/>
                                </a:lnTo>
                                <a:lnTo>
                                  <a:pt x="500" y="84"/>
                                </a:lnTo>
                                <a:lnTo>
                                  <a:pt x="500" y="73"/>
                                </a:lnTo>
                                <a:lnTo>
                                  <a:pt x="499" y="62"/>
                                </a:lnTo>
                                <a:lnTo>
                                  <a:pt x="497" y="51"/>
                                </a:lnTo>
                                <a:lnTo>
                                  <a:pt x="495" y="43"/>
                                </a:lnTo>
                                <a:lnTo>
                                  <a:pt x="492" y="34"/>
                                </a:lnTo>
                                <a:lnTo>
                                  <a:pt x="488" y="26"/>
                                </a:lnTo>
                                <a:lnTo>
                                  <a:pt x="486" y="21"/>
                                </a:lnTo>
                                <a:lnTo>
                                  <a:pt x="481" y="12"/>
                                </a:lnTo>
                                <a:lnTo>
                                  <a:pt x="474" y="0"/>
                                </a:lnTo>
                                <a:lnTo>
                                  <a:pt x="485" y="0"/>
                                </a:lnTo>
                                <a:lnTo>
                                  <a:pt x="493" y="11"/>
                                </a:lnTo>
                                <a:lnTo>
                                  <a:pt x="500" y="22"/>
                                </a:lnTo>
                                <a:lnTo>
                                  <a:pt x="505" y="33"/>
                                </a:lnTo>
                                <a:lnTo>
                                  <a:pt x="510" y="44"/>
                                </a:lnTo>
                                <a:lnTo>
                                  <a:pt x="513" y="54"/>
                                </a:lnTo>
                                <a:lnTo>
                                  <a:pt x="515" y="64"/>
                                </a:lnTo>
                                <a:lnTo>
                                  <a:pt x="516" y="74"/>
                                </a:lnTo>
                                <a:lnTo>
                                  <a:pt x="517" y="84"/>
                                </a:lnTo>
                                <a:lnTo>
                                  <a:pt x="516" y="96"/>
                                </a:lnTo>
                                <a:lnTo>
                                  <a:pt x="514" y="107"/>
                                </a:lnTo>
                                <a:lnTo>
                                  <a:pt x="511" y="119"/>
                                </a:lnTo>
                                <a:lnTo>
                                  <a:pt x="507" y="130"/>
                                </a:lnTo>
                                <a:lnTo>
                                  <a:pt x="503" y="141"/>
                                </a:lnTo>
                                <a:lnTo>
                                  <a:pt x="497" y="151"/>
                                </a:lnTo>
                                <a:lnTo>
                                  <a:pt x="492" y="160"/>
                                </a:lnTo>
                                <a:lnTo>
                                  <a:pt x="485" y="169"/>
                                </a:lnTo>
                                <a:close/>
                              </a:path>
                            </a:pathLst>
                          </a:custGeom>
                          <a:noFill/>
                          <a:ln w="28575">
                            <a:solidFill>
                              <a:srgbClr val="FFFFFF"/>
                            </a:solidFill>
                            <a:round/>
                          </a:ln>
                          <a:effectLst/>
                        </wps:spPr>
                        <wps:bodyPr rot="0" vert="horz" wrap="square" lIns="91440" tIns="45720" rIns="91440" bIns="45720" anchor="t" anchorCtr="0" upright="1">
                          <a:noAutofit/>
                        </wps:bodyPr>
                      </wps:wsp>
                      <wps:wsp>
                        <wps:cNvPr id="61295269" name="Text Box 72"/>
                        <wps:cNvSpPr txBox="1">
                          <a:spLocks noChangeArrowheads="1"/>
                        </wps:cNvSpPr>
                        <wps:spPr bwMode="auto">
                          <a:xfrm>
                            <a:off x="1162" y="722"/>
                            <a:ext cx="7939" cy="1752"/>
                          </a:xfrm>
                          <a:prstGeom prst="rect">
                            <a:avLst/>
                          </a:prstGeom>
                          <a:noFill/>
                          <a:ln>
                            <a:noFill/>
                          </a:ln>
                          <a:effectLst/>
                        </wps:spPr>
                        <wps:txbx>
                          <w:txbxContent>
                            <w:p w14:paraId="4E79F44B">
                              <w:pPr>
                                <w:spacing w:line="300" w:lineRule="auto"/>
                                <w:ind w:right="12"/>
                              </w:pPr>
                              <w:r>
                                <w:rPr>
                                  <w:color w:val="202024"/>
                                </w:rPr>
                                <w:t>20.</w:t>
                              </w:r>
                              <w:r>
                                <w:rPr>
                                  <w:color w:val="202024"/>
                                  <w:spacing w:val="9"/>
                                </w:rPr>
                                <w:t xml:space="preserve"> </w:t>
                              </w:r>
                              <w:r>
                                <w:rPr>
                                  <w:color w:val="202024"/>
                                </w:rPr>
                                <w:t>In</w:t>
                              </w:r>
                              <w:r>
                                <w:rPr>
                                  <w:color w:val="202024"/>
                                  <w:spacing w:val="10"/>
                                </w:rPr>
                                <w:t xml:space="preserve"> </w:t>
                              </w:r>
                              <w:r>
                                <w:rPr>
                                  <w:color w:val="202024"/>
                                </w:rPr>
                                <w:t>your</w:t>
                              </w:r>
                              <w:r>
                                <w:rPr>
                                  <w:color w:val="202024"/>
                                  <w:spacing w:val="10"/>
                                </w:rPr>
                                <w:t xml:space="preserve"> </w:t>
                              </w:r>
                              <w:r>
                                <w:rPr>
                                  <w:color w:val="202024"/>
                                </w:rPr>
                                <w:t>opinion,</w:t>
                              </w:r>
                              <w:r>
                                <w:rPr>
                                  <w:color w:val="202024"/>
                                  <w:spacing w:val="10"/>
                                </w:rPr>
                                <w:t xml:space="preserve"> </w:t>
                              </w:r>
                              <w:r>
                                <w:rPr>
                                  <w:color w:val="202024"/>
                                </w:rPr>
                                <w:t>how</w:t>
                              </w:r>
                              <w:r>
                                <w:rPr>
                                  <w:color w:val="202024"/>
                                  <w:spacing w:val="10"/>
                                </w:rPr>
                                <w:t xml:space="preserve"> </w:t>
                              </w:r>
                              <w:r>
                                <w:rPr>
                                  <w:color w:val="202024"/>
                                </w:rPr>
                                <w:t>important</w:t>
                              </w:r>
                              <w:r>
                                <w:rPr>
                                  <w:color w:val="202024"/>
                                  <w:spacing w:val="10"/>
                                </w:rPr>
                                <w:t xml:space="preserve"> </w:t>
                              </w:r>
                              <w:r>
                                <w:rPr>
                                  <w:color w:val="202024"/>
                                </w:rPr>
                                <w:t>are</w:t>
                              </w:r>
                              <w:r>
                                <w:rPr>
                                  <w:color w:val="202024"/>
                                  <w:spacing w:val="10"/>
                                </w:rPr>
                                <w:t xml:space="preserve"> </w:t>
                              </w:r>
                              <w:r>
                                <w:rPr>
                                  <w:color w:val="202024"/>
                                </w:rPr>
                                <w:t>the</w:t>
                              </w:r>
                              <w:r>
                                <w:rPr>
                                  <w:color w:val="202024"/>
                                  <w:spacing w:val="10"/>
                                </w:rPr>
                                <w:t xml:space="preserve"> </w:t>
                              </w:r>
                              <w:r>
                                <w:rPr>
                                  <w:color w:val="202024"/>
                                </w:rPr>
                                <w:t>combination</w:t>
                              </w:r>
                              <w:r>
                                <w:rPr>
                                  <w:color w:val="202024"/>
                                  <w:spacing w:val="10"/>
                                </w:rPr>
                                <w:t xml:space="preserve"> </w:t>
                              </w:r>
                              <w:r>
                                <w:rPr>
                                  <w:color w:val="202024"/>
                                </w:rPr>
                                <w:t>of</w:t>
                              </w:r>
                              <w:r>
                                <w:rPr>
                                  <w:color w:val="202024"/>
                                  <w:spacing w:val="10"/>
                                </w:rPr>
                                <w:t xml:space="preserve"> </w:t>
                              </w:r>
                              <w:r>
                                <w:rPr>
                                  <w:color w:val="202024"/>
                                </w:rPr>
                                <w:t>fiscal</w:t>
                              </w:r>
                              <w:r>
                                <w:rPr>
                                  <w:color w:val="202024"/>
                                  <w:spacing w:val="10"/>
                                </w:rPr>
                                <w:t xml:space="preserve"> </w:t>
                              </w:r>
                              <w:r>
                                <w:rPr>
                                  <w:color w:val="202024"/>
                                </w:rPr>
                                <w:t>regimes</w:t>
                              </w:r>
                              <w:r>
                                <w:rPr>
                                  <w:color w:val="202024"/>
                                  <w:spacing w:val="1"/>
                                </w:rPr>
                                <w:t xml:space="preserve"> </w:t>
                              </w:r>
                              <w:r>
                                <w:rPr>
                                  <w:color w:val="202024"/>
                                </w:rPr>
                                <w:t>and</w:t>
                              </w:r>
                              <w:r>
                                <w:rPr>
                                  <w:color w:val="202024"/>
                                  <w:spacing w:val="9"/>
                                </w:rPr>
                                <w:t xml:space="preserve"> </w:t>
                              </w:r>
                              <w:r>
                                <w:rPr>
                                  <w:color w:val="202024"/>
                                </w:rPr>
                                <w:t>the</w:t>
                              </w:r>
                              <w:r>
                                <w:rPr>
                                  <w:color w:val="202024"/>
                                  <w:spacing w:val="9"/>
                                </w:rPr>
                                <w:t xml:space="preserve"> </w:t>
                              </w:r>
                              <w:r>
                                <w:rPr>
                                  <w:color w:val="202024"/>
                                </w:rPr>
                                <w:t>different</w:t>
                              </w:r>
                              <w:r>
                                <w:rPr>
                                  <w:color w:val="202024"/>
                                  <w:spacing w:val="9"/>
                                </w:rPr>
                                <w:t xml:space="preserve"> </w:t>
                              </w:r>
                              <w:r>
                                <w:rPr>
                                  <w:color w:val="202024"/>
                                </w:rPr>
                                <w:t>tax</w:t>
                              </w:r>
                              <w:r>
                                <w:rPr>
                                  <w:color w:val="202024"/>
                                  <w:spacing w:val="9"/>
                                </w:rPr>
                                <w:t xml:space="preserve"> </w:t>
                              </w:r>
                              <w:r>
                                <w:rPr>
                                  <w:color w:val="202024"/>
                                </w:rPr>
                                <w:t>systems</w:t>
                              </w:r>
                              <w:r>
                                <w:rPr>
                                  <w:color w:val="202024"/>
                                  <w:spacing w:val="9"/>
                                </w:rPr>
                                <w:t xml:space="preserve"> </w:t>
                              </w:r>
                              <w:r>
                                <w:rPr>
                                  <w:color w:val="202024"/>
                                </w:rPr>
                                <w:t>and</w:t>
                              </w:r>
                              <w:r>
                                <w:rPr>
                                  <w:color w:val="202024"/>
                                  <w:spacing w:val="9"/>
                                </w:rPr>
                                <w:t xml:space="preserve"> </w:t>
                              </w:r>
                              <w:r>
                                <w:rPr>
                                  <w:color w:val="202024"/>
                                </w:rPr>
                                <w:t>rates</w:t>
                              </w:r>
                              <w:r>
                                <w:rPr>
                                  <w:color w:val="202024"/>
                                  <w:spacing w:val="10"/>
                                </w:rPr>
                                <w:t xml:space="preserve"> </w:t>
                              </w:r>
                              <w:r>
                                <w:rPr>
                                  <w:color w:val="202024"/>
                                </w:rPr>
                                <w:t>under</w:t>
                              </w:r>
                              <w:r>
                                <w:rPr>
                                  <w:color w:val="202024"/>
                                  <w:spacing w:val="9"/>
                                </w:rPr>
                                <w:t xml:space="preserve"> </w:t>
                              </w:r>
                              <w:r>
                                <w:rPr>
                                  <w:color w:val="202024"/>
                                </w:rPr>
                                <w:t>the</w:t>
                              </w:r>
                              <w:r>
                                <w:rPr>
                                  <w:color w:val="202024"/>
                                  <w:spacing w:val="9"/>
                                </w:rPr>
                                <w:t xml:space="preserve"> </w:t>
                              </w:r>
                              <w:r>
                                <w:rPr>
                                  <w:color w:val="202024"/>
                                </w:rPr>
                                <w:t>PIA,</w:t>
                              </w:r>
                              <w:r>
                                <w:rPr>
                                  <w:color w:val="202024"/>
                                  <w:spacing w:val="9"/>
                                </w:rPr>
                                <w:t xml:space="preserve"> </w:t>
                              </w:r>
                              <w:r>
                                <w:rPr>
                                  <w:color w:val="202024"/>
                                </w:rPr>
                                <w:t>for</w:t>
                              </w:r>
                              <w:r>
                                <w:rPr>
                                  <w:color w:val="202024"/>
                                  <w:spacing w:val="9"/>
                                </w:rPr>
                                <w:t xml:space="preserve"> </w:t>
                              </w:r>
                              <w:r>
                                <w:rPr>
                                  <w:color w:val="202024"/>
                                </w:rPr>
                                <w:t>offshore</w:t>
                              </w:r>
                              <w:r>
                                <w:rPr>
                                  <w:color w:val="202024"/>
                                  <w:spacing w:val="9"/>
                                </w:rPr>
                                <w:t xml:space="preserve"> </w:t>
                              </w:r>
                              <w:r>
                                <w:rPr>
                                  <w:color w:val="202024"/>
                                </w:rPr>
                                <w:t>and</w:t>
                              </w:r>
                              <w:r>
                                <w:rPr>
                                  <w:color w:val="202024"/>
                                  <w:spacing w:val="1"/>
                                </w:rPr>
                                <w:t xml:space="preserve"> </w:t>
                              </w:r>
                              <w:r>
                                <w:rPr>
                                  <w:color w:val="202024"/>
                                </w:rPr>
                                <w:t>onshore</w:t>
                              </w:r>
                              <w:r>
                                <w:rPr>
                                  <w:color w:val="202024"/>
                                  <w:spacing w:val="10"/>
                                </w:rPr>
                                <w:t xml:space="preserve"> </w:t>
                              </w:r>
                              <w:r>
                                <w:rPr>
                                  <w:color w:val="202024"/>
                                </w:rPr>
                                <w:t>petroleum</w:t>
                              </w:r>
                              <w:r>
                                <w:rPr>
                                  <w:color w:val="202024"/>
                                  <w:spacing w:val="10"/>
                                </w:rPr>
                                <w:t xml:space="preserve"> </w:t>
                              </w:r>
                              <w:r>
                                <w:rPr>
                                  <w:color w:val="202024"/>
                                </w:rPr>
                                <w:t>operations</w:t>
                              </w:r>
                              <w:r>
                                <w:rPr>
                                  <w:color w:val="202024"/>
                                  <w:spacing w:val="11"/>
                                </w:rPr>
                                <w:t xml:space="preserve"> </w:t>
                              </w:r>
                              <w:r>
                                <w:rPr>
                                  <w:color w:val="202024"/>
                                </w:rPr>
                                <w:t>in</w:t>
                              </w:r>
                              <w:r>
                                <w:rPr>
                                  <w:color w:val="202024"/>
                                  <w:spacing w:val="10"/>
                                </w:rPr>
                                <w:t xml:space="preserve"> </w:t>
                              </w:r>
                              <w:r>
                                <w:rPr>
                                  <w:color w:val="202024"/>
                                </w:rPr>
                                <w:t>achieving</w:t>
                              </w:r>
                              <w:r>
                                <w:rPr>
                                  <w:color w:val="202024"/>
                                  <w:spacing w:val="11"/>
                                </w:rPr>
                                <w:t xml:space="preserve"> </w:t>
                              </w:r>
                              <w:r>
                                <w:rPr>
                                  <w:color w:val="202024"/>
                                </w:rPr>
                                <w:t>clarity,</w:t>
                              </w:r>
                              <w:r>
                                <w:rPr>
                                  <w:color w:val="202024"/>
                                  <w:spacing w:val="10"/>
                                </w:rPr>
                                <w:t xml:space="preserve"> </w:t>
                              </w:r>
                              <w:r>
                                <w:rPr>
                                  <w:color w:val="202024"/>
                                </w:rPr>
                                <w:t>certainty</w:t>
                              </w:r>
                              <w:r>
                                <w:rPr>
                                  <w:color w:val="202024"/>
                                  <w:spacing w:val="11"/>
                                </w:rPr>
                                <w:t xml:space="preserve"> </w:t>
                              </w:r>
                              <w:r>
                                <w:rPr>
                                  <w:color w:val="202024"/>
                                </w:rPr>
                                <w:t>and</w:t>
                              </w:r>
                              <w:r>
                                <w:rPr>
                                  <w:color w:val="202024"/>
                                  <w:spacing w:val="10"/>
                                </w:rPr>
                                <w:t xml:space="preserve"> </w:t>
                              </w:r>
                              <w:r>
                                <w:rPr>
                                  <w:color w:val="202024"/>
                                </w:rPr>
                                <w:t>effective</w:t>
                              </w:r>
                              <w:r>
                                <w:rPr>
                                  <w:color w:val="202024"/>
                                  <w:spacing w:val="-56"/>
                                </w:rPr>
                                <w:t xml:space="preserve"> </w:t>
                              </w:r>
                              <w:r>
                                <w:rPr>
                                  <w:color w:val="202024"/>
                                </w:rPr>
                                <w:t>compliance?</w:t>
                              </w:r>
                            </w:p>
                            <w:p w14:paraId="379DB804">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wps:txbx>
                        <wps:bodyPr rot="0" vert="horz" wrap="square" lIns="0" tIns="0" rIns="0" bIns="0" anchor="t" anchorCtr="0" upright="1">
                          <a:noAutofit/>
                        </wps:bodyPr>
                      </wps:wsp>
                      <wps:wsp>
                        <wps:cNvPr id="1758355015" name="Text Box 71"/>
                        <wps:cNvSpPr txBox="1">
                          <a:spLocks noChangeArrowheads="1"/>
                        </wps:cNvSpPr>
                        <wps:spPr bwMode="auto">
                          <a:xfrm>
                            <a:off x="9958" y="761"/>
                            <a:ext cx="550" cy="200"/>
                          </a:xfrm>
                          <a:prstGeom prst="rect">
                            <a:avLst/>
                          </a:prstGeom>
                          <a:noFill/>
                          <a:ln>
                            <a:noFill/>
                          </a:ln>
                          <a:effectLst/>
                        </wps:spPr>
                        <wps:txbx>
                          <w:txbxContent>
                            <w:p w14:paraId="4DEEB9A1">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1602676141" name="Text Box 70"/>
                        <wps:cNvSpPr txBox="1">
                          <a:spLocks noChangeArrowheads="1"/>
                        </wps:cNvSpPr>
                        <wps:spPr bwMode="auto">
                          <a:xfrm>
                            <a:off x="1689" y="2907"/>
                            <a:ext cx="221" cy="202"/>
                          </a:xfrm>
                          <a:prstGeom prst="rect">
                            <a:avLst/>
                          </a:prstGeom>
                          <a:noFill/>
                          <a:ln>
                            <a:noFill/>
                          </a:ln>
                          <a:effectLst/>
                        </wps:spPr>
                        <wps:txbx>
                          <w:txbxContent>
                            <w:p w14:paraId="6C5D6787">
                              <w:pPr>
                                <w:spacing w:line="201" w:lineRule="exact"/>
                                <w:rPr>
                                  <w:rFonts w:ascii="Arial MT"/>
                                  <w:sz w:val="18"/>
                                </w:rPr>
                              </w:pPr>
                              <w:r>
                                <w:rPr>
                                  <w:rFonts w:ascii="Arial MT"/>
                                  <w:color w:val="444444"/>
                                  <w:sz w:val="18"/>
                                </w:rPr>
                                <w:t>40</w:t>
                              </w:r>
                            </w:p>
                          </w:txbxContent>
                        </wps:txbx>
                        <wps:bodyPr rot="0" vert="horz" wrap="square" lIns="0" tIns="0" rIns="0" bIns="0" anchor="t" anchorCtr="0" upright="1">
                          <a:noAutofit/>
                        </wps:bodyPr>
                      </wps:wsp>
                      <wps:wsp>
                        <wps:cNvPr id="620063525" name="Text Box 69"/>
                        <wps:cNvSpPr txBox="1">
                          <a:spLocks noChangeArrowheads="1"/>
                        </wps:cNvSpPr>
                        <wps:spPr bwMode="auto">
                          <a:xfrm>
                            <a:off x="1689" y="3578"/>
                            <a:ext cx="221" cy="202"/>
                          </a:xfrm>
                          <a:prstGeom prst="rect">
                            <a:avLst/>
                          </a:prstGeom>
                          <a:noFill/>
                          <a:ln>
                            <a:noFill/>
                          </a:ln>
                          <a:effectLst/>
                        </wps:spPr>
                        <wps:txbx>
                          <w:txbxContent>
                            <w:p w14:paraId="46576723">
                              <w:pPr>
                                <w:spacing w:line="201" w:lineRule="exact"/>
                                <w:rPr>
                                  <w:rFonts w:ascii="Arial MT"/>
                                  <w:sz w:val="18"/>
                                </w:rPr>
                              </w:pPr>
                              <w:r>
                                <w:rPr>
                                  <w:rFonts w:ascii="Arial MT"/>
                                  <w:color w:val="444444"/>
                                  <w:sz w:val="18"/>
                                </w:rPr>
                                <w:t>30</w:t>
                              </w:r>
                            </w:p>
                          </w:txbxContent>
                        </wps:txbx>
                        <wps:bodyPr rot="0" vert="horz" wrap="square" lIns="0" tIns="0" rIns="0" bIns="0" anchor="t" anchorCtr="0" upright="1">
                          <a:noAutofit/>
                        </wps:bodyPr>
                      </wps:wsp>
                      <wps:wsp>
                        <wps:cNvPr id="1063055853" name="Text Box 68"/>
                        <wps:cNvSpPr txBox="1">
                          <a:spLocks noChangeArrowheads="1"/>
                        </wps:cNvSpPr>
                        <wps:spPr bwMode="auto">
                          <a:xfrm>
                            <a:off x="1689" y="4249"/>
                            <a:ext cx="221" cy="202"/>
                          </a:xfrm>
                          <a:prstGeom prst="rect">
                            <a:avLst/>
                          </a:prstGeom>
                          <a:noFill/>
                          <a:ln>
                            <a:noFill/>
                          </a:ln>
                          <a:effectLst/>
                        </wps:spPr>
                        <wps:txbx>
                          <w:txbxContent>
                            <w:p w14:paraId="3A239971">
                              <w:pPr>
                                <w:spacing w:line="201" w:lineRule="exact"/>
                                <w:rPr>
                                  <w:rFonts w:ascii="Arial MT"/>
                                  <w:sz w:val="18"/>
                                </w:rPr>
                              </w:pPr>
                              <w:r>
                                <w:rPr>
                                  <w:rFonts w:ascii="Arial MT"/>
                                  <w:color w:val="444444"/>
                                  <w:sz w:val="18"/>
                                </w:rPr>
                                <w:t>20</w:t>
                              </w:r>
                            </w:p>
                          </w:txbxContent>
                        </wps:txbx>
                        <wps:bodyPr rot="0" vert="horz" wrap="square" lIns="0" tIns="0" rIns="0" bIns="0" anchor="t" anchorCtr="0" upright="1">
                          <a:noAutofit/>
                        </wps:bodyPr>
                      </wps:wsp>
                      <wps:wsp>
                        <wps:cNvPr id="979390221" name="Text Box 67"/>
                        <wps:cNvSpPr txBox="1">
                          <a:spLocks noChangeArrowheads="1"/>
                        </wps:cNvSpPr>
                        <wps:spPr bwMode="auto">
                          <a:xfrm>
                            <a:off x="1689" y="4921"/>
                            <a:ext cx="221" cy="202"/>
                          </a:xfrm>
                          <a:prstGeom prst="rect">
                            <a:avLst/>
                          </a:prstGeom>
                          <a:noFill/>
                          <a:ln>
                            <a:noFill/>
                          </a:ln>
                          <a:effectLst/>
                        </wps:spPr>
                        <wps:txbx>
                          <w:txbxContent>
                            <w:p w14:paraId="73627EF9">
                              <w:pPr>
                                <w:spacing w:line="201" w:lineRule="exact"/>
                                <w:rPr>
                                  <w:rFonts w:ascii="Arial MT"/>
                                  <w:sz w:val="18"/>
                                </w:rPr>
                              </w:pPr>
                              <w:r>
                                <w:rPr>
                                  <w:rFonts w:ascii="Arial MT"/>
                                  <w:color w:val="444444"/>
                                  <w:sz w:val="18"/>
                                </w:rPr>
                                <w:t>10</w:t>
                              </w:r>
                            </w:p>
                          </w:txbxContent>
                        </wps:txbx>
                        <wps:bodyPr rot="0" vert="horz" wrap="square" lIns="0" tIns="0" rIns="0" bIns="0" anchor="t" anchorCtr="0" upright="1">
                          <a:noAutofit/>
                        </wps:bodyPr>
                      </wps:wsp>
                      <wps:wsp>
                        <wps:cNvPr id="1992767111" name="Text Box 66"/>
                        <wps:cNvSpPr txBox="1">
                          <a:spLocks noChangeArrowheads="1"/>
                        </wps:cNvSpPr>
                        <wps:spPr bwMode="auto">
                          <a:xfrm>
                            <a:off x="2614" y="5314"/>
                            <a:ext cx="551" cy="202"/>
                          </a:xfrm>
                          <a:prstGeom prst="rect">
                            <a:avLst/>
                          </a:prstGeom>
                          <a:noFill/>
                          <a:ln>
                            <a:noFill/>
                          </a:ln>
                          <a:effectLst/>
                        </wps:spPr>
                        <wps:txbx>
                          <w:txbxContent>
                            <w:p w14:paraId="46859030">
                              <w:pPr>
                                <w:spacing w:line="201" w:lineRule="exact"/>
                                <w:rPr>
                                  <w:rFonts w:ascii="Arial MT"/>
                                  <w:sz w:val="18"/>
                                </w:rPr>
                              </w:pPr>
                              <w:r>
                                <w:rPr>
                                  <w:rFonts w:ascii="Arial MT"/>
                                  <w:color w:val="202024"/>
                                  <w:sz w:val="18"/>
                                </w:rPr>
                                <w:t>0 (0%)</w:t>
                              </w:r>
                            </w:p>
                          </w:txbxContent>
                        </wps:txbx>
                        <wps:bodyPr rot="0" vert="horz" wrap="square" lIns="0" tIns="0" rIns="0" bIns="0" anchor="t" anchorCtr="0" upright="1">
                          <a:noAutofit/>
                        </wps:bodyPr>
                      </wps:wsp>
                      <wps:wsp>
                        <wps:cNvPr id="96675659" name="Text Box 65"/>
                        <wps:cNvSpPr txBox="1">
                          <a:spLocks noChangeArrowheads="1"/>
                        </wps:cNvSpPr>
                        <wps:spPr bwMode="auto">
                          <a:xfrm>
                            <a:off x="1789" y="5592"/>
                            <a:ext cx="121" cy="202"/>
                          </a:xfrm>
                          <a:prstGeom prst="rect">
                            <a:avLst/>
                          </a:prstGeom>
                          <a:noFill/>
                          <a:ln>
                            <a:noFill/>
                          </a:ln>
                          <a:effectLst/>
                        </wps:spPr>
                        <wps:txbx>
                          <w:txbxContent>
                            <w:p w14:paraId="533E3AD6">
                              <w:pPr>
                                <w:spacing w:line="201" w:lineRule="exact"/>
                                <w:rPr>
                                  <w:rFonts w:ascii="Arial MT"/>
                                  <w:sz w:val="18"/>
                                </w:rPr>
                              </w:pPr>
                              <w:r>
                                <w:rPr>
                                  <w:rFonts w:ascii="Arial MT"/>
                                  <w:color w:val="444444"/>
                                  <w:sz w:val="18"/>
                                </w:rPr>
                                <w:t>0</w:t>
                              </w:r>
                            </w:p>
                          </w:txbxContent>
                        </wps:txbx>
                        <wps:bodyPr rot="0" vert="horz" wrap="square" lIns="0" tIns="0" rIns="0" bIns="0" anchor="t" anchorCtr="0" upright="1">
                          <a:noAutofit/>
                        </wps:bodyPr>
                      </wps:wsp>
                      <wps:wsp>
                        <wps:cNvPr id="1254357846" name="Text Box 64"/>
                        <wps:cNvSpPr txBox="1">
                          <a:spLocks noChangeArrowheads="1"/>
                        </wps:cNvSpPr>
                        <wps:spPr bwMode="auto">
                          <a:xfrm>
                            <a:off x="2838" y="5794"/>
                            <a:ext cx="121" cy="202"/>
                          </a:xfrm>
                          <a:prstGeom prst="rect">
                            <a:avLst/>
                          </a:prstGeom>
                          <a:noFill/>
                          <a:ln>
                            <a:noFill/>
                          </a:ln>
                          <a:effectLst/>
                        </wps:spPr>
                        <wps:txbx>
                          <w:txbxContent>
                            <w:p w14:paraId="3B4E48E9">
                              <w:pPr>
                                <w:spacing w:line="201" w:lineRule="exact"/>
                                <w:rPr>
                                  <w:rFonts w:ascii="Arial MT"/>
                                  <w:sz w:val="18"/>
                                </w:rPr>
                              </w:pPr>
                              <w:r>
                                <w:rPr>
                                  <w:rFonts w:ascii="Arial MT"/>
                                  <w:color w:val="212121"/>
                                  <w:sz w:val="18"/>
                                </w:rPr>
                                <w:t>1</w:t>
                              </w:r>
                            </w:p>
                          </w:txbxContent>
                        </wps:txbx>
                        <wps:bodyPr rot="0" vert="horz" wrap="square" lIns="0" tIns="0" rIns="0" bIns="0" anchor="t" anchorCtr="0" upright="1">
                          <a:noAutofit/>
                        </wps:bodyPr>
                      </wps:wsp>
                      <wps:wsp>
                        <wps:cNvPr id="2042309922" name="Text Box 63"/>
                        <wps:cNvSpPr txBox="1">
                          <a:spLocks noChangeArrowheads="1"/>
                        </wps:cNvSpPr>
                        <wps:spPr bwMode="auto">
                          <a:xfrm>
                            <a:off x="4005" y="5449"/>
                            <a:ext cx="1025" cy="547"/>
                          </a:xfrm>
                          <a:prstGeom prst="rect">
                            <a:avLst/>
                          </a:prstGeom>
                          <a:noFill/>
                          <a:ln>
                            <a:noFill/>
                          </a:ln>
                          <a:effectLst/>
                        </wps:spPr>
                        <wps:txbx>
                          <w:txbxContent>
                            <w:p w14:paraId="236462EC">
                              <w:pPr>
                                <w:spacing w:line="201" w:lineRule="exact"/>
                                <w:ind w:right="18"/>
                                <w:jc w:val="center"/>
                                <w:rPr>
                                  <w:rFonts w:ascii="Arial MT"/>
                                  <w:sz w:val="18"/>
                                </w:rPr>
                              </w:pPr>
                              <w:r>
                                <w:rPr>
                                  <w:color w:val="FFFFFF"/>
                                  <w:sz w:val="18"/>
                                  <w:shd w:val="clear" w:color="auto" w:fill="663AB6"/>
                                </w:rPr>
                                <w:t xml:space="preserve">  </w:t>
                              </w:r>
                              <w:r>
                                <w:rPr>
                                  <w:color w:val="FFFFFF"/>
                                  <w:spacing w:val="19"/>
                                  <w:sz w:val="18"/>
                                  <w:shd w:val="clear" w:color="auto" w:fill="663AB6"/>
                                </w:rPr>
                                <w:t xml:space="preserve"> </w:t>
                              </w:r>
                              <w:r>
                                <w:rPr>
                                  <w:rFonts w:ascii="Arial MT"/>
                                  <w:color w:val="FFFFFF"/>
                                  <w:sz w:val="18"/>
                                  <w:shd w:val="clear" w:color="auto" w:fill="663AB6"/>
                                </w:rPr>
                                <w:t>4 (5.3%)</w:t>
                              </w:r>
                              <w:r>
                                <w:rPr>
                                  <w:rFonts w:ascii="Arial MT"/>
                                  <w:color w:val="FFFFFF"/>
                                  <w:spacing w:val="20"/>
                                  <w:sz w:val="18"/>
                                  <w:shd w:val="clear" w:color="auto" w:fill="663AB6"/>
                                </w:rPr>
                                <w:t xml:space="preserve"> </w:t>
                              </w:r>
                            </w:p>
                            <w:p w14:paraId="5D33C775">
                              <w:pPr>
                                <w:spacing w:before="138"/>
                                <w:ind w:right="9"/>
                                <w:jc w:val="center"/>
                                <w:rPr>
                                  <w:rFonts w:ascii="Arial MT"/>
                                  <w:sz w:val="18"/>
                                </w:rPr>
                              </w:pPr>
                              <w:r>
                                <w:rPr>
                                  <w:rFonts w:ascii="Arial MT"/>
                                  <w:color w:val="212121"/>
                                  <w:sz w:val="18"/>
                                </w:rPr>
                                <w:t>2</w:t>
                              </w:r>
                            </w:p>
                          </w:txbxContent>
                        </wps:txbx>
                        <wps:bodyPr rot="0" vert="horz" wrap="square" lIns="0" tIns="0" rIns="0" bIns="0" anchor="t" anchorCtr="0" upright="1">
                          <a:noAutofit/>
                        </wps:bodyPr>
                      </wps:wsp>
                      <wps:wsp>
                        <wps:cNvPr id="434804406" name="Text Box 62"/>
                        <wps:cNvSpPr txBox="1">
                          <a:spLocks noChangeArrowheads="1"/>
                        </wps:cNvSpPr>
                        <wps:spPr bwMode="auto">
                          <a:xfrm>
                            <a:off x="6084" y="5794"/>
                            <a:ext cx="121" cy="202"/>
                          </a:xfrm>
                          <a:prstGeom prst="rect">
                            <a:avLst/>
                          </a:prstGeom>
                          <a:noFill/>
                          <a:ln>
                            <a:noFill/>
                          </a:ln>
                          <a:effectLst/>
                        </wps:spPr>
                        <wps:txbx>
                          <w:txbxContent>
                            <w:p w14:paraId="59C8C90D">
                              <w:pPr>
                                <w:spacing w:line="201" w:lineRule="exact"/>
                                <w:rPr>
                                  <w:rFonts w:ascii="Arial MT"/>
                                  <w:sz w:val="18"/>
                                </w:rPr>
                              </w:pPr>
                              <w:r>
                                <w:rPr>
                                  <w:rFonts w:ascii="Arial MT"/>
                                  <w:color w:val="212121"/>
                                  <w:sz w:val="18"/>
                                </w:rPr>
                                <w:t>3</w:t>
                              </w:r>
                            </w:p>
                          </w:txbxContent>
                        </wps:txbx>
                        <wps:bodyPr rot="0" vert="horz" wrap="square" lIns="0" tIns="0" rIns="0" bIns="0" anchor="t" anchorCtr="0" upright="1">
                          <a:noAutofit/>
                        </wps:bodyPr>
                      </wps:wsp>
                      <wps:wsp>
                        <wps:cNvPr id="1672122624" name="Text Box 61"/>
                        <wps:cNvSpPr txBox="1">
                          <a:spLocks noChangeArrowheads="1"/>
                        </wps:cNvSpPr>
                        <wps:spPr bwMode="auto">
                          <a:xfrm>
                            <a:off x="7707" y="5794"/>
                            <a:ext cx="121" cy="202"/>
                          </a:xfrm>
                          <a:prstGeom prst="rect">
                            <a:avLst/>
                          </a:prstGeom>
                          <a:noFill/>
                          <a:ln>
                            <a:noFill/>
                          </a:ln>
                          <a:effectLst/>
                        </wps:spPr>
                        <wps:txbx>
                          <w:txbxContent>
                            <w:p w14:paraId="5602F9E5">
                              <w:pPr>
                                <w:spacing w:line="201" w:lineRule="exact"/>
                                <w:rPr>
                                  <w:rFonts w:ascii="Arial MT"/>
                                  <w:sz w:val="18"/>
                                </w:rPr>
                              </w:pPr>
                              <w:r>
                                <w:rPr>
                                  <w:rFonts w:ascii="Arial MT"/>
                                  <w:color w:val="212121"/>
                                  <w:sz w:val="18"/>
                                </w:rPr>
                                <w:t>4</w:t>
                              </w:r>
                            </w:p>
                          </w:txbxContent>
                        </wps:txbx>
                        <wps:bodyPr rot="0" vert="horz" wrap="square" lIns="0" tIns="0" rIns="0" bIns="0" anchor="t" anchorCtr="0" upright="1">
                          <a:noAutofit/>
                        </wps:bodyPr>
                      </wps:wsp>
                      <wps:wsp>
                        <wps:cNvPr id="1092127946" name="Text Box 60"/>
                        <wps:cNvSpPr txBox="1">
                          <a:spLocks noChangeArrowheads="1"/>
                        </wps:cNvSpPr>
                        <wps:spPr bwMode="auto">
                          <a:xfrm>
                            <a:off x="9330" y="5794"/>
                            <a:ext cx="121" cy="202"/>
                          </a:xfrm>
                          <a:prstGeom prst="rect">
                            <a:avLst/>
                          </a:prstGeom>
                          <a:noFill/>
                          <a:ln>
                            <a:noFill/>
                          </a:ln>
                          <a:effectLst/>
                        </wps:spPr>
                        <wps:txbx>
                          <w:txbxContent>
                            <w:p w14:paraId="7D979ABF">
                              <w:pPr>
                                <w:spacing w:line="201" w:lineRule="exact"/>
                                <w:rPr>
                                  <w:rFonts w:ascii="Arial MT"/>
                                  <w:sz w:val="18"/>
                                </w:rPr>
                              </w:pPr>
                              <w:r>
                                <w:rPr>
                                  <w:rFonts w:ascii="Arial MT"/>
                                  <w:color w:val="212121"/>
                                  <w:sz w:val="18"/>
                                </w:rPr>
                                <w:t>5</w:t>
                              </w:r>
                            </w:p>
                          </w:txbxContent>
                        </wps:txbx>
                        <wps:bodyPr rot="0" vert="horz" wrap="square" lIns="0" tIns="0" rIns="0" bIns="0" anchor="t" anchorCtr="0" upright="1">
                          <a:noAutofit/>
                        </wps:bodyPr>
                      </wps:wsp>
                      <wps:wsp>
                        <wps:cNvPr id="343437080" name="Text Box 59"/>
                        <wps:cNvSpPr txBox="1">
                          <a:spLocks noChangeArrowheads="1"/>
                        </wps:cNvSpPr>
                        <wps:spPr bwMode="auto">
                          <a:xfrm>
                            <a:off x="5640" y="5025"/>
                            <a:ext cx="990" cy="660"/>
                          </a:xfrm>
                          <a:prstGeom prst="rect">
                            <a:avLst/>
                          </a:prstGeom>
                          <a:solidFill>
                            <a:srgbClr val="663AB6"/>
                          </a:solidFill>
                          <a:ln>
                            <a:noFill/>
                          </a:ln>
                          <a:effectLst/>
                        </wps:spPr>
                        <wps:txbx>
                          <w:txbxContent>
                            <w:p w14:paraId="14936B3F">
                              <w:pPr>
                                <w:spacing w:before="14"/>
                                <w:rPr>
                                  <w:rFonts w:ascii="Arial MT"/>
                                  <w:sz w:val="18"/>
                                </w:rPr>
                              </w:pPr>
                              <w:r>
                                <w:rPr>
                                  <w:rFonts w:ascii="Arial MT"/>
                                  <w:color w:val="FFFFFF"/>
                                  <w:sz w:val="18"/>
                                </w:rPr>
                                <w:t>10 (13.3%)</w:t>
                              </w:r>
                            </w:p>
                          </w:txbxContent>
                        </wps:txbx>
                        <wps:bodyPr rot="0" vert="horz" wrap="square" lIns="0" tIns="0" rIns="0" bIns="0" anchor="t" anchorCtr="0" upright="1">
                          <a:noAutofit/>
                        </wps:bodyPr>
                      </wps:wsp>
                      <wps:wsp>
                        <wps:cNvPr id="428038692" name="Text Box 58"/>
                        <wps:cNvSpPr txBox="1">
                          <a:spLocks noChangeArrowheads="1"/>
                        </wps:cNvSpPr>
                        <wps:spPr bwMode="auto">
                          <a:xfrm>
                            <a:off x="8880" y="4230"/>
                            <a:ext cx="1005" cy="1455"/>
                          </a:xfrm>
                          <a:prstGeom prst="rect">
                            <a:avLst/>
                          </a:prstGeom>
                          <a:solidFill>
                            <a:srgbClr val="663AB6"/>
                          </a:solidFill>
                          <a:ln>
                            <a:noFill/>
                          </a:ln>
                          <a:effectLst/>
                        </wps:spPr>
                        <wps:txbx>
                          <w:txbxContent>
                            <w:p w14:paraId="0D4D4332">
                              <w:pPr>
                                <w:spacing w:before="14"/>
                                <w:rPr>
                                  <w:rFonts w:ascii="Arial MT"/>
                                  <w:sz w:val="18"/>
                                </w:rPr>
                              </w:pPr>
                              <w:r>
                                <w:rPr>
                                  <w:rFonts w:ascii="Arial MT"/>
                                  <w:color w:val="FFFFFF"/>
                                  <w:sz w:val="18"/>
                                </w:rPr>
                                <w:t>22 (29.3%)</w:t>
                              </w:r>
                            </w:p>
                          </w:txbxContent>
                        </wps:txbx>
                        <wps:bodyPr rot="0" vert="horz" wrap="square" lIns="0" tIns="0" rIns="0" bIns="0" anchor="t" anchorCtr="0" upright="1">
                          <a:noAutofit/>
                        </wps:bodyPr>
                      </wps:wsp>
                      <wps:wsp>
                        <wps:cNvPr id="598680529" name="Text Box 57"/>
                        <wps:cNvSpPr txBox="1">
                          <a:spLocks noChangeArrowheads="1"/>
                        </wps:cNvSpPr>
                        <wps:spPr bwMode="auto">
                          <a:xfrm>
                            <a:off x="7260" y="3075"/>
                            <a:ext cx="1005" cy="2610"/>
                          </a:xfrm>
                          <a:prstGeom prst="rect">
                            <a:avLst/>
                          </a:prstGeom>
                          <a:solidFill>
                            <a:srgbClr val="663AB6"/>
                          </a:solidFill>
                          <a:ln>
                            <a:noFill/>
                          </a:ln>
                          <a:effectLst/>
                        </wps:spPr>
                        <wps:txbx>
                          <w:txbxContent>
                            <w:p w14:paraId="6957D375">
                              <w:pPr>
                                <w:spacing w:before="14"/>
                                <w:rPr>
                                  <w:rFonts w:ascii="Arial MT"/>
                                  <w:sz w:val="18"/>
                                </w:rPr>
                              </w:pPr>
                              <w:r>
                                <w:rPr>
                                  <w:rFonts w:ascii="Arial MT"/>
                                  <w:color w:val="FFFFFF"/>
                                  <w:sz w:val="18"/>
                                </w:rPr>
                                <w:t>39 (52%)</w:t>
                              </w:r>
                            </w:p>
                          </w:txbxContent>
                        </wps:txbx>
                        <wps:bodyPr rot="0" vert="horz" wrap="square" lIns="0" tIns="0" rIns="0" bIns="0" anchor="t" anchorCtr="0" upright="1">
                          <a:noAutofit/>
                        </wps:bodyPr>
                      </wps:wsp>
                    </wpg:wgp>
                  </a:graphicData>
                </a:graphic>
              </wp:anchor>
            </w:drawing>
          </mc:Choice>
          <mc:Fallback>
            <w:pict>
              <v:group id="Group 56" o:spid="_x0000_s1026" o:spt="203" style="position:absolute;left:0pt;margin-left:57.75pt;margin-top:27.75pt;height:295.5pt;width:480pt;mso-position-horizontal-relative:page;mso-position-vertical-relative:page;z-index:251739136;mso-width-relative:page;mso-height-relative:page;" coordorigin="1155,555" coordsize="9600,5910" o:gfxdata="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">
                <o:lock v:ext="edit" aspectratio="f"/>
                <v:shape id="Freeform 81" o:spid="_x0000_s1026" o:spt="100" style="position:absolute;left:1162;top:562;height:5895;width:9585;" filled="f" stroked="t" coordsize="9585,5895" o:gfxdata="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4+&#10;hkrCAAAA4wAAAA8AAAAAAAAAAQAgAAAAIgAAAGRycy9kb3ducmV2LnhtbFBLAQIUABQAAAAIAIdO&#10;4kAzLwWeOwAAADkAAAAQAAAAAAAAAAEAIAAAABEBAABkcnMvc2hhcGV4bWwueG1sUEsFBgAAAAAG&#10;AAYAWwEAALsDAAAAAA==&#10;" path="m0,5783l0,113,0,106,1,98,28,39,50,19,57,15,113,0,9473,0,9535,19,9542,24,9580,77,9585,106,9585,113,9585,5783,9585,5790,9585,5798,9583,5805,9582,5812,9547,5868,9535,5877,9529,5881,9495,5893,9488,5895,9480,5895,9473,5895,113,5895,106,5895,98,5895,91,5893,84,5892,50,5877,44,5872,19,5845,15,5839,3,5805,1,5798,0,5790,0,5783xe">
                  <v:path o:connectlocs="0,6345;0,675;0,668;1,660;28,601;50,581;57,577;113,562;9473,562;9535,581;9542,586;9580,639;9585,668;9585,675;9585,6345;9585,6352;9585,6360;9583,6367;9582,6374;9547,6430;9535,6439;9529,6443;9495,6455;9488,6457;9480,6457;9473,6457;113,6457;106,6457;98,6457;91,6455;84,6454;50,6439;44,6434;19,6407;15,6401;3,6367;1,6360;0,6352;0,6345" o:connectangles="0,0,0,0,0,0,0,0,0,0,0,0,0,0,0,0,0,0,0,0,0,0,0,0,0,0,0,0,0,0,0,0,0,0,0,0,0,0,0"/>
                  <v:fill on="f" focussize="0,0"/>
                  <v:stroke color="#D9DBDF" joinstyle="round"/>
                  <v:imagedata o:title=""/>
                  <o:lock v:ext="edit" aspectratio="f"/>
                </v:shape>
                <v:shape id="Picture 80" o:spid="_x0000_s1026" o:spt="75" type="#_x0000_t75" style="position:absolute;left:9525;top:690;height:300;width:255;" filled="f" o:preferrelative="t" stroked="f" coordsize="21600,21600" o:gfxdata="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86ndwwAAAOIAAAAPAAAAAAAAAAEAIAAAACIAAABkcnMvZG93bnJldi54bWxQSwECFAAUAAAACACH&#10;TuJAMy8FnjsAAAA5AAAAEAAAAAAAAAABACAAAAASAQAAZHJzL3NoYXBleG1sLnhtbFBLBQYAAAAA&#10;BgAGAFsBAAC8AwAAAAA=&#10;">
                  <v:fill on="f" focussize="0,0"/>
                  <v:stroke on="f"/>
                  <v:imagedata r:id="rId110" o:title=""/>
                  <o:lock v:ext="edit" aspectratio="t"/>
                </v:shape>
                <v:rect id="Rectangle 79" o:spid="_x0000_s1026" o:spt="1" style="position:absolute;left:2070;top:3000;height:2700;width:8130;" filled="f" stroked="t" coordsize="21600,21600" o:gfxdata="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1rI&#10;wAAAAOMAAAAPAAAAAAAAAAEAIAAAACIAAABkcnMvZG93bnJldi54bWxQSwECFAAUAAAACACHTuJA&#10;My8FnjsAAAA5AAAAEAAAAAAAAAABACAAAAAPAQAAZHJzL3NoYXBleG1sLnhtbFBLBQYAAAAABgAG&#10;AFsBAAC5AwAAAAA=&#10;">
                  <v:fill on="f" focussize="0,0"/>
                  <v:stroke color="#EDEDED" miterlimit="8" joinstyle="miter"/>
                  <v:imagedata o:title=""/>
                  <o:lock v:ext="edit" aspectratio="f"/>
                </v:rect>
                <v:shape id="AutoShape 78" o:spid="_x0000_s1026" o:spt="100" style="position:absolute;left:2069;top:3000;height:2700;width:8130;" fillcolor="#EDEDED" filled="t" stroked="f" coordsize="8130,2700" o:gfxdata="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fKrlTFAAAA4gAAAA8AAAAAAAAAAQAgAAAAIgAAAGRycy9kb3ducmV2LnhtbFBLAQIUABQAAAAI&#10;AIdO4kAzLwWeOwAAADkAAAAQAAAAAAAAAAEAIAAAABQBAABkcnMvc2hhcGV4bWwueG1sUEsFBgAA&#10;AAAGAAYAWwEAAL4DAAAAAA==&#10;" path="m5190,2010l0,2010,0,2025,5190,2025,5190,2010xm5190,1350l0,1350,0,1365,5190,1365,5190,1350xm5190,675l0,675,0,690,5190,690,5190,675xm6810,2010l6195,2010,6195,2025,6810,2025,6810,2010xm6810,1350l6195,1350,6195,1365,6810,1365,6810,1350xm8130,2685l0,2685,0,2700,8130,2700,8130,2685xm8130,2010l7815,2010,7815,2025,8130,2025,8130,2010xm8130,1350l7815,1350,7815,1365,8130,1365,8130,1350xm8130,675l6195,675,6195,690,8130,690,8130,675xm8130,0l0,0,0,15,8130,15,8130,0xe">
                  <v:path o:connectlocs="5190,5010;0,5010;0,5025;5190,5025;5190,5010;5190,4350;0,4350;0,4365;5190,4365;5190,4350;5190,3675;0,3675;0,3690;5190,3690;5190,3675;6810,5010;6195,5010;6195,5025;6810,5025;6810,5010;6810,4350;6195,4350;6195,4365;6810,4365;6810,4350;8130,5685;0,5685;0,5700;8130,5700;8130,5685;8130,5010;7815,5010;7815,5025;8130,5025;8130,5010;8130,4350;7815,4350;7815,4365;8130,4365;8130,4350;8130,3675;6195,3675;6195,3690;8130,3690;8130,3675;8130,3000;0,3000;0,3015;8130,3015;8130,3000" o:connectangles="0,0,0,0,0,0,0,0,0,0,0,0,0,0,0,0,0,0,0,0,0,0,0,0,0,0,0,0,0,0,0,0,0,0,0,0,0,0,0,0,0,0,0,0,0,0,0,0,0,0"/>
                  <v:fill on="t" focussize="0,0"/>
                  <v:stroke on="f"/>
                  <v:imagedata o:title=""/>
                  <o:lock v:ext="edit" aspectratio="f"/>
                </v:shape>
                <v:shape id="AutoShape 77" o:spid="_x0000_s1026" o:spt="100" style="position:absolute;left:2069;top:3330;height:2040;width:8130;" fillcolor="#F7F7F7" filled="t" stroked="f" coordsize="8130,2040" o:gfxdata="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z&#10;lWDCAAAA4gAAAA8AAAAAAAAAAQAgAAAAIgAAAGRycy9kb3ducmV2LnhtbFBLAQIUABQAAAAIAIdO&#10;4kAzLwWeOwAAADkAAAAQAAAAAAAAAAEAIAAAABEBAABkcnMvc2hhcGV4bWwueG1sUEsFBgAAAAAG&#10;AAYAWwEAALsDAAAAAA==&#10;" path="m3570,2025l0,2025,0,2040,3570,2040,3570,2025xm5190,2025l4560,2025,4560,2040,5190,2040,5190,2025xm5190,1350l0,1350,0,1365,5190,1365,5190,1350xm5190,675l0,675,0,690,5190,690,5190,675xm5190,0l0,0,0,15,5190,15,5190,0xm6810,2025l6195,2025,6195,2040,6810,2040,6810,2025xm6810,1350l6195,1350,6195,1365,6810,1365,6810,1350xm8130,2025l7815,2025,7815,2040,8130,2040,8130,2025xm8130,1350l7815,1350,7815,1365,8130,1365,8130,1350xm8130,675l6195,675,6195,690,8130,690,8130,675xm8130,0l6195,0,6195,15,8130,15,8130,0xe">
                  <v:path o:connectlocs="3570,5355;0,5355;0,5370;3570,5370;3570,5355;5190,5355;4560,5355;4560,5370;5190,5370;5190,5355;5190,4680;0,4680;0,4695;5190,4695;5190,4680;5190,4005;0,4005;0,4020;5190,4020;5190,4005;5190,3330;0,3330;0,3345;5190,3345;5190,3330;6810,5355;6195,5355;6195,5370;6810,5370;6810,5355;6810,4680;6195,4680;6195,4695;6810,4695;6810,4680;8130,5355;7815,5355;7815,5370;8130,5370;8130,5355;8130,4680;7815,4680;7815,4695;8130,4695;8130,4680;8130,4005;6195,4005;6195,4020;8130,4020;8130,4005;8130,3330;6195,3330;6195,3345;8130,3345;8130,3330" o:connectangles="0,0,0,0,0,0,0,0,0,0,0,0,0,0,0,0,0,0,0,0,0,0,0,0,0,0,0,0,0,0,0,0,0,0,0,0,0,0,0,0,0,0,0,0,0,0,0,0,0,0,0,0,0,0,0"/>
                  <v:fill on="t" focussize="0,0"/>
                  <v:stroke on="f"/>
                  <v:imagedata o:title=""/>
                  <o:lock v:ext="edit" aspectratio="f"/>
                </v:shape>
                <v:rect id="Rectangle 76" o:spid="_x0000_s1026" o:spt="1" style="position:absolute;left:2385;top:5685;height:8;width:1005;" fillcolor="#663AB6" filled="t" stroked="f" coordsize="21600,21600" o:gfxdata="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C5&#10;Aj7CAAAA4wAAAA8AAAAAAAAAAQAgAAAAIgAAAGRycy9kb3ducmV2LnhtbFBLAQIUABQAAAAIAIdO&#10;4kAzLwWeOwAAADkAAAAQAAAAAAAAAAEAIAAAABEBAABkcnMvc2hhcGV4bWwueG1sUEsFBgAAAAAG&#10;AAYAWwEAALsDAAAAAA==&#10;">
                  <v:fill on="t" focussize="0,0"/>
                  <v:stroke on="f"/>
                  <v:imagedata o:title=""/>
                  <o:lock v:ext="edit" aspectratio="f"/>
                </v:rect>
                <v:rect id="Rectangle 75" o:spid="_x0000_s1026" o:spt="1" style="position:absolute;left:2070;top:5685;height:15;width:8130;" fillcolor="#333333" filled="t" stroked="f" coordsize="21600,21600" o:gfxdata="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ie&#10;FcEAAADjAAAADwAAAAAAAAABACAAAAAiAAAAZHJzL2Rvd25yZXYueG1sUEsBAhQAFAAAAAgAh07i&#10;QDMvBZ47AAAAOQAAABAAAAAAAAAAAQAgAAAAEAEAAGRycy9zaGFwZXhtbC54bWxQSwUGAAAAAAYA&#10;BgBbAQAAugMAAAAA&#10;">
                  <v:fill on="t" focussize="0,0"/>
                  <v:stroke on="f"/>
                  <v:imagedata o:title=""/>
                  <o:lock v:ext="edit" aspectratio="f"/>
                </v:rect>
                <v:rect id="Rectangle 64" o:spid="_x0000_s1026" o:spt="1" style="position:absolute;left:2880;top:5505;height:180;width:15;" fillcolor="#999999" filled="t" stroked="f" coordsize="21600,21600" o:gfxdata="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B&#10;tBqiwwAAAOIAAAAPAAAAAAAAAAEAIAAAACIAAABkcnMvZG93bnJldi54bWxQSwECFAAUAAAACACH&#10;TuJAMy8FnjsAAAA5AAAAEAAAAAAAAAABACAAAAASAQAAZHJzL3NoYXBleG1sLnhtbFBLBQYAAAAA&#10;BgAGAFsBAAC8AwAAAAA=&#10;">
                  <v:fill on="t" focussize="0,0"/>
                  <v:stroke on="f"/>
                  <v:imagedata o:title=""/>
                  <o:lock v:ext="edit" aspectratio="f"/>
                </v:rect>
                <v:shape id="AutoShape 73" o:spid="_x0000_s1026" o:spt="100" style="position:absolute;left:2622;top:5346;height:169;width:517;" filled="f" stroked="t" coordsize="517,169" o:gfxdata="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MnY&#10;wAAAAOMAAAAPAAAAAAAAAAEAIAAAACIAAABkcnMvZG93bnJldi54bWxQSwECFAAUAAAACACHTuJA&#10;My8FnjsAAAA5AAAAEAAAAAAAAAABACAAAAAPAQAAZHJzL3NoYXBleG1sLnhtbFBLBQYAAAAABgAG&#10;AFsBAAC5AwAAAAA=&#10;" path="m0,67l0,52,2,40,5,30,8,21,13,14,19,9,25,4,33,1,42,1,49,1,55,3,61,6,66,8,70,12,74,18,77,23,80,29,82,37,83,44,84,54,84,67,84,82,83,95,80,104,77,113,72,120,66,125,60,130,52,133,42,133,30,133,20,129,13,120,8,110,4,99,1,84,0,67xm17,67l17,82,19,94,21,103,24,109,29,117,35,120,42,120,50,120,56,116,61,109,64,103,66,94,68,82,68,67,68,53,66,41,64,32,61,25,56,18,50,15,42,15,35,15,29,18,25,24,21,31,19,41,17,53,17,67xm185,169l179,160,173,151,168,141,163,130,159,119,156,107,155,96,154,84,154,74,156,64,158,54,161,44,165,33,171,22,177,11,185,0,196,0,189,12,185,21,182,26,179,34,176,42,174,51,171,62,170,73,170,84,172,105,177,126,185,148,196,169,185,169xm210,67l210,52,212,40,215,30,218,21,223,14,229,9,235,4,243,1,252,1,259,1,265,3,271,6,276,8,280,12,284,18,287,23,290,29,292,37,294,44,294,54,294,67,294,82,293,95,290,104,287,113,282,120,276,125,270,130,262,133,252,133,240,133,230,129,223,120,218,110,214,99,211,84,210,67xm227,67l227,82,229,94,231,103,234,109,239,117,245,120,252,120,260,120,266,116,271,109,274,103,276,94,278,82,278,67,278,53,276,41,274,32,271,25,266,18,260,15,252,15,245,15,239,18,235,24,231,31,229,41,227,53,227,67xm314,33l314,24,316,16,320,9,325,3,332,0,341,0,349,0,355,3,361,8,366,14,369,23,369,34,369,45,366,53,361,59,355,65,349,68,341,68,333,68,327,65,321,59,316,53,314,45,314,33xm341,11l337,11,334,12,331,16,329,19,327,25,327,34,327,43,329,49,331,52,334,55,337,57,341,57,345,57,348,55,351,52,354,48,355,42,355,33,355,25,354,19,351,16,348,12,345,11,341,11xm341,136l412,0,424,0,354,136,341,136xm397,101l397,91,399,83,404,77,408,71,415,67,424,67,432,67,439,70,444,76,449,82,452,90,452,102,452,112,449,121,444,127,439,133,432,136,424,136,416,136,410,133,405,127,399,121,397,112,397,101xm424,78l420,78,417,80,415,83,412,87,411,93,411,102,411,110,412,116,415,120,417,123,421,125,424,125,428,125,432,123,434,120,437,116,438,110,438,101,438,93,437,87,434,83,432,80,428,78,424,78xm485,169l474,169,486,148,494,126,499,105,500,84,500,73,499,62,497,51,495,43,492,34,488,26,486,21,481,12,474,0,485,0,493,11,500,22,505,33,510,44,513,54,515,64,516,74,517,84,516,96,514,107,511,119,507,130,503,141,497,151,492,160,485,169xe">
                  <v:path o:connectlocs="8,5368;42,5348;70,5359;83,5391;80,5451;52,5480;8,5457;17,5429;35,5467;64,5450;66,5388;42,5362;19,5388;173,5498;155,5443;161,5391;196,5347;176,5389;172,5452;210,5414;223,5361;259,5348;284,5365;294,5401;287,5460;252,5480;214,5446;229,5441;252,5467;276,5441;274,5379;245,5362;227,5400;320,5356;355,5350;369,5392;341,5415;314,5392;331,5363;329,5396;345,5404;355,5380;345,5358;354,5483;404,5424;439,5417;452,5459;424,5483;397,5459;415,5430;412,5463;428,5472;438,5448;428,5425;494,5473;497,5398;481,5359;505,5380;517,5431;503,5488" o:connectangles="0,0,0,0,0,0,0,0,0,0,0,0,0,0,0,0,0,0,0,0,0,0,0,0,0,0,0,0,0,0,0,0,0,0,0,0,0,0,0,0,0,0,0,0,0,0,0,0,0,0,0,0,0,0,0,0,0,0,0,0"/>
                  <v:fill on="f" focussize="0,0"/>
                  <v:stroke weight="2.25pt" color="#FFFFFF" joinstyle="round"/>
                  <v:imagedata o:title=""/>
                  <o:lock v:ext="edit" aspectratio="f"/>
                </v:shape>
                <v:shape id="Text Box 72" o:spid="_x0000_s1026" o:spt="202" type="#_x0000_t202" style="position:absolute;left:1162;top:722;height:1752;width:7939;" filled="f" stroked="f" coordsize="21600,21600" o:gfxdata="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G4++wwAAAOE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4E79F44B">
                        <w:pPr>
                          <w:spacing w:line="300" w:lineRule="auto"/>
                          <w:ind w:right="12"/>
                        </w:pPr>
                        <w:r>
                          <w:rPr>
                            <w:color w:val="202024"/>
                          </w:rPr>
                          <w:t>20.</w:t>
                        </w:r>
                        <w:r>
                          <w:rPr>
                            <w:color w:val="202024"/>
                            <w:spacing w:val="9"/>
                          </w:rPr>
                          <w:t xml:space="preserve"> </w:t>
                        </w:r>
                        <w:r>
                          <w:rPr>
                            <w:color w:val="202024"/>
                          </w:rPr>
                          <w:t>In</w:t>
                        </w:r>
                        <w:r>
                          <w:rPr>
                            <w:color w:val="202024"/>
                            <w:spacing w:val="10"/>
                          </w:rPr>
                          <w:t xml:space="preserve"> </w:t>
                        </w:r>
                        <w:r>
                          <w:rPr>
                            <w:color w:val="202024"/>
                          </w:rPr>
                          <w:t>your</w:t>
                        </w:r>
                        <w:r>
                          <w:rPr>
                            <w:color w:val="202024"/>
                            <w:spacing w:val="10"/>
                          </w:rPr>
                          <w:t xml:space="preserve"> </w:t>
                        </w:r>
                        <w:r>
                          <w:rPr>
                            <w:color w:val="202024"/>
                          </w:rPr>
                          <w:t>opinion,</w:t>
                        </w:r>
                        <w:r>
                          <w:rPr>
                            <w:color w:val="202024"/>
                            <w:spacing w:val="10"/>
                          </w:rPr>
                          <w:t xml:space="preserve"> </w:t>
                        </w:r>
                        <w:r>
                          <w:rPr>
                            <w:color w:val="202024"/>
                          </w:rPr>
                          <w:t>how</w:t>
                        </w:r>
                        <w:r>
                          <w:rPr>
                            <w:color w:val="202024"/>
                            <w:spacing w:val="10"/>
                          </w:rPr>
                          <w:t xml:space="preserve"> </w:t>
                        </w:r>
                        <w:r>
                          <w:rPr>
                            <w:color w:val="202024"/>
                          </w:rPr>
                          <w:t>important</w:t>
                        </w:r>
                        <w:r>
                          <w:rPr>
                            <w:color w:val="202024"/>
                            <w:spacing w:val="10"/>
                          </w:rPr>
                          <w:t xml:space="preserve"> </w:t>
                        </w:r>
                        <w:r>
                          <w:rPr>
                            <w:color w:val="202024"/>
                          </w:rPr>
                          <w:t>are</w:t>
                        </w:r>
                        <w:r>
                          <w:rPr>
                            <w:color w:val="202024"/>
                            <w:spacing w:val="10"/>
                          </w:rPr>
                          <w:t xml:space="preserve"> </w:t>
                        </w:r>
                        <w:r>
                          <w:rPr>
                            <w:color w:val="202024"/>
                          </w:rPr>
                          <w:t>the</w:t>
                        </w:r>
                        <w:r>
                          <w:rPr>
                            <w:color w:val="202024"/>
                            <w:spacing w:val="10"/>
                          </w:rPr>
                          <w:t xml:space="preserve"> </w:t>
                        </w:r>
                        <w:r>
                          <w:rPr>
                            <w:color w:val="202024"/>
                          </w:rPr>
                          <w:t>combination</w:t>
                        </w:r>
                        <w:r>
                          <w:rPr>
                            <w:color w:val="202024"/>
                            <w:spacing w:val="10"/>
                          </w:rPr>
                          <w:t xml:space="preserve"> </w:t>
                        </w:r>
                        <w:r>
                          <w:rPr>
                            <w:color w:val="202024"/>
                          </w:rPr>
                          <w:t>of</w:t>
                        </w:r>
                        <w:r>
                          <w:rPr>
                            <w:color w:val="202024"/>
                            <w:spacing w:val="10"/>
                          </w:rPr>
                          <w:t xml:space="preserve"> </w:t>
                        </w:r>
                        <w:r>
                          <w:rPr>
                            <w:color w:val="202024"/>
                          </w:rPr>
                          <w:t>fiscal</w:t>
                        </w:r>
                        <w:r>
                          <w:rPr>
                            <w:color w:val="202024"/>
                            <w:spacing w:val="10"/>
                          </w:rPr>
                          <w:t xml:space="preserve"> </w:t>
                        </w:r>
                        <w:r>
                          <w:rPr>
                            <w:color w:val="202024"/>
                          </w:rPr>
                          <w:t>regimes</w:t>
                        </w:r>
                        <w:r>
                          <w:rPr>
                            <w:color w:val="202024"/>
                            <w:spacing w:val="1"/>
                          </w:rPr>
                          <w:t xml:space="preserve"> </w:t>
                        </w:r>
                        <w:r>
                          <w:rPr>
                            <w:color w:val="202024"/>
                          </w:rPr>
                          <w:t>and</w:t>
                        </w:r>
                        <w:r>
                          <w:rPr>
                            <w:color w:val="202024"/>
                            <w:spacing w:val="9"/>
                          </w:rPr>
                          <w:t xml:space="preserve"> </w:t>
                        </w:r>
                        <w:r>
                          <w:rPr>
                            <w:color w:val="202024"/>
                          </w:rPr>
                          <w:t>the</w:t>
                        </w:r>
                        <w:r>
                          <w:rPr>
                            <w:color w:val="202024"/>
                            <w:spacing w:val="9"/>
                          </w:rPr>
                          <w:t xml:space="preserve"> </w:t>
                        </w:r>
                        <w:r>
                          <w:rPr>
                            <w:color w:val="202024"/>
                          </w:rPr>
                          <w:t>different</w:t>
                        </w:r>
                        <w:r>
                          <w:rPr>
                            <w:color w:val="202024"/>
                            <w:spacing w:val="9"/>
                          </w:rPr>
                          <w:t xml:space="preserve"> </w:t>
                        </w:r>
                        <w:r>
                          <w:rPr>
                            <w:color w:val="202024"/>
                          </w:rPr>
                          <w:t>tax</w:t>
                        </w:r>
                        <w:r>
                          <w:rPr>
                            <w:color w:val="202024"/>
                            <w:spacing w:val="9"/>
                          </w:rPr>
                          <w:t xml:space="preserve"> </w:t>
                        </w:r>
                        <w:r>
                          <w:rPr>
                            <w:color w:val="202024"/>
                          </w:rPr>
                          <w:t>systems</w:t>
                        </w:r>
                        <w:r>
                          <w:rPr>
                            <w:color w:val="202024"/>
                            <w:spacing w:val="9"/>
                          </w:rPr>
                          <w:t xml:space="preserve"> </w:t>
                        </w:r>
                        <w:r>
                          <w:rPr>
                            <w:color w:val="202024"/>
                          </w:rPr>
                          <w:t>and</w:t>
                        </w:r>
                        <w:r>
                          <w:rPr>
                            <w:color w:val="202024"/>
                            <w:spacing w:val="9"/>
                          </w:rPr>
                          <w:t xml:space="preserve"> </w:t>
                        </w:r>
                        <w:r>
                          <w:rPr>
                            <w:color w:val="202024"/>
                          </w:rPr>
                          <w:t>rates</w:t>
                        </w:r>
                        <w:r>
                          <w:rPr>
                            <w:color w:val="202024"/>
                            <w:spacing w:val="10"/>
                          </w:rPr>
                          <w:t xml:space="preserve"> </w:t>
                        </w:r>
                        <w:r>
                          <w:rPr>
                            <w:color w:val="202024"/>
                          </w:rPr>
                          <w:t>under</w:t>
                        </w:r>
                        <w:r>
                          <w:rPr>
                            <w:color w:val="202024"/>
                            <w:spacing w:val="9"/>
                          </w:rPr>
                          <w:t xml:space="preserve"> </w:t>
                        </w:r>
                        <w:r>
                          <w:rPr>
                            <w:color w:val="202024"/>
                          </w:rPr>
                          <w:t>the</w:t>
                        </w:r>
                        <w:r>
                          <w:rPr>
                            <w:color w:val="202024"/>
                            <w:spacing w:val="9"/>
                          </w:rPr>
                          <w:t xml:space="preserve"> </w:t>
                        </w:r>
                        <w:r>
                          <w:rPr>
                            <w:color w:val="202024"/>
                          </w:rPr>
                          <w:t>PIA,</w:t>
                        </w:r>
                        <w:r>
                          <w:rPr>
                            <w:color w:val="202024"/>
                            <w:spacing w:val="9"/>
                          </w:rPr>
                          <w:t xml:space="preserve"> </w:t>
                        </w:r>
                        <w:r>
                          <w:rPr>
                            <w:color w:val="202024"/>
                          </w:rPr>
                          <w:t>for</w:t>
                        </w:r>
                        <w:r>
                          <w:rPr>
                            <w:color w:val="202024"/>
                            <w:spacing w:val="9"/>
                          </w:rPr>
                          <w:t xml:space="preserve"> </w:t>
                        </w:r>
                        <w:r>
                          <w:rPr>
                            <w:color w:val="202024"/>
                          </w:rPr>
                          <w:t>offshore</w:t>
                        </w:r>
                        <w:r>
                          <w:rPr>
                            <w:color w:val="202024"/>
                            <w:spacing w:val="9"/>
                          </w:rPr>
                          <w:t xml:space="preserve"> </w:t>
                        </w:r>
                        <w:r>
                          <w:rPr>
                            <w:color w:val="202024"/>
                          </w:rPr>
                          <w:t>and</w:t>
                        </w:r>
                        <w:r>
                          <w:rPr>
                            <w:color w:val="202024"/>
                            <w:spacing w:val="1"/>
                          </w:rPr>
                          <w:t xml:space="preserve"> </w:t>
                        </w:r>
                        <w:r>
                          <w:rPr>
                            <w:color w:val="202024"/>
                          </w:rPr>
                          <w:t>onshore</w:t>
                        </w:r>
                        <w:r>
                          <w:rPr>
                            <w:color w:val="202024"/>
                            <w:spacing w:val="10"/>
                          </w:rPr>
                          <w:t xml:space="preserve"> </w:t>
                        </w:r>
                        <w:r>
                          <w:rPr>
                            <w:color w:val="202024"/>
                          </w:rPr>
                          <w:t>petroleum</w:t>
                        </w:r>
                        <w:r>
                          <w:rPr>
                            <w:color w:val="202024"/>
                            <w:spacing w:val="10"/>
                          </w:rPr>
                          <w:t xml:space="preserve"> </w:t>
                        </w:r>
                        <w:r>
                          <w:rPr>
                            <w:color w:val="202024"/>
                          </w:rPr>
                          <w:t>operations</w:t>
                        </w:r>
                        <w:r>
                          <w:rPr>
                            <w:color w:val="202024"/>
                            <w:spacing w:val="11"/>
                          </w:rPr>
                          <w:t xml:space="preserve"> </w:t>
                        </w:r>
                        <w:r>
                          <w:rPr>
                            <w:color w:val="202024"/>
                          </w:rPr>
                          <w:t>in</w:t>
                        </w:r>
                        <w:r>
                          <w:rPr>
                            <w:color w:val="202024"/>
                            <w:spacing w:val="10"/>
                          </w:rPr>
                          <w:t xml:space="preserve"> </w:t>
                        </w:r>
                        <w:r>
                          <w:rPr>
                            <w:color w:val="202024"/>
                          </w:rPr>
                          <w:t>achieving</w:t>
                        </w:r>
                        <w:r>
                          <w:rPr>
                            <w:color w:val="202024"/>
                            <w:spacing w:val="11"/>
                          </w:rPr>
                          <w:t xml:space="preserve"> </w:t>
                        </w:r>
                        <w:r>
                          <w:rPr>
                            <w:color w:val="202024"/>
                          </w:rPr>
                          <w:t>clarity,</w:t>
                        </w:r>
                        <w:r>
                          <w:rPr>
                            <w:color w:val="202024"/>
                            <w:spacing w:val="10"/>
                          </w:rPr>
                          <w:t xml:space="preserve"> </w:t>
                        </w:r>
                        <w:r>
                          <w:rPr>
                            <w:color w:val="202024"/>
                          </w:rPr>
                          <w:t>certainty</w:t>
                        </w:r>
                        <w:r>
                          <w:rPr>
                            <w:color w:val="202024"/>
                            <w:spacing w:val="11"/>
                          </w:rPr>
                          <w:t xml:space="preserve"> </w:t>
                        </w:r>
                        <w:r>
                          <w:rPr>
                            <w:color w:val="202024"/>
                          </w:rPr>
                          <w:t>and</w:t>
                        </w:r>
                        <w:r>
                          <w:rPr>
                            <w:color w:val="202024"/>
                            <w:spacing w:val="10"/>
                          </w:rPr>
                          <w:t xml:space="preserve"> </w:t>
                        </w:r>
                        <w:r>
                          <w:rPr>
                            <w:color w:val="202024"/>
                          </w:rPr>
                          <w:t>effective</w:t>
                        </w:r>
                        <w:r>
                          <w:rPr>
                            <w:color w:val="202024"/>
                            <w:spacing w:val="-56"/>
                          </w:rPr>
                          <w:t xml:space="preserve"> </w:t>
                        </w:r>
                        <w:r>
                          <w:rPr>
                            <w:color w:val="202024"/>
                          </w:rPr>
                          <w:t>compliance?</w:t>
                        </w:r>
                      </w:p>
                      <w:p w14:paraId="379DB804">
                        <w:pPr>
                          <w:spacing w:before="96" w:line="215" w:lineRule="exact"/>
                          <w:rPr>
                            <w:sz w:val="18"/>
                          </w:rPr>
                        </w:pPr>
                        <w:r>
                          <w:rPr>
                            <w:color w:val="202024"/>
                            <w:sz w:val="18"/>
                          </w:rPr>
                          <w:t>75</w:t>
                        </w:r>
                        <w:r>
                          <w:rPr>
                            <w:color w:val="202024"/>
                            <w:spacing w:val="20"/>
                            <w:sz w:val="18"/>
                          </w:rPr>
                          <w:t xml:space="preserve"> </w:t>
                        </w:r>
                        <w:r>
                          <w:rPr>
                            <w:color w:val="202024"/>
                            <w:sz w:val="18"/>
                          </w:rPr>
                          <w:t>responses</w:t>
                        </w:r>
                      </w:p>
                    </w:txbxContent>
                  </v:textbox>
                </v:shape>
                <v:shape id="Text Box 71" o:spid="_x0000_s1026" o:spt="202" type="#_x0000_t202" style="position:absolute;left:9958;top:761;height:200;width:550;" filled="f" stroked="f" coordsize="21600,21600" o:gfxdata="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Q&#10;IHb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DEEB9A1">
                        <w:pPr>
                          <w:spacing w:line="199" w:lineRule="exact"/>
                          <w:rPr>
                            <w:rFonts w:ascii="Lucida Sans Unicode"/>
                            <w:sz w:val="20"/>
                          </w:rPr>
                        </w:pPr>
                        <w:r>
                          <w:rPr>
                            <w:rFonts w:ascii="Lucida Sans Unicode"/>
                            <w:color w:val="1A73E7"/>
                            <w:w w:val="105"/>
                            <w:sz w:val="20"/>
                          </w:rPr>
                          <w:t>Copy</w:t>
                        </w:r>
                      </w:p>
                    </w:txbxContent>
                  </v:textbox>
                </v:shape>
                <v:shape id="Text Box 70" o:spid="_x0000_s1026" o:spt="202" type="#_x0000_t202" style="position:absolute;left:1689;top:2907;height:202;width:221;" filled="f" stroked="f" coordsize="21600,21600" o:gfxdata="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kd&#10;3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C5D6787">
                        <w:pPr>
                          <w:spacing w:line="201" w:lineRule="exact"/>
                          <w:rPr>
                            <w:rFonts w:ascii="Arial MT"/>
                            <w:sz w:val="18"/>
                          </w:rPr>
                        </w:pPr>
                        <w:r>
                          <w:rPr>
                            <w:rFonts w:ascii="Arial MT"/>
                            <w:color w:val="444444"/>
                            <w:sz w:val="18"/>
                          </w:rPr>
                          <w:t>40</w:t>
                        </w:r>
                      </w:p>
                    </w:txbxContent>
                  </v:textbox>
                </v:shape>
                <v:shape id="Text Box 69" o:spid="_x0000_s1026" o:spt="202" type="#_x0000_t202" style="position:absolute;left:1689;top:3578;height:202;width:221;" filled="f" stroked="f" coordsize="21600,21600" o:gfxdata="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QT&#10;N1j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6576723">
                        <w:pPr>
                          <w:spacing w:line="201" w:lineRule="exact"/>
                          <w:rPr>
                            <w:rFonts w:ascii="Arial MT"/>
                            <w:sz w:val="18"/>
                          </w:rPr>
                        </w:pPr>
                        <w:r>
                          <w:rPr>
                            <w:rFonts w:ascii="Arial MT"/>
                            <w:color w:val="444444"/>
                            <w:sz w:val="18"/>
                          </w:rPr>
                          <w:t>30</w:t>
                        </w:r>
                      </w:p>
                    </w:txbxContent>
                  </v:textbox>
                </v:shape>
                <v:shape id="Text Box 68" o:spid="_x0000_s1026" o:spt="202" type="#_x0000_t202" style="position:absolute;left:1689;top:4249;height:202;width:221;" filled="f" stroked="f" coordsize="21600,21600" o:gfxdata="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0mi&#10;h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A239971">
                        <w:pPr>
                          <w:spacing w:line="201" w:lineRule="exact"/>
                          <w:rPr>
                            <w:rFonts w:ascii="Arial MT"/>
                            <w:sz w:val="18"/>
                          </w:rPr>
                        </w:pPr>
                        <w:r>
                          <w:rPr>
                            <w:rFonts w:ascii="Arial MT"/>
                            <w:color w:val="444444"/>
                            <w:sz w:val="18"/>
                          </w:rPr>
                          <w:t>20</w:t>
                        </w:r>
                      </w:p>
                    </w:txbxContent>
                  </v:textbox>
                </v:shape>
                <v:shape id="Text Box 67" o:spid="_x0000_s1026" o:spt="202" type="#_x0000_t202" style="position:absolute;left:1689;top:4921;height:202;width:221;" filled="f" stroked="f" coordsize="21600,21600" o:gfxdata="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jHnS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73627EF9">
                        <w:pPr>
                          <w:spacing w:line="201" w:lineRule="exact"/>
                          <w:rPr>
                            <w:rFonts w:ascii="Arial MT"/>
                            <w:sz w:val="18"/>
                          </w:rPr>
                        </w:pPr>
                        <w:r>
                          <w:rPr>
                            <w:rFonts w:ascii="Arial MT"/>
                            <w:color w:val="444444"/>
                            <w:sz w:val="18"/>
                          </w:rPr>
                          <w:t>10</w:t>
                        </w:r>
                      </w:p>
                    </w:txbxContent>
                  </v:textbox>
                </v:shape>
                <v:shape id="Text Box 66" o:spid="_x0000_s1026" o:spt="202" type="#_x0000_t202" style="position:absolute;left:2614;top:5314;height:202;width:551;" filled="f" stroked="f" coordsize="21600,21600" o:gfxdata="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fbb&#10;8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6859030">
                        <w:pPr>
                          <w:spacing w:line="201" w:lineRule="exact"/>
                          <w:rPr>
                            <w:rFonts w:ascii="Arial MT"/>
                            <w:sz w:val="18"/>
                          </w:rPr>
                        </w:pPr>
                        <w:r>
                          <w:rPr>
                            <w:rFonts w:ascii="Arial MT"/>
                            <w:color w:val="202024"/>
                            <w:sz w:val="18"/>
                          </w:rPr>
                          <w:t>0 (0%)</w:t>
                        </w:r>
                      </w:p>
                    </w:txbxContent>
                  </v:textbox>
                </v:shape>
                <v:shape id="Text Box 65" o:spid="_x0000_s1026" o:spt="202" type="#_x0000_t202" style="position:absolute;left:1789;top:5592;height:202;width:121;" filled="f" stroked="f" coordsize="21600,21600" o:gfxdata="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tdLrwwAAAOE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33E3AD6">
                        <w:pPr>
                          <w:spacing w:line="201" w:lineRule="exact"/>
                          <w:rPr>
                            <w:rFonts w:ascii="Arial MT"/>
                            <w:sz w:val="18"/>
                          </w:rPr>
                        </w:pPr>
                        <w:r>
                          <w:rPr>
                            <w:rFonts w:ascii="Arial MT"/>
                            <w:color w:val="444444"/>
                            <w:sz w:val="18"/>
                          </w:rPr>
                          <w:t>0</w:t>
                        </w:r>
                      </w:p>
                    </w:txbxContent>
                  </v:textbox>
                </v:shape>
                <v:shape id="Text Box 64" o:spid="_x0000_s1026" o:spt="202" type="#_x0000_t202" style="position:absolute;left:2838;top:5794;height:202;width:121;" filled="f" stroked="f" coordsize="21600,21600" o:gfxdata="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9z2w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3B4E48E9">
                        <w:pPr>
                          <w:spacing w:line="201" w:lineRule="exact"/>
                          <w:rPr>
                            <w:rFonts w:ascii="Arial MT"/>
                            <w:sz w:val="18"/>
                          </w:rPr>
                        </w:pPr>
                        <w:r>
                          <w:rPr>
                            <w:rFonts w:ascii="Arial MT"/>
                            <w:color w:val="212121"/>
                            <w:sz w:val="18"/>
                          </w:rPr>
                          <w:t>1</w:t>
                        </w:r>
                      </w:p>
                    </w:txbxContent>
                  </v:textbox>
                </v:shape>
                <v:shape id="Text Box 63" o:spid="_x0000_s1026" o:spt="202" type="#_x0000_t202" style="position:absolute;left:4005;top:5449;height:547;width:1025;" filled="f" stroked="f" coordsize="21600,21600" o:gfxdata="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1cc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236462EC">
                        <w:pPr>
                          <w:spacing w:line="201" w:lineRule="exact"/>
                          <w:ind w:right="18"/>
                          <w:jc w:val="center"/>
                          <w:rPr>
                            <w:rFonts w:ascii="Arial MT"/>
                            <w:sz w:val="18"/>
                          </w:rPr>
                        </w:pPr>
                        <w:r>
                          <w:rPr>
                            <w:color w:val="FFFFFF"/>
                            <w:sz w:val="18"/>
                            <w:shd w:val="clear" w:color="auto" w:fill="663AB6"/>
                          </w:rPr>
                          <w:t xml:space="preserve">  </w:t>
                        </w:r>
                        <w:r>
                          <w:rPr>
                            <w:color w:val="FFFFFF"/>
                            <w:spacing w:val="19"/>
                            <w:sz w:val="18"/>
                            <w:shd w:val="clear" w:color="auto" w:fill="663AB6"/>
                          </w:rPr>
                          <w:t xml:space="preserve"> </w:t>
                        </w:r>
                        <w:r>
                          <w:rPr>
                            <w:rFonts w:ascii="Arial MT"/>
                            <w:color w:val="FFFFFF"/>
                            <w:sz w:val="18"/>
                            <w:shd w:val="clear" w:color="auto" w:fill="663AB6"/>
                          </w:rPr>
                          <w:t>4 (5.3%)</w:t>
                        </w:r>
                        <w:r>
                          <w:rPr>
                            <w:rFonts w:ascii="Arial MT"/>
                            <w:color w:val="FFFFFF"/>
                            <w:spacing w:val="20"/>
                            <w:sz w:val="18"/>
                            <w:shd w:val="clear" w:color="auto" w:fill="663AB6"/>
                          </w:rPr>
                          <w:t xml:space="preserve"> </w:t>
                        </w:r>
                      </w:p>
                      <w:p w14:paraId="5D33C775">
                        <w:pPr>
                          <w:spacing w:before="138"/>
                          <w:ind w:right="9"/>
                          <w:jc w:val="center"/>
                          <w:rPr>
                            <w:rFonts w:ascii="Arial MT"/>
                            <w:sz w:val="18"/>
                          </w:rPr>
                        </w:pPr>
                        <w:r>
                          <w:rPr>
                            <w:rFonts w:ascii="Arial MT"/>
                            <w:color w:val="212121"/>
                            <w:sz w:val="18"/>
                          </w:rPr>
                          <w:t>2</w:t>
                        </w:r>
                      </w:p>
                    </w:txbxContent>
                  </v:textbox>
                </v:shape>
                <v:shape id="Text Box 62" o:spid="_x0000_s1026" o:spt="202" type="#_x0000_t202" style="position:absolute;left:6084;top:5794;height:202;width:121;" filled="f" stroked="f" coordsize="21600,21600" o:gfxdata="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nf7q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9C8C90D">
                        <w:pPr>
                          <w:spacing w:line="201" w:lineRule="exact"/>
                          <w:rPr>
                            <w:rFonts w:ascii="Arial MT"/>
                            <w:sz w:val="18"/>
                          </w:rPr>
                        </w:pPr>
                        <w:r>
                          <w:rPr>
                            <w:rFonts w:ascii="Arial MT"/>
                            <w:color w:val="212121"/>
                            <w:sz w:val="18"/>
                          </w:rPr>
                          <w:t>3</w:t>
                        </w:r>
                      </w:p>
                    </w:txbxContent>
                  </v:textbox>
                </v:shape>
                <v:shape id="Text Box 61" o:spid="_x0000_s1026" o:spt="202" type="#_x0000_t202" style="position:absolute;left:7707;top:5794;height:202;width:121;" filled="f" stroked="f" coordsize="21600,21600" o:gfxdata="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Qf&#10;G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602F9E5">
                        <w:pPr>
                          <w:spacing w:line="201" w:lineRule="exact"/>
                          <w:rPr>
                            <w:rFonts w:ascii="Arial MT"/>
                            <w:sz w:val="18"/>
                          </w:rPr>
                        </w:pPr>
                        <w:r>
                          <w:rPr>
                            <w:rFonts w:ascii="Arial MT"/>
                            <w:color w:val="212121"/>
                            <w:sz w:val="18"/>
                          </w:rPr>
                          <w:t>4</w:t>
                        </w:r>
                      </w:p>
                    </w:txbxContent>
                  </v:textbox>
                </v:shape>
                <v:shape id="Text Box 60" o:spid="_x0000_s1026" o:spt="202" type="#_x0000_t202" style="position:absolute;left:9330;top:5794;height:202;width:121;" filled="f" stroked="f" coordsize="21600,21600" o:gfxdata="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KSM&#10;I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D979ABF">
                        <w:pPr>
                          <w:spacing w:line="201" w:lineRule="exact"/>
                          <w:rPr>
                            <w:rFonts w:ascii="Arial MT"/>
                            <w:sz w:val="18"/>
                          </w:rPr>
                        </w:pPr>
                        <w:r>
                          <w:rPr>
                            <w:rFonts w:ascii="Arial MT"/>
                            <w:color w:val="212121"/>
                            <w:sz w:val="18"/>
                          </w:rPr>
                          <w:t>5</w:t>
                        </w:r>
                      </w:p>
                    </w:txbxContent>
                  </v:textbox>
                </v:shape>
                <v:shape id="Text Box 59" o:spid="_x0000_s1026" o:spt="202" type="#_x0000_t202" style="position:absolute;left:5640;top:5025;height:660;width:990;" fillcolor="#663AB6" filled="t" stroked="f" coordsize="21600,21600" o:gfxdata="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5j9&#10;usEAAADi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14:paraId="14936B3F">
                        <w:pPr>
                          <w:spacing w:before="14"/>
                          <w:rPr>
                            <w:rFonts w:ascii="Arial MT"/>
                            <w:sz w:val="18"/>
                          </w:rPr>
                        </w:pPr>
                        <w:r>
                          <w:rPr>
                            <w:rFonts w:ascii="Arial MT"/>
                            <w:color w:val="FFFFFF"/>
                            <w:sz w:val="18"/>
                          </w:rPr>
                          <w:t>10 (13.3%)</w:t>
                        </w:r>
                      </w:p>
                    </w:txbxContent>
                  </v:textbox>
                </v:shape>
                <v:shape id="Text Box 58" o:spid="_x0000_s1026" o:spt="202" type="#_x0000_t202" style="position:absolute;left:8880;top:4230;height:1455;width:1005;" fillcolor="#663AB6" filled="t" stroked="f" coordsize="21600,21600" o:gfxdata="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5d&#10;1cEAAADi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14:paraId="0D4D4332">
                        <w:pPr>
                          <w:spacing w:before="14"/>
                          <w:rPr>
                            <w:rFonts w:ascii="Arial MT"/>
                            <w:sz w:val="18"/>
                          </w:rPr>
                        </w:pPr>
                        <w:r>
                          <w:rPr>
                            <w:rFonts w:ascii="Arial MT"/>
                            <w:color w:val="FFFFFF"/>
                            <w:sz w:val="18"/>
                          </w:rPr>
                          <w:t>22 (29.3%)</w:t>
                        </w:r>
                      </w:p>
                    </w:txbxContent>
                  </v:textbox>
                </v:shape>
                <v:shape id="Text Box 57" o:spid="_x0000_s1026" o:spt="202" type="#_x0000_t202" style="position:absolute;left:7260;top:3075;height:2610;width:1005;" fillcolor="#663AB6" filled="t" stroked="f" coordsize="21600,21600" o:gfxdata="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CR&#10;wsEAAADi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14:paraId="6957D375">
                        <w:pPr>
                          <w:spacing w:before="14"/>
                          <w:rPr>
                            <w:rFonts w:ascii="Arial MT"/>
                            <w:sz w:val="18"/>
                          </w:rPr>
                        </w:pPr>
                        <w:r>
                          <w:rPr>
                            <w:rFonts w:ascii="Arial MT"/>
                            <w:color w:val="FFFFFF"/>
                            <w:sz w:val="18"/>
                          </w:rPr>
                          <w:t>39 (52%)</w:t>
                        </w:r>
                      </w:p>
                    </w:txbxContent>
                  </v:textbox>
                </v:shape>
              </v:group>
            </w:pict>
          </mc:Fallback>
        </mc:AlternateContent>
      </w:r>
    </w:p>
    <w:p w14:paraId="1A01A002">
      <w:pPr>
        <w:widowControl w:val="0"/>
        <w:autoSpaceDE w:val="0"/>
        <w:autoSpaceDN w:val="0"/>
        <w:rPr>
          <w:rFonts w:ascii="Arial MT" w:hAnsi="Roboto" w:eastAsia="Roboto" w:cs="Roboto"/>
          <w:sz w:val="17"/>
          <w:szCs w:val="22"/>
        </w:rPr>
        <w:sectPr>
          <w:pgSz w:w="11900" w:h="16840"/>
          <w:pgMar w:top="480" w:right="1280" w:bottom="1680" w:left="1040" w:header="269" w:footer="1490" w:gutter="0"/>
          <w:cols w:space="720" w:num="1"/>
        </w:sectPr>
      </w:pPr>
    </w:p>
    <w:p w14:paraId="4B641F01">
      <w:pPr>
        <w:widowControl w:val="0"/>
        <w:autoSpaceDE w:val="0"/>
        <w:autoSpaceDN w:val="0"/>
        <w:spacing w:before="4"/>
        <w:rPr>
          <w:rFonts w:ascii="Arial MT" w:hAnsi="Roboto" w:eastAsia="Roboto" w:cs="Roboto"/>
          <w:sz w:val="12"/>
          <w:szCs w:val="21"/>
        </w:rPr>
      </w:pPr>
      <w:r>
        <mc:AlternateContent>
          <mc:Choice Requires="wps">
            <w:drawing>
              <wp:anchor distT="0" distB="0" distL="114300" distR="114300" simplePos="0" relativeHeight="251740160" behindDoc="1" locked="0" layoutInCell="1" allowOverlap="1">
                <wp:simplePos x="0" y="0"/>
                <wp:positionH relativeFrom="page">
                  <wp:posOffset>737870</wp:posOffset>
                </wp:positionH>
                <wp:positionV relativeFrom="page">
                  <wp:posOffset>356870</wp:posOffset>
                </wp:positionV>
                <wp:extent cx="6086475" cy="8391525"/>
                <wp:effectExtent l="0" t="0" r="9525" b="9525"/>
                <wp:wrapNone/>
                <wp:docPr id="1458474214" name="Freeform: Shape 55"/>
                <wp:cNvGraphicFramePr/>
                <a:graphic xmlns:a="http://schemas.openxmlformats.org/drawingml/2006/main">
                  <a:graphicData uri="http://schemas.microsoft.com/office/word/2010/wordprocessingShape">
                    <wps:wsp>
                      <wps:cNvSpPr/>
                      <wps:spPr bwMode="auto">
                        <a:xfrm>
                          <a:off x="0" y="0"/>
                          <a:ext cx="6086475" cy="8391525"/>
                        </a:xfrm>
                        <a:custGeom>
                          <a:avLst/>
                          <a:gdLst>
                            <a:gd name="T0" fmla="+- 0 1162 1162"/>
                            <a:gd name="T1" fmla="*/ T0 w 9585"/>
                            <a:gd name="T2" fmla="+- 0 13665 562"/>
                            <a:gd name="T3" fmla="*/ 13665 h 13215"/>
                            <a:gd name="T4" fmla="+- 0 1162 1162"/>
                            <a:gd name="T5" fmla="*/ T4 w 9585"/>
                            <a:gd name="T6" fmla="+- 0 675 562"/>
                            <a:gd name="T7" fmla="*/ 675 h 13215"/>
                            <a:gd name="T8" fmla="+- 0 1162 1162"/>
                            <a:gd name="T9" fmla="*/ T8 w 9585"/>
                            <a:gd name="T10" fmla="+- 0 668 562"/>
                            <a:gd name="T11" fmla="*/ 668 h 13215"/>
                            <a:gd name="T12" fmla="+- 0 1163 1162"/>
                            <a:gd name="T13" fmla="*/ T12 w 9585"/>
                            <a:gd name="T14" fmla="+- 0 660 562"/>
                            <a:gd name="T15" fmla="*/ 660 h 13215"/>
                            <a:gd name="T16" fmla="+- 0 1181 1162"/>
                            <a:gd name="T17" fmla="*/ T16 w 9585"/>
                            <a:gd name="T18" fmla="+- 0 612 562"/>
                            <a:gd name="T19" fmla="*/ 612 h 13215"/>
                            <a:gd name="T20" fmla="+- 0 1186 1162"/>
                            <a:gd name="T21" fmla="*/ T20 w 9585"/>
                            <a:gd name="T22" fmla="+- 0 606 562"/>
                            <a:gd name="T23" fmla="*/ 606 h 13215"/>
                            <a:gd name="T24" fmla="+- 0 1190 1162"/>
                            <a:gd name="T25" fmla="*/ T24 w 9585"/>
                            <a:gd name="T26" fmla="+- 0 601 562"/>
                            <a:gd name="T27" fmla="*/ 601 h 13215"/>
                            <a:gd name="T28" fmla="+- 0 1195 1162"/>
                            <a:gd name="T29" fmla="*/ T28 w 9585"/>
                            <a:gd name="T30" fmla="+- 0 595 562"/>
                            <a:gd name="T31" fmla="*/ 595 h 13215"/>
                            <a:gd name="T32" fmla="+- 0 1201 1162"/>
                            <a:gd name="T33" fmla="*/ T32 w 9585"/>
                            <a:gd name="T34" fmla="+- 0 590 562"/>
                            <a:gd name="T35" fmla="*/ 590 h 13215"/>
                            <a:gd name="T36" fmla="+- 0 1206 1162"/>
                            <a:gd name="T37" fmla="*/ T36 w 9585"/>
                            <a:gd name="T38" fmla="+- 0 586 562"/>
                            <a:gd name="T39" fmla="*/ 586 h 13215"/>
                            <a:gd name="T40" fmla="+- 0 1212 1162"/>
                            <a:gd name="T41" fmla="*/ T40 w 9585"/>
                            <a:gd name="T42" fmla="+- 0 581 562"/>
                            <a:gd name="T43" fmla="*/ 581 h 13215"/>
                            <a:gd name="T44" fmla="+- 0 1219 1162"/>
                            <a:gd name="T45" fmla="*/ T44 w 9585"/>
                            <a:gd name="T46" fmla="+- 0 577 562"/>
                            <a:gd name="T47" fmla="*/ 577 h 13215"/>
                            <a:gd name="T48" fmla="+- 0 1225 1162"/>
                            <a:gd name="T49" fmla="*/ T48 w 9585"/>
                            <a:gd name="T50" fmla="+- 0 574 562"/>
                            <a:gd name="T51" fmla="*/ 574 h 13215"/>
                            <a:gd name="T52" fmla="+- 0 1232 1162"/>
                            <a:gd name="T53" fmla="*/ T52 w 9585"/>
                            <a:gd name="T54" fmla="+- 0 571 562"/>
                            <a:gd name="T55" fmla="*/ 571 h 13215"/>
                            <a:gd name="T56" fmla="+- 0 1239 1162"/>
                            <a:gd name="T57" fmla="*/ T56 w 9585"/>
                            <a:gd name="T58" fmla="+- 0 568 562"/>
                            <a:gd name="T59" fmla="*/ 568 h 13215"/>
                            <a:gd name="T60" fmla="+- 0 1246 1162"/>
                            <a:gd name="T61" fmla="*/ T60 w 9585"/>
                            <a:gd name="T62" fmla="+- 0 566 562"/>
                            <a:gd name="T63" fmla="*/ 566 h 13215"/>
                            <a:gd name="T64" fmla="+- 0 1253 1162"/>
                            <a:gd name="T65" fmla="*/ T64 w 9585"/>
                            <a:gd name="T66" fmla="+- 0 565 562"/>
                            <a:gd name="T67" fmla="*/ 565 h 13215"/>
                            <a:gd name="T68" fmla="+- 0 1260 1162"/>
                            <a:gd name="T69" fmla="*/ T68 w 9585"/>
                            <a:gd name="T70" fmla="+- 0 563 562"/>
                            <a:gd name="T71" fmla="*/ 563 h 13215"/>
                            <a:gd name="T72" fmla="+- 0 1268 1162"/>
                            <a:gd name="T73" fmla="*/ T72 w 9585"/>
                            <a:gd name="T74" fmla="+- 0 562 562"/>
                            <a:gd name="T75" fmla="*/ 562 h 13215"/>
                            <a:gd name="T76" fmla="+- 0 1275 1162"/>
                            <a:gd name="T77" fmla="*/ T76 w 9585"/>
                            <a:gd name="T78" fmla="+- 0 562 562"/>
                            <a:gd name="T79" fmla="*/ 562 h 13215"/>
                            <a:gd name="T80" fmla="+- 0 10635 1162"/>
                            <a:gd name="T81" fmla="*/ T80 w 9585"/>
                            <a:gd name="T82" fmla="+- 0 562 562"/>
                            <a:gd name="T83" fmla="*/ 562 h 13215"/>
                            <a:gd name="T84" fmla="+- 0 10642 1162"/>
                            <a:gd name="T85" fmla="*/ T84 w 9585"/>
                            <a:gd name="T86" fmla="+- 0 562 562"/>
                            <a:gd name="T87" fmla="*/ 562 h 13215"/>
                            <a:gd name="T88" fmla="+- 0 10650 1162"/>
                            <a:gd name="T89" fmla="*/ T88 w 9585"/>
                            <a:gd name="T90" fmla="+- 0 563 562"/>
                            <a:gd name="T91" fmla="*/ 563 h 13215"/>
                            <a:gd name="T92" fmla="+- 0 10657 1162"/>
                            <a:gd name="T93" fmla="*/ T92 w 9585"/>
                            <a:gd name="T94" fmla="+- 0 565 562"/>
                            <a:gd name="T95" fmla="*/ 565 h 13215"/>
                            <a:gd name="T96" fmla="+- 0 10664 1162"/>
                            <a:gd name="T97" fmla="*/ T96 w 9585"/>
                            <a:gd name="T98" fmla="+- 0 566 562"/>
                            <a:gd name="T99" fmla="*/ 566 h 13215"/>
                            <a:gd name="T100" fmla="+- 0 10671 1162"/>
                            <a:gd name="T101" fmla="*/ T100 w 9585"/>
                            <a:gd name="T102" fmla="+- 0 568 562"/>
                            <a:gd name="T103" fmla="*/ 568 h 13215"/>
                            <a:gd name="T104" fmla="+- 0 10678 1162"/>
                            <a:gd name="T105" fmla="*/ T104 w 9585"/>
                            <a:gd name="T106" fmla="+- 0 571 562"/>
                            <a:gd name="T107" fmla="*/ 571 h 13215"/>
                            <a:gd name="T108" fmla="+- 0 10685 1162"/>
                            <a:gd name="T109" fmla="*/ T108 w 9585"/>
                            <a:gd name="T110" fmla="+- 0 574 562"/>
                            <a:gd name="T111" fmla="*/ 574 h 13215"/>
                            <a:gd name="T112" fmla="+- 0 10691 1162"/>
                            <a:gd name="T113" fmla="*/ T112 w 9585"/>
                            <a:gd name="T114" fmla="+- 0 577 562"/>
                            <a:gd name="T115" fmla="*/ 577 h 13215"/>
                            <a:gd name="T116" fmla="+- 0 10697 1162"/>
                            <a:gd name="T117" fmla="*/ T116 w 9585"/>
                            <a:gd name="T118" fmla="+- 0 581 562"/>
                            <a:gd name="T119" fmla="*/ 581 h 13215"/>
                            <a:gd name="T120" fmla="+- 0 10704 1162"/>
                            <a:gd name="T121" fmla="*/ T120 w 9585"/>
                            <a:gd name="T122" fmla="+- 0 586 562"/>
                            <a:gd name="T123" fmla="*/ 586 h 13215"/>
                            <a:gd name="T124" fmla="+- 0 10709 1162"/>
                            <a:gd name="T125" fmla="*/ T124 w 9585"/>
                            <a:gd name="T126" fmla="+- 0 590 562"/>
                            <a:gd name="T127" fmla="*/ 590 h 13215"/>
                            <a:gd name="T128" fmla="+- 0 10715 1162"/>
                            <a:gd name="T129" fmla="*/ T128 w 9585"/>
                            <a:gd name="T130" fmla="+- 0 595 562"/>
                            <a:gd name="T131" fmla="*/ 595 h 13215"/>
                            <a:gd name="T132" fmla="+- 0 10720 1162"/>
                            <a:gd name="T133" fmla="*/ T132 w 9585"/>
                            <a:gd name="T134" fmla="+- 0 601 562"/>
                            <a:gd name="T135" fmla="*/ 601 h 13215"/>
                            <a:gd name="T136" fmla="+- 0 10724 1162"/>
                            <a:gd name="T137" fmla="*/ T136 w 9585"/>
                            <a:gd name="T138" fmla="+- 0 606 562"/>
                            <a:gd name="T139" fmla="*/ 606 h 13215"/>
                            <a:gd name="T140" fmla="+- 0 10729 1162"/>
                            <a:gd name="T141" fmla="*/ T140 w 9585"/>
                            <a:gd name="T142" fmla="+- 0 612 562"/>
                            <a:gd name="T143" fmla="*/ 612 h 13215"/>
                            <a:gd name="T144" fmla="+- 0 10733 1162"/>
                            <a:gd name="T145" fmla="*/ T144 w 9585"/>
                            <a:gd name="T146" fmla="+- 0 619 562"/>
                            <a:gd name="T147" fmla="*/ 619 h 13215"/>
                            <a:gd name="T148" fmla="+- 0 10747 1162"/>
                            <a:gd name="T149" fmla="*/ T148 w 9585"/>
                            <a:gd name="T150" fmla="+- 0 668 562"/>
                            <a:gd name="T151" fmla="*/ 668 h 13215"/>
                            <a:gd name="T152" fmla="+- 0 10747 1162"/>
                            <a:gd name="T153" fmla="*/ T152 w 9585"/>
                            <a:gd name="T154" fmla="+- 0 675 562"/>
                            <a:gd name="T155" fmla="*/ 675 h 13215"/>
                            <a:gd name="T156" fmla="+- 0 10747 1162"/>
                            <a:gd name="T157" fmla="*/ T156 w 9585"/>
                            <a:gd name="T158" fmla="+- 0 13665 562"/>
                            <a:gd name="T159" fmla="*/ 13665 h 13215"/>
                            <a:gd name="T160" fmla="+- 0 10747 1162"/>
                            <a:gd name="T161" fmla="*/ T160 w 9585"/>
                            <a:gd name="T162" fmla="+- 0 13672 562"/>
                            <a:gd name="T163" fmla="*/ 13672 h 13215"/>
                            <a:gd name="T164" fmla="+- 0 10747 1162"/>
                            <a:gd name="T165" fmla="*/ T164 w 9585"/>
                            <a:gd name="T166" fmla="+- 0 13680 562"/>
                            <a:gd name="T167" fmla="*/ 13680 h 13215"/>
                            <a:gd name="T168" fmla="+- 0 10745 1162"/>
                            <a:gd name="T169" fmla="*/ T168 w 9585"/>
                            <a:gd name="T170" fmla="+- 0 13687 562"/>
                            <a:gd name="T171" fmla="*/ 13687 h 13215"/>
                            <a:gd name="T172" fmla="+- 0 10744 1162"/>
                            <a:gd name="T173" fmla="*/ T172 w 9585"/>
                            <a:gd name="T174" fmla="+- 0 13694 562"/>
                            <a:gd name="T175" fmla="*/ 13694 h 13215"/>
                            <a:gd name="T176" fmla="+- 0 10729 1162"/>
                            <a:gd name="T177" fmla="*/ T176 w 9585"/>
                            <a:gd name="T178" fmla="+- 0 13727 562"/>
                            <a:gd name="T179" fmla="*/ 13727 h 13215"/>
                            <a:gd name="T180" fmla="+- 0 10724 1162"/>
                            <a:gd name="T181" fmla="*/ T180 w 9585"/>
                            <a:gd name="T182" fmla="+- 0 13734 562"/>
                            <a:gd name="T183" fmla="*/ 13734 h 13215"/>
                            <a:gd name="T184" fmla="+- 0 10697 1162"/>
                            <a:gd name="T185" fmla="*/ T184 w 9585"/>
                            <a:gd name="T186" fmla="+- 0 13758 562"/>
                            <a:gd name="T187" fmla="*/ 13758 h 13215"/>
                            <a:gd name="T188" fmla="+- 0 10691 1162"/>
                            <a:gd name="T189" fmla="*/ T188 w 9585"/>
                            <a:gd name="T190" fmla="+- 0 13763 562"/>
                            <a:gd name="T191" fmla="*/ 13763 h 13215"/>
                            <a:gd name="T192" fmla="+- 0 10635 1162"/>
                            <a:gd name="T193" fmla="*/ T192 w 9585"/>
                            <a:gd name="T194" fmla="+- 0 13777 562"/>
                            <a:gd name="T195" fmla="*/ 13777 h 13215"/>
                            <a:gd name="T196" fmla="+- 0 1275 1162"/>
                            <a:gd name="T197" fmla="*/ T196 w 9585"/>
                            <a:gd name="T198" fmla="+- 0 13777 562"/>
                            <a:gd name="T199" fmla="*/ 13777 h 13215"/>
                            <a:gd name="T200" fmla="+- 0 1212 1162"/>
                            <a:gd name="T201" fmla="*/ T200 w 9585"/>
                            <a:gd name="T202" fmla="+- 0 13758 562"/>
                            <a:gd name="T203" fmla="*/ 13758 h 13215"/>
                            <a:gd name="T204" fmla="+- 0 1206 1162"/>
                            <a:gd name="T205" fmla="*/ T204 w 9585"/>
                            <a:gd name="T206" fmla="+- 0 13754 562"/>
                            <a:gd name="T207" fmla="*/ 13754 h 13215"/>
                            <a:gd name="T208" fmla="+- 0 1181 1162"/>
                            <a:gd name="T209" fmla="*/ T208 w 9585"/>
                            <a:gd name="T210" fmla="+- 0 13727 562"/>
                            <a:gd name="T211" fmla="*/ 13727 h 13215"/>
                            <a:gd name="T212" fmla="+- 0 1177 1162"/>
                            <a:gd name="T213" fmla="*/ T212 w 9585"/>
                            <a:gd name="T214" fmla="+- 0 13721 562"/>
                            <a:gd name="T215" fmla="*/ 13721 h 13215"/>
                            <a:gd name="T216" fmla="+- 0 1162 1162"/>
                            <a:gd name="T217" fmla="*/ T216 w 9585"/>
                            <a:gd name="T218" fmla="+- 0 13672 562"/>
                            <a:gd name="T219" fmla="*/ 13672 h 13215"/>
                            <a:gd name="T220" fmla="+- 0 1162 1162"/>
                            <a:gd name="T221" fmla="*/ T220 w 9585"/>
                            <a:gd name="T222" fmla="+- 0 13665 562"/>
                            <a:gd name="T223" fmla="*/ 13665 h 13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85" h="13215">
                              <a:moveTo>
                                <a:pt x="0" y="13103"/>
                              </a:moveTo>
                              <a:lnTo>
                                <a:pt x="0" y="113"/>
                              </a:lnTo>
                              <a:lnTo>
                                <a:pt x="0" y="106"/>
                              </a:lnTo>
                              <a:lnTo>
                                <a:pt x="1" y="98"/>
                              </a:lnTo>
                              <a:lnTo>
                                <a:pt x="19" y="50"/>
                              </a:lnTo>
                              <a:lnTo>
                                <a:pt x="24" y="44"/>
                              </a:lnTo>
                              <a:lnTo>
                                <a:pt x="28" y="39"/>
                              </a:lnTo>
                              <a:lnTo>
                                <a:pt x="33" y="33"/>
                              </a:lnTo>
                              <a:lnTo>
                                <a:pt x="39" y="28"/>
                              </a:lnTo>
                              <a:lnTo>
                                <a:pt x="44" y="24"/>
                              </a:lnTo>
                              <a:lnTo>
                                <a:pt x="50" y="19"/>
                              </a:lnTo>
                              <a:lnTo>
                                <a:pt x="57" y="15"/>
                              </a:lnTo>
                              <a:lnTo>
                                <a:pt x="63" y="12"/>
                              </a:lnTo>
                              <a:lnTo>
                                <a:pt x="70" y="9"/>
                              </a:lnTo>
                              <a:lnTo>
                                <a:pt x="77" y="6"/>
                              </a:lnTo>
                              <a:lnTo>
                                <a:pt x="84" y="4"/>
                              </a:lnTo>
                              <a:lnTo>
                                <a:pt x="91" y="3"/>
                              </a:lnTo>
                              <a:lnTo>
                                <a:pt x="98" y="1"/>
                              </a:lnTo>
                              <a:lnTo>
                                <a:pt x="106" y="0"/>
                              </a:lnTo>
                              <a:lnTo>
                                <a:pt x="113" y="0"/>
                              </a:lnTo>
                              <a:lnTo>
                                <a:pt x="9473" y="0"/>
                              </a:lnTo>
                              <a:lnTo>
                                <a:pt x="9480" y="0"/>
                              </a:lnTo>
                              <a:lnTo>
                                <a:pt x="9488" y="1"/>
                              </a:lnTo>
                              <a:lnTo>
                                <a:pt x="9495" y="3"/>
                              </a:lnTo>
                              <a:lnTo>
                                <a:pt x="9502" y="4"/>
                              </a:lnTo>
                              <a:lnTo>
                                <a:pt x="9509" y="6"/>
                              </a:lnTo>
                              <a:lnTo>
                                <a:pt x="9516" y="9"/>
                              </a:lnTo>
                              <a:lnTo>
                                <a:pt x="9523" y="12"/>
                              </a:lnTo>
                              <a:lnTo>
                                <a:pt x="9529" y="15"/>
                              </a:lnTo>
                              <a:lnTo>
                                <a:pt x="9535" y="19"/>
                              </a:lnTo>
                              <a:lnTo>
                                <a:pt x="9542" y="24"/>
                              </a:lnTo>
                              <a:lnTo>
                                <a:pt x="9547" y="28"/>
                              </a:lnTo>
                              <a:lnTo>
                                <a:pt x="9553" y="33"/>
                              </a:lnTo>
                              <a:lnTo>
                                <a:pt x="9558" y="39"/>
                              </a:lnTo>
                              <a:lnTo>
                                <a:pt x="9562" y="44"/>
                              </a:lnTo>
                              <a:lnTo>
                                <a:pt x="9567" y="50"/>
                              </a:lnTo>
                              <a:lnTo>
                                <a:pt x="9571" y="57"/>
                              </a:lnTo>
                              <a:lnTo>
                                <a:pt x="9585" y="106"/>
                              </a:lnTo>
                              <a:lnTo>
                                <a:pt x="9585" y="113"/>
                              </a:lnTo>
                              <a:lnTo>
                                <a:pt x="9585" y="13103"/>
                              </a:lnTo>
                              <a:lnTo>
                                <a:pt x="9585" y="13110"/>
                              </a:lnTo>
                              <a:lnTo>
                                <a:pt x="9585" y="13118"/>
                              </a:lnTo>
                              <a:lnTo>
                                <a:pt x="9583" y="13125"/>
                              </a:lnTo>
                              <a:lnTo>
                                <a:pt x="9582" y="13132"/>
                              </a:lnTo>
                              <a:lnTo>
                                <a:pt x="9567" y="13165"/>
                              </a:lnTo>
                              <a:lnTo>
                                <a:pt x="9562" y="13172"/>
                              </a:lnTo>
                              <a:lnTo>
                                <a:pt x="9535" y="13196"/>
                              </a:lnTo>
                              <a:lnTo>
                                <a:pt x="9529" y="13201"/>
                              </a:lnTo>
                              <a:lnTo>
                                <a:pt x="9473" y="13215"/>
                              </a:lnTo>
                              <a:lnTo>
                                <a:pt x="113" y="13215"/>
                              </a:lnTo>
                              <a:lnTo>
                                <a:pt x="50" y="13196"/>
                              </a:lnTo>
                              <a:lnTo>
                                <a:pt x="44" y="13192"/>
                              </a:lnTo>
                              <a:lnTo>
                                <a:pt x="19" y="13165"/>
                              </a:lnTo>
                              <a:lnTo>
                                <a:pt x="15" y="13159"/>
                              </a:lnTo>
                              <a:lnTo>
                                <a:pt x="0" y="13110"/>
                              </a:lnTo>
                              <a:lnTo>
                                <a:pt x="0" y="13103"/>
                              </a:lnTo>
                              <a:close/>
                            </a:path>
                          </a:pathLst>
                        </a:custGeom>
                        <a:noFill/>
                        <a:ln w="9525">
                          <a:solidFill>
                            <a:srgbClr val="D9DBDF"/>
                          </a:solidFill>
                          <a:prstDash val="solid"/>
                          <a:round/>
                        </a:ln>
                        <a:effectLst/>
                      </wps:spPr>
                      <wps:bodyPr rot="0" vert="horz" wrap="square" lIns="91440" tIns="45720" rIns="91440" bIns="45720" anchor="t" anchorCtr="0" upright="1">
                        <a:noAutofit/>
                      </wps:bodyPr>
                    </wps:wsp>
                  </a:graphicData>
                </a:graphic>
              </wp:anchor>
            </w:drawing>
          </mc:Choice>
          <mc:Fallback>
            <w:pict>
              <v:shape id="Freeform: Shape 55" o:spid="_x0000_s1026" o:spt="100" style="position:absolute;left:0pt;margin-left:58.1pt;margin-top:28.1pt;height:660.75pt;width:479.25pt;mso-position-horizontal-relative:page;mso-position-vertical-relative:page;z-index:-251576320;mso-width-relative:page;mso-height-relative:page;" filled="f" stroked="t" coordsize="9585,13215" o:gfxdata="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" path="m0,13103l0,113,0,106,1,98,19,50,24,44,28,39,33,33,39,28,44,24,50,19,57,15,63,12,70,9,77,6,84,4,91,3,98,1,106,0,113,0,9473,0,9480,0,9488,1,9495,3,9502,4,9509,6,9516,9,9523,12,9529,15,9535,19,9542,24,9547,28,9553,33,9558,39,9562,44,9567,50,9571,57,9585,106,9585,113,9585,13103,9585,13110,9585,13118,9583,13125,9582,13132,9567,13165,9562,13172,9535,13196,9529,13201,9473,13215,113,13215,50,13196,44,13192,19,13165,15,13159,0,13110,0,13103xe">
                <v:path o:connectlocs="0,8677275;0,428625;0,424180;635,419100;12065,388620;15240,384810;17780,381635;20955,377825;24765,374650;27940,372110;31750,368935;36195,366395;40005,364490;44450,362585;48895,360680;53340,359410;57785,358775;62230,357505;67310,356870;71755,356870;6015355,356870;6019800,356870;6024880,357505;6029325,358775;6033770,359410;6038215,360680;6042660,362585;6047105,364490;6050915,366395;6054725,368935;6059170,372110;6062345,374650;6066155,377825;6069330,381635;6071870,384810;6075045,388620;6077585,393065;6086475,424180;6086475,428625;6086475,8677275;6086475,8681720;6086475,8686800;6085205,8691245;6084570,8695690;6075045,8716645;6071870,8721090;6054725,8736330;6050915,8739505;6015355,8748395;71755,8748395;31750,8736330;27940,8733790;12065,8716645;9525,8712835;0,8681720;0,8677275" o:connectangles="0,0,0,0,0,0,0,0,0,0,0,0,0,0,0,0,0,0,0,0,0,0,0,0,0,0,0,0,0,0,0,0,0,0,0,0,0,0,0,0,0,0,0,0,0,0,0,0,0,0,0,0,0,0,0,0"/>
                <v:fill on="f" focussize="0,0"/>
                <v:stroke color="#D9DBDF" joinstyle="round"/>
                <v:imagedata o:title=""/>
                <o:lock v:ext="edit" aspectratio="f"/>
              </v:shape>
            </w:pict>
          </mc:Fallback>
        </mc:AlternateContent>
      </w:r>
    </w:p>
    <w:p w14:paraId="5B063EA1">
      <w:pPr>
        <w:widowControl w:val="0"/>
        <w:autoSpaceDE w:val="0"/>
        <w:autoSpaceDN w:val="0"/>
        <w:spacing w:before="94"/>
        <w:jc w:val="both"/>
        <w:outlineLvl w:val="0"/>
        <w:rPr>
          <w:rFonts w:eastAsia="Roboto"/>
        </w:rPr>
      </w:pPr>
      <w:r>
        <w:rPr>
          <w:rFonts w:eastAsia="Roboto"/>
          <w:color w:val="202024"/>
        </w:rPr>
        <w:t>Please</w:t>
      </w:r>
      <w:r>
        <w:rPr>
          <w:rFonts w:eastAsia="Roboto"/>
          <w:color w:val="202024"/>
          <w:spacing w:val="12"/>
        </w:rPr>
        <w:t xml:space="preserve"> </w:t>
      </w:r>
      <w:r>
        <w:rPr>
          <w:rFonts w:eastAsia="Roboto"/>
          <w:color w:val="202024"/>
        </w:rPr>
        <w:t>add</w:t>
      </w:r>
      <w:r>
        <w:rPr>
          <w:rFonts w:eastAsia="Roboto"/>
          <w:color w:val="202024"/>
          <w:spacing w:val="13"/>
        </w:rPr>
        <w:t xml:space="preserve"> </w:t>
      </w:r>
      <w:r>
        <w:rPr>
          <w:rFonts w:eastAsia="Roboto"/>
          <w:color w:val="202024"/>
        </w:rPr>
        <w:t>any</w:t>
      </w:r>
      <w:r>
        <w:rPr>
          <w:rFonts w:eastAsia="Roboto"/>
          <w:color w:val="202024"/>
          <w:spacing w:val="12"/>
        </w:rPr>
        <w:t xml:space="preserve"> </w:t>
      </w:r>
      <w:r>
        <w:rPr>
          <w:rFonts w:eastAsia="Roboto"/>
          <w:color w:val="202024"/>
        </w:rPr>
        <w:t>other</w:t>
      </w:r>
      <w:r>
        <w:rPr>
          <w:rFonts w:eastAsia="Roboto"/>
          <w:color w:val="202024"/>
          <w:spacing w:val="13"/>
        </w:rPr>
        <w:t xml:space="preserve"> </w:t>
      </w:r>
      <w:r>
        <w:rPr>
          <w:rFonts w:eastAsia="Roboto"/>
          <w:color w:val="202024"/>
        </w:rPr>
        <w:t>important</w:t>
      </w:r>
      <w:r>
        <w:rPr>
          <w:rFonts w:eastAsia="Roboto"/>
          <w:color w:val="202024"/>
          <w:spacing w:val="12"/>
        </w:rPr>
        <w:t xml:space="preserve"> </w:t>
      </w:r>
      <w:r>
        <w:rPr>
          <w:rFonts w:eastAsia="Roboto"/>
          <w:color w:val="202024"/>
        </w:rPr>
        <w:t>comments</w:t>
      </w:r>
      <w:r>
        <w:rPr>
          <w:rFonts w:eastAsia="Roboto"/>
          <w:color w:val="202024"/>
          <w:spacing w:val="13"/>
        </w:rPr>
        <w:t xml:space="preserve"> </w:t>
      </w:r>
      <w:r>
        <w:rPr>
          <w:rFonts w:eastAsia="Roboto"/>
          <w:color w:val="202024"/>
        </w:rPr>
        <w:t>below_5:</w:t>
      </w:r>
    </w:p>
    <w:p w14:paraId="199D9B74">
      <w:pPr>
        <w:widowControl w:val="0"/>
        <w:autoSpaceDE w:val="0"/>
        <w:autoSpaceDN w:val="0"/>
        <w:spacing w:before="174"/>
        <w:jc w:val="both"/>
        <w:rPr>
          <w:rFonts w:eastAsia="Roboto"/>
        </w:rPr>
      </w:pPr>
      <w:r>
        <w:rPr>
          <w:rFonts w:eastAsia="Roboto"/>
          <w:color w:val="202024"/>
        </w:rPr>
        <w:t>10</w:t>
      </w:r>
      <w:r>
        <w:rPr>
          <w:rFonts w:eastAsia="Roboto"/>
          <w:color w:val="202024"/>
          <w:spacing w:val="20"/>
        </w:rPr>
        <w:t xml:space="preserve"> </w:t>
      </w:r>
      <w:r>
        <w:rPr>
          <w:rFonts w:eastAsia="Roboto"/>
          <w:color w:val="202024"/>
        </w:rPr>
        <w:t>responses</w:t>
      </w:r>
    </w:p>
    <w:p w14:paraId="4E61795F">
      <w:pPr>
        <w:widowControl w:val="0"/>
        <w:autoSpaceDE w:val="0"/>
        <w:autoSpaceDN w:val="0"/>
        <w:jc w:val="both"/>
        <w:rPr>
          <w:rFonts w:eastAsia="Roboto"/>
        </w:rPr>
      </w:pPr>
    </w:p>
    <w:p w14:paraId="0C7A0F40">
      <w:pPr>
        <w:widowControl w:val="0"/>
        <w:autoSpaceDE w:val="0"/>
        <w:autoSpaceDN w:val="0"/>
        <w:spacing w:before="8"/>
        <w:jc w:val="both"/>
        <w:rPr>
          <w:rFonts w:eastAsia="Roboto"/>
        </w:rPr>
      </w:pPr>
    </w:p>
    <w:p w14:paraId="41A7C6A4">
      <w:pPr>
        <w:widowControl w:val="0"/>
        <w:autoSpaceDE w:val="0"/>
        <w:autoSpaceDN w:val="0"/>
        <w:spacing w:line="285" w:lineRule="auto"/>
        <w:ind w:right="272"/>
        <w:jc w:val="both"/>
        <w:rPr>
          <w:rFonts w:eastAsia="Roboto"/>
        </w:rPr>
      </w:pPr>
      <w:r>
        <w:rPr>
          <w:rFonts w:eastAsia="Roboto"/>
          <w:color w:val="202024"/>
        </w:rPr>
        <w:t>The</w:t>
      </w:r>
      <w:r>
        <w:rPr>
          <w:rFonts w:eastAsia="Roboto"/>
          <w:color w:val="202024"/>
          <w:spacing w:val="8"/>
        </w:rPr>
        <w:t xml:space="preserve"> </w:t>
      </w:r>
      <w:r>
        <w:rPr>
          <w:rFonts w:eastAsia="Roboto"/>
          <w:color w:val="202024"/>
        </w:rPr>
        <w:t>uncertainty</w:t>
      </w:r>
      <w:r>
        <w:rPr>
          <w:rFonts w:eastAsia="Roboto"/>
          <w:color w:val="202024"/>
          <w:spacing w:val="9"/>
        </w:rPr>
        <w:t xml:space="preserve"> </w:t>
      </w:r>
      <w:r>
        <w:rPr>
          <w:rFonts w:eastAsia="Roboto"/>
          <w:color w:val="202024"/>
        </w:rPr>
        <w:t>in</w:t>
      </w:r>
      <w:r>
        <w:rPr>
          <w:rFonts w:eastAsia="Roboto"/>
          <w:color w:val="202024"/>
          <w:spacing w:val="9"/>
        </w:rPr>
        <w:t xml:space="preserve"> </w:t>
      </w:r>
      <w:r>
        <w:rPr>
          <w:rFonts w:eastAsia="Roboto"/>
          <w:color w:val="202024"/>
        </w:rPr>
        <w:t>Fiscals</w:t>
      </w:r>
      <w:r>
        <w:rPr>
          <w:rFonts w:eastAsia="Roboto"/>
          <w:color w:val="202024"/>
          <w:spacing w:val="8"/>
        </w:rPr>
        <w:t xml:space="preserve"> </w:t>
      </w:r>
      <w:r>
        <w:rPr>
          <w:rFonts w:eastAsia="Roboto"/>
          <w:color w:val="202024"/>
        </w:rPr>
        <w:t>within</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industry</w:t>
      </w:r>
      <w:r>
        <w:rPr>
          <w:rFonts w:eastAsia="Roboto"/>
          <w:color w:val="202024"/>
          <w:spacing w:val="8"/>
        </w:rPr>
        <w:t xml:space="preserve"> </w:t>
      </w:r>
      <w:r>
        <w:rPr>
          <w:rFonts w:eastAsia="Roboto"/>
          <w:color w:val="202024"/>
        </w:rPr>
        <w:t>over</w:t>
      </w:r>
      <w:r>
        <w:rPr>
          <w:rFonts w:eastAsia="Roboto"/>
          <w:color w:val="202024"/>
          <w:spacing w:val="9"/>
        </w:rPr>
        <w:t xml:space="preserve"> </w:t>
      </w:r>
      <w:r>
        <w:rPr>
          <w:rFonts w:eastAsia="Roboto"/>
          <w:color w:val="202024"/>
        </w:rPr>
        <w:t>time</w:t>
      </w:r>
      <w:r>
        <w:rPr>
          <w:rFonts w:eastAsia="Roboto"/>
          <w:color w:val="202024"/>
          <w:spacing w:val="9"/>
        </w:rPr>
        <w:t xml:space="preserve"> </w:t>
      </w:r>
      <w:r>
        <w:rPr>
          <w:rFonts w:eastAsia="Roboto"/>
          <w:color w:val="202024"/>
        </w:rPr>
        <w:t>has</w:t>
      </w:r>
      <w:r>
        <w:rPr>
          <w:rFonts w:eastAsia="Roboto"/>
          <w:color w:val="202024"/>
          <w:spacing w:val="8"/>
        </w:rPr>
        <w:t xml:space="preserve"> </w:t>
      </w:r>
      <w:r>
        <w:rPr>
          <w:rFonts w:eastAsia="Roboto"/>
          <w:color w:val="202024"/>
        </w:rPr>
        <w:t>led</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a</w:t>
      </w:r>
      <w:r>
        <w:rPr>
          <w:rFonts w:eastAsia="Roboto"/>
          <w:color w:val="202024"/>
          <w:spacing w:val="8"/>
        </w:rPr>
        <w:t xml:space="preserve"> </w:t>
      </w:r>
      <w:r>
        <w:rPr>
          <w:rFonts w:eastAsia="Roboto"/>
          <w:color w:val="202024"/>
        </w:rPr>
        <w:t>significant</w:t>
      </w:r>
      <w:r>
        <w:rPr>
          <w:rFonts w:eastAsia="Roboto"/>
          <w:color w:val="202024"/>
          <w:spacing w:val="9"/>
        </w:rPr>
        <w:t xml:space="preserve"> </w:t>
      </w:r>
      <w:r>
        <w:rPr>
          <w:rFonts w:eastAsia="Roboto"/>
          <w:color w:val="202024"/>
        </w:rPr>
        <w:t>loss</w:t>
      </w:r>
      <w:r>
        <w:rPr>
          <w:rFonts w:eastAsia="Roboto"/>
          <w:color w:val="202024"/>
          <w:spacing w:val="9"/>
        </w:rPr>
        <w:t xml:space="preserve"> </w:t>
      </w:r>
      <w:r>
        <w:rPr>
          <w:rFonts w:eastAsia="Roboto"/>
          <w:color w:val="202024"/>
        </w:rPr>
        <w:t>of</w:t>
      </w:r>
      <w:r>
        <w:rPr>
          <w:rFonts w:eastAsia="Roboto"/>
          <w:color w:val="202024"/>
          <w:spacing w:val="-49"/>
        </w:rPr>
        <w:t xml:space="preserve"> </w:t>
      </w:r>
      <w:r>
        <w:rPr>
          <w:rFonts w:eastAsia="Roboto"/>
          <w:color w:val="202024"/>
        </w:rPr>
        <w:t>investment</w:t>
      </w:r>
      <w:r>
        <w:rPr>
          <w:rFonts w:eastAsia="Roboto"/>
          <w:color w:val="202024"/>
          <w:spacing w:val="5"/>
        </w:rPr>
        <w:t xml:space="preserve"> </w:t>
      </w:r>
      <w:r>
        <w:rPr>
          <w:rFonts w:eastAsia="Roboto"/>
          <w:color w:val="202024"/>
        </w:rPr>
        <w:t>for</w:t>
      </w:r>
      <w:r>
        <w:rPr>
          <w:rFonts w:eastAsia="Roboto"/>
          <w:color w:val="202024"/>
          <w:spacing w:val="5"/>
        </w:rPr>
        <w:t xml:space="preserve"> </w:t>
      </w:r>
      <w:r>
        <w:rPr>
          <w:rFonts w:eastAsia="Roboto"/>
          <w:color w:val="202024"/>
        </w:rPr>
        <w:t>the</w:t>
      </w:r>
      <w:r>
        <w:rPr>
          <w:rFonts w:eastAsia="Roboto"/>
          <w:color w:val="202024"/>
          <w:spacing w:val="5"/>
        </w:rPr>
        <w:t xml:space="preserve"> </w:t>
      </w:r>
      <w:r>
        <w:rPr>
          <w:rFonts w:eastAsia="Roboto"/>
          <w:color w:val="202024"/>
        </w:rPr>
        <w:t>Country.</w:t>
      </w:r>
    </w:p>
    <w:p w14:paraId="5C7C6ADA">
      <w:pPr>
        <w:widowControl w:val="0"/>
        <w:autoSpaceDE w:val="0"/>
        <w:autoSpaceDN w:val="0"/>
        <w:jc w:val="both"/>
        <w:rPr>
          <w:rFonts w:eastAsia="Roboto"/>
        </w:rPr>
      </w:pPr>
    </w:p>
    <w:p w14:paraId="2C1C0EE7">
      <w:pPr>
        <w:widowControl w:val="0"/>
        <w:numPr>
          <w:ilvl w:val="0"/>
          <w:numId w:val="48"/>
        </w:numPr>
        <w:tabs>
          <w:tab w:val="left" w:pos="507"/>
        </w:tabs>
        <w:autoSpaceDE w:val="0"/>
        <w:autoSpaceDN w:val="0"/>
        <w:spacing w:line="285" w:lineRule="auto"/>
        <w:ind w:right="219" w:firstLine="0"/>
        <w:jc w:val="both"/>
        <w:rPr>
          <w:rFonts w:eastAsia="Roboto"/>
        </w:rPr>
      </w:pPr>
      <w:r>
        <w:rPr>
          <w:rFonts w:eastAsia="Roboto"/>
          <w:color w:val="202024"/>
        </w:rPr>
        <w:t>I</w:t>
      </w:r>
      <w:r>
        <w:rPr>
          <w:rFonts w:eastAsia="Roboto"/>
          <w:color w:val="202024"/>
          <w:spacing w:val="7"/>
        </w:rPr>
        <w:t xml:space="preserve"> </w:t>
      </w:r>
      <w:r>
        <w:rPr>
          <w:rFonts w:eastAsia="Roboto"/>
          <w:color w:val="202024"/>
        </w:rPr>
        <w:t>think</w:t>
      </w:r>
      <w:r>
        <w:rPr>
          <w:rFonts w:eastAsia="Roboto"/>
          <w:color w:val="202024"/>
          <w:spacing w:val="7"/>
        </w:rPr>
        <w:t xml:space="preserve"> </w:t>
      </w:r>
      <w:r>
        <w:rPr>
          <w:rFonts w:eastAsia="Roboto"/>
          <w:color w:val="202024"/>
        </w:rPr>
        <w:t>that</w:t>
      </w:r>
      <w:r>
        <w:rPr>
          <w:rFonts w:eastAsia="Roboto"/>
          <w:color w:val="202024"/>
          <w:spacing w:val="8"/>
        </w:rPr>
        <w:t xml:space="preserve"> </w:t>
      </w:r>
      <w:r>
        <w:rPr>
          <w:rFonts w:eastAsia="Roboto"/>
          <w:color w:val="202024"/>
        </w:rPr>
        <w:t>tax</w:t>
      </w:r>
      <w:r>
        <w:rPr>
          <w:rFonts w:eastAsia="Roboto"/>
          <w:color w:val="202024"/>
          <w:spacing w:val="7"/>
        </w:rPr>
        <w:t xml:space="preserve"> </w:t>
      </w:r>
      <w:r>
        <w:rPr>
          <w:rFonts w:eastAsia="Roboto"/>
          <w:color w:val="202024"/>
        </w:rPr>
        <w:t>policy</w:t>
      </w:r>
      <w:r>
        <w:rPr>
          <w:rFonts w:eastAsia="Roboto"/>
          <w:color w:val="202024"/>
          <w:spacing w:val="8"/>
        </w:rPr>
        <w:t xml:space="preserve"> </w:t>
      </w:r>
      <w:r>
        <w:rPr>
          <w:rFonts w:eastAsia="Roboto"/>
          <w:color w:val="202024"/>
        </w:rPr>
        <w:t>and</w:t>
      </w:r>
      <w:r>
        <w:rPr>
          <w:rFonts w:eastAsia="Roboto"/>
          <w:color w:val="202024"/>
          <w:spacing w:val="7"/>
        </w:rPr>
        <w:t xml:space="preserve"> </w:t>
      </w:r>
      <w:r>
        <w:rPr>
          <w:rFonts w:eastAsia="Roboto"/>
          <w:color w:val="202024"/>
        </w:rPr>
        <w:t>tax</w:t>
      </w:r>
      <w:r>
        <w:rPr>
          <w:rFonts w:eastAsia="Roboto"/>
          <w:color w:val="202024"/>
          <w:spacing w:val="8"/>
        </w:rPr>
        <w:t xml:space="preserve"> </w:t>
      </w:r>
      <w:r>
        <w:rPr>
          <w:rFonts w:eastAsia="Roboto"/>
          <w:color w:val="202024"/>
        </w:rPr>
        <w:t>law</w:t>
      </w:r>
      <w:r>
        <w:rPr>
          <w:rFonts w:eastAsia="Roboto"/>
          <w:color w:val="202024"/>
          <w:spacing w:val="7"/>
        </w:rPr>
        <w:t xml:space="preserve"> </w:t>
      </w:r>
      <w:r>
        <w:rPr>
          <w:rFonts w:eastAsia="Roboto"/>
          <w:color w:val="202024"/>
        </w:rPr>
        <w:t>reform</w:t>
      </w:r>
      <w:r>
        <w:rPr>
          <w:rFonts w:eastAsia="Roboto"/>
          <w:color w:val="202024"/>
          <w:spacing w:val="8"/>
        </w:rPr>
        <w:t xml:space="preserve"> </w:t>
      </w:r>
      <w:r>
        <w:rPr>
          <w:rFonts w:eastAsia="Roboto"/>
          <w:color w:val="202024"/>
        </w:rPr>
        <w:t>should</w:t>
      </w:r>
      <w:r>
        <w:rPr>
          <w:rFonts w:eastAsia="Roboto"/>
          <w:color w:val="202024"/>
          <w:spacing w:val="7"/>
        </w:rPr>
        <w:t xml:space="preserve"> </w:t>
      </w:r>
      <w:r>
        <w:rPr>
          <w:rFonts w:eastAsia="Roboto"/>
          <w:color w:val="202024"/>
        </w:rPr>
        <w:t>not</w:t>
      </w:r>
      <w:r>
        <w:rPr>
          <w:rFonts w:eastAsia="Roboto"/>
          <w:color w:val="202024"/>
          <w:spacing w:val="8"/>
        </w:rPr>
        <w:t xml:space="preserve"> </w:t>
      </w:r>
      <w:r>
        <w:rPr>
          <w:rFonts w:eastAsia="Roboto"/>
          <w:color w:val="202024"/>
        </w:rPr>
        <w:t>necessarily</w:t>
      </w:r>
      <w:r>
        <w:rPr>
          <w:rFonts w:eastAsia="Roboto"/>
          <w:color w:val="202024"/>
          <w:spacing w:val="7"/>
        </w:rPr>
        <w:t xml:space="preserve"> </w:t>
      </w:r>
      <w:r>
        <w:rPr>
          <w:rFonts w:eastAsia="Roboto"/>
          <w:color w:val="202024"/>
        </w:rPr>
        <w:t>be</w:t>
      </w:r>
      <w:r>
        <w:rPr>
          <w:rFonts w:eastAsia="Roboto"/>
          <w:color w:val="202024"/>
          <w:spacing w:val="8"/>
        </w:rPr>
        <w:t xml:space="preserve"> </w:t>
      </w:r>
      <w:r>
        <w:rPr>
          <w:rFonts w:eastAsia="Roboto"/>
          <w:color w:val="202024"/>
        </w:rPr>
        <w:t>undertaken</w:t>
      </w:r>
      <w:r>
        <w:rPr>
          <w:rFonts w:eastAsia="Roboto"/>
          <w:color w:val="202024"/>
          <w:spacing w:val="7"/>
        </w:rPr>
        <w:t xml:space="preserve"> </w:t>
      </w:r>
      <w:r>
        <w:rPr>
          <w:rFonts w:eastAsia="Roboto"/>
          <w:color w:val="202024"/>
        </w:rPr>
        <w:t>regularly,</w:t>
      </w:r>
      <w:r>
        <w:rPr>
          <w:rFonts w:eastAsia="Roboto"/>
          <w:color w:val="202024"/>
          <w:spacing w:val="8"/>
        </w:rPr>
        <w:t xml:space="preserve"> </w:t>
      </w:r>
      <w:r>
        <w:rPr>
          <w:rFonts w:eastAsia="Roboto"/>
          <w:color w:val="202024"/>
        </w:rPr>
        <w:t>as</w:t>
      </w:r>
      <w:r>
        <w:rPr>
          <w:rFonts w:eastAsia="Roboto"/>
          <w:color w:val="202024"/>
          <w:spacing w:val="1"/>
        </w:rPr>
        <w:t xml:space="preserve"> </w:t>
      </w:r>
      <w:r>
        <w:rPr>
          <w:rFonts w:eastAsia="Roboto"/>
          <w:color w:val="202024"/>
        </w:rPr>
        <w:t>this</w:t>
      </w:r>
      <w:r>
        <w:rPr>
          <w:rFonts w:eastAsia="Roboto"/>
          <w:color w:val="202024"/>
          <w:spacing w:val="6"/>
        </w:rPr>
        <w:t xml:space="preserve"> </w:t>
      </w:r>
      <w:r>
        <w:rPr>
          <w:rFonts w:eastAsia="Roboto"/>
          <w:color w:val="202024"/>
        </w:rPr>
        <w:t>could</w:t>
      </w:r>
      <w:r>
        <w:rPr>
          <w:rFonts w:eastAsia="Roboto"/>
          <w:color w:val="202024"/>
          <w:spacing w:val="7"/>
        </w:rPr>
        <w:t xml:space="preserve"> </w:t>
      </w:r>
      <w:r>
        <w:rPr>
          <w:rFonts w:eastAsia="Roboto"/>
          <w:color w:val="202024"/>
        </w:rPr>
        <w:t>have</w:t>
      </w:r>
      <w:r>
        <w:rPr>
          <w:rFonts w:eastAsia="Roboto"/>
          <w:color w:val="202024"/>
          <w:spacing w:val="7"/>
        </w:rPr>
        <w:t xml:space="preserve"> </w:t>
      </w:r>
      <w:r>
        <w:rPr>
          <w:rFonts w:eastAsia="Roboto"/>
          <w:color w:val="202024"/>
        </w:rPr>
        <w:t>a</w:t>
      </w:r>
      <w:r>
        <w:rPr>
          <w:rFonts w:eastAsia="Roboto"/>
          <w:color w:val="202024"/>
          <w:spacing w:val="7"/>
        </w:rPr>
        <w:t xml:space="preserve"> </w:t>
      </w:r>
      <w:r>
        <w:rPr>
          <w:rFonts w:eastAsia="Roboto"/>
          <w:color w:val="202024"/>
        </w:rPr>
        <w:t>destabilising</w:t>
      </w:r>
      <w:r>
        <w:rPr>
          <w:rFonts w:eastAsia="Roboto"/>
          <w:color w:val="202024"/>
          <w:spacing w:val="7"/>
        </w:rPr>
        <w:t xml:space="preserve"> </w:t>
      </w:r>
      <w:r>
        <w:rPr>
          <w:rFonts w:eastAsia="Roboto"/>
          <w:color w:val="202024"/>
        </w:rPr>
        <w:t>impact.</w:t>
      </w:r>
      <w:r>
        <w:rPr>
          <w:rFonts w:eastAsia="Roboto"/>
          <w:color w:val="202024"/>
          <w:spacing w:val="3"/>
        </w:rPr>
        <w:t xml:space="preserve"> </w:t>
      </w:r>
      <w:r>
        <w:rPr>
          <w:rFonts w:eastAsia="Roboto"/>
          <w:color w:val="202024"/>
        </w:rPr>
        <w:t>Tax</w:t>
      </w:r>
      <w:r>
        <w:rPr>
          <w:rFonts w:eastAsia="Roboto"/>
          <w:color w:val="202024"/>
          <w:spacing w:val="7"/>
        </w:rPr>
        <w:t xml:space="preserve"> </w:t>
      </w:r>
      <w:r>
        <w:rPr>
          <w:rFonts w:eastAsia="Roboto"/>
          <w:color w:val="202024"/>
        </w:rPr>
        <w:t>policy</w:t>
      </w:r>
      <w:r>
        <w:rPr>
          <w:rFonts w:eastAsia="Roboto"/>
          <w:color w:val="202024"/>
          <w:spacing w:val="6"/>
        </w:rPr>
        <w:t xml:space="preserve"> </w:t>
      </w:r>
      <w:r>
        <w:rPr>
          <w:rFonts w:eastAsia="Roboto"/>
          <w:color w:val="202024"/>
        </w:rPr>
        <w:t>and</w:t>
      </w:r>
      <w:r>
        <w:rPr>
          <w:rFonts w:eastAsia="Roboto"/>
          <w:color w:val="202024"/>
          <w:spacing w:val="3"/>
        </w:rPr>
        <w:t xml:space="preserve"> </w:t>
      </w:r>
      <w:r>
        <w:rPr>
          <w:rFonts w:eastAsia="Roboto"/>
          <w:color w:val="202024"/>
        </w:rPr>
        <w:t>Tax</w:t>
      </w:r>
      <w:r>
        <w:rPr>
          <w:rFonts w:eastAsia="Roboto"/>
          <w:color w:val="202024"/>
          <w:spacing w:val="7"/>
        </w:rPr>
        <w:t xml:space="preserve"> </w:t>
      </w:r>
      <w:r>
        <w:rPr>
          <w:rFonts w:eastAsia="Roboto"/>
          <w:color w:val="202024"/>
        </w:rPr>
        <w:t>laws</w:t>
      </w:r>
      <w:r>
        <w:rPr>
          <w:rFonts w:eastAsia="Roboto"/>
          <w:color w:val="202024"/>
          <w:spacing w:val="7"/>
        </w:rPr>
        <w:t xml:space="preserve"> </w:t>
      </w:r>
      <w:r>
        <w:rPr>
          <w:rFonts w:eastAsia="Roboto"/>
          <w:color w:val="202024"/>
        </w:rPr>
        <w:t>should</w:t>
      </w:r>
      <w:r>
        <w:rPr>
          <w:rFonts w:eastAsia="Roboto"/>
          <w:color w:val="202024"/>
          <w:spacing w:val="7"/>
        </w:rPr>
        <w:t xml:space="preserve"> </w:t>
      </w:r>
      <w:r>
        <w:rPr>
          <w:rFonts w:eastAsia="Roboto"/>
          <w:color w:val="202024"/>
        </w:rPr>
        <w:t>be</w:t>
      </w:r>
      <w:r>
        <w:rPr>
          <w:rFonts w:eastAsia="Roboto"/>
          <w:color w:val="202024"/>
          <w:spacing w:val="7"/>
        </w:rPr>
        <w:t xml:space="preserve"> </w:t>
      </w:r>
      <w:r>
        <w:rPr>
          <w:rFonts w:eastAsia="Roboto"/>
          <w:color w:val="202024"/>
        </w:rPr>
        <w:t>articulated</w:t>
      </w:r>
      <w:r>
        <w:rPr>
          <w:rFonts w:eastAsia="Roboto"/>
          <w:color w:val="202024"/>
          <w:spacing w:val="7"/>
        </w:rPr>
        <w:t xml:space="preserve"> </w:t>
      </w:r>
      <w:r>
        <w:rPr>
          <w:rFonts w:eastAsia="Roboto"/>
          <w:color w:val="202024"/>
        </w:rPr>
        <w:t>with</w:t>
      </w:r>
      <w:r>
        <w:rPr>
          <w:rFonts w:eastAsia="Roboto"/>
          <w:color w:val="202024"/>
          <w:spacing w:val="7"/>
        </w:rPr>
        <w:t xml:space="preserve"> </w:t>
      </w:r>
      <w:r>
        <w:rPr>
          <w:rFonts w:eastAsia="Roboto"/>
          <w:color w:val="202024"/>
        </w:rPr>
        <w:t>a</w:t>
      </w:r>
      <w:r>
        <w:rPr>
          <w:rFonts w:eastAsia="Roboto"/>
          <w:color w:val="202024"/>
          <w:spacing w:val="1"/>
        </w:rPr>
        <w:t xml:space="preserve"> </w:t>
      </w:r>
      <w:r>
        <w:rPr>
          <w:rFonts w:eastAsia="Roboto"/>
          <w:color w:val="202024"/>
        </w:rPr>
        <w:t>long-term</w:t>
      </w:r>
      <w:r>
        <w:rPr>
          <w:rFonts w:eastAsia="Roboto"/>
          <w:color w:val="202024"/>
          <w:spacing w:val="5"/>
        </w:rPr>
        <w:t xml:space="preserve"> </w:t>
      </w:r>
      <w:r>
        <w:rPr>
          <w:rFonts w:eastAsia="Roboto"/>
          <w:color w:val="202024"/>
        </w:rPr>
        <w:t>view,</w:t>
      </w:r>
      <w:r>
        <w:rPr>
          <w:rFonts w:eastAsia="Roboto"/>
          <w:color w:val="202024"/>
          <w:spacing w:val="5"/>
        </w:rPr>
        <w:t xml:space="preserve"> </w:t>
      </w:r>
      <w:r>
        <w:rPr>
          <w:rFonts w:eastAsia="Roboto"/>
          <w:color w:val="202024"/>
        </w:rPr>
        <w:t>as</w:t>
      </w:r>
      <w:r>
        <w:rPr>
          <w:rFonts w:eastAsia="Roboto"/>
          <w:color w:val="202024"/>
          <w:spacing w:val="6"/>
        </w:rPr>
        <w:t xml:space="preserve"> </w:t>
      </w:r>
      <w:r>
        <w:rPr>
          <w:rFonts w:eastAsia="Roboto"/>
          <w:color w:val="202024"/>
        </w:rPr>
        <w:t>this</w:t>
      </w:r>
      <w:r>
        <w:rPr>
          <w:rFonts w:eastAsia="Roboto"/>
          <w:color w:val="202024"/>
          <w:spacing w:val="5"/>
        </w:rPr>
        <w:t xml:space="preserve"> </w:t>
      </w:r>
      <w:r>
        <w:rPr>
          <w:rFonts w:eastAsia="Roboto"/>
          <w:color w:val="202024"/>
        </w:rPr>
        <w:t>enables</w:t>
      </w:r>
      <w:r>
        <w:rPr>
          <w:rFonts w:eastAsia="Roboto"/>
          <w:color w:val="202024"/>
          <w:spacing w:val="5"/>
        </w:rPr>
        <w:t xml:space="preserve"> </w:t>
      </w:r>
      <w:r>
        <w:rPr>
          <w:rFonts w:eastAsia="Roboto"/>
          <w:color w:val="202024"/>
        </w:rPr>
        <w:t>corporate</w:t>
      </w:r>
      <w:r>
        <w:rPr>
          <w:rFonts w:eastAsia="Roboto"/>
          <w:color w:val="202024"/>
          <w:spacing w:val="6"/>
        </w:rPr>
        <w:t xml:space="preserve"> </w:t>
      </w:r>
      <w:r>
        <w:rPr>
          <w:rFonts w:eastAsia="Roboto"/>
          <w:color w:val="202024"/>
        </w:rPr>
        <w:t>and</w:t>
      </w:r>
      <w:r>
        <w:rPr>
          <w:rFonts w:eastAsia="Roboto"/>
          <w:color w:val="202024"/>
          <w:spacing w:val="5"/>
        </w:rPr>
        <w:t xml:space="preserve"> </w:t>
      </w:r>
      <w:r>
        <w:rPr>
          <w:rFonts w:eastAsia="Roboto"/>
          <w:color w:val="202024"/>
        </w:rPr>
        <w:t>business</w:t>
      </w:r>
      <w:r>
        <w:rPr>
          <w:rFonts w:eastAsia="Roboto"/>
          <w:color w:val="202024"/>
          <w:spacing w:val="5"/>
        </w:rPr>
        <w:t xml:space="preserve"> </w:t>
      </w:r>
      <w:r>
        <w:rPr>
          <w:rFonts w:eastAsia="Roboto"/>
          <w:color w:val="202024"/>
        </w:rPr>
        <w:t>entities</w:t>
      </w:r>
      <w:r>
        <w:rPr>
          <w:rFonts w:eastAsia="Roboto"/>
          <w:color w:val="202024"/>
          <w:spacing w:val="6"/>
        </w:rPr>
        <w:t xml:space="preserve"> </w:t>
      </w:r>
      <w:r>
        <w:rPr>
          <w:rFonts w:eastAsia="Roboto"/>
          <w:color w:val="202024"/>
        </w:rPr>
        <w:t>to</w:t>
      </w:r>
      <w:r>
        <w:rPr>
          <w:rFonts w:eastAsia="Roboto"/>
          <w:color w:val="202024"/>
          <w:spacing w:val="5"/>
        </w:rPr>
        <w:t xml:space="preserve"> </w:t>
      </w:r>
      <w:r>
        <w:rPr>
          <w:rFonts w:eastAsia="Roboto"/>
          <w:color w:val="202024"/>
        </w:rPr>
        <w:t>establish</w:t>
      </w:r>
      <w:r>
        <w:rPr>
          <w:rFonts w:eastAsia="Roboto"/>
          <w:color w:val="202024"/>
          <w:spacing w:val="5"/>
        </w:rPr>
        <w:t xml:space="preserve"> </w:t>
      </w:r>
      <w:r>
        <w:rPr>
          <w:rFonts w:eastAsia="Roboto"/>
          <w:color w:val="202024"/>
        </w:rPr>
        <w:t>long-term</w:t>
      </w:r>
      <w:r>
        <w:rPr>
          <w:rFonts w:eastAsia="Roboto"/>
          <w:color w:val="202024"/>
          <w:spacing w:val="6"/>
        </w:rPr>
        <w:t xml:space="preserve"> </w:t>
      </w:r>
      <w:r>
        <w:rPr>
          <w:rFonts w:eastAsia="Roboto"/>
          <w:color w:val="202024"/>
        </w:rPr>
        <w:t>business</w:t>
      </w:r>
      <w:r>
        <w:rPr>
          <w:rFonts w:eastAsia="Roboto"/>
          <w:color w:val="202024"/>
          <w:spacing w:val="-49"/>
        </w:rPr>
        <w:t xml:space="preserve"> </w:t>
      </w:r>
      <w:r>
        <w:rPr>
          <w:rFonts w:eastAsia="Roboto"/>
          <w:color w:val="202024"/>
        </w:rPr>
        <w:t>plans</w:t>
      </w:r>
      <w:r>
        <w:rPr>
          <w:rFonts w:eastAsia="Roboto"/>
          <w:color w:val="202024"/>
          <w:spacing w:val="7"/>
        </w:rPr>
        <w:t xml:space="preserve"> </w:t>
      </w:r>
      <w:r>
        <w:rPr>
          <w:rFonts w:eastAsia="Roboto"/>
          <w:color w:val="202024"/>
        </w:rPr>
        <w:t>that</w:t>
      </w:r>
      <w:r>
        <w:rPr>
          <w:rFonts w:eastAsia="Roboto"/>
          <w:color w:val="202024"/>
          <w:spacing w:val="8"/>
        </w:rPr>
        <w:t xml:space="preserve"> </w:t>
      </w:r>
      <w:r>
        <w:rPr>
          <w:rFonts w:eastAsia="Roboto"/>
          <w:color w:val="202024"/>
        </w:rPr>
        <w:t>take</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relevant</w:t>
      </w:r>
      <w:r>
        <w:rPr>
          <w:rFonts w:eastAsia="Roboto"/>
          <w:color w:val="202024"/>
          <w:spacing w:val="8"/>
        </w:rPr>
        <w:t xml:space="preserve"> </w:t>
      </w:r>
      <w:r>
        <w:rPr>
          <w:rFonts w:eastAsia="Roboto"/>
          <w:color w:val="202024"/>
        </w:rPr>
        <w:t>tax</w:t>
      </w:r>
      <w:r>
        <w:rPr>
          <w:rFonts w:eastAsia="Roboto"/>
          <w:color w:val="202024"/>
          <w:spacing w:val="8"/>
        </w:rPr>
        <w:t xml:space="preserve"> </w:t>
      </w:r>
      <w:r>
        <w:rPr>
          <w:rFonts w:eastAsia="Roboto"/>
          <w:color w:val="202024"/>
        </w:rPr>
        <w:t>policies/tax</w:t>
      </w:r>
      <w:r>
        <w:rPr>
          <w:rFonts w:eastAsia="Roboto"/>
          <w:color w:val="202024"/>
          <w:spacing w:val="8"/>
        </w:rPr>
        <w:t xml:space="preserve"> </w:t>
      </w:r>
      <w:r>
        <w:rPr>
          <w:rFonts w:eastAsia="Roboto"/>
          <w:color w:val="202024"/>
        </w:rPr>
        <w:t>laws,</w:t>
      </w:r>
      <w:r>
        <w:rPr>
          <w:rFonts w:eastAsia="Roboto"/>
          <w:color w:val="202024"/>
          <w:spacing w:val="7"/>
        </w:rPr>
        <w:t xml:space="preserve"> </w:t>
      </w:r>
      <w:r>
        <w:rPr>
          <w:rFonts w:eastAsia="Roboto"/>
          <w:color w:val="202024"/>
        </w:rPr>
        <w:t>into</w:t>
      </w:r>
      <w:r>
        <w:rPr>
          <w:rFonts w:eastAsia="Roboto"/>
          <w:color w:val="202024"/>
          <w:spacing w:val="8"/>
        </w:rPr>
        <w:t xml:space="preserve"> </w:t>
      </w:r>
      <w:r>
        <w:rPr>
          <w:rFonts w:eastAsia="Roboto"/>
          <w:color w:val="202024"/>
        </w:rPr>
        <w:t>due</w:t>
      </w:r>
      <w:r>
        <w:rPr>
          <w:rFonts w:eastAsia="Roboto"/>
          <w:color w:val="202024"/>
          <w:spacing w:val="8"/>
        </w:rPr>
        <w:t xml:space="preserve"> </w:t>
      </w:r>
      <w:r>
        <w:rPr>
          <w:rFonts w:eastAsia="Roboto"/>
          <w:color w:val="202024"/>
        </w:rPr>
        <w:t>consideration.</w:t>
      </w:r>
      <w:r>
        <w:rPr>
          <w:rFonts w:eastAsia="Roboto"/>
          <w:color w:val="202024"/>
          <w:spacing w:val="4"/>
        </w:rPr>
        <w:t xml:space="preserve"> </w:t>
      </w:r>
      <w:r>
        <w:rPr>
          <w:rFonts w:eastAsia="Roboto"/>
          <w:color w:val="202024"/>
        </w:rPr>
        <w:t>Tax</w:t>
      </w:r>
      <w:r>
        <w:rPr>
          <w:rFonts w:eastAsia="Roboto"/>
          <w:color w:val="202024"/>
          <w:spacing w:val="8"/>
        </w:rPr>
        <w:t xml:space="preserve"> </w:t>
      </w:r>
      <w:r>
        <w:rPr>
          <w:rFonts w:eastAsia="Roboto"/>
          <w:color w:val="202024"/>
        </w:rPr>
        <w:t>policy/tax</w:t>
      </w:r>
      <w:r>
        <w:rPr>
          <w:rFonts w:eastAsia="Roboto"/>
          <w:color w:val="202024"/>
          <w:spacing w:val="8"/>
        </w:rPr>
        <w:t xml:space="preserve"> </w:t>
      </w:r>
      <w:r>
        <w:rPr>
          <w:rFonts w:eastAsia="Roboto"/>
          <w:color w:val="202024"/>
        </w:rPr>
        <w:t>law</w:t>
      </w:r>
      <w:r>
        <w:rPr>
          <w:rFonts w:eastAsia="Roboto"/>
          <w:color w:val="202024"/>
          <w:spacing w:val="1"/>
        </w:rPr>
        <w:t xml:space="preserve"> </w:t>
      </w:r>
      <w:r>
        <w:rPr>
          <w:rFonts w:eastAsia="Roboto"/>
          <w:color w:val="202024"/>
        </w:rPr>
        <w:t>review</w:t>
      </w:r>
      <w:r>
        <w:rPr>
          <w:rFonts w:eastAsia="Roboto"/>
          <w:color w:val="202024"/>
          <w:spacing w:val="8"/>
        </w:rPr>
        <w:t xml:space="preserve"> </w:t>
      </w:r>
      <w:r>
        <w:rPr>
          <w:rFonts w:eastAsia="Roboto"/>
          <w:color w:val="202024"/>
        </w:rPr>
        <w:t>should</w:t>
      </w:r>
      <w:r>
        <w:rPr>
          <w:rFonts w:eastAsia="Roboto"/>
          <w:color w:val="202024"/>
          <w:spacing w:val="8"/>
        </w:rPr>
        <w:t xml:space="preserve"> </w:t>
      </w:r>
      <w:r>
        <w:rPr>
          <w:rFonts w:eastAsia="Roboto"/>
          <w:color w:val="202024"/>
        </w:rPr>
        <w:t>be</w:t>
      </w:r>
      <w:r>
        <w:rPr>
          <w:rFonts w:eastAsia="Roboto"/>
          <w:color w:val="202024"/>
          <w:spacing w:val="9"/>
        </w:rPr>
        <w:t xml:space="preserve"> </w:t>
      </w:r>
      <w:r>
        <w:rPr>
          <w:rFonts w:eastAsia="Roboto"/>
          <w:color w:val="202024"/>
        </w:rPr>
        <w:t>undertaken,</w:t>
      </w:r>
      <w:r>
        <w:rPr>
          <w:rFonts w:eastAsia="Roboto"/>
          <w:color w:val="202024"/>
          <w:spacing w:val="8"/>
        </w:rPr>
        <w:t xml:space="preserve"> </w:t>
      </w:r>
      <w:r>
        <w:rPr>
          <w:rFonts w:eastAsia="Roboto"/>
          <w:color w:val="202024"/>
        </w:rPr>
        <w:t>judiciously,</w:t>
      </w:r>
      <w:r>
        <w:rPr>
          <w:rFonts w:eastAsia="Roboto"/>
          <w:color w:val="202024"/>
          <w:spacing w:val="9"/>
        </w:rPr>
        <w:t xml:space="preserve"> </w:t>
      </w:r>
      <w:r>
        <w:rPr>
          <w:rFonts w:eastAsia="Roboto"/>
          <w:color w:val="202024"/>
        </w:rPr>
        <w:t>either</w:t>
      </w:r>
      <w:r>
        <w:rPr>
          <w:rFonts w:eastAsia="Roboto"/>
          <w:color w:val="202024"/>
          <w:spacing w:val="8"/>
        </w:rPr>
        <w:t xml:space="preserve"> </w:t>
      </w:r>
      <w:r>
        <w:rPr>
          <w:rFonts w:eastAsia="Roboto"/>
          <w:color w:val="202024"/>
        </w:rPr>
        <w:t>to</w:t>
      </w:r>
      <w:r>
        <w:rPr>
          <w:rFonts w:eastAsia="Roboto"/>
          <w:color w:val="202024"/>
          <w:spacing w:val="9"/>
        </w:rPr>
        <w:t xml:space="preserve"> </w:t>
      </w:r>
      <w:r>
        <w:rPr>
          <w:rFonts w:eastAsia="Roboto"/>
          <w:color w:val="202024"/>
        </w:rPr>
        <w:t>pre-empt,</w:t>
      </w:r>
      <w:r>
        <w:rPr>
          <w:rFonts w:eastAsia="Roboto"/>
          <w:color w:val="202024"/>
          <w:spacing w:val="8"/>
        </w:rPr>
        <w:t xml:space="preserve"> </w:t>
      </w:r>
      <w:r>
        <w:rPr>
          <w:rFonts w:eastAsia="Roboto"/>
          <w:color w:val="202024"/>
        </w:rPr>
        <w:t>or</w:t>
      </w:r>
      <w:r>
        <w:rPr>
          <w:rFonts w:eastAsia="Roboto"/>
          <w:color w:val="202024"/>
          <w:spacing w:val="8"/>
        </w:rPr>
        <w:t xml:space="preserve"> </w:t>
      </w:r>
      <w:r>
        <w:rPr>
          <w:rFonts w:eastAsia="Roboto"/>
          <w:color w:val="202024"/>
        </w:rPr>
        <w:t>address</w:t>
      </w:r>
      <w:r>
        <w:rPr>
          <w:rFonts w:eastAsia="Roboto"/>
          <w:color w:val="202024"/>
          <w:spacing w:val="9"/>
        </w:rPr>
        <w:t xml:space="preserve"> </w:t>
      </w:r>
      <w:r>
        <w:rPr>
          <w:rFonts w:eastAsia="Roboto"/>
          <w:color w:val="202024"/>
        </w:rPr>
        <w:t>hitherto,</w:t>
      </w:r>
      <w:r>
        <w:rPr>
          <w:rFonts w:eastAsia="Roboto"/>
          <w:color w:val="202024"/>
          <w:spacing w:val="8"/>
        </w:rPr>
        <w:t xml:space="preserve"> </w:t>
      </w:r>
      <w:r>
        <w:rPr>
          <w:rFonts w:eastAsia="Roboto"/>
          <w:color w:val="202024"/>
        </w:rPr>
        <w:t>unanticipated</w:t>
      </w:r>
      <w:r>
        <w:rPr>
          <w:rFonts w:eastAsia="Roboto"/>
          <w:color w:val="202024"/>
          <w:spacing w:val="1"/>
        </w:rPr>
        <w:t xml:space="preserve"> </w:t>
      </w:r>
      <w:r>
        <w:rPr>
          <w:rFonts w:eastAsia="Roboto"/>
          <w:color w:val="202024"/>
        </w:rPr>
        <w:t>situations</w:t>
      </w:r>
      <w:r>
        <w:rPr>
          <w:rFonts w:eastAsia="Roboto"/>
          <w:color w:val="202024"/>
          <w:spacing w:val="6"/>
        </w:rPr>
        <w:t xml:space="preserve"> </w:t>
      </w:r>
      <w:r>
        <w:rPr>
          <w:rFonts w:eastAsia="Roboto"/>
          <w:color w:val="202024"/>
        </w:rPr>
        <w:t>and</w:t>
      </w:r>
      <w:r>
        <w:rPr>
          <w:rFonts w:eastAsia="Roboto"/>
          <w:color w:val="202024"/>
          <w:spacing w:val="7"/>
        </w:rPr>
        <w:t xml:space="preserve"> </w:t>
      </w:r>
      <w:r>
        <w:rPr>
          <w:rFonts w:eastAsia="Roboto"/>
          <w:color w:val="202024"/>
        </w:rPr>
        <w:t>developments.</w:t>
      </w:r>
      <w:r>
        <w:rPr>
          <w:rFonts w:eastAsia="Roboto"/>
          <w:color w:val="202024"/>
          <w:spacing w:val="6"/>
        </w:rPr>
        <w:t xml:space="preserve"> </w:t>
      </w:r>
      <w:r>
        <w:rPr>
          <w:rFonts w:eastAsia="Roboto"/>
          <w:color w:val="202024"/>
        </w:rPr>
        <w:t>2.</w:t>
      </w:r>
      <w:r>
        <w:rPr>
          <w:rFonts w:eastAsia="Roboto"/>
          <w:color w:val="202024"/>
          <w:spacing w:val="7"/>
        </w:rPr>
        <w:t xml:space="preserve"> </w:t>
      </w:r>
      <w:r>
        <w:rPr>
          <w:rFonts w:eastAsia="Roboto"/>
          <w:color w:val="202024"/>
        </w:rPr>
        <w:t>Regrettably,</w:t>
      </w:r>
      <w:r>
        <w:rPr>
          <w:rFonts w:eastAsia="Roboto"/>
          <w:color w:val="202024"/>
          <w:spacing w:val="7"/>
        </w:rPr>
        <w:t xml:space="preserve"> </w:t>
      </w:r>
      <w:r>
        <w:rPr>
          <w:rFonts w:eastAsia="Roboto"/>
          <w:color w:val="202024"/>
        </w:rPr>
        <w:t>I</w:t>
      </w:r>
      <w:r>
        <w:rPr>
          <w:rFonts w:eastAsia="Roboto"/>
          <w:color w:val="202024"/>
          <w:spacing w:val="6"/>
        </w:rPr>
        <w:t xml:space="preserve"> </w:t>
      </w:r>
      <w:r>
        <w:rPr>
          <w:rFonts w:eastAsia="Roboto"/>
          <w:color w:val="202024"/>
        </w:rPr>
        <w:t>am</w:t>
      </w:r>
      <w:r>
        <w:rPr>
          <w:rFonts w:eastAsia="Roboto"/>
          <w:color w:val="202024"/>
          <w:spacing w:val="7"/>
        </w:rPr>
        <w:t xml:space="preserve"> </w:t>
      </w:r>
      <w:r>
        <w:rPr>
          <w:rFonts w:eastAsia="Roboto"/>
          <w:color w:val="202024"/>
        </w:rPr>
        <w:t>not</w:t>
      </w:r>
      <w:r>
        <w:rPr>
          <w:rFonts w:eastAsia="Roboto"/>
          <w:color w:val="202024"/>
          <w:spacing w:val="7"/>
        </w:rPr>
        <w:t xml:space="preserve"> </w:t>
      </w:r>
      <w:r>
        <w:rPr>
          <w:rFonts w:eastAsia="Roboto"/>
          <w:color w:val="202024"/>
        </w:rPr>
        <w:t>able</w:t>
      </w:r>
      <w:r>
        <w:rPr>
          <w:rFonts w:eastAsia="Roboto"/>
          <w:color w:val="202024"/>
          <w:spacing w:val="6"/>
        </w:rPr>
        <w:t xml:space="preserve"> </w:t>
      </w:r>
      <w:r>
        <w:rPr>
          <w:rFonts w:eastAsia="Roboto"/>
          <w:color w:val="202024"/>
        </w:rPr>
        <w:t>to</w:t>
      </w:r>
      <w:r>
        <w:rPr>
          <w:rFonts w:eastAsia="Roboto"/>
          <w:color w:val="202024"/>
          <w:spacing w:val="7"/>
        </w:rPr>
        <w:t xml:space="preserve"> </w:t>
      </w:r>
      <w:r>
        <w:rPr>
          <w:rFonts w:eastAsia="Roboto"/>
          <w:color w:val="202024"/>
        </w:rPr>
        <w:t>comment</w:t>
      </w:r>
      <w:r>
        <w:rPr>
          <w:rFonts w:eastAsia="Roboto"/>
          <w:color w:val="202024"/>
          <w:spacing w:val="7"/>
        </w:rPr>
        <w:t xml:space="preserve"> </w:t>
      </w:r>
      <w:r>
        <w:rPr>
          <w:rFonts w:eastAsia="Roboto"/>
          <w:color w:val="202024"/>
        </w:rPr>
        <w:t>on</w:t>
      </w:r>
      <w:r>
        <w:rPr>
          <w:rFonts w:eastAsia="Roboto"/>
          <w:color w:val="202024"/>
          <w:spacing w:val="6"/>
        </w:rPr>
        <w:t xml:space="preserve"> </w:t>
      </w:r>
      <w:r>
        <w:rPr>
          <w:rFonts w:eastAsia="Roboto"/>
          <w:color w:val="202024"/>
        </w:rPr>
        <w:t>the</w:t>
      </w:r>
      <w:r>
        <w:rPr>
          <w:rFonts w:eastAsia="Roboto"/>
          <w:color w:val="202024"/>
          <w:spacing w:val="7"/>
        </w:rPr>
        <w:t xml:space="preserve"> </w:t>
      </w:r>
      <w:r>
        <w:rPr>
          <w:rFonts w:eastAsia="Roboto"/>
          <w:color w:val="202024"/>
        </w:rPr>
        <w:t>PIA</w:t>
      </w:r>
      <w:r>
        <w:rPr>
          <w:rFonts w:eastAsia="Roboto"/>
          <w:color w:val="202024"/>
          <w:spacing w:val="1"/>
        </w:rPr>
        <w:t xml:space="preserve"> </w:t>
      </w:r>
      <w:r>
        <w:rPr>
          <w:rFonts w:eastAsia="Roboto"/>
          <w:color w:val="202024"/>
        </w:rPr>
        <w:t>differentiations</w:t>
      </w:r>
      <w:r>
        <w:rPr>
          <w:rFonts w:eastAsia="Roboto"/>
          <w:color w:val="202024"/>
          <w:spacing w:val="11"/>
        </w:rPr>
        <w:t xml:space="preserve"> </w:t>
      </w:r>
      <w:r>
        <w:rPr>
          <w:rFonts w:eastAsia="Roboto"/>
          <w:color w:val="202024"/>
        </w:rPr>
        <w:t>for</w:t>
      </w:r>
      <w:r>
        <w:rPr>
          <w:rFonts w:eastAsia="Roboto"/>
          <w:color w:val="202024"/>
          <w:spacing w:val="12"/>
        </w:rPr>
        <w:t xml:space="preserve"> </w:t>
      </w:r>
      <w:r>
        <w:rPr>
          <w:rFonts w:eastAsia="Roboto"/>
          <w:color w:val="202024"/>
        </w:rPr>
        <w:t>On/Offshore</w:t>
      </w:r>
      <w:r>
        <w:rPr>
          <w:rFonts w:eastAsia="Roboto"/>
          <w:color w:val="202024"/>
          <w:spacing w:val="11"/>
        </w:rPr>
        <w:t xml:space="preserve"> </w:t>
      </w:r>
      <w:r>
        <w:rPr>
          <w:rFonts w:eastAsia="Roboto"/>
          <w:color w:val="202024"/>
        </w:rPr>
        <w:t>petroleum</w:t>
      </w:r>
      <w:r>
        <w:rPr>
          <w:rFonts w:eastAsia="Roboto"/>
          <w:color w:val="202024"/>
          <w:spacing w:val="12"/>
        </w:rPr>
        <w:t xml:space="preserve"> </w:t>
      </w:r>
      <w:r>
        <w:rPr>
          <w:rFonts w:eastAsia="Roboto"/>
          <w:color w:val="202024"/>
        </w:rPr>
        <w:t>operations,</w:t>
      </w:r>
      <w:r>
        <w:rPr>
          <w:rFonts w:eastAsia="Roboto"/>
          <w:color w:val="202024"/>
          <w:spacing w:val="11"/>
        </w:rPr>
        <w:t xml:space="preserve"> </w:t>
      </w:r>
      <w:r>
        <w:rPr>
          <w:rFonts w:eastAsia="Roboto"/>
          <w:color w:val="202024"/>
        </w:rPr>
        <w:t>as</w:t>
      </w:r>
      <w:r>
        <w:rPr>
          <w:rFonts w:eastAsia="Roboto"/>
          <w:color w:val="202024"/>
          <w:spacing w:val="12"/>
        </w:rPr>
        <w:t xml:space="preserve"> </w:t>
      </w:r>
      <w:r>
        <w:rPr>
          <w:rFonts w:eastAsia="Roboto"/>
          <w:color w:val="202024"/>
        </w:rPr>
        <w:t>I</w:t>
      </w:r>
      <w:r>
        <w:rPr>
          <w:rFonts w:eastAsia="Roboto"/>
          <w:color w:val="202024"/>
          <w:spacing w:val="11"/>
        </w:rPr>
        <w:t xml:space="preserve"> </w:t>
      </w:r>
      <w:r>
        <w:rPr>
          <w:rFonts w:eastAsia="Roboto"/>
          <w:color w:val="202024"/>
        </w:rPr>
        <w:t>have</w:t>
      </w:r>
      <w:r>
        <w:rPr>
          <w:rFonts w:eastAsia="Roboto"/>
          <w:color w:val="202024"/>
          <w:spacing w:val="12"/>
        </w:rPr>
        <w:t xml:space="preserve"> </w:t>
      </w:r>
      <w:r>
        <w:rPr>
          <w:rFonts w:eastAsia="Roboto"/>
          <w:color w:val="202024"/>
        </w:rPr>
        <w:t>not</w:t>
      </w:r>
      <w:r>
        <w:rPr>
          <w:rFonts w:eastAsia="Roboto"/>
          <w:color w:val="202024"/>
          <w:spacing w:val="11"/>
        </w:rPr>
        <w:t xml:space="preserve"> </w:t>
      </w:r>
      <w:r>
        <w:rPr>
          <w:rFonts w:eastAsia="Roboto"/>
          <w:color w:val="202024"/>
        </w:rPr>
        <w:t>yet</w:t>
      </w:r>
      <w:r>
        <w:rPr>
          <w:rFonts w:eastAsia="Roboto"/>
          <w:color w:val="202024"/>
          <w:spacing w:val="12"/>
        </w:rPr>
        <w:t xml:space="preserve"> </w:t>
      </w:r>
      <w:r>
        <w:rPr>
          <w:rFonts w:eastAsia="Roboto"/>
          <w:color w:val="202024"/>
        </w:rPr>
        <w:t>studied</w:t>
      </w:r>
      <w:r>
        <w:rPr>
          <w:rFonts w:eastAsia="Roboto"/>
          <w:color w:val="202024"/>
          <w:spacing w:val="11"/>
        </w:rPr>
        <w:t xml:space="preserve"> </w:t>
      </w:r>
      <w:r>
        <w:rPr>
          <w:rFonts w:eastAsia="Roboto"/>
          <w:color w:val="202024"/>
        </w:rPr>
        <w:t>these,</w:t>
      </w:r>
      <w:r>
        <w:rPr>
          <w:rFonts w:eastAsia="Roboto"/>
          <w:color w:val="202024"/>
          <w:spacing w:val="12"/>
        </w:rPr>
        <w:t xml:space="preserve"> </w:t>
      </w:r>
      <w:r>
        <w:rPr>
          <w:rFonts w:eastAsia="Roboto"/>
          <w:color w:val="202024"/>
        </w:rPr>
        <w:t>in-</w:t>
      </w:r>
      <w:r>
        <w:rPr>
          <w:rFonts w:eastAsia="Roboto"/>
          <w:color w:val="202024"/>
          <w:spacing w:val="1"/>
        </w:rPr>
        <w:t xml:space="preserve"> </w:t>
      </w:r>
      <w:r>
        <w:rPr>
          <w:rFonts w:eastAsia="Roboto"/>
          <w:color w:val="202024"/>
        </w:rPr>
        <w:t>depth.</w:t>
      </w:r>
    </w:p>
    <w:p w14:paraId="4B74885D">
      <w:pPr>
        <w:widowControl w:val="0"/>
        <w:autoSpaceDE w:val="0"/>
        <w:autoSpaceDN w:val="0"/>
        <w:jc w:val="both"/>
        <w:rPr>
          <w:rFonts w:eastAsia="Roboto"/>
        </w:rPr>
      </w:pPr>
    </w:p>
    <w:p w14:paraId="50A02676">
      <w:pPr>
        <w:widowControl w:val="0"/>
        <w:autoSpaceDE w:val="0"/>
        <w:autoSpaceDN w:val="0"/>
        <w:rPr>
          <w:rFonts w:eastAsia="Roboto"/>
        </w:rPr>
      </w:pPr>
      <w:r>
        <w:rPr>
          <w:rFonts w:eastAsia="Roboto"/>
          <w:color w:val="202024"/>
        </w:rPr>
        <w:t>No</w:t>
      </w:r>
      <w:r>
        <w:rPr>
          <w:rFonts w:eastAsia="Roboto"/>
          <w:color w:val="202024"/>
          <w:spacing w:val="14"/>
        </w:rPr>
        <w:t xml:space="preserve"> </w:t>
      </w:r>
      <w:r>
        <w:rPr>
          <w:rFonts w:eastAsia="Roboto"/>
          <w:color w:val="202024"/>
        </w:rPr>
        <w:t>comment</w:t>
      </w:r>
    </w:p>
    <w:p w14:paraId="2AF04C11">
      <w:pPr>
        <w:widowControl w:val="0"/>
        <w:autoSpaceDE w:val="0"/>
        <w:autoSpaceDN w:val="0"/>
        <w:rPr>
          <w:rFonts w:eastAsia="Roboto"/>
        </w:rPr>
      </w:pPr>
    </w:p>
    <w:p w14:paraId="5FA301CA">
      <w:pPr>
        <w:widowControl w:val="0"/>
        <w:autoSpaceDE w:val="0"/>
        <w:autoSpaceDN w:val="0"/>
        <w:spacing w:line="285" w:lineRule="auto"/>
        <w:ind w:right="337"/>
        <w:rPr>
          <w:rFonts w:eastAsia="Roboto"/>
        </w:rPr>
      </w:pPr>
      <w:r>
        <w:rPr>
          <w:rFonts w:eastAsia="Roboto"/>
          <w:color w:val="202024"/>
        </w:rPr>
        <w:t>Combination</w:t>
      </w:r>
      <w:r>
        <w:rPr>
          <w:rFonts w:eastAsia="Roboto"/>
          <w:color w:val="202024"/>
          <w:spacing w:val="12"/>
        </w:rPr>
        <w:t xml:space="preserve"> </w:t>
      </w:r>
      <w:r>
        <w:rPr>
          <w:rFonts w:eastAsia="Roboto"/>
          <w:color w:val="202024"/>
        </w:rPr>
        <w:t>of</w:t>
      </w:r>
      <w:r>
        <w:rPr>
          <w:rFonts w:eastAsia="Roboto"/>
          <w:color w:val="202024"/>
          <w:spacing w:val="13"/>
        </w:rPr>
        <w:t xml:space="preserve"> </w:t>
      </w:r>
      <w:r>
        <w:rPr>
          <w:rFonts w:eastAsia="Roboto"/>
          <w:color w:val="202024"/>
        </w:rPr>
        <w:t>fiscal</w:t>
      </w:r>
      <w:r>
        <w:rPr>
          <w:rFonts w:eastAsia="Roboto"/>
          <w:color w:val="202024"/>
          <w:spacing w:val="13"/>
        </w:rPr>
        <w:t xml:space="preserve"> </w:t>
      </w:r>
      <w:r>
        <w:rPr>
          <w:rFonts w:eastAsia="Roboto"/>
          <w:color w:val="202024"/>
        </w:rPr>
        <w:t>regimes</w:t>
      </w:r>
      <w:r>
        <w:rPr>
          <w:rFonts w:eastAsia="Roboto"/>
          <w:color w:val="202024"/>
          <w:spacing w:val="12"/>
        </w:rPr>
        <w:t xml:space="preserve"> </w:t>
      </w:r>
      <w:r>
        <w:rPr>
          <w:rFonts w:eastAsia="Roboto"/>
          <w:color w:val="202024"/>
        </w:rPr>
        <w:t>and</w:t>
      </w:r>
      <w:r>
        <w:rPr>
          <w:rFonts w:eastAsia="Roboto"/>
          <w:color w:val="202024"/>
          <w:spacing w:val="13"/>
        </w:rPr>
        <w:t xml:space="preserve"> </w:t>
      </w:r>
      <w:r>
        <w:rPr>
          <w:rFonts w:eastAsia="Roboto"/>
          <w:color w:val="202024"/>
        </w:rPr>
        <w:t>different</w:t>
      </w:r>
      <w:r>
        <w:rPr>
          <w:rFonts w:eastAsia="Roboto"/>
          <w:color w:val="202024"/>
          <w:spacing w:val="13"/>
        </w:rPr>
        <w:t xml:space="preserve"> </w:t>
      </w:r>
      <w:r>
        <w:rPr>
          <w:rFonts w:eastAsia="Roboto"/>
          <w:color w:val="202024"/>
        </w:rPr>
        <w:t>tax</w:t>
      </w:r>
      <w:r>
        <w:rPr>
          <w:rFonts w:eastAsia="Roboto"/>
          <w:color w:val="202024"/>
          <w:spacing w:val="12"/>
        </w:rPr>
        <w:t xml:space="preserve"> </w:t>
      </w:r>
      <w:r>
        <w:rPr>
          <w:rFonts w:eastAsia="Roboto"/>
          <w:color w:val="202024"/>
        </w:rPr>
        <w:t>rates</w:t>
      </w:r>
      <w:r>
        <w:rPr>
          <w:rFonts w:eastAsia="Roboto"/>
          <w:color w:val="202024"/>
          <w:spacing w:val="13"/>
        </w:rPr>
        <w:t xml:space="preserve"> </w:t>
      </w:r>
      <w:r>
        <w:rPr>
          <w:rFonts w:eastAsia="Roboto"/>
          <w:color w:val="202024"/>
        </w:rPr>
        <w:t>will</w:t>
      </w:r>
      <w:r>
        <w:rPr>
          <w:rFonts w:eastAsia="Roboto"/>
          <w:color w:val="202024"/>
          <w:spacing w:val="13"/>
        </w:rPr>
        <w:t xml:space="preserve"> </w:t>
      </w:r>
      <w:r>
        <w:rPr>
          <w:rFonts w:eastAsia="Roboto"/>
          <w:color w:val="202024"/>
        </w:rPr>
        <w:t>bring</w:t>
      </w:r>
      <w:r>
        <w:rPr>
          <w:rFonts w:eastAsia="Roboto"/>
          <w:color w:val="202024"/>
          <w:spacing w:val="13"/>
        </w:rPr>
        <w:t xml:space="preserve"> </w:t>
      </w:r>
      <w:r>
        <w:rPr>
          <w:rFonts w:eastAsia="Roboto"/>
          <w:color w:val="202024"/>
        </w:rPr>
        <w:t>about</w:t>
      </w:r>
      <w:r>
        <w:rPr>
          <w:rFonts w:eastAsia="Roboto"/>
          <w:color w:val="202024"/>
          <w:spacing w:val="12"/>
        </w:rPr>
        <w:t xml:space="preserve"> </w:t>
      </w:r>
      <w:r>
        <w:rPr>
          <w:rFonts w:eastAsia="Roboto"/>
          <w:color w:val="202024"/>
        </w:rPr>
        <w:t>ambiguity</w:t>
      </w:r>
      <w:r>
        <w:rPr>
          <w:rFonts w:eastAsia="Roboto"/>
          <w:color w:val="202024"/>
          <w:spacing w:val="13"/>
        </w:rPr>
        <w:t xml:space="preserve"> </w:t>
      </w:r>
      <w:r>
        <w:rPr>
          <w:rFonts w:eastAsia="Roboto"/>
          <w:color w:val="202024"/>
        </w:rPr>
        <w:t>especially</w:t>
      </w:r>
      <w:r>
        <w:rPr>
          <w:rFonts w:eastAsia="Roboto"/>
          <w:color w:val="202024"/>
          <w:spacing w:val="13"/>
        </w:rPr>
        <w:t xml:space="preserve"> </w:t>
      </w:r>
      <w:r>
        <w:rPr>
          <w:rFonts w:eastAsia="Roboto"/>
          <w:color w:val="202024"/>
        </w:rPr>
        <w:t>at</w:t>
      </w:r>
      <w:r>
        <w:rPr>
          <w:rFonts w:eastAsia="Roboto"/>
          <w:color w:val="202024"/>
          <w:spacing w:val="-50"/>
        </w:rPr>
        <w:t xml:space="preserve"> </w:t>
      </w:r>
      <w:r>
        <w:rPr>
          <w:rFonts w:eastAsia="Roboto"/>
          <w:color w:val="202024"/>
        </w:rPr>
        <w:t>the</w:t>
      </w:r>
      <w:r>
        <w:rPr>
          <w:rFonts w:eastAsia="Roboto"/>
          <w:color w:val="202024"/>
          <w:spacing w:val="5"/>
        </w:rPr>
        <w:t xml:space="preserve"> </w:t>
      </w:r>
      <w:r>
        <w:rPr>
          <w:rFonts w:eastAsia="Roboto"/>
          <w:color w:val="202024"/>
        </w:rPr>
        <w:t>first</w:t>
      </w:r>
      <w:r>
        <w:rPr>
          <w:rFonts w:eastAsia="Roboto"/>
          <w:color w:val="202024"/>
          <w:spacing w:val="5"/>
        </w:rPr>
        <w:t xml:space="preserve"> </w:t>
      </w:r>
      <w:r>
        <w:rPr>
          <w:rFonts w:eastAsia="Roboto"/>
          <w:color w:val="202024"/>
        </w:rPr>
        <w:t>few</w:t>
      </w:r>
      <w:r>
        <w:rPr>
          <w:rFonts w:eastAsia="Roboto"/>
          <w:color w:val="202024"/>
          <w:spacing w:val="6"/>
        </w:rPr>
        <w:t xml:space="preserve"> </w:t>
      </w:r>
      <w:r>
        <w:rPr>
          <w:rFonts w:eastAsia="Roboto"/>
          <w:color w:val="202024"/>
        </w:rPr>
        <w:t>;years</w:t>
      </w:r>
      <w:r>
        <w:rPr>
          <w:rFonts w:eastAsia="Roboto"/>
          <w:color w:val="202024"/>
          <w:spacing w:val="5"/>
        </w:rPr>
        <w:t xml:space="preserve"> </w:t>
      </w:r>
      <w:r>
        <w:rPr>
          <w:rFonts w:eastAsia="Roboto"/>
          <w:color w:val="202024"/>
        </w:rPr>
        <w:t>of</w:t>
      </w:r>
      <w:r>
        <w:rPr>
          <w:rFonts w:eastAsia="Roboto"/>
          <w:color w:val="202024"/>
          <w:spacing w:val="5"/>
        </w:rPr>
        <w:t xml:space="preserve"> </w:t>
      </w:r>
      <w:r>
        <w:rPr>
          <w:rFonts w:eastAsia="Roboto"/>
          <w:color w:val="202024"/>
        </w:rPr>
        <w:t>PAI</w:t>
      </w:r>
      <w:r>
        <w:rPr>
          <w:rFonts w:eastAsia="Roboto"/>
          <w:color w:val="202024"/>
          <w:spacing w:val="6"/>
        </w:rPr>
        <w:t xml:space="preserve"> </w:t>
      </w:r>
      <w:r>
        <w:rPr>
          <w:rFonts w:eastAsia="Roboto"/>
          <w:color w:val="202024"/>
        </w:rPr>
        <w:t>implementation</w:t>
      </w:r>
    </w:p>
    <w:p w14:paraId="0B888584">
      <w:pPr>
        <w:widowControl w:val="0"/>
        <w:autoSpaceDE w:val="0"/>
        <w:autoSpaceDN w:val="0"/>
        <w:rPr>
          <w:rFonts w:eastAsia="Roboto"/>
        </w:rPr>
      </w:pPr>
    </w:p>
    <w:p w14:paraId="0F76D859">
      <w:pPr>
        <w:widowControl w:val="0"/>
        <w:autoSpaceDE w:val="0"/>
        <w:autoSpaceDN w:val="0"/>
        <w:spacing w:line="285" w:lineRule="auto"/>
        <w:ind w:right="272"/>
        <w:rPr>
          <w:rFonts w:eastAsia="Roboto"/>
        </w:rPr>
      </w:pPr>
      <w:r>
        <w:rPr>
          <w:rFonts w:eastAsia="Roboto"/>
          <w:color w:val="202024"/>
        </w:rPr>
        <w:t>I</w:t>
      </w:r>
      <w:r>
        <w:rPr>
          <w:rFonts w:eastAsia="Roboto"/>
          <w:color w:val="202024"/>
          <w:spacing w:val="8"/>
        </w:rPr>
        <w:t xml:space="preserve"> </w:t>
      </w:r>
      <w:r>
        <w:rPr>
          <w:rFonts w:eastAsia="Roboto"/>
          <w:color w:val="202024"/>
        </w:rPr>
        <w:t>sincerely</w:t>
      </w:r>
      <w:r>
        <w:rPr>
          <w:rFonts w:eastAsia="Roboto"/>
          <w:color w:val="202024"/>
          <w:spacing w:val="9"/>
        </w:rPr>
        <w:t xml:space="preserve"> </w:t>
      </w:r>
      <w:r>
        <w:rPr>
          <w:rFonts w:eastAsia="Roboto"/>
          <w:color w:val="202024"/>
        </w:rPr>
        <w:t>believe</w:t>
      </w:r>
      <w:r>
        <w:rPr>
          <w:rFonts w:eastAsia="Roboto"/>
          <w:color w:val="202024"/>
          <w:spacing w:val="9"/>
        </w:rPr>
        <w:t xml:space="preserve"> </w:t>
      </w:r>
      <w:r>
        <w:rPr>
          <w:rFonts w:eastAsia="Roboto"/>
          <w:color w:val="202024"/>
        </w:rPr>
        <w:t>that</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inclusion</w:t>
      </w:r>
      <w:r>
        <w:rPr>
          <w:rFonts w:eastAsia="Roboto"/>
          <w:color w:val="202024"/>
          <w:spacing w:val="9"/>
        </w:rPr>
        <w:t xml:space="preserve"> </w:t>
      </w:r>
      <w:r>
        <w:rPr>
          <w:rFonts w:eastAsia="Roboto"/>
          <w:color w:val="202024"/>
        </w:rPr>
        <w:t>of</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dual</w:t>
      </w:r>
      <w:r>
        <w:rPr>
          <w:rFonts w:eastAsia="Roboto"/>
          <w:color w:val="202024"/>
          <w:spacing w:val="9"/>
        </w:rPr>
        <w:t xml:space="preserve"> </w:t>
      </w:r>
      <w:r>
        <w:rPr>
          <w:rFonts w:eastAsia="Roboto"/>
          <w:color w:val="202024"/>
        </w:rPr>
        <w:t>fiscal</w:t>
      </w:r>
      <w:r>
        <w:rPr>
          <w:rFonts w:eastAsia="Roboto"/>
          <w:color w:val="202024"/>
          <w:spacing w:val="9"/>
        </w:rPr>
        <w:t xml:space="preserve"> </w:t>
      </w:r>
      <w:r>
        <w:rPr>
          <w:rFonts w:eastAsia="Roboto"/>
          <w:color w:val="202024"/>
        </w:rPr>
        <w:t>regime</w:t>
      </w:r>
      <w:r>
        <w:rPr>
          <w:rFonts w:eastAsia="Roboto"/>
          <w:color w:val="202024"/>
          <w:spacing w:val="9"/>
        </w:rPr>
        <w:t xml:space="preserve"> </w:t>
      </w:r>
      <w:r>
        <w:rPr>
          <w:rFonts w:eastAsia="Roboto"/>
          <w:color w:val="202024"/>
        </w:rPr>
        <w:t>in</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Petroleum</w:t>
      </w:r>
      <w:r>
        <w:rPr>
          <w:rFonts w:eastAsia="Roboto"/>
          <w:color w:val="202024"/>
          <w:spacing w:val="9"/>
        </w:rPr>
        <w:t xml:space="preserve"> </w:t>
      </w:r>
      <w:r>
        <w:rPr>
          <w:rFonts w:eastAsia="Roboto"/>
          <w:color w:val="202024"/>
        </w:rPr>
        <w:t>Industry</w:t>
      </w:r>
      <w:r>
        <w:rPr>
          <w:rFonts w:eastAsia="Roboto"/>
          <w:color w:val="202024"/>
          <w:spacing w:val="9"/>
        </w:rPr>
        <w:t xml:space="preserve"> </w:t>
      </w:r>
      <w:r>
        <w:rPr>
          <w:rFonts w:eastAsia="Roboto"/>
          <w:color w:val="202024"/>
        </w:rPr>
        <w:t>Act</w:t>
      </w:r>
      <w:r>
        <w:rPr>
          <w:rFonts w:eastAsia="Roboto"/>
          <w:color w:val="202024"/>
          <w:spacing w:val="9"/>
        </w:rPr>
        <w:t xml:space="preserve"> </w:t>
      </w:r>
      <w:r>
        <w:rPr>
          <w:rFonts w:eastAsia="Roboto"/>
          <w:color w:val="202024"/>
        </w:rPr>
        <w:t>is</w:t>
      </w:r>
      <w:r>
        <w:rPr>
          <w:rFonts w:eastAsia="Roboto"/>
          <w:color w:val="202024"/>
          <w:spacing w:val="1"/>
        </w:rPr>
        <w:t xml:space="preserve"> </w:t>
      </w:r>
      <w:r>
        <w:rPr>
          <w:rFonts w:eastAsia="Roboto"/>
          <w:color w:val="202024"/>
        </w:rPr>
        <w:t>an</w:t>
      </w:r>
      <w:r>
        <w:rPr>
          <w:rFonts w:eastAsia="Roboto"/>
          <w:color w:val="202024"/>
          <w:spacing w:val="8"/>
        </w:rPr>
        <w:t xml:space="preserve"> </w:t>
      </w:r>
      <w:r>
        <w:rPr>
          <w:rFonts w:eastAsia="Roboto"/>
          <w:color w:val="202024"/>
        </w:rPr>
        <w:t>elixir</w:t>
      </w:r>
      <w:r>
        <w:rPr>
          <w:rFonts w:eastAsia="Roboto"/>
          <w:color w:val="202024"/>
          <w:spacing w:val="8"/>
        </w:rPr>
        <w:t xml:space="preserve"> </w:t>
      </w:r>
      <w:r>
        <w:rPr>
          <w:rFonts w:eastAsia="Roboto"/>
          <w:color w:val="202024"/>
        </w:rPr>
        <w:t>for</w:t>
      </w:r>
      <w:r>
        <w:rPr>
          <w:rFonts w:eastAsia="Roboto"/>
          <w:color w:val="202024"/>
          <w:spacing w:val="9"/>
        </w:rPr>
        <w:t xml:space="preserve"> </w:t>
      </w:r>
      <w:r>
        <w:rPr>
          <w:rFonts w:eastAsia="Roboto"/>
          <w:color w:val="202024"/>
        </w:rPr>
        <w:t>the</w:t>
      </w:r>
      <w:r>
        <w:rPr>
          <w:rFonts w:eastAsia="Roboto"/>
          <w:color w:val="202024"/>
          <w:spacing w:val="8"/>
        </w:rPr>
        <w:t xml:space="preserve"> </w:t>
      </w:r>
      <w:r>
        <w:rPr>
          <w:rFonts w:eastAsia="Roboto"/>
          <w:color w:val="202024"/>
        </w:rPr>
        <w:t>industry.</w:t>
      </w:r>
      <w:r>
        <w:rPr>
          <w:rFonts w:eastAsia="Roboto"/>
          <w:color w:val="202024"/>
          <w:spacing w:val="9"/>
        </w:rPr>
        <w:t xml:space="preserve"> </w:t>
      </w:r>
      <w:r>
        <w:rPr>
          <w:rFonts w:eastAsia="Roboto"/>
          <w:color w:val="202024"/>
        </w:rPr>
        <w:t>I</w:t>
      </w:r>
      <w:r>
        <w:rPr>
          <w:rFonts w:eastAsia="Roboto"/>
          <w:color w:val="202024"/>
          <w:spacing w:val="8"/>
        </w:rPr>
        <w:t xml:space="preserve"> </w:t>
      </w:r>
      <w:r>
        <w:rPr>
          <w:rFonts w:eastAsia="Roboto"/>
          <w:color w:val="202024"/>
        </w:rPr>
        <w:t>found</w:t>
      </w:r>
      <w:r>
        <w:rPr>
          <w:rFonts w:eastAsia="Roboto"/>
          <w:color w:val="202024"/>
          <w:spacing w:val="9"/>
        </w:rPr>
        <w:t xml:space="preserve"> </w:t>
      </w:r>
      <w:r>
        <w:rPr>
          <w:rFonts w:eastAsia="Roboto"/>
          <w:color w:val="202024"/>
        </w:rPr>
        <w:t>it</w:t>
      </w:r>
      <w:r>
        <w:rPr>
          <w:rFonts w:eastAsia="Roboto"/>
          <w:color w:val="202024"/>
          <w:spacing w:val="8"/>
        </w:rPr>
        <w:t xml:space="preserve"> </w:t>
      </w:r>
      <w:r>
        <w:rPr>
          <w:rFonts w:eastAsia="Roboto"/>
          <w:color w:val="202024"/>
        </w:rPr>
        <w:t>inequitable</w:t>
      </w:r>
      <w:r>
        <w:rPr>
          <w:rFonts w:eastAsia="Roboto"/>
          <w:color w:val="202024"/>
          <w:spacing w:val="9"/>
        </w:rPr>
        <w:t xml:space="preserve"> </w:t>
      </w:r>
      <w:r>
        <w:rPr>
          <w:rFonts w:eastAsia="Roboto"/>
          <w:color w:val="202024"/>
        </w:rPr>
        <w:t>to</w:t>
      </w:r>
      <w:r>
        <w:rPr>
          <w:rFonts w:eastAsia="Roboto"/>
          <w:color w:val="202024"/>
          <w:spacing w:val="8"/>
        </w:rPr>
        <w:t xml:space="preserve"> </w:t>
      </w:r>
      <w:r>
        <w:rPr>
          <w:rFonts w:eastAsia="Roboto"/>
          <w:color w:val="202024"/>
        </w:rPr>
        <w:t>subject</w:t>
      </w:r>
      <w:r>
        <w:rPr>
          <w:rFonts w:eastAsia="Roboto"/>
          <w:color w:val="202024"/>
          <w:spacing w:val="9"/>
        </w:rPr>
        <w:t xml:space="preserve"> </w:t>
      </w:r>
      <w:r>
        <w:rPr>
          <w:rFonts w:eastAsia="Roboto"/>
          <w:color w:val="202024"/>
        </w:rPr>
        <w:t>small</w:t>
      </w:r>
      <w:r>
        <w:rPr>
          <w:rFonts w:eastAsia="Roboto"/>
          <w:color w:val="202024"/>
          <w:spacing w:val="8"/>
        </w:rPr>
        <w:t xml:space="preserve"> </w:t>
      </w:r>
      <w:r>
        <w:rPr>
          <w:rFonts w:eastAsia="Roboto"/>
          <w:color w:val="202024"/>
        </w:rPr>
        <w:t>producers</w:t>
      </w:r>
      <w:r>
        <w:rPr>
          <w:rFonts w:eastAsia="Roboto"/>
          <w:color w:val="202024"/>
          <w:spacing w:val="9"/>
        </w:rPr>
        <w:t xml:space="preserve"> </w:t>
      </w:r>
      <w:r>
        <w:rPr>
          <w:rFonts w:eastAsia="Roboto"/>
          <w:color w:val="202024"/>
        </w:rPr>
        <w:t>which</w:t>
      </w:r>
      <w:r>
        <w:rPr>
          <w:rFonts w:eastAsia="Roboto"/>
          <w:color w:val="202024"/>
          <w:spacing w:val="8"/>
        </w:rPr>
        <w:t xml:space="preserve"> </w:t>
      </w:r>
      <w:r>
        <w:rPr>
          <w:rFonts w:eastAsia="Roboto"/>
          <w:color w:val="202024"/>
        </w:rPr>
        <w:t>are</w:t>
      </w:r>
      <w:r>
        <w:rPr>
          <w:rFonts w:eastAsia="Roboto"/>
          <w:color w:val="202024"/>
          <w:spacing w:val="9"/>
        </w:rPr>
        <w:t xml:space="preserve"> </w:t>
      </w:r>
      <w:r>
        <w:rPr>
          <w:rFonts w:eastAsia="Roboto"/>
          <w:color w:val="202024"/>
        </w:rPr>
        <w:t>struggling</w:t>
      </w:r>
      <w:r>
        <w:rPr>
          <w:rFonts w:eastAsia="Roboto"/>
          <w:color w:val="202024"/>
          <w:spacing w:val="-49"/>
        </w:rPr>
        <w:t xml:space="preserve"> </w:t>
      </w:r>
      <w:r>
        <w:rPr>
          <w:rFonts w:eastAsia="Roboto"/>
          <w:color w:val="202024"/>
        </w:rPr>
        <w:t>to</w:t>
      </w:r>
      <w:r>
        <w:rPr>
          <w:rFonts w:eastAsia="Roboto"/>
          <w:color w:val="202024"/>
          <w:spacing w:val="6"/>
        </w:rPr>
        <w:t xml:space="preserve"> </w:t>
      </w:r>
      <w:r>
        <w:rPr>
          <w:rFonts w:eastAsia="Roboto"/>
          <w:color w:val="202024"/>
        </w:rPr>
        <w:t>surmount</w:t>
      </w:r>
      <w:r>
        <w:rPr>
          <w:rFonts w:eastAsia="Roboto"/>
          <w:color w:val="202024"/>
          <w:spacing w:val="7"/>
        </w:rPr>
        <w:t xml:space="preserve"> </w:t>
      </w:r>
      <w:r>
        <w:rPr>
          <w:rFonts w:eastAsia="Roboto"/>
          <w:color w:val="202024"/>
        </w:rPr>
        <w:t>many</w:t>
      </w:r>
      <w:r>
        <w:rPr>
          <w:rFonts w:eastAsia="Roboto"/>
          <w:color w:val="202024"/>
          <w:spacing w:val="7"/>
        </w:rPr>
        <w:t xml:space="preserve"> </w:t>
      </w:r>
      <w:r>
        <w:rPr>
          <w:rFonts w:eastAsia="Roboto"/>
          <w:color w:val="202024"/>
        </w:rPr>
        <w:t>challenges</w:t>
      </w:r>
      <w:r>
        <w:rPr>
          <w:rFonts w:eastAsia="Roboto"/>
          <w:color w:val="202024"/>
          <w:spacing w:val="7"/>
        </w:rPr>
        <w:t xml:space="preserve"> </w:t>
      </w:r>
      <w:r>
        <w:rPr>
          <w:rFonts w:eastAsia="Roboto"/>
          <w:color w:val="202024"/>
        </w:rPr>
        <w:t>to</w:t>
      </w:r>
      <w:r>
        <w:rPr>
          <w:rFonts w:eastAsia="Roboto"/>
          <w:color w:val="202024"/>
          <w:spacing w:val="7"/>
        </w:rPr>
        <w:t xml:space="preserve"> </w:t>
      </w:r>
      <w:r>
        <w:rPr>
          <w:rFonts w:eastAsia="Roboto"/>
          <w:color w:val="202024"/>
        </w:rPr>
        <w:t>be</w:t>
      </w:r>
      <w:r>
        <w:rPr>
          <w:rFonts w:eastAsia="Roboto"/>
          <w:color w:val="202024"/>
          <w:spacing w:val="7"/>
        </w:rPr>
        <w:t xml:space="preserve"> </w:t>
      </w:r>
      <w:r>
        <w:rPr>
          <w:rFonts w:eastAsia="Roboto"/>
          <w:color w:val="202024"/>
        </w:rPr>
        <w:t>subjected</w:t>
      </w:r>
      <w:r>
        <w:rPr>
          <w:rFonts w:eastAsia="Roboto"/>
          <w:color w:val="202024"/>
          <w:spacing w:val="7"/>
        </w:rPr>
        <w:t xml:space="preserve"> </w:t>
      </w:r>
      <w:r>
        <w:rPr>
          <w:rFonts w:eastAsia="Roboto"/>
          <w:color w:val="202024"/>
        </w:rPr>
        <w:t>to</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fiscal</w:t>
      </w:r>
      <w:r>
        <w:rPr>
          <w:rFonts w:eastAsia="Roboto"/>
          <w:color w:val="202024"/>
          <w:spacing w:val="7"/>
        </w:rPr>
        <w:t xml:space="preserve"> </w:t>
      </w:r>
      <w:r>
        <w:rPr>
          <w:rFonts w:eastAsia="Roboto"/>
          <w:color w:val="202024"/>
        </w:rPr>
        <w:t>regime</w:t>
      </w:r>
      <w:r>
        <w:rPr>
          <w:rFonts w:eastAsia="Roboto"/>
          <w:color w:val="202024"/>
          <w:spacing w:val="7"/>
        </w:rPr>
        <w:t xml:space="preserve"> </w:t>
      </w:r>
      <w:r>
        <w:rPr>
          <w:rFonts w:eastAsia="Roboto"/>
          <w:color w:val="202024"/>
        </w:rPr>
        <w:t>as</w:t>
      </w:r>
      <w:r>
        <w:rPr>
          <w:rFonts w:eastAsia="Roboto"/>
          <w:color w:val="202024"/>
          <w:spacing w:val="7"/>
        </w:rPr>
        <w:t xml:space="preserve"> </w:t>
      </w:r>
      <w:r>
        <w:rPr>
          <w:rFonts w:eastAsia="Roboto"/>
          <w:color w:val="202024"/>
        </w:rPr>
        <w:t>the</w:t>
      </w:r>
      <w:r>
        <w:rPr>
          <w:rFonts w:eastAsia="Roboto"/>
          <w:color w:val="202024"/>
          <w:spacing w:val="7"/>
        </w:rPr>
        <w:t xml:space="preserve"> </w:t>
      </w:r>
      <w:r>
        <w:rPr>
          <w:rFonts w:eastAsia="Roboto"/>
          <w:color w:val="202024"/>
        </w:rPr>
        <w:t>big</w:t>
      </w:r>
      <w:r>
        <w:rPr>
          <w:rFonts w:eastAsia="Roboto"/>
          <w:color w:val="202024"/>
          <w:spacing w:val="7"/>
        </w:rPr>
        <w:t xml:space="preserve"> </w:t>
      </w:r>
      <w:r>
        <w:rPr>
          <w:rFonts w:eastAsia="Roboto"/>
          <w:color w:val="202024"/>
        </w:rPr>
        <w:t>and</w:t>
      </w:r>
      <w:r>
        <w:rPr>
          <w:rFonts w:eastAsia="Roboto"/>
          <w:color w:val="202024"/>
          <w:spacing w:val="7"/>
        </w:rPr>
        <w:t xml:space="preserve"> </w:t>
      </w:r>
      <w:r>
        <w:rPr>
          <w:rFonts w:eastAsia="Roboto"/>
          <w:color w:val="202024"/>
        </w:rPr>
        <w:t>long</w:t>
      </w:r>
      <w:r>
        <w:rPr>
          <w:rFonts w:eastAsia="Roboto"/>
          <w:color w:val="202024"/>
          <w:spacing w:val="1"/>
        </w:rPr>
        <w:t>-</w:t>
      </w:r>
      <w:r>
        <w:rPr>
          <w:color w:val="202024"/>
          <w:spacing w:val="1"/>
        </w:rPr>
        <w:t>established</w:t>
      </w:r>
      <w:r>
        <w:rPr>
          <w:rFonts w:eastAsia="Roboto"/>
          <w:color w:val="202024"/>
          <w:spacing w:val="5"/>
        </w:rPr>
        <w:t xml:space="preserve"> </w:t>
      </w:r>
      <w:r>
        <w:rPr>
          <w:rFonts w:eastAsia="Roboto"/>
          <w:color w:val="202024"/>
        </w:rPr>
        <w:t>producers.</w:t>
      </w:r>
    </w:p>
    <w:p w14:paraId="5D567512">
      <w:pPr>
        <w:widowControl w:val="0"/>
        <w:autoSpaceDE w:val="0"/>
        <w:autoSpaceDN w:val="0"/>
        <w:rPr>
          <w:rFonts w:eastAsia="Roboto"/>
        </w:rPr>
      </w:pPr>
    </w:p>
    <w:p w14:paraId="58D609DB">
      <w:pPr>
        <w:widowControl w:val="0"/>
        <w:autoSpaceDE w:val="0"/>
        <w:autoSpaceDN w:val="0"/>
        <w:spacing w:before="1"/>
        <w:rPr>
          <w:rFonts w:eastAsia="Roboto"/>
        </w:rPr>
      </w:pPr>
      <w:r>
        <w:rPr>
          <w:rFonts w:eastAsia="Roboto"/>
          <w:color w:val="202024"/>
        </w:rPr>
        <w:t>Clarity</w:t>
      </w:r>
      <w:r>
        <w:rPr>
          <w:rFonts w:eastAsia="Roboto"/>
          <w:color w:val="202024"/>
          <w:spacing w:val="12"/>
        </w:rPr>
        <w:t xml:space="preserve"> </w:t>
      </w:r>
      <w:r>
        <w:rPr>
          <w:rFonts w:eastAsia="Roboto"/>
          <w:color w:val="202024"/>
        </w:rPr>
        <w:t>in</w:t>
      </w:r>
      <w:r>
        <w:rPr>
          <w:rFonts w:eastAsia="Roboto"/>
          <w:color w:val="202024"/>
          <w:spacing w:val="12"/>
        </w:rPr>
        <w:t xml:space="preserve"> </w:t>
      </w:r>
      <w:r>
        <w:rPr>
          <w:rFonts w:eastAsia="Roboto"/>
          <w:color w:val="202024"/>
        </w:rPr>
        <w:t>the</w:t>
      </w:r>
      <w:r>
        <w:rPr>
          <w:rFonts w:eastAsia="Roboto"/>
          <w:color w:val="202024"/>
          <w:spacing w:val="12"/>
        </w:rPr>
        <w:t xml:space="preserve"> </w:t>
      </w:r>
      <w:r>
        <w:rPr>
          <w:rFonts w:eastAsia="Roboto"/>
          <w:color w:val="202024"/>
        </w:rPr>
        <w:t>implementation</w:t>
      </w:r>
      <w:r>
        <w:rPr>
          <w:rFonts w:eastAsia="Roboto"/>
          <w:color w:val="202024"/>
          <w:spacing w:val="12"/>
        </w:rPr>
        <w:t xml:space="preserve"> </w:t>
      </w:r>
      <w:r>
        <w:rPr>
          <w:rFonts w:eastAsia="Roboto"/>
          <w:color w:val="202024"/>
        </w:rPr>
        <w:t>of</w:t>
      </w:r>
      <w:r>
        <w:rPr>
          <w:rFonts w:eastAsia="Roboto"/>
          <w:color w:val="202024"/>
          <w:spacing w:val="13"/>
        </w:rPr>
        <w:t xml:space="preserve"> </w:t>
      </w:r>
      <w:r>
        <w:rPr>
          <w:rFonts w:eastAsia="Roboto"/>
          <w:color w:val="202024"/>
        </w:rPr>
        <w:t>the</w:t>
      </w:r>
      <w:r>
        <w:rPr>
          <w:rFonts w:eastAsia="Roboto"/>
          <w:color w:val="202024"/>
          <w:spacing w:val="12"/>
        </w:rPr>
        <w:t xml:space="preserve"> </w:t>
      </w:r>
      <w:r>
        <w:rPr>
          <w:rFonts w:eastAsia="Roboto"/>
          <w:color w:val="202024"/>
        </w:rPr>
        <w:t>PIA</w:t>
      </w:r>
      <w:r>
        <w:rPr>
          <w:rFonts w:eastAsia="Roboto"/>
          <w:color w:val="202024"/>
          <w:spacing w:val="12"/>
        </w:rPr>
        <w:t xml:space="preserve"> </w:t>
      </w:r>
      <w:r>
        <w:rPr>
          <w:rFonts w:eastAsia="Roboto"/>
          <w:color w:val="202024"/>
        </w:rPr>
        <w:t>is</w:t>
      </w:r>
      <w:r>
        <w:rPr>
          <w:rFonts w:eastAsia="Roboto"/>
          <w:color w:val="202024"/>
          <w:spacing w:val="12"/>
        </w:rPr>
        <w:t xml:space="preserve"> </w:t>
      </w:r>
      <w:r>
        <w:rPr>
          <w:rFonts w:eastAsia="Roboto"/>
          <w:color w:val="202024"/>
        </w:rPr>
        <w:t>important</w:t>
      </w:r>
      <w:r>
        <w:rPr>
          <w:rFonts w:eastAsia="Roboto"/>
          <w:color w:val="202024"/>
          <w:spacing w:val="13"/>
        </w:rPr>
        <w:t xml:space="preserve"> </w:t>
      </w:r>
      <w:r>
        <w:rPr>
          <w:rFonts w:eastAsia="Roboto"/>
          <w:color w:val="202024"/>
        </w:rPr>
        <w:t>to</w:t>
      </w:r>
      <w:r>
        <w:rPr>
          <w:rFonts w:eastAsia="Roboto"/>
          <w:color w:val="202024"/>
          <w:spacing w:val="12"/>
        </w:rPr>
        <w:t xml:space="preserve"> </w:t>
      </w:r>
      <w:r>
        <w:rPr>
          <w:rFonts w:eastAsia="Roboto"/>
          <w:color w:val="202024"/>
        </w:rPr>
        <w:t>understand</w:t>
      </w:r>
      <w:r>
        <w:rPr>
          <w:rFonts w:eastAsia="Roboto"/>
          <w:color w:val="202024"/>
          <w:spacing w:val="12"/>
        </w:rPr>
        <w:t xml:space="preserve"> </w:t>
      </w:r>
      <w:r>
        <w:rPr>
          <w:rFonts w:eastAsia="Roboto"/>
          <w:color w:val="202024"/>
        </w:rPr>
        <w:t>its</w:t>
      </w:r>
      <w:r>
        <w:rPr>
          <w:rFonts w:eastAsia="Roboto"/>
          <w:color w:val="202024"/>
          <w:spacing w:val="12"/>
        </w:rPr>
        <w:t xml:space="preserve"> </w:t>
      </w:r>
      <w:r>
        <w:rPr>
          <w:rFonts w:eastAsia="Roboto"/>
          <w:color w:val="202024"/>
        </w:rPr>
        <w:t>effectiveness</w:t>
      </w:r>
    </w:p>
    <w:p w14:paraId="2644F9FE">
      <w:pPr>
        <w:widowControl w:val="0"/>
        <w:autoSpaceDE w:val="0"/>
        <w:autoSpaceDN w:val="0"/>
        <w:spacing w:before="11"/>
        <w:rPr>
          <w:rFonts w:eastAsia="Roboto"/>
        </w:rPr>
      </w:pPr>
    </w:p>
    <w:p w14:paraId="3F373A2C">
      <w:pPr>
        <w:widowControl w:val="0"/>
        <w:autoSpaceDE w:val="0"/>
        <w:autoSpaceDN w:val="0"/>
        <w:spacing w:before="1" w:line="285" w:lineRule="auto"/>
        <w:ind w:right="480"/>
        <w:jc w:val="both"/>
        <w:rPr>
          <w:rFonts w:eastAsia="Roboto"/>
        </w:rPr>
      </w:pPr>
      <w:r>
        <w:rPr>
          <w:rFonts w:eastAsia="Roboto"/>
          <w:color w:val="202024"/>
        </w:rPr>
        <w:t>What is important in any nation is whether or not the “nation has a tax system that looks like</w:t>
      </w:r>
      <w:r>
        <w:rPr>
          <w:rFonts w:eastAsia="Roboto"/>
          <w:color w:val="202024"/>
          <w:spacing w:val="1"/>
        </w:rPr>
        <w:t xml:space="preserve"> </w:t>
      </w:r>
      <w:r>
        <w:rPr>
          <w:rFonts w:eastAsia="Roboto"/>
          <w:color w:val="202024"/>
        </w:rPr>
        <w:t>someone designed it on purpose”. The law as an instrument of social and economic change</w:t>
      </w:r>
      <w:r>
        <w:rPr>
          <w:rFonts w:eastAsia="Roboto"/>
          <w:color w:val="202024"/>
          <w:spacing w:val="1"/>
        </w:rPr>
        <w:t xml:space="preserve"> </w:t>
      </w:r>
      <w:r>
        <w:rPr>
          <w:rFonts w:eastAsia="Roboto"/>
          <w:color w:val="202024"/>
        </w:rPr>
        <w:t>must</w:t>
      </w:r>
      <w:r>
        <w:rPr>
          <w:rFonts w:eastAsia="Roboto"/>
          <w:color w:val="202024"/>
          <w:spacing w:val="5"/>
        </w:rPr>
        <w:t xml:space="preserve"> </w:t>
      </w:r>
      <w:r>
        <w:rPr>
          <w:rFonts w:eastAsia="Roboto"/>
          <w:color w:val="202024"/>
        </w:rPr>
        <w:t>not</w:t>
      </w:r>
      <w:r>
        <w:rPr>
          <w:rFonts w:eastAsia="Roboto"/>
          <w:color w:val="202024"/>
          <w:spacing w:val="5"/>
        </w:rPr>
        <w:t xml:space="preserve"> </w:t>
      </w:r>
      <w:r>
        <w:rPr>
          <w:rFonts w:eastAsia="Roboto"/>
          <w:color w:val="202024"/>
        </w:rPr>
        <w:t>at</w:t>
      </w:r>
      <w:r>
        <w:rPr>
          <w:rFonts w:eastAsia="Roboto"/>
          <w:color w:val="202024"/>
          <w:spacing w:val="6"/>
        </w:rPr>
        <w:t xml:space="preserve"> </w:t>
      </w:r>
      <w:r>
        <w:rPr>
          <w:rFonts w:eastAsia="Roboto"/>
          <w:color w:val="202024"/>
        </w:rPr>
        <w:t>any</w:t>
      </w:r>
      <w:r>
        <w:rPr>
          <w:rFonts w:eastAsia="Roboto"/>
          <w:color w:val="202024"/>
          <w:spacing w:val="5"/>
        </w:rPr>
        <w:t xml:space="preserve"> </w:t>
      </w:r>
      <w:r>
        <w:rPr>
          <w:rFonts w:eastAsia="Roboto"/>
          <w:color w:val="202024"/>
        </w:rPr>
        <w:t>time</w:t>
      </w:r>
      <w:r>
        <w:rPr>
          <w:rFonts w:eastAsia="Roboto"/>
          <w:color w:val="202024"/>
          <w:spacing w:val="6"/>
        </w:rPr>
        <w:t xml:space="preserve"> </w:t>
      </w:r>
      <w:r>
        <w:rPr>
          <w:rFonts w:eastAsia="Roboto"/>
          <w:color w:val="202024"/>
        </w:rPr>
        <w:t>lag</w:t>
      </w:r>
      <w:r>
        <w:rPr>
          <w:rFonts w:eastAsia="Roboto"/>
          <w:color w:val="202024"/>
          <w:spacing w:val="5"/>
        </w:rPr>
        <w:t xml:space="preserve"> </w:t>
      </w:r>
      <w:r>
        <w:rPr>
          <w:rFonts w:eastAsia="Roboto"/>
          <w:color w:val="202024"/>
        </w:rPr>
        <w:t>behind</w:t>
      </w:r>
      <w:r>
        <w:rPr>
          <w:rFonts w:eastAsia="Roboto"/>
          <w:color w:val="202024"/>
          <w:spacing w:val="5"/>
        </w:rPr>
        <w:t xml:space="preserve"> </w:t>
      </w:r>
      <w:r>
        <w:rPr>
          <w:rFonts w:eastAsia="Roboto"/>
          <w:color w:val="202024"/>
        </w:rPr>
        <w:t>socio-economic</w:t>
      </w:r>
      <w:r>
        <w:rPr>
          <w:rFonts w:eastAsia="Roboto"/>
          <w:color w:val="202024"/>
          <w:spacing w:val="6"/>
        </w:rPr>
        <w:t xml:space="preserve"> </w:t>
      </w:r>
      <w:r>
        <w:rPr>
          <w:rFonts w:eastAsia="Roboto"/>
          <w:color w:val="202024"/>
        </w:rPr>
        <w:t>development.</w:t>
      </w:r>
      <w:r>
        <w:rPr>
          <w:rFonts w:eastAsia="Roboto"/>
          <w:color w:val="202024"/>
          <w:spacing w:val="5"/>
        </w:rPr>
        <w:t xml:space="preserve"> </w:t>
      </w:r>
      <w:r>
        <w:rPr>
          <w:rFonts w:eastAsia="Roboto"/>
          <w:color w:val="202024"/>
        </w:rPr>
        <w:t>t</w:t>
      </w:r>
    </w:p>
    <w:p w14:paraId="44BF8CF7">
      <w:pPr>
        <w:widowControl w:val="0"/>
        <w:autoSpaceDE w:val="0"/>
        <w:autoSpaceDN w:val="0"/>
        <w:spacing w:before="11"/>
        <w:rPr>
          <w:rFonts w:eastAsia="Roboto"/>
        </w:rPr>
      </w:pPr>
    </w:p>
    <w:p w14:paraId="038FB78D">
      <w:pPr>
        <w:widowControl w:val="0"/>
        <w:autoSpaceDE w:val="0"/>
        <w:autoSpaceDN w:val="0"/>
        <w:spacing w:before="1" w:line="285" w:lineRule="auto"/>
        <w:ind w:right="488"/>
        <w:rPr>
          <w:rFonts w:eastAsia="Roboto"/>
        </w:rPr>
      </w:pPr>
      <w:r>
        <w:rPr>
          <w:rFonts w:eastAsia="Roboto"/>
          <w:color w:val="202024"/>
        </w:rPr>
        <w:t>On</w:t>
      </w:r>
      <w:r>
        <w:rPr>
          <w:rFonts w:eastAsia="Roboto"/>
          <w:color w:val="202024"/>
          <w:spacing w:val="11"/>
        </w:rPr>
        <w:t xml:space="preserve"> </w:t>
      </w:r>
      <w:r>
        <w:rPr>
          <w:rFonts w:eastAsia="Roboto"/>
          <w:color w:val="202024"/>
        </w:rPr>
        <w:t>19,</w:t>
      </w:r>
      <w:r>
        <w:rPr>
          <w:rFonts w:eastAsia="Roboto"/>
          <w:color w:val="202024"/>
          <w:spacing w:val="12"/>
        </w:rPr>
        <w:t xml:space="preserve"> </w:t>
      </w:r>
      <w:r>
        <w:rPr>
          <w:rFonts w:eastAsia="Roboto"/>
          <w:color w:val="202024"/>
        </w:rPr>
        <w:t>tax</w:t>
      </w:r>
      <w:r>
        <w:rPr>
          <w:rFonts w:eastAsia="Roboto"/>
          <w:color w:val="202024"/>
          <w:spacing w:val="12"/>
        </w:rPr>
        <w:t xml:space="preserve"> </w:t>
      </w:r>
      <w:r>
        <w:rPr>
          <w:rFonts w:eastAsia="Roboto"/>
          <w:color w:val="202024"/>
        </w:rPr>
        <w:t>considerations</w:t>
      </w:r>
      <w:r>
        <w:rPr>
          <w:rFonts w:eastAsia="Roboto"/>
          <w:color w:val="202024"/>
          <w:spacing w:val="12"/>
        </w:rPr>
        <w:t xml:space="preserve"> </w:t>
      </w:r>
      <w:r>
        <w:rPr>
          <w:rFonts w:eastAsia="Roboto"/>
          <w:color w:val="202024"/>
        </w:rPr>
        <w:t>are</w:t>
      </w:r>
      <w:r>
        <w:rPr>
          <w:rFonts w:eastAsia="Roboto"/>
          <w:color w:val="202024"/>
          <w:spacing w:val="12"/>
        </w:rPr>
        <w:t xml:space="preserve"> </w:t>
      </w:r>
      <w:r>
        <w:rPr>
          <w:rFonts w:eastAsia="Roboto"/>
          <w:color w:val="202024"/>
        </w:rPr>
        <w:t>only</w:t>
      </w:r>
      <w:r>
        <w:rPr>
          <w:rFonts w:eastAsia="Roboto"/>
          <w:color w:val="202024"/>
          <w:spacing w:val="12"/>
        </w:rPr>
        <w:t xml:space="preserve"> </w:t>
      </w:r>
      <w:r>
        <w:rPr>
          <w:rFonts w:eastAsia="Roboto"/>
          <w:color w:val="202024"/>
        </w:rPr>
        <w:t>part</w:t>
      </w:r>
      <w:r>
        <w:rPr>
          <w:rFonts w:eastAsia="Roboto"/>
          <w:color w:val="202024"/>
          <w:spacing w:val="12"/>
        </w:rPr>
        <w:t xml:space="preserve"> </w:t>
      </w:r>
      <w:r>
        <w:rPr>
          <w:rFonts w:eastAsia="Roboto"/>
          <w:color w:val="202024"/>
        </w:rPr>
        <w:t>of</w:t>
      </w:r>
      <w:r>
        <w:rPr>
          <w:rFonts w:eastAsia="Roboto"/>
          <w:color w:val="202024"/>
          <w:spacing w:val="12"/>
        </w:rPr>
        <w:t xml:space="preserve"> </w:t>
      </w:r>
      <w:r>
        <w:rPr>
          <w:rFonts w:eastAsia="Roboto"/>
          <w:color w:val="202024"/>
        </w:rPr>
        <w:t>the</w:t>
      </w:r>
      <w:r>
        <w:rPr>
          <w:rFonts w:eastAsia="Roboto"/>
          <w:color w:val="202024"/>
          <w:spacing w:val="12"/>
        </w:rPr>
        <w:t xml:space="preserve"> </w:t>
      </w:r>
      <w:r>
        <w:rPr>
          <w:rFonts w:eastAsia="Roboto"/>
          <w:color w:val="202024"/>
        </w:rPr>
        <w:t>considerations</w:t>
      </w:r>
      <w:r>
        <w:rPr>
          <w:rFonts w:eastAsia="Roboto"/>
          <w:color w:val="202024"/>
          <w:spacing w:val="12"/>
        </w:rPr>
        <w:t xml:space="preserve"> </w:t>
      </w:r>
      <w:r>
        <w:rPr>
          <w:rFonts w:eastAsia="Roboto"/>
          <w:color w:val="202024"/>
        </w:rPr>
        <w:t>that</w:t>
      </w:r>
      <w:r>
        <w:rPr>
          <w:rFonts w:eastAsia="Roboto"/>
          <w:color w:val="202024"/>
          <w:spacing w:val="12"/>
        </w:rPr>
        <w:t xml:space="preserve"> </w:t>
      </w:r>
      <w:r>
        <w:rPr>
          <w:rFonts w:eastAsia="Roboto"/>
          <w:color w:val="202024"/>
        </w:rPr>
        <w:t>affect</w:t>
      </w:r>
      <w:r>
        <w:rPr>
          <w:rFonts w:eastAsia="Roboto"/>
          <w:color w:val="202024"/>
          <w:spacing w:val="12"/>
        </w:rPr>
        <w:t xml:space="preserve"> </w:t>
      </w:r>
      <w:r>
        <w:rPr>
          <w:rFonts w:eastAsia="Roboto"/>
          <w:color w:val="202024"/>
        </w:rPr>
        <w:t>investment</w:t>
      </w:r>
      <w:r>
        <w:rPr>
          <w:rFonts w:eastAsia="Roboto"/>
          <w:color w:val="202024"/>
          <w:spacing w:val="12"/>
        </w:rPr>
        <w:t xml:space="preserve"> </w:t>
      </w:r>
      <w:r>
        <w:rPr>
          <w:rFonts w:eastAsia="Roboto"/>
          <w:color w:val="202024"/>
        </w:rPr>
        <w:t>decision</w:t>
      </w:r>
      <w:r>
        <w:rPr>
          <w:rFonts w:eastAsia="Roboto"/>
          <w:color w:val="202024"/>
          <w:spacing w:val="-50"/>
        </w:rPr>
        <w:t xml:space="preserve"> </w:t>
      </w:r>
      <w:r>
        <w:rPr>
          <w:rFonts w:eastAsia="Roboto"/>
          <w:color w:val="202024"/>
        </w:rPr>
        <w:t>making;</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in</w:t>
      </w:r>
      <w:r>
        <w:rPr>
          <w:rFonts w:eastAsia="Roboto"/>
          <w:color w:val="202024"/>
          <w:spacing w:val="8"/>
        </w:rPr>
        <w:t xml:space="preserve"> </w:t>
      </w:r>
      <w:r>
        <w:rPr>
          <w:rFonts w:eastAsia="Roboto"/>
          <w:color w:val="202024"/>
        </w:rPr>
        <w:t>Nigeria</w:t>
      </w:r>
      <w:r>
        <w:rPr>
          <w:rFonts w:eastAsia="Roboto"/>
          <w:color w:val="202024"/>
          <w:spacing w:val="8"/>
        </w:rPr>
        <w:t xml:space="preserve"> </w:t>
      </w:r>
      <w:r>
        <w:rPr>
          <w:rFonts w:eastAsia="Roboto"/>
          <w:color w:val="202024"/>
        </w:rPr>
        <w:t>other</w:t>
      </w:r>
      <w:r>
        <w:rPr>
          <w:rFonts w:eastAsia="Roboto"/>
          <w:color w:val="202024"/>
          <w:spacing w:val="8"/>
        </w:rPr>
        <w:t xml:space="preserve"> </w:t>
      </w:r>
      <w:r>
        <w:rPr>
          <w:rFonts w:eastAsia="Roboto"/>
          <w:color w:val="202024"/>
        </w:rPr>
        <w:t>bottlenecks</w:t>
      </w:r>
      <w:r>
        <w:rPr>
          <w:rFonts w:eastAsia="Roboto"/>
          <w:color w:val="202024"/>
          <w:spacing w:val="8"/>
        </w:rPr>
        <w:t xml:space="preserve"> </w:t>
      </w:r>
      <w:r>
        <w:rPr>
          <w:rFonts w:eastAsia="Roboto"/>
          <w:color w:val="202024"/>
        </w:rPr>
        <w:t>and</w:t>
      </w:r>
      <w:r>
        <w:rPr>
          <w:rFonts w:eastAsia="Roboto"/>
          <w:color w:val="202024"/>
          <w:spacing w:val="8"/>
        </w:rPr>
        <w:t xml:space="preserve"> </w:t>
      </w:r>
      <w:r>
        <w:rPr>
          <w:rFonts w:eastAsia="Roboto"/>
          <w:color w:val="202024"/>
        </w:rPr>
        <w:t>challenges</w:t>
      </w:r>
      <w:r>
        <w:rPr>
          <w:rFonts w:eastAsia="Roboto"/>
          <w:color w:val="202024"/>
          <w:spacing w:val="8"/>
        </w:rPr>
        <w:t xml:space="preserve"> </w:t>
      </w:r>
      <w:r>
        <w:rPr>
          <w:rFonts w:eastAsia="Roboto"/>
          <w:color w:val="202024"/>
        </w:rPr>
        <w:t>in</w:t>
      </w:r>
      <w:r>
        <w:rPr>
          <w:rFonts w:eastAsia="Roboto"/>
          <w:color w:val="202024"/>
          <w:spacing w:val="8"/>
        </w:rPr>
        <w:t xml:space="preserve"> </w:t>
      </w:r>
      <w:r>
        <w:rPr>
          <w:rFonts w:eastAsia="Roboto"/>
          <w:color w:val="202024"/>
        </w:rPr>
        <w:t>the</w:t>
      </w:r>
      <w:r>
        <w:rPr>
          <w:rFonts w:eastAsia="Roboto"/>
          <w:color w:val="202024"/>
          <w:spacing w:val="8"/>
        </w:rPr>
        <w:t xml:space="preserve"> </w:t>
      </w:r>
      <w:r>
        <w:rPr>
          <w:rFonts w:eastAsia="Roboto"/>
          <w:color w:val="202024"/>
        </w:rPr>
        <w:t>operating</w:t>
      </w:r>
      <w:r>
        <w:rPr>
          <w:rFonts w:eastAsia="Roboto"/>
          <w:color w:val="202024"/>
          <w:spacing w:val="8"/>
        </w:rPr>
        <w:t xml:space="preserve"> </w:t>
      </w:r>
      <w:r>
        <w:rPr>
          <w:rFonts w:eastAsia="Roboto"/>
          <w:color w:val="202024"/>
        </w:rPr>
        <w:t>environment,</w:t>
      </w:r>
      <w:r>
        <w:rPr>
          <w:rFonts w:eastAsia="Roboto"/>
          <w:color w:val="202024"/>
          <w:spacing w:val="1"/>
        </w:rPr>
        <w:t xml:space="preserve"> </w:t>
      </w:r>
      <w:r>
        <w:rPr>
          <w:rFonts w:eastAsia="Roboto"/>
          <w:color w:val="202024"/>
        </w:rPr>
        <w:t>including</w:t>
      </w:r>
      <w:r>
        <w:rPr>
          <w:rFonts w:eastAsia="Roboto"/>
          <w:color w:val="202024"/>
          <w:spacing w:val="5"/>
        </w:rPr>
        <w:t xml:space="preserve"> </w:t>
      </w:r>
      <w:r>
        <w:rPr>
          <w:rFonts w:eastAsia="Roboto"/>
          <w:color w:val="202024"/>
        </w:rPr>
        <w:t>insecurity</w:t>
      </w:r>
      <w:r>
        <w:rPr>
          <w:rFonts w:eastAsia="Roboto"/>
          <w:color w:val="202024"/>
          <w:spacing w:val="5"/>
        </w:rPr>
        <w:t xml:space="preserve"> </w:t>
      </w:r>
      <w:r>
        <w:rPr>
          <w:rFonts w:eastAsia="Roboto"/>
          <w:color w:val="202024"/>
        </w:rPr>
        <w:t>and</w:t>
      </w:r>
      <w:r>
        <w:rPr>
          <w:rFonts w:eastAsia="Roboto"/>
          <w:color w:val="202024"/>
          <w:spacing w:val="6"/>
        </w:rPr>
        <w:t xml:space="preserve"> </w:t>
      </w:r>
      <w:r>
        <w:rPr>
          <w:rFonts w:eastAsia="Roboto"/>
          <w:color w:val="202024"/>
        </w:rPr>
        <w:t>corruption,</w:t>
      </w:r>
      <w:r>
        <w:rPr>
          <w:rFonts w:eastAsia="Roboto"/>
          <w:color w:val="202024"/>
          <w:spacing w:val="5"/>
        </w:rPr>
        <w:t xml:space="preserve"> </w:t>
      </w:r>
      <w:r>
        <w:rPr>
          <w:rFonts w:eastAsia="Roboto"/>
          <w:color w:val="202024"/>
        </w:rPr>
        <w:t>are</w:t>
      </w:r>
      <w:r>
        <w:rPr>
          <w:rFonts w:eastAsia="Roboto"/>
          <w:color w:val="202024"/>
          <w:spacing w:val="6"/>
        </w:rPr>
        <w:t xml:space="preserve"> </w:t>
      </w:r>
      <w:r>
        <w:rPr>
          <w:rFonts w:eastAsia="Roboto"/>
          <w:color w:val="202024"/>
        </w:rPr>
        <w:t>also</w:t>
      </w:r>
      <w:r>
        <w:rPr>
          <w:rFonts w:eastAsia="Roboto"/>
          <w:color w:val="202024"/>
          <w:spacing w:val="5"/>
        </w:rPr>
        <w:t xml:space="preserve"> </w:t>
      </w:r>
      <w:r>
        <w:rPr>
          <w:rFonts w:eastAsia="Roboto"/>
          <w:color w:val="202024"/>
        </w:rPr>
        <w:t>key</w:t>
      </w:r>
      <w:r>
        <w:rPr>
          <w:rFonts w:eastAsia="Roboto"/>
          <w:color w:val="202024"/>
          <w:spacing w:val="6"/>
        </w:rPr>
        <w:t xml:space="preserve"> </w:t>
      </w:r>
      <w:r>
        <w:rPr>
          <w:rFonts w:eastAsia="Roboto"/>
          <w:color w:val="202024"/>
        </w:rPr>
        <w:t>issues.</w:t>
      </w:r>
    </w:p>
    <w:p w14:paraId="3B814B34">
      <w:pPr>
        <w:widowControl w:val="0"/>
        <w:autoSpaceDE w:val="0"/>
        <w:autoSpaceDN w:val="0"/>
        <w:rPr>
          <w:rFonts w:eastAsia="Roboto"/>
        </w:rPr>
      </w:pPr>
    </w:p>
    <w:p w14:paraId="6A2EDF75">
      <w:pPr>
        <w:widowControl w:val="0"/>
        <w:autoSpaceDE w:val="0"/>
        <w:autoSpaceDN w:val="0"/>
        <w:spacing w:line="285" w:lineRule="auto"/>
        <w:ind w:right="272"/>
        <w:rPr>
          <w:rFonts w:eastAsia="Roboto"/>
        </w:rPr>
      </w:pPr>
      <w:r>
        <w:rPr>
          <w:rFonts w:eastAsia="Roboto"/>
          <w:color w:val="202024"/>
        </w:rPr>
        <w:t>Structured</w:t>
      </w:r>
      <w:r>
        <w:rPr>
          <w:rFonts w:eastAsia="Roboto"/>
          <w:color w:val="202024"/>
          <w:spacing w:val="7"/>
        </w:rPr>
        <w:t xml:space="preserve"> </w:t>
      </w:r>
      <w:r>
        <w:rPr>
          <w:rFonts w:eastAsia="Roboto"/>
          <w:color w:val="202024"/>
        </w:rPr>
        <w:t>changes</w:t>
      </w:r>
      <w:r>
        <w:rPr>
          <w:rFonts w:eastAsia="Roboto"/>
          <w:color w:val="202024"/>
          <w:spacing w:val="7"/>
        </w:rPr>
        <w:t xml:space="preserve"> </w:t>
      </w:r>
      <w:r>
        <w:rPr>
          <w:rFonts w:eastAsia="Roboto"/>
          <w:color w:val="202024"/>
        </w:rPr>
        <w:t>is</w:t>
      </w:r>
      <w:r>
        <w:rPr>
          <w:rFonts w:eastAsia="Roboto"/>
          <w:color w:val="202024"/>
          <w:spacing w:val="7"/>
        </w:rPr>
        <w:t xml:space="preserve"> </w:t>
      </w:r>
      <w:r>
        <w:rPr>
          <w:rFonts w:eastAsia="Roboto"/>
          <w:color w:val="202024"/>
        </w:rPr>
        <w:t>important</w:t>
      </w:r>
      <w:r>
        <w:rPr>
          <w:rFonts w:eastAsia="Roboto"/>
          <w:color w:val="202024"/>
          <w:spacing w:val="7"/>
        </w:rPr>
        <w:t xml:space="preserve"> </w:t>
      </w:r>
      <w:r>
        <w:rPr>
          <w:rFonts w:eastAsia="Roboto"/>
          <w:color w:val="202024"/>
        </w:rPr>
        <w:t>-</w:t>
      </w:r>
      <w:r>
        <w:rPr>
          <w:rFonts w:eastAsia="Roboto"/>
          <w:color w:val="202024"/>
          <w:spacing w:val="7"/>
        </w:rPr>
        <w:t xml:space="preserve"> </w:t>
      </w:r>
      <w:r>
        <w:rPr>
          <w:rFonts w:eastAsia="Roboto"/>
          <w:color w:val="202024"/>
        </w:rPr>
        <w:t>it</w:t>
      </w:r>
      <w:r>
        <w:rPr>
          <w:rFonts w:eastAsia="Roboto"/>
          <w:color w:val="202024"/>
          <w:spacing w:val="7"/>
        </w:rPr>
        <w:t xml:space="preserve"> </w:t>
      </w:r>
      <w:r>
        <w:rPr>
          <w:rFonts w:eastAsia="Roboto"/>
          <w:color w:val="202024"/>
        </w:rPr>
        <w:t>would</w:t>
      </w:r>
      <w:r>
        <w:rPr>
          <w:rFonts w:eastAsia="Roboto"/>
          <w:color w:val="202024"/>
          <w:spacing w:val="7"/>
        </w:rPr>
        <w:t xml:space="preserve"> </w:t>
      </w:r>
      <w:r>
        <w:rPr>
          <w:rFonts w:eastAsia="Roboto"/>
          <w:color w:val="202024"/>
        </w:rPr>
        <w:t>be</w:t>
      </w:r>
      <w:r>
        <w:rPr>
          <w:rFonts w:eastAsia="Roboto"/>
          <w:color w:val="202024"/>
          <w:spacing w:val="7"/>
        </w:rPr>
        <w:t xml:space="preserve"> </w:t>
      </w:r>
      <w:r>
        <w:rPr>
          <w:rFonts w:eastAsia="Roboto"/>
          <w:color w:val="202024"/>
        </w:rPr>
        <w:t>nice</w:t>
      </w:r>
      <w:r>
        <w:rPr>
          <w:rFonts w:eastAsia="Roboto"/>
          <w:color w:val="202024"/>
          <w:spacing w:val="8"/>
        </w:rPr>
        <w:t xml:space="preserve"> </w:t>
      </w:r>
      <w:r>
        <w:rPr>
          <w:rFonts w:eastAsia="Roboto"/>
          <w:color w:val="202024"/>
        </w:rPr>
        <w:t>for</w:t>
      </w:r>
      <w:r>
        <w:rPr>
          <w:rFonts w:eastAsia="Roboto"/>
          <w:color w:val="202024"/>
          <w:spacing w:val="7"/>
        </w:rPr>
        <w:t xml:space="preserve"> </w:t>
      </w:r>
      <w:r>
        <w:rPr>
          <w:rFonts w:eastAsia="Roboto"/>
          <w:color w:val="202024"/>
        </w:rPr>
        <w:t>Nigeria</w:t>
      </w:r>
      <w:r>
        <w:rPr>
          <w:rFonts w:eastAsia="Roboto"/>
          <w:color w:val="202024"/>
          <w:spacing w:val="7"/>
        </w:rPr>
        <w:t xml:space="preserve"> </w:t>
      </w:r>
      <w:r>
        <w:rPr>
          <w:rFonts w:eastAsia="Roboto"/>
          <w:color w:val="202024"/>
        </w:rPr>
        <w:t>to</w:t>
      </w:r>
      <w:r>
        <w:rPr>
          <w:rFonts w:eastAsia="Roboto"/>
          <w:color w:val="202024"/>
          <w:spacing w:val="7"/>
        </w:rPr>
        <w:t xml:space="preserve"> </w:t>
      </w:r>
      <w:r>
        <w:rPr>
          <w:rFonts w:eastAsia="Roboto"/>
          <w:color w:val="202024"/>
        </w:rPr>
        <w:t>be</w:t>
      </w:r>
      <w:r>
        <w:rPr>
          <w:rFonts w:eastAsia="Roboto"/>
          <w:color w:val="202024"/>
          <w:spacing w:val="7"/>
        </w:rPr>
        <w:t xml:space="preserve"> </w:t>
      </w:r>
      <w:r>
        <w:rPr>
          <w:rFonts w:eastAsia="Roboto"/>
          <w:color w:val="202024"/>
        </w:rPr>
        <w:t>able</w:t>
      </w:r>
      <w:r>
        <w:rPr>
          <w:rFonts w:eastAsia="Roboto"/>
          <w:color w:val="202024"/>
          <w:spacing w:val="7"/>
        </w:rPr>
        <w:t xml:space="preserve"> </w:t>
      </w:r>
      <w:r>
        <w:rPr>
          <w:rFonts w:eastAsia="Roboto"/>
          <w:color w:val="202024"/>
        </w:rPr>
        <w:t>to</w:t>
      </w:r>
      <w:r>
        <w:rPr>
          <w:rFonts w:eastAsia="Roboto"/>
          <w:color w:val="202024"/>
          <w:spacing w:val="7"/>
        </w:rPr>
        <w:t xml:space="preserve"> </w:t>
      </w:r>
      <w:r>
        <w:rPr>
          <w:rFonts w:eastAsia="Roboto"/>
          <w:color w:val="202024"/>
        </w:rPr>
        <w:t>plan</w:t>
      </w:r>
      <w:r>
        <w:rPr>
          <w:rFonts w:eastAsia="Roboto"/>
          <w:color w:val="202024"/>
          <w:spacing w:val="7"/>
        </w:rPr>
        <w:t xml:space="preserve"> </w:t>
      </w:r>
      <w:r>
        <w:rPr>
          <w:rFonts w:eastAsia="Roboto"/>
          <w:color w:val="202024"/>
        </w:rPr>
        <w:t>tax</w:t>
      </w:r>
      <w:r>
        <w:rPr>
          <w:rFonts w:eastAsia="Roboto"/>
          <w:color w:val="202024"/>
          <w:spacing w:val="7"/>
        </w:rPr>
        <w:t xml:space="preserve"> </w:t>
      </w:r>
      <w:r>
        <w:rPr>
          <w:rFonts w:eastAsia="Roboto"/>
          <w:color w:val="202024"/>
        </w:rPr>
        <w:t>changes</w:t>
      </w:r>
      <w:r>
        <w:rPr>
          <w:rFonts w:eastAsia="Roboto"/>
          <w:color w:val="202024"/>
          <w:spacing w:val="-49"/>
        </w:rPr>
        <w:t xml:space="preserve"> </w:t>
      </w:r>
      <w:r>
        <w:rPr>
          <w:rFonts w:eastAsia="Roboto"/>
          <w:color w:val="202024"/>
        </w:rPr>
        <w:t>years</w:t>
      </w:r>
      <w:r>
        <w:rPr>
          <w:rFonts w:eastAsia="Roboto"/>
          <w:color w:val="202024"/>
          <w:spacing w:val="8"/>
        </w:rPr>
        <w:t xml:space="preserve"> </w:t>
      </w:r>
      <w:r>
        <w:rPr>
          <w:rFonts w:eastAsia="Roboto"/>
          <w:color w:val="202024"/>
        </w:rPr>
        <w:t>ahead</w:t>
      </w:r>
      <w:r>
        <w:rPr>
          <w:rFonts w:eastAsia="Roboto"/>
          <w:color w:val="202024"/>
          <w:spacing w:val="9"/>
        </w:rPr>
        <w:t xml:space="preserve"> </w:t>
      </w:r>
      <w:r>
        <w:rPr>
          <w:rFonts w:eastAsia="Roboto"/>
          <w:color w:val="202024"/>
        </w:rPr>
        <w:t>of</w:t>
      </w:r>
      <w:r>
        <w:rPr>
          <w:rFonts w:eastAsia="Roboto"/>
          <w:color w:val="202024"/>
          <w:spacing w:val="8"/>
        </w:rPr>
        <w:t xml:space="preserve"> </w:t>
      </w:r>
      <w:r>
        <w:rPr>
          <w:rFonts w:eastAsia="Roboto"/>
          <w:color w:val="202024"/>
        </w:rPr>
        <w:t>implementation.</w:t>
      </w:r>
      <w:r>
        <w:rPr>
          <w:rFonts w:eastAsia="Roboto"/>
          <w:color w:val="202024"/>
          <w:spacing w:val="9"/>
        </w:rPr>
        <w:t xml:space="preserve"> </w:t>
      </w:r>
      <w:r>
        <w:rPr>
          <w:rFonts w:eastAsia="Roboto"/>
          <w:color w:val="202024"/>
        </w:rPr>
        <w:t>this</w:t>
      </w:r>
      <w:r>
        <w:rPr>
          <w:rFonts w:eastAsia="Roboto"/>
          <w:color w:val="202024"/>
          <w:spacing w:val="8"/>
        </w:rPr>
        <w:t xml:space="preserve"> </w:t>
      </w:r>
      <w:r>
        <w:rPr>
          <w:rFonts w:eastAsia="Roboto"/>
          <w:color w:val="202024"/>
        </w:rPr>
        <w:t>gives</w:t>
      </w:r>
      <w:r>
        <w:rPr>
          <w:rFonts w:eastAsia="Roboto"/>
          <w:color w:val="202024"/>
          <w:spacing w:val="9"/>
        </w:rPr>
        <w:t xml:space="preserve"> </w:t>
      </w:r>
      <w:r>
        <w:rPr>
          <w:rFonts w:eastAsia="Roboto"/>
          <w:color w:val="202024"/>
        </w:rPr>
        <w:t>a</w:t>
      </w:r>
      <w:r>
        <w:rPr>
          <w:rFonts w:eastAsia="Roboto"/>
          <w:color w:val="202024"/>
          <w:spacing w:val="8"/>
        </w:rPr>
        <w:t xml:space="preserve"> </w:t>
      </w:r>
      <w:r>
        <w:rPr>
          <w:rFonts w:eastAsia="Roboto"/>
          <w:color w:val="202024"/>
        </w:rPr>
        <w:t>lot</w:t>
      </w:r>
      <w:r>
        <w:rPr>
          <w:rFonts w:eastAsia="Roboto"/>
          <w:color w:val="202024"/>
          <w:spacing w:val="9"/>
        </w:rPr>
        <w:t xml:space="preserve"> </w:t>
      </w:r>
      <w:r>
        <w:rPr>
          <w:rFonts w:eastAsia="Roboto"/>
          <w:color w:val="202024"/>
        </w:rPr>
        <w:t>of</w:t>
      </w:r>
      <w:r>
        <w:rPr>
          <w:rFonts w:eastAsia="Roboto"/>
          <w:color w:val="202024"/>
          <w:spacing w:val="8"/>
        </w:rPr>
        <w:t xml:space="preserve"> </w:t>
      </w:r>
      <w:r>
        <w:rPr>
          <w:rFonts w:eastAsia="Roboto"/>
          <w:color w:val="202024"/>
        </w:rPr>
        <w:t>room</w:t>
      </w:r>
      <w:r>
        <w:rPr>
          <w:rFonts w:eastAsia="Roboto"/>
          <w:color w:val="202024"/>
          <w:spacing w:val="9"/>
        </w:rPr>
        <w:t xml:space="preserve"> </w:t>
      </w:r>
      <w:r>
        <w:rPr>
          <w:rFonts w:eastAsia="Roboto"/>
          <w:color w:val="202024"/>
        </w:rPr>
        <w:t>to</w:t>
      </w:r>
      <w:r>
        <w:rPr>
          <w:rFonts w:eastAsia="Roboto"/>
          <w:color w:val="202024"/>
          <w:spacing w:val="9"/>
        </w:rPr>
        <w:t xml:space="preserve"> </w:t>
      </w:r>
      <w:r>
        <w:rPr>
          <w:rFonts w:eastAsia="Roboto"/>
          <w:color w:val="202024"/>
        </w:rPr>
        <w:t>understand</w:t>
      </w:r>
      <w:r>
        <w:rPr>
          <w:rFonts w:eastAsia="Roboto"/>
          <w:color w:val="202024"/>
          <w:spacing w:val="8"/>
        </w:rPr>
        <w:t xml:space="preserve"> </w:t>
      </w:r>
      <w:r>
        <w:rPr>
          <w:rFonts w:eastAsia="Roboto"/>
          <w:color w:val="202024"/>
        </w:rPr>
        <w:t>changes</w:t>
      </w:r>
      <w:r>
        <w:rPr>
          <w:rFonts w:eastAsia="Roboto"/>
          <w:color w:val="202024"/>
          <w:spacing w:val="9"/>
        </w:rPr>
        <w:t xml:space="preserve"> </w:t>
      </w:r>
      <w:r>
        <w:rPr>
          <w:rFonts w:eastAsia="Roboto"/>
          <w:color w:val="202024"/>
        </w:rPr>
        <w:t>plan</w:t>
      </w:r>
      <w:r>
        <w:rPr>
          <w:rFonts w:eastAsia="Roboto"/>
          <w:color w:val="202024"/>
          <w:spacing w:val="8"/>
        </w:rPr>
        <w:t xml:space="preserve"> </w:t>
      </w:r>
      <w:r>
        <w:rPr>
          <w:rFonts w:eastAsia="Roboto"/>
          <w:color w:val="202024"/>
        </w:rPr>
        <w:t>for</w:t>
      </w:r>
      <w:r>
        <w:rPr>
          <w:rFonts w:eastAsia="Roboto"/>
          <w:color w:val="202024"/>
          <w:spacing w:val="1"/>
        </w:rPr>
        <w:t xml:space="preserve"> </w:t>
      </w:r>
      <w:r>
        <w:rPr>
          <w:rFonts w:eastAsia="Roboto"/>
          <w:color w:val="202024"/>
        </w:rPr>
        <w:t>implication</w:t>
      </w:r>
      <w:r>
        <w:rPr>
          <w:rFonts w:eastAsia="Roboto"/>
          <w:color w:val="202024"/>
          <w:spacing w:val="5"/>
        </w:rPr>
        <w:t xml:space="preserve"> </w:t>
      </w:r>
      <w:r>
        <w:rPr>
          <w:rFonts w:eastAsia="Roboto"/>
          <w:color w:val="202024"/>
        </w:rPr>
        <w:t>and</w:t>
      </w:r>
      <w:r>
        <w:rPr>
          <w:rFonts w:eastAsia="Roboto"/>
          <w:color w:val="202024"/>
          <w:spacing w:val="5"/>
        </w:rPr>
        <w:t xml:space="preserve"> </w:t>
      </w:r>
      <w:r>
        <w:rPr>
          <w:rFonts w:eastAsia="Roboto"/>
          <w:color w:val="202024"/>
        </w:rPr>
        <w:t>getting</w:t>
      </w:r>
      <w:r>
        <w:rPr>
          <w:rFonts w:eastAsia="Roboto"/>
          <w:color w:val="202024"/>
          <w:spacing w:val="5"/>
        </w:rPr>
        <w:t xml:space="preserve"> </w:t>
      </w:r>
      <w:r>
        <w:rPr>
          <w:rFonts w:eastAsia="Roboto"/>
          <w:color w:val="202024"/>
        </w:rPr>
        <w:t>the</w:t>
      </w:r>
      <w:r>
        <w:rPr>
          <w:rFonts w:eastAsia="Roboto"/>
          <w:color w:val="202024"/>
          <w:spacing w:val="6"/>
        </w:rPr>
        <w:t xml:space="preserve"> </w:t>
      </w:r>
      <w:r>
        <w:rPr>
          <w:rFonts w:eastAsia="Roboto"/>
          <w:color w:val="202024"/>
        </w:rPr>
        <w:t>transition</w:t>
      </w:r>
      <w:r>
        <w:rPr>
          <w:rFonts w:eastAsia="Roboto"/>
          <w:color w:val="202024"/>
          <w:spacing w:val="5"/>
        </w:rPr>
        <w:t xml:space="preserve"> </w:t>
      </w:r>
      <w:r>
        <w:rPr>
          <w:rFonts w:eastAsia="Roboto"/>
          <w:color w:val="202024"/>
        </w:rPr>
        <w:t>right.</w:t>
      </w:r>
    </w:p>
    <w:p w14:paraId="233F75FB">
      <w:pPr>
        <w:widowControl w:val="0"/>
        <w:autoSpaceDE w:val="0"/>
        <w:autoSpaceDN w:val="0"/>
        <w:rPr>
          <w:rFonts w:eastAsia="Roboto"/>
        </w:rPr>
      </w:pPr>
    </w:p>
    <w:p w14:paraId="549DD5EE">
      <w:pPr>
        <w:widowControl w:val="0"/>
        <w:autoSpaceDE w:val="0"/>
        <w:autoSpaceDN w:val="0"/>
        <w:rPr>
          <w:rFonts w:eastAsia="Roboto"/>
        </w:rPr>
      </w:pPr>
      <w:r>
        <w:rPr>
          <w:rFonts w:eastAsia="Roboto"/>
          <w:color w:val="202024"/>
        </w:rPr>
        <w:t>none</w:t>
      </w:r>
    </w:p>
    <w:p w14:paraId="4624EAB2">
      <w:pPr>
        <w:widowControl w:val="0"/>
        <w:autoSpaceDE w:val="0"/>
        <w:autoSpaceDN w:val="0"/>
        <w:rPr>
          <w:rFonts w:eastAsia="Roboto"/>
        </w:rPr>
        <w:sectPr>
          <w:pgSz w:w="11900" w:h="16840"/>
          <w:pgMar w:top="480" w:right="1280" w:bottom="1680" w:left="1040" w:header="269" w:footer="1490" w:gutter="0"/>
          <w:cols w:space="720" w:num="1"/>
        </w:sectPr>
      </w:pPr>
    </w:p>
    <w:p w14:paraId="114C8356">
      <w:pPr>
        <w:widowControl w:val="0"/>
        <w:autoSpaceDE w:val="0"/>
        <w:autoSpaceDN w:val="0"/>
        <w:spacing w:before="10"/>
        <w:rPr>
          <w:rFonts w:eastAsia="Roboto"/>
        </w:rPr>
      </w:pPr>
    </w:p>
    <w:p w14:paraId="3F573775">
      <w:pPr>
        <w:widowControl w:val="0"/>
        <w:autoSpaceDE w:val="0"/>
        <w:autoSpaceDN w:val="0"/>
        <w:rPr>
          <w:rFonts w:eastAsia="Roboto"/>
        </w:rPr>
        <w:sectPr>
          <w:headerReference r:id="rId28" w:type="default"/>
          <w:footerReference r:id="rId29" w:type="default"/>
          <w:pgSz w:w="11900" w:h="16840"/>
          <w:pgMar w:top="480" w:right="1280" w:bottom="440" w:left="1040" w:header="269" w:footer="253" w:gutter="0"/>
          <w:cols w:space="720" w:num="1"/>
        </w:sectPr>
      </w:pPr>
    </w:p>
    <w:p w14:paraId="0FF76CB5">
      <w:pPr>
        <w:widowControl w:val="0"/>
        <w:autoSpaceDE w:val="0"/>
        <w:autoSpaceDN w:val="0"/>
        <w:spacing w:before="94"/>
        <w:outlineLvl w:val="0"/>
        <w:rPr>
          <w:rFonts w:eastAsia="Roboto"/>
        </w:rPr>
      </w:pPr>
      <w:r>
        <w:rPr>
          <w:rFonts w:eastAsia="Roboto"/>
          <w:color w:val="202024"/>
        </w:rPr>
        <w:t>Please</w:t>
      </w:r>
      <w:r>
        <w:rPr>
          <w:rFonts w:eastAsia="Roboto"/>
          <w:color w:val="202024"/>
          <w:spacing w:val="9"/>
        </w:rPr>
        <w:t xml:space="preserve"> </w:t>
      </w:r>
      <w:r>
        <w:rPr>
          <w:rFonts w:eastAsia="Roboto"/>
          <w:color w:val="202024"/>
        </w:rPr>
        <w:t>tick</w:t>
      </w:r>
      <w:r>
        <w:rPr>
          <w:rFonts w:eastAsia="Roboto"/>
          <w:color w:val="202024"/>
          <w:spacing w:val="9"/>
        </w:rPr>
        <w:t xml:space="preserve"> </w:t>
      </w:r>
      <w:r>
        <w:rPr>
          <w:rFonts w:eastAsia="Roboto"/>
          <w:color w:val="202024"/>
        </w:rPr>
        <w:t>the</w:t>
      </w:r>
      <w:r>
        <w:rPr>
          <w:rFonts w:eastAsia="Roboto"/>
          <w:color w:val="202024"/>
          <w:spacing w:val="9"/>
        </w:rPr>
        <w:t xml:space="preserve"> </w:t>
      </w:r>
      <w:r>
        <w:rPr>
          <w:rFonts w:eastAsia="Roboto"/>
          <w:color w:val="202024"/>
        </w:rPr>
        <w:t>box</w:t>
      </w:r>
      <w:r>
        <w:rPr>
          <w:rFonts w:eastAsia="Roboto"/>
          <w:color w:val="202024"/>
          <w:spacing w:val="9"/>
        </w:rPr>
        <w:t xml:space="preserve"> </w:t>
      </w:r>
      <w:r>
        <w:rPr>
          <w:rFonts w:eastAsia="Roboto"/>
          <w:color w:val="202024"/>
        </w:rPr>
        <w:t>that</w:t>
      </w:r>
      <w:r>
        <w:rPr>
          <w:rFonts w:eastAsia="Roboto"/>
          <w:color w:val="202024"/>
          <w:spacing w:val="10"/>
        </w:rPr>
        <w:t xml:space="preserve"> </w:t>
      </w:r>
      <w:r>
        <w:rPr>
          <w:rFonts w:eastAsia="Roboto"/>
          <w:color w:val="202024"/>
        </w:rPr>
        <w:t>most</w:t>
      </w:r>
      <w:r>
        <w:rPr>
          <w:rFonts w:eastAsia="Roboto"/>
          <w:color w:val="202024"/>
          <w:spacing w:val="9"/>
        </w:rPr>
        <w:t xml:space="preserve"> </w:t>
      </w:r>
      <w:r>
        <w:rPr>
          <w:rFonts w:eastAsia="Roboto"/>
          <w:color w:val="202024"/>
        </w:rPr>
        <w:t>closely</w:t>
      </w:r>
      <w:r>
        <w:rPr>
          <w:rFonts w:eastAsia="Roboto"/>
          <w:color w:val="202024"/>
          <w:spacing w:val="9"/>
        </w:rPr>
        <w:t xml:space="preserve"> </w:t>
      </w:r>
      <w:r>
        <w:rPr>
          <w:rFonts w:eastAsia="Roboto"/>
          <w:color w:val="202024"/>
        </w:rPr>
        <w:t>describes</w:t>
      </w:r>
      <w:r>
        <w:rPr>
          <w:rFonts w:eastAsia="Roboto"/>
          <w:color w:val="202024"/>
          <w:spacing w:val="9"/>
        </w:rPr>
        <w:t xml:space="preserve"> </w:t>
      </w:r>
      <w:r>
        <w:rPr>
          <w:rFonts w:eastAsia="Roboto"/>
          <w:color w:val="202024"/>
        </w:rPr>
        <w:t>your</w:t>
      </w:r>
      <w:r>
        <w:rPr>
          <w:rFonts w:eastAsia="Roboto"/>
          <w:color w:val="202024"/>
          <w:spacing w:val="9"/>
        </w:rPr>
        <w:t xml:space="preserve"> </w:t>
      </w:r>
      <w:r>
        <w:rPr>
          <w:rFonts w:eastAsia="Roboto"/>
          <w:color w:val="202024"/>
        </w:rPr>
        <w:t>work.</w:t>
      </w:r>
    </w:p>
    <w:p w14:paraId="22121022">
      <w:pPr>
        <w:widowControl w:val="0"/>
        <w:autoSpaceDE w:val="0"/>
        <w:autoSpaceDN w:val="0"/>
        <w:spacing w:before="174"/>
        <w:rPr>
          <w:rFonts w:eastAsia="Roboto"/>
        </w:rPr>
      </w:pPr>
      <w:r>
        <w:rPr>
          <w:rFonts w:eastAsia="Roboto"/>
          <w:color w:val="202024"/>
        </w:rPr>
        <w:t>74</w:t>
      </w:r>
      <w:r>
        <w:rPr>
          <w:rFonts w:eastAsia="Roboto"/>
          <w:color w:val="202024"/>
          <w:spacing w:val="20"/>
        </w:rPr>
        <w:t xml:space="preserve"> </w:t>
      </w:r>
      <w:r>
        <w:rPr>
          <w:rFonts w:eastAsia="Roboto"/>
          <w:color w:val="202024"/>
        </w:rPr>
        <w:t>responses</w:t>
      </w:r>
    </w:p>
    <w:p w14:paraId="2A019A8E">
      <w:pPr>
        <w:widowControl w:val="0"/>
        <w:autoSpaceDE w:val="0"/>
        <w:autoSpaceDN w:val="0"/>
        <w:spacing w:before="73"/>
        <w:rPr>
          <w:rFonts w:eastAsia="Roboto"/>
        </w:rPr>
      </w:pPr>
      <w:r>
        <w:rPr>
          <w:rFonts w:eastAsia="Roboto"/>
        </w:rPr>
        <w:br w:type="column"/>
      </w:r>
      <w:r>
        <w:rPr>
          <w:rFonts w:eastAsia="Roboto"/>
          <w:color w:val="1A73E7"/>
          <w:w w:val="105"/>
        </w:rPr>
        <w:t>Copy</w:t>
      </w:r>
    </w:p>
    <w:p w14:paraId="1A9307E3">
      <w:pPr>
        <w:widowControl w:val="0"/>
        <w:autoSpaceDE w:val="0"/>
        <w:autoSpaceDN w:val="0"/>
        <w:rPr>
          <w:rFonts w:eastAsia="Roboto"/>
        </w:rPr>
        <w:sectPr>
          <w:type w:val="continuous"/>
          <w:pgSz w:w="11900" w:h="16840"/>
          <w:pgMar w:top="480" w:right="1280" w:bottom="1680" w:left="1040" w:header="720" w:footer="720" w:gutter="0"/>
          <w:cols w:equalWidth="0" w:num="2">
            <w:col w:w="6491" w:space="2305"/>
            <w:col w:w="784"/>
          </w:cols>
        </w:sectPr>
      </w:pPr>
    </w:p>
    <w:p w14:paraId="15A26230">
      <w:pPr>
        <w:widowControl w:val="0"/>
        <w:autoSpaceDE w:val="0"/>
        <w:autoSpaceDN w:val="0"/>
        <w:spacing w:before="1"/>
        <w:rPr>
          <w:rFonts w:eastAsia="Roboto"/>
        </w:rPr>
      </w:pPr>
    </w:p>
    <w:p w14:paraId="119D934C">
      <w:pPr>
        <w:widowControl w:val="0"/>
        <w:autoSpaceDE w:val="0"/>
        <w:autoSpaceDN w:val="0"/>
        <w:rPr>
          <w:rFonts w:eastAsia="Roboto"/>
        </w:rPr>
        <w:sectPr>
          <w:type w:val="continuous"/>
          <w:pgSz w:w="11900" w:h="16840"/>
          <w:pgMar w:top="480" w:right="1280" w:bottom="1680" w:left="1040" w:header="720" w:footer="720" w:gutter="0"/>
          <w:cols w:space="720" w:num="1"/>
        </w:sectPr>
      </w:pPr>
    </w:p>
    <w:p w14:paraId="65288580">
      <w:pPr>
        <w:widowControl w:val="0"/>
        <w:autoSpaceDE w:val="0"/>
        <w:autoSpaceDN w:val="0"/>
        <w:spacing w:before="94" w:line="504" w:lineRule="auto"/>
        <w:jc w:val="right"/>
        <w:rPr>
          <w:rFonts w:eastAsia="Roboto"/>
        </w:rPr>
      </w:pPr>
      <w:r>
        <w:rPr>
          <w:rFonts w:eastAsia="Roboto"/>
          <w:color w:val="212121"/>
          <w:spacing w:val="-1"/>
        </w:rPr>
        <w:t xml:space="preserve">Financial </w:t>
      </w:r>
      <w:r>
        <w:rPr>
          <w:rFonts w:eastAsia="Roboto"/>
          <w:color w:val="212121"/>
        </w:rPr>
        <w:t>Officer</w:t>
      </w:r>
      <w:r>
        <w:rPr>
          <w:rFonts w:eastAsia="Roboto"/>
          <w:color w:val="212121"/>
          <w:spacing w:val="-47"/>
        </w:rPr>
        <w:t xml:space="preserve"> </w:t>
      </w:r>
      <w:r>
        <w:rPr>
          <w:rFonts w:eastAsia="Roboto"/>
          <w:color w:val="212121"/>
          <w:spacing w:val="-2"/>
        </w:rPr>
        <w:t xml:space="preserve">Tax Administrator or </w:t>
      </w:r>
      <w:r>
        <w:rPr>
          <w:rFonts w:eastAsia="Roboto"/>
          <w:color w:val="212121"/>
          <w:spacing w:val="-1"/>
        </w:rPr>
        <w:t>Govt…</w:t>
      </w:r>
      <w:r>
        <w:rPr>
          <w:rFonts w:eastAsia="Roboto"/>
          <w:color w:val="212121"/>
          <w:spacing w:val="-47"/>
        </w:rPr>
        <w:t xml:space="preserve"> </w:t>
      </w:r>
      <w:r>
        <w:rPr>
          <w:rFonts w:eastAsia="Roboto"/>
          <w:color w:val="212121"/>
        </w:rPr>
        <w:t>Tax department of a busi…</w:t>
      </w:r>
      <w:r>
        <w:rPr>
          <w:rFonts w:eastAsia="Roboto"/>
          <w:color w:val="212121"/>
          <w:spacing w:val="-47"/>
        </w:rPr>
        <w:t xml:space="preserve"> </w:t>
      </w:r>
      <w:r>
        <w:rPr>
          <w:rFonts w:eastAsia="Roboto"/>
          <w:color w:val="212121"/>
        </w:rPr>
        <w:t>Professional</w:t>
      </w:r>
      <w:r>
        <w:rPr>
          <w:rFonts w:eastAsia="Roboto"/>
          <w:color w:val="212121"/>
          <w:spacing w:val="-10"/>
        </w:rPr>
        <w:t xml:space="preserve"> </w:t>
      </w:r>
      <w:r>
        <w:rPr>
          <w:rFonts w:eastAsia="Roboto"/>
          <w:color w:val="212121"/>
        </w:rPr>
        <w:t>Adviser</w:t>
      </w:r>
    </w:p>
    <w:p w14:paraId="5E9676DC">
      <w:pPr>
        <w:widowControl w:val="0"/>
        <w:autoSpaceDE w:val="0"/>
        <w:autoSpaceDN w:val="0"/>
        <w:spacing w:before="1" w:line="504" w:lineRule="auto"/>
        <w:jc w:val="right"/>
        <w:rPr>
          <w:rFonts w:eastAsia="Roboto"/>
        </w:rPr>
      </w:pPr>
      <w:r>
        <w:rPr>
          <w:rFonts w:eastAsia="Roboto"/>
          <w:color w:val="212121"/>
          <w:spacing w:val="-1"/>
        </w:rPr>
        <w:t xml:space="preserve">Legal </w:t>
      </w:r>
      <w:r>
        <w:rPr>
          <w:rFonts w:eastAsia="Roboto"/>
          <w:color w:val="212121"/>
        </w:rPr>
        <w:t>officer</w:t>
      </w:r>
      <w:r>
        <w:rPr>
          <w:rFonts w:eastAsia="Roboto"/>
          <w:color w:val="212121"/>
          <w:spacing w:val="-47"/>
        </w:rPr>
        <w:t xml:space="preserve"> </w:t>
      </w:r>
      <w:r>
        <w:rPr>
          <w:rFonts w:eastAsia="Roboto"/>
          <w:color w:val="212121"/>
          <w:spacing w:val="-1"/>
        </w:rPr>
        <w:t>Judicial</w:t>
      </w:r>
      <w:r>
        <w:rPr>
          <w:rFonts w:eastAsia="Roboto"/>
          <w:color w:val="212121"/>
          <w:spacing w:val="-8"/>
        </w:rPr>
        <w:t xml:space="preserve"> </w:t>
      </w:r>
      <w:r>
        <w:rPr>
          <w:rFonts w:eastAsia="Roboto"/>
          <w:color w:val="212121"/>
          <w:spacing w:val="-1"/>
        </w:rPr>
        <w:t>Officer</w:t>
      </w:r>
    </w:p>
    <w:p w14:paraId="4D5ABD53">
      <w:pPr>
        <w:widowControl w:val="0"/>
        <w:autoSpaceDE w:val="0"/>
        <w:autoSpaceDN w:val="0"/>
        <w:spacing w:before="94"/>
        <w:rPr>
          <w:rFonts w:eastAsia="Roboto"/>
        </w:rPr>
      </w:pPr>
      <w:r>
        <w:rPr>
          <w:rFonts w:eastAsia="Roboto"/>
        </w:rPr>
        <w:br w:type="column"/>
      </w:r>
      <w:r>
        <w:rPr>
          <w:rFonts w:eastAsia="Roboto"/>
        </w:rPr>
        <w:t>1 (1.4%)</w:t>
      </w:r>
    </w:p>
    <w:p w14:paraId="2D1DE61B">
      <w:pPr>
        <w:widowControl w:val="0"/>
        <w:autoSpaceDE w:val="0"/>
        <w:autoSpaceDN w:val="0"/>
        <w:spacing w:before="9"/>
        <w:rPr>
          <w:rFonts w:eastAsia="Roboto"/>
        </w:rPr>
      </w:pPr>
    </w:p>
    <w:p w14:paraId="6F116230">
      <w:pPr>
        <w:widowControl w:val="0"/>
        <w:autoSpaceDE w:val="0"/>
        <w:autoSpaceDN w:val="0"/>
        <w:rPr>
          <w:rFonts w:eastAsia="Roboto"/>
        </w:rPr>
      </w:pPr>
      <w:r>
        <w:rPr>
          <w:rFonts w:eastAsia="Roboto"/>
          <w:color w:val="202024"/>
          <w:spacing w:val="-1"/>
        </w:rPr>
        <w:t>4</w:t>
      </w:r>
      <w:r>
        <w:rPr>
          <w:rFonts w:eastAsia="Roboto"/>
          <w:color w:val="202024"/>
          <w:spacing w:val="-9"/>
        </w:rPr>
        <w:t xml:space="preserve"> </w:t>
      </w:r>
      <w:r>
        <w:rPr>
          <w:rFonts w:eastAsia="Roboto"/>
          <w:color w:val="202024"/>
          <w:spacing w:val="-1"/>
        </w:rPr>
        <w:t>(5.4%)</w:t>
      </w:r>
    </w:p>
    <w:p w14:paraId="08F0B71D">
      <w:pPr>
        <w:widowControl w:val="0"/>
        <w:autoSpaceDE w:val="0"/>
        <w:autoSpaceDN w:val="0"/>
        <w:rPr>
          <w:rFonts w:eastAsia="Roboto"/>
        </w:rPr>
      </w:pPr>
    </w:p>
    <w:p w14:paraId="15AD87C3">
      <w:pPr>
        <w:widowControl w:val="0"/>
        <w:autoSpaceDE w:val="0"/>
        <w:autoSpaceDN w:val="0"/>
        <w:rPr>
          <w:rFonts w:eastAsia="Roboto"/>
        </w:rPr>
      </w:pPr>
    </w:p>
    <w:p w14:paraId="3D3E0E78">
      <w:pPr>
        <w:widowControl w:val="0"/>
        <w:autoSpaceDE w:val="0"/>
        <w:autoSpaceDN w:val="0"/>
        <w:rPr>
          <w:rFonts w:eastAsia="Roboto"/>
        </w:rPr>
      </w:pPr>
    </w:p>
    <w:p w14:paraId="10BDE824">
      <w:pPr>
        <w:widowControl w:val="0"/>
        <w:autoSpaceDE w:val="0"/>
        <w:autoSpaceDN w:val="0"/>
        <w:rPr>
          <w:rFonts w:eastAsia="Roboto"/>
        </w:rPr>
      </w:pPr>
    </w:p>
    <w:p w14:paraId="607F58AF">
      <w:pPr>
        <w:widowControl w:val="0"/>
        <w:autoSpaceDE w:val="0"/>
        <w:autoSpaceDN w:val="0"/>
        <w:rPr>
          <w:rFonts w:eastAsia="Roboto"/>
        </w:rPr>
      </w:pPr>
    </w:p>
    <w:p w14:paraId="107A26D7">
      <w:pPr>
        <w:widowControl w:val="0"/>
        <w:autoSpaceDE w:val="0"/>
        <w:autoSpaceDN w:val="0"/>
        <w:rPr>
          <w:rFonts w:eastAsia="Roboto"/>
        </w:rPr>
      </w:pPr>
    </w:p>
    <w:p w14:paraId="3930C3D9">
      <w:pPr>
        <w:widowControl w:val="0"/>
        <w:autoSpaceDE w:val="0"/>
        <w:autoSpaceDN w:val="0"/>
        <w:spacing w:before="154"/>
        <w:rPr>
          <w:rFonts w:eastAsia="Roboto"/>
        </w:rPr>
      </w:pPr>
      <w:r>
        <w:rPr>
          <w:rFonts w:eastAsia="Roboto"/>
          <w:color w:val="202024"/>
        </w:rPr>
        <w:t>0 (0%)</w:t>
      </w:r>
    </w:p>
    <w:p w14:paraId="1ED62916">
      <w:pPr>
        <w:widowControl w:val="0"/>
        <w:autoSpaceDE w:val="0"/>
        <w:autoSpaceDN w:val="0"/>
        <w:rPr>
          <w:rFonts w:eastAsia="Roboto"/>
        </w:rPr>
      </w:pPr>
      <w:r>
        <w:rPr>
          <w:rFonts w:eastAsia="Roboto"/>
        </w:rPr>
        <w:br w:type="column"/>
      </w:r>
    </w:p>
    <w:p w14:paraId="18F2EEE3">
      <w:pPr>
        <w:widowControl w:val="0"/>
        <w:autoSpaceDE w:val="0"/>
        <w:autoSpaceDN w:val="0"/>
        <w:rPr>
          <w:rFonts w:eastAsia="Roboto"/>
        </w:rPr>
      </w:pPr>
    </w:p>
    <w:p w14:paraId="3AC32F4A">
      <w:pPr>
        <w:widowControl w:val="0"/>
        <w:autoSpaceDE w:val="0"/>
        <w:autoSpaceDN w:val="0"/>
        <w:rPr>
          <w:rFonts w:eastAsia="Roboto"/>
        </w:rPr>
      </w:pPr>
    </w:p>
    <w:p w14:paraId="6CFA05E4">
      <w:pPr>
        <w:widowControl w:val="0"/>
        <w:autoSpaceDE w:val="0"/>
        <w:autoSpaceDN w:val="0"/>
        <w:spacing w:before="9"/>
        <w:rPr>
          <w:rFonts w:eastAsia="Roboto"/>
        </w:rPr>
      </w:pPr>
    </w:p>
    <w:p w14:paraId="4EC0FE21">
      <w:pPr>
        <w:widowControl w:val="0"/>
        <w:autoSpaceDE w:val="0"/>
        <w:autoSpaceDN w:val="0"/>
        <w:rPr>
          <w:rFonts w:eastAsia="Roboto"/>
        </w:rPr>
      </w:pPr>
      <w:r>
        <w:rPr>
          <w:rFonts w:eastAsia="Roboto"/>
          <w:color w:val="202024"/>
        </w:rPr>
        <w:t xml:space="preserve">14 </w:t>
      </w:r>
      <w:r>
        <w:rPr>
          <w:rFonts w:eastAsia="Roboto"/>
          <w:color w:val="232327"/>
        </w:rPr>
        <w:t>(18.9%)</w:t>
      </w:r>
    </w:p>
    <w:p w14:paraId="5CE20D08">
      <w:pPr>
        <w:widowControl w:val="0"/>
        <w:autoSpaceDE w:val="0"/>
        <w:autoSpaceDN w:val="0"/>
        <w:rPr>
          <w:rFonts w:eastAsia="Roboto"/>
        </w:rPr>
      </w:pPr>
    </w:p>
    <w:p w14:paraId="671ACBF6">
      <w:pPr>
        <w:widowControl w:val="0"/>
        <w:autoSpaceDE w:val="0"/>
        <w:autoSpaceDN w:val="0"/>
        <w:rPr>
          <w:rFonts w:eastAsia="Roboto"/>
        </w:rPr>
      </w:pPr>
    </w:p>
    <w:p w14:paraId="0A0F9754">
      <w:pPr>
        <w:widowControl w:val="0"/>
        <w:autoSpaceDE w:val="0"/>
        <w:autoSpaceDN w:val="0"/>
        <w:spacing w:before="8"/>
        <w:rPr>
          <w:rFonts w:eastAsia="Roboto"/>
        </w:rPr>
      </w:pPr>
    </w:p>
    <w:p w14:paraId="132D27C4">
      <w:pPr>
        <w:widowControl w:val="0"/>
        <w:autoSpaceDE w:val="0"/>
        <w:autoSpaceDN w:val="0"/>
        <w:rPr>
          <w:rFonts w:eastAsia="Roboto"/>
        </w:rPr>
      </w:pPr>
      <w:r>
        <w:rPr>
          <w:rFonts w:eastAsia="Roboto"/>
        </w:rPr>
        <w:t>12 (16.2%)</w:t>
      </w:r>
    </w:p>
    <w:p w14:paraId="465B5129">
      <w:pPr>
        <w:widowControl w:val="0"/>
        <w:autoSpaceDE w:val="0"/>
        <w:autoSpaceDN w:val="0"/>
        <w:rPr>
          <w:rFonts w:eastAsia="Roboto"/>
        </w:rPr>
      </w:pPr>
      <w:r>
        <w:rPr>
          <w:rFonts w:eastAsia="Roboto"/>
        </w:rPr>
        <w:br w:type="column"/>
      </w:r>
    </w:p>
    <w:p w14:paraId="38456C42">
      <w:pPr>
        <w:widowControl w:val="0"/>
        <w:autoSpaceDE w:val="0"/>
        <w:autoSpaceDN w:val="0"/>
        <w:rPr>
          <w:rFonts w:eastAsia="Roboto"/>
        </w:rPr>
      </w:pPr>
    </w:p>
    <w:p w14:paraId="5A56FC10">
      <w:pPr>
        <w:widowControl w:val="0"/>
        <w:autoSpaceDE w:val="0"/>
        <w:autoSpaceDN w:val="0"/>
        <w:rPr>
          <w:rFonts w:eastAsia="Roboto"/>
        </w:rPr>
      </w:pPr>
    </w:p>
    <w:p w14:paraId="5610D4B8">
      <w:pPr>
        <w:widowControl w:val="0"/>
        <w:autoSpaceDE w:val="0"/>
        <w:autoSpaceDN w:val="0"/>
        <w:rPr>
          <w:rFonts w:eastAsia="Roboto"/>
        </w:rPr>
      </w:pPr>
    </w:p>
    <w:p w14:paraId="5EBD67B1">
      <w:pPr>
        <w:widowControl w:val="0"/>
        <w:autoSpaceDE w:val="0"/>
        <w:autoSpaceDN w:val="0"/>
        <w:rPr>
          <w:rFonts w:eastAsia="Roboto"/>
        </w:rPr>
      </w:pPr>
    </w:p>
    <w:p w14:paraId="233FCAC4">
      <w:pPr>
        <w:widowControl w:val="0"/>
        <w:autoSpaceDE w:val="0"/>
        <w:autoSpaceDN w:val="0"/>
        <w:spacing w:before="7"/>
        <w:rPr>
          <w:rFonts w:eastAsia="Roboto"/>
        </w:rPr>
      </w:pPr>
    </w:p>
    <w:p w14:paraId="61529665">
      <w:pPr>
        <w:widowControl w:val="0"/>
        <w:autoSpaceDE w:val="0"/>
        <w:autoSpaceDN w:val="0"/>
        <w:rPr>
          <w:rFonts w:eastAsia="Roboto"/>
        </w:rPr>
      </w:pPr>
      <w:r>
        <w:rPr>
          <w:rFonts w:eastAsia="Roboto"/>
          <w:color w:val="202024"/>
        </w:rPr>
        <w:t xml:space="preserve">41 </w:t>
      </w:r>
      <w:r>
        <w:rPr>
          <w:rFonts w:eastAsia="Roboto"/>
        </w:rPr>
        <w:t>(55.4%)</w:t>
      </w:r>
    </w:p>
    <w:p w14:paraId="38608EB0">
      <w:pPr>
        <w:widowControl w:val="0"/>
        <w:autoSpaceDE w:val="0"/>
        <w:autoSpaceDN w:val="0"/>
        <w:rPr>
          <w:rFonts w:eastAsia="Roboto"/>
        </w:rPr>
        <w:sectPr>
          <w:type w:val="continuous"/>
          <w:pgSz w:w="11900" w:h="16840"/>
          <w:pgMar w:top="480" w:right="1280" w:bottom="1680" w:left="1040" w:header="720" w:footer="720" w:gutter="0"/>
          <w:cols w:equalWidth="0" w:num="4">
            <w:col w:w="2365" w:space="53"/>
            <w:col w:w="1227" w:space="40"/>
            <w:col w:w="1176" w:space="1555"/>
            <w:col w:w="3164"/>
          </w:cols>
        </w:sectPr>
      </w:pPr>
    </w:p>
    <w:p w14:paraId="6B4EC24A">
      <w:pPr>
        <w:widowControl w:val="0"/>
        <w:tabs>
          <w:tab w:val="left" w:pos="3459"/>
        </w:tabs>
        <w:autoSpaceDE w:val="0"/>
        <w:autoSpaceDN w:val="0"/>
        <w:spacing w:before="1"/>
        <w:rPr>
          <w:rFonts w:eastAsia="Roboto"/>
        </w:rPr>
      </w:pPr>
      <w:r>
        <w:rPr>
          <w:rFonts w:eastAsia="Roboto"/>
          <w:color w:val="212121"/>
        </w:rPr>
        <w:t>Other ( Please specify)</w:t>
      </w:r>
      <w:r>
        <w:rPr>
          <w:rFonts w:eastAsia="Roboto"/>
          <w:color w:val="212121"/>
        </w:rPr>
        <w:tab/>
      </w:r>
      <w:r>
        <w:rPr>
          <w:rFonts w:eastAsia="Roboto"/>
          <w:color w:val="202024"/>
        </w:rPr>
        <w:t>9 (12.2%)</w:t>
      </w:r>
    </w:p>
    <w:p w14:paraId="47806E3E">
      <w:pPr>
        <w:widowControl w:val="0"/>
        <w:autoSpaceDE w:val="0"/>
        <w:autoSpaceDN w:val="0"/>
        <w:spacing w:before="4"/>
        <w:rPr>
          <w:rFonts w:eastAsia="Roboto"/>
        </w:rPr>
      </w:pPr>
    </w:p>
    <w:p w14:paraId="251226F4">
      <w:pPr>
        <w:widowControl w:val="0"/>
        <w:tabs>
          <w:tab w:val="left" w:pos="4252"/>
          <w:tab w:val="left" w:pos="6202"/>
          <w:tab w:val="left" w:pos="8152"/>
        </w:tabs>
        <w:autoSpaceDE w:val="0"/>
        <w:autoSpaceDN w:val="0"/>
        <w:spacing w:before="94"/>
        <w:rPr>
          <w:rFonts w:eastAsia="Roboto"/>
        </w:rPr>
      </w:pPr>
      <w:r>
        <w:rPr>
          <w:rFonts w:eastAsia="Roboto"/>
          <w:color w:val="444444"/>
        </w:rPr>
        <w:t>0</w:t>
      </w:r>
      <w:r>
        <w:rPr>
          <w:rFonts w:eastAsia="Roboto"/>
          <w:color w:val="444444"/>
        </w:rPr>
        <w:tab/>
      </w:r>
      <w:r>
        <w:rPr>
          <w:rFonts w:eastAsia="Roboto"/>
          <w:color w:val="444444"/>
        </w:rPr>
        <w:t>20</w:t>
      </w:r>
      <w:r>
        <w:rPr>
          <w:rFonts w:eastAsia="Roboto"/>
          <w:color w:val="444444"/>
        </w:rPr>
        <w:tab/>
      </w:r>
      <w:r>
        <w:rPr>
          <w:rFonts w:eastAsia="Roboto"/>
          <w:color w:val="444444"/>
        </w:rPr>
        <w:t>40</w:t>
      </w:r>
      <w:r>
        <w:rPr>
          <w:rFonts w:eastAsia="Roboto"/>
          <w:color w:val="444444"/>
        </w:rPr>
        <w:tab/>
      </w:r>
      <w:r>
        <w:rPr>
          <w:rFonts w:eastAsia="Roboto"/>
          <w:color w:val="444444"/>
        </w:rPr>
        <w:t>60</w:t>
      </w:r>
    </w:p>
    <w:p w14:paraId="446D1DBB">
      <w:pPr>
        <w:widowControl w:val="0"/>
        <w:autoSpaceDE w:val="0"/>
        <w:autoSpaceDN w:val="0"/>
        <w:spacing w:before="4"/>
        <w:rPr>
          <w:rFonts w:eastAsia="Roboto"/>
        </w:rPr>
      </w:pPr>
    </w:p>
    <w:p w14:paraId="291A6687">
      <w:pPr>
        <w:widowControl w:val="0"/>
        <w:autoSpaceDE w:val="0"/>
        <w:autoSpaceDN w:val="0"/>
        <w:rPr>
          <w:rFonts w:eastAsia="Roboto"/>
        </w:rPr>
        <w:sectPr>
          <w:type w:val="continuous"/>
          <w:pgSz w:w="11900" w:h="16840"/>
          <w:pgMar w:top="480" w:right="1280" w:bottom="1680" w:left="1040" w:header="720" w:footer="720" w:gutter="0"/>
          <w:cols w:space="720" w:num="1"/>
        </w:sectPr>
      </w:pPr>
    </w:p>
    <w:p w14:paraId="74DC097A">
      <w:pPr>
        <w:widowControl w:val="0"/>
        <w:autoSpaceDE w:val="0"/>
        <w:autoSpaceDN w:val="0"/>
        <w:spacing w:before="95"/>
        <w:outlineLvl w:val="0"/>
        <w:rPr>
          <w:rFonts w:eastAsia="Roboto"/>
        </w:rPr>
      </w:pPr>
      <w:r>
        <w:rPr>
          <w:rFonts w:eastAsia="Roboto"/>
          <w:color w:val="202024"/>
        </w:rPr>
        <w:t>Please</w:t>
      </w:r>
      <w:r>
        <w:rPr>
          <w:rFonts w:eastAsia="Roboto"/>
          <w:color w:val="202024"/>
          <w:spacing w:val="21"/>
        </w:rPr>
        <w:t xml:space="preserve"> </w:t>
      </w:r>
      <w:r>
        <w:rPr>
          <w:rFonts w:eastAsia="Roboto"/>
          <w:color w:val="202024"/>
        </w:rPr>
        <w:t>specify_1</w:t>
      </w:r>
    </w:p>
    <w:p w14:paraId="3864959E">
      <w:pPr>
        <w:widowControl w:val="0"/>
        <w:autoSpaceDE w:val="0"/>
        <w:autoSpaceDN w:val="0"/>
        <w:spacing w:before="174"/>
        <w:rPr>
          <w:rFonts w:eastAsia="Roboto"/>
        </w:rPr>
      </w:pPr>
      <w:r>
        <w:rPr>
          <w:rFonts w:eastAsia="Roboto"/>
          <w:color w:val="202024"/>
        </w:rPr>
        <w:t>22</w:t>
      </w:r>
      <w:r>
        <w:rPr>
          <w:rFonts w:eastAsia="Roboto"/>
          <w:color w:val="202024"/>
          <w:spacing w:val="20"/>
        </w:rPr>
        <w:t xml:space="preserve"> </w:t>
      </w:r>
      <w:r>
        <w:rPr>
          <w:rFonts w:eastAsia="Roboto"/>
          <w:color w:val="202024"/>
        </w:rPr>
        <w:t>responses</w:t>
      </w:r>
    </w:p>
    <w:p w14:paraId="05CC9177">
      <w:pPr>
        <w:widowControl w:val="0"/>
        <w:autoSpaceDE w:val="0"/>
        <w:autoSpaceDN w:val="0"/>
        <w:spacing w:before="74"/>
        <w:rPr>
          <w:rFonts w:eastAsia="Roboto"/>
        </w:rPr>
      </w:pPr>
      <w:r>
        <w:rPr>
          <w:rFonts w:eastAsia="Roboto"/>
        </w:rPr>
        <w:br w:type="column"/>
      </w:r>
      <w:r>
        <w:rPr>
          <w:rFonts w:eastAsia="Roboto"/>
          <w:color w:val="1A73E7"/>
          <w:w w:val="105"/>
        </w:rPr>
        <w:t>Copy</w:t>
      </w:r>
    </w:p>
    <w:p w14:paraId="13F52526">
      <w:pPr>
        <w:widowControl w:val="0"/>
        <w:autoSpaceDE w:val="0"/>
        <w:autoSpaceDN w:val="0"/>
        <w:rPr>
          <w:rFonts w:eastAsia="Roboto"/>
        </w:rPr>
        <w:sectPr>
          <w:type w:val="continuous"/>
          <w:pgSz w:w="11900" w:h="16840"/>
          <w:pgMar w:top="480" w:right="1280" w:bottom="1680" w:left="1040" w:header="720" w:footer="720" w:gutter="0"/>
          <w:cols w:equalWidth="0" w:num="2">
            <w:col w:w="1995" w:space="6801"/>
            <w:col w:w="784"/>
          </w:cols>
        </w:sectPr>
      </w:pPr>
    </w:p>
    <w:p w14:paraId="3E9EEF02">
      <w:pPr>
        <w:widowControl w:val="0"/>
        <w:autoSpaceDE w:val="0"/>
        <w:autoSpaceDN w:val="0"/>
        <w:spacing w:before="9"/>
        <w:rPr>
          <w:rFonts w:eastAsia="Roboto"/>
        </w:rPr>
      </w:pPr>
    </w:p>
    <w:p w14:paraId="7243EF26">
      <w:pPr>
        <w:widowControl w:val="0"/>
        <w:autoSpaceDE w:val="0"/>
        <w:autoSpaceDN w:val="0"/>
        <w:rPr>
          <w:rFonts w:eastAsia="Roboto"/>
        </w:rPr>
        <w:sectPr>
          <w:type w:val="continuous"/>
          <w:pgSz w:w="11900" w:h="16840"/>
          <w:pgMar w:top="480" w:right="1280" w:bottom="1680" w:left="1040" w:header="720" w:footer="720" w:gutter="0"/>
          <w:cols w:space="720" w:num="1"/>
        </w:sectPr>
      </w:pPr>
    </w:p>
    <w:p w14:paraId="333A7353">
      <w:pPr>
        <w:widowControl w:val="0"/>
        <w:autoSpaceDE w:val="0"/>
        <w:autoSpaceDN w:val="0"/>
        <w:spacing w:before="95"/>
        <w:rPr>
          <w:rFonts w:eastAsia="Roboto"/>
        </w:rPr>
      </w:pPr>
      <w:r>
        <w:rPr>
          <w:rFonts w:eastAsia="Roboto"/>
          <w:color w:val="444444"/>
        </w:rPr>
        <w:t>2</w:t>
      </w:r>
    </w:p>
    <w:p w14:paraId="64670DFE">
      <w:pPr>
        <w:widowControl w:val="0"/>
        <w:autoSpaceDE w:val="0"/>
        <w:autoSpaceDN w:val="0"/>
        <w:spacing w:before="70"/>
        <w:rPr>
          <w:rFonts w:eastAsia="Roboto"/>
        </w:rPr>
      </w:pPr>
      <w:r>
        <mc:AlternateContent>
          <mc:Choice Requires="wps">
            <w:drawing>
              <wp:anchor distT="0" distB="0" distL="114300" distR="114300" simplePos="0" relativeHeight="251741184" behindDoc="0" locked="0" layoutInCell="1" allowOverlap="1">
                <wp:simplePos x="0" y="0"/>
                <wp:positionH relativeFrom="page">
                  <wp:posOffset>4832350</wp:posOffset>
                </wp:positionH>
                <wp:positionV relativeFrom="paragraph">
                  <wp:posOffset>48260</wp:posOffset>
                </wp:positionV>
                <wp:extent cx="210185" cy="128270"/>
                <wp:effectExtent l="0" t="0" r="0" b="0"/>
                <wp:wrapNone/>
                <wp:docPr id="671707061" name="Text Box 54"/>
                <wp:cNvGraphicFramePr/>
                <a:graphic xmlns:a="http://schemas.openxmlformats.org/drawingml/2006/main">
                  <a:graphicData uri="http://schemas.microsoft.com/office/word/2010/wordprocessingShape">
                    <wps:wsp>
                      <wps:cNvSpPr txBox="1">
                        <a:spLocks noChangeArrowheads="1"/>
                      </wps:cNvSpPr>
                      <wps:spPr bwMode="auto">
                        <a:xfrm>
                          <a:off x="0" y="0"/>
                          <a:ext cx="210185" cy="128270"/>
                        </a:xfrm>
                        <a:prstGeom prst="rect">
                          <a:avLst/>
                        </a:prstGeom>
                        <a:noFill/>
                        <a:ln>
                          <a:noFill/>
                        </a:ln>
                        <a:effectLst/>
                      </wps:spPr>
                      <wps:txbx>
                        <w:txbxContent>
                          <w:p w14:paraId="723FFD11">
                            <w:pPr>
                              <w:spacing w:line="201" w:lineRule="exact"/>
                              <w:rPr>
                                <w:rFonts w:ascii="Arial MT"/>
                                <w:sz w:val="18"/>
                              </w:rPr>
                            </w:pPr>
                            <w:r>
                              <w:rPr>
                                <w:rFonts w:ascii="Arial MT"/>
                                <w:color w:val="202024"/>
                                <w:sz w:val="18"/>
                              </w:rPr>
                              <w:t>2 (9</w:t>
                            </w:r>
                          </w:p>
                        </w:txbxContent>
                      </wps:txbx>
                      <wps:bodyPr rot="0" vert="horz" wrap="square" lIns="0" tIns="0" rIns="0" bIns="0" anchor="t" anchorCtr="0" upright="1">
                        <a:noAutofit/>
                      </wps:bodyPr>
                    </wps:wsp>
                  </a:graphicData>
                </a:graphic>
              </wp:anchor>
            </w:drawing>
          </mc:Choice>
          <mc:Fallback>
            <w:pict>
              <v:shape id="Text Box 54" o:spid="_x0000_s1026" o:spt="202" type="#_x0000_t202" style="position:absolute;left:0pt;margin-left:380.5pt;margin-top:3.8pt;height:10.1pt;width:16.55pt;mso-position-horizontal-relative:page;z-index:251741184;mso-width-relative:page;mso-height-relative:page;" filled="f" stroked="f" coordsize="21600,21600" o:gfxdata="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n7BC2AAAAAgBAAAPAAAAAAAAAAEAIAAAACIA&#10;AABkcnMvZG93bnJldi54bWxQSwECFAAUAAAACACHTuJAeeij8QkCAAAaBAAADgAAAAAAAAABACAA&#10;AAAnAQAAZHJzL2Uyb0RvYy54bWxQSwUGAAAAAAYABgBZAQAAogUAAAAA&#10;">
                <v:fill on="f" focussize="0,0"/>
                <v:stroke on="f"/>
                <v:imagedata o:title=""/>
                <o:lock v:ext="edit" aspectratio="f"/>
                <v:textbox inset="0mm,0mm,0mm,0mm">
                  <w:txbxContent>
                    <w:p w14:paraId="723FFD11">
                      <w:pPr>
                        <w:spacing w:line="201" w:lineRule="exact"/>
                        <w:rPr>
                          <w:rFonts w:ascii="Arial MT"/>
                          <w:sz w:val="18"/>
                        </w:rPr>
                      </w:pPr>
                      <w:r>
                        <w:rPr>
                          <w:rFonts w:ascii="Arial MT"/>
                          <w:color w:val="202024"/>
                          <w:sz w:val="18"/>
                        </w:rPr>
                        <w:t>2 (9</w:t>
                      </w:r>
                    </w:p>
                  </w:txbxContent>
                </v:textbox>
              </v:shape>
            </w:pict>
          </mc:Fallback>
        </mc:AlternateContent>
      </w:r>
      <w:r>
        <w:rPr>
          <w:rFonts w:eastAsia="Roboto"/>
          <w:color w:val="202024"/>
        </w:rPr>
        <w:t>.1%)</w:t>
      </w:r>
    </w:p>
    <w:p w14:paraId="6090B71E">
      <w:pPr>
        <w:widowControl w:val="0"/>
        <w:autoSpaceDE w:val="0"/>
        <w:autoSpaceDN w:val="0"/>
        <w:rPr>
          <w:rFonts w:eastAsia="Roboto"/>
        </w:rPr>
      </w:pPr>
      <w:r>
        <w:rPr>
          <w:rFonts w:eastAsia="Roboto"/>
        </w:rPr>
        <w:br w:type="column"/>
      </w:r>
    </w:p>
    <w:p w14:paraId="2ACDDEAE">
      <w:pPr>
        <w:widowControl w:val="0"/>
        <w:autoSpaceDE w:val="0"/>
        <w:autoSpaceDN w:val="0"/>
        <w:spacing w:before="142"/>
        <w:rPr>
          <w:rFonts w:eastAsia="Roboto"/>
        </w:rPr>
      </w:pPr>
      <w:r>
        <mc:AlternateContent>
          <mc:Choice Requires="wps">
            <w:drawing>
              <wp:anchor distT="0" distB="0" distL="114300" distR="114300" simplePos="0" relativeHeight="251742208" behindDoc="0" locked="0" layoutInCell="1" allowOverlap="1">
                <wp:simplePos x="0" y="0"/>
                <wp:positionH relativeFrom="page">
                  <wp:posOffset>5648325</wp:posOffset>
                </wp:positionH>
                <wp:positionV relativeFrom="paragraph">
                  <wp:posOffset>-13970</wp:posOffset>
                </wp:positionV>
                <wp:extent cx="824230" cy="419100"/>
                <wp:effectExtent l="0" t="0" r="0" b="0"/>
                <wp:wrapNone/>
                <wp:docPr id="1798813278" name="Text Box 53"/>
                <wp:cNvGraphicFramePr/>
                <a:graphic xmlns:a="http://schemas.openxmlformats.org/drawingml/2006/main">
                  <a:graphicData uri="http://schemas.microsoft.com/office/word/2010/wordprocessingShape">
                    <wps:wsp>
                      <wps:cNvSpPr txBox="1">
                        <a:spLocks noChangeArrowheads="1"/>
                      </wps:cNvSpPr>
                      <wps:spPr bwMode="auto">
                        <a:xfrm>
                          <a:off x="0" y="0"/>
                          <a:ext cx="824230" cy="419100"/>
                        </a:xfrm>
                        <a:prstGeom prst="rect">
                          <a:avLst/>
                        </a:prstGeom>
                        <a:noFill/>
                        <a:ln>
                          <a:noFill/>
                        </a:ln>
                        <a:effectLst/>
                      </wps:spPr>
                      <wps:txbx>
                        <w:txbxContent>
                          <w:p w14:paraId="73C95965">
                            <w:pPr>
                              <w:spacing w:before="164"/>
                              <w:rPr>
                                <w:rFonts w:ascii="Arial MT"/>
                                <w:sz w:val="18"/>
                              </w:rPr>
                            </w:pPr>
                            <w:r>
                              <w:rPr>
                                <w:rFonts w:ascii="Arial MT"/>
                                <w:color w:val="202024"/>
                                <w:sz w:val="18"/>
                              </w:rPr>
                              <w:t>1%)</w:t>
                            </w:r>
                          </w:p>
                        </w:txbxContent>
                      </wps:txbx>
                      <wps:bodyPr rot="0" vert="horz" wrap="square" lIns="0" tIns="0" rIns="0" bIns="0" anchor="t" anchorCtr="0" upright="1">
                        <a:noAutofit/>
                      </wps:bodyPr>
                    </wps:wsp>
                  </a:graphicData>
                </a:graphic>
              </wp:anchor>
            </w:drawing>
          </mc:Choice>
          <mc:Fallback>
            <w:pict>
              <v:shape id="Text Box 53" o:spid="_x0000_s1026" o:spt="202" type="#_x0000_t202" style="position:absolute;left:0pt;margin-left:444.75pt;margin-top:-1.1pt;height:33pt;width:64.9pt;mso-position-horizontal-relative:page;z-index:251742208;mso-width-relative:page;mso-height-relative:page;" filled="f" stroked="f" coordsize="21600,21600" o:gfxdata="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MVN4PZAAAACgEAAA8AAAAAAAAAAQAgAAAA&#10;IgAAAGRycy9kb3ducmV2LnhtbFBLAQIUABQAAAAIAIdO4kCMj7k4CgIAABsEAAAOAAAAAAAAAAEA&#10;IAAAACgBAABkcnMvZTJvRG9jLnhtbFBLBQYAAAAABgAGAFkBAACkBQAAAAA=&#10;">
                <v:fill on="f" focussize="0,0"/>
                <v:stroke on="f"/>
                <v:imagedata o:title=""/>
                <o:lock v:ext="edit" aspectratio="f"/>
                <v:textbox inset="0mm,0mm,0mm,0mm">
                  <w:txbxContent>
                    <w:p w14:paraId="73C95965">
                      <w:pPr>
                        <w:spacing w:before="164"/>
                        <w:rPr>
                          <w:rFonts w:ascii="Arial MT"/>
                          <w:sz w:val="18"/>
                        </w:rPr>
                      </w:pPr>
                      <w:r>
                        <w:rPr>
                          <w:rFonts w:ascii="Arial MT"/>
                          <w:color w:val="202024"/>
                          <w:sz w:val="18"/>
                        </w:rPr>
                        <w:t>1%)</w:t>
                      </w:r>
                    </w:p>
                  </w:txbxContent>
                </v:textbox>
              </v:shape>
            </w:pict>
          </mc:Fallback>
        </mc:AlternateContent>
      </w:r>
      <w:r>
        <w:rPr>
          <w:rFonts w:eastAsia="Roboto"/>
          <w:color w:val="232327"/>
        </w:rPr>
        <w:t xml:space="preserve">2 </w:t>
      </w:r>
      <w:r>
        <w:rPr>
          <w:rFonts w:eastAsia="Roboto"/>
          <w:color w:val="202024"/>
        </w:rPr>
        <w:t>(9.</w:t>
      </w:r>
    </w:p>
    <w:p w14:paraId="36E47874">
      <w:pPr>
        <w:widowControl w:val="0"/>
        <w:autoSpaceDE w:val="0"/>
        <w:autoSpaceDN w:val="0"/>
        <w:rPr>
          <w:rFonts w:eastAsia="Roboto"/>
        </w:rPr>
        <w:sectPr>
          <w:type w:val="continuous"/>
          <w:pgSz w:w="11900" w:h="16840"/>
          <w:pgMar w:top="480" w:right="1280" w:bottom="1680" w:left="1040" w:header="720" w:footer="720" w:gutter="0"/>
          <w:cols w:equalWidth="0" w:num="2">
            <w:col w:w="7250" w:space="40"/>
            <w:col w:w="2290"/>
          </w:cols>
        </w:sectPr>
      </w:pPr>
    </w:p>
    <w:p w14:paraId="75EDB94D">
      <w:pPr>
        <w:widowControl w:val="0"/>
        <w:autoSpaceDE w:val="0"/>
        <w:autoSpaceDN w:val="0"/>
        <w:rPr>
          <w:rFonts w:eastAsia="Roboto"/>
        </w:rPr>
      </w:pPr>
    </w:p>
    <w:p w14:paraId="3BEAC3E5">
      <w:pPr>
        <w:widowControl w:val="0"/>
        <w:autoSpaceDE w:val="0"/>
        <w:autoSpaceDN w:val="0"/>
        <w:spacing w:before="3"/>
        <w:rPr>
          <w:rFonts w:eastAsia="Roboto"/>
        </w:rPr>
      </w:pPr>
    </w:p>
    <w:p w14:paraId="386A0B06">
      <w:pPr>
        <w:widowControl w:val="0"/>
        <w:autoSpaceDE w:val="0"/>
        <w:autoSpaceDN w:val="0"/>
        <w:rPr>
          <w:rFonts w:eastAsia="Roboto"/>
        </w:rPr>
        <w:sectPr>
          <w:type w:val="continuous"/>
          <w:pgSz w:w="11900" w:h="16840"/>
          <w:pgMar w:top="480" w:right="1280" w:bottom="1680" w:left="1040" w:header="720" w:footer="720" w:gutter="0"/>
          <w:cols w:space="720" w:num="1"/>
        </w:sectPr>
      </w:pPr>
    </w:p>
    <w:p w14:paraId="5735AF0F">
      <w:pPr>
        <w:widowControl w:val="0"/>
        <w:tabs>
          <w:tab w:val="left" w:pos="6974"/>
        </w:tabs>
        <w:autoSpaceDE w:val="0"/>
        <w:autoSpaceDN w:val="0"/>
        <w:spacing w:before="94"/>
        <w:rPr>
          <w:rFonts w:eastAsia="Roboto"/>
        </w:rPr>
      </w:pPr>
      <w:r>
        <mc:AlternateContent>
          <mc:Choice Requires="wps">
            <w:drawing>
              <wp:anchor distT="0" distB="0" distL="114300" distR="114300" simplePos="0" relativeHeight="251743232" behindDoc="1" locked="0" layoutInCell="1" allowOverlap="1">
                <wp:simplePos x="0" y="0"/>
                <wp:positionH relativeFrom="page">
                  <wp:posOffset>1318895</wp:posOffset>
                </wp:positionH>
                <wp:positionV relativeFrom="paragraph">
                  <wp:posOffset>-130175</wp:posOffset>
                </wp:positionV>
                <wp:extent cx="3653155" cy="419100"/>
                <wp:effectExtent l="0" t="0" r="0" b="0"/>
                <wp:wrapNone/>
                <wp:docPr id="161348" name="Text Box 52"/>
                <wp:cNvGraphicFramePr/>
                <a:graphic xmlns:a="http://schemas.openxmlformats.org/drawingml/2006/main">
                  <a:graphicData uri="http://schemas.microsoft.com/office/word/2010/wordprocessingShape">
                    <wps:wsp>
                      <wps:cNvSpPr txBox="1">
                        <a:spLocks noChangeArrowheads="1"/>
                      </wps:cNvSpPr>
                      <wps:spPr bwMode="auto">
                        <a:xfrm>
                          <a:off x="0" y="0"/>
                          <a:ext cx="3653155" cy="419100"/>
                        </a:xfrm>
                        <a:prstGeom prst="rect">
                          <a:avLst/>
                        </a:prstGeom>
                        <a:noFill/>
                        <a:ln>
                          <a:noFill/>
                        </a:ln>
                        <a:effectLst/>
                      </wps:spPr>
                      <wps:txbx>
                        <w:txbxContent>
                          <w:p w14:paraId="185EFC98">
                            <w:pPr>
                              <w:pStyle w:val="15"/>
                              <w:spacing w:before="7"/>
                              <w:rPr>
                                <w:rFonts w:ascii="Lucida Sans Unicode"/>
                                <w:sz w:val="19"/>
                              </w:rPr>
                            </w:pPr>
                          </w:p>
                          <w:p w14:paraId="0F0D0D37">
                            <w:pPr>
                              <w:ind w:right="-58"/>
                              <w:rPr>
                                <w:rFonts w:ascii="Arial MT"/>
                                <w:sz w:val="18"/>
                              </w:rPr>
                            </w:pPr>
                            <w:r>
                              <w:rPr>
                                <w:rFonts w:ascii="Arial MT"/>
                                <w:color w:val="202024"/>
                                <w:sz w:val="18"/>
                              </w:rPr>
                              <w:t>(4.</w:t>
                            </w:r>
                            <w:r>
                              <w:rPr>
                                <w:rFonts w:ascii="Arial MT"/>
                                <w:color w:val="202024"/>
                                <w:spacing w:val="-56"/>
                                <w:sz w:val="18"/>
                              </w:rPr>
                              <w:t>5</w:t>
                            </w:r>
                            <w:r>
                              <w:rPr>
                                <w:rFonts w:ascii="Arial MT"/>
                                <w:color w:val="202024"/>
                                <w:spacing w:val="-45"/>
                                <w:sz w:val="18"/>
                              </w:rPr>
                              <w:t>1</w:t>
                            </w:r>
                            <w:r>
                              <w:rPr>
                                <w:rFonts w:ascii="Arial MT"/>
                                <w:color w:val="202024"/>
                                <w:spacing w:val="-66"/>
                                <w:sz w:val="18"/>
                              </w:rPr>
                              <w:t>%</w:t>
                            </w:r>
                            <w:r>
                              <w:rPr>
                                <w:rFonts w:ascii="Arial MT"/>
                                <w:color w:val="202024"/>
                                <w:sz w:val="18"/>
                              </w:rPr>
                              <w:t>(</w:t>
                            </w:r>
                            <w:r>
                              <w:rPr>
                                <w:rFonts w:ascii="Arial MT"/>
                                <w:spacing w:val="-95"/>
                                <w:sz w:val="18"/>
                              </w:rPr>
                              <w:t>4</w:t>
                            </w:r>
                            <w:r>
                              <w:rPr>
                                <w:rFonts w:ascii="Arial MT"/>
                                <w:color w:val="202024"/>
                                <w:sz w:val="18"/>
                              </w:rPr>
                              <w:t>)</w:t>
                            </w:r>
                            <w:r>
                              <w:rPr>
                                <w:rFonts w:ascii="Arial MT"/>
                                <w:color w:val="202024"/>
                                <w:spacing w:val="-16"/>
                                <w:sz w:val="18"/>
                              </w:rPr>
                              <w:t xml:space="preserve"> </w:t>
                            </w:r>
                            <w:r>
                              <w:rPr>
                                <w:rFonts w:ascii="Arial MT"/>
                                <w:sz w:val="18"/>
                              </w:rPr>
                              <w:t>.</w:t>
                            </w:r>
                            <w:r>
                              <w:rPr>
                                <w:rFonts w:ascii="Arial MT"/>
                                <w:spacing w:val="-56"/>
                                <w:sz w:val="18"/>
                              </w:rPr>
                              <w:t>5</w:t>
                            </w:r>
                            <w:r>
                              <w:rPr>
                                <w:rFonts w:ascii="Arial MT"/>
                                <w:color w:val="202024"/>
                                <w:spacing w:val="-45"/>
                                <w:sz w:val="18"/>
                              </w:rPr>
                              <w:t>1</w:t>
                            </w:r>
                            <w:r>
                              <w:rPr>
                                <w:rFonts w:ascii="Arial MT"/>
                                <w:spacing w:val="-66"/>
                                <w:sz w:val="18"/>
                              </w:rPr>
                              <w:t>%</w:t>
                            </w:r>
                            <w:r>
                              <w:rPr>
                                <w:rFonts w:ascii="Arial MT"/>
                                <w:color w:val="202024"/>
                                <w:sz w:val="18"/>
                              </w:rPr>
                              <w:t>(</w:t>
                            </w:r>
                            <w:r>
                              <w:rPr>
                                <w:rFonts w:ascii="Arial MT"/>
                                <w:color w:val="202024"/>
                                <w:spacing w:val="-95"/>
                                <w:sz w:val="18"/>
                              </w:rPr>
                              <w:t>4</w:t>
                            </w:r>
                            <w:r>
                              <w:rPr>
                                <w:rFonts w:ascii="Arial MT"/>
                                <w:sz w:val="18"/>
                              </w:rPr>
                              <w:t>)</w:t>
                            </w:r>
                            <w:r>
                              <w:rPr>
                                <w:rFonts w:ascii="Arial MT"/>
                                <w:spacing w:val="-16"/>
                                <w:sz w:val="18"/>
                              </w:rPr>
                              <w:t xml:space="preserve"> </w:t>
                            </w:r>
                            <w:r>
                              <w:rPr>
                                <w:rFonts w:ascii="Arial MT"/>
                                <w:color w:val="202024"/>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spacing w:val="-95"/>
                                <w:sz w:val="18"/>
                              </w:rPr>
                              <w:t>4</w:t>
                            </w:r>
                            <w:r>
                              <w:rPr>
                                <w:rFonts w:ascii="Arial MT"/>
                                <w:color w:val="232327"/>
                                <w:sz w:val="18"/>
                              </w:rPr>
                              <w:t>)</w:t>
                            </w:r>
                            <w:r>
                              <w:rPr>
                                <w:rFonts w:ascii="Arial MT"/>
                                <w:color w:val="232327"/>
                                <w:spacing w:val="-16"/>
                                <w:sz w:val="18"/>
                              </w:rPr>
                              <w:t xml:space="preserve"> </w:t>
                            </w:r>
                            <w:r>
                              <w:rPr>
                                <w:rFonts w:ascii="Arial MT"/>
                                <w:sz w:val="18"/>
                              </w:rPr>
                              <w:t>.</w:t>
                            </w:r>
                            <w:r>
                              <w:rPr>
                                <w:rFonts w:ascii="Arial MT"/>
                                <w:spacing w:val="-56"/>
                                <w:sz w:val="18"/>
                              </w:rPr>
                              <w:t>5</w:t>
                            </w:r>
                            <w:r>
                              <w:rPr>
                                <w:rFonts w:ascii="Arial MT"/>
                                <w:spacing w:val="-45"/>
                                <w:sz w:val="18"/>
                              </w:rPr>
                              <w:t>1</w:t>
                            </w:r>
                            <w:r>
                              <w:rPr>
                                <w:rFonts w:ascii="Arial MT"/>
                                <w:spacing w:val="-66"/>
                                <w:sz w:val="18"/>
                              </w:rPr>
                              <w:t>%</w:t>
                            </w:r>
                            <w:r>
                              <w:rPr>
                                <w:rFonts w:ascii="Arial MT"/>
                                <w:color w:val="202024"/>
                                <w:sz w:val="18"/>
                              </w:rPr>
                              <w:t>(</w:t>
                            </w:r>
                            <w:r>
                              <w:rPr>
                                <w:rFonts w:ascii="Arial MT"/>
                                <w:color w:val="202024"/>
                                <w:spacing w:val="-95"/>
                                <w:sz w:val="18"/>
                              </w:rPr>
                              <w:t>4</w:t>
                            </w:r>
                            <w:r>
                              <w:rPr>
                                <w:rFonts w:ascii="Arial MT"/>
                                <w:sz w:val="18"/>
                              </w:rPr>
                              <w:t>)</w:t>
                            </w:r>
                            <w:r>
                              <w:rPr>
                                <w:rFonts w:ascii="Arial MT"/>
                                <w:spacing w:val="-16"/>
                                <w:sz w:val="18"/>
                              </w:rPr>
                              <w:t xml:space="preserve"> </w:t>
                            </w:r>
                            <w:r>
                              <w:rPr>
                                <w:rFonts w:ascii="Arial MT"/>
                                <w:color w:val="202024"/>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color w:val="202024"/>
                                <w:spacing w:val="-95"/>
                                <w:sz w:val="18"/>
                              </w:rPr>
                              <w:t>4</w:t>
                            </w:r>
                            <w:r>
                              <w:rPr>
                                <w:rFonts w:ascii="Arial MT"/>
                                <w:color w:val="232327"/>
                                <w:sz w:val="18"/>
                              </w:rPr>
                              <w:t>)</w:t>
                            </w:r>
                            <w:r>
                              <w:rPr>
                                <w:rFonts w:ascii="Arial MT"/>
                                <w:color w:val="232327"/>
                                <w:spacing w:val="-16"/>
                                <w:sz w:val="18"/>
                              </w:rPr>
                              <w:t xml:space="preserve"> </w:t>
                            </w:r>
                            <w:r>
                              <w:rPr>
                                <w:rFonts w:ascii="Arial MT"/>
                                <w:color w:val="202024"/>
                                <w:sz w:val="18"/>
                              </w:rPr>
                              <w:t>.</w:t>
                            </w:r>
                            <w:r>
                              <w:rPr>
                                <w:rFonts w:ascii="Arial MT"/>
                                <w:color w:val="202024"/>
                                <w:spacing w:val="-56"/>
                                <w:sz w:val="18"/>
                              </w:rPr>
                              <w:t>5</w:t>
                            </w:r>
                            <w:r>
                              <w:rPr>
                                <w:rFonts w:ascii="Arial MT"/>
                                <w:spacing w:val="-45"/>
                                <w:sz w:val="18"/>
                              </w:rPr>
                              <w:t>1</w:t>
                            </w:r>
                            <w:r>
                              <w:rPr>
                                <w:rFonts w:ascii="Arial MT"/>
                                <w:color w:val="232327"/>
                                <w:spacing w:val="-66"/>
                                <w:sz w:val="18"/>
                              </w:rPr>
                              <w:t>%</w:t>
                            </w:r>
                            <w:r>
                              <w:rPr>
                                <w:rFonts w:ascii="Arial MT"/>
                                <w:color w:val="202024"/>
                                <w:sz w:val="18"/>
                              </w:rPr>
                              <w:t>(</w:t>
                            </w:r>
                            <w:r>
                              <w:rPr>
                                <w:rFonts w:ascii="Arial MT"/>
                                <w:color w:val="202024"/>
                                <w:spacing w:val="-95"/>
                                <w:sz w:val="18"/>
                              </w:rPr>
                              <w:t>4</w:t>
                            </w:r>
                            <w:r>
                              <w:rPr>
                                <w:rFonts w:ascii="Arial MT"/>
                                <w:color w:val="232327"/>
                                <w:sz w:val="18"/>
                              </w:rPr>
                              <w:t>)</w:t>
                            </w:r>
                            <w:r>
                              <w:rPr>
                                <w:rFonts w:ascii="Arial MT"/>
                                <w:color w:val="232327"/>
                                <w:spacing w:val="-16"/>
                                <w:sz w:val="18"/>
                              </w:rPr>
                              <w:t xml:space="preserve"> </w:t>
                            </w:r>
                            <w:r>
                              <w:rPr>
                                <w:rFonts w:ascii="Arial MT"/>
                                <w:color w:val="202024"/>
                                <w:sz w:val="18"/>
                              </w:rPr>
                              <w:t>.</w:t>
                            </w:r>
                            <w:r>
                              <w:rPr>
                                <w:rFonts w:ascii="Arial MT"/>
                                <w:color w:val="202024"/>
                                <w:spacing w:val="-56"/>
                                <w:sz w:val="18"/>
                              </w:rPr>
                              <w:t>5</w:t>
                            </w:r>
                            <w:r>
                              <w:rPr>
                                <w:rFonts w:ascii="Arial MT"/>
                                <w:color w:val="232327"/>
                                <w:spacing w:val="-45"/>
                                <w:sz w:val="18"/>
                              </w:rPr>
                              <w:t>1</w:t>
                            </w:r>
                            <w:r>
                              <w:rPr>
                                <w:rFonts w:ascii="Arial MT"/>
                                <w:color w:val="232327"/>
                                <w:spacing w:val="-66"/>
                                <w:sz w:val="18"/>
                              </w:rPr>
                              <w:t>%</w:t>
                            </w:r>
                            <w:r>
                              <w:rPr>
                                <w:rFonts w:ascii="Arial MT"/>
                                <w:color w:val="202024"/>
                                <w:sz w:val="18"/>
                              </w:rPr>
                              <w:t>(</w:t>
                            </w:r>
                            <w:r>
                              <w:rPr>
                                <w:rFonts w:ascii="Arial MT"/>
                                <w:spacing w:val="-95"/>
                                <w:sz w:val="18"/>
                              </w:rPr>
                              <w:t>4</w:t>
                            </w:r>
                            <w:r>
                              <w:rPr>
                                <w:rFonts w:ascii="Arial MT"/>
                                <w:color w:val="232327"/>
                                <w:sz w:val="18"/>
                              </w:rPr>
                              <w:t>)</w:t>
                            </w:r>
                            <w:r>
                              <w:rPr>
                                <w:rFonts w:ascii="Arial MT"/>
                                <w:color w:val="232327"/>
                                <w:spacing w:val="-16"/>
                                <w:sz w:val="18"/>
                              </w:rPr>
                              <w:t xml:space="preserve"> </w:t>
                            </w:r>
                            <w:r>
                              <w:rPr>
                                <w:rFonts w:ascii="Arial MT"/>
                                <w:sz w:val="18"/>
                              </w:rPr>
                              <w:t>.</w:t>
                            </w:r>
                            <w:r>
                              <w:rPr>
                                <w:rFonts w:ascii="Arial MT"/>
                                <w:spacing w:val="-56"/>
                                <w:sz w:val="18"/>
                              </w:rPr>
                              <w:t>5</w:t>
                            </w:r>
                            <w:r>
                              <w:rPr>
                                <w:rFonts w:ascii="Arial MT"/>
                                <w:color w:val="202024"/>
                                <w:spacing w:val="-45"/>
                                <w:sz w:val="18"/>
                              </w:rPr>
                              <w:t>1</w:t>
                            </w:r>
                            <w:r>
                              <w:rPr>
                                <w:rFonts w:ascii="Arial MT"/>
                                <w:spacing w:val="-66"/>
                                <w:sz w:val="18"/>
                              </w:rPr>
                              <w:t>%</w:t>
                            </w:r>
                            <w:r>
                              <w:rPr>
                                <w:rFonts w:ascii="Arial MT"/>
                                <w:color w:val="202024"/>
                                <w:sz w:val="18"/>
                              </w:rPr>
                              <w:t>(</w:t>
                            </w:r>
                            <w:r>
                              <w:rPr>
                                <w:rFonts w:ascii="Arial MT"/>
                                <w:color w:val="202024"/>
                                <w:spacing w:val="-95"/>
                                <w:sz w:val="18"/>
                              </w:rPr>
                              <w:t>4</w:t>
                            </w:r>
                            <w:r>
                              <w:rPr>
                                <w:rFonts w:ascii="Arial MT"/>
                                <w:sz w:val="18"/>
                              </w:rPr>
                              <w:t>)</w:t>
                            </w:r>
                            <w:r>
                              <w:rPr>
                                <w:rFonts w:ascii="Arial MT"/>
                                <w:spacing w:val="-16"/>
                                <w:sz w:val="18"/>
                              </w:rPr>
                              <w:t xml:space="preserve"> </w:t>
                            </w:r>
                            <w:r>
                              <w:rPr>
                                <w:rFonts w:ascii="Arial MT"/>
                                <w:color w:val="232327"/>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color w:val="202024"/>
                                <w:spacing w:val="-95"/>
                                <w:sz w:val="18"/>
                              </w:rPr>
                              <w:t>4</w:t>
                            </w:r>
                            <w:r>
                              <w:rPr>
                                <w:rFonts w:ascii="Arial MT"/>
                                <w:color w:val="232327"/>
                                <w:sz w:val="18"/>
                              </w:rPr>
                              <w:t>)</w:t>
                            </w:r>
                            <w:r>
                              <w:rPr>
                                <w:rFonts w:ascii="Arial MT"/>
                                <w:color w:val="232327"/>
                                <w:spacing w:val="-16"/>
                                <w:sz w:val="18"/>
                              </w:rPr>
                              <w:t xml:space="preserve"> </w:t>
                            </w:r>
                            <w:r>
                              <w:rPr>
                                <w:rFonts w:ascii="Arial MT"/>
                                <w:color w:val="232327"/>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spacing w:val="-95"/>
                                <w:sz w:val="18"/>
                              </w:rPr>
                              <w:t>4</w:t>
                            </w:r>
                            <w:r>
                              <w:rPr>
                                <w:rFonts w:ascii="Arial MT"/>
                                <w:color w:val="232327"/>
                                <w:sz w:val="18"/>
                              </w:rPr>
                              <w:t>)</w:t>
                            </w:r>
                            <w:r>
                              <w:rPr>
                                <w:rFonts w:ascii="Arial MT"/>
                                <w:color w:val="232327"/>
                                <w:spacing w:val="-16"/>
                                <w:sz w:val="18"/>
                              </w:rPr>
                              <w:t xml:space="preserve"> </w:t>
                            </w:r>
                            <w:r>
                              <w:rPr>
                                <w:rFonts w:ascii="Arial MT"/>
                                <w:sz w:val="18"/>
                              </w:rPr>
                              <w:t>.</w:t>
                            </w:r>
                            <w:r>
                              <w:rPr>
                                <w:rFonts w:ascii="Arial MT"/>
                                <w:spacing w:val="-56"/>
                                <w:sz w:val="18"/>
                              </w:rPr>
                              <w:t>5</w:t>
                            </w:r>
                            <w:r>
                              <w:rPr>
                                <w:rFonts w:ascii="Arial MT"/>
                                <w:spacing w:val="-45"/>
                                <w:sz w:val="18"/>
                              </w:rPr>
                              <w:t>1</w:t>
                            </w:r>
                            <w:r>
                              <w:rPr>
                                <w:rFonts w:ascii="Arial MT"/>
                                <w:spacing w:val="-66"/>
                                <w:sz w:val="18"/>
                              </w:rPr>
                              <w:t>%</w:t>
                            </w:r>
                            <w:r>
                              <w:rPr>
                                <w:rFonts w:ascii="Arial MT"/>
                                <w:color w:val="202024"/>
                                <w:sz w:val="18"/>
                              </w:rPr>
                              <w:t>(</w:t>
                            </w:r>
                            <w:r>
                              <w:rPr>
                                <w:rFonts w:ascii="Arial MT"/>
                                <w:spacing w:val="-95"/>
                                <w:sz w:val="18"/>
                              </w:rPr>
                              <w:t>4</w:t>
                            </w:r>
                            <w:r>
                              <w:rPr>
                                <w:rFonts w:ascii="Arial MT"/>
                                <w:sz w:val="18"/>
                              </w:rPr>
                              <w:t>)</w:t>
                            </w:r>
                            <w:r>
                              <w:rPr>
                                <w:rFonts w:ascii="Arial MT"/>
                                <w:spacing w:val="-16"/>
                                <w:sz w:val="18"/>
                              </w:rPr>
                              <w:t xml:space="preserve"> </w:t>
                            </w:r>
                            <w:r>
                              <w:rPr>
                                <w:rFonts w:ascii="Arial MT"/>
                                <w:sz w:val="18"/>
                              </w:rPr>
                              <w:t>.</w:t>
                            </w:r>
                            <w:r>
                              <w:rPr>
                                <w:rFonts w:ascii="Arial MT"/>
                                <w:spacing w:val="-56"/>
                                <w:sz w:val="18"/>
                              </w:rPr>
                              <w:t>5</w:t>
                            </w:r>
                            <w:r>
                              <w:rPr>
                                <w:rFonts w:ascii="Arial MT"/>
                                <w:spacing w:val="-45"/>
                                <w:sz w:val="18"/>
                              </w:rPr>
                              <w:t>1</w:t>
                            </w:r>
                            <w:r>
                              <w:rPr>
                                <w:rFonts w:ascii="Arial MT"/>
                                <w:spacing w:val="-66"/>
                                <w:sz w:val="18"/>
                              </w:rPr>
                              <w:t>%</w:t>
                            </w:r>
                            <w:r>
                              <w:rPr>
                                <w:rFonts w:ascii="Arial MT"/>
                                <w:color w:val="202024"/>
                                <w:sz w:val="18"/>
                              </w:rPr>
                              <w:t>(</w:t>
                            </w:r>
                            <w:r>
                              <w:rPr>
                                <w:rFonts w:ascii="Arial MT"/>
                                <w:spacing w:val="-95"/>
                                <w:sz w:val="18"/>
                              </w:rPr>
                              <w:t>4</w:t>
                            </w:r>
                            <w:r>
                              <w:rPr>
                                <w:rFonts w:ascii="Arial MT"/>
                                <w:sz w:val="18"/>
                              </w:rPr>
                              <w:t>)</w:t>
                            </w:r>
                            <w:r>
                              <w:rPr>
                                <w:rFonts w:ascii="Arial MT"/>
                                <w:spacing w:val="-16"/>
                                <w:sz w:val="18"/>
                              </w:rPr>
                              <w:t xml:space="preserve"> </w:t>
                            </w:r>
                            <w:r>
                              <w:rPr>
                                <w:rFonts w:ascii="Arial MT"/>
                                <w:sz w:val="18"/>
                              </w:rPr>
                              <w:t>.</w:t>
                            </w:r>
                            <w:r>
                              <w:rPr>
                                <w:rFonts w:ascii="Arial MT"/>
                                <w:spacing w:val="-56"/>
                                <w:sz w:val="18"/>
                              </w:rPr>
                              <w:t>5</w:t>
                            </w:r>
                            <w:r>
                              <w:rPr>
                                <w:rFonts w:ascii="Arial MT"/>
                                <w:color w:val="202024"/>
                                <w:spacing w:val="-45"/>
                                <w:sz w:val="18"/>
                              </w:rPr>
                              <w:t>1</w:t>
                            </w:r>
                            <w:r>
                              <w:rPr>
                                <w:rFonts w:ascii="Arial MT"/>
                                <w:spacing w:val="-66"/>
                                <w:sz w:val="18"/>
                              </w:rPr>
                              <w:t>%</w:t>
                            </w:r>
                            <w:r>
                              <w:rPr>
                                <w:rFonts w:ascii="Arial MT"/>
                                <w:color w:val="202024"/>
                                <w:sz w:val="18"/>
                              </w:rPr>
                              <w:t>(</w:t>
                            </w:r>
                            <w:r>
                              <w:rPr>
                                <w:rFonts w:ascii="Arial MT"/>
                                <w:color w:val="202024"/>
                                <w:spacing w:val="-101"/>
                                <w:sz w:val="18"/>
                              </w:rPr>
                              <w:t>4</w:t>
                            </w:r>
                            <w:r>
                              <w:rPr>
                                <w:rFonts w:ascii="Arial MT"/>
                                <w:spacing w:val="-95"/>
                                <w:sz w:val="18"/>
                              </w:rPr>
                              <w:t>4</w:t>
                            </w:r>
                            <w:r>
                              <w:rPr>
                                <w:rFonts w:ascii="Arial MT"/>
                                <w:sz w:val="18"/>
                              </w:rPr>
                              <w:t>)</w:t>
                            </w:r>
                            <w:r>
                              <w:rPr>
                                <w:rFonts w:ascii="Arial MT"/>
                                <w:spacing w:val="-16"/>
                                <w:sz w:val="18"/>
                              </w:rPr>
                              <w:t xml:space="preserve"> </w:t>
                            </w:r>
                            <w:r>
                              <w:rPr>
                                <w:rFonts w:ascii="Arial MT"/>
                                <w:color w:val="202024"/>
                                <w:sz w:val="18"/>
                              </w:rPr>
                              <w:t>.5%)</w:t>
                            </w:r>
                          </w:p>
                        </w:txbxContent>
                      </wps:txbx>
                      <wps:bodyPr rot="0" vert="horz" wrap="square" lIns="0" tIns="0" rIns="0" bIns="0" anchor="t" anchorCtr="0" upright="1">
                        <a:noAutofit/>
                      </wps:bodyPr>
                    </wps:wsp>
                  </a:graphicData>
                </a:graphic>
              </wp:anchor>
            </w:drawing>
          </mc:Choice>
          <mc:Fallback>
            <w:pict>
              <v:shape id="Text Box 52" o:spid="_x0000_s1026" o:spt="202" type="#_x0000_t202" style="position:absolute;left:0pt;margin-left:103.85pt;margin-top:-10.25pt;height:33pt;width:287.65pt;mso-position-horizontal-relative:page;z-index:-251573248;mso-width-relative:page;mso-height-relative:page;" filled="f" stroked="f" coordsize="21600,21600" o:gfxdata="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tO3x2gAAAAoBAAAPAAAAAAAAAAEAIAAAACIA&#10;AABkcnMvZG93bnJldi54bWxQSwECFAAUAAAACACHTuJA3oWCUAcCAAAYBAAADgAAAAAAAAABACAA&#10;AAApAQAAZHJzL2Uyb0RvYy54bWxQSwUGAAAAAAYABgBZAQAAogUAAAAA&#10;">
                <v:fill on="f" focussize="0,0"/>
                <v:stroke on="f"/>
                <v:imagedata o:title=""/>
                <o:lock v:ext="edit" aspectratio="f"/>
                <v:textbox inset="0mm,0mm,0mm,0mm">
                  <w:txbxContent>
                    <w:p w14:paraId="185EFC98">
                      <w:pPr>
                        <w:pStyle w:val="15"/>
                        <w:spacing w:before="7"/>
                        <w:rPr>
                          <w:rFonts w:ascii="Lucida Sans Unicode"/>
                          <w:sz w:val="19"/>
                        </w:rPr>
                      </w:pPr>
                    </w:p>
                    <w:p w14:paraId="0F0D0D37">
                      <w:pPr>
                        <w:ind w:right="-58"/>
                        <w:rPr>
                          <w:rFonts w:ascii="Arial MT"/>
                          <w:sz w:val="18"/>
                        </w:rPr>
                      </w:pPr>
                      <w:r>
                        <w:rPr>
                          <w:rFonts w:ascii="Arial MT"/>
                          <w:color w:val="202024"/>
                          <w:sz w:val="18"/>
                        </w:rPr>
                        <w:t>(4.</w:t>
                      </w:r>
                      <w:r>
                        <w:rPr>
                          <w:rFonts w:ascii="Arial MT"/>
                          <w:color w:val="202024"/>
                          <w:spacing w:val="-56"/>
                          <w:sz w:val="18"/>
                        </w:rPr>
                        <w:t>5</w:t>
                      </w:r>
                      <w:r>
                        <w:rPr>
                          <w:rFonts w:ascii="Arial MT"/>
                          <w:color w:val="202024"/>
                          <w:spacing w:val="-45"/>
                          <w:sz w:val="18"/>
                        </w:rPr>
                        <w:t>1</w:t>
                      </w:r>
                      <w:r>
                        <w:rPr>
                          <w:rFonts w:ascii="Arial MT"/>
                          <w:color w:val="202024"/>
                          <w:spacing w:val="-66"/>
                          <w:sz w:val="18"/>
                        </w:rPr>
                        <w:t>%</w:t>
                      </w:r>
                      <w:r>
                        <w:rPr>
                          <w:rFonts w:ascii="Arial MT"/>
                          <w:color w:val="202024"/>
                          <w:sz w:val="18"/>
                        </w:rPr>
                        <w:t>(</w:t>
                      </w:r>
                      <w:r>
                        <w:rPr>
                          <w:rFonts w:ascii="Arial MT"/>
                          <w:spacing w:val="-95"/>
                          <w:sz w:val="18"/>
                        </w:rPr>
                        <w:t>4</w:t>
                      </w:r>
                      <w:r>
                        <w:rPr>
                          <w:rFonts w:ascii="Arial MT"/>
                          <w:color w:val="202024"/>
                          <w:sz w:val="18"/>
                        </w:rPr>
                        <w:t>)</w:t>
                      </w:r>
                      <w:r>
                        <w:rPr>
                          <w:rFonts w:ascii="Arial MT"/>
                          <w:color w:val="202024"/>
                          <w:spacing w:val="-16"/>
                          <w:sz w:val="18"/>
                        </w:rPr>
                        <w:t xml:space="preserve"> </w:t>
                      </w:r>
                      <w:r>
                        <w:rPr>
                          <w:rFonts w:ascii="Arial MT"/>
                          <w:sz w:val="18"/>
                        </w:rPr>
                        <w:t>.</w:t>
                      </w:r>
                      <w:r>
                        <w:rPr>
                          <w:rFonts w:ascii="Arial MT"/>
                          <w:spacing w:val="-56"/>
                          <w:sz w:val="18"/>
                        </w:rPr>
                        <w:t>5</w:t>
                      </w:r>
                      <w:r>
                        <w:rPr>
                          <w:rFonts w:ascii="Arial MT"/>
                          <w:color w:val="202024"/>
                          <w:spacing w:val="-45"/>
                          <w:sz w:val="18"/>
                        </w:rPr>
                        <w:t>1</w:t>
                      </w:r>
                      <w:r>
                        <w:rPr>
                          <w:rFonts w:ascii="Arial MT"/>
                          <w:spacing w:val="-66"/>
                          <w:sz w:val="18"/>
                        </w:rPr>
                        <w:t>%</w:t>
                      </w:r>
                      <w:r>
                        <w:rPr>
                          <w:rFonts w:ascii="Arial MT"/>
                          <w:color w:val="202024"/>
                          <w:sz w:val="18"/>
                        </w:rPr>
                        <w:t>(</w:t>
                      </w:r>
                      <w:r>
                        <w:rPr>
                          <w:rFonts w:ascii="Arial MT"/>
                          <w:color w:val="202024"/>
                          <w:spacing w:val="-95"/>
                          <w:sz w:val="18"/>
                        </w:rPr>
                        <w:t>4</w:t>
                      </w:r>
                      <w:r>
                        <w:rPr>
                          <w:rFonts w:ascii="Arial MT"/>
                          <w:sz w:val="18"/>
                        </w:rPr>
                        <w:t>)</w:t>
                      </w:r>
                      <w:r>
                        <w:rPr>
                          <w:rFonts w:ascii="Arial MT"/>
                          <w:spacing w:val="-16"/>
                          <w:sz w:val="18"/>
                        </w:rPr>
                        <w:t xml:space="preserve"> </w:t>
                      </w:r>
                      <w:r>
                        <w:rPr>
                          <w:rFonts w:ascii="Arial MT"/>
                          <w:color w:val="202024"/>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spacing w:val="-95"/>
                          <w:sz w:val="18"/>
                        </w:rPr>
                        <w:t>4</w:t>
                      </w:r>
                      <w:r>
                        <w:rPr>
                          <w:rFonts w:ascii="Arial MT"/>
                          <w:color w:val="232327"/>
                          <w:sz w:val="18"/>
                        </w:rPr>
                        <w:t>)</w:t>
                      </w:r>
                      <w:r>
                        <w:rPr>
                          <w:rFonts w:ascii="Arial MT"/>
                          <w:color w:val="232327"/>
                          <w:spacing w:val="-16"/>
                          <w:sz w:val="18"/>
                        </w:rPr>
                        <w:t xml:space="preserve"> </w:t>
                      </w:r>
                      <w:r>
                        <w:rPr>
                          <w:rFonts w:ascii="Arial MT"/>
                          <w:sz w:val="18"/>
                        </w:rPr>
                        <w:t>.</w:t>
                      </w:r>
                      <w:r>
                        <w:rPr>
                          <w:rFonts w:ascii="Arial MT"/>
                          <w:spacing w:val="-56"/>
                          <w:sz w:val="18"/>
                        </w:rPr>
                        <w:t>5</w:t>
                      </w:r>
                      <w:r>
                        <w:rPr>
                          <w:rFonts w:ascii="Arial MT"/>
                          <w:spacing w:val="-45"/>
                          <w:sz w:val="18"/>
                        </w:rPr>
                        <w:t>1</w:t>
                      </w:r>
                      <w:r>
                        <w:rPr>
                          <w:rFonts w:ascii="Arial MT"/>
                          <w:spacing w:val="-66"/>
                          <w:sz w:val="18"/>
                        </w:rPr>
                        <w:t>%</w:t>
                      </w:r>
                      <w:r>
                        <w:rPr>
                          <w:rFonts w:ascii="Arial MT"/>
                          <w:color w:val="202024"/>
                          <w:sz w:val="18"/>
                        </w:rPr>
                        <w:t>(</w:t>
                      </w:r>
                      <w:r>
                        <w:rPr>
                          <w:rFonts w:ascii="Arial MT"/>
                          <w:color w:val="202024"/>
                          <w:spacing w:val="-95"/>
                          <w:sz w:val="18"/>
                        </w:rPr>
                        <w:t>4</w:t>
                      </w:r>
                      <w:r>
                        <w:rPr>
                          <w:rFonts w:ascii="Arial MT"/>
                          <w:sz w:val="18"/>
                        </w:rPr>
                        <w:t>)</w:t>
                      </w:r>
                      <w:r>
                        <w:rPr>
                          <w:rFonts w:ascii="Arial MT"/>
                          <w:spacing w:val="-16"/>
                          <w:sz w:val="18"/>
                        </w:rPr>
                        <w:t xml:space="preserve"> </w:t>
                      </w:r>
                      <w:r>
                        <w:rPr>
                          <w:rFonts w:ascii="Arial MT"/>
                          <w:color w:val="202024"/>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color w:val="202024"/>
                          <w:spacing w:val="-95"/>
                          <w:sz w:val="18"/>
                        </w:rPr>
                        <w:t>4</w:t>
                      </w:r>
                      <w:r>
                        <w:rPr>
                          <w:rFonts w:ascii="Arial MT"/>
                          <w:color w:val="232327"/>
                          <w:sz w:val="18"/>
                        </w:rPr>
                        <w:t>)</w:t>
                      </w:r>
                      <w:r>
                        <w:rPr>
                          <w:rFonts w:ascii="Arial MT"/>
                          <w:color w:val="232327"/>
                          <w:spacing w:val="-16"/>
                          <w:sz w:val="18"/>
                        </w:rPr>
                        <w:t xml:space="preserve"> </w:t>
                      </w:r>
                      <w:r>
                        <w:rPr>
                          <w:rFonts w:ascii="Arial MT"/>
                          <w:color w:val="202024"/>
                          <w:sz w:val="18"/>
                        </w:rPr>
                        <w:t>.</w:t>
                      </w:r>
                      <w:r>
                        <w:rPr>
                          <w:rFonts w:ascii="Arial MT"/>
                          <w:color w:val="202024"/>
                          <w:spacing w:val="-56"/>
                          <w:sz w:val="18"/>
                        </w:rPr>
                        <w:t>5</w:t>
                      </w:r>
                      <w:r>
                        <w:rPr>
                          <w:rFonts w:ascii="Arial MT"/>
                          <w:spacing w:val="-45"/>
                          <w:sz w:val="18"/>
                        </w:rPr>
                        <w:t>1</w:t>
                      </w:r>
                      <w:r>
                        <w:rPr>
                          <w:rFonts w:ascii="Arial MT"/>
                          <w:color w:val="232327"/>
                          <w:spacing w:val="-66"/>
                          <w:sz w:val="18"/>
                        </w:rPr>
                        <w:t>%</w:t>
                      </w:r>
                      <w:r>
                        <w:rPr>
                          <w:rFonts w:ascii="Arial MT"/>
                          <w:color w:val="202024"/>
                          <w:sz w:val="18"/>
                        </w:rPr>
                        <w:t>(</w:t>
                      </w:r>
                      <w:r>
                        <w:rPr>
                          <w:rFonts w:ascii="Arial MT"/>
                          <w:color w:val="202024"/>
                          <w:spacing w:val="-95"/>
                          <w:sz w:val="18"/>
                        </w:rPr>
                        <w:t>4</w:t>
                      </w:r>
                      <w:r>
                        <w:rPr>
                          <w:rFonts w:ascii="Arial MT"/>
                          <w:color w:val="232327"/>
                          <w:sz w:val="18"/>
                        </w:rPr>
                        <w:t>)</w:t>
                      </w:r>
                      <w:r>
                        <w:rPr>
                          <w:rFonts w:ascii="Arial MT"/>
                          <w:color w:val="232327"/>
                          <w:spacing w:val="-16"/>
                          <w:sz w:val="18"/>
                        </w:rPr>
                        <w:t xml:space="preserve"> </w:t>
                      </w:r>
                      <w:r>
                        <w:rPr>
                          <w:rFonts w:ascii="Arial MT"/>
                          <w:color w:val="202024"/>
                          <w:sz w:val="18"/>
                        </w:rPr>
                        <w:t>.</w:t>
                      </w:r>
                      <w:r>
                        <w:rPr>
                          <w:rFonts w:ascii="Arial MT"/>
                          <w:color w:val="202024"/>
                          <w:spacing w:val="-56"/>
                          <w:sz w:val="18"/>
                        </w:rPr>
                        <w:t>5</w:t>
                      </w:r>
                      <w:r>
                        <w:rPr>
                          <w:rFonts w:ascii="Arial MT"/>
                          <w:color w:val="232327"/>
                          <w:spacing w:val="-45"/>
                          <w:sz w:val="18"/>
                        </w:rPr>
                        <w:t>1</w:t>
                      </w:r>
                      <w:r>
                        <w:rPr>
                          <w:rFonts w:ascii="Arial MT"/>
                          <w:color w:val="232327"/>
                          <w:spacing w:val="-66"/>
                          <w:sz w:val="18"/>
                        </w:rPr>
                        <w:t>%</w:t>
                      </w:r>
                      <w:r>
                        <w:rPr>
                          <w:rFonts w:ascii="Arial MT"/>
                          <w:color w:val="202024"/>
                          <w:sz w:val="18"/>
                        </w:rPr>
                        <w:t>(</w:t>
                      </w:r>
                      <w:r>
                        <w:rPr>
                          <w:rFonts w:ascii="Arial MT"/>
                          <w:spacing w:val="-95"/>
                          <w:sz w:val="18"/>
                        </w:rPr>
                        <w:t>4</w:t>
                      </w:r>
                      <w:r>
                        <w:rPr>
                          <w:rFonts w:ascii="Arial MT"/>
                          <w:color w:val="232327"/>
                          <w:sz w:val="18"/>
                        </w:rPr>
                        <w:t>)</w:t>
                      </w:r>
                      <w:r>
                        <w:rPr>
                          <w:rFonts w:ascii="Arial MT"/>
                          <w:color w:val="232327"/>
                          <w:spacing w:val="-16"/>
                          <w:sz w:val="18"/>
                        </w:rPr>
                        <w:t xml:space="preserve"> </w:t>
                      </w:r>
                      <w:r>
                        <w:rPr>
                          <w:rFonts w:ascii="Arial MT"/>
                          <w:sz w:val="18"/>
                        </w:rPr>
                        <w:t>.</w:t>
                      </w:r>
                      <w:r>
                        <w:rPr>
                          <w:rFonts w:ascii="Arial MT"/>
                          <w:spacing w:val="-56"/>
                          <w:sz w:val="18"/>
                        </w:rPr>
                        <w:t>5</w:t>
                      </w:r>
                      <w:r>
                        <w:rPr>
                          <w:rFonts w:ascii="Arial MT"/>
                          <w:color w:val="202024"/>
                          <w:spacing w:val="-45"/>
                          <w:sz w:val="18"/>
                        </w:rPr>
                        <w:t>1</w:t>
                      </w:r>
                      <w:r>
                        <w:rPr>
                          <w:rFonts w:ascii="Arial MT"/>
                          <w:spacing w:val="-66"/>
                          <w:sz w:val="18"/>
                        </w:rPr>
                        <w:t>%</w:t>
                      </w:r>
                      <w:r>
                        <w:rPr>
                          <w:rFonts w:ascii="Arial MT"/>
                          <w:color w:val="202024"/>
                          <w:sz w:val="18"/>
                        </w:rPr>
                        <w:t>(</w:t>
                      </w:r>
                      <w:r>
                        <w:rPr>
                          <w:rFonts w:ascii="Arial MT"/>
                          <w:color w:val="202024"/>
                          <w:spacing w:val="-95"/>
                          <w:sz w:val="18"/>
                        </w:rPr>
                        <w:t>4</w:t>
                      </w:r>
                      <w:r>
                        <w:rPr>
                          <w:rFonts w:ascii="Arial MT"/>
                          <w:sz w:val="18"/>
                        </w:rPr>
                        <w:t>)</w:t>
                      </w:r>
                      <w:r>
                        <w:rPr>
                          <w:rFonts w:ascii="Arial MT"/>
                          <w:spacing w:val="-16"/>
                          <w:sz w:val="18"/>
                        </w:rPr>
                        <w:t xml:space="preserve"> </w:t>
                      </w:r>
                      <w:r>
                        <w:rPr>
                          <w:rFonts w:ascii="Arial MT"/>
                          <w:color w:val="232327"/>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color w:val="202024"/>
                          <w:spacing w:val="-95"/>
                          <w:sz w:val="18"/>
                        </w:rPr>
                        <w:t>4</w:t>
                      </w:r>
                      <w:r>
                        <w:rPr>
                          <w:rFonts w:ascii="Arial MT"/>
                          <w:color w:val="232327"/>
                          <w:sz w:val="18"/>
                        </w:rPr>
                        <w:t>)</w:t>
                      </w:r>
                      <w:r>
                        <w:rPr>
                          <w:rFonts w:ascii="Arial MT"/>
                          <w:color w:val="232327"/>
                          <w:spacing w:val="-16"/>
                          <w:sz w:val="18"/>
                        </w:rPr>
                        <w:t xml:space="preserve"> </w:t>
                      </w:r>
                      <w:r>
                        <w:rPr>
                          <w:rFonts w:ascii="Arial MT"/>
                          <w:color w:val="232327"/>
                          <w:sz w:val="18"/>
                        </w:rPr>
                        <w:t>.</w:t>
                      </w:r>
                      <w:r>
                        <w:rPr>
                          <w:rFonts w:ascii="Arial MT"/>
                          <w:color w:val="232327"/>
                          <w:spacing w:val="-56"/>
                          <w:sz w:val="18"/>
                        </w:rPr>
                        <w:t>5</w:t>
                      </w:r>
                      <w:r>
                        <w:rPr>
                          <w:rFonts w:ascii="Arial MT"/>
                          <w:color w:val="202024"/>
                          <w:spacing w:val="-45"/>
                          <w:sz w:val="18"/>
                        </w:rPr>
                        <w:t>1</w:t>
                      </w:r>
                      <w:r>
                        <w:rPr>
                          <w:rFonts w:ascii="Arial MT"/>
                          <w:color w:val="232327"/>
                          <w:spacing w:val="-66"/>
                          <w:sz w:val="18"/>
                        </w:rPr>
                        <w:t>%</w:t>
                      </w:r>
                      <w:r>
                        <w:rPr>
                          <w:rFonts w:ascii="Arial MT"/>
                          <w:color w:val="202024"/>
                          <w:sz w:val="18"/>
                        </w:rPr>
                        <w:t>(</w:t>
                      </w:r>
                      <w:r>
                        <w:rPr>
                          <w:rFonts w:ascii="Arial MT"/>
                          <w:spacing w:val="-95"/>
                          <w:sz w:val="18"/>
                        </w:rPr>
                        <w:t>4</w:t>
                      </w:r>
                      <w:r>
                        <w:rPr>
                          <w:rFonts w:ascii="Arial MT"/>
                          <w:color w:val="232327"/>
                          <w:sz w:val="18"/>
                        </w:rPr>
                        <w:t>)</w:t>
                      </w:r>
                      <w:r>
                        <w:rPr>
                          <w:rFonts w:ascii="Arial MT"/>
                          <w:color w:val="232327"/>
                          <w:spacing w:val="-16"/>
                          <w:sz w:val="18"/>
                        </w:rPr>
                        <w:t xml:space="preserve"> </w:t>
                      </w:r>
                      <w:r>
                        <w:rPr>
                          <w:rFonts w:ascii="Arial MT"/>
                          <w:sz w:val="18"/>
                        </w:rPr>
                        <w:t>.</w:t>
                      </w:r>
                      <w:r>
                        <w:rPr>
                          <w:rFonts w:ascii="Arial MT"/>
                          <w:spacing w:val="-56"/>
                          <w:sz w:val="18"/>
                        </w:rPr>
                        <w:t>5</w:t>
                      </w:r>
                      <w:r>
                        <w:rPr>
                          <w:rFonts w:ascii="Arial MT"/>
                          <w:spacing w:val="-45"/>
                          <w:sz w:val="18"/>
                        </w:rPr>
                        <w:t>1</w:t>
                      </w:r>
                      <w:r>
                        <w:rPr>
                          <w:rFonts w:ascii="Arial MT"/>
                          <w:spacing w:val="-66"/>
                          <w:sz w:val="18"/>
                        </w:rPr>
                        <w:t>%</w:t>
                      </w:r>
                      <w:r>
                        <w:rPr>
                          <w:rFonts w:ascii="Arial MT"/>
                          <w:color w:val="202024"/>
                          <w:sz w:val="18"/>
                        </w:rPr>
                        <w:t>(</w:t>
                      </w:r>
                      <w:r>
                        <w:rPr>
                          <w:rFonts w:ascii="Arial MT"/>
                          <w:spacing w:val="-95"/>
                          <w:sz w:val="18"/>
                        </w:rPr>
                        <w:t>4</w:t>
                      </w:r>
                      <w:r>
                        <w:rPr>
                          <w:rFonts w:ascii="Arial MT"/>
                          <w:sz w:val="18"/>
                        </w:rPr>
                        <w:t>)</w:t>
                      </w:r>
                      <w:r>
                        <w:rPr>
                          <w:rFonts w:ascii="Arial MT"/>
                          <w:spacing w:val="-16"/>
                          <w:sz w:val="18"/>
                        </w:rPr>
                        <w:t xml:space="preserve"> </w:t>
                      </w:r>
                      <w:r>
                        <w:rPr>
                          <w:rFonts w:ascii="Arial MT"/>
                          <w:sz w:val="18"/>
                        </w:rPr>
                        <w:t>.</w:t>
                      </w:r>
                      <w:r>
                        <w:rPr>
                          <w:rFonts w:ascii="Arial MT"/>
                          <w:spacing w:val="-56"/>
                          <w:sz w:val="18"/>
                        </w:rPr>
                        <w:t>5</w:t>
                      </w:r>
                      <w:r>
                        <w:rPr>
                          <w:rFonts w:ascii="Arial MT"/>
                          <w:spacing w:val="-45"/>
                          <w:sz w:val="18"/>
                        </w:rPr>
                        <w:t>1</w:t>
                      </w:r>
                      <w:r>
                        <w:rPr>
                          <w:rFonts w:ascii="Arial MT"/>
                          <w:spacing w:val="-66"/>
                          <w:sz w:val="18"/>
                        </w:rPr>
                        <w:t>%</w:t>
                      </w:r>
                      <w:r>
                        <w:rPr>
                          <w:rFonts w:ascii="Arial MT"/>
                          <w:color w:val="202024"/>
                          <w:sz w:val="18"/>
                        </w:rPr>
                        <w:t>(</w:t>
                      </w:r>
                      <w:r>
                        <w:rPr>
                          <w:rFonts w:ascii="Arial MT"/>
                          <w:spacing w:val="-95"/>
                          <w:sz w:val="18"/>
                        </w:rPr>
                        <w:t>4</w:t>
                      </w:r>
                      <w:r>
                        <w:rPr>
                          <w:rFonts w:ascii="Arial MT"/>
                          <w:sz w:val="18"/>
                        </w:rPr>
                        <w:t>)</w:t>
                      </w:r>
                      <w:r>
                        <w:rPr>
                          <w:rFonts w:ascii="Arial MT"/>
                          <w:spacing w:val="-16"/>
                          <w:sz w:val="18"/>
                        </w:rPr>
                        <w:t xml:space="preserve"> </w:t>
                      </w:r>
                      <w:r>
                        <w:rPr>
                          <w:rFonts w:ascii="Arial MT"/>
                          <w:sz w:val="18"/>
                        </w:rPr>
                        <w:t>.</w:t>
                      </w:r>
                      <w:r>
                        <w:rPr>
                          <w:rFonts w:ascii="Arial MT"/>
                          <w:spacing w:val="-56"/>
                          <w:sz w:val="18"/>
                        </w:rPr>
                        <w:t>5</w:t>
                      </w:r>
                      <w:r>
                        <w:rPr>
                          <w:rFonts w:ascii="Arial MT"/>
                          <w:color w:val="202024"/>
                          <w:spacing w:val="-45"/>
                          <w:sz w:val="18"/>
                        </w:rPr>
                        <w:t>1</w:t>
                      </w:r>
                      <w:r>
                        <w:rPr>
                          <w:rFonts w:ascii="Arial MT"/>
                          <w:spacing w:val="-66"/>
                          <w:sz w:val="18"/>
                        </w:rPr>
                        <w:t>%</w:t>
                      </w:r>
                      <w:r>
                        <w:rPr>
                          <w:rFonts w:ascii="Arial MT"/>
                          <w:color w:val="202024"/>
                          <w:sz w:val="18"/>
                        </w:rPr>
                        <w:t>(</w:t>
                      </w:r>
                      <w:r>
                        <w:rPr>
                          <w:rFonts w:ascii="Arial MT"/>
                          <w:color w:val="202024"/>
                          <w:spacing w:val="-101"/>
                          <w:sz w:val="18"/>
                        </w:rPr>
                        <w:t>4</w:t>
                      </w:r>
                      <w:r>
                        <w:rPr>
                          <w:rFonts w:ascii="Arial MT"/>
                          <w:spacing w:val="-95"/>
                          <w:sz w:val="18"/>
                        </w:rPr>
                        <w:t>4</w:t>
                      </w:r>
                      <w:r>
                        <w:rPr>
                          <w:rFonts w:ascii="Arial MT"/>
                          <w:sz w:val="18"/>
                        </w:rPr>
                        <w:t>)</w:t>
                      </w:r>
                      <w:r>
                        <w:rPr>
                          <w:rFonts w:ascii="Arial MT"/>
                          <w:spacing w:val="-16"/>
                          <w:sz w:val="18"/>
                        </w:rPr>
                        <w:t xml:space="preserve"> </w:t>
                      </w:r>
                      <w:r>
                        <w:rPr>
                          <w:rFonts w:ascii="Arial MT"/>
                          <w:color w:val="202024"/>
                          <w:sz w:val="18"/>
                        </w:rPr>
                        <w:t>.5%)</w:t>
                      </w:r>
                    </w:p>
                  </w:txbxContent>
                </v:textbox>
              </v:shape>
            </w:pict>
          </mc:Fallback>
        </mc:AlternateContent>
      </w:r>
      <w:r>
        <w:rPr>
          <w:rFonts w:eastAsia="Roboto"/>
        </w:rPr>
        <w:t>1</w:t>
      </w:r>
      <w:r>
        <w:rPr>
          <w:rFonts w:eastAsia="Roboto"/>
        </w:rPr>
        <w:tab/>
      </w:r>
      <w:r>
        <w:rPr>
          <w:rFonts w:eastAsia="Roboto"/>
          <w:color w:val="202024"/>
          <w:spacing w:val="-1"/>
        </w:rPr>
        <w:t>1</w:t>
      </w:r>
      <w:r>
        <w:rPr>
          <w:rFonts w:eastAsia="Roboto"/>
          <w:color w:val="202024"/>
          <w:spacing w:val="-9"/>
        </w:rPr>
        <w:t xml:space="preserve"> </w:t>
      </w:r>
      <w:r>
        <w:rPr>
          <w:rFonts w:eastAsia="Roboto"/>
          <w:color w:val="202024"/>
          <w:spacing w:val="-1"/>
        </w:rPr>
        <w:t>(4.5%)</w:t>
      </w:r>
    </w:p>
    <w:p w14:paraId="4189B009">
      <w:pPr>
        <w:widowControl w:val="0"/>
        <w:autoSpaceDE w:val="0"/>
        <w:autoSpaceDN w:val="0"/>
        <w:spacing w:before="48"/>
        <w:rPr>
          <w:rFonts w:eastAsia="Roboto"/>
        </w:rPr>
      </w:pPr>
      <w:r>
        <w:rPr>
          <w:rFonts w:eastAsia="Roboto"/>
          <w:color w:val="444444"/>
        </w:rPr>
        <w:t>1</w:t>
      </w:r>
    </w:p>
    <w:p w14:paraId="5A331E16">
      <w:pPr>
        <w:widowControl w:val="0"/>
        <w:autoSpaceDE w:val="0"/>
        <w:autoSpaceDN w:val="0"/>
        <w:spacing w:before="94"/>
        <w:rPr>
          <w:rFonts w:eastAsia="Roboto"/>
        </w:rPr>
      </w:pPr>
      <w:r>
        <w:rPr>
          <w:rFonts w:eastAsia="Roboto"/>
        </w:rPr>
        <w:br w:type="column"/>
      </w:r>
      <w:r>
        <w:rPr>
          <w:rFonts w:eastAsia="Roboto"/>
          <w:color w:val="202024"/>
        </w:rPr>
        <w:t>1 (4.</w:t>
      </w:r>
      <w:r>
        <w:rPr>
          <w:rFonts w:eastAsia="Roboto"/>
          <w:color w:val="202024"/>
          <w:spacing w:val="-56"/>
        </w:rPr>
        <w:t>5</w:t>
      </w:r>
      <w:r>
        <w:rPr>
          <w:rFonts w:eastAsia="Roboto"/>
          <w:color w:val="202024"/>
          <w:spacing w:val="-45"/>
        </w:rPr>
        <w:t>1</w:t>
      </w:r>
      <w:r>
        <w:rPr>
          <w:rFonts w:eastAsia="Roboto"/>
          <w:color w:val="202024"/>
          <w:spacing w:val="-66"/>
        </w:rPr>
        <w:t>%</w:t>
      </w:r>
      <w:r>
        <w:rPr>
          <w:rFonts w:eastAsia="Roboto"/>
          <w:color w:val="202024"/>
        </w:rPr>
        <w:t>(</w:t>
      </w:r>
      <w:r>
        <w:rPr>
          <w:rFonts w:eastAsia="Roboto"/>
          <w:spacing w:val="-95"/>
        </w:rPr>
        <w:t>4</w:t>
      </w:r>
      <w:r>
        <w:rPr>
          <w:rFonts w:eastAsia="Roboto"/>
          <w:color w:val="202024"/>
        </w:rPr>
        <w:t>)</w:t>
      </w:r>
      <w:r>
        <w:rPr>
          <w:rFonts w:eastAsia="Roboto"/>
          <w:color w:val="202024"/>
          <w:spacing w:val="-16"/>
        </w:rPr>
        <w:t xml:space="preserve"> </w:t>
      </w:r>
      <w:r>
        <w:rPr>
          <w:rFonts w:eastAsia="Roboto"/>
        </w:rPr>
        <w:t>.</w:t>
      </w:r>
      <w:r>
        <w:rPr>
          <w:rFonts w:eastAsia="Roboto"/>
          <w:spacing w:val="-56"/>
        </w:rPr>
        <w:t>5</w:t>
      </w:r>
      <w:r>
        <w:rPr>
          <w:rFonts w:eastAsia="Roboto"/>
          <w:color w:val="202024"/>
          <w:spacing w:val="-45"/>
        </w:rPr>
        <w:t>1</w:t>
      </w:r>
      <w:r>
        <w:rPr>
          <w:rFonts w:eastAsia="Roboto"/>
          <w:spacing w:val="-66"/>
        </w:rPr>
        <w:t>%</w:t>
      </w:r>
      <w:r>
        <w:rPr>
          <w:rFonts w:eastAsia="Roboto"/>
          <w:color w:val="202024"/>
        </w:rPr>
        <w:t>(</w:t>
      </w:r>
      <w:r>
        <w:rPr>
          <w:rFonts w:eastAsia="Roboto"/>
          <w:color w:val="202024"/>
          <w:spacing w:val="-95"/>
        </w:rPr>
        <w:t>4</w:t>
      </w:r>
      <w:r>
        <w:rPr>
          <w:rFonts w:eastAsia="Roboto"/>
        </w:rPr>
        <w:t>)</w:t>
      </w:r>
      <w:r>
        <w:rPr>
          <w:rFonts w:eastAsia="Roboto"/>
          <w:spacing w:val="-16"/>
        </w:rPr>
        <w:t xml:space="preserve"> </w:t>
      </w:r>
      <w:r>
        <w:rPr>
          <w:rFonts w:eastAsia="Roboto"/>
          <w:color w:val="202024"/>
        </w:rPr>
        <w:t>.5</w:t>
      </w:r>
      <w:r>
        <w:rPr>
          <w:rFonts w:eastAsia="Roboto"/>
        </w:rPr>
        <w:t>%</w:t>
      </w:r>
    </w:p>
    <w:p w14:paraId="76162381">
      <w:pPr>
        <w:widowControl w:val="0"/>
        <w:autoSpaceDE w:val="0"/>
        <w:autoSpaceDN w:val="0"/>
        <w:rPr>
          <w:rFonts w:eastAsia="Roboto"/>
        </w:rPr>
        <w:sectPr>
          <w:type w:val="continuous"/>
          <w:pgSz w:w="11900" w:h="16840"/>
          <w:pgMar w:top="480" w:right="1280" w:bottom="1680" w:left="1040" w:header="720" w:footer="720" w:gutter="0"/>
          <w:cols w:equalWidth="0" w:num="2">
            <w:col w:w="7655" w:space="40"/>
            <w:col w:w="1885"/>
          </w:cols>
        </w:sectPr>
      </w:pPr>
    </w:p>
    <w:p w14:paraId="4A5D132F">
      <w:pPr>
        <w:widowControl w:val="0"/>
        <w:autoSpaceDE w:val="0"/>
        <w:autoSpaceDN w:val="0"/>
        <w:rPr>
          <w:rFonts w:eastAsia="Roboto"/>
        </w:rPr>
      </w:pPr>
    </w:p>
    <w:p w14:paraId="6FB5CDB5">
      <w:pPr>
        <w:widowControl w:val="0"/>
        <w:autoSpaceDE w:val="0"/>
        <w:autoSpaceDN w:val="0"/>
        <w:rPr>
          <w:rFonts w:eastAsia="Roboto"/>
        </w:rPr>
      </w:pPr>
    </w:p>
    <w:p w14:paraId="2CA19E94">
      <w:pPr>
        <w:widowControl w:val="0"/>
        <w:autoSpaceDE w:val="0"/>
        <w:autoSpaceDN w:val="0"/>
        <w:rPr>
          <w:rFonts w:eastAsia="Roboto"/>
        </w:rPr>
      </w:pPr>
    </w:p>
    <w:p w14:paraId="4F4D5720">
      <w:pPr>
        <w:widowControl w:val="0"/>
        <w:autoSpaceDE w:val="0"/>
        <w:autoSpaceDN w:val="0"/>
        <w:rPr>
          <w:rFonts w:eastAsia="Roboto"/>
        </w:rPr>
      </w:pPr>
    </w:p>
    <w:p w14:paraId="65144BC7">
      <w:pPr>
        <w:widowControl w:val="0"/>
        <w:autoSpaceDE w:val="0"/>
        <w:autoSpaceDN w:val="0"/>
        <w:rPr>
          <w:rFonts w:eastAsia="Roboto"/>
        </w:rPr>
        <w:sectPr>
          <w:type w:val="continuous"/>
          <w:pgSz w:w="11900" w:h="16840"/>
          <w:pgMar w:top="480" w:right="1280" w:bottom="1680" w:left="1040" w:header="720" w:footer="720" w:gutter="0"/>
          <w:cols w:space="720" w:num="1"/>
        </w:sectPr>
      </w:pPr>
    </w:p>
    <w:p w14:paraId="56ABF35F">
      <w:pPr>
        <w:widowControl w:val="0"/>
        <w:autoSpaceDE w:val="0"/>
        <w:autoSpaceDN w:val="0"/>
        <w:spacing w:before="9"/>
        <w:rPr>
          <w:rFonts w:eastAsia="Roboto"/>
        </w:rPr>
      </w:pPr>
    </w:p>
    <w:p w14:paraId="1DA47ACD">
      <w:pPr>
        <w:widowControl w:val="0"/>
        <w:autoSpaceDE w:val="0"/>
        <w:autoSpaceDN w:val="0"/>
        <w:spacing w:line="205" w:lineRule="exact"/>
        <w:rPr>
          <w:rFonts w:eastAsia="Roboto"/>
        </w:rPr>
      </w:pPr>
      <w:r>
        <w:rPr>
          <w:rFonts w:eastAsia="Roboto"/>
          <w:color w:val="444444"/>
        </w:rPr>
        <w:t>0</w:t>
      </w:r>
    </w:p>
    <w:p w14:paraId="4A07C48B">
      <w:pPr>
        <w:widowControl w:val="0"/>
        <w:autoSpaceDE w:val="0"/>
        <w:autoSpaceDN w:val="0"/>
        <w:spacing w:line="205" w:lineRule="exact"/>
        <w:rPr>
          <w:rFonts w:eastAsia="Roboto"/>
        </w:rPr>
      </w:pPr>
      <w:r>
        <w:rPr>
          <w:rFonts w:eastAsia="Roboto"/>
          <w:color w:val="212121"/>
        </w:rPr>
        <w:t>Academic</w:t>
      </w:r>
    </w:p>
    <w:p w14:paraId="270BD992">
      <w:pPr>
        <w:widowControl w:val="0"/>
        <w:autoSpaceDE w:val="0"/>
        <w:autoSpaceDN w:val="0"/>
        <w:rPr>
          <w:rFonts w:eastAsia="Roboto"/>
        </w:rPr>
      </w:pPr>
      <w:r>
        <w:rPr>
          <w:rFonts w:eastAsia="Roboto"/>
        </w:rPr>
        <w:br w:type="column"/>
      </w:r>
    </w:p>
    <w:p w14:paraId="0CA67E0C">
      <w:pPr>
        <w:widowControl w:val="0"/>
        <w:autoSpaceDE w:val="0"/>
        <w:autoSpaceDN w:val="0"/>
        <w:spacing w:before="4"/>
        <w:rPr>
          <w:rFonts w:eastAsia="Roboto"/>
        </w:rPr>
      </w:pPr>
    </w:p>
    <w:p w14:paraId="6A3E5B30">
      <w:pPr>
        <w:widowControl w:val="0"/>
        <w:autoSpaceDE w:val="0"/>
        <w:autoSpaceDN w:val="0"/>
        <w:rPr>
          <w:rFonts w:eastAsia="Roboto"/>
        </w:rPr>
      </w:pPr>
      <w:r>
        <w:rPr>
          <w:rFonts w:eastAsia="Roboto"/>
          <w:color w:val="212121"/>
          <w:spacing w:val="-1"/>
        </w:rPr>
        <w:t>Head</w:t>
      </w:r>
      <w:r>
        <w:rPr>
          <w:rFonts w:eastAsia="Roboto"/>
          <w:color w:val="212121"/>
          <w:spacing w:val="-8"/>
        </w:rPr>
        <w:t xml:space="preserve"> </w:t>
      </w:r>
      <w:r>
        <w:rPr>
          <w:rFonts w:eastAsia="Roboto"/>
          <w:color w:val="212121"/>
          <w:spacing w:val="-1"/>
        </w:rPr>
        <w:t>of</w:t>
      </w:r>
      <w:r>
        <w:rPr>
          <w:rFonts w:eastAsia="Roboto"/>
          <w:color w:val="212121"/>
          <w:spacing w:val="-8"/>
        </w:rPr>
        <w:t xml:space="preserve"> </w:t>
      </w:r>
      <w:r>
        <w:rPr>
          <w:rFonts w:eastAsia="Roboto"/>
          <w:color w:val="212121"/>
          <w:spacing w:val="-1"/>
        </w:rPr>
        <w:t>the</w:t>
      </w:r>
      <w:r>
        <w:rPr>
          <w:rFonts w:eastAsia="Roboto"/>
          <w:color w:val="212121"/>
          <w:spacing w:val="-11"/>
        </w:rPr>
        <w:t xml:space="preserve"> </w:t>
      </w:r>
      <w:r>
        <w:rPr>
          <w:rFonts w:eastAsia="Roboto"/>
          <w:color w:val="212121"/>
          <w:spacing w:val="-1"/>
        </w:rPr>
        <w:t>Tax…</w:t>
      </w:r>
    </w:p>
    <w:p w14:paraId="753D2F8E">
      <w:pPr>
        <w:widowControl w:val="0"/>
        <w:autoSpaceDE w:val="0"/>
        <w:autoSpaceDN w:val="0"/>
        <w:rPr>
          <w:rFonts w:eastAsia="Roboto"/>
        </w:rPr>
      </w:pPr>
      <w:r>
        <w:rPr>
          <w:rFonts w:eastAsia="Roboto"/>
        </w:rPr>
        <w:br w:type="column"/>
      </w:r>
    </w:p>
    <w:p w14:paraId="475642BC">
      <w:pPr>
        <w:widowControl w:val="0"/>
        <w:autoSpaceDE w:val="0"/>
        <w:autoSpaceDN w:val="0"/>
        <w:spacing w:before="4"/>
        <w:rPr>
          <w:rFonts w:eastAsia="Roboto"/>
        </w:rPr>
      </w:pPr>
    </w:p>
    <w:p w14:paraId="534B12B8">
      <w:pPr>
        <w:widowControl w:val="0"/>
        <w:autoSpaceDE w:val="0"/>
        <w:autoSpaceDN w:val="0"/>
        <w:rPr>
          <w:rFonts w:eastAsia="Roboto"/>
        </w:rPr>
      </w:pPr>
      <w:r>
        <w:rPr>
          <w:rFonts w:eastAsia="Roboto"/>
          <w:color w:val="212121"/>
          <w:spacing w:val="-2"/>
        </w:rPr>
        <w:t>Partner</w:t>
      </w:r>
      <w:r>
        <w:rPr>
          <w:rFonts w:eastAsia="Roboto"/>
          <w:color w:val="212121"/>
          <w:spacing w:val="-10"/>
        </w:rPr>
        <w:t xml:space="preserve"> </w:t>
      </w:r>
      <w:r>
        <w:rPr>
          <w:rFonts w:eastAsia="Roboto"/>
          <w:color w:val="212121"/>
          <w:spacing w:val="-2"/>
        </w:rPr>
        <w:t>Tax</w:t>
      </w:r>
      <w:r>
        <w:rPr>
          <w:rFonts w:eastAsia="Roboto"/>
          <w:color w:val="212121"/>
          <w:spacing w:val="-7"/>
        </w:rPr>
        <w:t xml:space="preserve"> </w:t>
      </w:r>
      <w:r>
        <w:rPr>
          <w:rFonts w:eastAsia="Roboto"/>
          <w:color w:val="212121"/>
          <w:spacing w:val="-1"/>
        </w:rPr>
        <w:t>and…</w:t>
      </w:r>
    </w:p>
    <w:p w14:paraId="0219F051">
      <w:pPr>
        <w:widowControl w:val="0"/>
        <w:autoSpaceDE w:val="0"/>
        <w:autoSpaceDN w:val="0"/>
        <w:rPr>
          <w:rFonts w:eastAsia="Roboto"/>
        </w:rPr>
      </w:pPr>
      <w:r>
        <w:rPr>
          <w:rFonts w:eastAsia="Roboto"/>
        </w:rPr>
        <w:br w:type="column"/>
      </w:r>
    </w:p>
    <w:p w14:paraId="3825143D">
      <w:pPr>
        <w:widowControl w:val="0"/>
        <w:autoSpaceDE w:val="0"/>
        <w:autoSpaceDN w:val="0"/>
        <w:spacing w:before="4"/>
        <w:rPr>
          <w:rFonts w:eastAsia="Roboto"/>
        </w:rPr>
      </w:pPr>
    </w:p>
    <w:p w14:paraId="01864694">
      <w:pPr>
        <w:widowControl w:val="0"/>
        <w:autoSpaceDE w:val="0"/>
        <w:autoSpaceDN w:val="0"/>
        <w:rPr>
          <w:rFonts w:eastAsia="Roboto"/>
        </w:rPr>
      </w:pPr>
      <w:r>
        <w:rPr>
          <w:rFonts w:eastAsia="Roboto"/>
          <w:color w:val="212121"/>
        </w:rPr>
        <w:t>Researcher</w:t>
      </w:r>
    </w:p>
    <w:p w14:paraId="174E3ACA">
      <w:pPr>
        <w:widowControl w:val="0"/>
        <w:autoSpaceDE w:val="0"/>
        <w:autoSpaceDN w:val="0"/>
        <w:rPr>
          <w:rFonts w:eastAsia="Roboto"/>
        </w:rPr>
      </w:pPr>
      <w:r>
        <w:rPr>
          <w:rFonts w:eastAsia="Roboto"/>
        </w:rPr>
        <w:br w:type="column"/>
      </w:r>
    </w:p>
    <w:p w14:paraId="2F321281">
      <w:pPr>
        <w:widowControl w:val="0"/>
        <w:autoSpaceDE w:val="0"/>
        <w:autoSpaceDN w:val="0"/>
        <w:spacing w:before="4"/>
        <w:rPr>
          <w:rFonts w:eastAsia="Roboto"/>
        </w:rPr>
      </w:pPr>
    </w:p>
    <w:p w14:paraId="2EFCA9E8">
      <w:pPr>
        <w:widowControl w:val="0"/>
        <w:autoSpaceDE w:val="0"/>
        <w:autoSpaceDN w:val="0"/>
        <w:rPr>
          <w:rFonts w:eastAsia="Roboto"/>
        </w:rPr>
      </w:pPr>
      <w:r>
        <w:rPr>
          <w:rFonts w:eastAsia="Roboto"/>
          <w:color w:val="212121"/>
        </w:rPr>
        <w:t>Tax</w:t>
      </w:r>
      <w:r>
        <w:rPr>
          <w:rFonts w:eastAsia="Roboto"/>
          <w:color w:val="212121"/>
          <w:spacing w:val="-10"/>
        </w:rPr>
        <w:t xml:space="preserve"> </w:t>
      </w:r>
      <w:r>
        <w:rPr>
          <w:rFonts w:eastAsia="Roboto"/>
          <w:color w:val="212121"/>
        </w:rPr>
        <w:t>Manager</w:t>
      </w:r>
    </w:p>
    <w:p w14:paraId="2E0EEC9B">
      <w:pPr>
        <w:widowControl w:val="0"/>
        <w:autoSpaceDE w:val="0"/>
        <w:autoSpaceDN w:val="0"/>
        <w:rPr>
          <w:rFonts w:eastAsia="Roboto"/>
        </w:rPr>
        <w:sectPr>
          <w:type w:val="continuous"/>
          <w:pgSz w:w="11900" w:h="16840"/>
          <w:pgMar w:top="480" w:right="1280" w:bottom="1680" w:left="1040" w:header="720" w:footer="720" w:gutter="0"/>
          <w:cols w:equalWidth="0" w:num="5">
            <w:col w:w="1636" w:space="40"/>
            <w:col w:w="1907" w:space="39"/>
            <w:col w:w="1589" w:space="39"/>
            <w:col w:w="1325" w:space="40"/>
            <w:col w:w="2965"/>
          </w:cols>
        </w:sectPr>
      </w:pPr>
    </w:p>
    <w:p w14:paraId="0D97C4CD">
      <w:pPr>
        <w:widowControl w:val="0"/>
        <w:autoSpaceDE w:val="0"/>
        <w:autoSpaceDN w:val="0"/>
        <w:spacing w:before="33"/>
        <w:rPr>
          <w:rFonts w:eastAsia="Roboto"/>
        </w:rPr>
      </w:pPr>
      <w:r>
        <w:rPr>
          <w:rFonts w:eastAsia="Roboto"/>
          <w:color w:val="212121"/>
        </w:rPr>
        <w:t>Engaged</w:t>
      </w:r>
      <w:r>
        <w:rPr>
          <w:rFonts w:eastAsia="Roboto"/>
          <w:color w:val="212121"/>
          <w:spacing w:val="-9"/>
        </w:rPr>
        <w:t xml:space="preserve"> </w:t>
      </w:r>
      <w:r>
        <w:rPr>
          <w:rFonts w:eastAsia="Roboto"/>
          <w:color w:val="212121"/>
        </w:rPr>
        <w:t>in</w:t>
      </w:r>
      <w:r>
        <w:rPr>
          <w:rFonts w:eastAsia="Roboto"/>
          <w:color w:val="212121"/>
          <w:spacing w:val="-8"/>
        </w:rPr>
        <w:t xml:space="preserve"> </w:t>
      </w:r>
      <w:r>
        <w:rPr>
          <w:rFonts w:eastAsia="Roboto"/>
          <w:color w:val="212121"/>
        </w:rPr>
        <w:t>the…</w:t>
      </w:r>
    </w:p>
    <w:p w14:paraId="12659713">
      <w:pPr>
        <w:widowControl w:val="0"/>
        <w:autoSpaceDE w:val="0"/>
        <w:autoSpaceDN w:val="0"/>
        <w:spacing w:before="33"/>
        <w:rPr>
          <w:rFonts w:eastAsia="Roboto"/>
        </w:rPr>
      </w:pPr>
      <w:r>
        <w:rPr>
          <w:rFonts w:eastAsia="Roboto"/>
        </w:rPr>
        <w:br w:type="column"/>
      </w:r>
      <w:r>
        <w:rPr>
          <w:rFonts w:eastAsia="Roboto"/>
          <w:color w:val="212121"/>
          <w:spacing w:val="-1"/>
        </w:rPr>
        <w:t>Law</w:t>
      </w:r>
      <w:r>
        <w:rPr>
          <w:rFonts w:eastAsia="Roboto"/>
          <w:color w:val="212121"/>
          <w:spacing w:val="-10"/>
        </w:rPr>
        <w:t xml:space="preserve"> </w:t>
      </w:r>
      <w:r>
        <w:rPr>
          <w:rFonts w:eastAsia="Roboto"/>
          <w:color w:val="212121"/>
          <w:spacing w:val="-1"/>
        </w:rPr>
        <w:t>teacher</w:t>
      </w:r>
    </w:p>
    <w:p w14:paraId="5E615E46">
      <w:pPr>
        <w:widowControl w:val="0"/>
        <w:autoSpaceDE w:val="0"/>
        <w:autoSpaceDN w:val="0"/>
        <w:spacing w:before="33"/>
        <w:rPr>
          <w:rFonts w:eastAsia="Roboto"/>
        </w:rPr>
      </w:pPr>
      <w:r>
        <w:rPr>
          <w:rFonts w:eastAsia="Roboto"/>
        </w:rPr>
        <w:br w:type="column"/>
      </w:r>
      <w:r>
        <w:rPr>
          <w:rFonts w:eastAsia="Roboto"/>
          <w:color w:val="212121"/>
          <w:spacing w:val="-2"/>
        </w:rPr>
        <w:t>Professor</w:t>
      </w:r>
      <w:r>
        <w:rPr>
          <w:rFonts w:eastAsia="Roboto"/>
          <w:color w:val="212121"/>
          <w:spacing w:val="-8"/>
        </w:rPr>
        <w:t xml:space="preserve"> </w:t>
      </w:r>
      <w:r>
        <w:rPr>
          <w:rFonts w:eastAsia="Roboto"/>
          <w:color w:val="212121"/>
          <w:spacing w:val="-1"/>
        </w:rPr>
        <w:t>of</w:t>
      </w:r>
      <w:r>
        <w:rPr>
          <w:rFonts w:eastAsia="Roboto"/>
          <w:color w:val="212121"/>
          <w:spacing w:val="-11"/>
        </w:rPr>
        <w:t xml:space="preserve"> </w:t>
      </w:r>
      <w:r>
        <w:rPr>
          <w:rFonts w:eastAsia="Roboto"/>
          <w:color w:val="212121"/>
          <w:spacing w:val="-1"/>
        </w:rPr>
        <w:t>Tax…</w:t>
      </w:r>
    </w:p>
    <w:p w14:paraId="586A859F">
      <w:pPr>
        <w:widowControl w:val="0"/>
        <w:autoSpaceDE w:val="0"/>
        <w:autoSpaceDN w:val="0"/>
        <w:spacing w:before="33"/>
        <w:rPr>
          <w:rFonts w:eastAsia="Roboto"/>
        </w:rPr>
      </w:pPr>
      <w:r>
        <w:rPr>
          <w:rFonts w:eastAsia="Roboto"/>
        </w:rPr>
        <w:br w:type="column"/>
      </w:r>
      <w:r>
        <w:rPr>
          <w:rFonts w:eastAsia="Roboto"/>
          <w:color w:val="212121"/>
          <w:spacing w:val="-3"/>
        </w:rPr>
        <w:t>Tax</w:t>
      </w:r>
      <w:r>
        <w:rPr>
          <w:rFonts w:eastAsia="Roboto"/>
          <w:color w:val="212121"/>
          <w:spacing w:val="-1"/>
        </w:rPr>
        <w:t xml:space="preserve"> </w:t>
      </w:r>
      <w:r>
        <w:rPr>
          <w:rFonts w:eastAsia="Roboto"/>
          <w:color w:val="212121"/>
          <w:spacing w:val="-3"/>
        </w:rPr>
        <w:t>Consultant</w:t>
      </w:r>
    </w:p>
    <w:p w14:paraId="0995135C">
      <w:pPr>
        <w:widowControl w:val="0"/>
        <w:autoSpaceDE w:val="0"/>
        <w:autoSpaceDN w:val="0"/>
        <w:spacing w:before="33"/>
        <w:rPr>
          <w:rFonts w:eastAsia="Roboto"/>
        </w:rPr>
      </w:pPr>
      <w:r>
        <w:rPr>
          <w:rFonts w:eastAsia="Roboto"/>
        </w:rPr>
        <w:br w:type="column"/>
      </w:r>
      <w:r>
        <w:rPr>
          <w:rFonts w:eastAsia="Roboto"/>
          <w:color w:val="212121"/>
        </w:rPr>
        <w:t>Transaction…</w:t>
      </w:r>
    </w:p>
    <w:p w14:paraId="371467CB">
      <w:pPr>
        <w:widowControl w:val="0"/>
        <w:autoSpaceDE w:val="0"/>
        <w:autoSpaceDN w:val="0"/>
        <w:rPr>
          <w:rFonts w:eastAsia="Roboto"/>
        </w:rPr>
        <w:sectPr>
          <w:type w:val="continuous"/>
          <w:pgSz w:w="11900" w:h="16840"/>
          <w:pgMar w:top="480" w:right="1280" w:bottom="1680" w:left="1040" w:header="720" w:footer="720" w:gutter="0"/>
          <w:cols w:equalWidth="0" w:num="5">
            <w:col w:w="2748" w:space="40"/>
            <w:col w:w="1378" w:space="39"/>
            <w:col w:w="1832" w:space="39"/>
            <w:col w:w="1440" w:space="40"/>
            <w:col w:w="2024"/>
          </w:cols>
        </w:sectPr>
      </w:pPr>
    </w:p>
    <w:p w14:paraId="24DEB981">
      <w:pPr>
        <w:widowControl w:val="0"/>
        <w:autoSpaceDE w:val="0"/>
        <w:autoSpaceDN w:val="0"/>
        <w:spacing w:before="9"/>
        <w:rPr>
          <w:rFonts w:eastAsia="Roboto"/>
        </w:rPr>
      </w:pPr>
      <w:r>
        <mc:AlternateContent>
          <mc:Choice Requires="wpg">
            <w:drawing>
              <wp:anchor distT="0" distB="0" distL="114300" distR="114300" simplePos="0" relativeHeight="251744256" behindDoc="1" locked="0" layoutInCell="1" allowOverlap="1">
                <wp:simplePos x="0" y="0"/>
                <wp:positionH relativeFrom="page">
                  <wp:posOffset>733425</wp:posOffset>
                </wp:positionH>
                <wp:positionV relativeFrom="page">
                  <wp:posOffset>352425</wp:posOffset>
                </wp:positionV>
                <wp:extent cx="6276975" cy="9803765"/>
                <wp:effectExtent l="9525" t="9525" r="0" b="0"/>
                <wp:wrapNone/>
                <wp:docPr id="1265478986" name="Group 26"/>
                <wp:cNvGraphicFramePr/>
                <a:graphic xmlns:a="http://schemas.openxmlformats.org/drawingml/2006/main">
                  <a:graphicData uri="http://schemas.microsoft.com/office/word/2010/wordprocessingGroup">
                    <wpg:wgp>
                      <wpg:cNvGrpSpPr/>
                      <wpg:grpSpPr>
                        <a:xfrm>
                          <a:off x="0" y="0"/>
                          <a:ext cx="6276975" cy="9803765"/>
                          <a:chOff x="1155" y="555"/>
                          <a:chExt cx="9885" cy="15439"/>
                        </a:xfrm>
                        <a:effectLst/>
                      </wpg:grpSpPr>
                      <wps:wsp>
                        <wps:cNvPr id="1799307953" name="AutoShape 51"/>
                        <wps:cNvSpPr/>
                        <wps:spPr bwMode="auto">
                          <a:xfrm>
                            <a:off x="1162" y="562"/>
                            <a:ext cx="9585" cy="15285"/>
                          </a:xfrm>
                          <a:custGeom>
                            <a:avLst/>
                            <a:gdLst>
                              <a:gd name="T0" fmla="*/ 6 w 9585"/>
                              <a:gd name="T1" fmla="*/ 639 h 15285"/>
                              <a:gd name="T2" fmla="*/ 33 w 9585"/>
                              <a:gd name="T3" fmla="*/ 595 h 15285"/>
                              <a:gd name="T4" fmla="*/ 77 w 9585"/>
                              <a:gd name="T5" fmla="*/ 568 h 15285"/>
                              <a:gd name="T6" fmla="*/ 9480 w 9585"/>
                              <a:gd name="T7" fmla="*/ 562 h 15285"/>
                              <a:gd name="T8" fmla="*/ 9529 w 9585"/>
                              <a:gd name="T9" fmla="*/ 577 h 15285"/>
                              <a:gd name="T10" fmla="*/ 9567 w 9585"/>
                              <a:gd name="T11" fmla="*/ 612 h 15285"/>
                              <a:gd name="T12" fmla="*/ 9585 w 9585"/>
                              <a:gd name="T13" fmla="*/ 660 h 15285"/>
                              <a:gd name="T14" fmla="*/ 9582 w 9585"/>
                              <a:gd name="T15" fmla="*/ 5294 h 15285"/>
                              <a:gd name="T16" fmla="*/ 9558 w 9585"/>
                              <a:gd name="T17" fmla="*/ 5339 h 15285"/>
                              <a:gd name="T18" fmla="*/ 9516 w 9585"/>
                              <a:gd name="T19" fmla="*/ 5369 h 15285"/>
                              <a:gd name="T20" fmla="*/ 113 w 9585"/>
                              <a:gd name="T21" fmla="*/ 5377 h 15285"/>
                              <a:gd name="T22" fmla="*/ 63 w 9585"/>
                              <a:gd name="T23" fmla="*/ 5366 h 15285"/>
                              <a:gd name="T24" fmla="*/ 24 w 9585"/>
                              <a:gd name="T25" fmla="*/ 5334 h 15285"/>
                              <a:gd name="T26" fmla="*/ 3 w 9585"/>
                              <a:gd name="T27" fmla="*/ 5287 h 15285"/>
                              <a:gd name="T28" fmla="*/ 1 w 9585"/>
                              <a:gd name="T29" fmla="*/ 5490 h 15285"/>
                              <a:gd name="T30" fmla="*/ 19 w 9585"/>
                              <a:gd name="T31" fmla="*/ 5442 h 15285"/>
                              <a:gd name="T32" fmla="*/ 57 w 9585"/>
                              <a:gd name="T33" fmla="*/ 5407 h 15285"/>
                              <a:gd name="T34" fmla="*/ 106 w 9585"/>
                              <a:gd name="T35" fmla="*/ 5393 h 15285"/>
                              <a:gd name="T36" fmla="*/ 9509 w 9585"/>
                              <a:gd name="T37" fmla="*/ 5398 h 15285"/>
                              <a:gd name="T38" fmla="*/ 9553 w 9585"/>
                              <a:gd name="T39" fmla="*/ 5425 h 15285"/>
                              <a:gd name="T40" fmla="*/ 9580 w 9585"/>
                              <a:gd name="T41" fmla="*/ 5469 h 15285"/>
                              <a:gd name="T42" fmla="*/ 9585 w 9585"/>
                              <a:gd name="T43" fmla="*/ 10102 h 15285"/>
                              <a:gd name="T44" fmla="*/ 9571 w 9585"/>
                              <a:gd name="T45" fmla="*/ 10151 h 15285"/>
                              <a:gd name="T46" fmla="*/ 9535 w 9585"/>
                              <a:gd name="T47" fmla="*/ 10188 h 15285"/>
                              <a:gd name="T48" fmla="*/ 9488 w 9585"/>
                              <a:gd name="T49" fmla="*/ 10207 h 15285"/>
                              <a:gd name="T50" fmla="*/ 84 w 9585"/>
                              <a:gd name="T51" fmla="*/ 10204 h 15285"/>
                              <a:gd name="T52" fmla="*/ 39 w 9585"/>
                              <a:gd name="T53" fmla="*/ 10180 h 15285"/>
                              <a:gd name="T54" fmla="*/ 9 w 9585"/>
                              <a:gd name="T55" fmla="*/ 10138 h 15285"/>
                              <a:gd name="T56" fmla="*/ 0 w 9585"/>
                              <a:gd name="T57" fmla="*/ 14625 h 15285"/>
                              <a:gd name="T58" fmla="*/ 9 w 9585"/>
                              <a:gd name="T59" fmla="*/ 10292 h 15285"/>
                              <a:gd name="T60" fmla="*/ 39 w 9585"/>
                              <a:gd name="T61" fmla="*/ 10250 h 15285"/>
                              <a:gd name="T62" fmla="*/ 84 w 9585"/>
                              <a:gd name="T63" fmla="*/ 10226 h 15285"/>
                              <a:gd name="T64" fmla="*/ 9488 w 9585"/>
                              <a:gd name="T65" fmla="*/ 10223 h 15285"/>
                              <a:gd name="T66" fmla="*/ 9535 w 9585"/>
                              <a:gd name="T67" fmla="*/ 10241 h 15285"/>
                              <a:gd name="T68" fmla="*/ 9571 w 9585"/>
                              <a:gd name="T69" fmla="*/ 10279 h 15285"/>
                              <a:gd name="T70" fmla="*/ 9585 w 9585"/>
                              <a:gd name="T71" fmla="*/ 10328 h 15285"/>
                              <a:gd name="T72" fmla="*/ 9580 w 9585"/>
                              <a:gd name="T73" fmla="*/ 14661 h 15285"/>
                              <a:gd name="T74" fmla="*/ 9553 w 9585"/>
                              <a:gd name="T75" fmla="*/ 14705 h 15285"/>
                              <a:gd name="T76" fmla="*/ 9509 w 9585"/>
                              <a:gd name="T77" fmla="*/ 14732 h 15285"/>
                              <a:gd name="T78" fmla="*/ 106 w 9585"/>
                              <a:gd name="T79" fmla="*/ 14737 h 15285"/>
                              <a:gd name="T80" fmla="*/ 57 w 9585"/>
                              <a:gd name="T81" fmla="*/ 14723 h 15285"/>
                              <a:gd name="T82" fmla="*/ 19 w 9585"/>
                              <a:gd name="T83" fmla="*/ 14687 h 15285"/>
                              <a:gd name="T84" fmla="*/ 1 w 9585"/>
                              <a:gd name="T85" fmla="*/ 14640 h 15285"/>
                              <a:gd name="T86" fmla="*/ 3 w 9585"/>
                              <a:gd name="T87" fmla="*/ 14843 h 15285"/>
                              <a:gd name="T88" fmla="*/ 24 w 9585"/>
                              <a:gd name="T89" fmla="*/ 14796 h 15285"/>
                              <a:gd name="T90" fmla="*/ 63 w 9585"/>
                              <a:gd name="T91" fmla="*/ 14764 h 15285"/>
                              <a:gd name="T92" fmla="*/ 113 w 9585"/>
                              <a:gd name="T93" fmla="*/ 14752 h 15285"/>
                              <a:gd name="T94" fmla="*/ 9516 w 9585"/>
                              <a:gd name="T95" fmla="*/ 14761 h 15285"/>
                              <a:gd name="T96" fmla="*/ 9558 w 9585"/>
                              <a:gd name="T97" fmla="*/ 14791 h 15285"/>
                              <a:gd name="T98" fmla="*/ 9582 w 9585"/>
                              <a:gd name="T99" fmla="*/ 14836 h 15285"/>
                              <a:gd name="T100" fmla="*/ 9585 w 9585"/>
                              <a:gd name="T101" fmla="*/ 15750 h 15285"/>
                              <a:gd name="T102" fmla="*/ 9567 w 9585"/>
                              <a:gd name="T103" fmla="*/ 15797 h 15285"/>
                              <a:gd name="T104" fmla="*/ 9529 w 9585"/>
                              <a:gd name="T105" fmla="*/ 15833 h 15285"/>
                              <a:gd name="T106" fmla="*/ 9480 w 9585"/>
                              <a:gd name="T107" fmla="*/ 15847 h 15285"/>
                              <a:gd name="T108" fmla="*/ 77 w 9585"/>
                              <a:gd name="T109" fmla="*/ 15842 h 15285"/>
                              <a:gd name="T110" fmla="*/ 33 w 9585"/>
                              <a:gd name="T111" fmla="*/ 15815 h 15285"/>
                              <a:gd name="T112" fmla="*/ 6 w 9585"/>
                              <a:gd name="T113" fmla="*/ 15771 h 1528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585" h="15285">
                                <a:moveTo>
                                  <a:pt x="0" y="4703"/>
                                </a:moveTo>
                                <a:lnTo>
                                  <a:pt x="0" y="113"/>
                                </a:lnTo>
                                <a:lnTo>
                                  <a:pt x="0" y="106"/>
                                </a:lnTo>
                                <a:lnTo>
                                  <a:pt x="1" y="98"/>
                                </a:lnTo>
                                <a:lnTo>
                                  <a:pt x="3" y="91"/>
                                </a:lnTo>
                                <a:lnTo>
                                  <a:pt x="4" y="84"/>
                                </a:lnTo>
                                <a:lnTo>
                                  <a:pt x="6" y="77"/>
                                </a:lnTo>
                                <a:lnTo>
                                  <a:pt x="9" y="70"/>
                                </a:lnTo>
                                <a:lnTo>
                                  <a:pt x="12" y="63"/>
                                </a:lnTo>
                                <a:lnTo>
                                  <a:pt x="15" y="57"/>
                                </a:lnTo>
                                <a:lnTo>
                                  <a:pt x="19" y="50"/>
                                </a:lnTo>
                                <a:lnTo>
                                  <a:pt x="24" y="44"/>
                                </a:lnTo>
                                <a:lnTo>
                                  <a:pt x="28" y="39"/>
                                </a:lnTo>
                                <a:lnTo>
                                  <a:pt x="33" y="33"/>
                                </a:lnTo>
                                <a:lnTo>
                                  <a:pt x="39" y="28"/>
                                </a:lnTo>
                                <a:lnTo>
                                  <a:pt x="44" y="24"/>
                                </a:lnTo>
                                <a:lnTo>
                                  <a:pt x="50" y="19"/>
                                </a:lnTo>
                                <a:lnTo>
                                  <a:pt x="57" y="15"/>
                                </a:lnTo>
                                <a:lnTo>
                                  <a:pt x="63" y="12"/>
                                </a:lnTo>
                                <a:lnTo>
                                  <a:pt x="70" y="9"/>
                                </a:lnTo>
                                <a:lnTo>
                                  <a:pt x="77" y="6"/>
                                </a:lnTo>
                                <a:lnTo>
                                  <a:pt x="84" y="4"/>
                                </a:lnTo>
                                <a:lnTo>
                                  <a:pt x="91" y="3"/>
                                </a:lnTo>
                                <a:lnTo>
                                  <a:pt x="98" y="1"/>
                                </a:lnTo>
                                <a:lnTo>
                                  <a:pt x="106" y="0"/>
                                </a:lnTo>
                                <a:lnTo>
                                  <a:pt x="113" y="0"/>
                                </a:lnTo>
                                <a:lnTo>
                                  <a:pt x="9473" y="0"/>
                                </a:lnTo>
                                <a:lnTo>
                                  <a:pt x="9480" y="0"/>
                                </a:lnTo>
                                <a:lnTo>
                                  <a:pt x="9488" y="1"/>
                                </a:lnTo>
                                <a:lnTo>
                                  <a:pt x="9495" y="3"/>
                                </a:lnTo>
                                <a:lnTo>
                                  <a:pt x="9502" y="4"/>
                                </a:lnTo>
                                <a:lnTo>
                                  <a:pt x="9509" y="6"/>
                                </a:lnTo>
                                <a:lnTo>
                                  <a:pt x="9516" y="9"/>
                                </a:lnTo>
                                <a:lnTo>
                                  <a:pt x="9523" y="12"/>
                                </a:lnTo>
                                <a:lnTo>
                                  <a:pt x="9529" y="15"/>
                                </a:lnTo>
                                <a:lnTo>
                                  <a:pt x="9535" y="19"/>
                                </a:lnTo>
                                <a:lnTo>
                                  <a:pt x="9542" y="24"/>
                                </a:lnTo>
                                <a:lnTo>
                                  <a:pt x="9547" y="28"/>
                                </a:lnTo>
                                <a:lnTo>
                                  <a:pt x="9553" y="33"/>
                                </a:lnTo>
                                <a:lnTo>
                                  <a:pt x="9558" y="39"/>
                                </a:lnTo>
                                <a:lnTo>
                                  <a:pt x="9562" y="44"/>
                                </a:lnTo>
                                <a:lnTo>
                                  <a:pt x="9567" y="50"/>
                                </a:lnTo>
                                <a:lnTo>
                                  <a:pt x="9571" y="57"/>
                                </a:lnTo>
                                <a:lnTo>
                                  <a:pt x="9574" y="63"/>
                                </a:lnTo>
                                <a:lnTo>
                                  <a:pt x="9577" y="70"/>
                                </a:lnTo>
                                <a:lnTo>
                                  <a:pt x="9580" y="77"/>
                                </a:lnTo>
                                <a:lnTo>
                                  <a:pt x="9582" y="84"/>
                                </a:lnTo>
                                <a:lnTo>
                                  <a:pt x="9583" y="91"/>
                                </a:lnTo>
                                <a:lnTo>
                                  <a:pt x="9585" y="98"/>
                                </a:lnTo>
                                <a:lnTo>
                                  <a:pt x="9585" y="106"/>
                                </a:lnTo>
                                <a:lnTo>
                                  <a:pt x="9585" y="113"/>
                                </a:lnTo>
                                <a:lnTo>
                                  <a:pt x="9585" y="4703"/>
                                </a:lnTo>
                                <a:lnTo>
                                  <a:pt x="9585" y="4710"/>
                                </a:lnTo>
                                <a:lnTo>
                                  <a:pt x="9585" y="4718"/>
                                </a:lnTo>
                                <a:lnTo>
                                  <a:pt x="9583" y="4725"/>
                                </a:lnTo>
                                <a:lnTo>
                                  <a:pt x="9582" y="4732"/>
                                </a:lnTo>
                                <a:lnTo>
                                  <a:pt x="9580" y="4739"/>
                                </a:lnTo>
                                <a:lnTo>
                                  <a:pt x="9577" y="4746"/>
                                </a:lnTo>
                                <a:lnTo>
                                  <a:pt x="9574" y="4753"/>
                                </a:lnTo>
                                <a:lnTo>
                                  <a:pt x="9571" y="4759"/>
                                </a:lnTo>
                                <a:lnTo>
                                  <a:pt x="9567" y="4765"/>
                                </a:lnTo>
                                <a:lnTo>
                                  <a:pt x="9562" y="4772"/>
                                </a:lnTo>
                                <a:lnTo>
                                  <a:pt x="9558" y="4777"/>
                                </a:lnTo>
                                <a:lnTo>
                                  <a:pt x="9553" y="4783"/>
                                </a:lnTo>
                                <a:lnTo>
                                  <a:pt x="9547" y="4788"/>
                                </a:lnTo>
                                <a:lnTo>
                                  <a:pt x="9542" y="4792"/>
                                </a:lnTo>
                                <a:lnTo>
                                  <a:pt x="9535" y="4797"/>
                                </a:lnTo>
                                <a:lnTo>
                                  <a:pt x="9529" y="4801"/>
                                </a:lnTo>
                                <a:lnTo>
                                  <a:pt x="9523" y="4804"/>
                                </a:lnTo>
                                <a:lnTo>
                                  <a:pt x="9516" y="4807"/>
                                </a:lnTo>
                                <a:lnTo>
                                  <a:pt x="9509" y="4810"/>
                                </a:lnTo>
                                <a:lnTo>
                                  <a:pt x="9502" y="4812"/>
                                </a:lnTo>
                                <a:lnTo>
                                  <a:pt x="9495" y="4813"/>
                                </a:lnTo>
                                <a:lnTo>
                                  <a:pt x="9488" y="4815"/>
                                </a:lnTo>
                                <a:lnTo>
                                  <a:pt x="9480" y="4815"/>
                                </a:lnTo>
                                <a:lnTo>
                                  <a:pt x="9473" y="4815"/>
                                </a:lnTo>
                                <a:lnTo>
                                  <a:pt x="113" y="4815"/>
                                </a:lnTo>
                                <a:lnTo>
                                  <a:pt x="106" y="4815"/>
                                </a:lnTo>
                                <a:lnTo>
                                  <a:pt x="98" y="4815"/>
                                </a:lnTo>
                                <a:lnTo>
                                  <a:pt x="91" y="4813"/>
                                </a:lnTo>
                                <a:lnTo>
                                  <a:pt x="84" y="4812"/>
                                </a:lnTo>
                                <a:lnTo>
                                  <a:pt x="77" y="4810"/>
                                </a:lnTo>
                                <a:lnTo>
                                  <a:pt x="70" y="4807"/>
                                </a:lnTo>
                                <a:lnTo>
                                  <a:pt x="63" y="4804"/>
                                </a:lnTo>
                                <a:lnTo>
                                  <a:pt x="57" y="4801"/>
                                </a:lnTo>
                                <a:lnTo>
                                  <a:pt x="50" y="4797"/>
                                </a:lnTo>
                                <a:lnTo>
                                  <a:pt x="44" y="4792"/>
                                </a:lnTo>
                                <a:lnTo>
                                  <a:pt x="39" y="4788"/>
                                </a:lnTo>
                                <a:lnTo>
                                  <a:pt x="33" y="4783"/>
                                </a:lnTo>
                                <a:lnTo>
                                  <a:pt x="28" y="4777"/>
                                </a:lnTo>
                                <a:lnTo>
                                  <a:pt x="24" y="4772"/>
                                </a:lnTo>
                                <a:lnTo>
                                  <a:pt x="19" y="4765"/>
                                </a:lnTo>
                                <a:lnTo>
                                  <a:pt x="15" y="4759"/>
                                </a:lnTo>
                                <a:lnTo>
                                  <a:pt x="12" y="4753"/>
                                </a:lnTo>
                                <a:lnTo>
                                  <a:pt x="9" y="4746"/>
                                </a:lnTo>
                                <a:lnTo>
                                  <a:pt x="6" y="4739"/>
                                </a:lnTo>
                                <a:lnTo>
                                  <a:pt x="4" y="4732"/>
                                </a:lnTo>
                                <a:lnTo>
                                  <a:pt x="3" y="4725"/>
                                </a:lnTo>
                                <a:lnTo>
                                  <a:pt x="1" y="4718"/>
                                </a:lnTo>
                                <a:lnTo>
                                  <a:pt x="0" y="4710"/>
                                </a:lnTo>
                                <a:lnTo>
                                  <a:pt x="0" y="4703"/>
                                </a:lnTo>
                                <a:close/>
                                <a:moveTo>
                                  <a:pt x="0" y="9533"/>
                                </a:moveTo>
                                <a:lnTo>
                                  <a:pt x="0" y="4943"/>
                                </a:lnTo>
                                <a:lnTo>
                                  <a:pt x="0" y="4936"/>
                                </a:lnTo>
                                <a:lnTo>
                                  <a:pt x="1" y="4928"/>
                                </a:lnTo>
                                <a:lnTo>
                                  <a:pt x="3" y="4921"/>
                                </a:lnTo>
                                <a:lnTo>
                                  <a:pt x="4" y="4914"/>
                                </a:lnTo>
                                <a:lnTo>
                                  <a:pt x="6" y="4907"/>
                                </a:lnTo>
                                <a:lnTo>
                                  <a:pt x="9" y="4900"/>
                                </a:lnTo>
                                <a:lnTo>
                                  <a:pt x="12" y="4893"/>
                                </a:lnTo>
                                <a:lnTo>
                                  <a:pt x="15" y="4887"/>
                                </a:lnTo>
                                <a:lnTo>
                                  <a:pt x="19" y="4880"/>
                                </a:lnTo>
                                <a:lnTo>
                                  <a:pt x="24" y="4874"/>
                                </a:lnTo>
                                <a:lnTo>
                                  <a:pt x="28" y="4869"/>
                                </a:lnTo>
                                <a:lnTo>
                                  <a:pt x="33" y="4863"/>
                                </a:lnTo>
                                <a:lnTo>
                                  <a:pt x="39" y="4858"/>
                                </a:lnTo>
                                <a:lnTo>
                                  <a:pt x="44" y="4854"/>
                                </a:lnTo>
                                <a:lnTo>
                                  <a:pt x="50" y="4849"/>
                                </a:lnTo>
                                <a:lnTo>
                                  <a:pt x="57" y="4845"/>
                                </a:lnTo>
                                <a:lnTo>
                                  <a:pt x="63" y="4842"/>
                                </a:lnTo>
                                <a:lnTo>
                                  <a:pt x="70" y="4839"/>
                                </a:lnTo>
                                <a:lnTo>
                                  <a:pt x="77" y="4836"/>
                                </a:lnTo>
                                <a:lnTo>
                                  <a:pt x="84" y="4834"/>
                                </a:lnTo>
                                <a:lnTo>
                                  <a:pt x="91" y="4833"/>
                                </a:lnTo>
                                <a:lnTo>
                                  <a:pt x="98" y="4831"/>
                                </a:lnTo>
                                <a:lnTo>
                                  <a:pt x="106" y="4831"/>
                                </a:lnTo>
                                <a:lnTo>
                                  <a:pt x="113" y="4830"/>
                                </a:lnTo>
                                <a:lnTo>
                                  <a:pt x="9473" y="4830"/>
                                </a:lnTo>
                                <a:lnTo>
                                  <a:pt x="9480" y="4831"/>
                                </a:lnTo>
                                <a:lnTo>
                                  <a:pt x="9488" y="4831"/>
                                </a:lnTo>
                                <a:lnTo>
                                  <a:pt x="9495" y="4833"/>
                                </a:lnTo>
                                <a:lnTo>
                                  <a:pt x="9502" y="4834"/>
                                </a:lnTo>
                                <a:lnTo>
                                  <a:pt x="9509" y="4836"/>
                                </a:lnTo>
                                <a:lnTo>
                                  <a:pt x="9516" y="4839"/>
                                </a:lnTo>
                                <a:lnTo>
                                  <a:pt x="9523" y="4842"/>
                                </a:lnTo>
                                <a:lnTo>
                                  <a:pt x="9529" y="4845"/>
                                </a:lnTo>
                                <a:lnTo>
                                  <a:pt x="9535" y="4849"/>
                                </a:lnTo>
                                <a:lnTo>
                                  <a:pt x="9542" y="4854"/>
                                </a:lnTo>
                                <a:lnTo>
                                  <a:pt x="9547" y="4858"/>
                                </a:lnTo>
                                <a:lnTo>
                                  <a:pt x="9553" y="4863"/>
                                </a:lnTo>
                                <a:lnTo>
                                  <a:pt x="9558" y="4869"/>
                                </a:lnTo>
                                <a:lnTo>
                                  <a:pt x="9562" y="4874"/>
                                </a:lnTo>
                                <a:lnTo>
                                  <a:pt x="9567" y="4880"/>
                                </a:lnTo>
                                <a:lnTo>
                                  <a:pt x="9571" y="4887"/>
                                </a:lnTo>
                                <a:lnTo>
                                  <a:pt x="9574" y="4893"/>
                                </a:lnTo>
                                <a:lnTo>
                                  <a:pt x="9577" y="4900"/>
                                </a:lnTo>
                                <a:lnTo>
                                  <a:pt x="9580" y="4907"/>
                                </a:lnTo>
                                <a:lnTo>
                                  <a:pt x="9582" y="4914"/>
                                </a:lnTo>
                                <a:lnTo>
                                  <a:pt x="9583" y="4921"/>
                                </a:lnTo>
                                <a:lnTo>
                                  <a:pt x="9585" y="4928"/>
                                </a:lnTo>
                                <a:lnTo>
                                  <a:pt x="9585" y="4936"/>
                                </a:lnTo>
                                <a:lnTo>
                                  <a:pt x="9585" y="4943"/>
                                </a:lnTo>
                                <a:lnTo>
                                  <a:pt x="9585" y="9533"/>
                                </a:lnTo>
                                <a:lnTo>
                                  <a:pt x="9585" y="9540"/>
                                </a:lnTo>
                                <a:lnTo>
                                  <a:pt x="9585" y="9548"/>
                                </a:lnTo>
                                <a:lnTo>
                                  <a:pt x="9583" y="9555"/>
                                </a:lnTo>
                                <a:lnTo>
                                  <a:pt x="9582" y="9562"/>
                                </a:lnTo>
                                <a:lnTo>
                                  <a:pt x="9580" y="9569"/>
                                </a:lnTo>
                                <a:lnTo>
                                  <a:pt x="9577" y="9576"/>
                                </a:lnTo>
                                <a:lnTo>
                                  <a:pt x="9574" y="9583"/>
                                </a:lnTo>
                                <a:lnTo>
                                  <a:pt x="9571" y="9589"/>
                                </a:lnTo>
                                <a:lnTo>
                                  <a:pt x="9567" y="9595"/>
                                </a:lnTo>
                                <a:lnTo>
                                  <a:pt x="9562" y="9602"/>
                                </a:lnTo>
                                <a:lnTo>
                                  <a:pt x="9558" y="9607"/>
                                </a:lnTo>
                                <a:lnTo>
                                  <a:pt x="9553" y="9613"/>
                                </a:lnTo>
                                <a:lnTo>
                                  <a:pt x="9547" y="9618"/>
                                </a:lnTo>
                                <a:lnTo>
                                  <a:pt x="9542" y="9622"/>
                                </a:lnTo>
                                <a:lnTo>
                                  <a:pt x="9535" y="9626"/>
                                </a:lnTo>
                                <a:lnTo>
                                  <a:pt x="9529" y="9631"/>
                                </a:lnTo>
                                <a:lnTo>
                                  <a:pt x="9523" y="9634"/>
                                </a:lnTo>
                                <a:lnTo>
                                  <a:pt x="9516" y="9637"/>
                                </a:lnTo>
                                <a:lnTo>
                                  <a:pt x="9509" y="9640"/>
                                </a:lnTo>
                                <a:lnTo>
                                  <a:pt x="9502" y="9642"/>
                                </a:lnTo>
                                <a:lnTo>
                                  <a:pt x="9495" y="9643"/>
                                </a:lnTo>
                                <a:lnTo>
                                  <a:pt x="9488" y="9645"/>
                                </a:lnTo>
                                <a:lnTo>
                                  <a:pt x="9480" y="9645"/>
                                </a:lnTo>
                                <a:lnTo>
                                  <a:pt x="9473" y="9645"/>
                                </a:lnTo>
                                <a:lnTo>
                                  <a:pt x="113" y="9645"/>
                                </a:lnTo>
                                <a:lnTo>
                                  <a:pt x="106" y="9645"/>
                                </a:lnTo>
                                <a:lnTo>
                                  <a:pt x="98" y="9645"/>
                                </a:lnTo>
                                <a:lnTo>
                                  <a:pt x="91" y="9643"/>
                                </a:lnTo>
                                <a:lnTo>
                                  <a:pt x="84" y="9642"/>
                                </a:lnTo>
                                <a:lnTo>
                                  <a:pt x="77" y="9640"/>
                                </a:lnTo>
                                <a:lnTo>
                                  <a:pt x="70" y="9637"/>
                                </a:lnTo>
                                <a:lnTo>
                                  <a:pt x="63" y="9634"/>
                                </a:lnTo>
                                <a:lnTo>
                                  <a:pt x="57" y="9631"/>
                                </a:lnTo>
                                <a:lnTo>
                                  <a:pt x="50" y="9626"/>
                                </a:lnTo>
                                <a:lnTo>
                                  <a:pt x="44" y="9622"/>
                                </a:lnTo>
                                <a:lnTo>
                                  <a:pt x="39" y="9618"/>
                                </a:lnTo>
                                <a:lnTo>
                                  <a:pt x="33" y="9613"/>
                                </a:lnTo>
                                <a:lnTo>
                                  <a:pt x="28" y="9607"/>
                                </a:lnTo>
                                <a:lnTo>
                                  <a:pt x="24" y="9602"/>
                                </a:lnTo>
                                <a:lnTo>
                                  <a:pt x="19" y="9595"/>
                                </a:lnTo>
                                <a:lnTo>
                                  <a:pt x="15" y="9589"/>
                                </a:lnTo>
                                <a:lnTo>
                                  <a:pt x="12" y="9583"/>
                                </a:lnTo>
                                <a:lnTo>
                                  <a:pt x="9" y="9576"/>
                                </a:lnTo>
                                <a:lnTo>
                                  <a:pt x="6" y="9569"/>
                                </a:lnTo>
                                <a:lnTo>
                                  <a:pt x="4" y="9562"/>
                                </a:lnTo>
                                <a:lnTo>
                                  <a:pt x="3" y="9555"/>
                                </a:lnTo>
                                <a:lnTo>
                                  <a:pt x="1" y="9548"/>
                                </a:lnTo>
                                <a:lnTo>
                                  <a:pt x="0" y="9540"/>
                                </a:lnTo>
                                <a:lnTo>
                                  <a:pt x="0" y="9533"/>
                                </a:lnTo>
                                <a:close/>
                                <a:moveTo>
                                  <a:pt x="0" y="14063"/>
                                </a:moveTo>
                                <a:lnTo>
                                  <a:pt x="0" y="9773"/>
                                </a:lnTo>
                                <a:lnTo>
                                  <a:pt x="0" y="9766"/>
                                </a:lnTo>
                                <a:lnTo>
                                  <a:pt x="1" y="9758"/>
                                </a:lnTo>
                                <a:lnTo>
                                  <a:pt x="3" y="9751"/>
                                </a:lnTo>
                                <a:lnTo>
                                  <a:pt x="4" y="9744"/>
                                </a:lnTo>
                                <a:lnTo>
                                  <a:pt x="6" y="9737"/>
                                </a:lnTo>
                                <a:lnTo>
                                  <a:pt x="9" y="9730"/>
                                </a:lnTo>
                                <a:lnTo>
                                  <a:pt x="12" y="9723"/>
                                </a:lnTo>
                                <a:lnTo>
                                  <a:pt x="15" y="9717"/>
                                </a:lnTo>
                                <a:lnTo>
                                  <a:pt x="19" y="9710"/>
                                </a:lnTo>
                                <a:lnTo>
                                  <a:pt x="24" y="9704"/>
                                </a:lnTo>
                                <a:lnTo>
                                  <a:pt x="28" y="9699"/>
                                </a:lnTo>
                                <a:lnTo>
                                  <a:pt x="33" y="9693"/>
                                </a:lnTo>
                                <a:lnTo>
                                  <a:pt x="39" y="9688"/>
                                </a:lnTo>
                                <a:lnTo>
                                  <a:pt x="44" y="9684"/>
                                </a:lnTo>
                                <a:lnTo>
                                  <a:pt x="50" y="9679"/>
                                </a:lnTo>
                                <a:lnTo>
                                  <a:pt x="57" y="9675"/>
                                </a:lnTo>
                                <a:lnTo>
                                  <a:pt x="63" y="9672"/>
                                </a:lnTo>
                                <a:lnTo>
                                  <a:pt x="70" y="9669"/>
                                </a:lnTo>
                                <a:lnTo>
                                  <a:pt x="77" y="9666"/>
                                </a:lnTo>
                                <a:lnTo>
                                  <a:pt x="84" y="9664"/>
                                </a:lnTo>
                                <a:lnTo>
                                  <a:pt x="91" y="9663"/>
                                </a:lnTo>
                                <a:lnTo>
                                  <a:pt x="98" y="9661"/>
                                </a:lnTo>
                                <a:lnTo>
                                  <a:pt x="106" y="9661"/>
                                </a:lnTo>
                                <a:lnTo>
                                  <a:pt x="113" y="9660"/>
                                </a:lnTo>
                                <a:lnTo>
                                  <a:pt x="9473" y="9660"/>
                                </a:lnTo>
                                <a:lnTo>
                                  <a:pt x="9480" y="9661"/>
                                </a:lnTo>
                                <a:lnTo>
                                  <a:pt x="9488" y="9661"/>
                                </a:lnTo>
                                <a:lnTo>
                                  <a:pt x="9495" y="9663"/>
                                </a:lnTo>
                                <a:lnTo>
                                  <a:pt x="9502" y="9664"/>
                                </a:lnTo>
                                <a:lnTo>
                                  <a:pt x="9509" y="9666"/>
                                </a:lnTo>
                                <a:lnTo>
                                  <a:pt x="9516" y="9669"/>
                                </a:lnTo>
                                <a:lnTo>
                                  <a:pt x="9523" y="9672"/>
                                </a:lnTo>
                                <a:lnTo>
                                  <a:pt x="9529" y="9675"/>
                                </a:lnTo>
                                <a:lnTo>
                                  <a:pt x="9535" y="9679"/>
                                </a:lnTo>
                                <a:lnTo>
                                  <a:pt x="9542" y="9684"/>
                                </a:lnTo>
                                <a:lnTo>
                                  <a:pt x="9547" y="9688"/>
                                </a:lnTo>
                                <a:lnTo>
                                  <a:pt x="9553" y="9693"/>
                                </a:lnTo>
                                <a:lnTo>
                                  <a:pt x="9558" y="9699"/>
                                </a:lnTo>
                                <a:lnTo>
                                  <a:pt x="9562" y="9704"/>
                                </a:lnTo>
                                <a:lnTo>
                                  <a:pt x="9567" y="9710"/>
                                </a:lnTo>
                                <a:lnTo>
                                  <a:pt x="9571" y="9717"/>
                                </a:lnTo>
                                <a:lnTo>
                                  <a:pt x="9574" y="9723"/>
                                </a:lnTo>
                                <a:lnTo>
                                  <a:pt x="9577" y="9730"/>
                                </a:lnTo>
                                <a:lnTo>
                                  <a:pt x="9580" y="9737"/>
                                </a:lnTo>
                                <a:lnTo>
                                  <a:pt x="9582" y="9744"/>
                                </a:lnTo>
                                <a:lnTo>
                                  <a:pt x="9583" y="9751"/>
                                </a:lnTo>
                                <a:lnTo>
                                  <a:pt x="9585" y="9758"/>
                                </a:lnTo>
                                <a:lnTo>
                                  <a:pt x="9585" y="9766"/>
                                </a:lnTo>
                                <a:lnTo>
                                  <a:pt x="9585" y="9773"/>
                                </a:lnTo>
                                <a:lnTo>
                                  <a:pt x="9585" y="14063"/>
                                </a:lnTo>
                                <a:lnTo>
                                  <a:pt x="9585" y="14070"/>
                                </a:lnTo>
                                <a:lnTo>
                                  <a:pt x="9585" y="14078"/>
                                </a:lnTo>
                                <a:lnTo>
                                  <a:pt x="9583" y="14085"/>
                                </a:lnTo>
                                <a:lnTo>
                                  <a:pt x="9582" y="14092"/>
                                </a:lnTo>
                                <a:lnTo>
                                  <a:pt x="9580" y="14099"/>
                                </a:lnTo>
                                <a:lnTo>
                                  <a:pt x="9577" y="14106"/>
                                </a:lnTo>
                                <a:lnTo>
                                  <a:pt x="9574" y="14113"/>
                                </a:lnTo>
                                <a:lnTo>
                                  <a:pt x="9571" y="14119"/>
                                </a:lnTo>
                                <a:lnTo>
                                  <a:pt x="9567" y="14125"/>
                                </a:lnTo>
                                <a:lnTo>
                                  <a:pt x="9562" y="14132"/>
                                </a:lnTo>
                                <a:lnTo>
                                  <a:pt x="9558" y="14137"/>
                                </a:lnTo>
                                <a:lnTo>
                                  <a:pt x="9553" y="14143"/>
                                </a:lnTo>
                                <a:lnTo>
                                  <a:pt x="9547" y="14148"/>
                                </a:lnTo>
                                <a:lnTo>
                                  <a:pt x="9542" y="14152"/>
                                </a:lnTo>
                                <a:lnTo>
                                  <a:pt x="9535" y="14157"/>
                                </a:lnTo>
                                <a:lnTo>
                                  <a:pt x="9529" y="14161"/>
                                </a:lnTo>
                                <a:lnTo>
                                  <a:pt x="9523" y="14164"/>
                                </a:lnTo>
                                <a:lnTo>
                                  <a:pt x="9516" y="14167"/>
                                </a:lnTo>
                                <a:lnTo>
                                  <a:pt x="9509" y="14170"/>
                                </a:lnTo>
                                <a:lnTo>
                                  <a:pt x="9502" y="14172"/>
                                </a:lnTo>
                                <a:lnTo>
                                  <a:pt x="9495" y="14173"/>
                                </a:lnTo>
                                <a:lnTo>
                                  <a:pt x="9488" y="14175"/>
                                </a:lnTo>
                                <a:lnTo>
                                  <a:pt x="9480" y="14175"/>
                                </a:lnTo>
                                <a:lnTo>
                                  <a:pt x="9473" y="14175"/>
                                </a:lnTo>
                                <a:lnTo>
                                  <a:pt x="113" y="14175"/>
                                </a:lnTo>
                                <a:lnTo>
                                  <a:pt x="106" y="14175"/>
                                </a:lnTo>
                                <a:lnTo>
                                  <a:pt x="98" y="14175"/>
                                </a:lnTo>
                                <a:lnTo>
                                  <a:pt x="91" y="14173"/>
                                </a:lnTo>
                                <a:lnTo>
                                  <a:pt x="84" y="14172"/>
                                </a:lnTo>
                                <a:lnTo>
                                  <a:pt x="77" y="14170"/>
                                </a:lnTo>
                                <a:lnTo>
                                  <a:pt x="70" y="14167"/>
                                </a:lnTo>
                                <a:lnTo>
                                  <a:pt x="63" y="14164"/>
                                </a:lnTo>
                                <a:lnTo>
                                  <a:pt x="57" y="14161"/>
                                </a:lnTo>
                                <a:lnTo>
                                  <a:pt x="50" y="14157"/>
                                </a:lnTo>
                                <a:lnTo>
                                  <a:pt x="44" y="14152"/>
                                </a:lnTo>
                                <a:lnTo>
                                  <a:pt x="39" y="14148"/>
                                </a:lnTo>
                                <a:lnTo>
                                  <a:pt x="33" y="14143"/>
                                </a:lnTo>
                                <a:lnTo>
                                  <a:pt x="28" y="14137"/>
                                </a:lnTo>
                                <a:lnTo>
                                  <a:pt x="24" y="14132"/>
                                </a:lnTo>
                                <a:lnTo>
                                  <a:pt x="19" y="14125"/>
                                </a:lnTo>
                                <a:lnTo>
                                  <a:pt x="15" y="14119"/>
                                </a:lnTo>
                                <a:lnTo>
                                  <a:pt x="12" y="14113"/>
                                </a:lnTo>
                                <a:lnTo>
                                  <a:pt x="9" y="14106"/>
                                </a:lnTo>
                                <a:lnTo>
                                  <a:pt x="6" y="14099"/>
                                </a:lnTo>
                                <a:lnTo>
                                  <a:pt x="4" y="14092"/>
                                </a:lnTo>
                                <a:lnTo>
                                  <a:pt x="3" y="14085"/>
                                </a:lnTo>
                                <a:lnTo>
                                  <a:pt x="1" y="14078"/>
                                </a:lnTo>
                                <a:lnTo>
                                  <a:pt x="0" y="14070"/>
                                </a:lnTo>
                                <a:lnTo>
                                  <a:pt x="0" y="14063"/>
                                </a:lnTo>
                                <a:close/>
                                <a:moveTo>
                                  <a:pt x="0" y="15173"/>
                                </a:moveTo>
                                <a:lnTo>
                                  <a:pt x="0" y="14303"/>
                                </a:lnTo>
                                <a:lnTo>
                                  <a:pt x="0" y="14296"/>
                                </a:lnTo>
                                <a:lnTo>
                                  <a:pt x="1" y="14288"/>
                                </a:lnTo>
                                <a:lnTo>
                                  <a:pt x="3" y="14281"/>
                                </a:lnTo>
                                <a:lnTo>
                                  <a:pt x="4" y="14274"/>
                                </a:lnTo>
                                <a:lnTo>
                                  <a:pt x="6" y="14267"/>
                                </a:lnTo>
                                <a:lnTo>
                                  <a:pt x="9" y="14260"/>
                                </a:lnTo>
                                <a:lnTo>
                                  <a:pt x="12" y="14253"/>
                                </a:lnTo>
                                <a:lnTo>
                                  <a:pt x="15" y="14247"/>
                                </a:lnTo>
                                <a:lnTo>
                                  <a:pt x="19" y="14240"/>
                                </a:lnTo>
                                <a:lnTo>
                                  <a:pt x="24" y="14234"/>
                                </a:lnTo>
                                <a:lnTo>
                                  <a:pt x="28" y="14229"/>
                                </a:lnTo>
                                <a:lnTo>
                                  <a:pt x="33" y="14223"/>
                                </a:lnTo>
                                <a:lnTo>
                                  <a:pt x="39" y="14218"/>
                                </a:lnTo>
                                <a:lnTo>
                                  <a:pt x="44" y="14214"/>
                                </a:lnTo>
                                <a:lnTo>
                                  <a:pt x="50" y="14209"/>
                                </a:lnTo>
                                <a:lnTo>
                                  <a:pt x="57" y="14205"/>
                                </a:lnTo>
                                <a:lnTo>
                                  <a:pt x="63" y="14202"/>
                                </a:lnTo>
                                <a:lnTo>
                                  <a:pt x="70" y="14199"/>
                                </a:lnTo>
                                <a:lnTo>
                                  <a:pt x="77" y="14196"/>
                                </a:lnTo>
                                <a:lnTo>
                                  <a:pt x="84" y="14194"/>
                                </a:lnTo>
                                <a:lnTo>
                                  <a:pt x="91" y="14193"/>
                                </a:lnTo>
                                <a:lnTo>
                                  <a:pt x="98" y="14191"/>
                                </a:lnTo>
                                <a:lnTo>
                                  <a:pt x="106" y="14190"/>
                                </a:lnTo>
                                <a:lnTo>
                                  <a:pt x="113" y="14190"/>
                                </a:lnTo>
                                <a:lnTo>
                                  <a:pt x="9473" y="14190"/>
                                </a:lnTo>
                                <a:lnTo>
                                  <a:pt x="9480" y="14190"/>
                                </a:lnTo>
                                <a:lnTo>
                                  <a:pt x="9488" y="14191"/>
                                </a:lnTo>
                                <a:lnTo>
                                  <a:pt x="9495" y="14193"/>
                                </a:lnTo>
                                <a:lnTo>
                                  <a:pt x="9502" y="14194"/>
                                </a:lnTo>
                                <a:lnTo>
                                  <a:pt x="9509" y="14196"/>
                                </a:lnTo>
                                <a:lnTo>
                                  <a:pt x="9516" y="14199"/>
                                </a:lnTo>
                                <a:lnTo>
                                  <a:pt x="9523" y="14202"/>
                                </a:lnTo>
                                <a:lnTo>
                                  <a:pt x="9529" y="14205"/>
                                </a:lnTo>
                                <a:lnTo>
                                  <a:pt x="9535" y="14209"/>
                                </a:lnTo>
                                <a:lnTo>
                                  <a:pt x="9542" y="14214"/>
                                </a:lnTo>
                                <a:lnTo>
                                  <a:pt x="9547" y="14218"/>
                                </a:lnTo>
                                <a:lnTo>
                                  <a:pt x="9553" y="14223"/>
                                </a:lnTo>
                                <a:lnTo>
                                  <a:pt x="9558" y="14229"/>
                                </a:lnTo>
                                <a:lnTo>
                                  <a:pt x="9562" y="14234"/>
                                </a:lnTo>
                                <a:lnTo>
                                  <a:pt x="9567" y="14240"/>
                                </a:lnTo>
                                <a:lnTo>
                                  <a:pt x="9571" y="14247"/>
                                </a:lnTo>
                                <a:lnTo>
                                  <a:pt x="9574" y="14253"/>
                                </a:lnTo>
                                <a:lnTo>
                                  <a:pt x="9577" y="14260"/>
                                </a:lnTo>
                                <a:lnTo>
                                  <a:pt x="9580" y="14267"/>
                                </a:lnTo>
                                <a:lnTo>
                                  <a:pt x="9582" y="14274"/>
                                </a:lnTo>
                                <a:lnTo>
                                  <a:pt x="9583" y="14281"/>
                                </a:lnTo>
                                <a:lnTo>
                                  <a:pt x="9585" y="14288"/>
                                </a:lnTo>
                                <a:lnTo>
                                  <a:pt x="9585" y="14296"/>
                                </a:lnTo>
                                <a:lnTo>
                                  <a:pt x="9585" y="14303"/>
                                </a:lnTo>
                                <a:lnTo>
                                  <a:pt x="9585" y="15173"/>
                                </a:lnTo>
                                <a:lnTo>
                                  <a:pt x="9585" y="15180"/>
                                </a:lnTo>
                                <a:lnTo>
                                  <a:pt x="9585" y="15188"/>
                                </a:lnTo>
                                <a:lnTo>
                                  <a:pt x="9583" y="15195"/>
                                </a:lnTo>
                                <a:lnTo>
                                  <a:pt x="9582" y="15202"/>
                                </a:lnTo>
                                <a:lnTo>
                                  <a:pt x="9580" y="15209"/>
                                </a:lnTo>
                                <a:lnTo>
                                  <a:pt x="9577" y="15216"/>
                                </a:lnTo>
                                <a:lnTo>
                                  <a:pt x="9574" y="15223"/>
                                </a:lnTo>
                                <a:lnTo>
                                  <a:pt x="9571" y="15229"/>
                                </a:lnTo>
                                <a:lnTo>
                                  <a:pt x="9567" y="15235"/>
                                </a:lnTo>
                                <a:lnTo>
                                  <a:pt x="9562" y="15242"/>
                                </a:lnTo>
                                <a:lnTo>
                                  <a:pt x="9558" y="15247"/>
                                </a:lnTo>
                                <a:lnTo>
                                  <a:pt x="9553" y="15253"/>
                                </a:lnTo>
                                <a:lnTo>
                                  <a:pt x="9547" y="15258"/>
                                </a:lnTo>
                                <a:lnTo>
                                  <a:pt x="9542" y="15262"/>
                                </a:lnTo>
                                <a:lnTo>
                                  <a:pt x="9535" y="15266"/>
                                </a:lnTo>
                                <a:lnTo>
                                  <a:pt x="9529" y="15271"/>
                                </a:lnTo>
                                <a:lnTo>
                                  <a:pt x="9523" y="15274"/>
                                </a:lnTo>
                                <a:lnTo>
                                  <a:pt x="9516" y="15277"/>
                                </a:lnTo>
                                <a:lnTo>
                                  <a:pt x="9509" y="15280"/>
                                </a:lnTo>
                                <a:lnTo>
                                  <a:pt x="9502" y="15282"/>
                                </a:lnTo>
                                <a:lnTo>
                                  <a:pt x="9495" y="15283"/>
                                </a:lnTo>
                                <a:lnTo>
                                  <a:pt x="9488" y="15285"/>
                                </a:lnTo>
                                <a:lnTo>
                                  <a:pt x="9480" y="15285"/>
                                </a:lnTo>
                                <a:lnTo>
                                  <a:pt x="9473" y="15285"/>
                                </a:lnTo>
                                <a:lnTo>
                                  <a:pt x="113" y="15285"/>
                                </a:lnTo>
                                <a:lnTo>
                                  <a:pt x="106" y="15285"/>
                                </a:lnTo>
                                <a:lnTo>
                                  <a:pt x="98" y="15285"/>
                                </a:lnTo>
                                <a:lnTo>
                                  <a:pt x="91" y="15283"/>
                                </a:lnTo>
                                <a:lnTo>
                                  <a:pt x="84" y="15282"/>
                                </a:lnTo>
                                <a:lnTo>
                                  <a:pt x="77" y="15280"/>
                                </a:lnTo>
                                <a:lnTo>
                                  <a:pt x="70" y="15277"/>
                                </a:lnTo>
                                <a:lnTo>
                                  <a:pt x="63" y="15274"/>
                                </a:lnTo>
                                <a:lnTo>
                                  <a:pt x="57" y="15271"/>
                                </a:lnTo>
                                <a:lnTo>
                                  <a:pt x="50" y="15266"/>
                                </a:lnTo>
                                <a:lnTo>
                                  <a:pt x="44" y="15262"/>
                                </a:lnTo>
                                <a:lnTo>
                                  <a:pt x="39" y="15258"/>
                                </a:lnTo>
                                <a:lnTo>
                                  <a:pt x="33" y="15253"/>
                                </a:lnTo>
                                <a:lnTo>
                                  <a:pt x="28" y="15247"/>
                                </a:lnTo>
                                <a:lnTo>
                                  <a:pt x="24" y="15242"/>
                                </a:lnTo>
                                <a:lnTo>
                                  <a:pt x="19" y="15235"/>
                                </a:lnTo>
                                <a:lnTo>
                                  <a:pt x="15" y="15229"/>
                                </a:lnTo>
                                <a:lnTo>
                                  <a:pt x="12" y="15223"/>
                                </a:lnTo>
                                <a:lnTo>
                                  <a:pt x="9" y="15216"/>
                                </a:lnTo>
                                <a:lnTo>
                                  <a:pt x="6" y="15209"/>
                                </a:lnTo>
                                <a:lnTo>
                                  <a:pt x="4" y="15202"/>
                                </a:lnTo>
                                <a:lnTo>
                                  <a:pt x="3" y="15195"/>
                                </a:lnTo>
                                <a:lnTo>
                                  <a:pt x="1" y="15188"/>
                                </a:lnTo>
                                <a:lnTo>
                                  <a:pt x="0" y="15180"/>
                                </a:lnTo>
                                <a:lnTo>
                                  <a:pt x="0" y="15173"/>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663985435"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690"/>
                            <a:ext cx="255" cy="300"/>
                          </a:xfrm>
                          <a:prstGeom prst="rect">
                            <a:avLst/>
                          </a:prstGeom>
                          <a:noFill/>
                          <a:ln>
                            <a:noFill/>
                          </a:ln>
                          <a:effectLst/>
                        </pic:spPr>
                      </pic:pic>
                      <wps:wsp>
                        <wps:cNvPr id="834017014" name="Rectangle 49"/>
                        <wps:cNvSpPr>
                          <a:spLocks noChangeArrowheads="1"/>
                        </wps:cNvSpPr>
                        <wps:spPr bwMode="auto">
                          <a:xfrm>
                            <a:off x="3435" y="1770"/>
                            <a:ext cx="5865" cy="306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678847354" name="AutoShape 48"/>
                        <wps:cNvSpPr/>
                        <wps:spPr bwMode="auto">
                          <a:xfrm>
                            <a:off x="3434" y="1770"/>
                            <a:ext cx="5865" cy="3060"/>
                          </a:xfrm>
                          <a:custGeom>
                            <a:avLst/>
                            <a:gdLst>
                              <a:gd name="T0" fmla="*/ 15 w 5865"/>
                              <a:gd name="T1" fmla="*/ 1770 h 3060"/>
                              <a:gd name="T2" fmla="*/ 0 w 5865"/>
                              <a:gd name="T3" fmla="*/ 1770 h 3060"/>
                              <a:gd name="T4" fmla="*/ 0 w 5865"/>
                              <a:gd name="T5" fmla="*/ 4830 h 3060"/>
                              <a:gd name="T6" fmla="*/ 15 w 5865"/>
                              <a:gd name="T7" fmla="*/ 4830 h 3060"/>
                              <a:gd name="T8" fmla="*/ 15 w 5865"/>
                              <a:gd name="T9" fmla="*/ 1770 h 3060"/>
                              <a:gd name="T10" fmla="*/ 1965 w 5865"/>
                              <a:gd name="T11" fmla="*/ 3435 h 3060"/>
                              <a:gd name="T12" fmla="*/ 1950 w 5865"/>
                              <a:gd name="T13" fmla="*/ 3435 h 3060"/>
                              <a:gd name="T14" fmla="*/ 1950 w 5865"/>
                              <a:gd name="T15" fmla="*/ 4830 h 3060"/>
                              <a:gd name="T16" fmla="*/ 1965 w 5865"/>
                              <a:gd name="T17" fmla="*/ 4830 h 3060"/>
                              <a:gd name="T18" fmla="*/ 1965 w 5865"/>
                              <a:gd name="T19" fmla="*/ 3435 h 3060"/>
                              <a:gd name="T20" fmla="*/ 1965 w 5865"/>
                              <a:gd name="T21" fmla="*/ 1770 h 3060"/>
                              <a:gd name="T22" fmla="*/ 1950 w 5865"/>
                              <a:gd name="T23" fmla="*/ 1770 h 3060"/>
                              <a:gd name="T24" fmla="*/ 1950 w 5865"/>
                              <a:gd name="T25" fmla="*/ 3165 h 3060"/>
                              <a:gd name="T26" fmla="*/ 1965 w 5865"/>
                              <a:gd name="T27" fmla="*/ 3165 h 3060"/>
                              <a:gd name="T28" fmla="*/ 1965 w 5865"/>
                              <a:gd name="T29" fmla="*/ 1770 h 3060"/>
                              <a:gd name="T30" fmla="*/ 3915 w 5865"/>
                              <a:gd name="T31" fmla="*/ 3435 h 3060"/>
                              <a:gd name="T32" fmla="*/ 3900 w 5865"/>
                              <a:gd name="T33" fmla="*/ 3435 h 3060"/>
                              <a:gd name="T34" fmla="*/ 3900 w 5865"/>
                              <a:gd name="T35" fmla="*/ 4830 h 3060"/>
                              <a:gd name="T36" fmla="*/ 3915 w 5865"/>
                              <a:gd name="T37" fmla="*/ 4830 h 3060"/>
                              <a:gd name="T38" fmla="*/ 3915 w 5865"/>
                              <a:gd name="T39" fmla="*/ 3435 h 3060"/>
                              <a:gd name="T40" fmla="*/ 3915 w 5865"/>
                              <a:gd name="T41" fmla="*/ 1770 h 3060"/>
                              <a:gd name="T42" fmla="*/ 3900 w 5865"/>
                              <a:gd name="T43" fmla="*/ 1770 h 3060"/>
                              <a:gd name="T44" fmla="*/ 3900 w 5865"/>
                              <a:gd name="T45" fmla="*/ 3165 h 3060"/>
                              <a:gd name="T46" fmla="*/ 3915 w 5865"/>
                              <a:gd name="T47" fmla="*/ 3165 h 3060"/>
                              <a:gd name="T48" fmla="*/ 3915 w 5865"/>
                              <a:gd name="T49" fmla="*/ 1770 h 3060"/>
                              <a:gd name="T50" fmla="*/ 5865 w 5865"/>
                              <a:gd name="T51" fmla="*/ 1770 h 3060"/>
                              <a:gd name="T52" fmla="*/ 5850 w 5865"/>
                              <a:gd name="T53" fmla="*/ 1770 h 3060"/>
                              <a:gd name="T54" fmla="*/ 5850 w 5865"/>
                              <a:gd name="T55" fmla="*/ 4830 h 3060"/>
                              <a:gd name="T56" fmla="*/ 5865 w 5865"/>
                              <a:gd name="T57" fmla="*/ 4830 h 3060"/>
                              <a:gd name="T58" fmla="*/ 5865 w 5865"/>
                              <a:gd name="T59" fmla="*/ 1770 h 306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865" h="3060">
                                <a:moveTo>
                                  <a:pt x="15" y="0"/>
                                </a:moveTo>
                                <a:lnTo>
                                  <a:pt x="0" y="0"/>
                                </a:lnTo>
                                <a:lnTo>
                                  <a:pt x="0" y="3060"/>
                                </a:lnTo>
                                <a:lnTo>
                                  <a:pt x="15" y="3060"/>
                                </a:lnTo>
                                <a:lnTo>
                                  <a:pt x="15" y="0"/>
                                </a:lnTo>
                                <a:close/>
                                <a:moveTo>
                                  <a:pt x="1965" y="1665"/>
                                </a:moveTo>
                                <a:lnTo>
                                  <a:pt x="1950" y="1665"/>
                                </a:lnTo>
                                <a:lnTo>
                                  <a:pt x="1950" y="3060"/>
                                </a:lnTo>
                                <a:lnTo>
                                  <a:pt x="1965" y="3060"/>
                                </a:lnTo>
                                <a:lnTo>
                                  <a:pt x="1965" y="1665"/>
                                </a:lnTo>
                                <a:close/>
                                <a:moveTo>
                                  <a:pt x="1965" y="0"/>
                                </a:moveTo>
                                <a:lnTo>
                                  <a:pt x="1950" y="0"/>
                                </a:lnTo>
                                <a:lnTo>
                                  <a:pt x="1950" y="1395"/>
                                </a:lnTo>
                                <a:lnTo>
                                  <a:pt x="1965" y="1395"/>
                                </a:lnTo>
                                <a:lnTo>
                                  <a:pt x="1965" y="0"/>
                                </a:lnTo>
                                <a:close/>
                                <a:moveTo>
                                  <a:pt x="3915" y="1665"/>
                                </a:moveTo>
                                <a:lnTo>
                                  <a:pt x="3900" y="1665"/>
                                </a:lnTo>
                                <a:lnTo>
                                  <a:pt x="3900" y="3060"/>
                                </a:lnTo>
                                <a:lnTo>
                                  <a:pt x="3915" y="3060"/>
                                </a:lnTo>
                                <a:lnTo>
                                  <a:pt x="3915" y="1665"/>
                                </a:lnTo>
                                <a:close/>
                                <a:moveTo>
                                  <a:pt x="3915" y="0"/>
                                </a:moveTo>
                                <a:lnTo>
                                  <a:pt x="3900" y="0"/>
                                </a:lnTo>
                                <a:lnTo>
                                  <a:pt x="3900" y="1395"/>
                                </a:lnTo>
                                <a:lnTo>
                                  <a:pt x="3915" y="1395"/>
                                </a:lnTo>
                                <a:lnTo>
                                  <a:pt x="3915" y="0"/>
                                </a:lnTo>
                                <a:close/>
                                <a:moveTo>
                                  <a:pt x="5865" y="0"/>
                                </a:moveTo>
                                <a:lnTo>
                                  <a:pt x="5850" y="0"/>
                                </a:lnTo>
                                <a:lnTo>
                                  <a:pt x="5850" y="3060"/>
                                </a:lnTo>
                                <a:lnTo>
                                  <a:pt x="5865" y="3060"/>
                                </a:lnTo>
                                <a:lnTo>
                                  <a:pt x="5865" y="0"/>
                                </a:lnTo>
                                <a:close/>
                              </a:path>
                            </a:pathLst>
                          </a:custGeom>
                          <a:solidFill>
                            <a:srgbClr val="EDEDED"/>
                          </a:solidFill>
                          <a:ln>
                            <a:noFill/>
                          </a:ln>
                          <a:effectLst/>
                        </wps:spPr>
                        <wps:bodyPr rot="0" vert="horz" wrap="square" lIns="91440" tIns="45720" rIns="91440" bIns="45720" anchor="t" anchorCtr="0" upright="1">
                          <a:noAutofit/>
                        </wps:bodyPr>
                      </wps:wsp>
                      <wps:wsp>
                        <wps:cNvPr id="1707772165" name="AutoShape 47"/>
                        <wps:cNvSpPr/>
                        <wps:spPr bwMode="auto">
                          <a:xfrm>
                            <a:off x="4409" y="1770"/>
                            <a:ext cx="3915" cy="3060"/>
                          </a:xfrm>
                          <a:custGeom>
                            <a:avLst/>
                            <a:gdLst>
                              <a:gd name="T0" fmla="*/ 15 w 3915"/>
                              <a:gd name="T1" fmla="*/ 3870 h 3060"/>
                              <a:gd name="T2" fmla="*/ 0 w 3915"/>
                              <a:gd name="T3" fmla="*/ 3870 h 3060"/>
                              <a:gd name="T4" fmla="*/ 0 w 3915"/>
                              <a:gd name="T5" fmla="*/ 4830 h 3060"/>
                              <a:gd name="T6" fmla="*/ 15 w 3915"/>
                              <a:gd name="T7" fmla="*/ 4830 h 3060"/>
                              <a:gd name="T8" fmla="*/ 15 w 3915"/>
                              <a:gd name="T9" fmla="*/ 3870 h 3060"/>
                              <a:gd name="T10" fmla="*/ 15 w 3915"/>
                              <a:gd name="T11" fmla="*/ 3435 h 3060"/>
                              <a:gd name="T12" fmla="*/ 0 w 3915"/>
                              <a:gd name="T13" fmla="*/ 3435 h 3060"/>
                              <a:gd name="T14" fmla="*/ 0 w 3915"/>
                              <a:gd name="T15" fmla="*/ 3600 h 3060"/>
                              <a:gd name="T16" fmla="*/ 15 w 3915"/>
                              <a:gd name="T17" fmla="*/ 3600 h 3060"/>
                              <a:gd name="T18" fmla="*/ 15 w 3915"/>
                              <a:gd name="T19" fmla="*/ 3435 h 3060"/>
                              <a:gd name="T20" fmla="*/ 15 w 3915"/>
                              <a:gd name="T21" fmla="*/ 3000 h 3060"/>
                              <a:gd name="T22" fmla="*/ 0 w 3915"/>
                              <a:gd name="T23" fmla="*/ 3000 h 3060"/>
                              <a:gd name="T24" fmla="*/ 0 w 3915"/>
                              <a:gd name="T25" fmla="*/ 3165 h 3060"/>
                              <a:gd name="T26" fmla="*/ 15 w 3915"/>
                              <a:gd name="T27" fmla="*/ 3165 h 3060"/>
                              <a:gd name="T28" fmla="*/ 15 w 3915"/>
                              <a:gd name="T29" fmla="*/ 3000 h 3060"/>
                              <a:gd name="T30" fmla="*/ 15 w 3915"/>
                              <a:gd name="T31" fmla="*/ 1770 h 3060"/>
                              <a:gd name="T32" fmla="*/ 0 w 3915"/>
                              <a:gd name="T33" fmla="*/ 1770 h 3060"/>
                              <a:gd name="T34" fmla="*/ 0 w 3915"/>
                              <a:gd name="T35" fmla="*/ 2730 h 3060"/>
                              <a:gd name="T36" fmla="*/ 15 w 3915"/>
                              <a:gd name="T37" fmla="*/ 2730 h 3060"/>
                              <a:gd name="T38" fmla="*/ 15 w 3915"/>
                              <a:gd name="T39" fmla="*/ 1770 h 3060"/>
                              <a:gd name="T40" fmla="*/ 1965 w 3915"/>
                              <a:gd name="T41" fmla="*/ 3435 h 3060"/>
                              <a:gd name="T42" fmla="*/ 1950 w 3915"/>
                              <a:gd name="T43" fmla="*/ 3435 h 3060"/>
                              <a:gd name="T44" fmla="*/ 1950 w 3915"/>
                              <a:gd name="T45" fmla="*/ 4830 h 3060"/>
                              <a:gd name="T46" fmla="*/ 1965 w 3915"/>
                              <a:gd name="T47" fmla="*/ 4830 h 3060"/>
                              <a:gd name="T48" fmla="*/ 1965 w 3915"/>
                              <a:gd name="T49" fmla="*/ 3435 h 3060"/>
                              <a:gd name="T50" fmla="*/ 1965 w 3915"/>
                              <a:gd name="T51" fmla="*/ 1770 h 3060"/>
                              <a:gd name="T52" fmla="*/ 1950 w 3915"/>
                              <a:gd name="T53" fmla="*/ 1770 h 3060"/>
                              <a:gd name="T54" fmla="*/ 1950 w 3915"/>
                              <a:gd name="T55" fmla="*/ 3165 h 3060"/>
                              <a:gd name="T56" fmla="*/ 1965 w 3915"/>
                              <a:gd name="T57" fmla="*/ 3165 h 3060"/>
                              <a:gd name="T58" fmla="*/ 1965 w 3915"/>
                              <a:gd name="T59" fmla="*/ 1770 h 3060"/>
                              <a:gd name="T60" fmla="*/ 3915 w 3915"/>
                              <a:gd name="T61" fmla="*/ 1770 h 3060"/>
                              <a:gd name="T62" fmla="*/ 3900 w 3915"/>
                              <a:gd name="T63" fmla="*/ 1770 h 3060"/>
                              <a:gd name="T64" fmla="*/ 3900 w 3915"/>
                              <a:gd name="T65" fmla="*/ 4830 h 3060"/>
                              <a:gd name="T66" fmla="*/ 3915 w 3915"/>
                              <a:gd name="T67" fmla="*/ 4830 h 3060"/>
                              <a:gd name="T68" fmla="*/ 3915 w 3915"/>
                              <a:gd name="T69" fmla="*/ 1770 h 30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915" h="3060">
                                <a:moveTo>
                                  <a:pt x="15" y="2100"/>
                                </a:moveTo>
                                <a:lnTo>
                                  <a:pt x="0" y="2100"/>
                                </a:lnTo>
                                <a:lnTo>
                                  <a:pt x="0" y="3060"/>
                                </a:lnTo>
                                <a:lnTo>
                                  <a:pt x="15" y="3060"/>
                                </a:lnTo>
                                <a:lnTo>
                                  <a:pt x="15" y="2100"/>
                                </a:lnTo>
                                <a:close/>
                                <a:moveTo>
                                  <a:pt x="15" y="1665"/>
                                </a:moveTo>
                                <a:lnTo>
                                  <a:pt x="0" y="1665"/>
                                </a:lnTo>
                                <a:lnTo>
                                  <a:pt x="0" y="1830"/>
                                </a:lnTo>
                                <a:lnTo>
                                  <a:pt x="15" y="1830"/>
                                </a:lnTo>
                                <a:lnTo>
                                  <a:pt x="15" y="1665"/>
                                </a:lnTo>
                                <a:close/>
                                <a:moveTo>
                                  <a:pt x="15" y="1230"/>
                                </a:moveTo>
                                <a:lnTo>
                                  <a:pt x="0" y="1230"/>
                                </a:lnTo>
                                <a:lnTo>
                                  <a:pt x="0" y="1395"/>
                                </a:lnTo>
                                <a:lnTo>
                                  <a:pt x="15" y="1395"/>
                                </a:lnTo>
                                <a:lnTo>
                                  <a:pt x="15" y="1230"/>
                                </a:lnTo>
                                <a:close/>
                                <a:moveTo>
                                  <a:pt x="15" y="0"/>
                                </a:moveTo>
                                <a:lnTo>
                                  <a:pt x="0" y="0"/>
                                </a:lnTo>
                                <a:lnTo>
                                  <a:pt x="0" y="960"/>
                                </a:lnTo>
                                <a:lnTo>
                                  <a:pt x="15" y="960"/>
                                </a:lnTo>
                                <a:lnTo>
                                  <a:pt x="15" y="0"/>
                                </a:lnTo>
                                <a:close/>
                                <a:moveTo>
                                  <a:pt x="1965" y="1665"/>
                                </a:moveTo>
                                <a:lnTo>
                                  <a:pt x="1950" y="1665"/>
                                </a:lnTo>
                                <a:lnTo>
                                  <a:pt x="1950" y="3060"/>
                                </a:lnTo>
                                <a:lnTo>
                                  <a:pt x="1965" y="3060"/>
                                </a:lnTo>
                                <a:lnTo>
                                  <a:pt x="1965" y="1665"/>
                                </a:lnTo>
                                <a:close/>
                                <a:moveTo>
                                  <a:pt x="1965" y="0"/>
                                </a:moveTo>
                                <a:lnTo>
                                  <a:pt x="1950" y="0"/>
                                </a:lnTo>
                                <a:lnTo>
                                  <a:pt x="1950" y="1395"/>
                                </a:lnTo>
                                <a:lnTo>
                                  <a:pt x="1965" y="1395"/>
                                </a:lnTo>
                                <a:lnTo>
                                  <a:pt x="1965" y="0"/>
                                </a:lnTo>
                                <a:close/>
                                <a:moveTo>
                                  <a:pt x="3915" y="0"/>
                                </a:moveTo>
                                <a:lnTo>
                                  <a:pt x="3900" y="0"/>
                                </a:lnTo>
                                <a:lnTo>
                                  <a:pt x="3900" y="3060"/>
                                </a:lnTo>
                                <a:lnTo>
                                  <a:pt x="3915" y="3060"/>
                                </a:lnTo>
                                <a:lnTo>
                                  <a:pt x="3915" y="0"/>
                                </a:lnTo>
                                <a:close/>
                              </a:path>
                            </a:pathLst>
                          </a:custGeom>
                          <a:solidFill>
                            <a:srgbClr val="F7F7F7"/>
                          </a:solidFill>
                          <a:ln>
                            <a:noFill/>
                          </a:ln>
                          <a:effectLst/>
                        </wps:spPr>
                        <wps:bodyPr rot="0" vert="horz" wrap="square" lIns="91440" tIns="45720" rIns="91440" bIns="45720" anchor="t" anchorCtr="0" upright="1">
                          <a:noAutofit/>
                        </wps:bodyPr>
                      </wps:wsp>
                      <wps:wsp>
                        <wps:cNvPr id="1942094869" name="AutoShape 46"/>
                        <wps:cNvSpPr/>
                        <wps:spPr bwMode="auto">
                          <a:xfrm>
                            <a:off x="3434" y="1860"/>
                            <a:ext cx="4005" cy="2880"/>
                          </a:xfrm>
                          <a:custGeom>
                            <a:avLst/>
                            <a:gdLst>
                              <a:gd name="T0" fmla="*/ 7 w 4005"/>
                              <a:gd name="T1" fmla="*/ 4035 h 2880"/>
                              <a:gd name="T2" fmla="*/ 0 w 4005"/>
                              <a:gd name="T3" fmla="*/ 4035 h 2880"/>
                              <a:gd name="T4" fmla="*/ 0 w 4005"/>
                              <a:gd name="T5" fmla="*/ 4305 h 2880"/>
                              <a:gd name="T6" fmla="*/ 7 w 4005"/>
                              <a:gd name="T7" fmla="*/ 4305 h 2880"/>
                              <a:gd name="T8" fmla="*/ 7 w 4005"/>
                              <a:gd name="T9" fmla="*/ 4035 h 2880"/>
                              <a:gd name="T10" fmla="*/ 105 w 4005"/>
                              <a:gd name="T11" fmla="*/ 1860 h 2880"/>
                              <a:gd name="T12" fmla="*/ 15 w 4005"/>
                              <a:gd name="T13" fmla="*/ 1860 h 2880"/>
                              <a:gd name="T14" fmla="*/ 15 w 4005"/>
                              <a:gd name="T15" fmla="*/ 2130 h 2880"/>
                              <a:gd name="T16" fmla="*/ 105 w 4005"/>
                              <a:gd name="T17" fmla="*/ 2130 h 2880"/>
                              <a:gd name="T18" fmla="*/ 105 w 4005"/>
                              <a:gd name="T19" fmla="*/ 1860 h 2880"/>
                              <a:gd name="T20" fmla="*/ 390 w 4005"/>
                              <a:gd name="T21" fmla="*/ 2295 h 2880"/>
                              <a:gd name="T22" fmla="*/ 15 w 4005"/>
                              <a:gd name="T23" fmla="*/ 2295 h 2880"/>
                              <a:gd name="T24" fmla="*/ 15 w 4005"/>
                              <a:gd name="T25" fmla="*/ 2565 h 2880"/>
                              <a:gd name="T26" fmla="*/ 390 w 4005"/>
                              <a:gd name="T27" fmla="*/ 2565 h 2880"/>
                              <a:gd name="T28" fmla="*/ 390 w 4005"/>
                              <a:gd name="T29" fmla="*/ 2295 h 2880"/>
                              <a:gd name="T30" fmla="*/ 885 w 4005"/>
                              <a:gd name="T31" fmla="*/ 4470 h 2880"/>
                              <a:gd name="T32" fmla="*/ 15 w 4005"/>
                              <a:gd name="T33" fmla="*/ 4470 h 2880"/>
                              <a:gd name="T34" fmla="*/ 15 w 4005"/>
                              <a:gd name="T35" fmla="*/ 4740 h 2880"/>
                              <a:gd name="T36" fmla="*/ 885 w 4005"/>
                              <a:gd name="T37" fmla="*/ 4740 h 2880"/>
                              <a:gd name="T38" fmla="*/ 885 w 4005"/>
                              <a:gd name="T39" fmla="*/ 4470 h 2880"/>
                              <a:gd name="T40" fmla="*/ 1170 w 4005"/>
                              <a:gd name="T41" fmla="*/ 3600 h 2880"/>
                              <a:gd name="T42" fmla="*/ 15 w 4005"/>
                              <a:gd name="T43" fmla="*/ 3600 h 2880"/>
                              <a:gd name="T44" fmla="*/ 15 w 4005"/>
                              <a:gd name="T45" fmla="*/ 3870 h 2880"/>
                              <a:gd name="T46" fmla="*/ 1170 w 4005"/>
                              <a:gd name="T47" fmla="*/ 3870 h 2880"/>
                              <a:gd name="T48" fmla="*/ 1170 w 4005"/>
                              <a:gd name="T49" fmla="*/ 3600 h 2880"/>
                              <a:gd name="T50" fmla="*/ 1365 w 4005"/>
                              <a:gd name="T51" fmla="*/ 2730 h 2880"/>
                              <a:gd name="T52" fmla="*/ 15 w 4005"/>
                              <a:gd name="T53" fmla="*/ 2730 h 2880"/>
                              <a:gd name="T54" fmla="*/ 15 w 4005"/>
                              <a:gd name="T55" fmla="*/ 3000 h 2880"/>
                              <a:gd name="T56" fmla="*/ 1365 w 4005"/>
                              <a:gd name="T57" fmla="*/ 3000 h 2880"/>
                              <a:gd name="T58" fmla="*/ 1365 w 4005"/>
                              <a:gd name="T59" fmla="*/ 2730 h 2880"/>
                              <a:gd name="T60" fmla="*/ 4005 w 4005"/>
                              <a:gd name="T61" fmla="*/ 3165 h 2880"/>
                              <a:gd name="T62" fmla="*/ 15 w 4005"/>
                              <a:gd name="T63" fmla="*/ 3165 h 2880"/>
                              <a:gd name="T64" fmla="*/ 15 w 4005"/>
                              <a:gd name="T65" fmla="*/ 3435 h 2880"/>
                              <a:gd name="T66" fmla="*/ 4005 w 4005"/>
                              <a:gd name="T67" fmla="*/ 3435 h 2880"/>
                              <a:gd name="T68" fmla="*/ 4005 w 4005"/>
                              <a:gd name="T69" fmla="*/ 3165 h 288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005" h="2880">
                                <a:moveTo>
                                  <a:pt x="7" y="2175"/>
                                </a:moveTo>
                                <a:lnTo>
                                  <a:pt x="0" y="2175"/>
                                </a:lnTo>
                                <a:lnTo>
                                  <a:pt x="0" y="2445"/>
                                </a:lnTo>
                                <a:lnTo>
                                  <a:pt x="7" y="2445"/>
                                </a:lnTo>
                                <a:lnTo>
                                  <a:pt x="7" y="2175"/>
                                </a:lnTo>
                                <a:close/>
                                <a:moveTo>
                                  <a:pt x="105" y="0"/>
                                </a:moveTo>
                                <a:lnTo>
                                  <a:pt x="15" y="0"/>
                                </a:lnTo>
                                <a:lnTo>
                                  <a:pt x="15" y="270"/>
                                </a:lnTo>
                                <a:lnTo>
                                  <a:pt x="105" y="270"/>
                                </a:lnTo>
                                <a:lnTo>
                                  <a:pt x="105" y="0"/>
                                </a:lnTo>
                                <a:close/>
                                <a:moveTo>
                                  <a:pt x="390" y="435"/>
                                </a:moveTo>
                                <a:lnTo>
                                  <a:pt x="15" y="435"/>
                                </a:lnTo>
                                <a:lnTo>
                                  <a:pt x="15" y="705"/>
                                </a:lnTo>
                                <a:lnTo>
                                  <a:pt x="390" y="705"/>
                                </a:lnTo>
                                <a:lnTo>
                                  <a:pt x="390" y="435"/>
                                </a:lnTo>
                                <a:close/>
                                <a:moveTo>
                                  <a:pt x="885" y="2610"/>
                                </a:moveTo>
                                <a:lnTo>
                                  <a:pt x="15" y="2610"/>
                                </a:lnTo>
                                <a:lnTo>
                                  <a:pt x="15" y="2880"/>
                                </a:lnTo>
                                <a:lnTo>
                                  <a:pt x="885" y="2880"/>
                                </a:lnTo>
                                <a:lnTo>
                                  <a:pt x="885" y="2610"/>
                                </a:lnTo>
                                <a:close/>
                                <a:moveTo>
                                  <a:pt x="1170" y="1740"/>
                                </a:moveTo>
                                <a:lnTo>
                                  <a:pt x="15" y="1740"/>
                                </a:lnTo>
                                <a:lnTo>
                                  <a:pt x="15" y="2010"/>
                                </a:lnTo>
                                <a:lnTo>
                                  <a:pt x="1170" y="2010"/>
                                </a:lnTo>
                                <a:lnTo>
                                  <a:pt x="1170" y="1740"/>
                                </a:lnTo>
                                <a:close/>
                                <a:moveTo>
                                  <a:pt x="1365" y="870"/>
                                </a:moveTo>
                                <a:lnTo>
                                  <a:pt x="15" y="870"/>
                                </a:lnTo>
                                <a:lnTo>
                                  <a:pt x="15" y="1140"/>
                                </a:lnTo>
                                <a:lnTo>
                                  <a:pt x="1365" y="1140"/>
                                </a:lnTo>
                                <a:lnTo>
                                  <a:pt x="1365" y="870"/>
                                </a:lnTo>
                                <a:close/>
                                <a:moveTo>
                                  <a:pt x="4005" y="1305"/>
                                </a:moveTo>
                                <a:lnTo>
                                  <a:pt x="15" y="1305"/>
                                </a:lnTo>
                                <a:lnTo>
                                  <a:pt x="15" y="1575"/>
                                </a:lnTo>
                                <a:lnTo>
                                  <a:pt x="4005" y="1575"/>
                                </a:lnTo>
                                <a:lnTo>
                                  <a:pt x="4005" y="1305"/>
                                </a:lnTo>
                                <a:close/>
                              </a:path>
                            </a:pathLst>
                          </a:custGeom>
                          <a:solidFill>
                            <a:srgbClr val="663AB6"/>
                          </a:solidFill>
                          <a:ln>
                            <a:noFill/>
                          </a:ln>
                          <a:effectLst/>
                        </wps:spPr>
                        <wps:bodyPr rot="0" vert="horz" wrap="square" lIns="91440" tIns="45720" rIns="91440" bIns="45720" anchor="t" anchorCtr="0" upright="1">
                          <a:noAutofit/>
                        </wps:bodyPr>
                      </wps:wsp>
                      <wps:wsp>
                        <wps:cNvPr id="366589535" name="Rectangle 45"/>
                        <wps:cNvSpPr>
                          <a:spLocks noChangeArrowheads="1"/>
                        </wps:cNvSpPr>
                        <wps:spPr bwMode="auto">
                          <a:xfrm>
                            <a:off x="3435" y="1770"/>
                            <a:ext cx="15" cy="3060"/>
                          </a:xfrm>
                          <a:prstGeom prst="rect">
                            <a:avLst/>
                          </a:prstGeom>
                          <a:solidFill>
                            <a:srgbClr val="333333"/>
                          </a:solidFill>
                          <a:ln>
                            <a:noFill/>
                          </a:ln>
                          <a:effectLst/>
                        </wps:spPr>
                        <wps:bodyPr rot="0" vert="horz" wrap="square" lIns="91440" tIns="45720" rIns="91440" bIns="45720" anchor="t" anchorCtr="0" upright="1">
                          <a:noAutofit/>
                        </wps:bodyPr>
                      </wps:wsp>
                      <wps:wsp>
                        <wps:cNvPr id="2000468810" name="AutoShape 44"/>
                        <wps:cNvSpPr/>
                        <wps:spPr bwMode="auto">
                          <a:xfrm>
                            <a:off x="3442" y="1995"/>
                            <a:ext cx="4178" cy="2625"/>
                          </a:xfrm>
                          <a:custGeom>
                            <a:avLst/>
                            <a:gdLst>
                              <a:gd name="T0" fmla="*/ 180 w 4178"/>
                              <a:gd name="T1" fmla="*/ 4170 h 2625"/>
                              <a:gd name="T2" fmla="*/ 0 w 4178"/>
                              <a:gd name="T3" fmla="*/ 4170 h 2625"/>
                              <a:gd name="T4" fmla="*/ 0 w 4178"/>
                              <a:gd name="T5" fmla="*/ 4185 h 2625"/>
                              <a:gd name="T6" fmla="*/ 180 w 4178"/>
                              <a:gd name="T7" fmla="*/ 4185 h 2625"/>
                              <a:gd name="T8" fmla="*/ 180 w 4178"/>
                              <a:gd name="T9" fmla="*/ 4170 h 2625"/>
                              <a:gd name="T10" fmla="*/ 278 w 4178"/>
                              <a:gd name="T11" fmla="*/ 1995 h 2625"/>
                              <a:gd name="T12" fmla="*/ 98 w 4178"/>
                              <a:gd name="T13" fmla="*/ 1995 h 2625"/>
                              <a:gd name="T14" fmla="*/ 98 w 4178"/>
                              <a:gd name="T15" fmla="*/ 2010 h 2625"/>
                              <a:gd name="T16" fmla="*/ 278 w 4178"/>
                              <a:gd name="T17" fmla="*/ 2010 h 2625"/>
                              <a:gd name="T18" fmla="*/ 278 w 4178"/>
                              <a:gd name="T19" fmla="*/ 1995 h 2625"/>
                              <a:gd name="T20" fmla="*/ 563 w 4178"/>
                              <a:gd name="T21" fmla="*/ 2430 h 2625"/>
                              <a:gd name="T22" fmla="*/ 383 w 4178"/>
                              <a:gd name="T23" fmla="*/ 2430 h 2625"/>
                              <a:gd name="T24" fmla="*/ 383 w 4178"/>
                              <a:gd name="T25" fmla="*/ 2445 h 2625"/>
                              <a:gd name="T26" fmla="*/ 563 w 4178"/>
                              <a:gd name="T27" fmla="*/ 2445 h 2625"/>
                              <a:gd name="T28" fmla="*/ 563 w 4178"/>
                              <a:gd name="T29" fmla="*/ 2430 h 2625"/>
                              <a:gd name="T30" fmla="*/ 1058 w 4178"/>
                              <a:gd name="T31" fmla="*/ 4605 h 2625"/>
                              <a:gd name="T32" fmla="*/ 878 w 4178"/>
                              <a:gd name="T33" fmla="*/ 4605 h 2625"/>
                              <a:gd name="T34" fmla="*/ 878 w 4178"/>
                              <a:gd name="T35" fmla="*/ 4620 h 2625"/>
                              <a:gd name="T36" fmla="*/ 1058 w 4178"/>
                              <a:gd name="T37" fmla="*/ 4620 h 2625"/>
                              <a:gd name="T38" fmla="*/ 1058 w 4178"/>
                              <a:gd name="T39" fmla="*/ 4605 h 2625"/>
                              <a:gd name="T40" fmla="*/ 1343 w 4178"/>
                              <a:gd name="T41" fmla="*/ 3735 h 2625"/>
                              <a:gd name="T42" fmla="*/ 1163 w 4178"/>
                              <a:gd name="T43" fmla="*/ 3735 h 2625"/>
                              <a:gd name="T44" fmla="*/ 1163 w 4178"/>
                              <a:gd name="T45" fmla="*/ 3750 h 2625"/>
                              <a:gd name="T46" fmla="*/ 1343 w 4178"/>
                              <a:gd name="T47" fmla="*/ 3750 h 2625"/>
                              <a:gd name="T48" fmla="*/ 1343 w 4178"/>
                              <a:gd name="T49" fmla="*/ 3735 h 2625"/>
                              <a:gd name="T50" fmla="*/ 1538 w 4178"/>
                              <a:gd name="T51" fmla="*/ 2865 h 2625"/>
                              <a:gd name="T52" fmla="*/ 1358 w 4178"/>
                              <a:gd name="T53" fmla="*/ 2865 h 2625"/>
                              <a:gd name="T54" fmla="*/ 1358 w 4178"/>
                              <a:gd name="T55" fmla="*/ 2880 h 2625"/>
                              <a:gd name="T56" fmla="*/ 1538 w 4178"/>
                              <a:gd name="T57" fmla="*/ 2880 h 2625"/>
                              <a:gd name="T58" fmla="*/ 1538 w 4178"/>
                              <a:gd name="T59" fmla="*/ 2865 h 2625"/>
                              <a:gd name="T60" fmla="*/ 4178 w 4178"/>
                              <a:gd name="T61" fmla="*/ 3300 h 2625"/>
                              <a:gd name="T62" fmla="*/ 3998 w 4178"/>
                              <a:gd name="T63" fmla="*/ 3300 h 2625"/>
                              <a:gd name="T64" fmla="*/ 3998 w 4178"/>
                              <a:gd name="T65" fmla="*/ 3315 h 2625"/>
                              <a:gd name="T66" fmla="*/ 4178 w 4178"/>
                              <a:gd name="T67" fmla="*/ 3315 h 2625"/>
                              <a:gd name="T68" fmla="*/ 4178 w 4178"/>
                              <a:gd name="T69" fmla="*/ 3300 h 26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178" h="2625">
                                <a:moveTo>
                                  <a:pt x="180" y="2175"/>
                                </a:moveTo>
                                <a:lnTo>
                                  <a:pt x="0" y="2175"/>
                                </a:lnTo>
                                <a:lnTo>
                                  <a:pt x="0" y="2190"/>
                                </a:lnTo>
                                <a:lnTo>
                                  <a:pt x="180" y="2190"/>
                                </a:lnTo>
                                <a:lnTo>
                                  <a:pt x="180" y="2175"/>
                                </a:lnTo>
                                <a:close/>
                                <a:moveTo>
                                  <a:pt x="278" y="0"/>
                                </a:moveTo>
                                <a:lnTo>
                                  <a:pt x="98" y="0"/>
                                </a:lnTo>
                                <a:lnTo>
                                  <a:pt x="98" y="15"/>
                                </a:lnTo>
                                <a:lnTo>
                                  <a:pt x="278" y="15"/>
                                </a:lnTo>
                                <a:lnTo>
                                  <a:pt x="278" y="0"/>
                                </a:lnTo>
                                <a:close/>
                                <a:moveTo>
                                  <a:pt x="563" y="435"/>
                                </a:moveTo>
                                <a:lnTo>
                                  <a:pt x="383" y="435"/>
                                </a:lnTo>
                                <a:lnTo>
                                  <a:pt x="383" y="450"/>
                                </a:lnTo>
                                <a:lnTo>
                                  <a:pt x="563" y="450"/>
                                </a:lnTo>
                                <a:lnTo>
                                  <a:pt x="563" y="435"/>
                                </a:lnTo>
                                <a:close/>
                                <a:moveTo>
                                  <a:pt x="1058" y="2610"/>
                                </a:moveTo>
                                <a:lnTo>
                                  <a:pt x="878" y="2610"/>
                                </a:lnTo>
                                <a:lnTo>
                                  <a:pt x="878" y="2625"/>
                                </a:lnTo>
                                <a:lnTo>
                                  <a:pt x="1058" y="2625"/>
                                </a:lnTo>
                                <a:lnTo>
                                  <a:pt x="1058" y="2610"/>
                                </a:lnTo>
                                <a:close/>
                                <a:moveTo>
                                  <a:pt x="1343" y="1740"/>
                                </a:moveTo>
                                <a:lnTo>
                                  <a:pt x="1163" y="1740"/>
                                </a:lnTo>
                                <a:lnTo>
                                  <a:pt x="1163" y="1755"/>
                                </a:lnTo>
                                <a:lnTo>
                                  <a:pt x="1343" y="1755"/>
                                </a:lnTo>
                                <a:lnTo>
                                  <a:pt x="1343" y="1740"/>
                                </a:lnTo>
                                <a:close/>
                                <a:moveTo>
                                  <a:pt x="1538" y="870"/>
                                </a:moveTo>
                                <a:lnTo>
                                  <a:pt x="1358" y="870"/>
                                </a:lnTo>
                                <a:lnTo>
                                  <a:pt x="1358" y="885"/>
                                </a:lnTo>
                                <a:lnTo>
                                  <a:pt x="1538" y="885"/>
                                </a:lnTo>
                                <a:lnTo>
                                  <a:pt x="1538" y="870"/>
                                </a:lnTo>
                                <a:close/>
                                <a:moveTo>
                                  <a:pt x="4178" y="1305"/>
                                </a:moveTo>
                                <a:lnTo>
                                  <a:pt x="3998" y="1305"/>
                                </a:lnTo>
                                <a:lnTo>
                                  <a:pt x="3998" y="1320"/>
                                </a:lnTo>
                                <a:lnTo>
                                  <a:pt x="4178" y="1320"/>
                                </a:lnTo>
                                <a:lnTo>
                                  <a:pt x="4178" y="1305"/>
                                </a:lnTo>
                                <a:close/>
                              </a:path>
                            </a:pathLst>
                          </a:custGeom>
                          <a:solidFill>
                            <a:srgbClr val="999999"/>
                          </a:solidFill>
                          <a:ln>
                            <a:noFill/>
                          </a:ln>
                          <a:effectLst/>
                        </wps:spPr>
                        <wps:bodyPr rot="0" vert="horz" wrap="square" lIns="91440" tIns="45720" rIns="91440" bIns="45720" anchor="t" anchorCtr="0" upright="1">
                          <a:noAutofit/>
                        </wps:bodyPr>
                      </wps:wsp>
                      <wps:wsp>
                        <wps:cNvPr id="267427847" name="Freeform 43"/>
                        <wps:cNvSpPr/>
                        <wps:spPr bwMode="auto">
                          <a:xfrm>
                            <a:off x="3739" y="1928"/>
                            <a:ext cx="48" cy="130"/>
                          </a:xfrm>
                          <a:custGeom>
                            <a:avLst/>
                            <a:gdLst>
                              <a:gd name="T0" fmla="*/ 47 w 48"/>
                              <a:gd name="T1" fmla="*/ 2058 h 130"/>
                              <a:gd name="T2" fmla="*/ 31 w 48"/>
                              <a:gd name="T3" fmla="*/ 2058 h 130"/>
                              <a:gd name="T4" fmla="*/ 31 w 48"/>
                              <a:gd name="T5" fmla="*/ 1957 h 130"/>
                              <a:gd name="T6" fmla="*/ 27 w 48"/>
                              <a:gd name="T7" fmla="*/ 1961 h 130"/>
                              <a:gd name="T8" fmla="*/ 22 w 48"/>
                              <a:gd name="T9" fmla="*/ 1964 h 130"/>
                              <a:gd name="T10" fmla="*/ 16 w 48"/>
                              <a:gd name="T11" fmla="*/ 1968 h 130"/>
                              <a:gd name="T12" fmla="*/ 10 w 48"/>
                              <a:gd name="T13" fmla="*/ 1972 h 130"/>
                              <a:gd name="T14" fmla="*/ 5 w 48"/>
                              <a:gd name="T15" fmla="*/ 1974 h 130"/>
                              <a:gd name="T16" fmla="*/ 0 w 48"/>
                              <a:gd name="T17" fmla="*/ 1976 h 130"/>
                              <a:gd name="T18" fmla="*/ 0 w 48"/>
                              <a:gd name="T19" fmla="*/ 1961 h 130"/>
                              <a:gd name="T20" fmla="*/ 8 w 48"/>
                              <a:gd name="T21" fmla="*/ 1957 h 130"/>
                              <a:gd name="T22" fmla="*/ 16 w 48"/>
                              <a:gd name="T23" fmla="*/ 1952 h 130"/>
                              <a:gd name="T24" fmla="*/ 23 w 48"/>
                              <a:gd name="T25" fmla="*/ 1946 h 130"/>
                              <a:gd name="T26" fmla="*/ 29 w 48"/>
                              <a:gd name="T27" fmla="*/ 1940 h 130"/>
                              <a:gd name="T28" fmla="*/ 34 w 48"/>
                              <a:gd name="T29" fmla="*/ 1934 h 130"/>
                              <a:gd name="T30" fmla="*/ 37 w 48"/>
                              <a:gd name="T31" fmla="*/ 1928 h 130"/>
                              <a:gd name="T32" fmla="*/ 47 w 48"/>
                              <a:gd name="T33" fmla="*/ 1928 h 130"/>
                              <a:gd name="T34" fmla="*/ 47 w 48"/>
                              <a:gd name="T35" fmla="*/ 2058 h 1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8" h="130">
                                <a:moveTo>
                                  <a:pt x="47" y="130"/>
                                </a:moveTo>
                                <a:lnTo>
                                  <a:pt x="31" y="130"/>
                                </a:lnTo>
                                <a:lnTo>
                                  <a:pt x="31" y="29"/>
                                </a:lnTo>
                                <a:lnTo>
                                  <a:pt x="27" y="33"/>
                                </a:lnTo>
                                <a:lnTo>
                                  <a:pt x="22" y="36"/>
                                </a:lnTo>
                                <a:lnTo>
                                  <a:pt x="16" y="40"/>
                                </a:lnTo>
                                <a:lnTo>
                                  <a:pt x="10" y="44"/>
                                </a:lnTo>
                                <a:lnTo>
                                  <a:pt x="5" y="46"/>
                                </a:lnTo>
                                <a:lnTo>
                                  <a:pt x="0" y="48"/>
                                </a:lnTo>
                                <a:lnTo>
                                  <a:pt x="0" y="33"/>
                                </a:lnTo>
                                <a:lnTo>
                                  <a:pt x="8" y="29"/>
                                </a:lnTo>
                                <a:lnTo>
                                  <a:pt x="16" y="24"/>
                                </a:lnTo>
                                <a:lnTo>
                                  <a:pt x="23" y="18"/>
                                </a:lnTo>
                                <a:lnTo>
                                  <a:pt x="29" y="12"/>
                                </a:lnTo>
                                <a:lnTo>
                                  <a:pt x="34" y="6"/>
                                </a:lnTo>
                                <a:lnTo>
                                  <a:pt x="37" y="0"/>
                                </a:lnTo>
                                <a:lnTo>
                                  <a:pt x="47" y="0"/>
                                </a:lnTo>
                                <a:lnTo>
                                  <a:pt x="47" y="130"/>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1608453516" name="Picture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3858" y="1904"/>
                            <a:ext cx="558" cy="214"/>
                          </a:xfrm>
                          <a:prstGeom prst="rect">
                            <a:avLst/>
                          </a:prstGeom>
                          <a:noFill/>
                          <a:ln>
                            <a:noFill/>
                          </a:ln>
                          <a:effectLst/>
                        </pic:spPr>
                      </pic:pic>
                      <wps:wsp>
                        <wps:cNvPr id="812645699" name="AutoShape 41"/>
                        <wps:cNvSpPr/>
                        <wps:spPr bwMode="auto">
                          <a:xfrm>
                            <a:off x="4007" y="2361"/>
                            <a:ext cx="3780" cy="1002"/>
                          </a:xfrm>
                          <a:custGeom>
                            <a:avLst/>
                            <a:gdLst>
                              <a:gd name="T0" fmla="*/ 56 w 3780"/>
                              <a:gd name="T1" fmla="*/ 2493 h 1002"/>
                              <a:gd name="T2" fmla="*/ 160 w 3780"/>
                              <a:gd name="T3" fmla="*/ 2458 h 1002"/>
                              <a:gd name="T4" fmla="*/ 190 w 3780"/>
                              <a:gd name="T5" fmla="*/ 2383 h 1002"/>
                              <a:gd name="T6" fmla="*/ 190 w 3780"/>
                              <a:gd name="T7" fmla="*/ 2531 h 1002"/>
                              <a:gd name="T8" fmla="*/ 282 w 3780"/>
                              <a:gd name="T9" fmla="*/ 2468 h 1002"/>
                              <a:gd name="T10" fmla="*/ 239 w 3780"/>
                              <a:gd name="T11" fmla="*/ 2427 h 1002"/>
                              <a:gd name="T12" fmla="*/ 272 w 3780"/>
                              <a:gd name="T13" fmla="*/ 2407 h 1002"/>
                              <a:gd name="T14" fmla="*/ 245 w 3780"/>
                              <a:gd name="T15" fmla="*/ 2495 h 1002"/>
                              <a:gd name="T16" fmla="*/ 416 w 3780"/>
                              <a:gd name="T17" fmla="*/ 2462 h 1002"/>
                              <a:gd name="T18" fmla="*/ 416 w 3780"/>
                              <a:gd name="T19" fmla="*/ 2389 h 1002"/>
                              <a:gd name="T20" fmla="*/ 516 w 3780"/>
                              <a:gd name="T21" fmla="*/ 2370 h 1002"/>
                              <a:gd name="T22" fmla="*/ 477 w 3780"/>
                              <a:gd name="T23" fmla="*/ 2421 h 1002"/>
                              <a:gd name="T24" fmla="*/ 484 w 3780"/>
                              <a:gd name="T25" fmla="*/ 2411 h 1002"/>
                              <a:gd name="T26" fmla="*/ 509 w 3780"/>
                              <a:gd name="T27" fmla="*/ 2381 h 1002"/>
                              <a:gd name="T28" fmla="*/ 554 w 3780"/>
                              <a:gd name="T29" fmla="*/ 2445 h 1002"/>
                              <a:gd name="T30" fmla="*/ 605 w 3780"/>
                              <a:gd name="T31" fmla="*/ 2483 h 1002"/>
                              <a:gd name="T32" fmla="*/ 576 w 3780"/>
                              <a:gd name="T33" fmla="*/ 2440 h 1002"/>
                              <a:gd name="T34" fmla="*/ 584 w 3780"/>
                              <a:gd name="T35" fmla="*/ 2487 h 1002"/>
                              <a:gd name="T36" fmla="*/ 641 w 3780"/>
                              <a:gd name="T37" fmla="*/ 2531 h 1002"/>
                              <a:gd name="T38" fmla="*/ 641 w 3780"/>
                              <a:gd name="T39" fmla="*/ 2383 h 1002"/>
                              <a:gd name="T40" fmla="*/ 671 w 3780"/>
                              <a:gd name="T41" fmla="*/ 2458 h 1002"/>
                              <a:gd name="T42" fmla="*/ 1015 w 3780"/>
                              <a:gd name="T43" fmla="*/ 2834 h 1002"/>
                              <a:gd name="T44" fmla="*/ 1040 w 3780"/>
                              <a:gd name="T45" fmla="*/ 2798 h 1002"/>
                              <a:gd name="T46" fmla="*/ 1147 w 3780"/>
                              <a:gd name="T47" fmla="*/ 2928 h 1002"/>
                              <a:gd name="T48" fmla="*/ 1236 w 3780"/>
                              <a:gd name="T49" fmla="*/ 2904 h 1002"/>
                              <a:gd name="T50" fmla="*/ 1270 w 3780"/>
                              <a:gd name="T51" fmla="*/ 2809 h 1002"/>
                              <a:gd name="T52" fmla="*/ 1277 w 3780"/>
                              <a:gd name="T53" fmla="*/ 2966 h 1002"/>
                              <a:gd name="T54" fmla="*/ 1312 w 3780"/>
                              <a:gd name="T55" fmla="*/ 2827 h 1002"/>
                              <a:gd name="T56" fmla="*/ 1397 w 3780"/>
                              <a:gd name="T57" fmla="*/ 2843 h 1002"/>
                              <a:gd name="T58" fmla="*/ 1467 w 3780"/>
                              <a:gd name="T59" fmla="*/ 2815 h 1002"/>
                              <a:gd name="T60" fmla="*/ 1473 w 3780"/>
                              <a:gd name="T61" fmla="*/ 2876 h 1002"/>
                              <a:gd name="T62" fmla="*/ 1394 w 3780"/>
                              <a:gd name="T63" fmla="*/ 2911 h 1002"/>
                              <a:gd name="T64" fmla="*/ 1418 w 3780"/>
                              <a:gd name="T65" fmla="*/ 2846 h 1002"/>
                              <a:gd name="T66" fmla="*/ 1448 w 3780"/>
                              <a:gd name="T67" fmla="*/ 2817 h 1002"/>
                              <a:gd name="T68" fmla="*/ 1408 w 3780"/>
                              <a:gd name="T69" fmla="*/ 2900 h 1002"/>
                              <a:gd name="T70" fmla="*/ 1459 w 3780"/>
                              <a:gd name="T71" fmla="*/ 2899 h 1002"/>
                              <a:gd name="T72" fmla="*/ 1407 w 3780"/>
                              <a:gd name="T73" fmla="*/ 2883 h 1002"/>
                              <a:gd name="T74" fmla="*/ 1569 w 3780"/>
                              <a:gd name="T75" fmla="*/ 2915 h 1002"/>
                              <a:gd name="T76" fmla="*/ 1609 w 3780"/>
                              <a:gd name="T77" fmla="*/ 2883 h 1002"/>
                              <a:gd name="T78" fmla="*/ 1568 w 3780"/>
                              <a:gd name="T79" fmla="*/ 2884 h 1002"/>
                              <a:gd name="T80" fmla="*/ 1590 w 3780"/>
                              <a:gd name="T81" fmla="*/ 2798 h 1002"/>
                              <a:gd name="T82" fmla="*/ 1617 w 3780"/>
                              <a:gd name="T83" fmla="*/ 2910 h 1002"/>
                              <a:gd name="T84" fmla="*/ 1608 w 3780"/>
                              <a:gd name="T85" fmla="*/ 2841 h 1002"/>
                              <a:gd name="T86" fmla="*/ 1557 w 3780"/>
                              <a:gd name="T87" fmla="*/ 2842 h 1002"/>
                              <a:gd name="T88" fmla="*/ 1608 w 3780"/>
                              <a:gd name="T89" fmla="*/ 2841 h 1002"/>
                              <a:gd name="T90" fmla="*/ 1699 w 3780"/>
                              <a:gd name="T91" fmla="*/ 2820 h 1002"/>
                              <a:gd name="T92" fmla="*/ 1644 w 3780"/>
                              <a:gd name="T93" fmla="*/ 2842 h 1002"/>
                              <a:gd name="T94" fmla="*/ 1664 w 3780"/>
                              <a:gd name="T95" fmla="*/ 2852 h 1002"/>
                              <a:gd name="T96" fmla="*/ 1679 w 3780"/>
                              <a:gd name="T97" fmla="*/ 2809 h 1002"/>
                              <a:gd name="T98" fmla="*/ 1739 w 3780"/>
                              <a:gd name="T99" fmla="*/ 2868 h 1002"/>
                              <a:gd name="T100" fmla="*/ 1769 w 3780"/>
                              <a:gd name="T101" fmla="*/ 2930 h 1002"/>
                              <a:gd name="T102" fmla="*/ 1745 w 3780"/>
                              <a:gd name="T103" fmla="*/ 2880 h 1002"/>
                              <a:gd name="T104" fmla="*/ 1765 w 3780"/>
                              <a:gd name="T105" fmla="*/ 2917 h 1002"/>
                              <a:gd name="T106" fmla="*/ 1816 w 3780"/>
                              <a:gd name="T107" fmla="*/ 2945 h 1002"/>
                              <a:gd name="T108" fmla="*/ 1804 w 3780"/>
                              <a:gd name="T109" fmla="*/ 2797 h 1002"/>
                              <a:gd name="T110" fmla="*/ 1842 w 3780"/>
                              <a:gd name="T111" fmla="*/ 2916 h 1002"/>
                              <a:gd name="T112" fmla="*/ 3687 w 3780"/>
                              <a:gd name="T113" fmla="*/ 3317 h 1002"/>
                              <a:gd name="T114" fmla="*/ 3764 w 3780"/>
                              <a:gd name="T115" fmla="*/ 3262 h 1002"/>
                              <a:gd name="T116" fmla="*/ 3767 w 3780"/>
                              <a:gd name="T117" fmla="*/ 3239 h 100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780" h="1002">
                                <a:moveTo>
                                  <a:pt x="56" y="131"/>
                                </a:moveTo>
                                <a:lnTo>
                                  <a:pt x="56" y="100"/>
                                </a:lnTo>
                                <a:lnTo>
                                  <a:pt x="0" y="100"/>
                                </a:lnTo>
                                <a:lnTo>
                                  <a:pt x="0" y="85"/>
                                </a:lnTo>
                                <a:lnTo>
                                  <a:pt x="59" y="2"/>
                                </a:lnTo>
                                <a:lnTo>
                                  <a:pt x="72" y="2"/>
                                </a:lnTo>
                                <a:lnTo>
                                  <a:pt x="72" y="85"/>
                                </a:lnTo>
                                <a:lnTo>
                                  <a:pt x="89" y="85"/>
                                </a:lnTo>
                                <a:lnTo>
                                  <a:pt x="89" y="100"/>
                                </a:lnTo>
                                <a:lnTo>
                                  <a:pt x="72" y="100"/>
                                </a:lnTo>
                                <a:lnTo>
                                  <a:pt x="72" y="131"/>
                                </a:lnTo>
                                <a:lnTo>
                                  <a:pt x="56" y="131"/>
                                </a:lnTo>
                                <a:close/>
                                <a:moveTo>
                                  <a:pt x="56" y="85"/>
                                </a:moveTo>
                                <a:lnTo>
                                  <a:pt x="56" y="27"/>
                                </a:lnTo>
                                <a:lnTo>
                                  <a:pt x="16" y="85"/>
                                </a:lnTo>
                                <a:lnTo>
                                  <a:pt x="56" y="85"/>
                                </a:lnTo>
                                <a:close/>
                                <a:moveTo>
                                  <a:pt x="190" y="169"/>
                                </a:moveTo>
                                <a:lnTo>
                                  <a:pt x="184" y="160"/>
                                </a:lnTo>
                                <a:lnTo>
                                  <a:pt x="178" y="151"/>
                                </a:lnTo>
                                <a:lnTo>
                                  <a:pt x="173" y="141"/>
                                </a:lnTo>
                                <a:lnTo>
                                  <a:pt x="168" y="130"/>
                                </a:lnTo>
                                <a:lnTo>
                                  <a:pt x="164" y="119"/>
                                </a:lnTo>
                                <a:lnTo>
                                  <a:pt x="161" y="107"/>
                                </a:lnTo>
                                <a:lnTo>
                                  <a:pt x="160" y="96"/>
                                </a:lnTo>
                                <a:lnTo>
                                  <a:pt x="159" y="84"/>
                                </a:lnTo>
                                <a:lnTo>
                                  <a:pt x="159" y="74"/>
                                </a:lnTo>
                                <a:lnTo>
                                  <a:pt x="161" y="64"/>
                                </a:lnTo>
                                <a:lnTo>
                                  <a:pt x="163" y="54"/>
                                </a:lnTo>
                                <a:lnTo>
                                  <a:pt x="166" y="44"/>
                                </a:lnTo>
                                <a:lnTo>
                                  <a:pt x="170" y="33"/>
                                </a:lnTo>
                                <a:lnTo>
                                  <a:pt x="176" y="22"/>
                                </a:lnTo>
                                <a:lnTo>
                                  <a:pt x="182" y="11"/>
                                </a:lnTo>
                                <a:lnTo>
                                  <a:pt x="190" y="0"/>
                                </a:lnTo>
                                <a:lnTo>
                                  <a:pt x="202" y="0"/>
                                </a:lnTo>
                                <a:lnTo>
                                  <a:pt x="194" y="12"/>
                                </a:lnTo>
                                <a:lnTo>
                                  <a:pt x="190" y="21"/>
                                </a:lnTo>
                                <a:lnTo>
                                  <a:pt x="187" y="26"/>
                                </a:lnTo>
                                <a:lnTo>
                                  <a:pt x="184" y="34"/>
                                </a:lnTo>
                                <a:lnTo>
                                  <a:pt x="181" y="42"/>
                                </a:lnTo>
                                <a:lnTo>
                                  <a:pt x="179" y="51"/>
                                </a:lnTo>
                                <a:lnTo>
                                  <a:pt x="177" y="62"/>
                                </a:lnTo>
                                <a:lnTo>
                                  <a:pt x="175" y="73"/>
                                </a:lnTo>
                                <a:lnTo>
                                  <a:pt x="175" y="84"/>
                                </a:lnTo>
                                <a:lnTo>
                                  <a:pt x="177" y="105"/>
                                </a:lnTo>
                                <a:lnTo>
                                  <a:pt x="182" y="126"/>
                                </a:lnTo>
                                <a:lnTo>
                                  <a:pt x="190" y="148"/>
                                </a:lnTo>
                                <a:lnTo>
                                  <a:pt x="202" y="169"/>
                                </a:lnTo>
                                <a:lnTo>
                                  <a:pt x="190" y="169"/>
                                </a:lnTo>
                                <a:close/>
                                <a:moveTo>
                                  <a:pt x="216" y="97"/>
                                </a:moveTo>
                                <a:lnTo>
                                  <a:pt x="232" y="96"/>
                                </a:lnTo>
                                <a:lnTo>
                                  <a:pt x="233" y="104"/>
                                </a:lnTo>
                                <a:lnTo>
                                  <a:pt x="236" y="110"/>
                                </a:lnTo>
                                <a:lnTo>
                                  <a:pt x="241" y="114"/>
                                </a:lnTo>
                                <a:lnTo>
                                  <a:pt x="245" y="118"/>
                                </a:lnTo>
                                <a:lnTo>
                                  <a:pt x="251" y="120"/>
                                </a:lnTo>
                                <a:lnTo>
                                  <a:pt x="257" y="120"/>
                                </a:lnTo>
                                <a:lnTo>
                                  <a:pt x="265" y="120"/>
                                </a:lnTo>
                                <a:lnTo>
                                  <a:pt x="271" y="117"/>
                                </a:lnTo>
                                <a:lnTo>
                                  <a:pt x="276" y="111"/>
                                </a:lnTo>
                                <a:lnTo>
                                  <a:pt x="282" y="106"/>
                                </a:lnTo>
                                <a:lnTo>
                                  <a:pt x="284" y="98"/>
                                </a:lnTo>
                                <a:lnTo>
                                  <a:pt x="284" y="89"/>
                                </a:lnTo>
                                <a:lnTo>
                                  <a:pt x="284" y="80"/>
                                </a:lnTo>
                                <a:lnTo>
                                  <a:pt x="282" y="72"/>
                                </a:lnTo>
                                <a:lnTo>
                                  <a:pt x="277" y="67"/>
                                </a:lnTo>
                                <a:lnTo>
                                  <a:pt x="272" y="62"/>
                                </a:lnTo>
                                <a:lnTo>
                                  <a:pt x="265" y="59"/>
                                </a:lnTo>
                                <a:lnTo>
                                  <a:pt x="257" y="59"/>
                                </a:lnTo>
                                <a:lnTo>
                                  <a:pt x="252" y="59"/>
                                </a:lnTo>
                                <a:lnTo>
                                  <a:pt x="247" y="61"/>
                                </a:lnTo>
                                <a:lnTo>
                                  <a:pt x="243" y="63"/>
                                </a:lnTo>
                                <a:lnTo>
                                  <a:pt x="239" y="65"/>
                                </a:lnTo>
                                <a:lnTo>
                                  <a:pt x="236" y="68"/>
                                </a:lnTo>
                                <a:lnTo>
                                  <a:pt x="233" y="72"/>
                                </a:lnTo>
                                <a:lnTo>
                                  <a:pt x="218" y="70"/>
                                </a:lnTo>
                                <a:lnTo>
                                  <a:pt x="231" y="4"/>
                                </a:lnTo>
                                <a:lnTo>
                                  <a:pt x="295" y="4"/>
                                </a:lnTo>
                                <a:lnTo>
                                  <a:pt x="295" y="19"/>
                                </a:lnTo>
                                <a:lnTo>
                                  <a:pt x="243" y="19"/>
                                </a:lnTo>
                                <a:lnTo>
                                  <a:pt x="237" y="53"/>
                                </a:lnTo>
                                <a:lnTo>
                                  <a:pt x="244" y="48"/>
                                </a:lnTo>
                                <a:lnTo>
                                  <a:pt x="252" y="45"/>
                                </a:lnTo>
                                <a:lnTo>
                                  <a:pt x="261" y="45"/>
                                </a:lnTo>
                                <a:lnTo>
                                  <a:pt x="272" y="45"/>
                                </a:lnTo>
                                <a:lnTo>
                                  <a:pt x="282" y="49"/>
                                </a:lnTo>
                                <a:lnTo>
                                  <a:pt x="289" y="57"/>
                                </a:lnTo>
                                <a:lnTo>
                                  <a:pt x="297" y="65"/>
                                </a:lnTo>
                                <a:lnTo>
                                  <a:pt x="301" y="75"/>
                                </a:lnTo>
                                <a:lnTo>
                                  <a:pt x="301" y="87"/>
                                </a:lnTo>
                                <a:lnTo>
                                  <a:pt x="301" y="99"/>
                                </a:lnTo>
                                <a:lnTo>
                                  <a:pt x="298" y="109"/>
                                </a:lnTo>
                                <a:lnTo>
                                  <a:pt x="291" y="117"/>
                                </a:lnTo>
                                <a:lnTo>
                                  <a:pt x="283" y="128"/>
                                </a:lnTo>
                                <a:lnTo>
                                  <a:pt x="271" y="133"/>
                                </a:lnTo>
                                <a:lnTo>
                                  <a:pt x="257" y="133"/>
                                </a:lnTo>
                                <a:lnTo>
                                  <a:pt x="245" y="133"/>
                                </a:lnTo>
                                <a:lnTo>
                                  <a:pt x="236" y="130"/>
                                </a:lnTo>
                                <a:lnTo>
                                  <a:pt x="228" y="123"/>
                                </a:lnTo>
                                <a:lnTo>
                                  <a:pt x="221" y="117"/>
                                </a:lnTo>
                                <a:lnTo>
                                  <a:pt x="217" y="108"/>
                                </a:lnTo>
                                <a:lnTo>
                                  <a:pt x="216" y="97"/>
                                </a:lnTo>
                                <a:close/>
                                <a:moveTo>
                                  <a:pt x="325" y="131"/>
                                </a:moveTo>
                                <a:lnTo>
                                  <a:pt x="325" y="113"/>
                                </a:lnTo>
                                <a:lnTo>
                                  <a:pt x="343" y="113"/>
                                </a:lnTo>
                                <a:lnTo>
                                  <a:pt x="343" y="131"/>
                                </a:lnTo>
                                <a:lnTo>
                                  <a:pt x="325" y="131"/>
                                </a:lnTo>
                                <a:close/>
                                <a:moveTo>
                                  <a:pt x="416" y="131"/>
                                </a:moveTo>
                                <a:lnTo>
                                  <a:pt x="416" y="100"/>
                                </a:lnTo>
                                <a:lnTo>
                                  <a:pt x="360" y="100"/>
                                </a:lnTo>
                                <a:lnTo>
                                  <a:pt x="360" y="85"/>
                                </a:lnTo>
                                <a:lnTo>
                                  <a:pt x="419" y="2"/>
                                </a:lnTo>
                                <a:lnTo>
                                  <a:pt x="432" y="2"/>
                                </a:lnTo>
                                <a:lnTo>
                                  <a:pt x="432" y="85"/>
                                </a:lnTo>
                                <a:lnTo>
                                  <a:pt x="450" y="85"/>
                                </a:lnTo>
                                <a:lnTo>
                                  <a:pt x="450" y="100"/>
                                </a:lnTo>
                                <a:lnTo>
                                  <a:pt x="432" y="100"/>
                                </a:lnTo>
                                <a:lnTo>
                                  <a:pt x="432" y="131"/>
                                </a:lnTo>
                                <a:lnTo>
                                  <a:pt x="416" y="131"/>
                                </a:lnTo>
                                <a:close/>
                                <a:moveTo>
                                  <a:pt x="416" y="85"/>
                                </a:moveTo>
                                <a:lnTo>
                                  <a:pt x="416" y="27"/>
                                </a:lnTo>
                                <a:lnTo>
                                  <a:pt x="376" y="85"/>
                                </a:lnTo>
                                <a:lnTo>
                                  <a:pt x="416" y="85"/>
                                </a:lnTo>
                                <a:close/>
                                <a:moveTo>
                                  <a:pt x="469" y="33"/>
                                </a:moveTo>
                                <a:lnTo>
                                  <a:pt x="469" y="24"/>
                                </a:lnTo>
                                <a:lnTo>
                                  <a:pt x="471" y="16"/>
                                </a:lnTo>
                                <a:lnTo>
                                  <a:pt x="476" y="9"/>
                                </a:lnTo>
                                <a:lnTo>
                                  <a:pt x="480" y="3"/>
                                </a:lnTo>
                                <a:lnTo>
                                  <a:pt x="487" y="0"/>
                                </a:lnTo>
                                <a:lnTo>
                                  <a:pt x="496" y="0"/>
                                </a:lnTo>
                                <a:lnTo>
                                  <a:pt x="504" y="0"/>
                                </a:lnTo>
                                <a:lnTo>
                                  <a:pt x="511" y="3"/>
                                </a:lnTo>
                                <a:lnTo>
                                  <a:pt x="516" y="8"/>
                                </a:lnTo>
                                <a:lnTo>
                                  <a:pt x="521" y="14"/>
                                </a:lnTo>
                                <a:lnTo>
                                  <a:pt x="524" y="23"/>
                                </a:lnTo>
                                <a:lnTo>
                                  <a:pt x="524" y="34"/>
                                </a:lnTo>
                                <a:lnTo>
                                  <a:pt x="524" y="45"/>
                                </a:lnTo>
                                <a:lnTo>
                                  <a:pt x="521" y="53"/>
                                </a:lnTo>
                                <a:lnTo>
                                  <a:pt x="516" y="59"/>
                                </a:lnTo>
                                <a:lnTo>
                                  <a:pt x="510" y="65"/>
                                </a:lnTo>
                                <a:lnTo>
                                  <a:pt x="504" y="68"/>
                                </a:lnTo>
                                <a:lnTo>
                                  <a:pt x="496" y="68"/>
                                </a:lnTo>
                                <a:lnTo>
                                  <a:pt x="488" y="68"/>
                                </a:lnTo>
                                <a:lnTo>
                                  <a:pt x="482" y="65"/>
                                </a:lnTo>
                                <a:lnTo>
                                  <a:pt x="477" y="59"/>
                                </a:lnTo>
                                <a:lnTo>
                                  <a:pt x="471" y="53"/>
                                </a:lnTo>
                                <a:lnTo>
                                  <a:pt x="469" y="45"/>
                                </a:lnTo>
                                <a:lnTo>
                                  <a:pt x="469" y="33"/>
                                </a:lnTo>
                                <a:close/>
                                <a:moveTo>
                                  <a:pt x="496" y="11"/>
                                </a:moveTo>
                                <a:lnTo>
                                  <a:pt x="492" y="11"/>
                                </a:lnTo>
                                <a:lnTo>
                                  <a:pt x="489" y="12"/>
                                </a:lnTo>
                                <a:lnTo>
                                  <a:pt x="486" y="16"/>
                                </a:lnTo>
                                <a:lnTo>
                                  <a:pt x="484" y="19"/>
                                </a:lnTo>
                                <a:lnTo>
                                  <a:pt x="483" y="25"/>
                                </a:lnTo>
                                <a:lnTo>
                                  <a:pt x="483" y="34"/>
                                </a:lnTo>
                                <a:lnTo>
                                  <a:pt x="483" y="43"/>
                                </a:lnTo>
                                <a:lnTo>
                                  <a:pt x="484" y="49"/>
                                </a:lnTo>
                                <a:lnTo>
                                  <a:pt x="486" y="52"/>
                                </a:lnTo>
                                <a:lnTo>
                                  <a:pt x="489" y="55"/>
                                </a:lnTo>
                                <a:lnTo>
                                  <a:pt x="492" y="57"/>
                                </a:lnTo>
                                <a:lnTo>
                                  <a:pt x="496" y="57"/>
                                </a:lnTo>
                                <a:lnTo>
                                  <a:pt x="500" y="57"/>
                                </a:lnTo>
                                <a:lnTo>
                                  <a:pt x="504" y="55"/>
                                </a:lnTo>
                                <a:lnTo>
                                  <a:pt x="506" y="52"/>
                                </a:lnTo>
                                <a:lnTo>
                                  <a:pt x="509" y="48"/>
                                </a:lnTo>
                                <a:lnTo>
                                  <a:pt x="510" y="42"/>
                                </a:lnTo>
                                <a:lnTo>
                                  <a:pt x="510" y="33"/>
                                </a:lnTo>
                                <a:lnTo>
                                  <a:pt x="510" y="25"/>
                                </a:lnTo>
                                <a:lnTo>
                                  <a:pt x="509" y="19"/>
                                </a:lnTo>
                                <a:lnTo>
                                  <a:pt x="506" y="16"/>
                                </a:lnTo>
                                <a:lnTo>
                                  <a:pt x="503" y="12"/>
                                </a:lnTo>
                                <a:lnTo>
                                  <a:pt x="500" y="11"/>
                                </a:lnTo>
                                <a:lnTo>
                                  <a:pt x="496" y="11"/>
                                </a:lnTo>
                                <a:close/>
                                <a:moveTo>
                                  <a:pt x="496" y="136"/>
                                </a:moveTo>
                                <a:lnTo>
                                  <a:pt x="567" y="0"/>
                                </a:lnTo>
                                <a:lnTo>
                                  <a:pt x="580" y="0"/>
                                </a:lnTo>
                                <a:lnTo>
                                  <a:pt x="509" y="136"/>
                                </a:lnTo>
                                <a:lnTo>
                                  <a:pt x="496" y="136"/>
                                </a:lnTo>
                                <a:close/>
                                <a:moveTo>
                                  <a:pt x="552" y="101"/>
                                </a:moveTo>
                                <a:lnTo>
                                  <a:pt x="552" y="91"/>
                                </a:lnTo>
                                <a:lnTo>
                                  <a:pt x="554" y="83"/>
                                </a:lnTo>
                                <a:lnTo>
                                  <a:pt x="559" y="77"/>
                                </a:lnTo>
                                <a:lnTo>
                                  <a:pt x="564" y="71"/>
                                </a:lnTo>
                                <a:lnTo>
                                  <a:pt x="570" y="67"/>
                                </a:lnTo>
                                <a:lnTo>
                                  <a:pt x="579" y="67"/>
                                </a:lnTo>
                                <a:lnTo>
                                  <a:pt x="587" y="67"/>
                                </a:lnTo>
                                <a:lnTo>
                                  <a:pt x="594" y="70"/>
                                </a:lnTo>
                                <a:lnTo>
                                  <a:pt x="599" y="76"/>
                                </a:lnTo>
                                <a:lnTo>
                                  <a:pt x="605" y="82"/>
                                </a:lnTo>
                                <a:lnTo>
                                  <a:pt x="607" y="90"/>
                                </a:lnTo>
                                <a:lnTo>
                                  <a:pt x="607" y="102"/>
                                </a:lnTo>
                                <a:lnTo>
                                  <a:pt x="607" y="112"/>
                                </a:lnTo>
                                <a:lnTo>
                                  <a:pt x="605" y="121"/>
                                </a:lnTo>
                                <a:lnTo>
                                  <a:pt x="599" y="127"/>
                                </a:lnTo>
                                <a:lnTo>
                                  <a:pt x="594" y="133"/>
                                </a:lnTo>
                                <a:lnTo>
                                  <a:pt x="587" y="136"/>
                                </a:lnTo>
                                <a:lnTo>
                                  <a:pt x="579" y="136"/>
                                </a:lnTo>
                                <a:lnTo>
                                  <a:pt x="572" y="136"/>
                                </a:lnTo>
                                <a:lnTo>
                                  <a:pt x="565" y="133"/>
                                </a:lnTo>
                                <a:lnTo>
                                  <a:pt x="560" y="127"/>
                                </a:lnTo>
                                <a:lnTo>
                                  <a:pt x="555" y="121"/>
                                </a:lnTo>
                                <a:lnTo>
                                  <a:pt x="552" y="112"/>
                                </a:lnTo>
                                <a:lnTo>
                                  <a:pt x="552" y="101"/>
                                </a:lnTo>
                                <a:close/>
                                <a:moveTo>
                                  <a:pt x="580" y="78"/>
                                </a:moveTo>
                                <a:lnTo>
                                  <a:pt x="576" y="78"/>
                                </a:lnTo>
                                <a:lnTo>
                                  <a:pt x="572" y="80"/>
                                </a:lnTo>
                                <a:lnTo>
                                  <a:pt x="570" y="83"/>
                                </a:lnTo>
                                <a:lnTo>
                                  <a:pt x="567" y="87"/>
                                </a:lnTo>
                                <a:lnTo>
                                  <a:pt x="566" y="93"/>
                                </a:lnTo>
                                <a:lnTo>
                                  <a:pt x="566" y="102"/>
                                </a:lnTo>
                                <a:lnTo>
                                  <a:pt x="566" y="110"/>
                                </a:lnTo>
                                <a:lnTo>
                                  <a:pt x="567" y="116"/>
                                </a:lnTo>
                                <a:lnTo>
                                  <a:pt x="570" y="120"/>
                                </a:lnTo>
                                <a:lnTo>
                                  <a:pt x="572" y="123"/>
                                </a:lnTo>
                                <a:lnTo>
                                  <a:pt x="576" y="125"/>
                                </a:lnTo>
                                <a:lnTo>
                                  <a:pt x="580" y="125"/>
                                </a:lnTo>
                                <a:lnTo>
                                  <a:pt x="584" y="125"/>
                                </a:lnTo>
                                <a:lnTo>
                                  <a:pt x="587" y="123"/>
                                </a:lnTo>
                                <a:lnTo>
                                  <a:pt x="590" y="120"/>
                                </a:lnTo>
                                <a:lnTo>
                                  <a:pt x="592" y="116"/>
                                </a:lnTo>
                                <a:lnTo>
                                  <a:pt x="593" y="110"/>
                                </a:lnTo>
                                <a:lnTo>
                                  <a:pt x="593" y="101"/>
                                </a:lnTo>
                                <a:lnTo>
                                  <a:pt x="593" y="93"/>
                                </a:lnTo>
                                <a:lnTo>
                                  <a:pt x="592" y="87"/>
                                </a:lnTo>
                                <a:lnTo>
                                  <a:pt x="590" y="83"/>
                                </a:lnTo>
                                <a:lnTo>
                                  <a:pt x="587" y="80"/>
                                </a:lnTo>
                                <a:lnTo>
                                  <a:pt x="584" y="78"/>
                                </a:lnTo>
                                <a:lnTo>
                                  <a:pt x="580" y="78"/>
                                </a:lnTo>
                                <a:close/>
                                <a:moveTo>
                                  <a:pt x="641" y="169"/>
                                </a:moveTo>
                                <a:lnTo>
                                  <a:pt x="629" y="169"/>
                                </a:lnTo>
                                <a:lnTo>
                                  <a:pt x="641" y="148"/>
                                </a:lnTo>
                                <a:lnTo>
                                  <a:pt x="649" y="126"/>
                                </a:lnTo>
                                <a:lnTo>
                                  <a:pt x="654" y="105"/>
                                </a:lnTo>
                                <a:lnTo>
                                  <a:pt x="656" y="84"/>
                                </a:lnTo>
                                <a:lnTo>
                                  <a:pt x="656" y="73"/>
                                </a:lnTo>
                                <a:lnTo>
                                  <a:pt x="654" y="62"/>
                                </a:lnTo>
                                <a:lnTo>
                                  <a:pt x="652" y="51"/>
                                </a:lnTo>
                                <a:lnTo>
                                  <a:pt x="650" y="43"/>
                                </a:lnTo>
                                <a:lnTo>
                                  <a:pt x="647" y="34"/>
                                </a:lnTo>
                                <a:lnTo>
                                  <a:pt x="643" y="26"/>
                                </a:lnTo>
                                <a:lnTo>
                                  <a:pt x="641" y="21"/>
                                </a:lnTo>
                                <a:lnTo>
                                  <a:pt x="636" y="12"/>
                                </a:lnTo>
                                <a:lnTo>
                                  <a:pt x="629" y="0"/>
                                </a:lnTo>
                                <a:lnTo>
                                  <a:pt x="641" y="0"/>
                                </a:lnTo>
                                <a:lnTo>
                                  <a:pt x="648" y="11"/>
                                </a:lnTo>
                                <a:lnTo>
                                  <a:pt x="655" y="22"/>
                                </a:lnTo>
                                <a:lnTo>
                                  <a:pt x="661" y="33"/>
                                </a:lnTo>
                                <a:lnTo>
                                  <a:pt x="665" y="44"/>
                                </a:lnTo>
                                <a:lnTo>
                                  <a:pt x="668" y="54"/>
                                </a:lnTo>
                                <a:lnTo>
                                  <a:pt x="670" y="64"/>
                                </a:lnTo>
                                <a:lnTo>
                                  <a:pt x="671" y="74"/>
                                </a:lnTo>
                                <a:lnTo>
                                  <a:pt x="672" y="84"/>
                                </a:lnTo>
                                <a:lnTo>
                                  <a:pt x="671" y="96"/>
                                </a:lnTo>
                                <a:lnTo>
                                  <a:pt x="669" y="107"/>
                                </a:lnTo>
                                <a:lnTo>
                                  <a:pt x="667" y="119"/>
                                </a:lnTo>
                                <a:lnTo>
                                  <a:pt x="663" y="130"/>
                                </a:lnTo>
                                <a:lnTo>
                                  <a:pt x="658" y="141"/>
                                </a:lnTo>
                                <a:lnTo>
                                  <a:pt x="653" y="151"/>
                                </a:lnTo>
                                <a:lnTo>
                                  <a:pt x="647" y="160"/>
                                </a:lnTo>
                                <a:lnTo>
                                  <a:pt x="641" y="169"/>
                                </a:lnTo>
                                <a:close/>
                                <a:moveTo>
                                  <a:pt x="1040" y="566"/>
                                </a:moveTo>
                                <a:lnTo>
                                  <a:pt x="1024" y="566"/>
                                </a:lnTo>
                                <a:lnTo>
                                  <a:pt x="1024" y="465"/>
                                </a:lnTo>
                                <a:lnTo>
                                  <a:pt x="1020" y="469"/>
                                </a:lnTo>
                                <a:lnTo>
                                  <a:pt x="1015" y="472"/>
                                </a:lnTo>
                                <a:lnTo>
                                  <a:pt x="1009" y="476"/>
                                </a:lnTo>
                                <a:lnTo>
                                  <a:pt x="1003" y="480"/>
                                </a:lnTo>
                                <a:lnTo>
                                  <a:pt x="998" y="482"/>
                                </a:lnTo>
                                <a:lnTo>
                                  <a:pt x="993" y="484"/>
                                </a:lnTo>
                                <a:lnTo>
                                  <a:pt x="993" y="469"/>
                                </a:lnTo>
                                <a:lnTo>
                                  <a:pt x="1001" y="465"/>
                                </a:lnTo>
                                <a:lnTo>
                                  <a:pt x="1009" y="460"/>
                                </a:lnTo>
                                <a:lnTo>
                                  <a:pt x="1016" y="454"/>
                                </a:lnTo>
                                <a:lnTo>
                                  <a:pt x="1022" y="448"/>
                                </a:lnTo>
                                <a:lnTo>
                                  <a:pt x="1027" y="442"/>
                                </a:lnTo>
                                <a:lnTo>
                                  <a:pt x="1030" y="436"/>
                                </a:lnTo>
                                <a:lnTo>
                                  <a:pt x="1040" y="436"/>
                                </a:lnTo>
                                <a:lnTo>
                                  <a:pt x="1040" y="566"/>
                                </a:lnTo>
                                <a:close/>
                                <a:moveTo>
                                  <a:pt x="1131" y="566"/>
                                </a:moveTo>
                                <a:lnTo>
                                  <a:pt x="1131" y="535"/>
                                </a:lnTo>
                                <a:lnTo>
                                  <a:pt x="1075" y="535"/>
                                </a:lnTo>
                                <a:lnTo>
                                  <a:pt x="1075" y="520"/>
                                </a:lnTo>
                                <a:lnTo>
                                  <a:pt x="1134" y="437"/>
                                </a:lnTo>
                                <a:lnTo>
                                  <a:pt x="1147" y="437"/>
                                </a:lnTo>
                                <a:lnTo>
                                  <a:pt x="1147" y="520"/>
                                </a:lnTo>
                                <a:lnTo>
                                  <a:pt x="1165" y="520"/>
                                </a:lnTo>
                                <a:lnTo>
                                  <a:pt x="1165" y="535"/>
                                </a:lnTo>
                                <a:lnTo>
                                  <a:pt x="1147" y="535"/>
                                </a:lnTo>
                                <a:lnTo>
                                  <a:pt x="1147" y="566"/>
                                </a:lnTo>
                                <a:lnTo>
                                  <a:pt x="1131" y="566"/>
                                </a:lnTo>
                                <a:close/>
                                <a:moveTo>
                                  <a:pt x="1131" y="520"/>
                                </a:moveTo>
                                <a:lnTo>
                                  <a:pt x="1131" y="462"/>
                                </a:lnTo>
                                <a:lnTo>
                                  <a:pt x="1091" y="520"/>
                                </a:lnTo>
                                <a:lnTo>
                                  <a:pt x="1131" y="520"/>
                                </a:lnTo>
                                <a:close/>
                                <a:moveTo>
                                  <a:pt x="1265" y="604"/>
                                </a:moveTo>
                                <a:lnTo>
                                  <a:pt x="1259" y="595"/>
                                </a:lnTo>
                                <a:lnTo>
                                  <a:pt x="1253" y="586"/>
                                </a:lnTo>
                                <a:lnTo>
                                  <a:pt x="1248" y="576"/>
                                </a:lnTo>
                                <a:lnTo>
                                  <a:pt x="1243" y="565"/>
                                </a:lnTo>
                                <a:lnTo>
                                  <a:pt x="1239" y="554"/>
                                </a:lnTo>
                                <a:lnTo>
                                  <a:pt x="1236" y="542"/>
                                </a:lnTo>
                                <a:lnTo>
                                  <a:pt x="1235" y="531"/>
                                </a:lnTo>
                                <a:lnTo>
                                  <a:pt x="1234" y="519"/>
                                </a:lnTo>
                                <a:lnTo>
                                  <a:pt x="1235" y="509"/>
                                </a:lnTo>
                                <a:lnTo>
                                  <a:pt x="1236" y="499"/>
                                </a:lnTo>
                                <a:lnTo>
                                  <a:pt x="1238" y="489"/>
                                </a:lnTo>
                                <a:lnTo>
                                  <a:pt x="1241" y="479"/>
                                </a:lnTo>
                                <a:lnTo>
                                  <a:pt x="1245" y="468"/>
                                </a:lnTo>
                                <a:lnTo>
                                  <a:pt x="1251" y="457"/>
                                </a:lnTo>
                                <a:lnTo>
                                  <a:pt x="1258" y="446"/>
                                </a:lnTo>
                                <a:lnTo>
                                  <a:pt x="1265" y="435"/>
                                </a:lnTo>
                                <a:lnTo>
                                  <a:pt x="1277" y="435"/>
                                </a:lnTo>
                                <a:lnTo>
                                  <a:pt x="1270" y="447"/>
                                </a:lnTo>
                                <a:lnTo>
                                  <a:pt x="1265" y="456"/>
                                </a:lnTo>
                                <a:lnTo>
                                  <a:pt x="1263" y="461"/>
                                </a:lnTo>
                                <a:lnTo>
                                  <a:pt x="1259" y="469"/>
                                </a:lnTo>
                                <a:lnTo>
                                  <a:pt x="1256" y="477"/>
                                </a:lnTo>
                                <a:lnTo>
                                  <a:pt x="1254" y="486"/>
                                </a:lnTo>
                                <a:lnTo>
                                  <a:pt x="1252" y="497"/>
                                </a:lnTo>
                                <a:lnTo>
                                  <a:pt x="1250" y="508"/>
                                </a:lnTo>
                                <a:lnTo>
                                  <a:pt x="1250" y="519"/>
                                </a:lnTo>
                                <a:lnTo>
                                  <a:pt x="1252" y="540"/>
                                </a:lnTo>
                                <a:lnTo>
                                  <a:pt x="1257" y="561"/>
                                </a:lnTo>
                                <a:lnTo>
                                  <a:pt x="1265" y="583"/>
                                </a:lnTo>
                                <a:lnTo>
                                  <a:pt x="1277" y="604"/>
                                </a:lnTo>
                                <a:lnTo>
                                  <a:pt x="1265" y="604"/>
                                </a:lnTo>
                                <a:close/>
                                <a:moveTo>
                                  <a:pt x="1350" y="566"/>
                                </a:moveTo>
                                <a:lnTo>
                                  <a:pt x="1334" y="566"/>
                                </a:lnTo>
                                <a:lnTo>
                                  <a:pt x="1334" y="465"/>
                                </a:lnTo>
                                <a:lnTo>
                                  <a:pt x="1331" y="469"/>
                                </a:lnTo>
                                <a:lnTo>
                                  <a:pt x="1326" y="472"/>
                                </a:lnTo>
                                <a:lnTo>
                                  <a:pt x="1319" y="476"/>
                                </a:lnTo>
                                <a:lnTo>
                                  <a:pt x="1313" y="480"/>
                                </a:lnTo>
                                <a:lnTo>
                                  <a:pt x="1308" y="482"/>
                                </a:lnTo>
                                <a:lnTo>
                                  <a:pt x="1303" y="484"/>
                                </a:lnTo>
                                <a:lnTo>
                                  <a:pt x="1303" y="469"/>
                                </a:lnTo>
                                <a:lnTo>
                                  <a:pt x="1312" y="465"/>
                                </a:lnTo>
                                <a:lnTo>
                                  <a:pt x="1319" y="460"/>
                                </a:lnTo>
                                <a:lnTo>
                                  <a:pt x="1326" y="454"/>
                                </a:lnTo>
                                <a:lnTo>
                                  <a:pt x="1333" y="448"/>
                                </a:lnTo>
                                <a:lnTo>
                                  <a:pt x="1337" y="442"/>
                                </a:lnTo>
                                <a:lnTo>
                                  <a:pt x="1340" y="436"/>
                                </a:lnTo>
                                <a:lnTo>
                                  <a:pt x="1350" y="436"/>
                                </a:lnTo>
                                <a:lnTo>
                                  <a:pt x="1350" y="566"/>
                                </a:lnTo>
                                <a:close/>
                                <a:moveTo>
                                  <a:pt x="1415" y="496"/>
                                </a:moveTo>
                                <a:lnTo>
                                  <a:pt x="1409" y="494"/>
                                </a:lnTo>
                                <a:lnTo>
                                  <a:pt x="1404" y="490"/>
                                </a:lnTo>
                                <a:lnTo>
                                  <a:pt x="1400" y="486"/>
                                </a:lnTo>
                                <a:lnTo>
                                  <a:pt x="1397" y="481"/>
                                </a:lnTo>
                                <a:lnTo>
                                  <a:pt x="1396" y="476"/>
                                </a:lnTo>
                                <a:lnTo>
                                  <a:pt x="1396" y="470"/>
                                </a:lnTo>
                                <a:lnTo>
                                  <a:pt x="1396" y="460"/>
                                </a:lnTo>
                                <a:lnTo>
                                  <a:pt x="1399" y="452"/>
                                </a:lnTo>
                                <a:lnTo>
                                  <a:pt x="1406" y="446"/>
                                </a:lnTo>
                                <a:lnTo>
                                  <a:pt x="1413" y="440"/>
                                </a:lnTo>
                                <a:lnTo>
                                  <a:pt x="1422" y="436"/>
                                </a:lnTo>
                                <a:lnTo>
                                  <a:pt x="1433" y="436"/>
                                </a:lnTo>
                                <a:lnTo>
                                  <a:pt x="1444" y="436"/>
                                </a:lnTo>
                                <a:lnTo>
                                  <a:pt x="1453" y="440"/>
                                </a:lnTo>
                                <a:lnTo>
                                  <a:pt x="1460" y="446"/>
                                </a:lnTo>
                                <a:lnTo>
                                  <a:pt x="1467" y="453"/>
                                </a:lnTo>
                                <a:lnTo>
                                  <a:pt x="1470" y="461"/>
                                </a:lnTo>
                                <a:lnTo>
                                  <a:pt x="1470" y="470"/>
                                </a:lnTo>
                                <a:lnTo>
                                  <a:pt x="1470" y="476"/>
                                </a:lnTo>
                                <a:lnTo>
                                  <a:pt x="1469" y="481"/>
                                </a:lnTo>
                                <a:lnTo>
                                  <a:pt x="1465" y="486"/>
                                </a:lnTo>
                                <a:lnTo>
                                  <a:pt x="1462" y="490"/>
                                </a:lnTo>
                                <a:lnTo>
                                  <a:pt x="1458" y="494"/>
                                </a:lnTo>
                                <a:lnTo>
                                  <a:pt x="1451" y="496"/>
                                </a:lnTo>
                                <a:lnTo>
                                  <a:pt x="1459" y="499"/>
                                </a:lnTo>
                                <a:lnTo>
                                  <a:pt x="1465" y="503"/>
                                </a:lnTo>
                                <a:lnTo>
                                  <a:pt x="1469" y="508"/>
                                </a:lnTo>
                                <a:lnTo>
                                  <a:pt x="1473" y="514"/>
                                </a:lnTo>
                                <a:lnTo>
                                  <a:pt x="1475" y="521"/>
                                </a:lnTo>
                                <a:lnTo>
                                  <a:pt x="1475" y="529"/>
                                </a:lnTo>
                                <a:lnTo>
                                  <a:pt x="1475" y="540"/>
                                </a:lnTo>
                                <a:lnTo>
                                  <a:pt x="1472" y="549"/>
                                </a:lnTo>
                                <a:lnTo>
                                  <a:pt x="1464" y="557"/>
                                </a:lnTo>
                                <a:lnTo>
                                  <a:pt x="1456" y="564"/>
                                </a:lnTo>
                                <a:lnTo>
                                  <a:pt x="1446" y="568"/>
                                </a:lnTo>
                                <a:lnTo>
                                  <a:pt x="1433" y="568"/>
                                </a:lnTo>
                                <a:lnTo>
                                  <a:pt x="1420" y="568"/>
                                </a:lnTo>
                                <a:lnTo>
                                  <a:pt x="1410" y="564"/>
                                </a:lnTo>
                                <a:lnTo>
                                  <a:pt x="1402" y="557"/>
                                </a:lnTo>
                                <a:lnTo>
                                  <a:pt x="1394" y="549"/>
                                </a:lnTo>
                                <a:lnTo>
                                  <a:pt x="1391" y="540"/>
                                </a:lnTo>
                                <a:lnTo>
                                  <a:pt x="1391" y="529"/>
                                </a:lnTo>
                                <a:lnTo>
                                  <a:pt x="1391" y="520"/>
                                </a:lnTo>
                                <a:lnTo>
                                  <a:pt x="1393" y="513"/>
                                </a:lnTo>
                                <a:lnTo>
                                  <a:pt x="1397" y="507"/>
                                </a:lnTo>
                                <a:lnTo>
                                  <a:pt x="1401" y="502"/>
                                </a:lnTo>
                                <a:lnTo>
                                  <a:pt x="1407" y="498"/>
                                </a:lnTo>
                                <a:lnTo>
                                  <a:pt x="1415" y="496"/>
                                </a:lnTo>
                                <a:close/>
                                <a:moveTo>
                                  <a:pt x="1412" y="469"/>
                                </a:moveTo>
                                <a:lnTo>
                                  <a:pt x="1412" y="475"/>
                                </a:lnTo>
                                <a:lnTo>
                                  <a:pt x="1414" y="480"/>
                                </a:lnTo>
                                <a:lnTo>
                                  <a:pt x="1418" y="484"/>
                                </a:lnTo>
                                <a:lnTo>
                                  <a:pt x="1422" y="488"/>
                                </a:lnTo>
                                <a:lnTo>
                                  <a:pt x="1427" y="490"/>
                                </a:lnTo>
                                <a:lnTo>
                                  <a:pt x="1433" y="490"/>
                                </a:lnTo>
                                <a:lnTo>
                                  <a:pt x="1439" y="490"/>
                                </a:lnTo>
                                <a:lnTo>
                                  <a:pt x="1444" y="488"/>
                                </a:lnTo>
                                <a:lnTo>
                                  <a:pt x="1448" y="484"/>
                                </a:lnTo>
                                <a:lnTo>
                                  <a:pt x="1452" y="480"/>
                                </a:lnTo>
                                <a:lnTo>
                                  <a:pt x="1454" y="476"/>
                                </a:lnTo>
                                <a:lnTo>
                                  <a:pt x="1454" y="470"/>
                                </a:lnTo>
                                <a:lnTo>
                                  <a:pt x="1454" y="464"/>
                                </a:lnTo>
                                <a:lnTo>
                                  <a:pt x="1452" y="459"/>
                                </a:lnTo>
                                <a:lnTo>
                                  <a:pt x="1448" y="455"/>
                                </a:lnTo>
                                <a:lnTo>
                                  <a:pt x="1444" y="451"/>
                                </a:lnTo>
                                <a:lnTo>
                                  <a:pt x="1439" y="449"/>
                                </a:lnTo>
                                <a:lnTo>
                                  <a:pt x="1433" y="449"/>
                                </a:lnTo>
                                <a:lnTo>
                                  <a:pt x="1427" y="449"/>
                                </a:lnTo>
                                <a:lnTo>
                                  <a:pt x="1422" y="451"/>
                                </a:lnTo>
                                <a:lnTo>
                                  <a:pt x="1418" y="455"/>
                                </a:lnTo>
                                <a:lnTo>
                                  <a:pt x="1414" y="459"/>
                                </a:lnTo>
                                <a:lnTo>
                                  <a:pt x="1412" y="464"/>
                                </a:lnTo>
                                <a:lnTo>
                                  <a:pt x="1412" y="469"/>
                                </a:lnTo>
                                <a:close/>
                                <a:moveTo>
                                  <a:pt x="1407" y="529"/>
                                </a:moveTo>
                                <a:lnTo>
                                  <a:pt x="1407" y="533"/>
                                </a:lnTo>
                                <a:lnTo>
                                  <a:pt x="1408" y="538"/>
                                </a:lnTo>
                                <a:lnTo>
                                  <a:pt x="1410" y="542"/>
                                </a:lnTo>
                                <a:lnTo>
                                  <a:pt x="1412" y="546"/>
                                </a:lnTo>
                                <a:lnTo>
                                  <a:pt x="1415" y="549"/>
                                </a:lnTo>
                                <a:lnTo>
                                  <a:pt x="1420" y="552"/>
                                </a:lnTo>
                                <a:lnTo>
                                  <a:pt x="1424" y="554"/>
                                </a:lnTo>
                                <a:lnTo>
                                  <a:pt x="1428" y="555"/>
                                </a:lnTo>
                                <a:lnTo>
                                  <a:pt x="1433" y="555"/>
                                </a:lnTo>
                                <a:lnTo>
                                  <a:pt x="1441" y="555"/>
                                </a:lnTo>
                                <a:lnTo>
                                  <a:pt x="1447" y="553"/>
                                </a:lnTo>
                                <a:lnTo>
                                  <a:pt x="1452" y="548"/>
                                </a:lnTo>
                                <a:lnTo>
                                  <a:pt x="1457" y="543"/>
                                </a:lnTo>
                                <a:lnTo>
                                  <a:pt x="1459" y="537"/>
                                </a:lnTo>
                                <a:lnTo>
                                  <a:pt x="1459" y="529"/>
                                </a:lnTo>
                                <a:lnTo>
                                  <a:pt x="1459" y="522"/>
                                </a:lnTo>
                                <a:lnTo>
                                  <a:pt x="1457" y="515"/>
                                </a:lnTo>
                                <a:lnTo>
                                  <a:pt x="1452" y="510"/>
                                </a:lnTo>
                                <a:lnTo>
                                  <a:pt x="1447" y="505"/>
                                </a:lnTo>
                                <a:lnTo>
                                  <a:pt x="1440" y="503"/>
                                </a:lnTo>
                                <a:lnTo>
                                  <a:pt x="1433" y="503"/>
                                </a:lnTo>
                                <a:lnTo>
                                  <a:pt x="1425" y="503"/>
                                </a:lnTo>
                                <a:lnTo>
                                  <a:pt x="1419" y="505"/>
                                </a:lnTo>
                                <a:lnTo>
                                  <a:pt x="1414" y="510"/>
                                </a:lnTo>
                                <a:lnTo>
                                  <a:pt x="1409" y="515"/>
                                </a:lnTo>
                                <a:lnTo>
                                  <a:pt x="1407" y="521"/>
                                </a:lnTo>
                                <a:lnTo>
                                  <a:pt x="1407" y="529"/>
                                </a:lnTo>
                                <a:close/>
                                <a:moveTo>
                                  <a:pt x="1500" y="566"/>
                                </a:moveTo>
                                <a:lnTo>
                                  <a:pt x="1500" y="548"/>
                                </a:lnTo>
                                <a:lnTo>
                                  <a:pt x="1518" y="548"/>
                                </a:lnTo>
                                <a:lnTo>
                                  <a:pt x="1518" y="566"/>
                                </a:lnTo>
                                <a:lnTo>
                                  <a:pt x="1500" y="566"/>
                                </a:lnTo>
                                <a:close/>
                                <a:moveTo>
                                  <a:pt x="1543" y="536"/>
                                </a:moveTo>
                                <a:lnTo>
                                  <a:pt x="1558" y="535"/>
                                </a:lnTo>
                                <a:lnTo>
                                  <a:pt x="1560" y="542"/>
                                </a:lnTo>
                                <a:lnTo>
                                  <a:pt x="1562" y="547"/>
                                </a:lnTo>
                                <a:lnTo>
                                  <a:pt x="1566" y="550"/>
                                </a:lnTo>
                                <a:lnTo>
                                  <a:pt x="1569" y="553"/>
                                </a:lnTo>
                                <a:lnTo>
                                  <a:pt x="1574" y="555"/>
                                </a:lnTo>
                                <a:lnTo>
                                  <a:pt x="1580" y="555"/>
                                </a:lnTo>
                                <a:lnTo>
                                  <a:pt x="1585" y="555"/>
                                </a:lnTo>
                                <a:lnTo>
                                  <a:pt x="1589" y="554"/>
                                </a:lnTo>
                                <a:lnTo>
                                  <a:pt x="1593" y="552"/>
                                </a:lnTo>
                                <a:lnTo>
                                  <a:pt x="1596" y="549"/>
                                </a:lnTo>
                                <a:lnTo>
                                  <a:pt x="1599" y="546"/>
                                </a:lnTo>
                                <a:lnTo>
                                  <a:pt x="1602" y="543"/>
                                </a:lnTo>
                                <a:lnTo>
                                  <a:pt x="1604" y="539"/>
                                </a:lnTo>
                                <a:lnTo>
                                  <a:pt x="1606" y="534"/>
                                </a:lnTo>
                                <a:lnTo>
                                  <a:pt x="1607" y="528"/>
                                </a:lnTo>
                                <a:lnTo>
                                  <a:pt x="1609" y="521"/>
                                </a:lnTo>
                                <a:lnTo>
                                  <a:pt x="1610" y="515"/>
                                </a:lnTo>
                                <a:lnTo>
                                  <a:pt x="1610" y="508"/>
                                </a:lnTo>
                                <a:lnTo>
                                  <a:pt x="1610" y="507"/>
                                </a:lnTo>
                                <a:lnTo>
                                  <a:pt x="1610" y="505"/>
                                </a:lnTo>
                                <a:lnTo>
                                  <a:pt x="1607" y="510"/>
                                </a:lnTo>
                                <a:lnTo>
                                  <a:pt x="1602" y="514"/>
                                </a:lnTo>
                                <a:lnTo>
                                  <a:pt x="1597" y="517"/>
                                </a:lnTo>
                                <a:lnTo>
                                  <a:pt x="1591" y="521"/>
                                </a:lnTo>
                                <a:lnTo>
                                  <a:pt x="1585" y="522"/>
                                </a:lnTo>
                                <a:lnTo>
                                  <a:pt x="1579" y="522"/>
                                </a:lnTo>
                                <a:lnTo>
                                  <a:pt x="1568" y="522"/>
                                </a:lnTo>
                                <a:lnTo>
                                  <a:pt x="1559" y="518"/>
                                </a:lnTo>
                                <a:lnTo>
                                  <a:pt x="1552" y="511"/>
                                </a:lnTo>
                                <a:lnTo>
                                  <a:pt x="1545" y="503"/>
                                </a:lnTo>
                                <a:lnTo>
                                  <a:pt x="1541" y="493"/>
                                </a:lnTo>
                                <a:lnTo>
                                  <a:pt x="1541" y="480"/>
                                </a:lnTo>
                                <a:lnTo>
                                  <a:pt x="1541" y="467"/>
                                </a:lnTo>
                                <a:lnTo>
                                  <a:pt x="1545" y="456"/>
                                </a:lnTo>
                                <a:lnTo>
                                  <a:pt x="1552" y="448"/>
                                </a:lnTo>
                                <a:lnTo>
                                  <a:pt x="1560" y="440"/>
                                </a:lnTo>
                                <a:lnTo>
                                  <a:pt x="1570" y="436"/>
                                </a:lnTo>
                                <a:lnTo>
                                  <a:pt x="1581" y="436"/>
                                </a:lnTo>
                                <a:lnTo>
                                  <a:pt x="1590" y="436"/>
                                </a:lnTo>
                                <a:lnTo>
                                  <a:pt x="1597" y="439"/>
                                </a:lnTo>
                                <a:lnTo>
                                  <a:pt x="1604" y="443"/>
                                </a:lnTo>
                                <a:lnTo>
                                  <a:pt x="1611" y="448"/>
                                </a:lnTo>
                                <a:lnTo>
                                  <a:pt x="1617" y="454"/>
                                </a:lnTo>
                                <a:lnTo>
                                  <a:pt x="1620" y="462"/>
                                </a:lnTo>
                                <a:lnTo>
                                  <a:pt x="1624" y="471"/>
                                </a:lnTo>
                                <a:lnTo>
                                  <a:pt x="1626" y="483"/>
                                </a:lnTo>
                                <a:lnTo>
                                  <a:pt x="1626" y="499"/>
                                </a:lnTo>
                                <a:lnTo>
                                  <a:pt x="1626" y="515"/>
                                </a:lnTo>
                                <a:lnTo>
                                  <a:pt x="1624" y="528"/>
                                </a:lnTo>
                                <a:lnTo>
                                  <a:pt x="1620" y="538"/>
                                </a:lnTo>
                                <a:lnTo>
                                  <a:pt x="1617" y="548"/>
                                </a:lnTo>
                                <a:lnTo>
                                  <a:pt x="1611" y="555"/>
                                </a:lnTo>
                                <a:lnTo>
                                  <a:pt x="1604" y="560"/>
                                </a:lnTo>
                                <a:lnTo>
                                  <a:pt x="1597" y="565"/>
                                </a:lnTo>
                                <a:lnTo>
                                  <a:pt x="1589" y="568"/>
                                </a:lnTo>
                                <a:lnTo>
                                  <a:pt x="1579" y="568"/>
                                </a:lnTo>
                                <a:lnTo>
                                  <a:pt x="1569" y="568"/>
                                </a:lnTo>
                                <a:lnTo>
                                  <a:pt x="1561" y="565"/>
                                </a:lnTo>
                                <a:lnTo>
                                  <a:pt x="1555" y="560"/>
                                </a:lnTo>
                                <a:lnTo>
                                  <a:pt x="1548" y="554"/>
                                </a:lnTo>
                                <a:lnTo>
                                  <a:pt x="1545" y="546"/>
                                </a:lnTo>
                                <a:lnTo>
                                  <a:pt x="1543" y="536"/>
                                </a:lnTo>
                                <a:close/>
                                <a:moveTo>
                                  <a:pt x="1608" y="479"/>
                                </a:moveTo>
                                <a:lnTo>
                                  <a:pt x="1608" y="470"/>
                                </a:lnTo>
                                <a:lnTo>
                                  <a:pt x="1606" y="463"/>
                                </a:lnTo>
                                <a:lnTo>
                                  <a:pt x="1601" y="458"/>
                                </a:lnTo>
                                <a:lnTo>
                                  <a:pt x="1596" y="452"/>
                                </a:lnTo>
                                <a:lnTo>
                                  <a:pt x="1590" y="450"/>
                                </a:lnTo>
                                <a:lnTo>
                                  <a:pt x="1583" y="450"/>
                                </a:lnTo>
                                <a:lnTo>
                                  <a:pt x="1576" y="450"/>
                                </a:lnTo>
                                <a:lnTo>
                                  <a:pt x="1570" y="452"/>
                                </a:lnTo>
                                <a:lnTo>
                                  <a:pt x="1565" y="458"/>
                                </a:lnTo>
                                <a:lnTo>
                                  <a:pt x="1560" y="464"/>
                                </a:lnTo>
                                <a:lnTo>
                                  <a:pt x="1557" y="471"/>
                                </a:lnTo>
                                <a:lnTo>
                                  <a:pt x="1557" y="480"/>
                                </a:lnTo>
                                <a:lnTo>
                                  <a:pt x="1557" y="489"/>
                                </a:lnTo>
                                <a:lnTo>
                                  <a:pt x="1560" y="495"/>
                                </a:lnTo>
                                <a:lnTo>
                                  <a:pt x="1565" y="500"/>
                                </a:lnTo>
                                <a:lnTo>
                                  <a:pt x="1569" y="506"/>
                                </a:lnTo>
                                <a:lnTo>
                                  <a:pt x="1576" y="508"/>
                                </a:lnTo>
                                <a:lnTo>
                                  <a:pt x="1583" y="508"/>
                                </a:lnTo>
                                <a:lnTo>
                                  <a:pt x="1590" y="508"/>
                                </a:lnTo>
                                <a:lnTo>
                                  <a:pt x="1596" y="506"/>
                                </a:lnTo>
                                <a:lnTo>
                                  <a:pt x="1601" y="500"/>
                                </a:lnTo>
                                <a:lnTo>
                                  <a:pt x="1606" y="495"/>
                                </a:lnTo>
                                <a:lnTo>
                                  <a:pt x="1608" y="488"/>
                                </a:lnTo>
                                <a:lnTo>
                                  <a:pt x="1608" y="479"/>
                                </a:lnTo>
                                <a:close/>
                                <a:moveTo>
                                  <a:pt x="1644" y="468"/>
                                </a:moveTo>
                                <a:lnTo>
                                  <a:pt x="1644" y="459"/>
                                </a:lnTo>
                                <a:lnTo>
                                  <a:pt x="1646" y="451"/>
                                </a:lnTo>
                                <a:lnTo>
                                  <a:pt x="1651" y="444"/>
                                </a:lnTo>
                                <a:lnTo>
                                  <a:pt x="1656" y="438"/>
                                </a:lnTo>
                                <a:lnTo>
                                  <a:pt x="1662" y="435"/>
                                </a:lnTo>
                                <a:lnTo>
                                  <a:pt x="1671" y="435"/>
                                </a:lnTo>
                                <a:lnTo>
                                  <a:pt x="1679" y="435"/>
                                </a:lnTo>
                                <a:lnTo>
                                  <a:pt x="1686" y="438"/>
                                </a:lnTo>
                                <a:lnTo>
                                  <a:pt x="1691" y="443"/>
                                </a:lnTo>
                                <a:lnTo>
                                  <a:pt x="1696" y="449"/>
                                </a:lnTo>
                                <a:lnTo>
                                  <a:pt x="1699" y="458"/>
                                </a:lnTo>
                                <a:lnTo>
                                  <a:pt x="1699" y="469"/>
                                </a:lnTo>
                                <a:lnTo>
                                  <a:pt x="1699" y="480"/>
                                </a:lnTo>
                                <a:lnTo>
                                  <a:pt x="1696" y="488"/>
                                </a:lnTo>
                                <a:lnTo>
                                  <a:pt x="1691" y="494"/>
                                </a:lnTo>
                                <a:lnTo>
                                  <a:pt x="1686" y="500"/>
                                </a:lnTo>
                                <a:lnTo>
                                  <a:pt x="1679" y="503"/>
                                </a:lnTo>
                                <a:lnTo>
                                  <a:pt x="1671" y="503"/>
                                </a:lnTo>
                                <a:lnTo>
                                  <a:pt x="1663" y="503"/>
                                </a:lnTo>
                                <a:lnTo>
                                  <a:pt x="1657" y="500"/>
                                </a:lnTo>
                                <a:lnTo>
                                  <a:pt x="1652" y="494"/>
                                </a:lnTo>
                                <a:lnTo>
                                  <a:pt x="1647" y="488"/>
                                </a:lnTo>
                                <a:lnTo>
                                  <a:pt x="1644" y="480"/>
                                </a:lnTo>
                                <a:lnTo>
                                  <a:pt x="1644" y="468"/>
                                </a:lnTo>
                                <a:close/>
                                <a:moveTo>
                                  <a:pt x="1671" y="446"/>
                                </a:moveTo>
                                <a:lnTo>
                                  <a:pt x="1668" y="446"/>
                                </a:lnTo>
                                <a:lnTo>
                                  <a:pt x="1664" y="447"/>
                                </a:lnTo>
                                <a:lnTo>
                                  <a:pt x="1662" y="451"/>
                                </a:lnTo>
                                <a:lnTo>
                                  <a:pt x="1659" y="454"/>
                                </a:lnTo>
                                <a:lnTo>
                                  <a:pt x="1658" y="460"/>
                                </a:lnTo>
                                <a:lnTo>
                                  <a:pt x="1658" y="469"/>
                                </a:lnTo>
                                <a:lnTo>
                                  <a:pt x="1658" y="478"/>
                                </a:lnTo>
                                <a:lnTo>
                                  <a:pt x="1659" y="484"/>
                                </a:lnTo>
                                <a:lnTo>
                                  <a:pt x="1662" y="487"/>
                                </a:lnTo>
                                <a:lnTo>
                                  <a:pt x="1664" y="490"/>
                                </a:lnTo>
                                <a:lnTo>
                                  <a:pt x="1668" y="492"/>
                                </a:lnTo>
                                <a:lnTo>
                                  <a:pt x="1671" y="492"/>
                                </a:lnTo>
                                <a:lnTo>
                                  <a:pt x="1675" y="492"/>
                                </a:lnTo>
                                <a:lnTo>
                                  <a:pt x="1679" y="490"/>
                                </a:lnTo>
                                <a:lnTo>
                                  <a:pt x="1681" y="487"/>
                                </a:lnTo>
                                <a:lnTo>
                                  <a:pt x="1684" y="483"/>
                                </a:lnTo>
                                <a:lnTo>
                                  <a:pt x="1685" y="477"/>
                                </a:lnTo>
                                <a:lnTo>
                                  <a:pt x="1685" y="468"/>
                                </a:lnTo>
                                <a:lnTo>
                                  <a:pt x="1685" y="460"/>
                                </a:lnTo>
                                <a:lnTo>
                                  <a:pt x="1684" y="454"/>
                                </a:lnTo>
                                <a:lnTo>
                                  <a:pt x="1681" y="451"/>
                                </a:lnTo>
                                <a:lnTo>
                                  <a:pt x="1679" y="447"/>
                                </a:lnTo>
                                <a:lnTo>
                                  <a:pt x="1675" y="446"/>
                                </a:lnTo>
                                <a:lnTo>
                                  <a:pt x="1671" y="446"/>
                                </a:lnTo>
                                <a:close/>
                                <a:moveTo>
                                  <a:pt x="1672" y="571"/>
                                </a:moveTo>
                                <a:lnTo>
                                  <a:pt x="1742" y="435"/>
                                </a:lnTo>
                                <a:lnTo>
                                  <a:pt x="1755" y="435"/>
                                </a:lnTo>
                                <a:lnTo>
                                  <a:pt x="1685" y="571"/>
                                </a:lnTo>
                                <a:lnTo>
                                  <a:pt x="1672" y="571"/>
                                </a:lnTo>
                                <a:close/>
                                <a:moveTo>
                                  <a:pt x="1727" y="536"/>
                                </a:moveTo>
                                <a:lnTo>
                                  <a:pt x="1727" y="526"/>
                                </a:lnTo>
                                <a:lnTo>
                                  <a:pt x="1730" y="518"/>
                                </a:lnTo>
                                <a:lnTo>
                                  <a:pt x="1734" y="512"/>
                                </a:lnTo>
                                <a:lnTo>
                                  <a:pt x="1739" y="506"/>
                                </a:lnTo>
                                <a:lnTo>
                                  <a:pt x="1746" y="502"/>
                                </a:lnTo>
                                <a:lnTo>
                                  <a:pt x="1754" y="502"/>
                                </a:lnTo>
                                <a:lnTo>
                                  <a:pt x="1763" y="502"/>
                                </a:lnTo>
                                <a:lnTo>
                                  <a:pt x="1769" y="505"/>
                                </a:lnTo>
                                <a:lnTo>
                                  <a:pt x="1775" y="511"/>
                                </a:lnTo>
                                <a:lnTo>
                                  <a:pt x="1780" y="517"/>
                                </a:lnTo>
                                <a:lnTo>
                                  <a:pt x="1782" y="525"/>
                                </a:lnTo>
                                <a:lnTo>
                                  <a:pt x="1782" y="537"/>
                                </a:lnTo>
                                <a:lnTo>
                                  <a:pt x="1782" y="547"/>
                                </a:lnTo>
                                <a:lnTo>
                                  <a:pt x="1780" y="556"/>
                                </a:lnTo>
                                <a:lnTo>
                                  <a:pt x="1774" y="562"/>
                                </a:lnTo>
                                <a:lnTo>
                                  <a:pt x="1769" y="568"/>
                                </a:lnTo>
                                <a:lnTo>
                                  <a:pt x="1762" y="571"/>
                                </a:lnTo>
                                <a:lnTo>
                                  <a:pt x="1755" y="571"/>
                                </a:lnTo>
                                <a:lnTo>
                                  <a:pt x="1747" y="571"/>
                                </a:lnTo>
                                <a:lnTo>
                                  <a:pt x="1740" y="568"/>
                                </a:lnTo>
                                <a:lnTo>
                                  <a:pt x="1735" y="562"/>
                                </a:lnTo>
                                <a:lnTo>
                                  <a:pt x="1730" y="556"/>
                                </a:lnTo>
                                <a:lnTo>
                                  <a:pt x="1727" y="547"/>
                                </a:lnTo>
                                <a:lnTo>
                                  <a:pt x="1727" y="536"/>
                                </a:lnTo>
                                <a:close/>
                                <a:moveTo>
                                  <a:pt x="1755" y="513"/>
                                </a:moveTo>
                                <a:lnTo>
                                  <a:pt x="1751" y="513"/>
                                </a:lnTo>
                                <a:lnTo>
                                  <a:pt x="1748" y="515"/>
                                </a:lnTo>
                                <a:lnTo>
                                  <a:pt x="1745" y="518"/>
                                </a:lnTo>
                                <a:lnTo>
                                  <a:pt x="1742" y="522"/>
                                </a:lnTo>
                                <a:lnTo>
                                  <a:pt x="1741" y="528"/>
                                </a:lnTo>
                                <a:lnTo>
                                  <a:pt x="1741" y="537"/>
                                </a:lnTo>
                                <a:lnTo>
                                  <a:pt x="1741" y="545"/>
                                </a:lnTo>
                                <a:lnTo>
                                  <a:pt x="1742" y="551"/>
                                </a:lnTo>
                                <a:lnTo>
                                  <a:pt x="1745" y="555"/>
                                </a:lnTo>
                                <a:lnTo>
                                  <a:pt x="1748" y="558"/>
                                </a:lnTo>
                                <a:lnTo>
                                  <a:pt x="1751" y="560"/>
                                </a:lnTo>
                                <a:lnTo>
                                  <a:pt x="1755" y="560"/>
                                </a:lnTo>
                                <a:lnTo>
                                  <a:pt x="1759" y="560"/>
                                </a:lnTo>
                                <a:lnTo>
                                  <a:pt x="1762" y="558"/>
                                </a:lnTo>
                                <a:lnTo>
                                  <a:pt x="1765" y="555"/>
                                </a:lnTo>
                                <a:lnTo>
                                  <a:pt x="1767" y="551"/>
                                </a:lnTo>
                                <a:lnTo>
                                  <a:pt x="1769" y="545"/>
                                </a:lnTo>
                                <a:lnTo>
                                  <a:pt x="1769" y="536"/>
                                </a:lnTo>
                                <a:lnTo>
                                  <a:pt x="1769" y="528"/>
                                </a:lnTo>
                                <a:lnTo>
                                  <a:pt x="1767" y="522"/>
                                </a:lnTo>
                                <a:lnTo>
                                  <a:pt x="1765" y="518"/>
                                </a:lnTo>
                                <a:lnTo>
                                  <a:pt x="1762" y="515"/>
                                </a:lnTo>
                                <a:lnTo>
                                  <a:pt x="1759" y="513"/>
                                </a:lnTo>
                                <a:lnTo>
                                  <a:pt x="1755" y="513"/>
                                </a:lnTo>
                                <a:close/>
                                <a:moveTo>
                                  <a:pt x="1816" y="604"/>
                                </a:moveTo>
                                <a:lnTo>
                                  <a:pt x="1804" y="604"/>
                                </a:lnTo>
                                <a:lnTo>
                                  <a:pt x="1816" y="583"/>
                                </a:lnTo>
                                <a:lnTo>
                                  <a:pt x="1824" y="561"/>
                                </a:lnTo>
                                <a:lnTo>
                                  <a:pt x="1829" y="540"/>
                                </a:lnTo>
                                <a:lnTo>
                                  <a:pt x="1831" y="519"/>
                                </a:lnTo>
                                <a:lnTo>
                                  <a:pt x="1831" y="508"/>
                                </a:lnTo>
                                <a:lnTo>
                                  <a:pt x="1829" y="497"/>
                                </a:lnTo>
                                <a:lnTo>
                                  <a:pt x="1827" y="486"/>
                                </a:lnTo>
                                <a:lnTo>
                                  <a:pt x="1825" y="478"/>
                                </a:lnTo>
                                <a:lnTo>
                                  <a:pt x="1822" y="469"/>
                                </a:lnTo>
                                <a:lnTo>
                                  <a:pt x="1819" y="461"/>
                                </a:lnTo>
                                <a:lnTo>
                                  <a:pt x="1816" y="456"/>
                                </a:lnTo>
                                <a:lnTo>
                                  <a:pt x="1812" y="447"/>
                                </a:lnTo>
                                <a:lnTo>
                                  <a:pt x="1804" y="435"/>
                                </a:lnTo>
                                <a:lnTo>
                                  <a:pt x="1816" y="435"/>
                                </a:lnTo>
                                <a:lnTo>
                                  <a:pt x="1824" y="446"/>
                                </a:lnTo>
                                <a:lnTo>
                                  <a:pt x="1830" y="457"/>
                                </a:lnTo>
                                <a:lnTo>
                                  <a:pt x="1836" y="468"/>
                                </a:lnTo>
                                <a:lnTo>
                                  <a:pt x="1840" y="479"/>
                                </a:lnTo>
                                <a:lnTo>
                                  <a:pt x="1843" y="489"/>
                                </a:lnTo>
                                <a:lnTo>
                                  <a:pt x="1845" y="499"/>
                                </a:lnTo>
                                <a:lnTo>
                                  <a:pt x="1847" y="509"/>
                                </a:lnTo>
                                <a:lnTo>
                                  <a:pt x="1847" y="519"/>
                                </a:lnTo>
                                <a:lnTo>
                                  <a:pt x="1846" y="531"/>
                                </a:lnTo>
                                <a:lnTo>
                                  <a:pt x="1845" y="542"/>
                                </a:lnTo>
                                <a:lnTo>
                                  <a:pt x="1842" y="554"/>
                                </a:lnTo>
                                <a:lnTo>
                                  <a:pt x="1838" y="565"/>
                                </a:lnTo>
                                <a:lnTo>
                                  <a:pt x="1833" y="576"/>
                                </a:lnTo>
                                <a:lnTo>
                                  <a:pt x="1828" y="586"/>
                                </a:lnTo>
                                <a:lnTo>
                                  <a:pt x="1822" y="595"/>
                                </a:lnTo>
                                <a:lnTo>
                                  <a:pt x="1816" y="604"/>
                                </a:lnTo>
                                <a:close/>
                                <a:moveTo>
                                  <a:pt x="3671" y="1001"/>
                                </a:moveTo>
                                <a:lnTo>
                                  <a:pt x="3671" y="970"/>
                                </a:lnTo>
                                <a:lnTo>
                                  <a:pt x="3615" y="970"/>
                                </a:lnTo>
                                <a:lnTo>
                                  <a:pt x="3615" y="955"/>
                                </a:lnTo>
                                <a:lnTo>
                                  <a:pt x="3674" y="872"/>
                                </a:lnTo>
                                <a:lnTo>
                                  <a:pt x="3687" y="872"/>
                                </a:lnTo>
                                <a:lnTo>
                                  <a:pt x="3687" y="955"/>
                                </a:lnTo>
                                <a:lnTo>
                                  <a:pt x="3704" y="955"/>
                                </a:lnTo>
                                <a:lnTo>
                                  <a:pt x="3704" y="970"/>
                                </a:lnTo>
                                <a:lnTo>
                                  <a:pt x="3687" y="970"/>
                                </a:lnTo>
                                <a:lnTo>
                                  <a:pt x="3687" y="1001"/>
                                </a:lnTo>
                                <a:lnTo>
                                  <a:pt x="3671" y="1001"/>
                                </a:lnTo>
                                <a:close/>
                                <a:moveTo>
                                  <a:pt x="3671" y="955"/>
                                </a:moveTo>
                                <a:lnTo>
                                  <a:pt x="3671" y="897"/>
                                </a:lnTo>
                                <a:lnTo>
                                  <a:pt x="3631" y="955"/>
                                </a:lnTo>
                                <a:lnTo>
                                  <a:pt x="3671" y="955"/>
                                </a:lnTo>
                                <a:close/>
                                <a:moveTo>
                                  <a:pt x="3780" y="1001"/>
                                </a:moveTo>
                                <a:lnTo>
                                  <a:pt x="3764" y="1001"/>
                                </a:lnTo>
                                <a:lnTo>
                                  <a:pt x="3764" y="900"/>
                                </a:lnTo>
                                <a:lnTo>
                                  <a:pt x="3761" y="904"/>
                                </a:lnTo>
                                <a:lnTo>
                                  <a:pt x="3756" y="907"/>
                                </a:lnTo>
                                <a:lnTo>
                                  <a:pt x="3749" y="911"/>
                                </a:lnTo>
                                <a:lnTo>
                                  <a:pt x="3743" y="915"/>
                                </a:lnTo>
                                <a:lnTo>
                                  <a:pt x="3738" y="917"/>
                                </a:lnTo>
                                <a:lnTo>
                                  <a:pt x="3733" y="919"/>
                                </a:lnTo>
                                <a:lnTo>
                                  <a:pt x="3733" y="904"/>
                                </a:lnTo>
                                <a:lnTo>
                                  <a:pt x="3742" y="900"/>
                                </a:lnTo>
                                <a:lnTo>
                                  <a:pt x="3749" y="895"/>
                                </a:lnTo>
                                <a:lnTo>
                                  <a:pt x="3756" y="889"/>
                                </a:lnTo>
                                <a:lnTo>
                                  <a:pt x="3763" y="883"/>
                                </a:lnTo>
                                <a:lnTo>
                                  <a:pt x="3767" y="877"/>
                                </a:lnTo>
                                <a:lnTo>
                                  <a:pt x="3770" y="871"/>
                                </a:lnTo>
                                <a:lnTo>
                                  <a:pt x="3780" y="871"/>
                                </a:lnTo>
                                <a:lnTo>
                                  <a:pt x="3780" y="1001"/>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558261966"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7858" y="3209"/>
                            <a:ext cx="658" cy="214"/>
                          </a:xfrm>
                          <a:prstGeom prst="rect">
                            <a:avLst/>
                          </a:prstGeom>
                          <a:noFill/>
                          <a:ln>
                            <a:noFill/>
                          </a:ln>
                          <a:effectLst/>
                        </pic:spPr>
                      </pic:pic>
                      <wps:wsp>
                        <wps:cNvPr id="417896280" name="AutoShape 39"/>
                        <wps:cNvSpPr/>
                        <wps:spPr bwMode="auto">
                          <a:xfrm>
                            <a:off x="3629" y="3666"/>
                            <a:ext cx="2030" cy="1039"/>
                          </a:xfrm>
                          <a:custGeom>
                            <a:avLst/>
                            <a:gdLst>
                              <a:gd name="T0" fmla="*/ 1222 w 2030"/>
                              <a:gd name="T1" fmla="*/ 3798 h 1039"/>
                              <a:gd name="T2" fmla="*/ 1329 w 2030"/>
                              <a:gd name="T3" fmla="*/ 3704 h 1039"/>
                              <a:gd name="T4" fmla="*/ 1293 w 2030"/>
                              <a:gd name="T5" fmla="*/ 3668 h 1039"/>
                              <a:gd name="T6" fmla="*/ 1292 w 2030"/>
                              <a:gd name="T7" fmla="*/ 3771 h 1039"/>
                              <a:gd name="T8" fmla="*/ 1423 w 2030"/>
                              <a:gd name="T9" fmla="*/ 3711 h 1039"/>
                              <a:gd name="T10" fmla="*/ 1459 w 2030"/>
                              <a:gd name="T11" fmla="*/ 3836 h 1039"/>
                              <a:gd name="T12" fmla="*/ 1532 w 2030"/>
                              <a:gd name="T13" fmla="*/ 3668 h 1039"/>
                              <a:gd name="T14" fmla="*/ 1588 w 2030"/>
                              <a:gd name="T15" fmla="*/ 3731 h 1039"/>
                              <a:gd name="T16" fmla="*/ 1638 w 2030"/>
                              <a:gd name="T17" fmla="*/ 3794 h 1039"/>
                              <a:gd name="T18" fmla="*/ 1628 w 2030"/>
                              <a:gd name="T19" fmla="*/ 3668 h 1039"/>
                              <a:gd name="T20" fmla="*/ 1634 w 2030"/>
                              <a:gd name="T21" fmla="*/ 3779 h 1039"/>
                              <a:gd name="T22" fmla="*/ 1700 w 2030"/>
                              <a:gd name="T23" fmla="*/ 3780 h 1039"/>
                              <a:gd name="T24" fmla="*/ 1787 w 2030"/>
                              <a:gd name="T25" fmla="*/ 3716 h 1039"/>
                              <a:gd name="T26" fmla="*/ 1736 w 2030"/>
                              <a:gd name="T27" fmla="*/ 3678 h 1039"/>
                              <a:gd name="T28" fmla="*/ 1768 w 2030"/>
                              <a:gd name="T29" fmla="*/ 3758 h 1039"/>
                              <a:gd name="T30" fmla="*/ 1878 w 2030"/>
                              <a:gd name="T31" fmla="*/ 3681 h 1039"/>
                              <a:gd name="T32" fmla="*/ 1844 w 2030"/>
                              <a:gd name="T33" fmla="*/ 3683 h 1039"/>
                              <a:gd name="T34" fmla="*/ 1863 w 2030"/>
                              <a:gd name="T35" fmla="*/ 3683 h 1039"/>
                              <a:gd name="T36" fmla="*/ 1957 w 2030"/>
                              <a:gd name="T37" fmla="*/ 3743 h 1039"/>
                              <a:gd name="T38" fmla="*/ 1930 w 2030"/>
                              <a:gd name="T39" fmla="*/ 3747 h 1039"/>
                              <a:gd name="T40" fmla="*/ 1949 w 2030"/>
                              <a:gd name="T41" fmla="*/ 3754 h 1039"/>
                              <a:gd name="T42" fmla="*/ 1994 w 2030"/>
                              <a:gd name="T43" fmla="*/ 3679 h 1039"/>
                              <a:gd name="T44" fmla="*/ 1998 w 2030"/>
                              <a:gd name="T45" fmla="*/ 3836 h 1039"/>
                              <a:gd name="T46" fmla="*/ 79 w 2030"/>
                              <a:gd name="T47" fmla="*/ 4131 h 1039"/>
                              <a:gd name="T48" fmla="*/ 3 w 2030"/>
                              <a:gd name="T49" fmla="*/ 4201 h 1039"/>
                              <a:gd name="T50" fmla="*/ 67 w 2030"/>
                              <a:gd name="T51" fmla="*/ 4155 h 1039"/>
                              <a:gd name="T52" fmla="*/ 163 w 2030"/>
                              <a:gd name="T53" fmla="*/ 4232 h 1039"/>
                              <a:gd name="T54" fmla="*/ 176 w 2030"/>
                              <a:gd name="T55" fmla="*/ 4144 h 1039"/>
                              <a:gd name="T56" fmla="*/ 243 w 2030"/>
                              <a:gd name="T57" fmla="*/ 4103 h 1039"/>
                              <a:gd name="T58" fmla="*/ 282 w 2030"/>
                              <a:gd name="T59" fmla="*/ 4222 h 1039"/>
                              <a:gd name="T60" fmla="*/ 245 w 2030"/>
                              <a:gd name="T61" fmla="*/ 4222 h 1039"/>
                              <a:gd name="T62" fmla="*/ 234 w 2030"/>
                              <a:gd name="T63" fmla="*/ 4126 h 1039"/>
                              <a:gd name="T64" fmla="*/ 368 w 2030"/>
                              <a:gd name="T65" fmla="*/ 4147 h 1039"/>
                              <a:gd name="T66" fmla="*/ 327 w 2030"/>
                              <a:gd name="T67" fmla="*/ 4136 h 1039"/>
                              <a:gd name="T68" fmla="*/ 341 w 2030"/>
                              <a:gd name="T69" fmla="*/ 4113 h 1039"/>
                              <a:gd name="T70" fmla="*/ 452 w 2030"/>
                              <a:gd name="T71" fmla="*/ 4204 h 1039"/>
                              <a:gd name="T72" fmla="*/ 410 w 2030"/>
                              <a:gd name="T73" fmla="*/ 4195 h 1039"/>
                              <a:gd name="T74" fmla="*/ 428 w 2030"/>
                              <a:gd name="T75" fmla="*/ 4180 h 1039"/>
                              <a:gd name="T76" fmla="*/ 493 w 2030"/>
                              <a:gd name="T77" fmla="*/ 4113 h 1039"/>
                              <a:gd name="T78" fmla="*/ 896 w 2030"/>
                              <a:gd name="T79" fmla="*/ 4644 h 1039"/>
                              <a:gd name="T80" fmla="*/ 946 w 2030"/>
                              <a:gd name="T81" fmla="*/ 4610 h 1039"/>
                              <a:gd name="T82" fmla="*/ 897 w 2030"/>
                              <a:gd name="T83" fmla="*/ 4542 h 1039"/>
                              <a:gd name="T84" fmla="*/ 934 w 2030"/>
                              <a:gd name="T85" fmla="*/ 4667 h 1039"/>
                              <a:gd name="T86" fmla="*/ 902 w 2030"/>
                              <a:gd name="T87" fmla="*/ 4560 h 1039"/>
                              <a:gd name="T88" fmla="*/ 1050 w 2030"/>
                              <a:gd name="T89" fmla="*/ 4688 h 1039"/>
                              <a:gd name="T90" fmla="*/ 1059 w 2030"/>
                              <a:gd name="T91" fmla="*/ 4563 h 1039"/>
                              <a:gd name="T92" fmla="*/ 1110 w 2030"/>
                              <a:gd name="T93" fmla="*/ 4582 h 1039"/>
                              <a:gd name="T94" fmla="*/ 1190 w 2030"/>
                              <a:gd name="T95" fmla="*/ 4651 h 1039"/>
                              <a:gd name="T96" fmla="*/ 1222 w 2030"/>
                              <a:gd name="T97" fmla="*/ 4552 h 1039"/>
                              <a:gd name="T98" fmla="*/ 1271 w 2030"/>
                              <a:gd name="T99" fmla="*/ 4574 h 1039"/>
                              <a:gd name="T100" fmla="*/ 1297 w 2030"/>
                              <a:gd name="T101" fmla="*/ 4650 h 1039"/>
                              <a:gd name="T102" fmla="*/ 1397 w 2030"/>
                              <a:gd name="T103" fmla="*/ 4593 h 1039"/>
                              <a:gd name="T104" fmla="*/ 1344 w 2030"/>
                              <a:gd name="T105" fmla="*/ 4554 h 1039"/>
                              <a:gd name="T106" fmla="*/ 1394 w 2030"/>
                              <a:gd name="T107" fmla="*/ 4618 h 1039"/>
                              <a:gd name="T108" fmla="*/ 1488 w 2030"/>
                              <a:gd name="T109" fmla="*/ 4545 h 1039"/>
                              <a:gd name="T110" fmla="*/ 1461 w 2030"/>
                              <a:gd name="T111" fmla="*/ 4549 h 1039"/>
                              <a:gd name="T112" fmla="*/ 1481 w 2030"/>
                              <a:gd name="T113" fmla="*/ 4556 h 1039"/>
                              <a:gd name="T114" fmla="*/ 1566 w 2030"/>
                              <a:gd name="T115" fmla="*/ 4607 h 1039"/>
                              <a:gd name="T116" fmla="*/ 1548 w 2030"/>
                              <a:gd name="T117" fmla="*/ 4615 h 1039"/>
                              <a:gd name="T118" fmla="*/ 1566 w 2030"/>
                              <a:gd name="T119" fmla="*/ 4630 h 1039"/>
                              <a:gd name="T120" fmla="*/ 1613 w 2030"/>
                              <a:gd name="T121" fmla="*/ 4558 h 1039"/>
                              <a:gd name="T122" fmla="*/ 1619 w 2030"/>
                              <a:gd name="T123" fmla="*/ 4697 h 10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030" h="1039">
                                <a:moveTo>
                                  <a:pt x="1222" y="131"/>
                                </a:moveTo>
                                <a:lnTo>
                                  <a:pt x="1206" y="131"/>
                                </a:lnTo>
                                <a:lnTo>
                                  <a:pt x="1206" y="30"/>
                                </a:lnTo>
                                <a:lnTo>
                                  <a:pt x="1202" y="34"/>
                                </a:lnTo>
                                <a:lnTo>
                                  <a:pt x="1197" y="37"/>
                                </a:lnTo>
                                <a:lnTo>
                                  <a:pt x="1191" y="41"/>
                                </a:lnTo>
                                <a:lnTo>
                                  <a:pt x="1185" y="45"/>
                                </a:lnTo>
                                <a:lnTo>
                                  <a:pt x="1180" y="47"/>
                                </a:lnTo>
                                <a:lnTo>
                                  <a:pt x="1175" y="49"/>
                                </a:lnTo>
                                <a:lnTo>
                                  <a:pt x="1175" y="34"/>
                                </a:lnTo>
                                <a:lnTo>
                                  <a:pt x="1183" y="30"/>
                                </a:lnTo>
                                <a:lnTo>
                                  <a:pt x="1191" y="25"/>
                                </a:lnTo>
                                <a:lnTo>
                                  <a:pt x="1198" y="19"/>
                                </a:lnTo>
                                <a:lnTo>
                                  <a:pt x="1204" y="13"/>
                                </a:lnTo>
                                <a:lnTo>
                                  <a:pt x="1209" y="7"/>
                                </a:lnTo>
                                <a:lnTo>
                                  <a:pt x="1212" y="1"/>
                                </a:lnTo>
                                <a:lnTo>
                                  <a:pt x="1222" y="1"/>
                                </a:lnTo>
                                <a:lnTo>
                                  <a:pt x="1222" y="131"/>
                                </a:lnTo>
                                <a:close/>
                                <a:moveTo>
                                  <a:pt x="1346" y="116"/>
                                </a:moveTo>
                                <a:lnTo>
                                  <a:pt x="1346" y="131"/>
                                </a:lnTo>
                                <a:lnTo>
                                  <a:pt x="1261" y="131"/>
                                </a:lnTo>
                                <a:lnTo>
                                  <a:pt x="1260" y="127"/>
                                </a:lnTo>
                                <a:lnTo>
                                  <a:pt x="1261" y="123"/>
                                </a:lnTo>
                                <a:lnTo>
                                  <a:pt x="1262" y="120"/>
                                </a:lnTo>
                                <a:lnTo>
                                  <a:pt x="1265" y="114"/>
                                </a:lnTo>
                                <a:lnTo>
                                  <a:pt x="1268" y="108"/>
                                </a:lnTo>
                                <a:lnTo>
                                  <a:pt x="1273" y="103"/>
                                </a:lnTo>
                                <a:lnTo>
                                  <a:pt x="1278" y="97"/>
                                </a:lnTo>
                                <a:lnTo>
                                  <a:pt x="1284" y="91"/>
                                </a:lnTo>
                                <a:lnTo>
                                  <a:pt x="1294" y="83"/>
                                </a:lnTo>
                                <a:lnTo>
                                  <a:pt x="1308" y="72"/>
                                </a:lnTo>
                                <a:lnTo>
                                  <a:pt x="1317" y="63"/>
                                </a:lnTo>
                                <a:lnTo>
                                  <a:pt x="1322" y="56"/>
                                </a:lnTo>
                                <a:lnTo>
                                  <a:pt x="1327" y="49"/>
                                </a:lnTo>
                                <a:lnTo>
                                  <a:pt x="1329" y="43"/>
                                </a:lnTo>
                                <a:lnTo>
                                  <a:pt x="1329" y="37"/>
                                </a:lnTo>
                                <a:lnTo>
                                  <a:pt x="1329" y="31"/>
                                </a:lnTo>
                                <a:lnTo>
                                  <a:pt x="1327" y="25"/>
                                </a:lnTo>
                                <a:lnTo>
                                  <a:pt x="1323" y="21"/>
                                </a:lnTo>
                                <a:lnTo>
                                  <a:pt x="1318" y="17"/>
                                </a:lnTo>
                                <a:lnTo>
                                  <a:pt x="1312" y="15"/>
                                </a:lnTo>
                                <a:lnTo>
                                  <a:pt x="1305" y="15"/>
                                </a:lnTo>
                                <a:lnTo>
                                  <a:pt x="1297" y="15"/>
                                </a:lnTo>
                                <a:lnTo>
                                  <a:pt x="1291" y="17"/>
                                </a:lnTo>
                                <a:lnTo>
                                  <a:pt x="1287" y="21"/>
                                </a:lnTo>
                                <a:lnTo>
                                  <a:pt x="1282" y="26"/>
                                </a:lnTo>
                                <a:lnTo>
                                  <a:pt x="1280" y="32"/>
                                </a:lnTo>
                                <a:lnTo>
                                  <a:pt x="1280" y="40"/>
                                </a:lnTo>
                                <a:lnTo>
                                  <a:pt x="1264" y="39"/>
                                </a:lnTo>
                                <a:lnTo>
                                  <a:pt x="1265" y="27"/>
                                </a:lnTo>
                                <a:lnTo>
                                  <a:pt x="1269" y="17"/>
                                </a:lnTo>
                                <a:lnTo>
                                  <a:pt x="1276" y="11"/>
                                </a:lnTo>
                                <a:lnTo>
                                  <a:pt x="1283" y="5"/>
                                </a:lnTo>
                                <a:lnTo>
                                  <a:pt x="1293" y="1"/>
                                </a:lnTo>
                                <a:lnTo>
                                  <a:pt x="1305" y="1"/>
                                </a:lnTo>
                                <a:lnTo>
                                  <a:pt x="1318" y="1"/>
                                </a:lnTo>
                                <a:lnTo>
                                  <a:pt x="1328" y="5"/>
                                </a:lnTo>
                                <a:lnTo>
                                  <a:pt x="1335" y="12"/>
                                </a:lnTo>
                                <a:lnTo>
                                  <a:pt x="1342" y="19"/>
                                </a:lnTo>
                                <a:lnTo>
                                  <a:pt x="1346" y="27"/>
                                </a:lnTo>
                                <a:lnTo>
                                  <a:pt x="1346" y="37"/>
                                </a:lnTo>
                                <a:lnTo>
                                  <a:pt x="1346" y="42"/>
                                </a:lnTo>
                                <a:lnTo>
                                  <a:pt x="1344" y="47"/>
                                </a:lnTo>
                                <a:lnTo>
                                  <a:pt x="1342" y="52"/>
                                </a:lnTo>
                                <a:lnTo>
                                  <a:pt x="1340" y="57"/>
                                </a:lnTo>
                                <a:lnTo>
                                  <a:pt x="1337" y="63"/>
                                </a:lnTo>
                                <a:lnTo>
                                  <a:pt x="1332" y="68"/>
                                </a:lnTo>
                                <a:lnTo>
                                  <a:pt x="1327" y="74"/>
                                </a:lnTo>
                                <a:lnTo>
                                  <a:pt x="1319" y="81"/>
                                </a:lnTo>
                                <a:lnTo>
                                  <a:pt x="1307" y="91"/>
                                </a:lnTo>
                                <a:lnTo>
                                  <a:pt x="1298" y="99"/>
                                </a:lnTo>
                                <a:lnTo>
                                  <a:pt x="1292" y="104"/>
                                </a:lnTo>
                                <a:lnTo>
                                  <a:pt x="1289" y="107"/>
                                </a:lnTo>
                                <a:lnTo>
                                  <a:pt x="1287" y="110"/>
                                </a:lnTo>
                                <a:lnTo>
                                  <a:pt x="1284" y="113"/>
                                </a:lnTo>
                                <a:lnTo>
                                  <a:pt x="1283" y="116"/>
                                </a:lnTo>
                                <a:lnTo>
                                  <a:pt x="1346" y="116"/>
                                </a:lnTo>
                                <a:close/>
                                <a:moveTo>
                                  <a:pt x="1447" y="169"/>
                                </a:moveTo>
                                <a:lnTo>
                                  <a:pt x="1441" y="160"/>
                                </a:lnTo>
                                <a:lnTo>
                                  <a:pt x="1435" y="151"/>
                                </a:lnTo>
                                <a:lnTo>
                                  <a:pt x="1430" y="141"/>
                                </a:lnTo>
                                <a:lnTo>
                                  <a:pt x="1425" y="130"/>
                                </a:lnTo>
                                <a:lnTo>
                                  <a:pt x="1421" y="119"/>
                                </a:lnTo>
                                <a:lnTo>
                                  <a:pt x="1418" y="107"/>
                                </a:lnTo>
                                <a:lnTo>
                                  <a:pt x="1417" y="96"/>
                                </a:lnTo>
                                <a:lnTo>
                                  <a:pt x="1416" y="84"/>
                                </a:lnTo>
                                <a:lnTo>
                                  <a:pt x="1417" y="74"/>
                                </a:lnTo>
                                <a:lnTo>
                                  <a:pt x="1418" y="64"/>
                                </a:lnTo>
                                <a:lnTo>
                                  <a:pt x="1420" y="54"/>
                                </a:lnTo>
                                <a:lnTo>
                                  <a:pt x="1423" y="44"/>
                                </a:lnTo>
                                <a:lnTo>
                                  <a:pt x="1427" y="33"/>
                                </a:lnTo>
                                <a:lnTo>
                                  <a:pt x="1433" y="22"/>
                                </a:lnTo>
                                <a:lnTo>
                                  <a:pt x="1440" y="11"/>
                                </a:lnTo>
                                <a:lnTo>
                                  <a:pt x="1447" y="0"/>
                                </a:lnTo>
                                <a:lnTo>
                                  <a:pt x="1459" y="0"/>
                                </a:lnTo>
                                <a:lnTo>
                                  <a:pt x="1452" y="12"/>
                                </a:lnTo>
                                <a:lnTo>
                                  <a:pt x="1447" y="21"/>
                                </a:lnTo>
                                <a:lnTo>
                                  <a:pt x="1445" y="26"/>
                                </a:lnTo>
                                <a:lnTo>
                                  <a:pt x="1441" y="34"/>
                                </a:lnTo>
                                <a:lnTo>
                                  <a:pt x="1438" y="42"/>
                                </a:lnTo>
                                <a:lnTo>
                                  <a:pt x="1436" y="51"/>
                                </a:lnTo>
                                <a:lnTo>
                                  <a:pt x="1434" y="62"/>
                                </a:lnTo>
                                <a:lnTo>
                                  <a:pt x="1432" y="73"/>
                                </a:lnTo>
                                <a:lnTo>
                                  <a:pt x="1432" y="84"/>
                                </a:lnTo>
                                <a:lnTo>
                                  <a:pt x="1434" y="105"/>
                                </a:lnTo>
                                <a:lnTo>
                                  <a:pt x="1439" y="126"/>
                                </a:lnTo>
                                <a:lnTo>
                                  <a:pt x="1447" y="148"/>
                                </a:lnTo>
                                <a:lnTo>
                                  <a:pt x="1459" y="169"/>
                                </a:lnTo>
                                <a:lnTo>
                                  <a:pt x="1447" y="169"/>
                                </a:lnTo>
                                <a:close/>
                                <a:moveTo>
                                  <a:pt x="1532" y="131"/>
                                </a:moveTo>
                                <a:lnTo>
                                  <a:pt x="1516" y="131"/>
                                </a:lnTo>
                                <a:lnTo>
                                  <a:pt x="1516" y="30"/>
                                </a:lnTo>
                                <a:lnTo>
                                  <a:pt x="1513" y="34"/>
                                </a:lnTo>
                                <a:lnTo>
                                  <a:pt x="1508" y="37"/>
                                </a:lnTo>
                                <a:lnTo>
                                  <a:pt x="1501" y="41"/>
                                </a:lnTo>
                                <a:lnTo>
                                  <a:pt x="1495" y="45"/>
                                </a:lnTo>
                                <a:lnTo>
                                  <a:pt x="1490" y="47"/>
                                </a:lnTo>
                                <a:lnTo>
                                  <a:pt x="1485" y="49"/>
                                </a:lnTo>
                                <a:lnTo>
                                  <a:pt x="1485" y="34"/>
                                </a:lnTo>
                                <a:lnTo>
                                  <a:pt x="1494" y="30"/>
                                </a:lnTo>
                                <a:lnTo>
                                  <a:pt x="1501" y="25"/>
                                </a:lnTo>
                                <a:lnTo>
                                  <a:pt x="1508" y="19"/>
                                </a:lnTo>
                                <a:lnTo>
                                  <a:pt x="1515" y="13"/>
                                </a:lnTo>
                                <a:lnTo>
                                  <a:pt x="1519" y="7"/>
                                </a:lnTo>
                                <a:lnTo>
                                  <a:pt x="1522" y="1"/>
                                </a:lnTo>
                                <a:lnTo>
                                  <a:pt x="1532" y="1"/>
                                </a:lnTo>
                                <a:lnTo>
                                  <a:pt x="1532" y="131"/>
                                </a:lnTo>
                                <a:close/>
                                <a:moveTo>
                                  <a:pt x="1655" y="34"/>
                                </a:moveTo>
                                <a:lnTo>
                                  <a:pt x="1639" y="35"/>
                                </a:lnTo>
                                <a:lnTo>
                                  <a:pt x="1638" y="29"/>
                                </a:lnTo>
                                <a:lnTo>
                                  <a:pt x="1636" y="24"/>
                                </a:lnTo>
                                <a:lnTo>
                                  <a:pt x="1633" y="21"/>
                                </a:lnTo>
                                <a:lnTo>
                                  <a:pt x="1629" y="17"/>
                                </a:lnTo>
                                <a:lnTo>
                                  <a:pt x="1624" y="14"/>
                                </a:lnTo>
                                <a:lnTo>
                                  <a:pt x="1617" y="14"/>
                                </a:lnTo>
                                <a:lnTo>
                                  <a:pt x="1612" y="14"/>
                                </a:lnTo>
                                <a:lnTo>
                                  <a:pt x="1608" y="16"/>
                                </a:lnTo>
                                <a:lnTo>
                                  <a:pt x="1604" y="19"/>
                                </a:lnTo>
                                <a:lnTo>
                                  <a:pt x="1599" y="22"/>
                                </a:lnTo>
                                <a:lnTo>
                                  <a:pt x="1595" y="28"/>
                                </a:lnTo>
                                <a:lnTo>
                                  <a:pt x="1592" y="35"/>
                                </a:lnTo>
                                <a:lnTo>
                                  <a:pt x="1589" y="42"/>
                                </a:lnTo>
                                <a:lnTo>
                                  <a:pt x="1588" y="51"/>
                                </a:lnTo>
                                <a:lnTo>
                                  <a:pt x="1588" y="64"/>
                                </a:lnTo>
                                <a:lnTo>
                                  <a:pt x="1592" y="59"/>
                                </a:lnTo>
                                <a:lnTo>
                                  <a:pt x="1596" y="54"/>
                                </a:lnTo>
                                <a:lnTo>
                                  <a:pt x="1602" y="51"/>
                                </a:lnTo>
                                <a:lnTo>
                                  <a:pt x="1607" y="49"/>
                                </a:lnTo>
                                <a:lnTo>
                                  <a:pt x="1613" y="47"/>
                                </a:lnTo>
                                <a:lnTo>
                                  <a:pt x="1619" y="47"/>
                                </a:lnTo>
                                <a:lnTo>
                                  <a:pt x="1630" y="47"/>
                                </a:lnTo>
                                <a:lnTo>
                                  <a:pt x="1639" y="51"/>
                                </a:lnTo>
                                <a:lnTo>
                                  <a:pt x="1646" y="59"/>
                                </a:lnTo>
                                <a:lnTo>
                                  <a:pt x="1653" y="67"/>
                                </a:lnTo>
                                <a:lnTo>
                                  <a:pt x="1657" y="77"/>
                                </a:lnTo>
                                <a:lnTo>
                                  <a:pt x="1657" y="89"/>
                                </a:lnTo>
                                <a:lnTo>
                                  <a:pt x="1657" y="97"/>
                                </a:lnTo>
                                <a:lnTo>
                                  <a:pt x="1655" y="105"/>
                                </a:lnTo>
                                <a:lnTo>
                                  <a:pt x="1652" y="112"/>
                                </a:lnTo>
                                <a:lnTo>
                                  <a:pt x="1648" y="118"/>
                                </a:lnTo>
                                <a:lnTo>
                                  <a:pt x="1644" y="124"/>
                                </a:lnTo>
                                <a:lnTo>
                                  <a:pt x="1638" y="127"/>
                                </a:lnTo>
                                <a:lnTo>
                                  <a:pt x="1631" y="131"/>
                                </a:lnTo>
                                <a:lnTo>
                                  <a:pt x="1625" y="133"/>
                                </a:lnTo>
                                <a:lnTo>
                                  <a:pt x="1617" y="133"/>
                                </a:lnTo>
                                <a:lnTo>
                                  <a:pt x="1604" y="133"/>
                                </a:lnTo>
                                <a:lnTo>
                                  <a:pt x="1593" y="128"/>
                                </a:lnTo>
                                <a:lnTo>
                                  <a:pt x="1585" y="118"/>
                                </a:lnTo>
                                <a:lnTo>
                                  <a:pt x="1579" y="110"/>
                                </a:lnTo>
                                <a:lnTo>
                                  <a:pt x="1575" y="99"/>
                                </a:lnTo>
                                <a:lnTo>
                                  <a:pt x="1573" y="86"/>
                                </a:lnTo>
                                <a:lnTo>
                                  <a:pt x="1572" y="71"/>
                                </a:lnTo>
                                <a:lnTo>
                                  <a:pt x="1573" y="53"/>
                                </a:lnTo>
                                <a:lnTo>
                                  <a:pt x="1575" y="38"/>
                                </a:lnTo>
                                <a:lnTo>
                                  <a:pt x="1580" y="26"/>
                                </a:lnTo>
                                <a:lnTo>
                                  <a:pt x="1586" y="16"/>
                                </a:lnTo>
                                <a:lnTo>
                                  <a:pt x="1594" y="6"/>
                                </a:lnTo>
                                <a:lnTo>
                                  <a:pt x="1605" y="1"/>
                                </a:lnTo>
                                <a:lnTo>
                                  <a:pt x="1618" y="1"/>
                                </a:lnTo>
                                <a:lnTo>
                                  <a:pt x="1628" y="1"/>
                                </a:lnTo>
                                <a:lnTo>
                                  <a:pt x="1637" y="4"/>
                                </a:lnTo>
                                <a:lnTo>
                                  <a:pt x="1643" y="10"/>
                                </a:lnTo>
                                <a:lnTo>
                                  <a:pt x="1650" y="16"/>
                                </a:lnTo>
                                <a:lnTo>
                                  <a:pt x="1654" y="23"/>
                                </a:lnTo>
                                <a:lnTo>
                                  <a:pt x="1655" y="34"/>
                                </a:lnTo>
                                <a:close/>
                                <a:moveTo>
                                  <a:pt x="1590" y="89"/>
                                </a:moveTo>
                                <a:lnTo>
                                  <a:pt x="1590" y="95"/>
                                </a:lnTo>
                                <a:lnTo>
                                  <a:pt x="1591" y="100"/>
                                </a:lnTo>
                                <a:lnTo>
                                  <a:pt x="1594" y="105"/>
                                </a:lnTo>
                                <a:lnTo>
                                  <a:pt x="1596" y="110"/>
                                </a:lnTo>
                                <a:lnTo>
                                  <a:pt x="1599" y="113"/>
                                </a:lnTo>
                                <a:lnTo>
                                  <a:pt x="1603" y="116"/>
                                </a:lnTo>
                                <a:lnTo>
                                  <a:pt x="1608" y="119"/>
                                </a:lnTo>
                                <a:lnTo>
                                  <a:pt x="1612" y="120"/>
                                </a:lnTo>
                                <a:lnTo>
                                  <a:pt x="1617" y="120"/>
                                </a:lnTo>
                                <a:lnTo>
                                  <a:pt x="1623" y="120"/>
                                </a:lnTo>
                                <a:lnTo>
                                  <a:pt x="1629" y="117"/>
                                </a:lnTo>
                                <a:lnTo>
                                  <a:pt x="1634" y="112"/>
                                </a:lnTo>
                                <a:lnTo>
                                  <a:pt x="1639" y="107"/>
                                </a:lnTo>
                                <a:lnTo>
                                  <a:pt x="1641" y="99"/>
                                </a:lnTo>
                                <a:lnTo>
                                  <a:pt x="1641" y="90"/>
                                </a:lnTo>
                                <a:lnTo>
                                  <a:pt x="1641" y="81"/>
                                </a:lnTo>
                                <a:lnTo>
                                  <a:pt x="1639" y="74"/>
                                </a:lnTo>
                                <a:lnTo>
                                  <a:pt x="1634" y="69"/>
                                </a:lnTo>
                                <a:lnTo>
                                  <a:pt x="1629" y="64"/>
                                </a:lnTo>
                                <a:lnTo>
                                  <a:pt x="1623" y="61"/>
                                </a:lnTo>
                                <a:lnTo>
                                  <a:pt x="1616" y="61"/>
                                </a:lnTo>
                                <a:lnTo>
                                  <a:pt x="1609" y="61"/>
                                </a:lnTo>
                                <a:lnTo>
                                  <a:pt x="1603" y="64"/>
                                </a:lnTo>
                                <a:lnTo>
                                  <a:pt x="1598" y="69"/>
                                </a:lnTo>
                                <a:lnTo>
                                  <a:pt x="1593" y="74"/>
                                </a:lnTo>
                                <a:lnTo>
                                  <a:pt x="1590" y="81"/>
                                </a:lnTo>
                                <a:lnTo>
                                  <a:pt x="1590" y="89"/>
                                </a:lnTo>
                                <a:close/>
                                <a:moveTo>
                                  <a:pt x="1682" y="131"/>
                                </a:moveTo>
                                <a:lnTo>
                                  <a:pt x="1682" y="113"/>
                                </a:lnTo>
                                <a:lnTo>
                                  <a:pt x="1700" y="113"/>
                                </a:lnTo>
                                <a:lnTo>
                                  <a:pt x="1700" y="131"/>
                                </a:lnTo>
                                <a:lnTo>
                                  <a:pt x="1682" y="131"/>
                                </a:lnTo>
                                <a:close/>
                                <a:moveTo>
                                  <a:pt x="1806" y="116"/>
                                </a:moveTo>
                                <a:lnTo>
                                  <a:pt x="1806" y="131"/>
                                </a:lnTo>
                                <a:lnTo>
                                  <a:pt x="1721" y="131"/>
                                </a:lnTo>
                                <a:lnTo>
                                  <a:pt x="1721" y="127"/>
                                </a:lnTo>
                                <a:lnTo>
                                  <a:pt x="1721" y="123"/>
                                </a:lnTo>
                                <a:lnTo>
                                  <a:pt x="1723" y="120"/>
                                </a:lnTo>
                                <a:lnTo>
                                  <a:pt x="1725" y="114"/>
                                </a:lnTo>
                                <a:lnTo>
                                  <a:pt x="1728" y="108"/>
                                </a:lnTo>
                                <a:lnTo>
                                  <a:pt x="1733" y="103"/>
                                </a:lnTo>
                                <a:lnTo>
                                  <a:pt x="1738" y="97"/>
                                </a:lnTo>
                                <a:lnTo>
                                  <a:pt x="1745" y="91"/>
                                </a:lnTo>
                                <a:lnTo>
                                  <a:pt x="1754" y="83"/>
                                </a:lnTo>
                                <a:lnTo>
                                  <a:pt x="1768" y="72"/>
                                </a:lnTo>
                                <a:lnTo>
                                  <a:pt x="1777" y="63"/>
                                </a:lnTo>
                                <a:lnTo>
                                  <a:pt x="1782" y="56"/>
                                </a:lnTo>
                                <a:lnTo>
                                  <a:pt x="1787" y="49"/>
                                </a:lnTo>
                                <a:lnTo>
                                  <a:pt x="1790" y="43"/>
                                </a:lnTo>
                                <a:lnTo>
                                  <a:pt x="1790" y="37"/>
                                </a:lnTo>
                                <a:lnTo>
                                  <a:pt x="1790" y="31"/>
                                </a:lnTo>
                                <a:lnTo>
                                  <a:pt x="1787" y="25"/>
                                </a:lnTo>
                                <a:lnTo>
                                  <a:pt x="1783" y="21"/>
                                </a:lnTo>
                                <a:lnTo>
                                  <a:pt x="1778" y="17"/>
                                </a:lnTo>
                                <a:lnTo>
                                  <a:pt x="1773" y="15"/>
                                </a:lnTo>
                                <a:lnTo>
                                  <a:pt x="1765" y="15"/>
                                </a:lnTo>
                                <a:lnTo>
                                  <a:pt x="1758" y="15"/>
                                </a:lnTo>
                                <a:lnTo>
                                  <a:pt x="1752" y="17"/>
                                </a:lnTo>
                                <a:lnTo>
                                  <a:pt x="1747" y="21"/>
                                </a:lnTo>
                                <a:lnTo>
                                  <a:pt x="1742" y="26"/>
                                </a:lnTo>
                                <a:lnTo>
                                  <a:pt x="1740" y="32"/>
                                </a:lnTo>
                                <a:lnTo>
                                  <a:pt x="1740" y="40"/>
                                </a:lnTo>
                                <a:lnTo>
                                  <a:pt x="1724" y="39"/>
                                </a:lnTo>
                                <a:lnTo>
                                  <a:pt x="1725" y="27"/>
                                </a:lnTo>
                                <a:lnTo>
                                  <a:pt x="1729" y="17"/>
                                </a:lnTo>
                                <a:lnTo>
                                  <a:pt x="1736" y="11"/>
                                </a:lnTo>
                                <a:lnTo>
                                  <a:pt x="1744" y="5"/>
                                </a:lnTo>
                                <a:lnTo>
                                  <a:pt x="1753" y="1"/>
                                </a:lnTo>
                                <a:lnTo>
                                  <a:pt x="1766" y="1"/>
                                </a:lnTo>
                                <a:lnTo>
                                  <a:pt x="1778" y="1"/>
                                </a:lnTo>
                                <a:lnTo>
                                  <a:pt x="1788" y="5"/>
                                </a:lnTo>
                                <a:lnTo>
                                  <a:pt x="1795" y="12"/>
                                </a:lnTo>
                                <a:lnTo>
                                  <a:pt x="1802" y="19"/>
                                </a:lnTo>
                                <a:lnTo>
                                  <a:pt x="1806" y="27"/>
                                </a:lnTo>
                                <a:lnTo>
                                  <a:pt x="1806" y="37"/>
                                </a:lnTo>
                                <a:lnTo>
                                  <a:pt x="1806" y="42"/>
                                </a:lnTo>
                                <a:lnTo>
                                  <a:pt x="1805" y="47"/>
                                </a:lnTo>
                                <a:lnTo>
                                  <a:pt x="1803" y="52"/>
                                </a:lnTo>
                                <a:lnTo>
                                  <a:pt x="1801" y="57"/>
                                </a:lnTo>
                                <a:lnTo>
                                  <a:pt x="1797" y="63"/>
                                </a:lnTo>
                                <a:lnTo>
                                  <a:pt x="1792" y="68"/>
                                </a:lnTo>
                                <a:lnTo>
                                  <a:pt x="1787" y="74"/>
                                </a:lnTo>
                                <a:lnTo>
                                  <a:pt x="1779" y="81"/>
                                </a:lnTo>
                                <a:lnTo>
                                  <a:pt x="1768" y="91"/>
                                </a:lnTo>
                                <a:lnTo>
                                  <a:pt x="1758" y="99"/>
                                </a:lnTo>
                                <a:lnTo>
                                  <a:pt x="1752" y="104"/>
                                </a:lnTo>
                                <a:lnTo>
                                  <a:pt x="1749" y="107"/>
                                </a:lnTo>
                                <a:lnTo>
                                  <a:pt x="1747" y="110"/>
                                </a:lnTo>
                                <a:lnTo>
                                  <a:pt x="1745" y="113"/>
                                </a:lnTo>
                                <a:lnTo>
                                  <a:pt x="1743" y="116"/>
                                </a:lnTo>
                                <a:lnTo>
                                  <a:pt x="1806" y="116"/>
                                </a:lnTo>
                                <a:close/>
                                <a:moveTo>
                                  <a:pt x="1826" y="33"/>
                                </a:moveTo>
                                <a:lnTo>
                                  <a:pt x="1826" y="24"/>
                                </a:lnTo>
                                <a:lnTo>
                                  <a:pt x="1828" y="16"/>
                                </a:lnTo>
                                <a:lnTo>
                                  <a:pt x="1833" y="9"/>
                                </a:lnTo>
                                <a:lnTo>
                                  <a:pt x="1838" y="3"/>
                                </a:lnTo>
                                <a:lnTo>
                                  <a:pt x="1844" y="0"/>
                                </a:lnTo>
                                <a:lnTo>
                                  <a:pt x="1853" y="0"/>
                                </a:lnTo>
                                <a:lnTo>
                                  <a:pt x="1861" y="0"/>
                                </a:lnTo>
                                <a:lnTo>
                                  <a:pt x="1868" y="3"/>
                                </a:lnTo>
                                <a:lnTo>
                                  <a:pt x="1873" y="8"/>
                                </a:lnTo>
                                <a:lnTo>
                                  <a:pt x="1878" y="14"/>
                                </a:lnTo>
                                <a:lnTo>
                                  <a:pt x="1881" y="23"/>
                                </a:lnTo>
                                <a:lnTo>
                                  <a:pt x="1881" y="34"/>
                                </a:lnTo>
                                <a:lnTo>
                                  <a:pt x="1881" y="45"/>
                                </a:lnTo>
                                <a:lnTo>
                                  <a:pt x="1878" y="53"/>
                                </a:lnTo>
                                <a:lnTo>
                                  <a:pt x="1873" y="59"/>
                                </a:lnTo>
                                <a:lnTo>
                                  <a:pt x="1868" y="65"/>
                                </a:lnTo>
                                <a:lnTo>
                                  <a:pt x="1861" y="68"/>
                                </a:lnTo>
                                <a:lnTo>
                                  <a:pt x="1853" y="68"/>
                                </a:lnTo>
                                <a:lnTo>
                                  <a:pt x="1845" y="68"/>
                                </a:lnTo>
                                <a:lnTo>
                                  <a:pt x="1839" y="65"/>
                                </a:lnTo>
                                <a:lnTo>
                                  <a:pt x="1834" y="59"/>
                                </a:lnTo>
                                <a:lnTo>
                                  <a:pt x="1829" y="53"/>
                                </a:lnTo>
                                <a:lnTo>
                                  <a:pt x="1826" y="45"/>
                                </a:lnTo>
                                <a:lnTo>
                                  <a:pt x="1826" y="33"/>
                                </a:lnTo>
                                <a:close/>
                                <a:moveTo>
                                  <a:pt x="1853" y="11"/>
                                </a:moveTo>
                                <a:lnTo>
                                  <a:pt x="1850" y="11"/>
                                </a:lnTo>
                                <a:lnTo>
                                  <a:pt x="1846" y="12"/>
                                </a:lnTo>
                                <a:lnTo>
                                  <a:pt x="1844" y="16"/>
                                </a:lnTo>
                                <a:lnTo>
                                  <a:pt x="1841" y="19"/>
                                </a:lnTo>
                                <a:lnTo>
                                  <a:pt x="1840" y="25"/>
                                </a:lnTo>
                                <a:lnTo>
                                  <a:pt x="1840" y="34"/>
                                </a:lnTo>
                                <a:lnTo>
                                  <a:pt x="1840" y="43"/>
                                </a:lnTo>
                                <a:lnTo>
                                  <a:pt x="1841" y="49"/>
                                </a:lnTo>
                                <a:lnTo>
                                  <a:pt x="1844" y="52"/>
                                </a:lnTo>
                                <a:lnTo>
                                  <a:pt x="1846" y="55"/>
                                </a:lnTo>
                                <a:lnTo>
                                  <a:pt x="1850" y="57"/>
                                </a:lnTo>
                                <a:lnTo>
                                  <a:pt x="1853" y="57"/>
                                </a:lnTo>
                                <a:lnTo>
                                  <a:pt x="1857" y="57"/>
                                </a:lnTo>
                                <a:lnTo>
                                  <a:pt x="1861" y="55"/>
                                </a:lnTo>
                                <a:lnTo>
                                  <a:pt x="1863" y="52"/>
                                </a:lnTo>
                                <a:lnTo>
                                  <a:pt x="1866" y="48"/>
                                </a:lnTo>
                                <a:lnTo>
                                  <a:pt x="1867" y="42"/>
                                </a:lnTo>
                                <a:lnTo>
                                  <a:pt x="1867" y="33"/>
                                </a:lnTo>
                                <a:lnTo>
                                  <a:pt x="1867" y="25"/>
                                </a:lnTo>
                                <a:lnTo>
                                  <a:pt x="1866" y="19"/>
                                </a:lnTo>
                                <a:lnTo>
                                  <a:pt x="1863" y="16"/>
                                </a:lnTo>
                                <a:lnTo>
                                  <a:pt x="1861" y="12"/>
                                </a:lnTo>
                                <a:lnTo>
                                  <a:pt x="1857" y="11"/>
                                </a:lnTo>
                                <a:lnTo>
                                  <a:pt x="1853" y="11"/>
                                </a:lnTo>
                                <a:close/>
                                <a:moveTo>
                                  <a:pt x="1854" y="136"/>
                                </a:moveTo>
                                <a:lnTo>
                                  <a:pt x="1924" y="0"/>
                                </a:lnTo>
                                <a:lnTo>
                                  <a:pt x="1937" y="0"/>
                                </a:lnTo>
                                <a:lnTo>
                                  <a:pt x="1867" y="136"/>
                                </a:lnTo>
                                <a:lnTo>
                                  <a:pt x="1854" y="136"/>
                                </a:lnTo>
                                <a:close/>
                                <a:moveTo>
                                  <a:pt x="1909" y="101"/>
                                </a:moveTo>
                                <a:lnTo>
                                  <a:pt x="1909" y="91"/>
                                </a:lnTo>
                                <a:lnTo>
                                  <a:pt x="1912" y="83"/>
                                </a:lnTo>
                                <a:lnTo>
                                  <a:pt x="1916" y="77"/>
                                </a:lnTo>
                                <a:lnTo>
                                  <a:pt x="1921" y="71"/>
                                </a:lnTo>
                                <a:lnTo>
                                  <a:pt x="1928" y="67"/>
                                </a:lnTo>
                                <a:lnTo>
                                  <a:pt x="1936" y="67"/>
                                </a:lnTo>
                                <a:lnTo>
                                  <a:pt x="1945" y="67"/>
                                </a:lnTo>
                                <a:lnTo>
                                  <a:pt x="1951" y="70"/>
                                </a:lnTo>
                                <a:lnTo>
                                  <a:pt x="1957" y="76"/>
                                </a:lnTo>
                                <a:lnTo>
                                  <a:pt x="1962" y="82"/>
                                </a:lnTo>
                                <a:lnTo>
                                  <a:pt x="1964" y="90"/>
                                </a:lnTo>
                                <a:lnTo>
                                  <a:pt x="1964" y="102"/>
                                </a:lnTo>
                                <a:lnTo>
                                  <a:pt x="1964" y="112"/>
                                </a:lnTo>
                                <a:lnTo>
                                  <a:pt x="1962" y="121"/>
                                </a:lnTo>
                                <a:lnTo>
                                  <a:pt x="1956" y="127"/>
                                </a:lnTo>
                                <a:lnTo>
                                  <a:pt x="1951" y="133"/>
                                </a:lnTo>
                                <a:lnTo>
                                  <a:pt x="1944" y="136"/>
                                </a:lnTo>
                                <a:lnTo>
                                  <a:pt x="1937" y="136"/>
                                </a:lnTo>
                                <a:lnTo>
                                  <a:pt x="1929" y="136"/>
                                </a:lnTo>
                                <a:lnTo>
                                  <a:pt x="1922" y="133"/>
                                </a:lnTo>
                                <a:lnTo>
                                  <a:pt x="1917" y="127"/>
                                </a:lnTo>
                                <a:lnTo>
                                  <a:pt x="1912" y="121"/>
                                </a:lnTo>
                                <a:lnTo>
                                  <a:pt x="1909" y="112"/>
                                </a:lnTo>
                                <a:lnTo>
                                  <a:pt x="1909" y="101"/>
                                </a:lnTo>
                                <a:close/>
                                <a:moveTo>
                                  <a:pt x="1937" y="78"/>
                                </a:moveTo>
                                <a:lnTo>
                                  <a:pt x="1933" y="78"/>
                                </a:lnTo>
                                <a:lnTo>
                                  <a:pt x="1930" y="80"/>
                                </a:lnTo>
                                <a:lnTo>
                                  <a:pt x="1927" y="83"/>
                                </a:lnTo>
                                <a:lnTo>
                                  <a:pt x="1924" y="87"/>
                                </a:lnTo>
                                <a:lnTo>
                                  <a:pt x="1923" y="93"/>
                                </a:lnTo>
                                <a:lnTo>
                                  <a:pt x="1923" y="102"/>
                                </a:lnTo>
                                <a:lnTo>
                                  <a:pt x="1923" y="110"/>
                                </a:lnTo>
                                <a:lnTo>
                                  <a:pt x="1924" y="116"/>
                                </a:lnTo>
                                <a:lnTo>
                                  <a:pt x="1927" y="120"/>
                                </a:lnTo>
                                <a:lnTo>
                                  <a:pt x="1930" y="123"/>
                                </a:lnTo>
                                <a:lnTo>
                                  <a:pt x="1933" y="125"/>
                                </a:lnTo>
                                <a:lnTo>
                                  <a:pt x="1937" y="125"/>
                                </a:lnTo>
                                <a:lnTo>
                                  <a:pt x="1941" y="125"/>
                                </a:lnTo>
                                <a:lnTo>
                                  <a:pt x="1944" y="123"/>
                                </a:lnTo>
                                <a:lnTo>
                                  <a:pt x="1947" y="120"/>
                                </a:lnTo>
                                <a:lnTo>
                                  <a:pt x="1949" y="116"/>
                                </a:lnTo>
                                <a:lnTo>
                                  <a:pt x="1951" y="110"/>
                                </a:lnTo>
                                <a:lnTo>
                                  <a:pt x="1951" y="101"/>
                                </a:lnTo>
                                <a:lnTo>
                                  <a:pt x="1951" y="93"/>
                                </a:lnTo>
                                <a:lnTo>
                                  <a:pt x="1949" y="87"/>
                                </a:lnTo>
                                <a:lnTo>
                                  <a:pt x="1947" y="83"/>
                                </a:lnTo>
                                <a:lnTo>
                                  <a:pt x="1944" y="80"/>
                                </a:lnTo>
                                <a:lnTo>
                                  <a:pt x="1941" y="78"/>
                                </a:lnTo>
                                <a:lnTo>
                                  <a:pt x="1937" y="78"/>
                                </a:lnTo>
                                <a:close/>
                                <a:moveTo>
                                  <a:pt x="1998" y="169"/>
                                </a:moveTo>
                                <a:lnTo>
                                  <a:pt x="1986" y="169"/>
                                </a:lnTo>
                                <a:lnTo>
                                  <a:pt x="1998" y="148"/>
                                </a:lnTo>
                                <a:lnTo>
                                  <a:pt x="2006" y="126"/>
                                </a:lnTo>
                                <a:lnTo>
                                  <a:pt x="2011" y="105"/>
                                </a:lnTo>
                                <a:lnTo>
                                  <a:pt x="2013" y="84"/>
                                </a:lnTo>
                                <a:lnTo>
                                  <a:pt x="2013" y="73"/>
                                </a:lnTo>
                                <a:lnTo>
                                  <a:pt x="2011" y="62"/>
                                </a:lnTo>
                                <a:lnTo>
                                  <a:pt x="2009" y="51"/>
                                </a:lnTo>
                                <a:lnTo>
                                  <a:pt x="2007" y="43"/>
                                </a:lnTo>
                                <a:lnTo>
                                  <a:pt x="2004" y="34"/>
                                </a:lnTo>
                                <a:lnTo>
                                  <a:pt x="2001" y="26"/>
                                </a:lnTo>
                                <a:lnTo>
                                  <a:pt x="1998" y="21"/>
                                </a:lnTo>
                                <a:lnTo>
                                  <a:pt x="1994" y="12"/>
                                </a:lnTo>
                                <a:lnTo>
                                  <a:pt x="1986" y="0"/>
                                </a:lnTo>
                                <a:lnTo>
                                  <a:pt x="1998" y="0"/>
                                </a:lnTo>
                                <a:lnTo>
                                  <a:pt x="2006" y="11"/>
                                </a:lnTo>
                                <a:lnTo>
                                  <a:pt x="2012" y="22"/>
                                </a:lnTo>
                                <a:lnTo>
                                  <a:pt x="2018" y="33"/>
                                </a:lnTo>
                                <a:lnTo>
                                  <a:pt x="2022" y="44"/>
                                </a:lnTo>
                                <a:lnTo>
                                  <a:pt x="2025" y="54"/>
                                </a:lnTo>
                                <a:lnTo>
                                  <a:pt x="2027" y="64"/>
                                </a:lnTo>
                                <a:lnTo>
                                  <a:pt x="2029" y="74"/>
                                </a:lnTo>
                                <a:lnTo>
                                  <a:pt x="2029" y="84"/>
                                </a:lnTo>
                                <a:lnTo>
                                  <a:pt x="2028" y="96"/>
                                </a:lnTo>
                                <a:lnTo>
                                  <a:pt x="2027" y="107"/>
                                </a:lnTo>
                                <a:lnTo>
                                  <a:pt x="2024" y="119"/>
                                </a:lnTo>
                                <a:lnTo>
                                  <a:pt x="2020" y="130"/>
                                </a:lnTo>
                                <a:lnTo>
                                  <a:pt x="2015" y="141"/>
                                </a:lnTo>
                                <a:lnTo>
                                  <a:pt x="2010" y="151"/>
                                </a:lnTo>
                                <a:lnTo>
                                  <a:pt x="2004" y="160"/>
                                </a:lnTo>
                                <a:lnTo>
                                  <a:pt x="1998" y="169"/>
                                </a:lnTo>
                                <a:close/>
                                <a:moveTo>
                                  <a:pt x="0" y="502"/>
                                </a:moveTo>
                                <a:lnTo>
                                  <a:pt x="0" y="487"/>
                                </a:lnTo>
                                <a:lnTo>
                                  <a:pt x="2" y="475"/>
                                </a:lnTo>
                                <a:lnTo>
                                  <a:pt x="5" y="465"/>
                                </a:lnTo>
                                <a:lnTo>
                                  <a:pt x="8" y="456"/>
                                </a:lnTo>
                                <a:lnTo>
                                  <a:pt x="12" y="449"/>
                                </a:lnTo>
                                <a:lnTo>
                                  <a:pt x="19" y="444"/>
                                </a:lnTo>
                                <a:lnTo>
                                  <a:pt x="25" y="439"/>
                                </a:lnTo>
                                <a:lnTo>
                                  <a:pt x="33" y="436"/>
                                </a:lnTo>
                                <a:lnTo>
                                  <a:pt x="42" y="436"/>
                                </a:lnTo>
                                <a:lnTo>
                                  <a:pt x="49" y="436"/>
                                </a:lnTo>
                                <a:lnTo>
                                  <a:pt x="55" y="438"/>
                                </a:lnTo>
                                <a:lnTo>
                                  <a:pt x="60" y="441"/>
                                </a:lnTo>
                                <a:lnTo>
                                  <a:pt x="65" y="443"/>
                                </a:lnTo>
                                <a:lnTo>
                                  <a:pt x="70" y="447"/>
                                </a:lnTo>
                                <a:lnTo>
                                  <a:pt x="73" y="453"/>
                                </a:lnTo>
                                <a:lnTo>
                                  <a:pt x="76" y="458"/>
                                </a:lnTo>
                                <a:lnTo>
                                  <a:pt x="79" y="464"/>
                                </a:lnTo>
                                <a:lnTo>
                                  <a:pt x="81" y="472"/>
                                </a:lnTo>
                                <a:lnTo>
                                  <a:pt x="83" y="479"/>
                                </a:lnTo>
                                <a:lnTo>
                                  <a:pt x="84" y="489"/>
                                </a:lnTo>
                                <a:lnTo>
                                  <a:pt x="84" y="502"/>
                                </a:lnTo>
                                <a:lnTo>
                                  <a:pt x="84" y="517"/>
                                </a:lnTo>
                                <a:lnTo>
                                  <a:pt x="82" y="530"/>
                                </a:lnTo>
                                <a:lnTo>
                                  <a:pt x="79" y="539"/>
                                </a:lnTo>
                                <a:lnTo>
                                  <a:pt x="76" y="548"/>
                                </a:lnTo>
                                <a:lnTo>
                                  <a:pt x="72" y="555"/>
                                </a:lnTo>
                                <a:lnTo>
                                  <a:pt x="65" y="560"/>
                                </a:lnTo>
                                <a:lnTo>
                                  <a:pt x="59" y="565"/>
                                </a:lnTo>
                                <a:lnTo>
                                  <a:pt x="51" y="568"/>
                                </a:lnTo>
                                <a:lnTo>
                                  <a:pt x="42" y="568"/>
                                </a:lnTo>
                                <a:lnTo>
                                  <a:pt x="30" y="568"/>
                                </a:lnTo>
                                <a:lnTo>
                                  <a:pt x="20" y="564"/>
                                </a:lnTo>
                                <a:lnTo>
                                  <a:pt x="13" y="555"/>
                                </a:lnTo>
                                <a:lnTo>
                                  <a:pt x="7" y="545"/>
                                </a:lnTo>
                                <a:lnTo>
                                  <a:pt x="3" y="534"/>
                                </a:lnTo>
                                <a:lnTo>
                                  <a:pt x="1" y="519"/>
                                </a:lnTo>
                                <a:lnTo>
                                  <a:pt x="0" y="502"/>
                                </a:lnTo>
                                <a:close/>
                                <a:moveTo>
                                  <a:pt x="16" y="502"/>
                                </a:moveTo>
                                <a:lnTo>
                                  <a:pt x="17" y="517"/>
                                </a:lnTo>
                                <a:lnTo>
                                  <a:pt x="18" y="529"/>
                                </a:lnTo>
                                <a:lnTo>
                                  <a:pt x="20" y="538"/>
                                </a:lnTo>
                                <a:lnTo>
                                  <a:pt x="24" y="544"/>
                                </a:lnTo>
                                <a:lnTo>
                                  <a:pt x="29" y="552"/>
                                </a:lnTo>
                                <a:lnTo>
                                  <a:pt x="35" y="555"/>
                                </a:lnTo>
                                <a:lnTo>
                                  <a:pt x="42" y="555"/>
                                </a:lnTo>
                                <a:lnTo>
                                  <a:pt x="49" y="555"/>
                                </a:lnTo>
                                <a:lnTo>
                                  <a:pt x="55" y="551"/>
                                </a:lnTo>
                                <a:lnTo>
                                  <a:pt x="60" y="544"/>
                                </a:lnTo>
                                <a:lnTo>
                                  <a:pt x="64" y="538"/>
                                </a:lnTo>
                                <a:lnTo>
                                  <a:pt x="66" y="529"/>
                                </a:lnTo>
                                <a:lnTo>
                                  <a:pt x="67" y="517"/>
                                </a:lnTo>
                                <a:lnTo>
                                  <a:pt x="68" y="502"/>
                                </a:lnTo>
                                <a:lnTo>
                                  <a:pt x="67" y="488"/>
                                </a:lnTo>
                                <a:lnTo>
                                  <a:pt x="66" y="476"/>
                                </a:lnTo>
                                <a:lnTo>
                                  <a:pt x="64" y="467"/>
                                </a:lnTo>
                                <a:lnTo>
                                  <a:pt x="60" y="460"/>
                                </a:lnTo>
                                <a:lnTo>
                                  <a:pt x="55" y="453"/>
                                </a:lnTo>
                                <a:lnTo>
                                  <a:pt x="49" y="450"/>
                                </a:lnTo>
                                <a:lnTo>
                                  <a:pt x="42" y="450"/>
                                </a:lnTo>
                                <a:lnTo>
                                  <a:pt x="35" y="450"/>
                                </a:lnTo>
                                <a:lnTo>
                                  <a:pt x="29" y="453"/>
                                </a:lnTo>
                                <a:lnTo>
                                  <a:pt x="24" y="459"/>
                                </a:lnTo>
                                <a:lnTo>
                                  <a:pt x="21" y="466"/>
                                </a:lnTo>
                                <a:lnTo>
                                  <a:pt x="18" y="476"/>
                                </a:lnTo>
                                <a:lnTo>
                                  <a:pt x="17" y="488"/>
                                </a:lnTo>
                                <a:lnTo>
                                  <a:pt x="16" y="502"/>
                                </a:lnTo>
                                <a:close/>
                                <a:moveTo>
                                  <a:pt x="185" y="604"/>
                                </a:moveTo>
                                <a:lnTo>
                                  <a:pt x="178" y="595"/>
                                </a:lnTo>
                                <a:lnTo>
                                  <a:pt x="173" y="586"/>
                                </a:lnTo>
                                <a:lnTo>
                                  <a:pt x="167" y="576"/>
                                </a:lnTo>
                                <a:lnTo>
                                  <a:pt x="163" y="565"/>
                                </a:lnTo>
                                <a:lnTo>
                                  <a:pt x="159" y="554"/>
                                </a:lnTo>
                                <a:lnTo>
                                  <a:pt x="156" y="542"/>
                                </a:lnTo>
                                <a:lnTo>
                                  <a:pt x="154" y="531"/>
                                </a:lnTo>
                                <a:lnTo>
                                  <a:pt x="154" y="519"/>
                                </a:lnTo>
                                <a:lnTo>
                                  <a:pt x="154" y="509"/>
                                </a:lnTo>
                                <a:lnTo>
                                  <a:pt x="155" y="499"/>
                                </a:lnTo>
                                <a:lnTo>
                                  <a:pt x="157" y="489"/>
                                </a:lnTo>
                                <a:lnTo>
                                  <a:pt x="160" y="479"/>
                                </a:lnTo>
                                <a:lnTo>
                                  <a:pt x="165" y="468"/>
                                </a:lnTo>
                                <a:lnTo>
                                  <a:pt x="170" y="457"/>
                                </a:lnTo>
                                <a:lnTo>
                                  <a:pt x="177" y="446"/>
                                </a:lnTo>
                                <a:lnTo>
                                  <a:pt x="185" y="435"/>
                                </a:lnTo>
                                <a:lnTo>
                                  <a:pt x="196" y="435"/>
                                </a:lnTo>
                                <a:lnTo>
                                  <a:pt x="189" y="447"/>
                                </a:lnTo>
                                <a:lnTo>
                                  <a:pt x="184" y="456"/>
                                </a:lnTo>
                                <a:lnTo>
                                  <a:pt x="182" y="461"/>
                                </a:lnTo>
                                <a:lnTo>
                                  <a:pt x="178" y="469"/>
                                </a:lnTo>
                                <a:lnTo>
                                  <a:pt x="176" y="477"/>
                                </a:lnTo>
                                <a:lnTo>
                                  <a:pt x="174" y="486"/>
                                </a:lnTo>
                                <a:lnTo>
                                  <a:pt x="171" y="497"/>
                                </a:lnTo>
                                <a:lnTo>
                                  <a:pt x="170" y="508"/>
                                </a:lnTo>
                                <a:lnTo>
                                  <a:pt x="170" y="519"/>
                                </a:lnTo>
                                <a:lnTo>
                                  <a:pt x="171" y="540"/>
                                </a:lnTo>
                                <a:lnTo>
                                  <a:pt x="176" y="561"/>
                                </a:lnTo>
                                <a:lnTo>
                                  <a:pt x="185" y="583"/>
                                </a:lnTo>
                                <a:lnTo>
                                  <a:pt x="196" y="604"/>
                                </a:lnTo>
                                <a:lnTo>
                                  <a:pt x="185" y="604"/>
                                </a:lnTo>
                                <a:close/>
                                <a:moveTo>
                                  <a:pt x="210" y="502"/>
                                </a:moveTo>
                                <a:lnTo>
                                  <a:pt x="210" y="487"/>
                                </a:lnTo>
                                <a:lnTo>
                                  <a:pt x="212" y="475"/>
                                </a:lnTo>
                                <a:lnTo>
                                  <a:pt x="215" y="465"/>
                                </a:lnTo>
                                <a:lnTo>
                                  <a:pt x="218" y="456"/>
                                </a:lnTo>
                                <a:lnTo>
                                  <a:pt x="223" y="449"/>
                                </a:lnTo>
                                <a:lnTo>
                                  <a:pt x="229" y="444"/>
                                </a:lnTo>
                                <a:lnTo>
                                  <a:pt x="235" y="439"/>
                                </a:lnTo>
                                <a:lnTo>
                                  <a:pt x="243" y="436"/>
                                </a:lnTo>
                                <a:lnTo>
                                  <a:pt x="252" y="436"/>
                                </a:lnTo>
                                <a:lnTo>
                                  <a:pt x="259" y="436"/>
                                </a:lnTo>
                                <a:lnTo>
                                  <a:pt x="265" y="438"/>
                                </a:lnTo>
                                <a:lnTo>
                                  <a:pt x="270" y="441"/>
                                </a:lnTo>
                                <a:lnTo>
                                  <a:pt x="275" y="443"/>
                                </a:lnTo>
                                <a:lnTo>
                                  <a:pt x="280" y="447"/>
                                </a:lnTo>
                                <a:lnTo>
                                  <a:pt x="283" y="453"/>
                                </a:lnTo>
                                <a:lnTo>
                                  <a:pt x="287" y="458"/>
                                </a:lnTo>
                                <a:lnTo>
                                  <a:pt x="289" y="464"/>
                                </a:lnTo>
                                <a:lnTo>
                                  <a:pt x="291" y="472"/>
                                </a:lnTo>
                                <a:lnTo>
                                  <a:pt x="293" y="479"/>
                                </a:lnTo>
                                <a:lnTo>
                                  <a:pt x="294" y="489"/>
                                </a:lnTo>
                                <a:lnTo>
                                  <a:pt x="294" y="502"/>
                                </a:lnTo>
                                <a:lnTo>
                                  <a:pt x="294" y="517"/>
                                </a:lnTo>
                                <a:lnTo>
                                  <a:pt x="292" y="530"/>
                                </a:lnTo>
                                <a:lnTo>
                                  <a:pt x="289" y="539"/>
                                </a:lnTo>
                                <a:lnTo>
                                  <a:pt x="286" y="548"/>
                                </a:lnTo>
                                <a:lnTo>
                                  <a:pt x="282" y="555"/>
                                </a:lnTo>
                                <a:lnTo>
                                  <a:pt x="275" y="560"/>
                                </a:lnTo>
                                <a:lnTo>
                                  <a:pt x="269" y="565"/>
                                </a:lnTo>
                                <a:lnTo>
                                  <a:pt x="261" y="568"/>
                                </a:lnTo>
                                <a:lnTo>
                                  <a:pt x="252" y="568"/>
                                </a:lnTo>
                                <a:lnTo>
                                  <a:pt x="240" y="568"/>
                                </a:lnTo>
                                <a:lnTo>
                                  <a:pt x="230" y="564"/>
                                </a:lnTo>
                                <a:lnTo>
                                  <a:pt x="223" y="555"/>
                                </a:lnTo>
                                <a:lnTo>
                                  <a:pt x="217" y="545"/>
                                </a:lnTo>
                                <a:lnTo>
                                  <a:pt x="213" y="534"/>
                                </a:lnTo>
                                <a:lnTo>
                                  <a:pt x="211" y="519"/>
                                </a:lnTo>
                                <a:lnTo>
                                  <a:pt x="210" y="502"/>
                                </a:lnTo>
                                <a:close/>
                                <a:moveTo>
                                  <a:pt x="226" y="502"/>
                                </a:moveTo>
                                <a:lnTo>
                                  <a:pt x="227" y="517"/>
                                </a:lnTo>
                                <a:lnTo>
                                  <a:pt x="228" y="529"/>
                                </a:lnTo>
                                <a:lnTo>
                                  <a:pt x="230" y="538"/>
                                </a:lnTo>
                                <a:lnTo>
                                  <a:pt x="234" y="544"/>
                                </a:lnTo>
                                <a:lnTo>
                                  <a:pt x="239" y="552"/>
                                </a:lnTo>
                                <a:lnTo>
                                  <a:pt x="245" y="555"/>
                                </a:lnTo>
                                <a:lnTo>
                                  <a:pt x="252" y="555"/>
                                </a:lnTo>
                                <a:lnTo>
                                  <a:pt x="259" y="555"/>
                                </a:lnTo>
                                <a:lnTo>
                                  <a:pt x="265" y="551"/>
                                </a:lnTo>
                                <a:lnTo>
                                  <a:pt x="270" y="544"/>
                                </a:lnTo>
                                <a:lnTo>
                                  <a:pt x="274" y="538"/>
                                </a:lnTo>
                                <a:lnTo>
                                  <a:pt x="276" y="529"/>
                                </a:lnTo>
                                <a:lnTo>
                                  <a:pt x="277" y="517"/>
                                </a:lnTo>
                                <a:lnTo>
                                  <a:pt x="278" y="502"/>
                                </a:lnTo>
                                <a:lnTo>
                                  <a:pt x="277" y="488"/>
                                </a:lnTo>
                                <a:lnTo>
                                  <a:pt x="276" y="476"/>
                                </a:lnTo>
                                <a:lnTo>
                                  <a:pt x="274" y="467"/>
                                </a:lnTo>
                                <a:lnTo>
                                  <a:pt x="270" y="460"/>
                                </a:lnTo>
                                <a:lnTo>
                                  <a:pt x="265" y="453"/>
                                </a:lnTo>
                                <a:lnTo>
                                  <a:pt x="259" y="450"/>
                                </a:lnTo>
                                <a:lnTo>
                                  <a:pt x="252" y="450"/>
                                </a:lnTo>
                                <a:lnTo>
                                  <a:pt x="245" y="450"/>
                                </a:lnTo>
                                <a:lnTo>
                                  <a:pt x="239" y="453"/>
                                </a:lnTo>
                                <a:lnTo>
                                  <a:pt x="234" y="459"/>
                                </a:lnTo>
                                <a:lnTo>
                                  <a:pt x="231" y="466"/>
                                </a:lnTo>
                                <a:lnTo>
                                  <a:pt x="228" y="476"/>
                                </a:lnTo>
                                <a:lnTo>
                                  <a:pt x="227" y="488"/>
                                </a:lnTo>
                                <a:lnTo>
                                  <a:pt x="226" y="502"/>
                                </a:lnTo>
                                <a:close/>
                                <a:moveTo>
                                  <a:pt x="313" y="468"/>
                                </a:moveTo>
                                <a:lnTo>
                                  <a:pt x="313" y="459"/>
                                </a:lnTo>
                                <a:lnTo>
                                  <a:pt x="315" y="451"/>
                                </a:lnTo>
                                <a:lnTo>
                                  <a:pt x="320" y="444"/>
                                </a:lnTo>
                                <a:lnTo>
                                  <a:pt x="325" y="438"/>
                                </a:lnTo>
                                <a:lnTo>
                                  <a:pt x="331" y="435"/>
                                </a:lnTo>
                                <a:lnTo>
                                  <a:pt x="340" y="435"/>
                                </a:lnTo>
                                <a:lnTo>
                                  <a:pt x="348" y="435"/>
                                </a:lnTo>
                                <a:lnTo>
                                  <a:pt x="355" y="438"/>
                                </a:lnTo>
                                <a:lnTo>
                                  <a:pt x="360" y="443"/>
                                </a:lnTo>
                                <a:lnTo>
                                  <a:pt x="366" y="449"/>
                                </a:lnTo>
                                <a:lnTo>
                                  <a:pt x="368" y="458"/>
                                </a:lnTo>
                                <a:lnTo>
                                  <a:pt x="368" y="469"/>
                                </a:lnTo>
                                <a:lnTo>
                                  <a:pt x="368" y="480"/>
                                </a:lnTo>
                                <a:lnTo>
                                  <a:pt x="366" y="488"/>
                                </a:lnTo>
                                <a:lnTo>
                                  <a:pt x="360" y="494"/>
                                </a:lnTo>
                                <a:lnTo>
                                  <a:pt x="355" y="500"/>
                                </a:lnTo>
                                <a:lnTo>
                                  <a:pt x="348" y="503"/>
                                </a:lnTo>
                                <a:lnTo>
                                  <a:pt x="340" y="503"/>
                                </a:lnTo>
                                <a:lnTo>
                                  <a:pt x="333" y="503"/>
                                </a:lnTo>
                                <a:lnTo>
                                  <a:pt x="326" y="500"/>
                                </a:lnTo>
                                <a:lnTo>
                                  <a:pt x="321" y="494"/>
                                </a:lnTo>
                                <a:lnTo>
                                  <a:pt x="316" y="488"/>
                                </a:lnTo>
                                <a:lnTo>
                                  <a:pt x="313" y="480"/>
                                </a:lnTo>
                                <a:lnTo>
                                  <a:pt x="313" y="468"/>
                                </a:lnTo>
                                <a:close/>
                                <a:moveTo>
                                  <a:pt x="341" y="446"/>
                                </a:moveTo>
                                <a:lnTo>
                                  <a:pt x="337" y="446"/>
                                </a:lnTo>
                                <a:lnTo>
                                  <a:pt x="333" y="447"/>
                                </a:lnTo>
                                <a:lnTo>
                                  <a:pt x="331" y="451"/>
                                </a:lnTo>
                                <a:lnTo>
                                  <a:pt x="328" y="454"/>
                                </a:lnTo>
                                <a:lnTo>
                                  <a:pt x="327" y="460"/>
                                </a:lnTo>
                                <a:lnTo>
                                  <a:pt x="327" y="469"/>
                                </a:lnTo>
                                <a:lnTo>
                                  <a:pt x="327" y="478"/>
                                </a:lnTo>
                                <a:lnTo>
                                  <a:pt x="328" y="484"/>
                                </a:lnTo>
                                <a:lnTo>
                                  <a:pt x="331" y="487"/>
                                </a:lnTo>
                                <a:lnTo>
                                  <a:pt x="334" y="490"/>
                                </a:lnTo>
                                <a:lnTo>
                                  <a:pt x="337" y="492"/>
                                </a:lnTo>
                                <a:lnTo>
                                  <a:pt x="341" y="492"/>
                                </a:lnTo>
                                <a:lnTo>
                                  <a:pt x="345" y="492"/>
                                </a:lnTo>
                                <a:lnTo>
                                  <a:pt x="348" y="490"/>
                                </a:lnTo>
                                <a:lnTo>
                                  <a:pt x="351" y="487"/>
                                </a:lnTo>
                                <a:lnTo>
                                  <a:pt x="353" y="483"/>
                                </a:lnTo>
                                <a:lnTo>
                                  <a:pt x="354" y="477"/>
                                </a:lnTo>
                                <a:lnTo>
                                  <a:pt x="354" y="468"/>
                                </a:lnTo>
                                <a:lnTo>
                                  <a:pt x="354" y="460"/>
                                </a:lnTo>
                                <a:lnTo>
                                  <a:pt x="353" y="454"/>
                                </a:lnTo>
                                <a:lnTo>
                                  <a:pt x="350" y="451"/>
                                </a:lnTo>
                                <a:lnTo>
                                  <a:pt x="348" y="447"/>
                                </a:lnTo>
                                <a:lnTo>
                                  <a:pt x="345" y="446"/>
                                </a:lnTo>
                                <a:lnTo>
                                  <a:pt x="341" y="446"/>
                                </a:lnTo>
                                <a:close/>
                                <a:moveTo>
                                  <a:pt x="341" y="571"/>
                                </a:moveTo>
                                <a:lnTo>
                                  <a:pt x="411" y="435"/>
                                </a:lnTo>
                                <a:lnTo>
                                  <a:pt x="424" y="435"/>
                                </a:lnTo>
                                <a:lnTo>
                                  <a:pt x="354" y="571"/>
                                </a:lnTo>
                                <a:lnTo>
                                  <a:pt x="341" y="571"/>
                                </a:lnTo>
                                <a:close/>
                                <a:moveTo>
                                  <a:pt x="396" y="536"/>
                                </a:moveTo>
                                <a:lnTo>
                                  <a:pt x="396" y="526"/>
                                </a:lnTo>
                                <a:lnTo>
                                  <a:pt x="399" y="518"/>
                                </a:lnTo>
                                <a:lnTo>
                                  <a:pt x="403" y="512"/>
                                </a:lnTo>
                                <a:lnTo>
                                  <a:pt x="408" y="506"/>
                                </a:lnTo>
                                <a:lnTo>
                                  <a:pt x="415" y="502"/>
                                </a:lnTo>
                                <a:lnTo>
                                  <a:pt x="424" y="502"/>
                                </a:lnTo>
                                <a:lnTo>
                                  <a:pt x="432" y="502"/>
                                </a:lnTo>
                                <a:lnTo>
                                  <a:pt x="438" y="505"/>
                                </a:lnTo>
                                <a:lnTo>
                                  <a:pt x="444" y="511"/>
                                </a:lnTo>
                                <a:lnTo>
                                  <a:pt x="449" y="517"/>
                                </a:lnTo>
                                <a:lnTo>
                                  <a:pt x="452" y="525"/>
                                </a:lnTo>
                                <a:lnTo>
                                  <a:pt x="452" y="537"/>
                                </a:lnTo>
                                <a:lnTo>
                                  <a:pt x="452" y="547"/>
                                </a:lnTo>
                                <a:lnTo>
                                  <a:pt x="449" y="556"/>
                                </a:lnTo>
                                <a:lnTo>
                                  <a:pt x="444" y="562"/>
                                </a:lnTo>
                                <a:lnTo>
                                  <a:pt x="438" y="568"/>
                                </a:lnTo>
                                <a:lnTo>
                                  <a:pt x="432" y="571"/>
                                </a:lnTo>
                                <a:lnTo>
                                  <a:pt x="424" y="571"/>
                                </a:lnTo>
                                <a:lnTo>
                                  <a:pt x="416" y="571"/>
                                </a:lnTo>
                                <a:lnTo>
                                  <a:pt x="409" y="568"/>
                                </a:lnTo>
                                <a:lnTo>
                                  <a:pt x="404" y="562"/>
                                </a:lnTo>
                                <a:lnTo>
                                  <a:pt x="399" y="556"/>
                                </a:lnTo>
                                <a:lnTo>
                                  <a:pt x="396" y="547"/>
                                </a:lnTo>
                                <a:lnTo>
                                  <a:pt x="396" y="536"/>
                                </a:lnTo>
                                <a:close/>
                                <a:moveTo>
                                  <a:pt x="424" y="513"/>
                                </a:moveTo>
                                <a:lnTo>
                                  <a:pt x="420" y="513"/>
                                </a:lnTo>
                                <a:lnTo>
                                  <a:pt x="417" y="515"/>
                                </a:lnTo>
                                <a:lnTo>
                                  <a:pt x="414" y="518"/>
                                </a:lnTo>
                                <a:lnTo>
                                  <a:pt x="412" y="522"/>
                                </a:lnTo>
                                <a:lnTo>
                                  <a:pt x="410" y="528"/>
                                </a:lnTo>
                                <a:lnTo>
                                  <a:pt x="410" y="537"/>
                                </a:lnTo>
                                <a:lnTo>
                                  <a:pt x="410" y="545"/>
                                </a:lnTo>
                                <a:lnTo>
                                  <a:pt x="412" y="551"/>
                                </a:lnTo>
                                <a:lnTo>
                                  <a:pt x="414" y="555"/>
                                </a:lnTo>
                                <a:lnTo>
                                  <a:pt x="417" y="558"/>
                                </a:lnTo>
                                <a:lnTo>
                                  <a:pt x="420" y="560"/>
                                </a:lnTo>
                                <a:lnTo>
                                  <a:pt x="424" y="560"/>
                                </a:lnTo>
                                <a:lnTo>
                                  <a:pt x="428" y="560"/>
                                </a:lnTo>
                                <a:lnTo>
                                  <a:pt x="431" y="558"/>
                                </a:lnTo>
                                <a:lnTo>
                                  <a:pt x="434" y="555"/>
                                </a:lnTo>
                                <a:lnTo>
                                  <a:pt x="437" y="551"/>
                                </a:lnTo>
                                <a:lnTo>
                                  <a:pt x="438" y="545"/>
                                </a:lnTo>
                                <a:lnTo>
                                  <a:pt x="438" y="536"/>
                                </a:lnTo>
                                <a:lnTo>
                                  <a:pt x="438" y="528"/>
                                </a:lnTo>
                                <a:lnTo>
                                  <a:pt x="437" y="522"/>
                                </a:lnTo>
                                <a:lnTo>
                                  <a:pt x="434" y="518"/>
                                </a:lnTo>
                                <a:lnTo>
                                  <a:pt x="431" y="515"/>
                                </a:lnTo>
                                <a:lnTo>
                                  <a:pt x="428" y="513"/>
                                </a:lnTo>
                                <a:lnTo>
                                  <a:pt x="424" y="513"/>
                                </a:lnTo>
                                <a:close/>
                                <a:moveTo>
                                  <a:pt x="485" y="604"/>
                                </a:moveTo>
                                <a:lnTo>
                                  <a:pt x="474" y="604"/>
                                </a:lnTo>
                                <a:lnTo>
                                  <a:pt x="485" y="583"/>
                                </a:lnTo>
                                <a:lnTo>
                                  <a:pt x="493" y="561"/>
                                </a:lnTo>
                                <a:lnTo>
                                  <a:pt x="498" y="540"/>
                                </a:lnTo>
                                <a:lnTo>
                                  <a:pt x="500" y="519"/>
                                </a:lnTo>
                                <a:lnTo>
                                  <a:pt x="500" y="508"/>
                                </a:lnTo>
                                <a:lnTo>
                                  <a:pt x="499" y="497"/>
                                </a:lnTo>
                                <a:lnTo>
                                  <a:pt x="496" y="486"/>
                                </a:lnTo>
                                <a:lnTo>
                                  <a:pt x="494" y="478"/>
                                </a:lnTo>
                                <a:lnTo>
                                  <a:pt x="491" y="469"/>
                                </a:lnTo>
                                <a:lnTo>
                                  <a:pt x="488" y="461"/>
                                </a:lnTo>
                                <a:lnTo>
                                  <a:pt x="485" y="456"/>
                                </a:lnTo>
                                <a:lnTo>
                                  <a:pt x="481" y="447"/>
                                </a:lnTo>
                                <a:lnTo>
                                  <a:pt x="474" y="435"/>
                                </a:lnTo>
                                <a:lnTo>
                                  <a:pt x="485" y="435"/>
                                </a:lnTo>
                                <a:lnTo>
                                  <a:pt x="493" y="446"/>
                                </a:lnTo>
                                <a:lnTo>
                                  <a:pt x="499" y="457"/>
                                </a:lnTo>
                                <a:lnTo>
                                  <a:pt x="505" y="468"/>
                                </a:lnTo>
                                <a:lnTo>
                                  <a:pt x="509" y="479"/>
                                </a:lnTo>
                                <a:lnTo>
                                  <a:pt x="512" y="489"/>
                                </a:lnTo>
                                <a:lnTo>
                                  <a:pt x="514" y="499"/>
                                </a:lnTo>
                                <a:lnTo>
                                  <a:pt x="516" y="509"/>
                                </a:lnTo>
                                <a:lnTo>
                                  <a:pt x="516" y="519"/>
                                </a:lnTo>
                                <a:lnTo>
                                  <a:pt x="516" y="531"/>
                                </a:lnTo>
                                <a:lnTo>
                                  <a:pt x="514" y="542"/>
                                </a:lnTo>
                                <a:lnTo>
                                  <a:pt x="511" y="554"/>
                                </a:lnTo>
                                <a:lnTo>
                                  <a:pt x="507" y="565"/>
                                </a:lnTo>
                                <a:lnTo>
                                  <a:pt x="502" y="576"/>
                                </a:lnTo>
                                <a:lnTo>
                                  <a:pt x="497" y="586"/>
                                </a:lnTo>
                                <a:lnTo>
                                  <a:pt x="491" y="595"/>
                                </a:lnTo>
                                <a:lnTo>
                                  <a:pt x="485" y="604"/>
                                </a:lnTo>
                                <a:close/>
                                <a:moveTo>
                                  <a:pt x="880" y="971"/>
                                </a:moveTo>
                                <a:lnTo>
                                  <a:pt x="895" y="970"/>
                                </a:lnTo>
                                <a:lnTo>
                                  <a:pt x="896" y="977"/>
                                </a:lnTo>
                                <a:lnTo>
                                  <a:pt x="899" y="982"/>
                                </a:lnTo>
                                <a:lnTo>
                                  <a:pt x="902" y="985"/>
                                </a:lnTo>
                                <a:lnTo>
                                  <a:pt x="906" y="988"/>
                                </a:lnTo>
                                <a:lnTo>
                                  <a:pt x="911" y="990"/>
                                </a:lnTo>
                                <a:lnTo>
                                  <a:pt x="916" y="990"/>
                                </a:lnTo>
                                <a:lnTo>
                                  <a:pt x="921" y="990"/>
                                </a:lnTo>
                                <a:lnTo>
                                  <a:pt x="926" y="989"/>
                                </a:lnTo>
                                <a:lnTo>
                                  <a:pt x="929" y="987"/>
                                </a:lnTo>
                                <a:lnTo>
                                  <a:pt x="933" y="984"/>
                                </a:lnTo>
                                <a:lnTo>
                                  <a:pt x="936" y="981"/>
                                </a:lnTo>
                                <a:lnTo>
                                  <a:pt x="938" y="978"/>
                                </a:lnTo>
                                <a:lnTo>
                                  <a:pt x="941" y="974"/>
                                </a:lnTo>
                                <a:lnTo>
                                  <a:pt x="943" y="969"/>
                                </a:lnTo>
                                <a:lnTo>
                                  <a:pt x="944" y="963"/>
                                </a:lnTo>
                                <a:lnTo>
                                  <a:pt x="946" y="956"/>
                                </a:lnTo>
                                <a:lnTo>
                                  <a:pt x="946" y="950"/>
                                </a:lnTo>
                                <a:lnTo>
                                  <a:pt x="946" y="943"/>
                                </a:lnTo>
                                <a:lnTo>
                                  <a:pt x="946" y="942"/>
                                </a:lnTo>
                                <a:lnTo>
                                  <a:pt x="946" y="940"/>
                                </a:lnTo>
                                <a:lnTo>
                                  <a:pt x="943" y="945"/>
                                </a:lnTo>
                                <a:lnTo>
                                  <a:pt x="939" y="949"/>
                                </a:lnTo>
                                <a:lnTo>
                                  <a:pt x="933" y="952"/>
                                </a:lnTo>
                                <a:lnTo>
                                  <a:pt x="928" y="956"/>
                                </a:lnTo>
                                <a:lnTo>
                                  <a:pt x="922" y="957"/>
                                </a:lnTo>
                                <a:lnTo>
                                  <a:pt x="916" y="957"/>
                                </a:lnTo>
                                <a:lnTo>
                                  <a:pt x="905" y="957"/>
                                </a:lnTo>
                                <a:lnTo>
                                  <a:pt x="896" y="953"/>
                                </a:lnTo>
                                <a:lnTo>
                                  <a:pt x="889" y="946"/>
                                </a:lnTo>
                                <a:lnTo>
                                  <a:pt x="881" y="938"/>
                                </a:lnTo>
                                <a:lnTo>
                                  <a:pt x="877" y="928"/>
                                </a:lnTo>
                                <a:lnTo>
                                  <a:pt x="877" y="915"/>
                                </a:lnTo>
                                <a:lnTo>
                                  <a:pt x="877" y="902"/>
                                </a:lnTo>
                                <a:lnTo>
                                  <a:pt x="881" y="891"/>
                                </a:lnTo>
                                <a:lnTo>
                                  <a:pt x="889" y="883"/>
                                </a:lnTo>
                                <a:lnTo>
                                  <a:pt x="897" y="875"/>
                                </a:lnTo>
                                <a:lnTo>
                                  <a:pt x="906" y="871"/>
                                </a:lnTo>
                                <a:lnTo>
                                  <a:pt x="918" y="871"/>
                                </a:lnTo>
                                <a:lnTo>
                                  <a:pt x="926" y="871"/>
                                </a:lnTo>
                                <a:lnTo>
                                  <a:pt x="934" y="874"/>
                                </a:lnTo>
                                <a:lnTo>
                                  <a:pt x="941" y="878"/>
                                </a:lnTo>
                                <a:lnTo>
                                  <a:pt x="948" y="883"/>
                                </a:lnTo>
                                <a:lnTo>
                                  <a:pt x="953" y="889"/>
                                </a:lnTo>
                                <a:lnTo>
                                  <a:pt x="957" y="897"/>
                                </a:lnTo>
                                <a:lnTo>
                                  <a:pt x="960" y="906"/>
                                </a:lnTo>
                                <a:lnTo>
                                  <a:pt x="962" y="918"/>
                                </a:lnTo>
                                <a:lnTo>
                                  <a:pt x="962" y="934"/>
                                </a:lnTo>
                                <a:lnTo>
                                  <a:pt x="962" y="950"/>
                                </a:lnTo>
                                <a:lnTo>
                                  <a:pt x="960" y="963"/>
                                </a:lnTo>
                                <a:lnTo>
                                  <a:pt x="957" y="973"/>
                                </a:lnTo>
                                <a:lnTo>
                                  <a:pt x="953" y="983"/>
                                </a:lnTo>
                                <a:lnTo>
                                  <a:pt x="948" y="990"/>
                                </a:lnTo>
                                <a:lnTo>
                                  <a:pt x="941" y="995"/>
                                </a:lnTo>
                                <a:lnTo>
                                  <a:pt x="934" y="1000"/>
                                </a:lnTo>
                                <a:lnTo>
                                  <a:pt x="926" y="1003"/>
                                </a:lnTo>
                                <a:lnTo>
                                  <a:pt x="916" y="1003"/>
                                </a:lnTo>
                                <a:lnTo>
                                  <a:pt x="906" y="1003"/>
                                </a:lnTo>
                                <a:lnTo>
                                  <a:pt x="898" y="1000"/>
                                </a:lnTo>
                                <a:lnTo>
                                  <a:pt x="891" y="995"/>
                                </a:lnTo>
                                <a:lnTo>
                                  <a:pt x="885" y="989"/>
                                </a:lnTo>
                                <a:lnTo>
                                  <a:pt x="881" y="981"/>
                                </a:lnTo>
                                <a:lnTo>
                                  <a:pt x="880" y="971"/>
                                </a:lnTo>
                                <a:close/>
                                <a:moveTo>
                                  <a:pt x="945" y="914"/>
                                </a:moveTo>
                                <a:lnTo>
                                  <a:pt x="945" y="905"/>
                                </a:lnTo>
                                <a:lnTo>
                                  <a:pt x="942" y="898"/>
                                </a:lnTo>
                                <a:lnTo>
                                  <a:pt x="937" y="893"/>
                                </a:lnTo>
                                <a:lnTo>
                                  <a:pt x="933" y="887"/>
                                </a:lnTo>
                                <a:lnTo>
                                  <a:pt x="927" y="885"/>
                                </a:lnTo>
                                <a:lnTo>
                                  <a:pt x="920" y="885"/>
                                </a:lnTo>
                                <a:lnTo>
                                  <a:pt x="913" y="885"/>
                                </a:lnTo>
                                <a:lnTo>
                                  <a:pt x="907" y="887"/>
                                </a:lnTo>
                                <a:lnTo>
                                  <a:pt x="902" y="893"/>
                                </a:lnTo>
                                <a:lnTo>
                                  <a:pt x="896" y="899"/>
                                </a:lnTo>
                                <a:lnTo>
                                  <a:pt x="894" y="906"/>
                                </a:lnTo>
                                <a:lnTo>
                                  <a:pt x="894" y="915"/>
                                </a:lnTo>
                                <a:lnTo>
                                  <a:pt x="894" y="924"/>
                                </a:lnTo>
                                <a:lnTo>
                                  <a:pt x="896" y="930"/>
                                </a:lnTo>
                                <a:lnTo>
                                  <a:pt x="901" y="935"/>
                                </a:lnTo>
                                <a:lnTo>
                                  <a:pt x="906" y="941"/>
                                </a:lnTo>
                                <a:lnTo>
                                  <a:pt x="912" y="943"/>
                                </a:lnTo>
                                <a:lnTo>
                                  <a:pt x="919" y="943"/>
                                </a:lnTo>
                                <a:lnTo>
                                  <a:pt x="927" y="943"/>
                                </a:lnTo>
                                <a:lnTo>
                                  <a:pt x="933" y="941"/>
                                </a:lnTo>
                                <a:lnTo>
                                  <a:pt x="938" y="935"/>
                                </a:lnTo>
                                <a:lnTo>
                                  <a:pt x="942" y="930"/>
                                </a:lnTo>
                                <a:lnTo>
                                  <a:pt x="945" y="923"/>
                                </a:lnTo>
                                <a:lnTo>
                                  <a:pt x="945" y="914"/>
                                </a:lnTo>
                                <a:close/>
                                <a:moveTo>
                                  <a:pt x="1062" y="1039"/>
                                </a:moveTo>
                                <a:lnTo>
                                  <a:pt x="1056" y="1030"/>
                                </a:lnTo>
                                <a:lnTo>
                                  <a:pt x="1050" y="1021"/>
                                </a:lnTo>
                                <a:lnTo>
                                  <a:pt x="1045" y="1011"/>
                                </a:lnTo>
                                <a:lnTo>
                                  <a:pt x="1040" y="1000"/>
                                </a:lnTo>
                                <a:lnTo>
                                  <a:pt x="1036" y="989"/>
                                </a:lnTo>
                                <a:lnTo>
                                  <a:pt x="1033" y="977"/>
                                </a:lnTo>
                                <a:lnTo>
                                  <a:pt x="1032" y="966"/>
                                </a:lnTo>
                                <a:lnTo>
                                  <a:pt x="1031" y="954"/>
                                </a:lnTo>
                                <a:lnTo>
                                  <a:pt x="1031" y="944"/>
                                </a:lnTo>
                                <a:lnTo>
                                  <a:pt x="1033" y="934"/>
                                </a:lnTo>
                                <a:lnTo>
                                  <a:pt x="1035" y="924"/>
                                </a:lnTo>
                                <a:lnTo>
                                  <a:pt x="1038" y="914"/>
                                </a:lnTo>
                                <a:lnTo>
                                  <a:pt x="1042" y="903"/>
                                </a:lnTo>
                                <a:lnTo>
                                  <a:pt x="1048" y="892"/>
                                </a:lnTo>
                                <a:lnTo>
                                  <a:pt x="1054" y="881"/>
                                </a:lnTo>
                                <a:lnTo>
                                  <a:pt x="1062" y="870"/>
                                </a:lnTo>
                                <a:lnTo>
                                  <a:pt x="1074" y="870"/>
                                </a:lnTo>
                                <a:lnTo>
                                  <a:pt x="1066" y="882"/>
                                </a:lnTo>
                                <a:lnTo>
                                  <a:pt x="1062" y="891"/>
                                </a:lnTo>
                                <a:lnTo>
                                  <a:pt x="1059" y="896"/>
                                </a:lnTo>
                                <a:lnTo>
                                  <a:pt x="1056" y="904"/>
                                </a:lnTo>
                                <a:lnTo>
                                  <a:pt x="1053" y="912"/>
                                </a:lnTo>
                                <a:lnTo>
                                  <a:pt x="1051" y="921"/>
                                </a:lnTo>
                                <a:lnTo>
                                  <a:pt x="1049" y="932"/>
                                </a:lnTo>
                                <a:lnTo>
                                  <a:pt x="1047" y="943"/>
                                </a:lnTo>
                                <a:lnTo>
                                  <a:pt x="1047" y="954"/>
                                </a:lnTo>
                                <a:lnTo>
                                  <a:pt x="1049" y="975"/>
                                </a:lnTo>
                                <a:lnTo>
                                  <a:pt x="1054" y="996"/>
                                </a:lnTo>
                                <a:lnTo>
                                  <a:pt x="1062" y="1018"/>
                                </a:lnTo>
                                <a:lnTo>
                                  <a:pt x="1074" y="1039"/>
                                </a:lnTo>
                                <a:lnTo>
                                  <a:pt x="1062" y="1039"/>
                                </a:lnTo>
                                <a:close/>
                                <a:moveTo>
                                  <a:pt x="1147" y="1001"/>
                                </a:moveTo>
                                <a:lnTo>
                                  <a:pt x="1131" y="1001"/>
                                </a:lnTo>
                                <a:lnTo>
                                  <a:pt x="1131" y="900"/>
                                </a:lnTo>
                                <a:lnTo>
                                  <a:pt x="1127" y="904"/>
                                </a:lnTo>
                                <a:lnTo>
                                  <a:pt x="1122" y="907"/>
                                </a:lnTo>
                                <a:lnTo>
                                  <a:pt x="1116" y="911"/>
                                </a:lnTo>
                                <a:lnTo>
                                  <a:pt x="1110" y="915"/>
                                </a:lnTo>
                                <a:lnTo>
                                  <a:pt x="1105" y="917"/>
                                </a:lnTo>
                                <a:lnTo>
                                  <a:pt x="1100" y="919"/>
                                </a:lnTo>
                                <a:lnTo>
                                  <a:pt x="1100" y="904"/>
                                </a:lnTo>
                                <a:lnTo>
                                  <a:pt x="1109" y="900"/>
                                </a:lnTo>
                                <a:lnTo>
                                  <a:pt x="1116" y="895"/>
                                </a:lnTo>
                                <a:lnTo>
                                  <a:pt x="1123" y="889"/>
                                </a:lnTo>
                                <a:lnTo>
                                  <a:pt x="1129" y="883"/>
                                </a:lnTo>
                                <a:lnTo>
                                  <a:pt x="1134" y="877"/>
                                </a:lnTo>
                                <a:lnTo>
                                  <a:pt x="1137" y="871"/>
                                </a:lnTo>
                                <a:lnTo>
                                  <a:pt x="1147" y="871"/>
                                </a:lnTo>
                                <a:lnTo>
                                  <a:pt x="1147" y="1001"/>
                                </a:lnTo>
                                <a:close/>
                                <a:moveTo>
                                  <a:pt x="1271" y="986"/>
                                </a:moveTo>
                                <a:lnTo>
                                  <a:pt x="1271" y="1001"/>
                                </a:lnTo>
                                <a:lnTo>
                                  <a:pt x="1186" y="1001"/>
                                </a:lnTo>
                                <a:lnTo>
                                  <a:pt x="1185" y="997"/>
                                </a:lnTo>
                                <a:lnTo>
                                  <a:pt x="1186" y="993"/>
                                </a:lnTo>
                                <a:lnTo>
                                  <a:pt x="1187" y="990"/>
                                </a:lnTo>
                                <a:lnTo>
                                  <a:pt x="1190" y="984"/>
                                </a:lnTo>
                                <a:lnTo>
                                  <a:pt x="1193" y="978"/>
                                </a:lnTo>
                                <a:lnTo>
                                  <a:pt x="1198" y="973"/>
                                </a:lnTo>
                                <a:lnTo>
                                  <a:pt x="1203" y="967"/>
                                </a:lnTo>
                                <a:lnTo>
                                  <a:pt x="1210" y="961"/>
                                </a:lnTo>
                                <a:lnTo>
                                  <a:pt x="1219" y="953"/>
                                </a:lnTo>
                                <a:lnTo>
                                  <a:pt x="1233" y="942"/>
                                </a:lnTo>
                                <a:lnTo>
                                  <a:pt x="1242" y="933"/>
                                </a:lnTo>
                                <a:lnTo>
                                  <a:pt x="1247" y="926"/>
                                </a:lnTo>
                                <a:lnTo>
                                  <a:pt x="1252" y="919"/>
                                </a:lnTo>
                                <a:lnTo>
                                  <a:pt x="1254" y="913"/>
                                </a:lnTo>
                                <a:lnTo>
                                  <a:pt x="1254" y="907"/>
                                </a:lnTo>
                                <a:lnTo>
                                  <a:pt x="1254" y="901"/>
                                </a:lnTo>
                                <a:lnTo>
                                  <a:pt x="1252" y="895"/>
                                </a:lnTo>
                                <a:lnTo>
                                  <a:pt x="1248" y="891"/>
                                </a:lnTo>
                                <a:lnTo>
                                  <a:pt x="1243" y="887"/>
                                </a:lnTo>
                                <a:lnTo>
                                  <a:pt x="1237" y="885"/>
                                </a:lnTo>
                                <a:lnTo>
                                  <a:pt x="1230" y="885"/>
                                </a:lnTo>
                                <a:lnTo>
                                  <a:pt x="1222" y="885"/>
                                </a:lnTo>
                                <a:lnTo>
                                  <a:pt x="1216" y="887"/>
                                </a:lnTo>
                                <a:lnTo>
                                  <a:pt x="1212" y="891"/>
                                </a:lnTo>
                                <a:lnTo>
                                  <a:pt x="1207" y="896"/>
                                </a:lnTo>
                                <a:lnTo>
                                  <a:pt x="1205" y="902"/>
                                </a:lnTo>
                                <a:lnTo>
                                  <a:pt x="1205" y="910"/>
                                </a:lnTo>
                                <a:lnTo>
                                  <a:pt x="1189" y="909"/>
                                </a:lnTo>
                                <a:lnTo>
                                  <a:pt x="1190" y="897"/>
                                </a:lnTo>
                                <a:lnTo>
                                  <a:pt x="1194" y="887"/>
                                </a:lnTo>
                                <a:lnTo>
                                  <a:pt x="1201" y="881"/>
                                </a:lnTo>
                                <a:lnTo>
                                  <a:pt x="1208" y="875"/>
                                </a:lnTo>
                                <a:lnTo>
                                  <a:pt x="1218" y="871"/>
                                </a:lnTo>
                                <a:lnTo>
                                  <a:pt x="1230" y="871"/>
                                </a:lnTo>
                                <a:lnTo>
                                  <a:pt x="1243" y="871"/>
                                </a:lnTo>
                                <a:lnTo>
                                  <a:pt x="1253" y="875"/>
                                </a:lnTo>
                                <a:lnTo>
                                  <a:pt x="1260" y="882"/>
                                </a:lnTo>
                                <a:lnTo>
                                  <a:pt x="1267" y="889"/>
                                </a:lnTo>
                                <a:lnTo>
                                  <a:pt x="1271" y="897"/>
                                </a:lnTo>
                                <a:lnTo>
                                  <a:pt x="1271" y="907"/>
                                </a:lnTo>
                                <a:lnTo>
                                  <a:pt x="1271" y="912"/>
                                </a:lnTo>
                                <a:lnTo>
                                  <a:pt x="1270" y="917"/>
                                </a:lnTo>
                                <a:lnTo>
                                  <a:pt x="1267" y="922"/>
                                </a:lnTo>
                                <a:lnTo>
                                  <a:pt x="1265" y="927"/>
                                </a:lnTo>
                                <a:lnTo>
                                  <a:pt x="1262" y="933"/>
                                </a:lnTo>
                                <a:lnTo>
                                  <a:pt x="1257" y="938"/>
                                </a:lnTo>
                                <a:lnTo>
                                  <a:pt x="1252" y="944"/>
                                </a:lnTo>
                                <a:lnTo>
                                  <a:pt x="1244" y="951"/>
                                </a:lnTo>
                                <a:lnTo>
                                  <a:pt x="1233" y="961"/>
                                </a:lnTo>
                                <a:lnTo>
                                  <a:pt x="1223" y="969"/>
                                </a:lnTo>
                                <a:lnTo>
                                  <a:pt x="1217" y="974"/>
                                </a:lnTo>
                                <a:lnTo>
                                  <a:pt x="1214" y="977"/>
                                </a:lnTo>
                                <a:lnTo>
                                  <a:pt x="1212" y="980"/>
                                </a:lnTo>
                                <a:lnTo>
                                  <a:pt x="1209" y="983"/>
                                </a:lnTo>
                                <a:lnTo>
                                  <a:pt x="1208" y="986"/>
                                </a:lnTo>
                                <a:lnTo>
                                  <a:pt x="1271" y="986"/>
                                </a:lnTo>
                                <a:close/>
                                <a:moveTo>
                                  <a:pt x="1297" y="1001"/>
                                </a:moveTo>
                                <a:lnTo>
                                  <a:pt x="1297" y="983"/>
                                </a:lnTo>
                                <a:lnTo>
                                  <a:pt x="1315" y="983"/>
                                </a:lnTo>
                                <a:lnTo>
                                  <a:pt x="1315" y="1001"/>
                                </a:lnTo>
                                <a:lnTo>
                                  <a:pt x="1297" y="1001"/>
                                </a:lnTo>
                                <a:close/>
                                <a:moveTo>
                                  <a:pt x="1421" y="986"/>
                                </a:moveTo>
                                <a:lnTo>
                                  <a:pt x="1421" y="1001"/>
                                </a:lnTo>
                                <a:lnTo>
                                  <a:pt x="1336" y="1001"/>
                                </a:lnTo>
                                <a:lnTo>
                                  <a:pt x="1336" y="997"/>
                                </a:lnTo>
                                <a:lnTo>
                                  <a:pt x="1336" y="993"/>
                                </a:lnTo>
                                <a:lnTo>
                                  <a:pt x="1338" y="990"/>
                                </a:lnTo>
                                <a:lnTo>
                                  <a:pt x="1340" y="984"/>
                                </a:lnTo>
                                <a:lnTo>
                                  <a:pt x="1343" y="978"/>
                                </a:lnTo>
                                <a:lnTo>
                                  <a:pt x="1348" y="973"/>
                                </a:lnTo>
                                <a:lnTo>
                                  <a:pt x="1353" y="967"/>
                                </a:lnTo>
                                <a:lnTo>
                                  <a:pt x="1360" y="961"/>
                                </a:lnTo>
                                <a:lnTo>
                                  <a:pt x="1369" y="953"/>
                                </a:lnTo>
                                <a:lnTo>
                                  <a:pt x="1383" y="942"/>
                                </a:lnTo>
                                <a:lnTo>
                                  <a:pt x="1392" y="933"/>
                                </a:lnTo>
                                <a:lnTo>
                                  <a:pt x="1397" y="926"/>
                                </a:lnTo>
                                <a:lnTo>
                                  <a:pt x="1402" y="919"/>
                                </a:lnTo>
                                <a:lnTo>
                                  <a:pt x="1404" y="913"/>
                                </a:lnTo>
                                <a:lnTo>
                                  <a:pt x="1404" y="907"/>
                                </a:lnTo>
                                <a:lnTo>
                                  <a:pt x="1404" y="901"/>
                                </a:lnTo>
                                <a:lnTo>
                                  <a:pt x="1402" y="895"/>
                                </a:lnTo>
                                <a:lnTo>
                                  <a:pt x="1398" y="891"/>
                                </a:lnTo>
                                <a:lnTo>
                                  <a:pt x="1393" y="887"/>
                                </a:lnTo>
                                <a:lnTo>
                                  <a:pt x="1387" y="885"/>
                                </a:lnTo>
                                <a:lnTo>
                                  <a:pt x="1380" y="885"/>
                                </a:lnTo>
                                <a:lnTo>
                                  <a:pt x="1373" y="885"/>
                                </a:lnTo>
                                <a:lnTo>
                                  <a:pt x="1366" y="887"/>
                                </a:lnTo>
                                <a:lnTo>
                                  <a:pt x="1362" y="891"/>
                                </a:lnTo>
                                <a:lnTo>
                                  <a:pt x="1357" y="896"/>
                                </a:lnTo>
                                <a:lnTo>
                                  <a:pt x="1355" y="902"/>
                                </a:lnTo>
                                <a:lnTo>
                                  <a:pt x="1355" y="910"/>
                                </a:lnTo>
                                <a:lnTo>
                                  <a:pt x="1339" y="909"/>
                                </a:lnTo>
                                <a:lnTo>
                                  <a:pt x="1340" y="897"/>
                                </a:lnTo>
                                <a:lnTo>
                                  <a:pt x="1344" y="887"/>
                                </a:lnTo>
                                <a:lnTo>
                                  <a:pt x="1351" y="881"/>
                                </a:lnTo>
                                <a:lnTo>
                                  <a:pt x="1359" y="875"/>
                                </a:lnTo>
                                <a:lnTo>
                                  <a:pt x="1368" y="871"/>
                                </a:lnTo>
                                <a:lnTo>
                                  <a:pt x="1381" y="871"/>
                                </a:lnTo>
                                <a:lnTo>
                                  <a:pt x="1393" y="871"/>
                                </a:lnTo>
                                <a:lnTo>
                                  <a:pt x="1403" y="875"/>
                                </a:lnTo>
                                <a:lnTo>
                                  <a:pt x="1410" y="882"/>
                                </a:lnTo>
                                <a:lnTo>
                                  <a:pt x="1417" y="889"/>
                                </a:lnTo>
                                <a:lnTo>
                                  <a:pt x="1421" y="897"/>
                                </a:lnTo>
                                <a:lnTo>
                                  <a:pt x="1421" y="907"/>
                                </a:lnTo>
                                <a:lnTo>
                                  <a:pt x="1421" y="912"/>
                                </a:lnTo>
                                <a:lnTo>
                                  <a:pt x="1420" y="917"/>
                                </a:lnTo>
                                <a:lnTo>
                                  <a:pt x="1418" y="922"/>
                                </a:lnTo>
                                <a:lnTo>
                                  <a:pt x="1415" y="927"/>
                                </a:lnTo>
                                <a:lnTo>
                                  <a:pt x="1412" y="933"/>
                                </a:lnTo>
                                <a:lnTo>
                                  <a:pt x="1407" y="938"/>
                                </a:lnTo>
                                <a:lnTo>
                                  <a:pt x="1402" y="944"/>
                                </a:lnTo>
                                <a:lnTo>
                                  <a:pt x="1394" y="951"/>
                                </a:lnTo>
                                <a:lnTo>
                                  <a:pt x="1383" y="961"/>
                                </a:lnTo>
                                <a:lnTo>
                                  <a:pt x="1373" y="969"/>
                                </a:lnTo>
                                <a:lnTo>
                                  <a:pt x="1367" y="974"/>
                                </a:lnTo>
                                <a:lnTo>
                                  <a:pt x="1364" y="977"/>
                                </a:lnTo>
                                <a:lnTo>
                                  <a:pt x="1362" y="980"/>
                                </a:lnTo>
                                <a:lnTo>
                                  <a:pt x="1359" y="983"/>
                                </a:lnTo>
                                <a:lnTo>
                                  <a:pt x="1358" y="986"/>
                                </a:lnTo>
                                <a:lnTo>
                                  <a:pt x="1421" y="986"/>
                                </a:lnTo>
                                <a:close/>
                                <a:moveTo>
                                  <a:pt x="1441" y="903"/>
                                </a:moveTo>
                                <a:lnTo>
                                  <a:pt x="1441" y="894"/>
                                </a:lnTo>
                                <a:lnTo>
                                  <a:pt x="1443" y="886"/>
                                </a:lnTo>
                                <a:lnTo>
                                  <a:pt x="1448" y="879"/>
                                </a:lnTo>
                                <a:lnTo>
                                  <a:pt x="1452" y="873"/>
                                </a:lnTo>
                                <a:lnTo>
                                  <a:pt x="1459" y="870"/>
                                </a:lnTo>
                                <a:lnTo>
                                  <a:pt x="1468" y="870"/>
                                </a:lnTo>
                                <a:lnTo>
                                  <a:pt x="1476" y="870"/>
                                </a:lnTo>
                                <a:lnTo>
                                  <a:pt x="1483" y="873"/>
                                </a:lnTo>
                                <a:lnTo>
                                  <a:pt x="1488" y="878"/>
                                </a:lnTo>
                                <a:lnTo>
                                  <a:pt x="1493" y="884"/>
                                </a:lnTo>
                                <a:lnTo>
                                  <a:pt x="1496" y="893"/>
                                </a:lnTo>
                                <a:lnTo>
                                  <a:pt x="1496" y="904"/>
                                </a:lnTo>
                                <a:lnTo>
                                  <a:pt x="1496" y="915"/>
                                </a:lnTo>
                                <a:lnTo>
                                  <a:pt x="1493" y="923"/>
                                </a:lnTo>
                                <a:lnTo>
                                  <a:pt x="1488" y="929"/>
                                </a:lnTo>
                                <a:lnTo>
                                  <a:pt x="1483" y="935"/>
                                </a:lnTo>
                                <a:lnTo>
                                  <a:pt x="1476" y="938"/>
                                </a:lnTo>
                                <a:lnTo>
                                  <a:pt x="1468" y="938"/>
                                </a:lnTo>
                                <a:lnTo>
                                  <a:pt x="1460" y="938"/>
                                </a:lnTo>
                                <a:lnTo>
                                  <a:pt x="1454" y="935"/>
                                </a:lnTo>
                                <a:lnTo>
                                  <a:pt x="1449" y="929"/>
                                </a:lnTo>
                                <a:lnTo>
                                  <a:pt x="1443" y="923"/>
                                </a:lnTo>
                                <a:lnTo>
                                  <a:pt x="1441" y="915"/>
                                </a:lnTo>
                                <a:lnTo>
                                  <a:pt x="1441" y="903"/>
                                </a:lnTo>
                                <a:close/>
                                <a:moveTo>
                                  <a:pt x="1468" y="881"/>
                                </a:moveTo>
                                <a:lnTo>
                                  <a:pt x="1464" y="881"/>
                                </a:lnTo>
                                <a:lnTo>
                                  <a:pt x="1461" y="882"/>
                                </a:lnTo>
                                <a:lnTo>
                                  <a:pt x="1459" y="886"/>
                                </a:lnTo>
                                <a:lnTo>
                                  <a:pt x="1456" y="889"/>
                                </a:lnTo>
                                <a:lnTo>
                                  <a:pt x="1455" y="895"/>
                                </a:lnTo>
                                <a:lnTo>
                                  <a:pt x="1455" y="904"/>
                                </a:lnTo>
                                <a:lnTo>
                                  <a:pt x="1455" y="913"/>
                                </a:lnTo>
                                <a:lnTo>
                                  <a:pt x="1456" y="919"/>
                                </a:lnTo>
                                <a:lnTo>
                                  <a:pt x="1459" y="922"/>
                                </a:lnTo>
                                <a:lnTo>
                                  <a:pt x="1461" y="925"/>
                                </a:lnTo>
                                <a:lnTo>
                                  <a:pt x="1464" y="927"/>
                                </a:lnTo>
                                <a:lnTo>
                                  <a:pt x="1468" y="927"/>
                                </a:lnTo>
                                <a:lnTo>
                                  <a:pt x="1472" y="927"/>
                                </a:lnTo>
                                <a:lnTo>
                                  <a:pt x="1476" y="925"/>
                                </a:lnTo>
                                <a:lnTo>
                                  <a:pt x="1478" y="922"/>
                                </a:lnTo>
                                <a:lnTo>
                                  <a:pt x="1481" y="918"/>
                                </a:lnTo>
                                <a:lnTo>
                                  <a:pt x="1482" y="912"/>
                                </a:lnTo>
                                <a:lnTo>
                                  <a:pt x="1482" y="903"/>
                                </a:lnTo>
                                <a:lnTo>
                                  <a:pt x="1482" y="895"/>
                                </a:lnTo>
                                <a:lnTo>
                                  <a:pt x="1481" y="889"/>
                                </a:lnTo>
                                <a:lnTo>
                                  <a:pt x="1478" y="886"/>
                                </a:lnTo>
                                <a:lnTo>
                                  <a:pt x="1476" y="882"/>
                                </a:lnTo>
                                <a:lnTo>
                                  <a:pt x="1472" y="881"/>
                                </a:lnTo>
                                <a:lnTo>
                                  <a:pt x="1468" y="881"/>
                                </a:lnTo>
                                <a:close/>
                                <a:moveTo>
                                  <a:pt x="1468" y="1006"/>
                                </a:moveTo>
                                <a:lnTo>
                                  <a:pt x="1539" y="870"/>
                                </a:lnTo>
                                <a:lnTo>
                                  <a:pt x="1552" y="870"/>
                                </a:lnTo>
                                <a:lnTo>
                                  <a:pt x="1482" y="1006"/>
                                </a:lnTo>
                                <a:lnTo>
                                  <a:pt x="1468" y="1006"/>
                                </a:lnTo>
                                <a:close/>
                                <a:moveTo>
                                  <a:pt x="1524" y="971"/>
                                </a:moveTo>
                                <a:lnTo>
                                  <a:pt x="1524" y="961"/>
                                </a:lnTo>
                                <a:lnTo>
                                  <a:pt x="1526" y="953"/>
                                </a:lnTo>
                                <a:lnTo>
                                  <a:pt x="1531" y="947"/>
                                </a:lnTo>
                                <a:lnTo>
                                  <a:pt x="1536" y="941"/>
                                </a:lnTo>
                                <a:lnTo>
                                  <a:pt x="1542" y="937"/>
                                </a:lnTo>
                                <a:lnTo>
                                  <a:pt x="1551" y="937"/>
                                </a:lnTo>
                                <a:lnTo>
                                  <a:pt x="1559" y="937"/>
                                </a:lnTo>
                                <a:lnTo>
                                  <a:pt x="1566" y="940"/>
                                </a:lnTo>
                                <a:lnTo>
                                  <a:pt x="1571" y="946"/>
                                </a:lnTo>
                                <a:lnTo>
                                  <a:pt x="1577" y="952"/>
                                </a:lnTo>
                                <a:lnTo>
                                  <a:pt x="1579" y="960"/>
                                </a:lnTo>
                                <a:lnTo>
                                  <a:pt x="1579" y="972"/>
                                </a:lnTo>
                                <a:lnTo>
                                  <a:pt x="1579" y="982"/>
                                </a:lnTo>
                                <a:lnTo>
                                  <a:pt x="1577" y="991"/>
                                </a:lnTo>
                                <a:lnTo>
                                  <a:pt x="1571" y="997"/>
                                </a:lnTo>
                                <a:lnTo>
                                  <a:pt x="1566" y="1003"/>
                                </a:lnTo>
                                <a:lnTo>
                                  <a:pt x="1559" y="1006"/>
                                </a:lnTo>
                                <a:lnTo>
                                  <a:pt x="1551" y="1006"/>
                                </a:lnTo>
                                <a:lnTo>
                                  <a:pt x="1544" y="1006"/>
                                </a:lnTo>
                                <a:lnTo>
                                  <a:pt x="1537" y="1003"/>
                                </a:lnTo>
                                <a:lnTo>
                                  <a:pt x="1532" y="997"/>
                                </a:lnTo>
                                <a:lnTo>
                                  <a:pt x="1527" y="991"/>
                                </a:lnTo>
                                <a:lnTo>
                                  <a:pt x="1524" y="982"/>
                                </a:lnTo>
                                <a:lnTo>
                                  <a:pt x="1524" y="971"/>
                                </a:lnTo>
                                <a:close/>
                                <a:moveTo>
                                  <a:pt x="1552" y="948"/>
                                </a:moveTo>
                                <a:lnTo>
                                  <a:pt x="1548" y="948"/>
                                </a:lnTo>
                                <a:lnTo>
                                  <a:pt x="1544" y="950"/>
                                </a:lnTo>
                                <a:lnTo>
                                  <a:pt x="1542" y="953"/>
                                </a:lnTo>
                                <a:lnTo>
                                  <a:pt x="1539" y="957"/>
                                </a:lnTo>
                                <a:lnTo>
                                  <a:pt x="1538" y="963"/>
                                </a:lnTo>
                                <a:lnTo>
                                  <a:pt x="1538" y="972"/>
                                </a:lnTo>
                                <a:lnTo>
                                  <a:pt x="1538" y="980"/>
                                </a:lnTo>
                                <a:lnTo>
                                  <a:pt x="1539" y="986"/>
                                </a:lnTo>
                                <a:lnTo>
                                  <a:pt x="1542" y="990"/>
                                </a:lnTo>
                                <a:lnTo>
                                  <a:pt x="1545" y="993"/>
                                </a:lnTo>
                                <a:lnTo>
                                  <a:pt x="1548" y="995"/>
                                </a:lnTo>
                                <a:lnTo>
                                  <a:pt x="1552" y="995"/>
                                </a:lnTo>
                                <a:lnTo>
                                  <a:pt x="1556" y="995"/>
                                </a:lnTo>
                                <a:lnTo>
                                  <a:pt x="1559" y="993"/>
                                </a:lnTo>
                                <a:lnTo>
                                  <a:pt x="1562" y="990"/>
                                </a:lnTo>
                                <a:lnTo>
                                  <a:pt x="1564" y="986"/>
                                </a:lnTo>
                                <a:lnTo>
                                  <a:pt x="1566" y="980"/>
                                </a:lnTo>
                                <a:lnTo>
                                  <a:pt x="1566" y="971"/>
                                </a:lnTo>
                                <a:lnTo>
                                  <a:pt x="1566" y="963"/>
                                </a:lnTo>
                                <a:lnTo>
                                  <a:pt x="1564" y="957"/>
                                </a:lnTo>
                                <a:lnTo>
                                  <a:pt x="1562" y="953"/>
                                </a:lnTo>
                                <a:lnTo>
                                  <a:pt x="1559" y="950"/>
                                </a:lnTo>
                                <a:lnTo>
                                  <a:pt x="1556" y="948"/>
                                </a:lnTo>
                                <a:lnTo>
                                  <a:pt x="1552" y="948"/>
                                </a:lnTo>
                                <a:close/>
                                <a:moveTo>
                                  <a:pt x="1613" y="1039"/>
                                </a:moveTo>
                                <a:lnTo>
                                  <a:pt x="1601" y="1039"/>
                                </a:lnTo>
                                <a:lnTo>
                                  <a:pt x="1613" y="1018"/>
                                </a:lnTo>
                                <a:lnTo>
                                  <a:pt x="1621" y="996"/>
                                </a:lnTo>
                                <a:lnTo>
                                  <a:pt x="1626" y="975"/>
                                </a:lnTo>
                                <a:lnTo>
                                  <a:pt x="1628" y="954"/>
                                </a:lnTo>
                                <a:lnTo>
                                  <a:pt x="1628" y="943"/>
                                </a:lnTo>
                                <a:lnTo>
                                  <a:pt x="1626" y="932"/>
                                </a:lnTo>
                                <a:lnTo>
                                  <a:pt x="1624" y="921"/>
                                </a:lnTo>
                                <a:lnTo>
                                  <a:pt x="1622" y="913"/>
                                </a:lnTo>
                                <a:lnTo>
                                  <a:pt x="1619" y="904"/>
                                </a:lnTo>
                                <a:lnTo>
                                  <a:pt x="1615" y="896"/>
                                </a:lnTo>
                                <a:lnTo>
                                  <a:pt x="1613" y="891"/>
                                </a:lnTo>
                                <a:lnTo>
                                  <a:pt x="1608" y="882"/>
                                </a:lnTo>
                                <a:lnTo>
                                  <a:pt x="1601" y="870"/>
                                </a:lnTo>
                                <a:lnTo>
                                  <a:pt x="1613" y="870"/>
                                </a:lnTo>
                                <a:lnTo>
                                  <a:pt x="1620" y="881"/>
                                </a:lnTo>
                                <a:lnTo>
                                  <a:pt x="1627" y="892"/>
                                </a:lnTo>
                                <a:lnTo>
                                  <a:pt x="1633" y="903"/>
                                </a:lnTo>
                                <a:lnTo>
                                  <a:pt x="1637" y="914"/>
                                </a:lnTo>
                                <a:lnTo>
                                  <a:pt x="1640" y="924"/>
                                </a:lnTo>
                                <a:lnTo>
                                  <a:pt x="1642" y="934"/>
                                </a:lnTo>
                                <a:lnTo>
                                  <a:pt x="1643" y="944"/>
                                </a:lnTo>
                                <a:lnTo>
                                  <a:pt x="1644" y="954"/>
                                </a:lnTo>
                                <a:lnTo>
                                  <a:pt x="1643" y="966"/>
                                </a:lnTo>
                                <a:lnTo>
                                  <a:pt x="1642" y="977"/>
                                </a:lnTo>
                                <a:lnTo>
                                  <a:pt x="1639" y="989"/>
                                </a:lnTo>
                                <a:lnTo>
                                  <a:pt x="1635" y="1000"/>
                                </a:lnTo>
                                <a:lnTo>
                                  <a:pt x="1630" y="1011"/>
                                </a:lnTo>
                                <a:lnTo>
                                  <a:pt x="1625" y="1021"/>
                                </a:lnTo>
                                <a:lnTo>
                                  <a:pt x="1619" y="1030"/>
                                </a:lnTo>
                                <a:lnTo>
                                  <a:pt x="1613" y="1039"/>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249802217" name="Picture 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5520"/>
                            <a:ext cx="255" cy="300"/>
                          </a:xfrm>
                          <a:prstGeom prst="rect">
                            <a:avLst/>
                          </a:prstGeom>
                          <a:noFill/>
                          <a:ln>
                            <a:noFill/>
                          </a:ln>
                          <a:effectLst/>
                        </pic:spPr>
                      </pic:pic>
                      <wps:wsp>
                        <wps:cNvPr id="1946310411" name="Rectangle 41"/>
                        <wps:cNvSpPr>
                          <a:spLocks noChangeArrowheads="1"/>
                        </wps:cNvSpPr>
                        <wps:spPr bwMode="auto">
                          <a:xfrm>
                            <a:off x="2070" y="6750"/>
                            <a:ext cx="8130" cy="270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2064840779" name="AutoShape 36"/>
                        <wps:cNvSpPr/>
                        <wps:spPr bwMode="auto">
                          <a:xfrm>
                            <a:off x="2069" y="6750"/>
                            <a:ext cx="8130" cy="2700"/>
                          </a:xfrm>
                          <a:custGeom>
                            <a:avLst/>
                            <a:gdLst>
                              <a:gd name="T0" fmla="*/ 5760 w 8130"/>
                              <a:gd name="T1" fmla="*/ 8100 h 2700"/>
                              <a:gd name="T2" fmla="*/ 0 w 8130"/>
                              <a:gd name="T3" fmla="*/ 8100 h 2700"/>
                              <a:gd name="T4" fmla="*/ 0 w 8130"/>
                              <a:gd name="T5" fmla="*/ 8115 h 2700"/>
                              <a:gd name="T6" fmla="*/ 5760 w 8130"/>
                              <a:gd name="T7" fmla="*/ 8115 h 2700"/>
                              <a:gd name="T8" fmla="*/ 5760 w 8130"/>
                              <a:gd name="T9" fmla="*/ 8100 h 2700"/>
                              <a:gd name="T10" fmla="*/ 6570 w 8130"/>
                              <a:gd name="T11" fmla="*/ 8100 h 2700"/>
                              <a:gd name="T12" fmla="*/ 6015 w 8130"/>
                              <a:gd name="T13" fmla="*/ 8100 h 2700"/>
                              <a:gd name="T14" fmla="*/ 6015 w 8130"/>
                              <a:gd name="T15" fmla="*/ 8115 h 2700"/>
                              <a:gd name="T16" fmla="*/ 6570 w 8130"/>
                              <a:gd name="T17" fmla="*/ 8115 h 2700"/>
                              <a:gd name="T18" fmla="*/ 6570 w 8130"/>
                              <a:gd name="T19" fmla="*/ 8100 h 2700"/>
                              <a:gd name="T20" fmla="*/ 8130 w 8130"/>
                              <a:gd name="T21" fmla="*/ 9435 h 2700"/>
                              <a:gd name="T22" fmla="*/ 0 w 8130"/>
                              <a:gd name="T23" fmla="*/ 9435 h 2700"/>
                              <a:gd name="T24" fmla="*/ 0 w 8130"/>
                              <a:gd name="T25" fmla="*/ 9450 h 2700"/>
                              <a:gd name="T26" fmla="*/ 8130 w 8130"/>
                              <a:gd name="T27" fmla="*/ 9450 h 2700"/>
                              <a:gd name="T28" fmla="*/ 8130 w 8130"/>
                              <a:gd name="T29" fmla="*/ 9435 h 2700"/>
                              <a:gd name="T30" fmla="*/ 8130 w 8130"/>
                              <a:gd name="T31" fmla="*/ 8100 h 2700"/>
                              <a:gd name="T32" fmla="*/ 6825 w 8130"/>
                              <a:gd name="T33" fmla="*/ 8100 h 2700"/>
                              <a:gd name="T34" fmla="*/ 6825 w 8130"/>
                              <a:gd name="T35" fmla="*/ 8115 h 2700"/>
                              <a:gd name="T36" fmla="*/ 8130 w 8130"/>
                              <a:gd name="T37" fmla="*/ 8115 h 2700"/>
                              <a:gd name="T38" fmla="*/ 8130 w 8130"/>
                              <a:gd name="T39" fmla="*/ 8100 h 2700"/>
                              <a:gd name="T40" fmla="*/ 8130 w 8130"/>
                              <a:gd name="T41" fmla="*/ 6750 h 2700"/>
                              <a:gd name="T42" fmla="*/ 0 w 8130"/>
                              <a:gd name="T43" fmla="*/ 6750 h 2700"/>
                              <a:gd name="T44" fmla="*/ 0 w 8130"/>
                              <a:gd name="T45" fmla="*/ 6765 h 2700"/>
                              <a:gd name="T46" fmla="*/ 8130 w 8130"/>
                              <a:gd name="T47" fmla="*/ 6765 h 2700"/>
                              <a:gd name="T48" fmla="*/ 8130 w 8130"/>
                              <a:gd name="T49" fmla="*/ 6750 h 27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130" h="2700">
                                <a:moveTo>
                                  <a:pt x="5760" y="1350"/>
                                </a:moveTo>
                                <a:lnTo>
                                  <a:pt x="0" y="1350"/>
                                </a:lnTo>
                                <a:lnTo>
                                  <a:pt x="0" y="1365"/>
                                </a:lnTo>
                                <a:lnTo>
                                  <a:pt x="5760" y="1365"/>
                                </a:lnTo>
                                <a:lnTo>
                                  <a:pt x="5760" y="1350"/>
                                </a:lnTo>
                                <a:close/>
                                <a:moveTo>
                                  <a:pt x="6570" y="1350"/>
                                </a:moveTo>
                                <a:lnTo>
                                  <a:pt x="6015" y="1350"/>
                                </a:lnTo>
                                <a:lnTo>
                                  <a:pt x="6015" y="1365"/>
                                </a:lnTo>
                                <a:lnTo>
                                  <a:pt x="6570" y="1365"/>
                                </a:lnTo>
                                <a:lnTo>
                                  <a:pt x="6570" y="1350"/>
                                </a:lnTo>
                                <a:close/>
                                <a:moveTo>
                                  <a:pt x="8130" y="2685"/>
                                </a:moveTo>
                                <a:lnTo>
                                  <a:pt x="0" y="2685"/>
                                </a:lnTo>
                                <a:lnTo>
                                  <a:pt x="0" y="2700"/>
                                </a:lnTo>
                                <a:lnTo>
                                  <a:pt x="8130" y="2700"/>
                                </a:lnTo>
                                <a:lnTo>
                                  <a:pt x="8130" y="2685"/>
                                </a:lnTo>
                                <a:close/>
                                <a:moveTo>
                                  <a:pt x="8130" y="1350"/>
                                </a:moveTo>
                                <a:lnTo>
                                  <a:pt x="6825" y="1350"/>
                                </a:lnTo>
                                <a:lnTo>
                                  <a:pt x="6825" y="1365"/>
                                </a:lnTo>
                                <a:lnTo>
                                  <a:pt x="8130" y="1365"/>
                                </a:lnTo>
                                <a:lnTo>
                                  <a:pt x="8130" y="1350"/>
                                </a:lnTo>
                                <a:close/>
                                <a:moveTo>
                                  <a:pt x="8130" y="0"/>
                                </a:moveTo>
                                <a:lnTo>
                                  <a:pt x="0" y="0"/>
                                </a:lnTo>
                                <a:lnTo>
                                  <a:pt x="0" y="15"/>
                                </a:lnTo>
                                <a:lnTo>
                                  <a:pt x="8130" y="15"/>
                                </a:lnTo>
                                <a:lnTo>
                                  <a:pt x="8130" y="0"/>
                                </a:lnTo>
                                <a:close/>
                              </a:path>
                            </a:pathLst>
                          </a:custGeom>
                          <a:solidFill>
                            <a:srgbClr val="EDEDED"/>
                          </a:solidFill>
                          <a:ln>
                            <a:noFill/>
                          </a:ln>
                          <a:effectLst/>
                        </wps:spPr>
                        <wps:bodyPr rot="0" vert="horz" wrap="square" lIns="91440" tIns="45720" rIns="91440" bIns="45720" anchor="t" anchorCtr="0" upright="1">
                          <a:noAutofit/>
                        </wps:bodyPr>
                      </wps:wsp>
                      <wps:wsp>
                        <wps:cNvPr id="1449855454" name="AutoShape 35"/>
                        <wps:cNvSpPr/>
                        <wps:spPr bwMode="auto">
                          <a:xfrm>
                            <a:off x="2069" y="7425"/>
                            <a:ext cx="8130" cy="1350"/>
                          </a:xfrm>
                          <a:custGeom>
                            <a:avLst/>
                            <a:gdLst>
                              <a:gd name="T0" fmla="*/ 0 w 8130"/>
                              <a:gd name="T1" fmla="*/ 8760 h 1350"/>
                              <a:gd name="T2" fmla="*/ 90 w 8130"/>
                              <a:gd name="T3" fmla="*/ 8775 h 1350"/>
                              <a:gd name="T4" fmla="*/ 495 w 8130"/>
                              <a:gd name="T5" fmla="*/ 8760 h 1350"/>
                              <a:gd name="T6" fmla="*/ 330 w 8130"/>
                              <a:gd name="T7" fmla="*/ 8775 h 1350"/>
                              <a:gd name="T8" fmla="*/ 495 w 8130"/>
                              <a:gd name="T9" fmla="*/ 8760 h 1350"/>
                              <a:gd name="T10" fmla="*/ 735 w 8130"/>
                              <a:gd name="T11" fmla="*/ 8760 h 1350"/>
                              <a:gd name="T12" fmla="*/ 900 w 8130"/>
                              <a:gd name="T13" fmla="*/ 8775 h 1350"/>
                              <a:gd name="T14" fmla="*/ 1305 w 8130"/>
                              <a:gd name="T15" fmla="*/ 8760 h 1350"/>
                              <a:gd name="T16" fmla="*/ 1140 w 8130"/>
                              <a:gd name="T17" fmla="*/ 8775 h 1350"/>
                              <a:gd name="T18" fmla="*/ 1305 w 8130"/>
                              <a:gd name="T19" fmla="*/ 8760 h 1350"/>
                              <a:gd name="T20" fmla="*/ 1560 w 8130"/>
                              <a:gd name="T21" fmla="*/ 8760 h 1350"/>
                              <a:gd name="T22" fmla="*/ 1710 w 8130"/>
                              <a:gd name="T23" fmla="*/ 8775 h 1350"/>
                              <a:gd name="T24" fmla="*/ 2115 w 8130"/>
                              <a:gd name="T25" fmla="*/ 8760 h 1350"/>
                              <a:gd name="T26" fmla="*/ 1965 w 8130"/>
                              <a:gd name="T27" fmla="*/ 8775 h 1350"/>
                              <a:gd name="T28" fmla="*/ 2115 w 8130"/>
                              <a:gd name="T29" fmla="*/ 8760 h 1350"/>
                              <a:gd name="T30" fmla="*/ 2370 w 8130"/>
                              <a:gd name="T31" fmla="*/ 8760 h 1350"/>
                              <a:gd name="T32" fmla="*/ 2520 w 8130"/>
                              <a:gd name="T33" fmla="*/ 8775 h 1350"/>
                              <a:gd name="T34" fmla="*/ 2925 w 8130"/>
                              <a:gd name="T35" fmla="*/ 8760 h 1350"/>
                              <a:gd name="T36" fmla="*/ 2775 w 8130"/>
                              <a:gd name="T37" fmla="*/ 8775 h 1350"/>
                              <a:gd name="T38" fmla="*/ 2925 w 8130"/>
                              <a:gd name="T39" fmla="*/ 8760 h 1350"/>
                              <a:gd name="T40" fmla="*/ 3180 w 8130"/>
                              <a:gd name="T41" fmla="*/ 8760 h 1350"/>
                              <a:gd name="T42" fmla="*/ 3330 w 8130"/>
                              <a:gd name="T43" fmla="*/ 8775 h 1350"/>
                              <a:gd name="T44" fmla="*/ 3735 w 8130"/>
                              <a:gd name="T45" fmla="*/ 8760 h 1350"/>
                              <a:gd name="T46" fmla="*/ 3585 w 8130"/>
                              <a:gd name="T47" fmla="*/ 8775 h 1350"/>
                              <a:gd name="T48" fmla="*/ 3735 w 8130"/>
                              <a:gd name="T49" fmla="*/ 8760 h 1350"/>
                              <a:gd name="T50" fmla="*/ 3990 w 8130"/>
                              <a:gd name="T51" fmla="*/ 8760 h 1350"/>
                              <a:gd name="T52" fmla="*/ 4140 w 8130"/>
                              <a:gd name="T53" fmla="*/ 8775 h 1350"/>
                              <a:gd name="T54" fmla="*/ 4545 w 8130"/>
                              <a:gd name="T55" fmla="*/ 8760 h 1350"/>
                              <a:gd name="T56" fmla="*/ 4395 w 8130"/>
                              <a:gd name="T57" fmla="*/ 8775 h 1350"/>
                              <a:gd name="T58" fmla="*/ 4545 w 8130"/>
                              <a:gd name="T59" fmla="*/ 8760 h 1350"/>
                              <a:gd name="T60" fmla="*/ 4800 w 8130"/>
                              <a:gd name="T61" fmla="*/ 8760 h 1350"/>
                              <a:gd name="T62" fmla="*/ 4950 w 8130"/>
                              <a:gd name="T63" fmla="*/ 8775 h 1350"/>
                              <a:gd name="T64" fmla="*/ 5355 w 8130"/>
                              <a:gd name="T65" fmla="*/ 8760 h 1350"/>
                              <a:gd name="T66" fmla="*/ 5205 w 8130"/>
                              <a:gd name="T67" fmla="*/ 8775 h 1350"/>
                              <a:gd name="T68" fmla="*/ 5355 w 8130"/>
                              <a:gd name="T69" fmla="*/ 8760 h 1350"/>
                              <a:gd name="T70" fmla="*/ 5610 w 8130"/>
                              <a:gd name="T71" fmla="*/ 8760 h 1350"/>
                              <a:gd name="T72" fmla="*/ 5760 w 8130"/>
                              <a:gd name="T73" fmla="*/ 8775 h 1350"/>
                              <a:gd name="T74" fmla="*/ 5760 w 8130"/>
                              <a:gd name="T75" fmla="*/ 7425 h 1350"/>
                              <a:gd name="T76" fmla="*/ 0 w 8130"/>
                              <a:gd name="T77" fmla="*/ 7440 h 1350"/>
                              <a:gd name="T78" fmla="*/ 5760 w 8130"/>
                              <a:gd name="T79" fmla="*/ 7425 h 1350"/>
                              <a:gd name="T80" fmla="*/ 6015 w 8130"/>
                              <a:gd name="T81" fmla="*/ 8760 h 1350"/>
                              <a:gd name="T82" fmla="*/ 6165 w 8130"/>
                              <a:gd name="T83" fmla="*/ 8775 h 1350"/>
                              <a:gd name="T84" fmla="*/ 6570 w 8130"/>
                              <a:gd name="T85" fmla="*/ 8760 h 1350"/>
                              <a:gd name="T86" fmla="*/ 6420 w 8130"/>
                              <a:gd name="T87" fmla="*/ 8775 h 1350"/>
                              <a:gd name="T88" fmla="*/ 6570 w 8130"/>
                              <a:gd name="T89" fmla="*/ 8760 h 1350"/>
                              <a:gd name="T90" fmla="*/ 6015 w 8130"/>
                              <a:gd name="T91" fmla="*/ 7425 h 1350"/>
                              <a:gd name="T92" fmla="*/ 6570 w 8130"/>
                              <a:gd name="T93" fmla="*/ 7440 h 1350"/>
                              <a:gd name="T94" fmla="*/ 6990 w 8130"/>
                              <a:gd name="T95" fmla="*/ 8760 h 1350"/>
                              <a:gd name="T96" fmla="*/ 6825 w 8130"/>
                              <a:gd name="T97" fmla="*/ 8775 h 1350"/>
                              <a:gd name="T98" fmla="*/ 6990 w 8130"/>
                              <a:gd name="T99" fmla="*/ 8760 h 1350"/>
                              <a:gd name="T100" fmla="*/ 7230 w 8130"/>
                              <a:gd name="T101" fmla="*/ 8760 h 1350"/>
                              <a:gd name="T102" fmla="*/ 7395 w 8130"/>
                              <a:gd name="T103" fmla="*/ 8775 h 1350"/>
                              <a:gd name="T104" fmla="*/ 7800 w 8130"/>
                              <a:gd name="T105" fmla="*/ 8760 h 1350"/>
                              <a:gd name="T106" fmla="*/ 7635 w 8130"/>
                              <a:gd name="T107" fmla="*/ 8775 h 1350"/>
                              <a:gd name="T108" fmla="*/ 7800 w 8130"/>
                              <a:gd name="T109" fmla="*/ 8760 h 1350"/>
                              <a:gd name="T110" fmla="*/ 8040 w 8130"/>
                              <a:gd name="T111" fmla="*/ 8760 h 1350"/>
                              <a:gd name="T112" fmla="*/ 8130 w 8130"/>
                              <a:gd name="T113" fmla="*/ 8775 h 1350"/>
                              <a:gd name="T114" fmla="*/ 8130 w 8130"/>
                              <a:gd name="T115" fmla="*/ 7425 h 1350"/>
                              <a:gd name="T116" fmla="*/ 6825 w 8130"/>
                              <a:gd name="T117" fmla="*/ 7440 h 1350"/>
                              <a:gd name="T118" fmla="*/ 8130 w 8130"/>
                              <a:gd name="T119" fmla="*/ 7425 h 13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130" h="1350">
                                <a:moveTo>
                                  <a:pt x="90" y="1335"/>
                                </a:moveTo>
                                <a:lnTo>
                                  <a:pt x="0" y="1335"/>
                                </a:lnTo>
                                <a:lnTo>
                                  <a:pt x="0" y="1350"/>
                                </a:lnTo>
                                <a:lnTo>
                                  <a:pt x="90" y="1350"/>
                                </a:lnTo>
                                <a:lnTo>
                                  <a:pt x="90" y="1335"/>
                                </a:lnTo>
                                <a:close/>
                                <a:moveTo>
                                  <a:pt x="495" y="1335"/>
                                </a:moveTo>
                                <a:lnTo>
                                  <a:pt x="330" y="1335"/>
                                </a:lnTo>
                                <a:lnTo>
                                  <a:pt x="330" y="1350"/>
                                </a:lnTo>
                                <a:lnTo>
                                  <a:pt x="495" y="1350"/>
                                </a:lnTo>
                                <a:lnTo>
                                  <a:pt x="495" y="1335"/>
                                </a:lnTo>
                                <a:close/>
                                <a:moveTo>
                                  <a:pt x="900" y="1335"/>
                                </a:moveTo>
                                <a:lnTo>
                                  <a:pt x="735" y="1335"/>
                                </a:lnTo>
                                <a:lnTo>
                                  <a:pt x="735" y="1350"/>
                                </a:lnTo>
                                <a:lnTo>
                                  <a:pt x="900" y="1350"/>
                                </a:lnTo>
                                <a:lnTo>
                                  <a:pt x="900" y="1335"/>
                                </a:lnTo>
                                <a:close/>
                                <a:moveTo>
                                  <a:pt x="1305" y="1335"/>
                                </a:moveTo>
                                <a:lnTo>
                                  <a:pt x="1140" y="1335"/>
                                </a:lnTo>
                                <a:lnTo>
                                  <a:pt x="1140" y="1350"/>
                                </a:lnTo>
                                <a:lnTo>
                                  <a:pt x="1305" y="1350"/>
                                </a:lnTo>
                                <a:lnTo>
                                  <a:pt x="1305" y="1335"/>
                                </a:lnTo>
                                <a:close/>
                                <a:moveTo>
                                  <a:pt x="1710" y="1335"/>
                                </a:moveTo>
                                <a:lnTo>
                                  <a:pt x="1560" y="1335"/>
                                </a:lnTo>
                                <a:lnTo>
                                  <a:pt x="1560" y="1350"/>
                                </a:lnTo>
                                <a:lnTo>
                                  <a:pt x="1710" y="1350"/>
                                </a:lnTo>
                                <a:lnTo>
                                  <a:pt x="1710" y="1335"/>
                                </a:lnTo>
                                <a:close/>
                                <a:moveTo>
                                  <a:pt x="2115" y="1335"/>
                                </a:moveTo>
                                <a:lnTo>
                                  <a:pt x="1965" y="1335"/>
                                </a:lnTo>
                                <a:lnTo>
                                  <a:pt x="1965" y="1350"/>
                                </a:lnTo>
                                <a:lnTo>
                                  <a:pt x="2115" y="1350"/>
                                </a:lnTo>
                                <a:lnTo>
                                  <a:pt x="2115" y="1335"/>
                                </a:lnTo>
                                <a:close/>
                                <a:moveTo>
                                  <a:pt x="2520" y="1335"/>
                                </a:moveTo>
                                <a:lnTo>
                                  <a:pt x="2370" y="1335"/>
                                </a:lnTo>
                                <a:lnTo>
                                  <a:pt x="2370" y="1350"/>
                                </a:lnTo>
                                <a:lnTo>
                                  <a:pt x="2520" y="1350"/>
                                </a:lnTo>
                                <a:lnTo>
                                  <a:pt x="2520" y="1335"/>
                                </a:lnTo>
                                <a:close/>
                                <a:moveTo>
                                  <a:pt x="2925" y="1335"/>
                                </a:moveTo>
                                <a:lnTo>
                                  <a:pt x="2775" y="1335"/>
                                </a:lnTo>
                                <a:lnTo>
                                  <a:pt x="2775" y="1350"/>
                                </a:lnTo>
                                <a:lnTo>
                                  <a:pt x="2925" y="1350"/>
                                </a:lnTo>
                                <a:lnTo>
                                  <a:pt x="2925" y="1335"/>
                                </a:lnTo>
                                <a:close/>
                                <a:moveTo>
                                  <a:pt x="3330" y="1335"/>
                                </a:moveTo>
                                <a:lnTo>
                                  <a:pt x="3180" y="1335"/>
                                </a:lnTo>
                                <a:lnTo>
                                  <a:pt x="3180" y="1350"/>
                                </a:lnTo>
                                <a:lnTo>
                                  <a:pt x="3330" y="1350"/>
                                </a:lnTo>
                                <a:lnTo>
                                  <a:pt x="3330" y="1335"/>
                                </a:lnTo>
                                <a:close/>
                                <a:moveTo>
                                  <a:pt x="3735" y="1335"/>
                                </a:moveTo>
                                <a:lnTo>
                                  <a:pt x="3585" y="1335"/>
                                </a:lnTo>
                                <a:lnTo>
                                  <a:pt x="3585" y="1350"/>
                                </a:lnTo>
                                <a:lnTo>
                                  <a:pt x="3735" y="1350"/>
                                </a:lnTo>
                                <a:lnTo>
                                  <a:pt x="3735" y="1335"/>
                                </a:lnTo>
                                <a:close/>
                                <a:moveTo>
                                  <a:pt x="4140" y="1335"/>
                                </a:moveTo>
                                <a:lnTo>
                                  <a:pt x="3990" y="1335"/>
                                </a:lnTo>
                                <a:lnTo>
                                  <a:pt x="3990" y="1350"/>
                                </a:lnTo>
                                <a:lnTo>
                                  <a:pt x="4140" y="1350"/>
                                </a:lnTo>
                                <a:lnTo>
                                  <a:pt x="4140" y="1335"/>
                                </a:lnTo>
                                <a:close/>
                                <a:moveTo>
                                  <a:pt x="4545" y="1335"/>
                                </a:moveTo>
                                <a:lnTo>
                                  <a:pt x="4395" y="1335"/>
                                </a:lnTo>
                                <a:lnTo>
                                  <a:pt x="4395" y="1350"/>
                                </a:lnTo>
                                <a:lnTo>
                                  <a:pt x="4545" y="1350"/>
                                </a:lnTo>
                                <a:lnTo>
                                  <a:pt x="4545" y="1335"/>
                                </a:lnTo>
                                <a:close/>
                                <a:moveTo>
                                  <a:pt x="4950" y="1335"/>
                                </a:moveTo>
                                <a:lnTo>
                                  <a:pt x="4800" y="1335"/>
                                </a:lnTo>
                                <a:lnTo>
                                  <a:pt x="4800" y="1350"/>
                                </a:lnTo>
                                <a:lnTo>
                                  <a:pt x="4950" y="1350"/>
                                </a:lnTo>
                                <a:lnTo>
                                  <a:pt x="4950" y="1335"/>
                                </a:lnTo>
                                <a:close/>
                                <a:moveTo>
                                  <a:pt x="5355" y="1335"/>
                                </a:moveTo>
                                <a:lnTo>
                                  <a:pt x="5205" y="1335"/>
                                </a:lnTo>
                                <a:lnTo>
                                  <a:pt x="5205" y="1350"/>
                                </a:lnTo>
                                <a:lnTo>
                                  <a:pt x="5355" y="1350"/>
                                </a:lnTo>
                                <a:lnTo>
                                  <a:pt x="5355" y="1335"/>
                                </a:lnTo>
                                <a:close/>
                                <a:moveTo>
                                  <a:pt x="5760" y="1335"/>
                                </a:moveTo>
                                <a:lnTo>
                                  <a:pt x="5610" y="1335"/>
                                </a:lnTo>
                                <a:lnTo>
                                  <a:pt x="5610" y="1350"/>
                                </a:lnTo>
                                <a:lnTo>
                                  <a:pt x="5760" y="1350"/>
                                </a:lnTo>
                                <a:lnTo>
                                  <a:pt x="5760" y="1335"/>
                                </a:lnTo>
                                <a:close/>
                                <a:moveTo>
                                  <a:pt x="5760" y="0"/>
                                </a:moveTo>
                                <a:lnTo>
                                  <a:pt x="0" y="0"/>
                                </a:lnTo>
                                <a:lnTo>
                                  <a:pt x="0" y="15"/>
                                </a:lnTo>
                                <a:lnTo>
                                  <a:pt x="5760" y="15"/>
                                </a:lnTo>
                                <a:lnTo>
                                  <a:pt x="5760" y="0"/>
                                </a:lnTo>
                                <a:close/>
                                <a:moveTo>
                                  <a:pt x="6165" y="1335"/>
                                </a:moveTo>
                                <a:lnTo>
                                  <a:pt x="6015" y="1335"/>
                                </a:lnTo>
                                <a:lnTo>
                                  <a:pt x="6015" y="1350"/>
                                </a:lnTo>
                                <a:lnTo>
                                  <a:pt x="6165" y="1350"/>
                                </a:lnTo>
                                <a:lnTo>
                                  <a:pt x="6165" y="1335"/>
                                </a:lnTo>
                                <a:close/>
                                <a:moveTo>
                                  <a:pt x="6570" y="1335"/>
                                </a:moveTo>
                                <a:lnTo>
                                  <a:pt x="6420" y="1335"/>
                                </a:lnTo>
                                <a:lnTo>
                                  <a:pt x="6420" y="1350"/>
                                </a:lnTo>
                                <a:lnTo>
                                  <a:pt x="6570" y="1350"/>
                                </a:lnTo>
                                <a:lnTo>
                                  <a:pt x="6570" y="1335"/>
                                </a:lnTo>
                                <a:close/>
                                <a:moveTo>
                                  <a:pt x="6570" y="0"/>
                                </a:moveTo>
                                <a:lnTo>
                                  <a:pt x="6015" y="0"/>
                                </a:lnTo>
                                <a:lnTo>
                                  <a:pt x="6015" y="15"/>
                                </a:lnTo>
                                <a:lnTo>
                                  <a:pt x="6570" y="15"/>
                                </a:lnTo>
                                <a:lnTo>
                                  <a:pt x="6570" y="0"/>
                                </a:lnTo>
                                <a:close/>
                                <a:moveTo>
                                  <a:pt x="6990" y="1335"/>
                                </a:moveTo>
                                <a:lnTo>
                                  <a:pt x="6825" y="1335"/>
                                </a:lnTo>
                                <a:lnTo>
                                  <a:pt x="6825" y="1350"/>
                                </a:lnTo>
                                <a:lnTo>
                                  <a:pt x="6990" y="1350"/>
                                </a:lnTo>
                                <a:lnTo>
                                  <a:pt x="6990" y="1335"/>
                                </a:lnTo>
                                <a:close/>
                                <a:moveTo>
                                  <a:pt x="7395" y="1335"/>
                                </a:moveTo>
                                <a:lnTo>
                                  <a:pt x="7230" y="1335"/>
                                </a:lnTo>
                                <a:lnTo>
                                  <a:pt x="7230" y="1350"/>
                                </a:lnTo>
                                <a:lnTo>
                                  <a:pt x="7395" y="1350"/>
                                </a:lnTo>
                                <a:lnTo>
                                  <a:pt x="7395" y="1335"/>
                                </a:lnTo>
                                <a:close/>
                                <a:moveTo>
                                  <a:pt x="7800" y="1335"/>
                                </a:moveTo>
                                <a:lnTo>
                                  <a:pt x="7635" y="1335"/>
                                </a:lnTo>
                                <a:lnTo>
                                  <a:pt x="7635" y="1350"/>
                                </a:lnTo>
                                <a:lnTo>
                                  <a:pt x="7800" y="1350"/>
                                </a:lnTo>
                                <a:lnTo>
                                  <a:pt x="7800" y="1335"/>
                                </a:lnTo>
                                <a:close/>
                                <a:moveTo>
                                  <a:pt x="8130" y="1335"/>
                                </a:moveTo>
                                <a:lnTo>
                                  <a:pt x="8040" y="1335"/>
                                </a:lnTo>
                                <a:lnTo>
                                  <a:pt x="8040" y="1350"/>
                                </a:lnTo>
                                <a:lnTo>
                                  <a:pt x="8130" y="1350"/>
                                </a:lnTo>
                                <a:lnTo>
                                  <a:pt x="8130" y="1335"/>
                                </a:lnTo>
                                <a:close/>
                                <a:moveTo>
                                  <a:pt x="8130" y="0"/>
                                </a:moveTo>
                                <a:lnTo>
                                  <a:pt x="6825" y="0"/>
                                </a:lnTo>
                                <a:lnTo>
                                  <a:pt x="6825" y="15"/>
                                </a:lnTo>
                                <a:lnTo>
                                  <a:pt x="8130" y="15"/>
                                </a:lnTo>
                                <a:lnTo>
                                  <a:pt x="8130" y="0"/>
                                </a:lnTo>
                                <a:close/>
                              </a:path>
                            </a:pathLst>
                          </a:custGeom>
                          <a:solidFill>
                            <a:srgbClr val="F7F7F7"/>
                          </a:solidFill>
                          <a:ln>
                            <a:noFill/>
                          </a:ln>
                          <a:effectLst/>
                        </wps:spPr>
                        <wps:bodyPr rot="0" vert="horz" wrap="square" lIns="91440" tIns="45720" rIns="91440" bIns="45720" anchor="t" anchorCtr="0" upright="1">
                          <a:noAutofit/>
                        </wps:bodyPr>
                      </wps:wsp>
                      <wps:wsp>
                        <wps:cNvPr id="555423496" name="AutoShape 34"/>
                        <wps:cNvSpPr/>
                        <wps:spPr bwMode="auto">
                          <a:xfrm>
                            <a:off x="2159" y="6765"/>
                            <a:ext cx="7950" cy="2670"/>
                          </a:xfrm>
                          <a:custGeom>
                            <a:avLst/>
                            <a:gdLst>
                              <a:gd name="T0" fmla="*/ 0 w 7950"/>
                              <a:gd name="T1" fmla="*/ 8115 h 2670"/>
                              <a:gd name="T2" fmla="*/ 240 w 7950"/>
                              <a:gd name="T3" fmla="*/ 9435 h 2670"/>
                              <a:gd name="T4" fmla="*/ 645 w 7950"/>
                              <a:gd name="T5" fmla="*/ 8115 h 2670"/>
                              <a:gd name="T6" fmla="*/ 405 w 7950"/>
                              <a:gd name="T7" fmla="*/ 9435 h 2670"/>
                              <a:gd name="T8" fmla="*/ 645 w 7950"/>
                              <a:gd name="T9" fmla="*/ 8115 h 2670"/>
                              <a:gd name="T10" fmla="*/ 810 w 7950"/>
                              <a:gd name="T11" fmla="*/ 8115 h 2670"/>
                              <a:gd name="T12" fmla="*/ 1050 w 7950"/>
                              <a:gd name="T13" fmla="*/ 9435 h 2670"/>
                              <a:gd name="T14" fmla="*/ 1470 w 7950"/>
                              <a:gd name="T15" fmla="*/ 8115 h 2670"/>
                              <a:gd name="T16" fmla="*/ 1215 w 7950"/>
                              <a:gd name="T17" fmla="*/ 9435 h 2670"/>
                              <a:gd name="T18" fmla="*/ 1470 w 7950"/>
                              <a:gd name="T19" fmla="*/ 8115 h 2670"/>
                              <a:gd name="T20" fmla="*/ 1620 w 7950"/>
                              <a:gd name="T21" fmla="*/ 8115 h 2670"/>
                              <a:gd name="T22" fmla="*/ 1875 w 7950"/>
                              <a:gd name="T23" fmla="*/ 9435 h 2670"/>
                              <a:gd name="T24" fmla="*/ 2280 w 7950"/>
                              <a:gd name="T25" fmla="*/ 8115 h 2670"/>
                              <a:gd name="T26" fmla="*/ 2025 w 7950"/>
                              <a:gd name="T27" fmla="*/ 9435 h 2670"/>
                              <a:gd name="T28" fmla="*/ 2280 w 7950"/>
                              <a:gd name="T29" fmla="*/ 8115 h 2670"/>
                              <a:gd name="T30" fmla="*/ 2430 w 7950"/>
                              <a:gd name="T31" fmla="*/ 8115 h 2670"/>
                              <a:gd name="T32" fmla="*/ 2685 w 7950"/>
                              <a:gd name="T33" fmla="*/ 9435 h 2670"/>
                              <a:gd name="T34" fmla="*/ 3090 w 7950"/>
                              <a:gd name="T35" fmla="*/ 8115 h 2670"/>
                              <a:gd name="T36" fmla="*/ 2835 w 7950"/>
                              <a:gd name="T37" fmla="*/ 9435 h 2670"/>
                              <a:gd name="T38" fmla="*/ 3090 w 7950"/>
                              <a:gd name="T39" fmla="*/ 8115 h 2670"/>
                              <a:gd name="T40" fmla="*/ 3240 w 7950"/>
                              <a:gd name="T41" fmla="*/ 8115 h 2670"/>
                              <a:gd name="T42" fmla="*/ 3495 w 7950"/>
                              <a:gd name="T43" fmla="*/ 9435 h 2670"/>
                              <a:gd name="T44" fmla="*/ 3900 w 7950"/>
                              <a:gd name="T45" fmla="*/ 8115 h 2670"/>
                              <a:gd name="T46" fmla="*/ 3645 w 7950"/>
                              <a:gd name="T47" fmla="*/ 9435 h 2670"/>
                              <a:gd name="T48" fmla="*/ 3900 w 7950"/>
                              <a:gd name="T49" fmla="*/ 8115 h 2670"/>
                              <a:gd name="T50" fmla="*/ 4050 w 7950"/>
                              <a:gd name="T51" fmla="*/ 8115 h 2670"/>
                              <a:gd name="T52" fmla="*/ 4305 w 7950"/>
                              <a:gd name="T53" fmla="*/ 9435 h 2670"/>
                              <a:gd name="T54" fmla="*/ 4710 w 7950"/>
                              <a:gd name="T55" fmla="*/ 8115 h 2670"/>
                              <a:gd name="T56" fmla="*/ 4455 w 7950"/>
                              <a:gd name="T57" fmla="*/ 9435 h 2670"/>
                              <a:gd name="T58" fmla="*/ 4710 w 7950"/>
                              <a:gd name="T59" fmla="*/ 8115 h 2670"/>
                              <a:gd name="T60" fmla="*/ 4860 w 7950"/>
                              <a:gd name="T61" fmla="*/ 8115 h 2670"/>
                              <a:gd name="T62" fmla="*/ 5115 w 7950"/>
                              <a:gd name="T63" fmla="*/ 9435 h 2670"/>
                              <a:gd name="T64" fmla="*/ 5520 w 7950"/>
                              <a:gd name="T65" fmla="*/ 8115 h 2670"/>
                              <a:gd name="T66" fmla="*/ 5265 w 7950"/>
                              <a:gd name="T67" fmla="*/ 9435 h 2670"/>
                              <a:gd name="T68" fmla="*/ 5520 w 7950"/>
                              <a:gd name="T69" fmla="*/ 8115 h 2670"/>
                              <a:gd name="T70" fmla="*/ 5670 w 7950"/>
                              <a:gd name="T71" fmla="*/ 6765 h 2670"/>
                              <a:gd name="T72" fmla="*/ 5925 w 7950"/>
                              <a:gd name="T73" fmla="*/ 9435 h 2670"/>
                              <a:gd name="T74" fmla="*/ 6330 w 7950"/>
                              <a:gd name="T75" fmla="*/ 8115 h 2670"/>
                              <a:gd name="T76" fmla="*/ 6075 w 7950"/>
                              <a:gd name="T77" fmla="*/ 9435 h 2670"/>
                              <a:gd name="T78" fmla="*/ 6330 w 7950"/>
                              <a:gd name="T79" fmla="*/ 8115 h 2670"/>
                              <a:gd name="T80" fmla="*/ 6480 w 7950"/>
                              <a:gd name="T81" fmla="*/ 6765 h 2670"/>
                              <a:gd name="T82" fmla="*/ 6735 w 7950"/>
                              <a:gd name="T83" fmla="*/ 9435 h 2670"/>
                              <a:gd name="T84" fmla="*/ 7140 w 7950"/>
                              <a:gd name="T85" fmla="*/ 8115 h 2670"/>
                              <a:gd name="T86" fmla="*/ 6900 w 7950"/>
                              <a:gd name="T87" fmla="*/ 9435 h 2670"/>
                              <a:gd name="T88" fmla="*/ 7140 w 7950"/>
                              <a:gd name="T89" fmla="*/ 8115 h 2670"/>
                              <a:gd name="T90" fmla="*/ 7305 w 7950"/>
                              <a:gd name="T91" fmla="*/ 8115 h 2670"/>
                              <a:gd name="T92" fmla="*/ 7545 w 7950"/>
                              <a:gd name="T93" fmla="*/ 9435 h 2670"/>
                              <a:gd name="T94" fmla="*/ 7950 w 7950"/>
                              <a:gd name="T95" fmla="*/ 8115 h 2670"/>
                              <a:gd name="T96" fmla="*/ 7710 w 7950"/>
                              <a:gd name="T97" fmla="*/ 9435 h 2670"/>
                              <a:gd name="T98" fmla="*/ 7950 w 7950"/>
                              <a:gd name="T99" fmla="*/ 8115 h 267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950" h="2670">
                                <a:moveTo>
                                  <a:pt x="240" y="1350"/>
                                </a:moveTo>
                                <a:lnTo>
                                  <a:pt x="0" y="1350"/>
                                </a:lnTo>
                                <a:lnTo>
                                  <a:pt x="0" y="2670"/>
                                </a:lnTo>
                                <a:lnTo>
                                  <a:pt x="240" y="2670"/>
                                </a:lnTo>
                                <a:lnTo>
                                  <a:pt x="240" y="1350"/>
                                </a:lnTo>
                                <a:close/>
                                <a:moveTo>
                                  <a:pt x="645" y="1350"/>
                                </a:moveTo>
                                <a:lnTo>
                                  <a:pt x="405" y="1350"/>
                                </a:lnTo>
                                <a:lnTo>
                                  <a:pt x="405" y="2670"/>
                                </a:lnTo>
                                <a:lnTo>
                                  <a:pt x="645" y="2670"/>
                                </a:lnTo>
                                <a:lnTo>
                                  <a:pt x="645" y="1350"/>
                                </a:lnTo>
                                <a:close/>
                                <a:moveTo>
                                  <a:pt x="1050" y="1350"/>
                                </a:moveTo>
                                <a:lnTo>
                                  <a:pt x="810" y="1350"/>
                                </a:lnTo>
                                <a:lnTo>
                                  <a:pt x="810" y="2670"/>
                                </a:lnTo>
                                <a:lnTo>
                                  <a:pt x="1050" y="2670"/>
                                </a:lnTo>
                                <a:lnTo>
                                  <a:pt x="1050" y="1350"/>
                                </a:lnTo>
                                <a:close/>
                                <a:moveTo>
                                  <a:pt x="1470" y="1350"/>
                                </a:moveTo>
                                <a:lnTo>
                                  <a:pt x="1215" y="1350"/>
                                </a:lnTo>
                                <a:lnTo>
                                  <a:pt x="1215" y="2670"/>
                                </a:lnTo>
                                <a:lnTo>
                                  <a:pt x="1470" y="2670"/>
                                </a:lnTo>
                                <a:lnTo>
                                  <a:pt x="1470" y="1350"/>
                                </a:lnTo>
                                <a:close/>
                                <a:moveTo>
                                  <a:pt x="1875" y="1350"/>
                                </a:moveTo>
                                <a:lnTo>
                                  <a:pt x="1620" y="1350"/>
                                </a:lnTo>
                                <a:lnTo>
                                  <a:pt x="1620" y="2670"/>
                                </a:lnTo>
                                <a:lnTo>
                                  <a:pt x="1875" y="2670"/>
                                </a:lnTo>
                                <a:lnTo>
                                  <a:pt x="1875" y="1350"/>
                                </a:lnTo>
                                <a:close/>
                                <a:moveTo>
                                  <a:pt x="2280" y="1350"/>
                                </a:moveTo>
                                <a:lnTo>
                                  <a:pt x="2025" y="1350"/>
                                </a:lnTo>
                                <a:lnTo>
                                  <a:pt x="2025" y="2670"/>
                                </a:lnTo>
                                <a:lnTo>
                                  <a:pt x="2280" y="2670"/>
                                </a:lnTo>
                                <a:lnTo>
                                  <a:pt x="2280" y="1350"/>
                                </a:lnTo>
                                <a:close/>
                                <a:moveTo>
                                  <a:pt x="2685" y="1350"/>
                                </a:moveTo>
                                <a:lnTo>
                                  <a:pt x="2430" y="1350"/>
                                </a:lnTo>
                                <a:lnTo>
                                  <a:pt x="2430" y="2670"/>
                                </a:lnTo>
                                <a:lnTo>
                                  <a:pt x="2685" y="2670"/>
                                </a:lnTo>
                                <a:lnTo>
                                  <a:pt x="2685" y="1350"/>
                                </a:lnTo>
                                <a:close/>
                                <a:moveTo>
                                  <a:pt x="3090" y="1350"/>
                                </a:moveTo>
                                <a:lnTo>
                                  <a:pt x="2835" y="1350"/>
                                </a:lnTo>
                                <a:lnTo>
                                  <a:pt x="2835" y="2670"/>
                                </a:lnTo>
                                <a:lnTo>
                                  <a:pt x="3090" y="2670"/>
                                </a:lnTo>
                                <a:lnTo>
                                  <a:pt x="3090" y="1350"/>
                                </a:lnTo>
                                <a:close/>
                                <a:moveTo>
                                  <a:pt x="3495" y="1350"/>
                                </a:moveTo>
                                <a:lnTo>
                                  <a:pt x="3240" y="1350"/>
                                </a:lnTo>
                                <a:lnTo>
                                  <a:pt x="3240" y="2670"/>
                                </a:lnTo>
                                <a:lnTo>
                                  <a:pt x="3495" y="2670"/>
                                </a:lnTo>
                                <a:lnTo>
                                  <a:pt x="3495" y="1350"/>
                                </a:lnTo>
                                <a:close/>
                                <a:moveTo>
                                  <a:pt x="3900" y="1350"/>
                                </a:moveTo>
                                <a:lnTo>
                                  <a:pt x="3645" y="1350"/>
                                </a:lnTo>
                                <a:lnTo>
                                  <a:pt x="3645" y="2670"/>
                                </a:lnTo>
                                <a:lnTo>
                                  <a:pt x="3900" y="2670"/>
                                </a:lnTo>
                                <a:lnTo>
                                  <a:pt x="3900" y="1350"/>
                                </a:lnTo>
                                <a:close/>
                                <a:moveTo>
                                  <a:pt x="4305" y="1350"/>
                                </a:moveTo>
                                <a:lnTo>
                                  <a:pt x="4050" y="1350"/>
                                </a:lnTo>
                                <a:lnTo>
                                  <a:pt x="4050" y="2670"/>
                                </a:lnTo>
                                <a:lnTo>
                                  <a:pt x="4305" y="2670"/>
                                </a:lnTo>
                                <a:lnTo>
                                  <a:pt x="4305" y="1350"/>
                                </a:lnTo>
                                <a:close/>
                                <a:moveTo>
                                  <a:pt x="4710" y="1350"/>
                                </a:moveTo>
                                <a:lnTo>
                                  <a:pt x="4455" y="1350"/>
                                </a:lnTo>
                                <a:lnTo>
                                  <a:pt x="4455" y="2670"/>
                                </a:lnTo>
                                <a:lnTo>
                                  <a:pt x="4710" y="2670"/>
                                </a:lnTo>
                                <a:lnTo>
                                  <a:pt x="4710" y="1350"/>
                                </a:lnTo>
                                <a:close/>
                                <a:moveTo>
                                  <a:pt x="5115" y="1350"/>
                                </a:moveTo>
                                <a:lnTo>
                                  <a:pt x="4860" y="1350"/>
                                </a:lnTo>
                                <a:lnTo>
                                  <a:pt x="4860" y="2670"/>
                                </a:lnTo>
                                <a:lnTo>
                                  <a:pt x="5115" y="2670"/>
                                </a:lnTo>
                                <a:lnTo>
                                  <a:pt x="5115" y="1350"/>
                                </a:lnTo>
                                <a:close/>
                                <a:moveTo>
                                  <a:pt x="5520" y="1350"/>
                                </a:moveTo>
                                <a:lnTo>
                                  <a:pt x="5265" y="1350"/>
                                </a:lnTo>
                                <a:lnTo>
                                  <a:pt x="5265" y="2670"/>
                                </a:lnTo>
                                <a:lnTo>
                                  <a:pt x="5520" y="2670"/>
                                </a:lnTo>
                                <a:lnTo>
                                  <a:pt x="5520" y="1350"/>
                                </a:lnTo>
                                <a:close/>
                                <a:moveTo>
                                  <a:pt x="5925" y="0"/>
                                </a:moveTo>
                                <a:lnTo>
                                  <a:pt x="5670" y="0"/>
                                </a:lnTo>
                                <a:lnTo>
                                  <a:pt x="5670" y="2670"/>
                                </a:lnTo>
                                <a:lnTo>
                                  <a:pt x="5925" y="2670"/>
                                </a:lnTo>
                                <a:lnTo>
                                  <a:pt x="5925" y="0"/>
                                </a:lnTo>
                                <a:close/>
                                <a:moveTo>
                                  <a:pt x="6330" y="1350"/>
                                </a:moveTo>
                                <a:lnTo>
                                  <a:pt x="6075" y="1350"/>
                                </a:lnTo>
                                <a:lnTo>
                                  <a:pt x="6075" y="2670"/>
                                </a:lnTo>
                                <a:lnTo>
                                  <a:pt x="6330" y="2670"/>
                                </a:lnTo>
                                <a:lnTo>
                                  <a:pt x="6330" y="1350"/>
                                </a:lnTo>
                                <a:close/>
                                <a:moveTo>
                                  <a:pt x="6735" y="0"/>
                                </a:moveTo>
                                <a:lnTo>
                                  <a:pt x="6480" y="0"/>
                                </a:lnTo>
                                <a:lnTo>
                                  <a:pt x="6480" y="2670"/>
                                </a:lnTo>
                                <a:lnTo>
                                  <a:pt x="6735" y="2670"/>
                                </a:lnTo>
                                <a:lnTo>
                                  <a:pt x="6735" y="0"/>
                                </a:lnTo>
                                <a:close/>
                                <a:moveTo>
                                  <a:pt x="7140" y="1350"/>
                                </a:moveTo>
                                <a:lnTo>
                                  <a:pt x="6900" y="1350"/>
                                </a:lnTo>
                                <a:lnTo>
                                  <a:pt x="6900" y="2670"/>
                                </a:lnTo>
                                <a:lnTo>
                                  <a:pt x="7140" y="2670"/>
                                </a:lnTo>
                                <a:lnTo>
                                  <a:pt x="7140" y="1350"/>
                                </a:lnTo>
                                <a:close/>
                                <a:moveTo>
                                  <a:pt x="7545" y="1350"/>
                                </a:moveTo>
                                <a:lnTo>
                                  <a:pt x="7305" y="1350"/>
                                </a:lnTo>
                                <a:lnTo>
                                  <a:pt x="7305" y="2670"/>
                                </a:lnTo>
                                <a:lnTo>
                                  <a:pt x="7545" y="2670"/>
                                </a:lnTo>
                                <a:lnTo>
                                  <a:pt x="7545" y="1350"/>
                                </a:lnTo>
                                <a:close/>
                                <a:moveTo>
                                  <a:pt x="7950" y="1350"/>
                                </a:moveTo>
                                <a:lnTo>
                                  <a:pt x="7710" y="1350"/>
                                </a:lnTo>
                                <a:lnTo>
                                  <a:pt x="7710" y="2670"/>
                                </a:lnTo>
                                <a:lnTo>
                                  <a:pt x="7950" y="2670"/>
                                </a:lnTo>
                                <a:lnTo>
                                  <a:pt x="7950" y="1350"/>
                                </a:lnTo>
                                <a:close/>
                              </a:path>
                            </a:pathLst>
                          </a:custGeom>
                          <a:solidFill>
                            <a:srgbClr val="663AB6"/>
                          </a:solidFill>
                          <a:ln>
                            <a:noFill/>
                          </a:ln>
                          <a:effectLst/>
                        </wps:spPr>
                        <wps:bodyPr rot="0" vert="horz" wrap="square" lIns="91440" tIns="45720" rIns="91440" bIns="45720" anchor="t" anchorCtr="0" upright="1">
                          <a:noAutofit/>
                        </wps:bodyPr>
                      </wps:wsp>
                      <wps:wsp>
                        <wps:cNvPr id="1440473553" name="Rectangle 33"/>
                        <wps:cNvSpPr>
                          <a:spLocks noChangeArrowheads="1"/>
                        </wps:cNvSpPr>
                        <wps:spPr bwMode="auto">
                          <a:xfrm>
                            <a:off x="2070" y="9435"/>
                            <a:ext cx="8130" cy="15"/>
                          </a:xfrm>
                          <a:prstGeom prst="rect">
                            <a:avLst/>
                          </a:prstGeom>
                          <a:solidFill>
                            <a:srgbClr val="333333"/>
                          </a:solidFill>
                          <a:ln>
                            <a:noFill/>
                          </a:ln>
                          <a:effectLst/>
                        </wps:spPr>
                        <wps:bodyPr rot="0" vert="horz" wrap="square" lIns="91440" tIns="45720" rIns="91440" bIns="45720" anchor="t" anchorCtr="0" upright="1">
                          <a:noAutofit/>
                        </wps:bodyPr>
                      </wps:wsp>
                      <wps:wsp>
                        <wps:cNvPr id="657500924" name="Rectangle 32"/>
                        <wps:cNvSpPr>
                          <a:spLocks noChangeArrowheads="1"/>
                        </wps:cNvSpPr>
                        <wps:spPr bwMode="auto">
                          <a:xfrm>
                            <a:off x="8355" y="7935"/>
                            <a:ext cx="15" cy="180"/>
                          </a:xfrm>
                          <a:prstGeom prst="rect">
                            <a:avLst/>
                          </a:prstGeom>
                          <a:solidFill>
                            <a:srgbClr val="999999"/>
                          </a:solidFill>
                          <a:ln>
                            <a:noFill/>
                          </a:ln>
                          <a:effectLst/>
                        </wps:spPr>
                        <wps:bodyPr rot="0" vert="horz" wrap="square" lIns="91440" tIns="45720" rIns="91440" bIns="45720" anchor="t" anchorCtr="0" upright="1">
                          <a:noAutofit/>
                        </wps:bodyPr>
                      </wps:wsp>
                      <pic:pic xmlns:pic="http://schemas.openxmlformats.org/drawingml/2006/picture">
                        <pic:nvPicPr>
                          <pic:cNvPr id="1069214750" name="Picture 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1936" y="7754"/>
                            <a:ext cx="5965" cy="361"/>
                          </a:xfrm>
                          <a:prstGeom prst="rect">
                            <a:avLst/>
                          </a:prstGeom>
                          <a:noFill/>
                          <a:ln>
                            <a:noFill/>
                          </a:ln>
                          <a:effectLst/>
                        </pic:spPr>
                      </pic:pic>
                      <pic:pic xmlns:pic="http://schemas.openxmlformats.org/drawingml/2006/picture">
                        <pic:nvPicPr>
                          <pic:cNvPr id="1740222049" name="Picture 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7592" y="6765"/>
                            <a:ext cx="1524" cy="394"/>
                          </a:xfrm>
                          <a:prstGeom prst="rect">
                            <a:avLst/>
                          </a:prstGeom>
                          <a:noFill/>
                          <a:ln>
                            <a:noFill/>
                          </a:ln>
                          <a:effectLst/>
                        </pic:spPr>
                      </pic:pic>
                      <wps:wsp>
                        <wps:cNvPr id="283678641" name="AutoShape 29"/>
                        <wps:cNvSpPr/>
                        <wps:spPr bwMode="auto">
                          <a:xfrm>
                            <a:off x="8034" y="7776"/>
                            <a:ext cx="655" cy="169"/>
                          </a:xfrm>
                          <a:custGeom>
                            <a:avLst/>
                            <a:gdLst>
                              <a:gd name="T0" fmla="*/ 23 w 655"/>
                              <a:gd name="T1" fmla="*/ 7814 h 169"/>
                              <a:gd name="T2" fmla="*/ 0 w 655"/>
                              <a:gd name="T3" fmla="*/ 7811 h 169"/>
                              <a:gd name="T4" fmla="*/ 35 w 655"/>
                              <a:gd name="T5" fmla="*/ 7784 h 169"/>
                              <a:gd name="T6" fmla="*/ 167 w 655"/>
                              <a:gd name="T7" fmla="*/ 7937 h 169"/>
                              <a:gd name="T8" fmla="*/ 144 w 655"/>
                              <a:gd name="T9" fmla="*/ 7884 h 169"/>
                              <a:gd name="T10" fmla="*/ 146 w 655"/>
                              <a:gd name="T11" fmla="*/ 7831 h 169"/>
                              <a:gd name="T12" fmla="*/ 173 w 655"/>
                              <a:gd name="T13" fmla="*/ 7777 h 169"/>
                              <a:gd name="T14" fmla="*/ 167 w 655"/>
                              <a:gd name="T15" fmla="*/ 7811 h 169"/>
                              <a:gd name="T16" fmla="*/ 158 w 655"/>
                              <a:gd name="T17" fmla="*/ 7861 h 169"/>
                              <a:gd name="T18" fmla="*/ 173 w 655"/>
                              <a:gd name="T19" fmla="*/ 7946 h 169"/>
                              <a:gd name="T20" fmla="*/ 252 w 655"/>
                              <a:gd name="T21" fmla="*/ 7779 h 169"/>
                              <a:gd name="T22" fmla="*/ 265 w 655"/>
                              <a:gd name="T23" fmla="*/ 7877 h 169"/>
                              <a:gd name="T24" fmla="*/ 209 w 655"/>
                              <a:gd name="T25" fmla="*/ 7862 h 169"/>
                              <a:gd name="T26" fmla="*/ 325 w 655"/>
                              <a:gd name="T27" fmla="*/ 7908 h 169"/>
                              <a:gd name="T28" fmla="*/ 369 w 655"/>
                              <a:gd name="T29" fmla="*/ 7887 h 169"/>
                              <a:gd name="T30" fmla="*/ 397 w 655"/>
                              <a:gd name="T31" fmla="*/ 7897 h 169"/>
                              <a:gd name="T32" fmla="*/ 417 w 655"/>
                              <a:gd name="T33" fmla="*/ 7866 h 169"/>
                              <a:gd name="T34" fmla="*/ 398 w 655"/>
                              <a:gd name="T35" fmla="*/ 7836 h 169"/>
                              <a:gd name="T36" fmla="*/ 372 w 655"/>
                              <a:gd name="T37" fmla="*/ 7842 h 169"/>
                              <a:gd name="T38" fmla="*/ 428 w 655"/>
                              <a:gd name="T39" fmla="*/ 7781 h 169"/>
                              <a:gd name="T40" fmla="*/ 385 w 655"/>
                              <a:gd name="T41" fmla="*/ 7822 h 169"/>
                              <a:gd name="T42" fmla="*/ 430 w 655"/>
                              <a:gd name="T43" fmla="*/ 7842 h 169"/>
                              <a:gd name="T44" fmla="*/ 424 w 655"/>
                              <a:gd name="T45" fmla="*/ 7894 h 169"/>
                              <a:gd name="T46" fmla="*/ 368 w 655"/>
                              <a:gd name="T47" fmla="*/ 7907 h 169"/>
                              <a:gd name="T48" fmla="*/ 451 w 655"/>
                              <a:gd name="T49" fmla="*/ 7810 h 169"/>
                              <a:gd name="T50" fmla="*/ 470 w 655"/>
                              <a:gd name="T51" fmla="*/ 7777 h 169"/>
                              <a:gd name="T52" fmla="*/ 504 w 655"/>
                              <a:gd name="T53" fmla="*/ 7791 h 169"/>
                              <a:gd name="T54" fmla="*/ 498 w 655"/>
                              <a:gd name="T55" fmla="*/ 7836 h 169"/>
                              <a:gd name="T56" fmla="*/ 464 w 655"/>
                              <a:gd name="T57" fmla="*/ 7842 h 169"/>
                              <a:gd name="T58" fmla="*/ 479 w 655"/>
                              <a:gd name="T59" fmla="*/ 7788 h 169"/>
                              <a:gd name="T60" fmla="*/ 465 w 655"/>
                              <a:gd name="T61" fmla="*/ 7802 h 169"/>
                              <a:gd name="T62" fmla="*/ 472 w 655"/>
                              <a:gd name="T63" fmla="*/ 7832 h 169"/>
                              <a:gd name="T64" fmla="*/ 489 w 655"/>
                              <a:gd name="T65" fmla="*/ 7829 h 169"/>
                              <a:gd name="T66" fmla="*/ 491 w 655"/>
                              <a:gd name="T67" fmla="*/ 7796 h 169"/>
                              <a:gd name="T68" fmla="*/ 479 w 655"/>
                              <a:gd name="T69" fmla="*/ 7913 h 169"/>
                              <a:gd name="T70" fmla="*/ 535 w 655"/>
                              <a:gd name="T71" fmla="*/ 7878 h 169"/>
                              <a:gd name="T72" fmla="*/ 553 w 655"/>
                              <a:gd name="T73" fmla="*/ 7844 h 169"/>
                              <a:gd name="T74" fmla="*/ 587 w 655"/>
                              <a:gd name="T75" fmla="*/ 7859 h 169"/>
                              <a:gd name="T76" fmla="*/ 582 w 655"/>
                              <a:gd name="T77" fmla="*/ 7904 h 169"/>
                              <a:gd name="T78" fmla="*/ 548 w 655"/>
                              <a:gd name="T79" fmla="*/ 7910 h 169"/>
                              <a:gd name="T80" fmla="*/ 562 w 655"/>
                              <a:gd name="T81" fmla="*/ 7855 h 169"/>
                              <a:gd name="T82" fmla="*/ 549 w 655"/>
                              <a:gd name="T83" fmla="*/ 7870 h 169"/>
                              <a:gd name="T84" fmla="*/ 555 w 655"/>
                              <a:gd name="T85" fmla="*/ 7900 h 169"/>
                              <a:gd name="T86" fmla="*/ 572 w 655"/>
                              <a:gd name="T87" fmla="*/ 7897 h 169"/>
                              <a:gd name="T88" fmla="*/ 575 w 655"/>
                              <a:gd name="T89" fmla="*/ 7864 h 169"/>
                              <a:gd name="T90" fmla="*/ 623 w 655"/>
                              <a:gd name="T91" fmla="*/ 7946 h 169"/>
                              <a:gd name="T92" fmla="*/ 638 w 655"/>
                              <a:gd name="T93" fmla="*/ 7861 h 169"/>
                              <a:gd name="T94" fmla="*/ 630 w 655"/>
                              <a:gd name="T95" fmla="*/ 7811 h 169"/>
                              <a:gd name="T96" fmla="*/ 623 w 655"/>
                              <a:gd name="T97" fmla="*/ 7777 h 169"/>
                              <a:gd name="T98" fmla="*/ 651 w 655"/>
                              <a:gd name="T99" fmla="*/ 7831 h 169"/>
                              <a:gd name="T100" fmla="*/ 652 w 655"/>
                              <a:gd name="T101" fmla="*/ 7884 h 169"/>
                              <a:gd name="T102" fmla="*/ 630 w 655"/>
                              <a:gd name="T103" fmla="*/ 7937 h 16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55" h="169">
                                <a:moveTo>
                                  <a:pt x="48" y="131"/>
                                </a:moveTo>
                                <a:lnTo>
                                  <a:pt x="32" y="131"/>
                                </a:lnTo>
                                <a:lnTo>
                                  <a:pt x="32" y="30"/>
                                </a:lnTo>
                                <a:lnTo>
                                  <a:pt x="28" y="34"/>
                                </a:lnTo>
                                <a:lnTo>
                                  <a:pt x="23" y="37"/>
                                </a:lnTo>
                                <a:lnTo>
                                  <a:pt x="17" y="41"/>
                                </a:lnTo>
                                <a:lnTo>
                                  <a:pt x="11" y="45"/>
                                </a:lnTo>
                                <a:lnTo>
                                  <a:pt x="5" y="47"/>
                                </a:lnTo>
                                <a:lnTo>
                                  <a:pt x="0" y="49"/>
                                </a:lnTo>
                                <a:lnTo>
                                  <a:pt x="0" y="34"/>
                                </a:lnTo>
                                <a:lnTo>
                                  <a:pt x="9" y="30"/>
                                </a:lnTo>
                                <a:lnTo>
                                  <a:pt x="17" y="25"/>
                                </a:lnTo>
                                <a:lnTo>
                                  <a:pt x="23" y="19"/>
                                </a:lnTo>
                                <a:lnTo>
                                  <a:pt x="30" y="13"/>
                                </a:lnTo>
                                <a:lnTo>
                                  <a:pt x="35" y="7"/>
                                </a:lnTo>
                                <a:lnTo>
                                  <a:pt x="38" y="1"/>
                                </a:lnTo>
                                <a:lnTo>
                                  <a:pt x="48" y="1"/>
                                </a:lnTo>
                                <a:lnTo>
                                  <a:pt x="48" y="131"/>
                                </a:lnTo>
                                <a:close/>
                                <a:moveTo>
                                  <a:pt x="173" y="169"/>
                                </a:moveTo>
                                <a:lnTo>
                                  <a:pt x="167" y="160"/>
                                </a:lnTo>
                                <a:lnTo>
                                  <a:pt x="161" y="151"/>
                                </a:lnTo>
                                <a:lnTo>
                                  <a:pt x="156" y="141"/>
                                </a:lnTo>
                                <a:lnTo>
                                  <a:pt x="151" y="130"/>
                                </a:lnTo>
                                <a:lnTo>
                                  <a:pt x="147" y="119"/>
                                </a:lnTo>
                                <a:lnTo>
                                  <a:pt x="144" y="107"/>
                                </a:lnTo>
                                <a:lnTo>
                                  <a:pt x="142" y="96"/>
                                </a:lnTo>
                                <a:lnTo>
                                  <a:pt x="142" y="84"/>
                                </a:lnTo>
                                <a:lnTo>
                                  <a:pt x="142" y="74"/>
                                </a:lnTo>
                                <a:lnTo>
                                  <a:pt x="143" y="64"/>
                                </a:lnTo>
                                <a:lnTo>
                                  <a:pt x="146" y="54"/>
                                </a:lnTo>
                                <a:lnTo>
                                  <a:pt x="148" y="44"/>
                                </a:lnTo>
                                <a:lnTo>
                                  <a:pt x="153" y="33"/>
                                </a:lnTo>
                                <a:lnTo>
                                  <a:pt x="159" y="22"/>
                                </a:lnTo>
                                <a:lnTo>
                                  <a:pt x="165" y="11"/>
                                </a:lnTo>
                                <a:lnTo>
                                  <a:pt x="173" y="0"/>
                                </a:lnTo>
                                <a:lnTo>
                                  <a:pt x="184" y="0"/>
                                </a:lnTo>
                                <a:lnTo>
                                  <a:pt x="177" y="12"/>
                                </a:lnTo>
                                <a:lnTo>
                                  <a:pt x="172" y="21"/>
                                </a:lnTo>
                                <a:lnTo>
                                  <a:pt x="170" y="26"/>
                                </a:lnTo>
                                <a:lnTo>
                                  <a:pt x="167" y="34"/>
                                </a:lnTo>
                                <a:lnTo>
                                  <a:pt x="164" y="42"/>
                                </a:lnTo>
                                <a:lnTo>
                                  <a:pt x="162" y="51"/>
                                </a:lnTo>
                                <a:lnTo>
                                  <a:pt x="159" y="62"/>
                                </a:lnTo>
                                <a:lnTo>
                                  <a:pt x="158" y="73"/>
                                </a:lnTo>
                                <a:lnTo>
                                  <a:pt x="158" y="84"/>
                                </a:lnTo>
                                <a:lnTo>
                                  <a:pt x="160" y="105"/>
                                </a:lnTo>
                                <a:lnTo>
                                  <a:pt x="165" y="126"/>
                                </a:lnTo>
                                <a:lnTo>
                                  <a:pt x="173" y="148"/>
                                </a:lnTo>
                                <a:lnTo>
                                  <a:pt x="184" y="169"/>
                                </a:lnTo>
                                <a:lnTo>
                                  <a:pt x="173" y="169"/>
                                </a:lnTo>
                                <a:close/>
                                <a:moveTo>
                                  <a:pt x="249" y="131"/>
                                </a:moveTo>
                                <a:lnTo>
                                  <a:pt x="249" y="100"/>
                                </a:lnTo>
                                <a:lnTo>
                                  <a:pt x="193" y="100"/>
                                </a:lnTo>
                                <a:lnTo>
                                  <a:pt x="193" y="85"/>
                                </a:lnTo>
                                <a:lnTo>
                                  <a:pt x="252" y="2"/>
                                </a:lnTo>
                                <a:lnTo>
                                  <a:pt x="265" y="2"/>
                                </a:lnTo>
                                <a:lnTo>
                                  <a:pt x="265" y="85"/>
                                </a:lnTo>
                                <a:lnTo>
                                  <a:pt x="282" y="85"/>
                                </a:lnTo>
                                <a:lnTo>
                                  <a:pt x="282" y="100"/>
                                </a:lnTo>
                                <a:lnTo>
                                  <a:pt x="265" y="100"/>
                                </a:lnTo>
                                <a:lnTo>
                                  <a:pt x="265" y="131"/>
                                </a:lnTo>
                                <a:lnTo>
                                  <a:pt x="249" y="131"/>
                                </a:lnTo>
                                <a:close/>
                                <a:moveTo>
                                  <a:pt x="249" y="85"/>
                                </a:moveTo>
                                <a:lnTo>
                                  <a:pt x="249" y="27"/>
                                </a:lnTo>
                                <a:lnTo>
                                  <a:pt x="209" y="85"/>
                                </a:lnTo>
                                <a:lnTo>
                                  <a:pt x="249" y="85"/>
                                </a:lnTo>
                                <a:close/>
                                <a:moveTo>
                                  <a:pt x="307" y="131"/>
                                </a:moveTo>
                                <a:lnTo>
                                  <a:pt x="307" y="113"/>
                                </a:lnTo>
                                <a:lnTo>
                                  <a:pt x="325" y="113"/>
                                </a:lnTo>
                                <a:lnTo>
                                  <a:pt x="325" y="131"/>
                                </a:lnTo>
                                <a:lnTo>
                                  <a:pt x="307" y="131"/>
                                </a:lnTo>
                                <a:close/>
                                <a:moveTo>
                                  <a:pt x="348" y="97"/>
                                </a:moveTo>
                                <a:lnTo>
                                  <a:pt x="365" y="96"/>
                                </a:lnTo>
                                <a:lnTo>
                                  <a:pt x="366" y="104"/>
                                </a:lnTo>
                                <a:lnTo>
                                  <a:pt x="369" y="110"/>
                                </a:lnTo>
                                <a:lnTo>
                                  <a:pt x="374" y="114"/>
                                </a:lnTo>
                                <a:lnTo>
                                  <a:pt x="378" y="118"/>
                                </a:lnTo>
                                <a:lnTo>
                                  <a:pt x="383" y="120"/>
                                </a:lnTo>
                                <a:lnTo>
                                  <a:pt x="390" y="120"/>
                                </a:lnTo>
                                <a:lnTo>
                                  <a:pt x="397" y="120"/>
                                </a:lnTo>
                                <a:lnTo>
                                  <a:pt x="404" y="117"/>
                                </a:lnTo>
                                <a:lnTo>
                                  <a:pt x="409" y="111"/>
                                </a:lnTo>
                                <a:lnTo>
                                  <a:pt x="414" y="106"/>
                                </a:lnTo>
                                <a:lnTo>
                                  <a:pt x="417" y="98"/>
                                </a:lnTo>
                                <a:lnTo>
                                  <a:pt x="417" y="89"/>
                                </a:lnTo>
                                <a:lnTo>
                                  <a:pt x="417" y="80"/>
                                </a:lnTo>
                                <a:lnTo>
                                  <a:pt x="414" y="72"/>
                                </a:lnTo>
                                <a:lnTo>
                                  <a:pt x="409" y="67"/>
                                </a:lnTo>
                                <a:lnTo>
                                  <a:pt x="404" y="62"/>
                                </a:lnTo>
                                <a:lnTo>
                                  <a:pt x="398" y="59"/>
                                </a:lnTo>
                                <a:lnTo>
                                  <a:pt x="389" y="59"/>
                                </a:lnTo>
                                <a:lnTo>
                                  <a:pt x="384" y="59"/>
                                </a:lnTo>
                                <a:lnTo>
                                  <a:pt x="380" y="61"/>
                                </a:lnTo>
                                <a:lnTo>
                                  <a:pt x="376" y="63"/>
                                </a:lnTo>
                                <a:lnTo>
                                  <a:pt x="372" y="65"/>
                                </a:lnTo>
                                <a:lnTo>
                                  <a:pt x="368" y="68"/>
                                </a:lnTo>
                                <a:lnTo>
                                  <a:pt x="366" y="72"/>
                                </a:lnTo>
                                <a:lnTo>
                                  <a:pt x="351" y="70"/>
                                </a:lnTo>
                                <a:lnTo>
                                  <a:pt x="364" y="4"/>
                                </a:lnTo>
                                <a:lnTo>
                                  <a:pt x="428" y="4"/>
                                </a:lnTo>
                                <a:lnTo>
                                  <a:pt x="428" y="19"/>
                                </a:lnTo>
                                <a:lnTo>
                                  <a:pt x="376" y="19"/>
                                </a:lnTo>
                                <a:lnTo>
                                  <a:pt x="369" y="53"/>
                                </a:lnTo>
                                <a:lnTo>
                                  <a:pt x="377" y="48"/>
                                </a:lnTo>
                                <a:lnTo>
                                  <a:pt x="385" y="45"/>
                                </a:lnTo>
                                <a:lnTo>
                                  <a:pt x="394" y="45"/>
                                </a:lnTo>
                                <a:lnTo>
                                  <a:pt x="405" y="45"/>
                                </a:lnTo>
                                <a:lnTo>
                                  <a:pt x="414" y="49"/>
                                </a:lnTo>
                                <a:lnTo>
                                  <a:pt x="422" y="57"/>
                                </a:lnTo>
                                <a:lnTo>
                                  <a:pt x="430" y="65"/>
                                </a:lnTo>
                                <a:lnTo>
                                  <a:pt x="434" y="75"/>
                                </a:lnTo>
                                <a:lnTo>
                                  <a:pt x="434" y="87"/>
                                </a:lnTo>
                                <a:lnTo>
                                  <a:pt x="434" y="99"/>
                                </a:lnTo>
                                <a:lnTo>
                                  <a:pt x="430" y="109"/>
                                </a:lnTo>
                                <a:lnTo>
                                  <a:pt x="424" y="117"/>
                                </a:lnTo>
                                <a:lnTo>
                                  <a:pt x="415" y="128"/>
                                </a:lnTo>
                                <a:lnTo>
                                  <a:pt x="404" y="133"/>
                                </a:lnTo>
                                <a:lnTo>
                                  <a:pt x="390" y="133"/>
                                </a:lnTo>
                                <a:lnTo>
                                  <a:pt x="378" y="133"/>
                                </a:lnTo>
                                <a:lnTo>
                                  <a:pt x="368" y="130"/>
                                </a:lnTo>
                                <a:lnTo>
                                  <a:pt x="361" y="123"/>
                                </a:lnTo>
                                <a:lnTo>
                                  <a:pt x="354" y="117"/>
                                </a:lnTo>
                                <a:lnTo>
                                  <a:pt x="349" y="108"/>
                                </a:lnTo>
                                <a:lnTo>
                                  <a:pt x="348" y="97"/>
                                </a:lnTo>
                                <a:close/>
                                <a:moveTo>
                                  <a:pt x="451" y="33"/>
                                </a:moveTo>
                                <a:lnTo>
                                  <a:pt x="451" y="24"/>
                                </a:lnTo>
                                <a:lnTo>
                                  <a:pt x="454" y="16"/>
                                </a:lnTo>
                                <a:lnTo>
                                  <a:pt x="458" y="9"/>
                                </a:lnTo>
                                <a:lnTo>
                                  <a:pt x="463" y="3"/>
                                </a:lnTo>
                                <a:lnTo>
                                  <a:pt x="470" y="0"/>
                                </a:lnTo>
                                <a:lnTo>
                                  <a:pt x="478" y="0"/>
                                </a:lnTo>
                                <a:lnTo>
                                  <a:pt x="487" y="0"/>
                                </a:lnTo>
                                <a:lnTo>
                                  <a:pt x="493" y="3"/>
                                </a:lnTo>
                                <a:lnTo>
                                  <a:pt x="499" y="8"/>
                                </a:lnTo>
                                <a:lnTo>
                                  <a:pt x="504" y="14"/>
                                </a:lnTo>
                                <a:lnTo>
                                  <a:pt x="507" y="23"/>
                                </a:lnTo>
                                <a:lnTo>
                                  <a:pt x="507" y="34"/>
                                </a:lnTo>
                                <a:lnTo>
                                  <a:pt x="507" y="45"/>
                                </a:lnTo>
                                <a:lnTo>
                                  <a:pt x="504" y="53"/>
                                </a:lnTo>
                                <a:lnTo>
                                  <a:pt x="498" y="59"/>
                                </a:lnTo>
                                <a:lnTo>
                                  <a:pt x="493" y="65"/>
                                </a:lnTo>
                                <a:lnTo>
                                  <a:pt x="487" y="68"/>
                                </a:lnTo>
                                <a:lnTo>
                                  <a:pt x="479" y="68"/>
                                </a:lnTo>
                                <a:lnTo>
                                  <a:pt x="471" y="68"/>
                                </a:lnTo>
                                <a:lnTo>
                                  <a:pt x="464" y="65"/>
                                </a:lnTo>
                                <a:lnTo>
                                  <a:pt x="459" y="59"/>
                                </a:lnTo>
                                <a:lnTo>
                                  <a:pt x="454" y="53"/>
                                </a:lnTo>
                                <a:lnTo>
                                  <a:pt x="451" y="45"/>
                                </a:lnTo>
                                <a:lnTo>
                                  <a:pt x="451" y="33"/>
                                </a:lnTo>
                                <a:close/>
                                <a:moveTo>
                                  <a:pt x="479" y="11"/>
                                </a:moveTo>
                                <a:lnTo>
                                  <a:pt x="475" y="11"/>
                                </a:lnTo>
                                <a:lnTo>
                                  <a:pt x="472" y="12"/>
                                </a:lnTo>
                                <a:lnTo>
                                  <a:pt x="469" y="16"/>
                                </a:lnTo>
                                <a:lnTo>
                                  <a:pt x="467" y="19"/>
                                </a:lnTo>
                                <a:lnTo>
                                  <a:pt x="465" y="25"/>
                                </a:lnTo>
                                <a:lnTo>
                                  <a:pt x="465" y="34"/>
                                </a:lnTo>
                                <a:lnTo>
                                  <a:pt x="465" y="43"/>
                                </a:lnTo>
                                <a:lnTo>
                                  <a:pt x="467" y="49"/>
                                </a:lnTo>
                                <a:lnTo>
                                  <a:pt x="469" y="52"/>
                                </a:lnTo>
                                <a:lnTo>
                                  <a:pt x="472" y="55"/>
                                </a:lnTo>
                                <a:lnTo>
                                  <a:pt x="475" y="57"/>
                                </a:lnTo>
                                <a:lnTo>
                                  <a:pt x="479" y="57"/>
                                </a:lnTo>
                                <a:lnTo>
                                  <a:pt x="483" y="57"/>
                                </a:lnTo>
                                <a:lnTo>
                                  <a:pt x="486" y="55"/>
                                </a:lnTo>
                                <a:lnTo>
                                  <a:pt x="489" y="52"/>
                                </a:lnTo>
                                <a:lnTo>
                                  <a:pt x="491" y="48"/>
                                </a:lnTo>
                                <a:lnTo>
                                  <a:pt x="493" y="42"/>
                                </a:lnTo>
                                <a:lnTo>
                                  <a:pt x="493" y="33"/>
                                </a:lnTo>
                                <a:lnTo>
                                  <a:pt x="493" y="25"/>
                                </a:lnTo>
                                <a:lnTo>
                                  <a:pt x="491" y="19"/>
                                </a:lnTo>
                                <a:lnTo>
                                  <a:pt x="489" y="16"/>
                                </a:lnTo>
                                <a:lnTo>
                                  <a:pt x="486" y="12"/>
                                </a:lnTo>
                                <a:lnTo>
                                  <a:pt x="483" y="11"/>
                                </a:lnTo>
                                <a:lnTo>
                                  <a:pt x="479" y="11"/>
                                </a:lnTo>
                                <a:close/>
                                <a:moveTo>
                                  <a:pt x="479" y="136"/>
                                </a:moveTo>
                                <a:lnTo>
                                  <a:pt x="550" y="0"/>
                                </a:lnTo>
                                <a:lnTo>
                                  <a:pt x="562" y="0"/>
                                </a:lnTo>
                                <a:lnTo>
                                  <a:pt x="492" y="136"/>
                                </a:lnTo>
                                <a:lnTo>
                                  <a:pt x="479" y="136"/>
                                </a:lnTo>
                                <a:close/>
                                <a:moveTo>
                                  <a:pt x="535" y="101"/>
                                </a:moveTo>
                                <a:lnTo>
                                  <a:pt x="535" y="91"/>
                                </a:lnTo>
                                <a:lnTo>
                                  <a:pt x="537" y="83"/>
                                </a:lnTo>
                                <a:lnTo>
                                  <a:pt x="542" y="77"/>
                                </a:lnTo>
                                <a:lnTo>
                                  <a:pt x="546" y="71"/>
                                </a:lnTo>
                                <a:lnTo>
                                  <a:pt x="553" y="67"/>
                                </a:lnTo>
                                <a:lnTo>
                                  <a:pt x="562" y="67"/>
                                </a:lnTo>
                                <a:lnTo>
                                  <a:pt x="570" y="67"/>
                                </a:lnTo>
                                <a:lnTo>
                                  <a:pt x="577" y="70"/>
                                </a:lnTo>
                                <a:lnTo>
                                  <a:pt x="582" y="76"/>
                                </a:lnTo>
                                <a:lnTo>
                                  <a:pt x="587" y="82"/>
                                </a:lnTo>
                                <a:lnTo>
                                  <a:pt x="590" y="90"/>
                                </a:lnTo>
                                <a:lnTo>
                                  <a:pt x="590" y="102"/>
                                </a:lnTo>
                                <a:lnTo>
                                  <a:pt x="590" y="112"/>
                                </a:lnTo>
                                <a:lnTo>
                                  <a:pt x="587" y="121"/>
                                </a:lnTo>
                                <a:lnTo>
                                  <a:pt x="582" y="127"/>
                                </a:lnTo>
                                <a:lnTo>
                                  <a:pt x="577" y="133"/>
                                </a:lnTo>
                                <a:lnTo>
                                  <a:pt x="570" y="136"/>
                                </a:lnTo>
                                <a:lnTo>
                                  <a:pt x="562" y="136"/>
                                </a:lnTo>
                                <a:lnTo>
                                  <a:pt x="554" y="136"/>
                                </a:lnTo>
                                <a:lnTo>
                                  <a:pt x="548" y="133"/>
                                </a:lnTo>
                                <a:lnTo>
                                  <a:pt x="543" y="127"/>
                                </a:lnTo>
                                <a:lnTo>
                                  <a:pt x="537" y="121"/>
                                </a:lnTo>
                                <a:lnTo>
                                  <a:pt x="535" y="112"/>
                                </a:lnTo>
                                <a:lnTo>
                                  <a:pt x="535" y="101"/>
                                </a:lnTo>
                                <a:close/>
                                <a:moveTo>
                                  <a:pt x="562" y="78"/>
                                </a:moveTo>
                                <a:lnTo>
                                  <a:pt x="558" y="78"/>
                                </a:lnTo>
                                <a:lnTo>
                                  <a:pt x="555" y="80"/>
                                </a:lnTo>
                                <a:lnTo>
                                  <a:pt x="552" y="83"/>
                                </a:lnTo>
                                <a:lnTo>
                                  <a:pt x="550" y="87"/>
                                </a:lnTo>
                                <a:lnTo>
                                  <a:pt x="549" y="93"/>
                                </a:lnTo>
                                <a:lnTo>
                                  <a:pt x="549" y="102"/>
                                </a:lnTo>
                                <a:lnTo>
                                  <a:pt x="549" y="110"/>
                                </a:lnTo>
                                <a:lnTo>
                                  <a:pt x="550" y="116"/>
                                </a:lnTo>
                                <a:lnTo>
                                  <a:pt x="553" y="120"/>
                                </a:lnTo>
                                <a:lnTo>
                                  <a:pt x="555" y="123"/>
                                </a:lnTo>
                                <a:lnTo>
                                  <a:pt x="558" y="125"/>
                                </a:lnTo>
                                <a:lnTo>
                                  <a:pt x="562" y="125"/>
                                </a:lnTo>
                                <a:lnTo>
                                  <a:pt x="566" y="125"/>
                                </a:lnTo>
                                <a:lnTo>
                                  <a:pt x="570" y="123"/>
                                </a:lnTo>
                                <a:lnTo>
                                  <a:pt x="572" y="120"/>
                                </a:lnTo>
                                <a:lnTo>
                                  <a:pt x="575" y="116"/>
                                </a:lnTo>
                                <a:lnTo>
                                  <a:pt x="576" y="110"/>
                                </a:lnTo>
                                <a:lnTo>
                                  <a:pt x="576" y="101"/>
                                </a:lnTo>
                                <a:lnTo>
                                  <a:pt x="576" y="93"/>
                                </a:lnTo>
                                <a:lnTo>
                                  <a:pt x="575" y="87"/>
                                </a:lnTo>
                                <a:lnTo>
                                  <a:pt x="572" y="83"/>
                                </a:lnTo>
                                <a:lnTo>
                                  <a:pt x="570" y="80"/>
                                </a:lnTo>
                                <a:lnTo>
                                  <a:pt x="566" y="78"/>
                                </a:lnTo>
                                <a:lnTo>
                                  <a:pt x="562" y="78"/>
                                </a:lnTo>
                                <a:close/>
                                <a:moveTo>
                                  <a:pt x="623" y="169"/>
                                </a:moveTo>
                                <a:lnTo>
                                  <a:pt x="612" y="169"/>
                                </a:lnTo>
                                <a:lnTo>
                                  <a:pt x="623" y="148"/>
                                </a:lnTo>
                                <a:lnTo>
                                  <a:pt x="632" y="126"/>
                                </a:lnTo>
                                <a:lnTo>
                                  <a:pt x="637" y="105"/>
                                </a:lnTo>
                                <a:lnTo>
                                  <a:pt x="638" y="84"/>
                                </a:lnTo>
                                <a:lnTo>
                                  <a:pt x="638" y="73"/>
                                </a:lnTo>
                                <a:lnTo>
                                  <a:pt x="637" y="62"/>
                                </a:lnTo>
                                <a:lnTo>
                                  <a:pt x="634" y="51"/>
                                </a:lnTo>
                                <a:lnTo>
                                  <a:pt x="632" y="43"/>
                                </a:lnTo>
                                <a:lnTo>
                                  <a:pt x="630" y="34"/>
                                </a:lnTo>
                                <a:lnTo>
                                  <a:pt x="626" y="26"/>
                                </a:lnTo>
                                <a:lnTo>
                                  <a:pt x="624" y="21"/>
                                </a:lnTo>
                                <a:lnTo>
                                  <a:pt x="619" y="12"/>
                                </a:lnTo>
                                <a:lnTo>
                                  <a:pt x="612" y="0"/>
                                </a:lnTo>
                                <a:lnTo>
                                  <a:pt x="623" y="0"/>
                                </a:lnTo>
                                <a:lnTo>
                                  <a:pt x="631" y="11"/>
                                </a:lnTo>
                                <a:lnTo>
                                  <a:pt x="638" y="22"/>
                                </a:lnTo>
                                <a:lnTo>
                                  <a:pt x="643" y="33"/>
                                </a:lnTo>
                                <a:lnTo>
                                  <a:pt x="648" y="44"/>
                                </a:lnTo>
                                <a:lnTo>
                                  <a:pt x="651" y="54"/>
                                </a:lnTo>
                                <a:lnTo>
                                  <a:pt x="653" y="64"/>
                                </a:lnTo>
                                <a:lnTo>
                                  <a:pt x="654" y="74"/>
                                </a:lnTo>
                                <a:lnTo>
                                  <a:pt x="654" y="84"/>
                                </a:lnTo>
                                <a:lnTo>
                                  <a:pt x="654" y="96"/>
                                </a:lnTo>
                                <a:lnTo>
                                  <a:pt x="652" y="107"/>
                                </a:lnTo>
                                <a:lnTo>
                                  <a:pt x="649" y="119"/>
                                </a:lnTo>
                                <a:lnTo>
                                  <a:pt x="645" y="130"/>
                                </a:lnTo>
                                <a:lnTo>
                                  <a:pt x="641" y="141"/>
                                </a:lnTo>
                                <a:lnTo>
                                  <a:pt x="635" y="151"/>
                                </a:lnTo>
                                <a:lnTo>
                                  <a:pt x="630" y="160"/>
                                </a:lnTo>
                                <a:lnTo>
                                  <a:pt x="623" y="169"/>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865462356"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8836" y="7754"/>
                            <a:ext cx="1386" cy="361"/>
                          </a:xfrm>
                          <a:prstGeom prst="rect">
                            <a:avLst/>
                          </a:prstGeom>
                          <a:noFill/>
                          <a:ln>
                            <a:noFill/>
                          </a:ln>
                          <a:effectLst/>
                        </pic:spPr>
                      </pic:pic>
                      <pic:pic xmlns:pic="http://schemas.openxmlformats.org/drawingml/2006/picture">
                        <pic:nvPicPr>
                          <pic:cNvPr id="1614106928"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10200" y="15148"/>
                            <a:ext cx="840" cy="845"/>
                          </a:xfrm>
                          <a:prstGeom prst="rect">
                            <a:avLst/>
                          </a:prstGeom>
                          <a:noFill/>
                          <a:ln>
                            <a:noFill/>
                          </a:ln>
                          <a:effectLst/>
                        </pic:spPr>
                      </pic:pic>
                    </wpg:wgp>
                  </a:graphicData>
                </a:graphic>
              </wp:anchor>
            </w:drawing>
          </mc:Choice>
          <mc:Fallback>
            <w:pict>
              <v:group id="Group 26" o:spid="_x0000_s1026" o:spt="203" style="position:absolute;left:0pt;margin-left:57.75pt;margin-top:27.75pt;height:771.95pt;width:494.25pt;mso-position-horizontal-relative:page;mso-position-vertical-relative:page;z-index:-251572224;mso-width-relative:page;mso-height-relative:page;" coordorigin="1155,555" coordsize="9885,15439" o:gfxdata="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">
                <o:lock v:ext="edit" aspectratio="f"/>
                <v:shape id="AutoShape 51" o:spid="_x0000_s1026" o:spt="100" style="position:absolute;left:1162;top:562;height:15285;width:9585;" filled="f" stroked="t" coordsize="9585,15285" o:gfxdata="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1PVMExgAAAOMAAAAPAAAAAAAAAAEAIAAAACIAAABkcnMvZG93bnJldi54bWxQSwECFAAUAAAA&#10;CACHTuJAMy8FnjsAAAA5AAAAEAAAAAAAAAABACAAAAAVAQAAZHJzL3NoYXBleG1sLnhtbFBLBQYA&#10;AAAABgAGAFsBAAC/AwAAAAA=&#10;" path="m0,4703l0,113,0,106,1,98,3,91,4,84,6,77,9,70,12,63,15,57,19,50,24,44,28,39,33,33,39,28,44,24,50,19,57,15,63,12,70,9,77,6,84,4,91,3,98,1,106,0,113,0,9473,0,9480,0,9488,1,9495,3,9502,4,9509,6,9516,9,9523,12,9529,15,9535,19,9542,24,9547,28,9553,33,9558,39,9562,44,9567,50,9571,57,9574,63,9577,70,9580,77,9582,84,9583,91,9585,98,9585,106,9585,113,9585,4703,9585,4710,9585,4718,9583,4725,9582,4732,9580,4739,9577,4746,9574,4753,9571,4759,9567,4765,9562,4772,9558,4777,9553,4783,9547,4788,9542,4792,9535,4797,9529,4801,9523,4804,9516,4807,9509,4810,9502,4812,9495,4813,9488,4815,9480,4815,9473,4815,113,4815,106,4815,98,4815,91,4813,84,4812,77,4810,70,4807,63,4804,57,4801,50,4797,44,4792,39,4788,33,4783,28,4777,24,4772,19,4765,15,4759,12,4753,9,4746,6,4739,4,4732,3,4725,1,4718,0,4710,0,4703xm0,9533l0,4943,0,4936,1,4928,3,4921,4,4914,6,4907,9,4900,12,4893,15,4887,19,4880,24,4874,28,4869,33,4863,39,4858,44,4854,50,4849,57,4845,63,4842,70,4839,77,4836,84,4834,91,4833,98,4831,106,4831,113,4830,9473,4830,9480,4831,9488,4831,9495,4833,9502,4834,9509,4836,9516,4839,9523,4842,9529,4845,9535,4849,9542,4854,9547,4858,9553,4863,9558,4869,9562,4874,9567,4880,9571,4887,9574,4893,9577,4900,9580,4907,9582,4914,9583,4921,9585,4928,9585,4936,9585,4943,9585,9533,9585,9540,9585,9548,9583,9555,9582,9562,9580,9569,9577,9576,9574,9583,9571,9589,9567,9595,9562,9602,9558,9607,9553,9613,9547,9618,9542,9622,9535,9626,9529,9631,9523,9634,9516,9637,9509,9640,9502,9642,9495,9643,9488,9645,9480,9645,9473,9645,113,9645,106,9645,98,9645,91,9643,84,9642,77,9640,70,9637,63,9634,57,9631,50,9626,44,9622,39,9618,33,9613,28,9607,24,9602,19,9595,15,9589,12,9583,9,9576,6,9569,4,9562,3,9555,1,9548,0,9540,0,9533xm0,14063l0,9773,0,9766,1,9758,3,9751,4,9744,6,9737,9,9730,12,9723,15,9717,19,9710,24,9704,28,9699,33,9693,39,9688,44,9684,50,9679,57,9675,63,9672,70,9669,77,9666,84,9664,91,9663,98,9661,106,9661,113,9660,9473,9660,9480,9661,9488,9661,9495,9663,9502,9664,9509,9666,9516,9669,9523,9672,9529,9675,9535,9679,9542,9684,9547,9688,9553,9693,9558,9699,9562,9704,9567,9710,9571,9717,9574,9723,9577,9730,9580,9737,9582,9744,9583,9751,9585,9758,9585,9766,9585,9773,9585,14063,9585,14070,9585,14078,9583,14085,9582,14092,9580,14099,9577,14106,9574,14113,9571,14119,9567,14125,9562,14132,9558,14137,9553,14143,9547,14148,9542,14152,9535,14157,9529,14161,9523,14164,9516,14167,9509,14170,9502,14172,9495,14173,9488,14175,9480,14175,9473,14175,113,14175,106,14175,98,14175,91,14173,84,14172,77,14170,70,14167,63,14164,57,14161,50,14157,44,14152,39,14148,33,14143,28,14137,24,14132,19,14125,15,14119,12,14113,9,14106,6,14099,4,14092,3,14085,1,14078,0,14070,0,14063xm0,15173l0,14303,0,14296,1,14288,3,14281,4,14274,6,14267,9,14260,12,14253,15,14247,19,14240,24,14234,28,14229,33,14223,39,14218,44,14214,50,14209,57,14205,63,14202,70,14199,77,14196,84,14194,91,14193,98,14191,106,14190,113,14190,9473,14190,9480,14190,9488,14191,9495,14193,9502,14194,9509,14196,9516,14199,9523,14202,9529,14205,9535,14209,9542,14214,9547,14218,9553,14223,9558,14229,9562,14234,9567,14240,9571,14247,9574,14253,9577,14260,9580,14267,9582,14274,9583,14281,9585,14288,9585,14296,9585,14303,9585,15173,9585,15180,9585,15188,9583,15195,9582,15202,9580,15209,9577,15216,9574,15223,9571,15229,9567,15235,9562,15242,9558,15247,9553,15253,9547,15258,9542,15262,9535,15266,9529,15271,9523,15274,9516,15277,9509,15280,9502,15282,9495,15283,9488,15285,9480,15285,9473,15285,113,15285,106,15285,98,15285,91,15283,84,15282,77,15280,70,15277,63,15274,57,15271,50,15266,44,15262,39,15258,33,15253,28,15247,24,15242,19,15235,15,15229,12,15223,9,15216,6,15209,4,15202,3,15195,1,15188,0,15180,0,15173xe">
                  <v:path o:connectlocs="6,639;33,595;77,568;9480,562;9529,577;9567,612;9585,660;9582,5294;9558,5339;9516,5369;113,5377;63,5366;24,5334;3,5287;1,5490;19,5442;57,5407;106,5393;9509,5398;9553,5425;9580,5469;9585,10102;9571,10151;9535,10188;9488,10207;84,10204;39,10180;9,10138;0,14625;9,10292;39,10250;84,10226;9488,10223;9535,10241;9571,10279;9585,10328;9580,14661;9553,14705;9509,14732;106,14737;57,14723;19,14687;1,14640;3,14843;24,14796;63,14764;113,14752;9516,14761;9558,14791;9582,14836;9585,15750;9567,15797;9529,15833;9480,15847;77,15842;33,15815;6,15771" o:connectangles="0,0,0,0,0,0,0,0,0,0,0,0,0,0,0,0,0,0,0,0,0,0,0,0,0,0,0,0,0,0,0,0,0,0,0,0,0,0,0,0,0,0,0,0,0,0,0,0,0,0,0,0,0,0,0,0,0"/>
                  <v:fill on="f" focussize="0,0"/>
                  <v:stroke color="#D9DBDF" joinstyle="round"/>
                  <v:imagedata o:title=""/>
                  <o:lock v:ext="edit" aspectratio="f"/>
                </v:shape>
                <v:shape id="Picture 50" o:spid="_x0000_s1026" o:spt="75" type="#_x0000_t75" style="position:absolute;left:9525;top:690;height:300;width:255;" filled="f" o:preferrelative="t" stroked="f" coordsize="21600,21600" o:gfxdata="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KJP0mxgAAAOIAAAAPAAAAAAAAAAEAIAAAACIAAABkcnMvZG93bnJldi54bWxQSwECFAAUAAAA&#10;CACHTuJAMy8FnjsAAAA5AAAAEAAAAAAAAAABACAAAAAVAQAAZHJzL3NoYXBleG1sLnhtbFBLBQYA&#10;AAAABgAGAFsBAAC/AwAAAAA=&#10;">
                  <v:fill on="f" focussize="0,0"/>
                  <v:stroke on="f"/>
                  <v:imagedata r:id="rId110" o:title=""/>
                  <o:lock v:ext="edit" aspectratio="t"/>
                </v:shape>
                <v:rect id="Rectangle 49" o:spid="_x0000_s1026" o:spt="1" style="position:absolute;left:3435;top:1770;height:3060;width:5865;" filled="f" stroked="t" coordsize="21600,21600" o:gfxdata="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1N85wwAAAOIAAAAPAAAAAAAAAAEAIAAAACIAAABkcnMvZG93bnJldi54bWxQSwECFAAUAAAACACH&#10;TuJAMy8FnjsAAAA5AAAAEAAAAAAAAAABACAAAAASAQAAZHJzL3NoYXBleG1sLnhtbFBLBQYAAAAA&#10;BgAGAFsBAAC8AwAAAAA=&#10;">
                  <v:fill on="f" focussize="0,0"/>
                  <v:stroke color="#EDEDED" miterlimit="8" joinstyle="miter"/>
                  <v:imagedata o:title=""/>
                  <o:lock v:ext="edit" aspectratio="f"/>
                </v:rect>
                <v:shape id="AutoShape 48" o:spid="_x0000_s1026" o:spt="100" style="position:absolute;left:3434;top:1770;height:3060;width:5865;" fillcolor="#EDEDED" filled="t" stroked="f" coordsize="5865,3060" o:gfxdata="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0MV9TFAAAA4gAAAA8AAAAAAAAAAQAgAAAAIgAAAGRycy9kb3ducmV2LnhtbFBLAQIUABQAAAAI&#10;AIdO4kAzLwWeOwAAADkAAAAQAAAAAAAAAAEAIAAAABQBAABkcnMvc2hhcGV4bWwueG1sUEsFBgAA&#10;AAAGAAYAWwEAAL4DAAAAAA==&#10;" path="m15,0l0,0,0,3060,15,3060,15,0xm1965,1665l1950,1665,1950,3060,1965,3060,1965,1665xm1965,0l1950,0,1950,1395,1965,1395,1965,0xm3915,1665l3900,1665,3900,3060,3915,3060,3915,1665xm3915,0l3900,0,3900,1395,3915,1395,3915,0xm5865,0l5850,0,5850,3060,5865,3060,5865,0xe">
                  <v:path o:connectlocs="15,1770;0,1770;0,4830;15,4830;15,1770;1965,3435;1950,3435;1950,4830;1965,4830;1965,3435;1965,1770;1950,1770;1950,3165;1965,3165;1965,1770;3915,3435;3900,3435;3900,4830;3915,4830;3915,3435;3915,1770;3900,1770;3900,3165;3915,3165;3915,1770;5865,1770;5850,1770;5850,4830;5865,4830;5865,1770" o:connectangles="0,0,0,0,0,0,0,0,0,0,0,0,0,0,0,0,0,0,0,0,0,0,0,0,0,0,0,0,0,0"/>
                  <v:fill on="t" focussize="0,0"/>
                  <v:stroke on="f"/>
                  <v:imagedata o:title=""/>
                  <o:lock v:ext="edit" aspectratio="f"/>
                </v:shape>
                <v:shape id="AutoShape 47" o:spid="_x0000_s1026" o:spt="100" style="position:absolute;left:4409;top:1770;height:3060;width:3915;" fillcolor="#F7F7F7" filled="t" stroked="f" coordsize="3915,3060" o:gfxdata="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GHO/wwAAAOMAAAAPAAAAAAAAAAEAIAAAACIAAABkcnMvZG93bnJldi54bWxQSwECFAAUAAAACACH&#10;TuJAMy8FnjsAAAA5AAAAEAAAAAAAAAABACAAAAASAQAAZHJzL3NoYXBleG1sLnhtbFBLBQYAAAAA&#10;BgAGAFsBAAC8AwAAAAA=&#10;" path="m15,2100l0,2100,0,3060,15,3060,15,2100xm15,1665l0,1665,0,1830,15,1830,15,1665xm15,1230l0,1230,0,1395,15,1395,15,1230xm15,0l0,0,0,960,15,960,15,0xm1965,1665l1950,1665,1950,3060,1965,3060,1965,1665xm1965,0l1950,0,1950,1395,1965,1395,1965,0xm3915,0l3900,0,3900,3060,3915,3060,3915,0xe">
                  <v:path o:connectlocs="15,3870;0,3870;0,4830;15,4830;15,3870;15,3435;0,3435;0,3600;15,3600;15,3435;15,3000;0,3000;0,3165;15,3165;15,3000;15,1770;0,1770;0,2730;15,2730;15,1770;1965,3435;1950,3435;1950,4830;1965,4830;1965,3435;1965,1770;1950,1770;1950,3165;1965,3165;1965,1770;3915,1770;3900,1770;3900,4830;3915,4830;3915,1770" o:connectangles="0,0,0,0,0,0,0,0,0,0,0,0,0,0,0,0,0,0,0,0,0,0,0,0,0,0,0,0,0,0,0,0,0,0,0"/>
                  <v:fill on="t" focussize="0,0"/>
                  <v:stroke on="f"/>
                  <v:imagedata o:title=""/>
                  <o:lock v:ext="edit" aspectratio="f"/>
                </v:shape>
                <v:shape id="AutoShape 46" o:spid="_x0000_s1026" o:spt="100" style="position:absolute;left:3434;top:1860;height:2880;width:4005;" fillcolor="#663AB6" filled="t" stroked="f" coordsize="4005,2880" o:gfxdata="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CSd5wwAAAOMAAAAPAAAAAAAAAAEAIAAAACIAAABkcnMvZG93bnJldi54bWxQSwECFAAUAAAACACH&#10;TuJAMy8FnjsAAAA5AAAAEAAAAAAAAAABACAAAAASAQAAZHJzL3NoYXBleG1sLnhtbFBLBQYAAAAA&#10;BgAGAFsBAAC8AwAAAAA=&#10;" path="m7,2175l0,2175,0,2445,7,2445,7,2175xm105,0l15,0,15,270,105,270,105,0xm390,435l15,435,15,705,390,705,390,435xm885,2610l15,2610,15,2880,885,2880,885,2610xm1170,1740l15,1740,15,2010,1170,2010,1170,1740xm1365,870l15,870,15,1140,1365,1140,1365,870xm4005,1305l15,1305,15,1575,4005,1575,4005,1305xe">
                  <v:path o:connectlocs="7,4035;0,4035;0,4305;7,4305;7,4035;105,1860;15,1860;15,2130;105,2130;105,1860;390,2295;15,2295;15,2565;390,2565;390,2295;885,4470;15,4470;15,4740;885,4740;885,4470;1170,3600;15,3600;15,3870;1170,3870;1170,3600;1365,2730;15,2730;15,3000;1365,3000;1365,2730;4005,3165;15,3165;15,3435;4005,3435;4005,3165" o:connectangles="0,0,0,0,0,0,0,0,0,0,0,0,0,0,0,0,0,0,0,0,0,0,0,0,0,0,0,0,0,0,0,0,0,0,0"/>
                  <v:fill on="t" focussize="0,0"/>
                  <v:stroke on="f"/>
                  <v:imagedata o:title=""/>
                  <o:lock v:ext="edit" aspectratio="f"/>
                </v:shape>
                <v:rect id="Rectangle 45" o:spid="_x0000_s1026" o:spt="1" style="position:absolute;left:3435;top:1770;height:3060;width:15;" fillcolor="#333333" filled="t" stroked="f" coordsize="21600,21600" o:gfxdata="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4FRvsQAAADiAAAADwAAAAAAAAABACAAAAAiAAAAZHJzL2Rvd25yZXYueG1sUEsBAhQAFAAAAAgA&#10;h07iQDMvBZ47AAAAOQAAABAAAAAAAAAAAQAgAAAAEwEAAGRycy9zaGFwZXhtbC54bWxQSwUGAAAA&#10;AAYABgBbAQAAvQMAAAAA&#10;">
                  <v:fill on="t" focussize="0,0"/>
                  <v:stroke on="f"/>
                  <v:imagedata o:title=""/>
                  <o:lock v:ext="edit" aspectratio="f"/>
                </v:rect>
                <v:shape id="AutoShape 44" o:spid="_x0000_s1026" o:spt="100" style="position:absolute;left:3442;top:1995;height:2625;width:4178;" fillcolor="#999999" filled="t" stroked="f" coordsize="4178,2625" o:gfxdata="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MF2EsQAAADjAAAADwAAAAAAAAABACAAAAAiAAAAZHJzL2Rvd25yZXYueG1sUEsBAhQAFAAAAAgA&#10;h07iQDMvBZ47AAAAOQAAABAAAAAAAAAAAQAgAAAAEwEAAGRycy9zaGFwZXhtbC54bWxQSwUGAAAA&#10;AAYABgBbAQAAvQMAAAAA&#10;" path="m180,2175l0,2175,0,2190,180,2190,180,2175xm278,0l98,0,98,15,278,15,278,0xm563,435l383,435,383,450,563,450,563,435xm1058,2610l878,2610,878,2625,1058,2625,1058,2610xm1343,1740l1163,1740,1163,1755,1343,1755,1343,1740xm1538,870l1358,870,1358,885,1538,885,1538,870xm4178,1305l3998,1305,3998,1320,4178,1320,4178,1305xe">
                  <v:path o:connectlocs="180,4170;0,4170;0,4185;180,4185;180,4170;278,1995;98,1995;98,2010;278,2010;278,1995;563,2430;383,2430;383,2445;563,2445;563,2430;1058,4605;878,4605;878,4620;1058,4620;1058,4605;1343,3735;1163,3735;1163,3750;1343,3750;1343,3735;1538,2865;1358,2865;1358,2880;1538,2880;1538,2865;4178,3300;3998,3300;3998,3315;4178,3315;4178,3300" o:connectangles="0,0,0,0,0,0,0,0,0,0,0,0,0,0,0,0,0,0,0,0,0,0,0,0,0,0,0,0,0,0,0,0,0,0,0"/>
                  <v:fill on="t" focussize="0,0"/>
                  <v:stroke on="f"/>
                  <v:imagedata o:title=""/>
                  <o:lock v:ext="edit" aspectratio="f"/>
                </v:shape>
                <v:shape id="Freeform 43" o:spid="_x0000_s1026" o:spt="100" style="position:absolute;left:3739;top:1928;height:130;width:48;" filled="f" stroked="t" coordsize="48,130" o:gfxdata="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tNV+MQAAADiAAAADwAAAAAAAAABACAAAAAiAAAAZHJzL2Rvd25yZXYueG1sUEsBAhQAFAAAAAgA&#10;h07iQDMvBZ47AAAAOQAAABAAAAAAAAAAAQAgAAAAEwEAAGRycy9zaGFwZXhtbC54bWxQSwUGAAAA&#10;AAYABgBbAQAAvQMAAAAA&#10;" path="m47,130l31,130,31,29,27,33,22,36,16,40,10,44,5,46,0,48,0,33,8,29,16,24,23,18,29,12,34,6,37,0,47,0,47,130xe">
                  <v:path o:connectlocs="47,2058;31,2058;31,1957;27,1961;22,1964;16,1968;10,1972;5,1974;0,1976;0,1961;8,1957;16,1952;23,1946;29,1940;34,1934;37,1928;47,1928;47,2058" o:connectangles="0,0,0,0,0,0,0,0,0,0,0,0,0,0,0,0,0,0"/>
                  <v:fill on="f" focussize="0,0"/>
                  <v:stroke weight="2.25pt" color="#FFFFFF" joinstyle="round"/>
                  <v:imagedata o:title=""/>
                  <o:lock v:ext="edit" aspectratio="f"/>
                </v:shape>
                <v:shape id="Picture 42" o:spid="_x0000_s1026" o:spt="75" type="#_x0000_t75" style="position:absolute;left:3858;top:1904;height:214;width:558;" filled="f" o:preferrelative="t" stroked="f" coordsize="21600,21600" o:gfxdata="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E&#10;GI/CAAAA4wAAAA8AAAAAAAAAAQAgAAAAIgAAAGRycy9kb3ducmV2LnhtbFBLAQIUABQAAAAIAIdO&#10;4kAzLwWeOwAAADkAAAAQAAAAAAAAAAEAIAAAABEBAABkcnMvc2hhcGV4bWwueG1sUEsFBgAAAAAG&#10;AAYAWwEAALsDAAAAAA==&#10;">
                  <v:fill on="f" focussize="0,0"/>
                  <v:stroke on="f"/>
                  <v:imagedata r:id="rId116" o:title=""/>
                  <o:lock v:ext="edit" aspectratio="t"/>
                </v:shape>
                <v:shape id="AutoShape 41" o:spid="_x0000_s1026" o:spt="100" style="position:absolute;left:4007;top:2361;height:1002;width:3780;" filled="f" stroked="t" coordsize="3780,1002" o:gfxdata="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yVbWwwAAAOIAAAAPAAAAAAAAAAEAIAAAACIAAABkcnMvZG93bnJldi54bWxQSwECFAAUAAAACACH&#10;TuJAMy8FnjsAAAA5AAAAEAAAAAAAAAABACAAAAASAQAAZHJzL3NoYXBleG1sLnhtbFBLBQYAAAAA&#10;BgAGAFsBAAC8AwAAAAA=&#10;" path="m56,131l56,100,0,100,0,85,59,2,72,2,72,85,89,85,89,100,72,100,72,131,56,131xm56,85l56,27,16,85,56,85xm190,169l184,160,178,151,173,141,168,130,164,119,161,107,160,96,159,84,159,74,161,64,163,54,166,44,170,33,176,22,182,11,190,0,202,0,194,12,190,21,187,26,184,34,181,42,179,51,177,62,175,73,175,84,177,105,182,126,190,148,202,169,190,169xm216,97l232,96,233,104,236,110,241,114,245,118,251,120,257,120,265,120,271,117,276,111,282,106,284,98,284,89,284,80,282,72,277,67,272,62,265,59,257,59,252,59,247,61,243,63,239,65,236,68,233,72,218,70,231,4,295,4,295,19,243,19,237,53,244,48,252,45,261,45,272,45,282,49,289,57,297,65,301,75,301,87,301,99,298,109,291,117,283,128,271,133,257,133,245,133,236,130,228,123,221,117,217,108,216,97xm325,131l325,113,343,113,343,131,325,131xm416,131l416,100,360,100,360,85,419,2,432,2,432,85,450,85,450,100,432,100,432,131,416,131xm416,85l416,27,376,85,416,85xm469,33l469,24,471,16,476,9,480,3,487,0,496,0,504,0,511,3,516,8,521,14,524,23,524,34,524,45,521,53,516,59,510,65,504,68,496,68,488,68,482,65,477,59,471,53,469,45,469,33xm496,11l492,11,489,12,486,16,484,19,483,25,483,34,483,43,484,49,486,52,489,55,492,57,496,57,500,57,504,55,506,52,509,48,510,42,510,33,510,25,509,19,506,16,503,12,500,11,496,11xm496,136l567,0,580,0,509,136,496,136xm552,101l552,91,554,83,559,77,564,71,570,67,579,67,587,67,594,70,599,76,605,82,607,90,607,102,607,112,605,121,599,127,594,133,587,136,579,136,572,136,565,133,560,127,555,121,552,112,552,101xm580,78l576,78,572,80,570,83,567,87,566,93,566,102,566,110,567,116,570,120,572,123,576,125,580,125,584,125,587,123,590,120,592,116,593,110,593,101,593,93,592,87,590,83,587,80,584,78,580,78xm641,169l629,169,641,148,649,126,654,105,656,84,656,73,654,62,652,51,650,43,647,34,643,26,641,21,636,12,629,0,641,0,648,11,655,22,661,33,665,44,668,54,670,64,671,74,672,84,671,96,669,107,667,119,663,130,658,141,653,151,647,160,641,169xm1040,566l1024,566,1024,465,1020,469,1015,472,1009,476,1003,480,998,482,993,484,993,469,1001,465,1009,460,1016,454,1022,448,1027,442,1030,436,1040,436,1040,566xm1131,566l1131,535,1075,535,1075,520,1134,437,1147,437,1147,520,1165,520,1165,535,1147,535,1147,566,1131,566xm1131,520l1131,462,1091,520,1131,520xm1265,604l1259,595,1253,586,1248,576,1243,565,1239,554,1236,542,1235,531,1234,519,1235,509,1236,499,1238,489,1241,479,1245,468,1251,457,1258,446,1265,435,1277,435,1270,447,1265,456,1263,461,1259,469,1256,477,1254,486,1252,497,1250,508,1250,519,1252,540,1257,561,1265,583,1277,604,1265,604xm1350,566l1334,566,1334,465,1331,469,1326,472,1319,476,1313,480,1308,482,1303,484,1303,469,1312,465,1319,460,1326,454,1333,448,1337,442,1340,436,1350,436,1350,566xm1415,496l1409,494,1404,490,1400,486,1397,481,1396,476,1396,470,1396,460,1399,452,1406,446,1413,440,1422,436,1433,436,1444,436,1453,440,1460,446,1467,453,1470,461,1470,470,1470,476,1469,481,1465,486,1462,490,1458,494,1451,496,1459,499,1465,503,1469,508,1473,514,1475,521,1475,529,1475,540,1472,549,1464,557,1456,564,1446,568,1433,568,1420,568,1410,564,1402,557,1394,549,1391,540,1391,529,1391,520,1393,513,1397,507,1401,502,1407,498,1415,496xm1412,469l1412,475,1414,480,1418,484,1422,488,1427,490,1433,490,1439,490,1444,488,1448,484,1452,480,1454,476,1454,470,1454,464,1452,459,1448,455,1444,451,1439,449,1433,449,1427,449,1422,451,1418,455,1414,459,1412,464,1412,469xm1407,529l1407,533,1408,538,1410,542,1412,546,1415,549,1420,552,1424,554,1428,555,1433,555,1441,555,1447,553,1452,548,1457,543,1459,537,1459,529,1459,522,1457,515,1452,510,1447,505,1440,503,1433,503,1425,503,1419,505,1414,510,1409,515,1407,521,1407,529xm1500,566l1500,548,1518,548,1518,566,1500,566xm1543,536l1558,535,1560,542,1562,547,1566,550,1569,553,1574,555,1580,555,1585,555,1589,554,1593,552,1596,549,1599,546,1602,543,1604,539,1606,534,1607,528,1609,521,1610,515,1610,508,1610,507,1610,505,1607,510,1602,514,1597,517,1591,521,1585,522,1579,522,1568,522,1559,518,1552,511,1545,503,1541,493,1541,480,1541,467,1545,456,1552,448,1560,440,1570,436,1581,436,1590,436,1597,439,1604,443,1611,448,1617,454,1620,462,1624,471,1626,483,1626,499,1626,515,1624,528,1620,538,1617,548,1611,555,1604,560,1597,565,1589,568,1579,568,1569,568,1561,565,1555,560,1548,554,1545,546,1543,536xm1608,479l1608,470,1606,463,1601,458,1596,452,1590,450,1583,450,1576,450,1570,452,1565,458,1560,464,1557,471,1557,480,1557,489,1560,495,1565,500,1569,506,1576,508,1583,508,1590,508,1596,506,1601,500,1606,495,1608,488,1608,479xm1644,468l1644,459,1646,451,1651,444,1656,438,1662,435,1671,435,1679,435,1686,438,1691,443,1696,449,1699,458,1699,469,1699,480,1696,488,1691,494,1686,500,1679,503,1671,503,1663,503,1657,500,1652,494,1647,488,1644,480,1644,468xm1671,446l1668,446,1664,447,1662,451,1659,454,1658,460,1658,469,1658,478,1659,484,1662,487,1664,490,1668,492,1671,492,1675,492,1679,490,1681,487,1684,483,1685,477,1685,468,1685,460,1684,454,1681,451,1679,447,1675,446,1671,446xm1672,571l1742,435,1755,435,1685,571,1672,571xm1727,536l1727,526,1730,518,1734,512,1739,506,1746,502,1754,502,1763,502,1769,505,1775,511,1780,517,1782,525,1782,537,1782,547,1780,556,1774,562,1769,568,1762,571,1755,571,1747,571,1740,568,1735,562,1730,556,1727,547,1727,536xm1755,513l1751,513,1748,515,1745,518,1742,522,1741,528,1741,537,1741,545,1742,551,1745,555,1748,558,1751,560,1755,560,1759,560,1762,558,1765,555,1767,551,1769,545,1769,536,1769,528,1767,522,1765,518,1762,515,1759,513,1755,513xm1816,604l1804,604,1816,583,1824,561,1829,540,1831,519,1831,508,1829,497,1827,486,1825,478,1822,469,1819,461,1816,456,1812,447,1804,435,1816,435,1824,446,1830,457,1836,468,1840,479,1843,489,1845,499,1847,509,1847,519,1846,531,1845,542,1842,554,1838,565,1833,576,1828,586,1822,595,1816,604xm3671,1001l3671,970,3615,970,3615,955,3674,872,3687,872,3687,955,3704,955,3704,970,3687,970,3687,1001,3671,1001xm3671,955l3671,897,3631,955,3671,955xm3780,1001l3764,1001,3764,900,3761,904,3756,907,3749,911,3743,915,3738,917,3733,919,3733,904,3742,900,3749,895,3756,889,3763,883,3767,877,3770,871,3780,871,3780,1001xe">
                  <v:path o:connectlocs="56,2493;160,2458;190,2383;190,2531;282,2468;239,2427;272,2407;245,2495;416,2462;416,2389;516,2370;477,2421;484,2411;509,2381;554,2445;605,2483;576,2440;584,2487;641,2531;641,2383;671,2458;1015,2834;1040,2798;1147,2928;1236,2904;1270,2809;1277,2966;1312,2827;1397,2843;1467,2815;1473,2876;1394,2911;1418,2846;1448,2817;1408,2900;1459,2899;1407,2883;1569,2915;1609,2883;1568,2884;1590,2798;1617,2910;1608,2841;1557,2842;1608,2841;1699,2820;1644,2842;1664,2852;1679,2809;1739,2868;1769,2930;1745,2880;1765,2917;1816,2945;1804,2797;1842,2916;3687,3317;3764,3262;3767,3239" o:connectangles="0,0,0,0,0,0,0,0,0,0,0,0,0,0,0,0,0,0,0,0,0,0,0,0,0,0,0,0,0,0,0,0,0,0,0,0,0,0,0,0,0,0,0,0,0,0,0,0,0,0,0,0,0,0,0,0,0,0,0"/>
                  <v:fill on="f" focussize="0,0"/>
                  <v:stroke weight="2.25pt" color="#FFFFFF" joinstyle="round"/>
                  <v:imagedata o:title=""/>
                  <o:lock v:ext="edit" aspectratio="f"/>
                </v:shape>
                <v:shape id="Picture 40" o:spid="_x0000_s1026" o:spt="75" type="#_x0000_t75" style="position:absolute;left:7858;top:3209;height:214;width:658;" filled="f" o:preferrelative="t" stroked="f" coordsize="21600,21600" o:gfxdata="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F&#10;7myJwwAAAOIAAAAPAAAAAAAAAAEAIAAAACIAAABkcnMvZG93bnJldi54bWxQSwECFAAUAAAACACH&#10;TuJAMy8FnjsAAAA5AAAAEAAAAAAAAAABACAAAAASAQAAZHJzL3NoYXBleG1sLnhtbFBLBQYAAAAA&#10;BgAGAFsBAAC8AwAAAAA=&#10;">
                  <v:fill on="f" focussize="0,0"/>
                  <v:stroke on="f"/>
                  <v:imagedata r:id="rId117" o:title=""/>
                  <o:lock v:ext="edit" aspectratio="t"/>
                </v:shape>
                <v:shape id="AutoShape 39" o:spid="_x0000_s1026" o:spt="100" style="position:absolute;left:3629;top:3666;height:1039;width:2030;" filled="f" stroked="t" coordsize="2030,1039" o:gfxdata="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w&#10;h57CAAAA4gAAAA8AAAAAAAAAAQAgAAAAIgAAAGRycy9kb3ducmV2LnhtbFBLAQIUABQAAAAIAIdO&#10;4kAzLwWeOwAAADkAAAAQAAAAAAAAAAEAIAAAABEBAABkcnMvc2hhcGV4bWwueG1sUEsFBgAAAAAG&#10;AAYAWwEAALsDAAAAAA==&#10;" path="m1222,131l1206,131,1206,30,1202,34,1197,37,1191,41,1185,45,1180,47,1175,49,1175,34,1183,30,1191,25,1198,19,1204,13,1209,7,1212,1,1222,1,1222,131xm1346,116l1346,131,1261,131,1260,127,1261,123,1262,120,1265,114,1268,108,1273,103,1278,97,1284,91,1294,83,1308,72,1317,63,1322,56,1327,49,1329,43,1329,37,1329,31,1327,25,1323,21,1318,17,1312,15,1305,15,1297,15,1291,17,1287,21,1282,26,1280,32,1280,40,1264,39,1265,27,1269,17,1276,11,1283,5,1293,1,1305,1,1318,1,1328,5,1335,12,1342,19,1346,27,1346,37,1346,42,1344,47,1342,52,1340,57,1337,63,1332,68,1327,74,1319,81,1307,91,1298,99,1292,104,1289,107,1287,110,1284,113,1283,116,1346,116xm1447,169l1441,160,1435,151,1430,141,1425,130,1421,119,1418,107,1417,96,1416,84,1417,74,1418,64,1420,54,1423,44,1427,33,1433,22,1440,11,1447,0,1459,0,1452,12,1447,21,1445,26,1441,34,1438,42,1436,51,1434,62,1432,73,1432,84,1434,105,1439,126,1447,148,1459,169,1447,169xm1532,131l1516,131,1516,30,1513,34,1508,37,1501,41,1495,45,1490,47,1485,49,1485,34,1494,30,1501,25,1508,19,1515,13,1519,7,1522,1,1532,1,1532,131xm1655,34l1639,35,1638,29,1636,24,1633,21,1629,17,1624,14,1617,14,1612,14,1608,16,1604,19,1599,22,1595,28,1592,35,1589,42,1588,51,1588,64,1592,59,1596,54,1602,51,1607,49,1613,47,1619,47,1630,47,1639,51,1646,59,1653,67,1657,77,1657,89,1657,97,1655,105,1652,112,1648,118,1644,124,1638,127,1631,131,1625,133,1617,133,1604,133,1593,128,1585,118,1579,110,1575,99,1573,86,1572,71,1573,53,1575,38,1580,26,1586,16,1594,6,1605,1,1618,1,1628,1,1637,4,1643,10,1650,16,1654,23,1655,34xm1590,89l1590,95,1591,100,1594,105,1596,110,1599,113,1603,116,1608,119,1612,120,1617,120,1623,120,1629,117,1634,112,1639,107,1641,99,1641,90,1641,81,1639,74,1634,69,1629,64,1623,61,1616,61,1609,61,1603,64,1598,69,1593,74,1590,81,1590,89xm1682,131l1682,113,1700,113,1700,131,1682,131xm1806,116l1806,131,1721,131,1721,127,1721,123,1723,120,1725,114,1728,108,1733,103,1738,97,1745,91,1754,83,1768,72,1777,63,1782,56,1787,49,1790,43,1790,37,1790,31,1787,25,1783,21,1778,17,1773,15,1765,15,1758,15,1752,17,1747,21,1742,26,1740,32,1740,40,1724,39,1725,27,1729,17,1736,11,1744,5,1753,1,1766,1,1778,1,1788,5,1795,12,1802,19,1806,27,1806,37,1806,42,1805,47,1803,52,1801,57,1797,63,1792,68,1787,74,1779,81,1768,91,1758,99,1752,104,1749,107,1747,110,1745,113,1743,116,1806,116xm1826,33l1826,24,1828,16,1833,9,1838,3,1844,0,1853,0,1861,0,1868,3,1873,8,1878,14,1881,23,1881,34,1881,45,1878,53,1873,59,1868,65,1861,68,1853,68,1845,68,1839,65,1834,59,1829,53,1826,45,1826,33xm1853,11l1850,11,1846,12,1844,16,1841,19,1840,25,1840,34,1840,43,1841,49,1844,52,1846,55,1850,57,1853,57,1857,57,1861,55,1863,52,1866,48,1867,42,1867,33,1867,25,1866,19,1863,16,1861,12,1857,11,1853,11xm1854,136l1924,0,1937,0,1867,136,1854,136xm1909,101l1909,91,1912,83,1916,77,1921,71,1928,67,1936,67,1945,67,1951,70,1957,76,1962,82,1964,90,1964,102,1964,112,1962,121,1956,127,1951,133,1944,136,1937,136,1929,136,1922,133,1917,127,1912,121,1909,112,1909,101xm1937,78l1933,78,1930,80,1927,83,1924,87,1923,93,1923,102,1923,110,1924,116,1927,120,1930,123,1933,125,1937,125,1941,125,1944,123,1947,120,1949,116,1951,110,1951,101,1951,93,1949,87,1947,83,1944,80,1941,78,1937,78xm1998,169l1986,169,1998,148,2006,126,2011,105,2013,84,2013,73,2011,62,2009,51,2007,43,2004,34,2001,26,1998,21,1994,12,1986,0,1998,0,2006,11,2012,22,2018,33,2022,44,2025,54,2027,64,2029,74,2029,84,2028,96,2027,107,2024,119,2020,130,2015,141,2010,151,2004,160,1998,169xm0,502l0,487,2,475,5,465,8,456,12,449,19,444,25,439,33,436,42,436,49,436,55,438,60,441,65,443,70,447,73,453,76,458,79,464,81,472,83,479,84,489,84,502,84,517,82,530,79,539,76,548,72,555,65,560,59,565,51,568,42,568,30,568,20,564,13,555,7,545,3,534,1,519,0,502xm16,502l17,517,18,529,20,538,24,544,29,552,35,555,42,555,49,555,55,551,60,544,64,538,66,529,67,517,68,502,67,488,66,476,64,467,60,460,55,453,49,450,42,450,35,450,29,453,24,459,21,466,18,476,17,488,16,502xm185,604l178,595,173,586,167,576,163,565,159,554,156,542,154,531,154,519,154,509,155,499,157,489,160,479,165,468,170,457,177,446,185,435,196,435,189,447,184,456,182,461,178,469,176,477,174,486,171,497,170,508,170,519,171,540,176,561,185,583,196,604,185,604xm210,502l210,487,212,475,215,465,218,456,223,449,229,444,235,439,243,436,252,436,259,436,265,438,270,441,275,443,280,447,283,453,287,458,289,464,291,472,293,479,294,489,294,502,294,517,292,530,289,539,286,548,282,555,275,560,269,565,261,568,252,568,240,568,230,564,223,555,217,545,213,534,211,519,210,502xm226,502l227,517,228,529,230,538,234,544,239,552,245,555,252,555,259,555,265,551,270,544,274,538,276,529,277,517,278,502,277,488,276,476,274,467,270,460,265,453,259,450,252,450,245,450,239,453,234,459,231,466,228,476,227,488,226,502xm313,468l313,459,315,451,320,444,325,438,331,435,340,435,348,435,355,438,360,443,366,449,368,458,368,469,368,480,366,488,360,494,355,500,348,503,340,503,333,503,326,500,321,494,316,488,313,480,313,468xm341,446l337,446,333,447,331,451,328,454,327,460,327,469,327,478,328,484,331,487,334,490,337,492,341,492,345,492,348,490,351,487,353,483,354,477,354,468,354,460,353,454,350,451,348,447,345,446,341,446xm341,571l411,435,424,435,354,571,341,571xm396,536l396,526,399,518,403,512,408,506,415,502,424,502,432,502,438,505,444,511,449,517,452,525,452,537,452,547,449,556,444,562,438,568,432,571,424,571,416,571,409,568,404,562,399,556,396,547,396,536xm424,513l420,513,417,515,414,518,412,522,410,528,410,537,410,545,412,551,414,555,417,558,420,560,424,560,428,560,431,558,434,555,437,551,438,545,438,536,438,528,437,522,434,518,431,515,428,513,424,513xm485,604l474,604,485,583,493,561,498,540,500,519,500,508,499,497,496,486,494,478,491,469,488,461,485,456,481,447,474,435,485,435,493,446,499,457,505,468,509,479,512,489,514,499,516,509,516,519,516,531,514,542,511,554,507,565,502,576,497,586,491,595,485,604xm880,971l895,970,896,977,899,982,902,985,906,988,911,990,916,990,921,990,926,989,929,987,933,984,936,981,938,978,941,974,943,969,944,963,946,956,946,950,946,943,946,942,946,940,943,945,939,949,933,952,928,956,922,957,916,957,905,957,896,953,889,946,881,938,877,928,877,915,877,902,881,891,889,883,897,875,906,871,918,871,926,871,934,874,941,878,948,883,953,889,957,897,960,906,962,918,962,934,962,950,960,963,957,973,953,983,948,990,941,995,934,1000,926,1003,916,1003,906,1003,898,1000,891,995,885,989,881,981,880,971xm945,914l945,905,942,898,937,893,933,887,927,885,920,885,913,885,907,887,902,893,896,899,894,906,894,915,894,924,896,930,901,935,906,941,912,943,919,943,927,943,933,941,938,935,942,930,945,923,945,914xm1062,1039l1056,1030,1050,1021,1045,1011,1040,1000,1036,989,1033,977,1032,966,1031,954,1031,944,1033,934,1035,924,1038,914,1042,903,1048,892,1054,881,1062,870,1074,870,1066,882,1062,891,1059,896,1056,904,1053,912,1051,921,1049,932,1047,943,1047,954,1049,975,1054,996,1062,1018,1074,1039,1062,1039xm1147,1001l1131,1001,1131,900,1127,904,1122,907,1116,911,1110,915,1105,917,1100,919,1100,904,1109,900,1116,895,1123,889,1129,883,1134,877,1137,871,1147,871,1147,1001xm1271,986l1271,1001,1186,1001,1185,997,1186,993,1187,990,1190,984,1193,978,1198,973,1203,967,1210,961,1219,953,1233,942,1242,933,1247,926,1252,919,1254,913,1254,907,1254,901,1252,895,1248,891,1243,887,1237,885,1230,885,1222,885,1216,887,1212,891,1207,896,1205,902,1205,910,1189,909,1190,897,1194,887,1201,881,1208,875,1218,871,1230,871,1243,871,1253,875,1260,882,1267,889,1271,897,1271,907,1271,912,1270,917,1267,922,1265,927,1262,933,1257,938,1252,944,1244,951,1233,961,1223,969,1217,974,1214,977,1212,980,1209,983,1208,986,1271,986xm1297,1001l1297,983,1315,983,1315,1001,1297,1001xm1421,986l1421,1001,1336,1001,1336,997,1336,993,1338,990,1340,984,1343,978,1348,973,1353,967,1360,961,1369,953,1383,942,1392,933,1397,926,1402,919,1404,913,1404,907,1404,901,1402,895,1398,891,1393,887,1387,885,1380,885,1373,885,1366,887,1362,891,1357,896,1355,902,1355,910,1339,909,1340,897,1344,887,1351,881,1359,875,1368,871,1381,871,1393,871,1403,875,1410,882,1417,889,1421,897,1421,907,1421,912,1420,917,1418,922,1415,927,1412,933,1407,938,1402,944,1394,951,1383,961,1373,969,1367,974,1364,977,1362,980,1359,983,1358,986,1421,986xm1441,903l1441,894,1443,886,1448,879,1452,873,1459,870,1468,870,1476,870,1483,873,1488,878,1493,884,1496,893,1496,904,1496,915,1493,923,1488,929,1483,935,1476,938,1468,938,1460,938,1454,935,1449,929,1443,923,1441,915,1441,903xm1468,881l1464,881,1461,882,1459,886,1456,889,1455,895,1455,904,1455,913,1456,919,1459,922,1461,925,1464,927,1468,927,1472,927,1476,925,1478,922,1481,918,1482,912,1482,903,1482,895,1481,889,1478,886,1476,882,1472,881,1468,881xm1468,1006l1539,870,1552,870,1482,1006,1468,1006xm1524,971l1524,961,1526,953,1531,947,1536,941,1542,937,1551,937,1559,937,1566,940,1571,946,1577,952,1579,960,1579,972,1579,982,1577,991,1571,997,1566,1003,1559,1006,1551,1006,1544,1006,1537,1003,1532,997,1527,991,1524,982,1524,971xm1552,948l1548,948,1544,950,1542,953,1539,957,1538,963,1538,972,1538,980,1539,986,1542,990,1545,993,1548,995,1552,995,1556,995,1559,993,1562,990,1564,986,1566,980,1566,971,1566,963,1564,957,1562,953,1559,950,1556,948,1552,948xm1613,1039l1601,1039,1613,1018,1621,996,1626,975,1628,954,1628,943,1626,932,1624,921,1622,913,1619,904,1615,896,1613,891,1608,882,1601,870,1613,870,1620,881,1627,892,1633,903,1637,914,1640,924,1642,934,1643,944,1644,954,1643,966,1642,977,1639,989,1635,1000,1630,1011,1625,1021,1619,1030,1613,1039xe">
                  <v:path o:connectlocs="1222,3798;1329,3704;1293,3668;1292,3771;1423,3711;1459,3836;1532,3668;1588,3731;1638,3794;1628,3668;1634,3779;1700,3780;1787,3716;1736,3678;1768,3758;1878,3681;1844,3683;1863,3683;1957,3743;1930,3747;1949,3754;1994,3679;1998,3836;79,4131;3,4201;67,4155;163,4232;176,4144;243,4103;282,4222;245,4222;234,4126;368,4147;327,4136;341,4113;452,4204;410,4195;428,4180;493,4113;896,4644;946,4610;897,4542;934,4667;902,4560;1050,4688;1059,4563;1110,4582;1190,4651;1222,4552;1271,4574;1297,4650;1397,4593;1344,4554;1394,4618;1488,4545;1461,4549;1481,4556;1566,4607;1548,4615;1566,4630;1613,4558;1619,4697" o:connectangles="0,0,0,0,0,0,0,0,0,0,0,0,0,0,0,0,0,0,0,0,0,0,0,0,0,0,0,0,0,0,0,0,0,0,0,0,0,0,0,0,0,0,0,0,0,0,0,0,0,0,0,0,0,0,0,0,0,0,0,0,0,0"/>
                  <v:fill on="f" focussize="0,0"/>
                  <v:stroke weight="2.25pt" color="#FFFFFF" joinstyle="round"/>
                  <v:imagedata o:title=""/>
                  <o:lock v:ext="edit" aspectratio="f"/>
                </v:shape>
                <v:shape id="Picture 38" o:spid="_x0000_s1026" o:spt="75" type="#_x0000_t75" style="position:absolute;left:9525;top:5520;height:300;width:255;" filled="f" o:preferrelative="t" stroked="f" coordsize="21600,21600" o:gfxdata="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mTcwFccAAADiAAAADwAAAAAAAAABACAAAAAiAAAAZHJzL2Rvd25yZXYueG1sUEsBAhQAFAAA&#10;AAgAh07iQDMvBZ47AAAAOQAAABAAAAAAAAAAAQAgAAAAFgEAAGRycy9zaGFwZXhtbC54bWxQSwUG&#10;AAAAAAYABgBbAQAAwAMAAAAA&#10;">
                  <v:fill on="f" focussize="0,0"/>
                  <v:stroke on="f"/>
                  <v:imagedata r:id="rId110" o:title=""/>
                  <o:lock v:ext="edit" aspectratio="t"/>
                </v:shape>
                <v:rect id="Rectangle 41" o:spid="_x0000_s1026" o:spt="1" style="position:absolute;left:2070;top:6750;height:2700;width:8130;" filled="f" stroked="t" coordsize="21600,21600" o:gfxdata="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2MkK&#10;wAAAAOMAAAAPAAAAAAAAAAEAIAAAACIAAABkcnMvZG93bnJldi54bWxQSwECFAAUAAAACACHTuJA&#10;My8FnjsAAAA5AAAAEAAAAAAAAAABACAAAAAPAQAAZHJzL3NoYXBleG1sLnhtbFBLBQYAAAAABgAG&#10;AFsBAAC5AwAAAAA=&#10;">
                  <v:fill on="f" focussize="0,0"/>
                  <v:stroke color="#EDEDED" miterlimit="8" joinstyle="miter"/>
                  <v:imagedata o:title=""/>
                  <o:lock v:ext="edit" aspectratio="f"/>
                </v:rect>
                <v:shape id="AutoShape 36" o:spid="_x0000_s1026" o:spt="100" style="position:absolute;left:2069;top:6750;height:2700;width:8130;" fillcolor="#EDEDED" filled="t" stroked="f" coordsize="8130,2700" o:gfxdata="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xD+jbFAAAA4wAAAA8AAAAAAAAAAQAgAAAAIgAAAGRycy9kb3ducmV2LnhtbFBLAQIUABQAAAAI&#10;AIdO4kAzLwWeOwAAADkAAAAQAAAAAAAAAAEAIAAAABQBAABkcnMvc2hhcGV4bWwueG1sUEsFBgAA&#10;AAAGAAYAWwEAAL4DAAAAAA==&#10;" path="m5760,1350l0,1350,0,1365,5760,1365,5760,1350xm6570,1350l6015,1350,6015,1365,6570,1365,6570,1350xm8130,2685l0,2685,0,2700,8130,2700,8130,2685xm8130,1350l6825,1350,6825,1365,8130,1365,8130,1350xm8130,0l0,0,0,15,8130,15,8130,0xe">
                  <v:path o:connectlocs="5760,8100;0,8100;0,8115;5760,8115;5760,8100;6570,8100;6015,8100;6015,8115;6570,8115;6570,8100;8130,9435;0,9435;0,9450;8130,9450;8130,9435;8130,8100;6825,8100;6825,8115;8130,8115;8130,8100;8130,6750;0,6750;0,6765;8130,6765;8130,6750" o:connectangles="0,0,0,0,0,0,0,0,0,0,0,0,0,0,0,0,0,0,0,0,0,0,0,0,0"/>
                  <v:fill on="t" focussize="0,0"/>
                  <v:stroke on="f"/>
                  <v:imagedata o:title=""/>
                  <o:lock v:ext="edit" aspectratio="f"/>
                </v:shape>
                <v:shape id="AutoShape 35" o:spid="_x0000_s1026" o:spt="100" style="position:absolute;left:2069;top:7425;height:1350;width:8130;" fillcolor="#F7F7F7" filled="t" stroked="f" coordsize="8130,1350" o:gfxdata="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Vg&#10;e3/CAAAA4wAAAA8AAAAAAAAAAQAgAAAAIgAAAGRycy9kb3ducmV2LnhtbFBLAQIUABQAAAAIAIdO&#10;4kAzLwWeOwAAADkAAAAQAAAAAAAAAAEAIAAAABEBAABkcnMvc2hhcGV4bWwueG1sUEsFBgAAAAAG&#10;AAYAWwEAALsDAAAAAA==&#10;" path="m90,1335l0,1335,0,1350,90,1350,90,1335xm495,1335l330,1335,330,1350,495,1350,495,1335xm900,1335l735,1335,735,1350,900,1350,900,1335xm1305,1335l1140,1335,1140,1350,1305,1350,1305,1335xm1710,1335l1560,1335,1560,1350,1710,1350,1710,1335xm2115,1335l1965,1335,1965,1350,2115,1350,2115,1335xm2520,1335l2370,1335,2370,1350,2520,1350,2520,1335xm2925,1335l2775,1335,2775,1350,2925,1350,2925,1335xm3330,1335l3180,1335,3180,1350,3330,1350,3330,1335xm3735,1335l3585,1335,3585,1350,3735,1350,3735,1335xm4140,1335l3990,1335,3990,1350,4140,1350,4140,1335xm4545,1335l4395,1335,4395,1350,4545,1350,4545,1335xm4950,1335l4800,1335,4800,1350,4950,1350,4950,1335xm5355,1335l5205,1335,5205,1350,5355,1350,5355,1335xm5760,1335l5610,1335,5610,1350,5760,1350,5760,1335xm5760,0l0,0,0,15,5760,15,5760,0xm6165,1335l6015,1335,6015,1350,6165,1350,6165,1335xm6570,1335l6420,1335,6420,1350,6570,1350,6570,1335xm6570,0l6015,0,6015,15,6570,15,6570,0xm6990,1335l6825,1335,6825,1350,6990,1350,6990,1335xm7395,1335l7230,1335,7230,1350,7395,1350,7395,1335xm7800,1335l7635,1335,7635,1350,7800,1350,7800,1335xm8130,1335l8040,1335,8040,1350,8130,1350,8130,1335xm8130,0l6825,0,6825,15,8130,15,8130,0xe">
                  <v:path o:connectlocs="0,8760;90,8775;495,8760;330,8775;495,8760;735,8760;900,8775;1305,8760;1140,8775;1305,8760;1560,8760;1710,8775;2115,8760;1965,8775;2115,8760;2370,8760;2520,8775;2925,8760;2775,8775;2925,8760;3180,8760;3330,8775;3735,8760;3585,8775;3735,8760;3990,8760;4140,8775;4545,8760;4395,8775;4545,8760;4800,8760;4950,8775;5355,8760;5205,8775;5355,8760;5610,8760;5760,8775;5760,7425;0,7440;5760,7425;6015,8760;6165,8775;6570,8760;6420,8775;6570,8760;6015,7425;6570,7440;6990,8760;6825,8775;6990,8760;7230,8760;7395,8775;7800,8760;7635,8775;7800,8760;8040,8760;8130,8775;8130,7425;6825,7440;8130,7425" o:connectangles="0,0,0,0,0,0,0,0,0,0,0,0,0,0,0,0,0,0,0,0,0,0,0,0,0,0,0,0,0,0,0,0,0,0,0,0,0,0,0,0,0,0,0,0,0,0,0,0,0,0,0,0,0,0,0,0,0,0,0,0"/>
                  <v:fill on="t" focussize="0,0"/>
                  <v:stroke on="f"/>
                  <v:imagedata o:title=""/>
                  <o:lock v:ext="edit" aspectratio="f"/>
                </v:shape>
                <v:shape id="AutoShape 34" o:spid="_x0000_s1026" o:spt="100" style="position:absolute;left:2159;top:6765;height:2670;width:7950;" fillcolor="#663AB6" filled="t" stroked="f" coordsize="7950,2670" o:gfxdata="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6NbKwwAAAOIAAAAPAAAAAAAAAAEAIAAAACIAAABkcnMvZG93bnJldi54bWxQSwECFAAUAAAACACH&#10;TuJAMy8FnjsAAAA5AAAAEAAAAAAAAAABACAAAAASAQAAZHJzL3NoYXBleG1sLnhtbFBLBQYAAAAA&#10;BgAGAFsBAAC8AwAAAAA=&#10;" path="m240,1350l0,1350,0,2670,240,2670,240,1350xm645,1350l405,1350,405,2670,645,2670,645,1350xm1050,1350l810,1350,810,2670,1050,2670,1050,1350xm1470,1350l1215,1350,1215,2670,1470,2670,1470,1350xm1875,1350l1620,1350,1620,2670,1875,2670,1875,1350xm2280,1350l2025,1350,2025,2670,2280,2670,2280,1350xm2685,1350l2430,1350,2430,2670,2685,2670,2685,1350xm3090,1350l2835,1350,2835,2670,3090,2670,3090,1350xm3495,1350l3240,1350,3240,2670,3495,2670,3495,1350xm3900,1350l3645,1350,3645,2670,3900,2670,3900,1350xm4305,1350l4050,1350,4050,2670,4305,2670,4305,1350xm4710,1350l4455,1350,4455,2670,4710,2670,4710,1350xm5115,1350l4860,1350,4860,2670,5115,2670,5115,1350xm5520,1350l5265,1350,5265,2670,5520,2670,5520,1350xm5925,0l5670,0,5670,2670,5925,2670,5925,0xm6330,1350l6075,1350,6075,2670,6330,2670,6330,1350xm6735,0l6480,0,6480,2670,6735,2670,6735,0xm7140,1350l6900,1350,6900,2670,7140,2670,7140,1350xm7545,1350l7305,1350,7305,2670,7545,2670,7545,1350xm7950,1350l7710,1350,7710,2670,7950,2670,7950,1350xe">
                  <v:path o:connectlocs="0,8115;240,9435;645,8115;405,9435;645,8115;810,8115;1050,9435;1470,8115;1215,9435;1470,8115;1620,8115;1875,9435;2280,8115;2025,9435;2280,8115;2430,8115;2685,9435;3090,8115;2835,9435;3090,8115;3240,8115;3495,9435;3900,8115;3645,9435;3900,8115;4050,8115;4305,9435;4710,8115;4455,9435;4710,8115;4860,8115;5115,9435;5520,8115;5265,9435;5520,8115;5670,6765;5925,9435;6330,8115;6075,9435;6330,8115;6480,6765;6735,9435;7140,8115;6900,9435;7140,8115;7305,8115;7545,9435;7950,8115;7710,9435;7950,8115" o:connectangles="0,0,0,0,0,0,0,0,0,0,0,0,0,0,0,0,0,0,0,0,0,0,0,0,0,0,0,0,0,0,0,0,0,0,0,0,0,0,0,0,0,0,0,0,0,0,0,0,0,0"/>
                  <v:fill on="t" focussize="0,0"/>
                  <v:stroke on="f"/>
                  <v:imagedata o:title=""/>
                  <o:lock v:ext="edit" aspectratio="f"/>
                </v:shape>
                <v:rect id="Rectangle 33" o:spid="_x0000_s1026" o:spt="1" style="position:absolute;left:2070;top:9435;height:15;width:8130;" fillcolor="#333333" filled="t" stroked="f" coordsize="21600,21600" o:gfxdata="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K&#10;n9bCAAAA4wAAAA8AAAAAAAAAAQAgAAAAIgAAAGRycy9kb3ducmV2LnhtbFBLAQIUABQAAAAIAIdO&#10;4kAzLwWeOwAAADkAAAAQAAAAAAAAAAEAIAAAABEBAABkcnMvc2hhcGV4bWwueG1sUEsFBgAAAAAG&#10;AAYAWwEAALsDAAAAAA==&#10;">
                  <v:fill on="t" focussize="0,0"/>
                  <v:stroke on="f"/>
                  <v:imagedata o:title=""/>
                  <o:lock v:ext="edit" aspectratio="f"/>
                </v:rect>
                <v:rect id="Rectangle 32" o:spid="_x0000_s1026" o:spt="1" style="position:absolute;left:8355;top:7935;height:180;width:15;" fillcolor="#999999" filled="t" stroked="f" coordsize="21600,21600" o:gfxdata="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9O&#10;fIPCAAAA4gAAAA8AAAAAAAAAAQAgAAAAIgAAAGRycy9kb3ducmV2LnhtbFBLAQIUABQAAAAIAIdO&#10;4kAzLwWeOwAAADkAAAAQAAAAAAAAAAEAIAAAABEBAABkcnMvc2hhcGV4bWwueG1sUEsFBgAAAAAG&#10;AAYAWwEAALsDAAAAAA==&#10;">
                  <v:fill on="t" focussize="0,0"/>
                  <v:stroke on="f"/>
                  <v:imagedata o:title=""/>
                  <o:lock v:ext="edit" aspectratio="f"/>
                </v:rect>
                <v:shape id="Picture 31" o:spid="_x0000_s1026" o:spt="75" type="#_x0000_t75" style="position:absolute;left:1936;top:7754;height:361;width:5965;" filled="f" o:preferrelative="t" stroked="f" coordsize="21600,21600" o:gfxdata="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X1Ri3FAAAA4wAAAA8AAAAAAAAAAQAgAAAAIgAAAGRycy9kb3ducmV2LnhtbFBLAQIUABQAAAAI&#10;AIdO4kAzLwWeOwAAADkAAAAQAAAAAAAAAAEAIAAAABQBAABkcnMvc2hhcGV4bWwueG1sUEsFBgAA&#10;AAAGAAYAWwEAAL4DAAAAAA==&#10;">
                  <v:fill on="f" focussize="0,0"/>
                  <v:stroke on="f"/>
                  <v:imagedata r:id="rId118" o:title=""/>
                  <o:lock v:ext="edit" aspectratio="t"/>
                </v:shape>
                <v:shape id="Picture 30" o:spid="_x0000_s1026" o:spt="75" type="#_x0000_t75" style="position:absolute;left:7592;top:6765;height:394;width:1524;" filled="f" o:preferrelative="t" stroked="f" coordsize="21600,21600" o:gfxdata="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Q&#10;aSXCAAAA4wAAAA8AAAAAAAAAAQAgAAAAIgAAAGRycy9kb3ducmV2LnhtbFBLAQIUABQAAAAIAIdO&#10;4kAzLwWeOwAAADkAAAAQAAAAAAAAAAEAIAAAABEBAABkcnMvc2hhcGV4bWwueG1sUEsFBgAAAAAG&#10;AAYAWwEAALsDAAAAAA==&#10;">
                  <v:fill on="f" focussize="0,0"/>
                  <v:stroke on="f"/>
                  <v:imagedata r:id="rId119" o:title=""/>
                  <o:lock v:ext="edit" aspectratio="t"/>
                </v:shape>
                <v:shape id="AutoShape 29" o:spid="_x0000_s1026" o:spt="100" style="position:absolute;left:8034;top:7776;height:169;width:655;" filled="f" stroked="t" coordsize="655,169" o:gfxdata="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eR+Y8QAAADiAAAADwAAAAAAAAABACAAAAAiAAAAZHJzL2Rvd25yZXYueG1sUEsBAhQAFAAAAAgA&#10;h07iQDMvBZ47AAAAOQAAABAAAAAAAAAAAQAgAAAAEwEAAGRycy9zaGFwZXhtbC54bWxQSwUGAAAA&#10;AAYABgBbAQAAvQMAAAAA&#10;" path="m48,131l32,131,32,30,28,34,23,37,17,41,11,45,5,47,0,49,0,34,9,30,17,25,23,19,30,13,35,7,38,1,48,1,48,131xm173,169l167,160,161,151,156,141,151,130,147,119,144,107,142,96,142,84,142,74,143,64,146,54,148,44,153,33,159,22,165,11,173,0,184,0,177,12,172,21,170,26,167,34,164,42,162,51,159,62,158,73,158,84,160,105,165,126,173,148,184,169,173,169xm249,131l249,100,193,100,193,85,252,2,265,2,265,85,282,85,282,100,265,100,265,131,249,131xm249,85l249,27,209,85,249,85xm307,131l307,113,325,113,325,131,307,131xm348,97l365,96,366,104,369,110,374,114,378,118,383,120,390,120,397,120,404,117,409,111,414,106,417,98,417,89,417,80,414,72,409,67,404,62,398,59,389,59,384,59,380,61,376,63,372,65,368,68,366,72,351,70,364,4,428,4,428,19,376,19,369,53,377,48,385,45,394,45,405,45,414,49,422,57,430,65,434,75,434,87,434,99,430,109,424,117,415,128,404,133,390,133,378,133,368,130,361,123,354,117,349,108,348,97xm451,33l451,24,454,16,458,9,463,3,470,0,478,0,487,0,493,3,499,8,504,14,507,23,507,34,507,45,504,53,498,59,493,65,487,68,479,68,471,68,464,65,459,59,454,53,451,45,451,33xm479,11l475,11,472,12,469,16,467,19,465,25,465,34,465,43,467,49,469,52,472,55,475,57,479,57,483,57,486,55,489,52,491,48,493,42,493,33,493,25,491,19,489,16,486,12,483,11,479,11xm479,136l550,0,562,0,492,136,479,136xm535,101l535,91,537,83,542,77,546,71,553,67,562,67,570,67,577,70,582,76,587,82,590,90,590,102,590,112,587,121,582,127,577,133,570,136,562,136,554,136,548,133,543,127,537,121,535,112,535,101xm562,78l558,78,555,80,552,83,550,87,549,93,549,102,549,110,550,116,553,120,555,123,558,125,562,125,566,125,570,123,572,120,575,116,576,110,576,101,576,93,575,87,572,83,570,80,566,78,562,78xm623,169l612,169,623,148,632,126,637,105,638,84,638,73,637,62,634,51,632,43,630,34,626,26,624,21,619,12,612,0,623,0,631,11,638,22,643,33,648,44,651,54,653,64,654,74,654,84,654,96,652,107,649,119,645,130,641,141,635,151,630,160,623,169xe">
                  <v:path o:connectlocs="23,7814;0,7811;35,7784;167,7937;144,7884;146,7831;173,7777;167,7811;158,7861;173,7946;252,7779;265,7877;209,7862;325,7908;369,7887;397,7897;417,7866;398,7836;372,7842;428,7781;385,7822;430,7842;424,7894;368,7907;451,7810;470,7777;504,7791;498,7836;464,7842;479,7788;465,7802;472,7832;489,7829;491,7796;479,7913;535,7878;553,7844;587,7859;582,7904;548,7910;562,7855;549,7870;555,7900;572,7897;575,7864;623,7946;638,7861;630,7811;623,7777;651,7831;652,7884;630,7937" o:connectangles="0,0,0,0,0,0,0,0,0,0,0,0,0,0,0,0,0,0,0,0,0,0,0,0,0,0,0,0,0,0,0,0,0,0,0,0,0,0,0,0,0,0,0,0,0,0,0,0,0,0,0,0"/>
                  <v:fill on="f" focussize="0,0"/>
                  <v:stroke weight="2.25pt" color="#FFFFFF" joinstyle="round"/>
                  <v:imagedata o:title=""/>
                  <o:lock v:ext="edit" aspectratio="f"/>
                </v:shape>
                <v:shape id="Picture 28" o:spid="_x0000_s1026" o:spt="75" type="#_x0000_t75" style="position:absolute;left:8836;top:7754;height:361;width:1386;" filled="f" o:preferrelative="t" stroked="f" coordsize="21600,21600" o:gfxdata="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75&#10;FCfCAAAA4gAAAA8AAAAAAAAAAQAgAAAAIgAAAGRycy9kb3ducmV2LnhtbFBLAQIUABQAAAAIAIdO&#10;4kAzLwWeOwAAADkAAAAQAAAAAAAAAAEAIAAAABEBAABkcnMvc2hhcGV4bWwueG1sUEsFBgAAAAAG&#10;AAYAWwEAALsDAAAAAA==&#10;">
                  <v:fill on="f" focussize="0,0"/>
                  <v:stroke on="f"/>
                  <v:imagedata r:id="rId120" o:title=""/>
                  <o:lock v:ext="edit" aspectratio="t"/>
                </v:shape>
                <v:shape id="Picture 27" o:spid="_x0000_s1026" o:spt="75" type="#_x0000_t75" style="position:absolute;left:10200;top:15148;height:845;width:840;" filled="f" o:preferrelative="t" stroked="f" coordsize="21600,21600" o:gfxdata="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1qZQsQAAADjAAAADwAAAAAAAAABACAAAAAiAAAAZHJzL2Rvd25yZXYueG1sUEsBAhQAFAAAAAgA&#10;h07iQDMvBZ47AAAAOQAAABAAAAAAAAAAAQAgAAAAEwEAAGRycy9zaGFwZXhtbC54bWxQSwUGAAAA&#10;AAYABgBbAQAAvQMAAAAA&#10;">
                  <v:fill on="f" focussize="0,0"/>
                  <v:stroke on="f"/>
                  <v:imagedata r:id="rId112" o:title=""/>
                  <o:lock v:ext="edit" aspectratio="t"/>
                </v:shape>
              </v:group>
            </w:pict>
          </mc:Fallback>
        </mc:AlternateContent>
      </w:r>
    </w:p>
    <w:p w14:paraId="0F7F4CC7">
      <w:pPr>
        <w:widowControl w:val="0"/>
        <w:autoSpaceDE w:val="0"/>
        <w:autoSpaceDN w:val="0"/>
        <w:spacing w:before="94"/>
        <w:outlineLvl w:val="0"/>
        <w:rPr>
          <w:rFonts w:eastAsia="Roboto"/>
        </w:rPr>
      </w:pPr>
      <w:r>
        <w:rPr>
          <w:rFonts w:eastAsia="Roboto"/>
          <w:color w:val="202024"/>
        </w:rPr>
        <w:t>Please</w:t>
      </w:r>
      <w:r>
        <w:rPr>
          <w:rFonts w:eastAsia="Roboto"/>
          <w:color w:val="202024"/>
          <w:spacing w:val="17"/>
        </w:rPr>
        <w:t xml:space="preserve"> </w:t>
      </w:r>
      <w:r>
        <w:rPr>
          <w:rFonts w:eastAsia="Roboto"/>
          <w:color w:val="202024"/>
        </w:rPr>
        <w:t>specify_2</w:t>
      </w:r>
    </w:p>
    <w:p w14:paraId="21B129A3">
      <w:pPr>
        <w:widowControl w:val="0"/>
        <w:autoSpaceDE w:val="0"/>
        <w:autoSpaceDN w:val="0"/>
        <w:spacing w:before="174"/>
        <w:rPr>
          <w:rFonts w:eastAsia="Roboto"/>
        </w:rPr>
      </w:pPr>
      <w:r>
        <w:rPr>
          <w:rFonts w:eastAsia="Roboto"/>
          <w:color w:val="202024"/>
        </w:rPr>
        <w:t>5</w:t>
      </w:r>
      <w:r>
        <w:rPr>
          <w:rFonts w:eastAsia="Roboto"/>
          <w:color w:val="202024"/>
          <w:spacing w:val="18"/>
        </w:rPr>
        <w:t xml:space="preserve"> </w:t>
      </w:r>
      <w:r>
        <w:rPr>
          <w:rFonts w:eastAsia="Roboto"/>
          <w:color w:val="202024"/>
        </w:rPr>
        <w:t>responses</w:t>
      </w:r>
    </w:p>
    <w:p w14:paraId="249726A9">
      <w:pPr>
        <w:widowControl w:val="0"/>
        <w:autoSpaceDE w:val="0"/>
        <w:autoSpaceDN w:val="0"/>
        <w:rPr>
          <w:rFonts w:eastAsia="Roboto"/>
        </w:rPr>
      </w:pPr>
    </w:p>
    <w:p w14:paraId="55B2F011">
      <w:pPr>
        <w:widowControl w:val="0"/>
        <w:autoSpaceDE w:val="0"/>
        <w:autoSpaceDN w:val="0"/>
        <w:spacing w:before="8"/>
        <w:rPr>
          <w:rFonts w:eastAsia="Roboto"/>
        </w:rPr>
      </w:pPr>
    </w:p>
    <w:p w14:paraId="4CB0B1BD">
      <w:pPr>
        <w:widowControl w:val="0"/>
        <w:autoSpaceDE w:val="0"/>
        <w:autoSpaceDN w:val="0"/>
        <w:spacing w:line="628" w:lineRule="auto"/>
        <w:ind w:right="6412"/>
        <w:rPr>
          <w:rFonts w:eastAsia="Roboto"/>
        </w:rPr>
      </w:pPr>
      <w:r>
        <w:rPr>
          <w:rFonts w:eastAsia="Roboto"/>
          <w:color w:val="202024"/>
        </w:rPr>
        <w:t>Oil</w:t>
      </w:r>
      <w:r>
        <w:rPr>
          <w:rFonts w:eastAsia="Roboto"/>
          <w:color w:val="202024"/>
          <w:spacing w:val="4"/>
        </w:rPr>
        <w:t xml:space="preserve"> </w:t>
      </w:r>
      <w:r>
        <w:rPr>
          <w:rFonts w:eastAsia="Roboto"/>
          <w:color w:val="202024"/>
        </w:rPr>
        <w:t>and</w:t>
      </w:r>
      <w:r>
        <w:rPr>
          <w:rFonts w:eastAsia="Roboto"/>
          <w:color w:val="202024"/>
          <w:spacing w:val="4"/>
        </w:rPr>
        <w:t xml:space="preserve"> </w:t>
      </w:r>
      <w:r>
        <w:rPr>
          <w:rFonts w:eastAsia="Roboto"/>
          <w:color w:val="202024"/>
        </w:rPr>
        <w:t>Gas Tax</w:t>
      </w:r>
      <w:r>
        <w:rPr>
          <w:rFonts w:eastAsia="Roboto"/>
          <w:color w:val="202024"/>
          <w:spacing w:val="5"/>
        </w:rPr>
        <w:t xml:space="preserve"> </w:t>
      </w:r>
      <w:r>
        <w:rPr>
          <w:rFonts w:eastAsia="Roboto"/>
          <w:color w:val="202024"/>
        </w:rPr>
        <w:t>Consultant</w:t>
      </w:r>
      <w:r>
        <w:rPr>
          <w:rFonts w:eastAsia="Roboto"/>
          <w:color w:val="202024"/>
          <w:spacing w:val="-49"/>
        </w:rPr>
        <w:t xml:space="preserve"> </w:t>
      </w:r>
      <w:r>
        <w:rPr>
          <w:rFonts w:eastAsia="Roboto"/>
          <w:color w:val="202024"/>
        </w:rPr>
        <w:t>Tax</w:t>
      </w:r>
      <w:r>
        <w:rPr>
          <w:rFonts w:eastAsia="Roboto"/>
          <w:color w:val="202024"/>
          <w:spacing w:val="4"/>
        </w:rPr>
        <w:t xml:space="preserve"> </w:t>
      </w:r>
      <w:r>
        <w:rPr>
          <w:rFonts w:eastAsia="Roboto"/>
          <w:color w:val="202024"/>
        </w:rPr>
        <w:t>Law</w:t>
      </w:r>
    </w:p>
    <w:p w14:paraId="319F7947">
      <w:pPr>
        <w:widowControl w:val="0"/>
        <w:autoSpaceDE w:val="0"/>
        <w:autoSpaceDN w:val="0"/>
        <w:spacing w:line="251" w:lineRule="exact"/>
        <w:rPr>
          <w:rFonts w:eastAsia="Roboto"/>
        </w:rPr>
      </w:pPr>
      <w:r>
        <w:rPr>
          <w:rFonts w:eastAsia="Roboto"/>
          <w:color w:val="202024"/>
        </w:rPr>
        <w:t>Tax</w:t>
      </w:r>
      <w:r>
        <w:rPr>
          <w:rFonts w:eastAsia="Roboto"/>
          <w:color w:val="202024"/>
          <w:spacing w:val="6"/>
        </w:rPr>
        <w:t xml:space="preserve"> </w:t>
      </w:r>
      <w:r>
        <w:rPr>
          <w:rFonts w:eastAsia="Roboto"/>
          <w:color w:val="202024"/>
        </w:rPr>
        <w:t>Adviser</w:t>
      </w:r>
    </w:p>
    <w:p w14:paraId="4DFC558F">
      <w:pPr>
        <w:widowControl w:val="0"/>
        <w:autoSpaceDE w:val="0"/>
        <w:autoSpaceDN w:val="0"/>
        <w:spacing w:before="11"/>
        <w:rPr>
          <w:rFonts w:eastAsia="Roboto"/>
        </w:rPr>
      </w:pPr>
    </w:p>
    <w:p w14:paraId="646B34B3">
      <w:pPr>
        <w:widowControl w:val="0"/>
        <w:autoSpaceDE w:val="0"/>
        <w:autoSpaceDN w:val="0"/>
        <w:spacing w:before="1" w:line="628" w:lineRule="auto"/>
        <w:ind w:right="3787"/>
        <w:rPr>
          <w:rFonts w:eastAsia="Roboto"/>
        </w:rPr>
      </w:pPr>
      <w:r>
        <w:rPr>
          <w:rFonts w:eastAsia="Roboto"/>
          <w:color w:val="202024"/>
        </w:rPr>
        <w:t>Chairman,</w:t>
      </w:r>
      <w:r>
        <w:rPr>
          <w:rFonts w:eastAsia="Roboto"/>
          <w:color w:val="202024"/>
          <w:spacing w:val="4"/>
        </w:rPr>
        <w:t xml:space="preserve"> </w:t>
      </w:r>
      <w:r>
        <w:rPr>
          <w:rFonts w:eastAsia="Roboto"/>
          <w:color w:val="202024"/>
        </w:rPr>
        <w:t>Tax</w:t>
      </w:r>
      <w:r>
        <w:rPr>
          <w:rFonts w:eastAsia="Roboto"/>
          <w:color w:val="202024"/>
          <w:spacing w:val="8"/>
        </w:rPr>
        <w:t xml:space="preserve"> </w:t>
      </w:r>
      <w:r>
        <w:rPr>
          <w:rFonts w:eastAsia="Roboto"/>
          <w:color w:val="202024"/>
        </w:rPr>
        <w:t>Appeal</w:t>
      </w:r>
      <w:r>
        <w:rPr>
          <w:rFonts w:eastAsia="Roboto"/>
          <w:color w:val="202024"/>
          <w:spacing w:val="4"/>
        </w:rPr>
        <w:t xml:space="preserve"> </w:t>
      </w:r>
      <w:r>
        <w:rPr>
          <w:rFonts w:eastAsia="Roboto"/>
          <w:color w:val="202024"/>
        </w:rPr>
        <w:t>Tribunal,</w:t>
      </w:r>
      <w:r>
        <w:rPr>
          <w:rFonts w:eastAsia="Roboto"/>
          <w:color w:val="202024"/>
          <w:spacing w:val="9"/>
        </w:rPr>
        <w:t xml:space="preserve"> </w:t>
      </w:r>
      <w:r>
        <w:rPr>
          <w:rFonts w:eastAsia="Roboto"/>
          <w:color w:val="202024"/>
        </w:rPr>
        <w:t>South</w:t>
      </w:r>
      <w:r>
        <w:rPr>
          <w:rFonts w:eastAsia="Roboto"/>
          <w:color w:val="202024"/>
          <w:spacing w:val="8"/>
        </w:rPr>
        <w:t xml:space="preserve"> </w:t>
      </w:r>
      <w:r>
        <w:rPr>
          <w:rFonts w:eastAsia="Roboto"/>
          <w:color w:val="202024"/>
        </w:rPr>
        <w:t>East</w:t>
      </w:r>
      <w:r>
        <w:rPr>
          <w:rFonts w:eastAsia="Roboto"/>
          <w:color w:val="202024"/>
          <w:spacing w:val="8"/>
        </w:rPr>
        <w:t xml:space="preserve"> </w:t>
      </w:r>
      <w:r>
        <w:rPr>
          <w:rFonts w:eastAsia="Roboto"/>
          <w:color w:val="202024"/>
        </w:rPr>
        <w:t>Zone.</w:t>
      </w:r>
      <w:r>
        <w:rPr>
          <w:rFonts w:eastAsia="Roboto"/>
          <w:color w:val="202024"/>
          <w:spacing w:val="-49"/>
        </w:rPr>
        <w:t xml:space="preserve"> A</w:t>
      </w:r>
      <w:r>
        <w:rPr>
          <w:rFonts w:eastAsia="Roboto"/>
          <w:color w:val="202024"/>
        </w:rPr>
        <w:t>cademic</w:t>
      </w:r>
    </w:p>
    <w:p w14:paraId="7FD1AA7D">
      <w:pPr>
        <w:widowControl w:val="0"/>
        <w:autoSpaceDE w:val="0"/>
        <w:autoSpaceDN w:val="0"/>
        <w:spacing w:before="204"/>
        <w:rPr>
          <w:rFonts w:eastAsia="Roboto"/>
        </w:rPr>
      </w:pPr>
      <w:r>
        <w:rPr>
          <w:rFonts w:eastAsia="Roboto"/>
          <w:w w:val="120"/>
        </w:rPr>
        <w:t>ZOOM</w:t>
      </w:r>
      <w:r>
        <w:rPr>
          <w:rFonts w:eastAsia="Roboto"/>
          <w:spacing w:val="-20"/>
          <w:w w:val="120"/>
        </w:rPr>
        <w:t xml:space="preserve"> </w:t>
      </w:r>
      <w:r>
        <w:rPr>
          <w:rFonts w:eastAsia="Roboto"/>
          <w:w w:val="120"/>
        </w:rPr>
        <w:t>Call</w:t>
      </w:r>
    </w:p>
    <w:p w14:paraId="29867A18">
      <w:pPr>
        <w:widowControl w:val="0"/>
        <w:autoSpaceDE w:val="0"/>
        <w:autoSpaceDN w:val="0"/>
        <w:rPr>
          <w:rFonts w:eastAsia="Roboto"/>
        </w:rPr>
        <w:sectPr>
          <w:type w:val="continuous"/>
          <w:pgSz w:w="11900" w:h="16840"/>
          <w:pgMar w:top="480" w:right="1280" w:bottom="1680" w:left="1040" w:header="720" w:footer="720" w:gutter="0"/>
          <w:cols w:space="720" w:num="1"/>
        </w:sectPr>
      </w:pPr>
    </w:p>
    <w:p w14:paraId="2706A7CA">
      <w:pPr>
        <w:widowControl w:val="0"/>
        <w:autoSpaceDE w:val="0"/>
        <w:autoSpaceDN w:val="0"/>
        <w:rPr>
          <w:rFonts w:eastAsia="Roboto"/>
        </w:rPr>
      </w:pPr>
    </w:p>
    <w:p w14:paraId="455FA548">
      <w:pPr>
        <w:widowControl w:val="0"/>
        <w:autoSpaceDE w:val="0"/>
        <w:autoSpaceDN w:val="0"/>
        <w:rPr>
          <w:rFonts w:eastAsia="Roboto"/>
        </w:rPr>
      </w:pPr>
    </w:p>
    <w:p w14:paraId="01549E24">
      <w:pPr>
        <w:widowControl w:val="0"/>
        <w:autoSpaceDE w:val="0"/>
        <w:autoSpaceDN w:val="0"/>
        <w:rPr>
          <w:rFonts w:eastAsia="Roboto"/>
        </w:rPr>
      </w:pPr>
    </w:p>
    <w:p w14:paraId="26437C88">
      <w:pPr>
        <w:widowControl w:val="0"/>
        <w:autoSpaceDE w:val="0"/>
        <w:autoSpaceDN w:val="0"/>
        <w:rPr>
          <w:rFonts w:eastAsia="Roboto"/>
        </w:rPr>
      </w:pPr>
    </w:p>
    <w:p w14:paraId="060D42C1">
      <w:pPr>
        <w:widowControl w:val="0"/>
        <w:autoSpaceDE w:val="0"/>
        <w:autoSpaceDN w:val="0"/>
        <w:rPr>
          <w:rFonts w:eastAsia="Roboto"/>
        </w:rPr>
      </w:pPr>
    </w:p>
    <w:p w14:paraId="45C6A0D2">
      <w:pPr>
        <w:widowControl w:val="0"/>
        <w:autoSpaceDE w:val="0"/>
        <w:autoSpaceDN w:val="0"/>
        <w:rPr>
          <w:rFonts w:eastAsia="Roboto"/>
        </w:rPr>
      </w:pPr>
    </w:p>
    <w:p w14:paraId="70146B0B">
      <w:pPr>
        <w:widowControl w:val="0"/>
        <w:autoSpaceDE w:val="0"/>
        <w:autoSpaceDN w:val="0"/>
        <w:rPr>
          <w:rFonts w:eastAsia="Roboto"/>
        </w:rPr>
      </w:pPr>
    </w:p>
    <w:p w14:paraId="5A5B89EB">
      <w:pPr>
        <w:widowControl w:val="0"/>
        <w:autoSpaceDE w:val="0"/>
        <w:autoSpaceDN w:val="0"/>
        <w:rPr>
          <w:rFonts w:eastAsia="Roboto"/>
        </w:rPr>
      </w:pPr>
    </w:p>
    <w:p w14:paraId="04C6DF35">
      <w:pPr>
        <w:widowControl w:val="0"/>
        <w:autoSpaceDE w:val="0"/>
        <w:autoSpaceDN w:val="0"/>
        <w:rPr>
          <w:rFonts w:eastAsia="Roboto"/>
        </w:rPr>
      </w:pPr>
    </w:p>
    <w:p w14:paraId="5C6D97C5">
      <w:pPr>
        <w:widowControl w:val="0"/>
        <w:autoSpaceDE w:val="0"/>
        <w:autoSpaceDN w:val="0"/>
        <w:rPr>
          <w:rFonts w:eastAsia="Roboto"/>
        </w:rPr>
      </w:pPr>
    </w:p>
    <w:p w14:paraId="73643E26">
      <w:pPr>
        <w:widowControl w:val="0"/>
        <w:autoSpaceDE w:val="0"/>
        <w:autoSpaceDN w:val="0"/>
        <w:rPr>
          <w:rFonts w:eastAsia="Roboto"/>
        </w:rPr>
      </w:pPr>
    </w:p>
    <w:p w14:paraId="67B132FC">
      <w:pPr>
        <w:widowControl w:val="0"/>
        <w:autoSpaceDE w:val="0"/>
        <w:autoSpaceDN w:val="0"/>
        <w:rPr>
          <w:rFonts w:eastAsia="Roboto"/>
        </w:rPr>
      </w:pPr>
    </w:p>
    <w:p w14:paraId="13FDDF11">
      <w:pPr>
        <w:widowControl w:val="0"/>
        <w:autoSpaceDE w:val="0"/>
        <w:autoSpaceDN w:val="0"/>
        <w:rPr>
          <w:rFonts w:eastAsia="Roboto"/>
        </w:rPr>
      </w:pPr>
    </w:p>
    <w:p w14:paraId="0D6349C6">
      <w:pPr>
        <w:widowControl w:val="0"/>
        <w:autoSpaceDE w:val="0"/>
        <w:autoSpaceDN w:val="0"/>
        <w:rPr>
          <w:rFonts w:eastAsia="Roboto"/>
        </w:rPr>
      </w:pPr>
    </w:p>
    <w:p w14:paraId="3511E60E">
      <w:pPr>
        <w:widowControl w:val="0"/>
        <w:autoSpaceDE w:val="0"/>
        <w:autoSpaceDN w:val="0"/>
        <w:rPr>
          <w:rFonts w:eastAsia="Roboto"/>
        </w:rPr>
      </w:pPr>
    </w:p>
    <w:p w14:paraId="0AB3789D">
      <w:pPr>
        <w:widowControl w:val="0"/>
        <w:autoSpaceDE w:val="0"/>
        <w:autoSpaceDN w:val="0"/>
        <w:rPr>
          <w:rFonts w:eastAsia="Roboto"/>
        </w:rPr>
      </w:pPr>
    </w:p>
    <w:p w14:paraId="2226C420">
      <w:pPr>
        <w:widowControl w:val="0"/>
        <w:autoSpaceDE w:val="0"/>
        <w:autoSpaceDN w:val="0"/>
        <w:rPr>
          <w:rFonts w:eastAsia="Roboto"/>
        </w:rPr>
      </w:pPr>
    </w:p>
    <w:p w14:paraId="443ED618">
      <w:pPr>
        <w:widowControl w:val="0"/>
        <w:autoSpaceDE w:val="0"/>
        <w:autoSpaceDN w:val="0"/>
        <w:rPr>
          <w:rFonts w:eastAsia="Roboto"/>
        </w:rPr>
      </w:pPr>
    </w:p>
    <w:p w14:paraId="39A821B9">
      <w:pPr>
        <w:widowControl w:val="0"/>
        <w:autoSpaceDE w:val="0"/>
        <w:autoSpaceDN w:val="0"/>
        <w:rPr>
          <w:rFonts w:eastAsia="Roboto"/>
        </w:rPr>
      </w:pPr>
    </w:p>
    <w:p w14:paraId="0222893B">
      <w:pPr>
        <w:widowControl w:val="0"/>
        <w:autoSpaceDE w:val="0"/>
        <w:autoSpaceDN w:val="0"/>
        <w:spacing w:before="96"/>
        <w:rPr>
          <w:rFonts w:eastAsia="Roboto"/>
        </w:rPr>
      </w:pPr>
      <w:r>
        <mc:AlternateContent>
          <mc:Choice Requires="wpg">
            <w:drawing>
              <wp:anchor distT="0" distB="0" distL="114300" distR="114300" simplePos="0" relativeHeight="251745280" behindDoc="0" locked="0" layoutInCell="1" allowOverlap="1">
                <wp:simplePos x="0" y="0"/>
                <wp:positionH relativeFrom="page">
                  <wp:posOffset>733425</wp:posOffset>
                </wp:positionH>
                <wp:positionV relativeFrom="paragraph">
                  <wp:posOffset>-3611880</wp:posOffset>
                </wp:positionV>
                <wp:extent cx="6096000" cy="3524250"/>
                <wp:effectExtent l="9525" t="3810" r="0" b="5715"/>
                <wp:wrapNone/>
                <wp:docPr id="922808209" name="Group 4"/>
                <wp:cNvGraphicFramePr/>
                <a:graphic xmlns:a="http://schemas.openxmlformats.org/drawingml/2006/main">
                  <a:graphicData uri="http://schemas.microsoft.com/office/word/2010/wordprocessingGroup">
                    <wpg:wgp>
                      <wpg:cNvGrpSpPr/>
                      <wpg:grpSpPr>
                        <a:xfrm>
                          <a:off x="0" y="0"/>
                          <a:ext cx="6096000" cy="3524250"/>
                          <a:chOff x="1155" y="-5688"/>
                          <a:chExt cx="9600" cy="5550"/>
                        </a:xfrm>
                        <a:effectLst/>
                      </wpg:grpSpPr>
                      <wps:wsp>
                        <wps:cNvPr id="2011350735" name="Freeform 25"/>
                        <wps:cNvSpPr/>
                        <wps:spPr bwMode="auto">
                          <a:xfrm>
                            <a:off x="1162" y="-5681"/>
                            <a:ext cx="9585" cy="5535"/>
                          </a:xfrm>
                          <a:custGeom>
                            <a:avLst/>
                            <a:gdLst>
                              <a:gd name="T0" fmla="*/ 0 w 9585"/>
                              <a:gd name="T1" fmla="*/ -258 h 5535"/>
                              <a:gd name="T2" fmla="*/ 0 w 9585"/>
                              <a:gd name="T3" fmla="*/ -5568 h 5535"/>
                              <a:gd name="T4" fmla="*/ 0 w 9585"/>
                              <a:gd name="T5" fmla="*/ -5575 h 5535"/>
                              <a:gd name="T6" fmla="*/ 1 w 9585"/>
                              <a:gd name="T7" fmla="*/ -5583 h 5535"/>
                              <a:gd name="T8" fmla="*/ 3 w 9585"/>
                              <a:gd name="T9" fmla="*/ -5590 h 5535"/>
                              <a:gd name="T10" fmla="*/ 4 w 9585"/>
                              <a:gd name="T11" fmla="*/ -5597 h 5535"/>
                              <a:gd name="T12" fmla="*/ 6 w 9585"/>
                              <a:gd name="T13" fmla="*/ -5604 h 5535"/>
                              <a:gd name="T14" fmla="*/ 9 w 9585"/>
                              <a:gd name="T15" fmla="*/ -5611 h 5535"/>
                              <a:gd name="T16" fmla="*/ 12 w 9585"/>
                              <a:gd name="T17" fmla="*/ -5618 h 5535"/>
                              <a:gd name="T18" fmla="*/ 15 w 9585"/>
                              <a:gd name="T19" fmla="*/ -5624 h 5535"/>
                              <a:gd name="T20" fmla="*/ 19 w 9585"/>
                              <a:gd name="T21" fmla="*/ -5631 h 5535"/>
                              <a:gd name="T22" fmla="*/ 24 w 9585"/>
                              <a:gd name="T23" fmla="*/ -5637 h 5535"/>
                              <a:gd name="T24" fmla="*/ 28 w 9585"/>
                              <a:gd name="T25" fmla="*/ -5642 h 5535"/>
                              <a:gd name="T26" fmla="*/ 33 w 9585"/>
                              <a:gd name="T27" fmla="*/ -5648 h 5535"/>
                              <a:gd name="T28" fmla="*/ 39 w 9585"/>
                              <a:gd name="T29" fmla="*/ -5653 h 5535"/>
                              <a:gd name="T30" fmla="*/ 44 w 9585"/>
                              <a:gd name="T31" fmla="*/ -5657 h 5535"/>
                              <a:gd name="T32" fmla="*/ 50 w 9585"/>
                              <a:gd name="T33" fmla="*/ -5662 h 5535"/>
                              <a:gd name="T34" fmla="*/ 57 w 9585"/>
                              <a:gd name="T35" fmla="*/ -5666 h 5535"/>
                              <a:gd name="T36" fmla="*/ 63 w 9585"/>
                              <a:gd name="T37" fmla="*/ -5669 h 5535"/>
                              <a:gd name="T38" fmla="*/ 70 w 9585"/>
                              <a:gd name="T39" fmla="*/ -5672 h 5535"/>
                              <a:gd name="T40" fmla="*/ 77 w 9585"/>
                              <a:gd name="T41" fmla="*/ -5675 h 5535"/>
                              <a:gd name="T42" fmla="*/ 84 w 9585"/>
                              <a:gd name="T43" fmla="*/ -5677 h 5535"/>
                              <a:gd name="T44" fmla="*/ 91 w 9585"/>
                              <a:gd name="T45" fmla="*/ -5678 h 5535"/>
                              <a:gd name="T46" fmla="*/ 98 w 9585"/>
                              <a:gd name="T47" fmla="*/ -5680 h 5535"/>
                              <a:gd name="T48" fmla="*/ 106 w 9585"/>
                              <a:gd name="T49" fmla="*/ -5680 h 5535"/>
                              <a:gd name="T50" fmla="*/ 113 w 9585"/>
                              <a:gd name="T51" fmla="*/ -5680 h 5535"/>
                              <a:gd name="T52" fmla="*/ 9473 w 9585"/>
                              <a:gd name="T53" fmla="*/ -5680 h 5535"/>
                              <a:gd name="T54" fmla="*/ 9480 w 9585"/>
                              <a:gd name="T55" fmla="*/ -5680 h 5535"/>
                              <a:gd name="T56" fmla="*/ 9488 w 9585"/>
                              <a:gd name="T57" fmla="*/ -5680 h 5535"/>
                              <a:gd name="T58" fmla="*/ 9495 w 9585"/>
                              <a:gd name="T59" fmla="*/ -5678 h 5535"/>
                              <a:gd name="T60" fmla="*/ 9502 w 9585"/>
                              <a:gd name="T61" fmla="*/ -5677 h 5535"/>
                              <a:gd name="T62" fmla="*/ 9509 w 9585"/>
                              <a:gd name="T63" fmla="*/ -5675 h 5535"/>
                              <a:gd name="T64" fmla="*/ 9516 w 9585"/>
                              <a:gd name="T65" fmla="*/ -5672 h 5535"/>
                              <a:gd name="T66" fmla="*/ 9523 w 9585"/>
                              <a:gd name="T67" fmla="*/ -5669 h 5535"/>
                              <a:gd name="T68" fmla="*/ 9529 w 9585"/>
                              <a:gd name="T69" fmla="*/ -5666 h 5535"/>
                              <a:gd name="T70" fmla="*/ 9535 w 9585"/>
                              <a:gd name="T71" fmla="*/ -5662 h 5535"/>
                              <a:gd name="T72" fmla="*/ 9542 w 9585"/>
                              <a:gd name="T73" fmla="*/ -5657 h 5535"/>
                              <a:gd name="T74" fmla="*/ 9547 w 9585"/>
                              <a:gd name="T75" fmla="*/ -5653 h 5535"/>
                              <a:gd name="T76" fmla="*/ 9553 w 9585"/>
                              <a:gd name="T77" fmla="*/ -5648 h 5535"/>
                              <a:gd name="T78" fmla="*/ 9558 w 9585"/>
                              <a:gd name="T79" fmla="*/ -5642 h 5535"/>
                              <a:gd name="T80" fmla="*/ 9583 w 9585"/>
                              <a:gd name="T81" fmla="*/ -5590 h 5535"/>
                              <a:gd name="T82" fmla="*/ 9585 w 9585"/>
                              <a:gd name="T83" fmla="*/ -5583 h 5535"/>
                              <a:gd name="T84" fmla="*/ 9585 w 9585"/>
                              <a:gd name="T85" fmla="*/ -5575 h 5535"/>
                              <a:gd name="T86" fmla="*/ 9585 w 9585"/>
                              <a:gd name="T87" fmla="*/ -5568 h 5535"/>
                              <a:gd name="T88" fmla="*/ 9585 w 9585"/>
                              <a:gd name="T89" fmla="*/ -258 h 5535"/>
                              <a:gd name="T90" fmla="*/ 9585 w 9585"/>
                              <a:gd name="T91" fmla="*/ -251 h 5535"/>
                              <a:gd name="T92" fmla="*/ 9585 w 9585"/>
                              <a:gd name="T93" fmla="*/ -243 h 5535"/>
                              <a:gd name="T94" fmla="*/ 9583 w 9585"/>
                              <a:gd name="T95" fmla="*/ -236 h 5535"/>
                              <a:gd name="T96" fmla="*/ 9582 w 9585"/>
                              <a:gd name="T97" fmla="*/ -229 h 5535"/>
                              <a:gd name="T98" fmla="*/ 9547 w 9585"/>
                              <a:gd name="T99" fmla="*/ -173 h 5535"/>
                              <a:gd name="T100" fmla="*/ 9535 w 9585"/>
                              <a:gd name="T101" fmla="*/ -164 h 5535"/>
                              <a:gd name="T102" fmla="*/ 9529 w 9585"/>
                              <a:gd name="T103" fmla="*/ -160 h 5535"/>
                              <a:gd name="T104" fmla="*/ 9473 w 9585"/>
                              <a:gd name="T105" fmla="*/ -145 h 5535"/>
                              <a:gd name="T106" fmla="*/ 113 w 9585"/>
                              <a:gd name="T107" fmla="*/ -145 h 5535"/>
                              <a:gd name="T108" fmla="*/ 50 w 9585"/>
                              <a:gd name="T109" fmla="*/ -164 h 5535"/>
                              <a:gd name="T110" fmla="*/ 44 w 9585"/>
                              <a:gd name="T111" fmla="*/ -169 h 5535"/>
                              <a:gd name="T112" fmla="*/ 6 w 9585"/>
                              <a:gd name="T113" fmla="*/ -222 h 5535"/>
                              <a:gd name="T114" fmla="*/ 0 w 9585"/>
                              <a:gd name="T115" fmla="*/ -251 h 5535"/>
                              <a:gd name="T116" fmla="*/ 0 w 9585"/>
                              <a:gd name="T117" fmla="*/ -258 h 553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585" h="5535">
                                <a:moveTo>
                                  <a:pt x="0" y="5422"/>
                                </a:moveTo>
                                <a:lnTo>
                                  <a:pt x="0" y="112"/>
                                </a:lnTo>
                                <a:lnTo>
                                  <a:pt x="0" y="105"/>
                                </a:lnTo>
                                <a:lnTo>
                                  <a:pt x="1" y="97"/>
                                </a:lnTo>
                                <a:lnTo>
                                  <a:pt x="3" y="90"/>
                                </a:lnTo>
                                <a:lnTo>
                                  <a:pt x="4" y="83"/>
                                </a:lnTo>
                                <a:lnTo>
                                  <a:pt x="6" y="76"/>
                                </a:lnTo>
                                <a:lnTo>
                                  <a:pt x="9" y="69"/>
                                </a:lnTo>
                                <a:lnTo>
                                  <a:pt x="12" y="62"/>
                                </a:lnTo>
                                <a:lnTo>
                                  <a:pt x="15" y="56"/>
                                </a:lnTo>
                                <a:lnTo>
                                  <a:pt x="19" y="49"/>
                                </a:lnTo>
                                <a:lnTo>
                                  <a:pt x="24" y="43"/>
                                </a:lnTo>
                                <a:lnTo>
                                  <a:pt x="28" y="38"/>
                                </a:lnTo>
                                <a:lnTo>
                                  <a:pt x="33" y="32"/>
                                </a:lnTo>
                                <a:lnTo>
                                  <a:pt x="39" y="27"/>
                                </a:lnTo>
                                <a:lnTo>
                                  <a:pt x="44" y="23"/>
                                </a:lnTo>
                                <a:lnTo>
                                  <a:pt x="50" y="18"/>
                                </a:lnTo>
                                <a:lnTo>
                                  <a:pt x="57" y="14"/>
                                </a:lnTo>
                                <a:lnTo>
                                  <a:pt x="63" y="11"/>
                                </a:lnTo>
                                <a:lnTo>
                                  <a:pt x="70" y="8"/>
                                </a:lnTo>
                                <a:lnTo>
                                  <a:pt x="77" y="5"/>
                                </a:lnTo>
                                <a:lnTo>
                                  <a:pt x="84" y="3"/>
                                </a:lnTo>
                                <a:lnTo>
                                  <a:pt x="91" y="2"/>
                                </a:lnTo>
                                <a:lnTo>
                                  <a:pt x="98" y="0"/>
                                </a:lnTo>
                                <a:lnTo>
                                  <a:pt x="106" y="0"/>
                                </a:lnTo>
                                <a:lnTo>
                                  <a:pt x="113" y="0"/>
                                </a:lnTo>
                                <a:lnTo>
                                  <a:pt x="9473" y="0"/>
                                </a:lnTo>
                                <a:lnTo>
                                  <a:pt x="9480" y="0"/>
                                </a:lnTo>
                                <a:lnTo>
                                  <a:pt x="9488" y="0"/>
                                </a:lnTo>
                                <a:lnTo>
                                  <a:pt x="9495" y="2"/>
                                </a:lnTo>
                                <a:lnTo>
                                  <a:pt x="9502" y="3"/>
                                </a:lnTo>
                                <a:lnTo>
                                  <a:pt x="9509" y="5"/>
                                </a:lnTo>
                                <a:lnTo>
                                  <a:pt x="9516" y="8"/>
                                </a:lnTo>
                                <a:lnTo>
                                  <a:pt x="9523" y="11"/>
                                </a:lnTo>
                                <a:lnTo>
                                  <a:pt x="9529" y="14"/>
                                </a:lnTo>
                                <a:lnTo>
                                  <a:pt x="9535" y="18"/>
                                </a:lnTo>
                                <a:lnTo>
                                  <a:pt x="9542" y="23"/>
                                </a:lnTo>
                                <a:lnTo>
                                  <a:pt x="9547" y="27"/>
                                </a:lnTo>
                                <a:lnTo>
                                  <a:pt x="9553" y="32"/>
                                </a:lnTo>
                                <a:lnTo>
                                  <a:pt x="9558" y="38"/>
                                </a:lnTo>
                                <a:lnTo>
                                  <a:pt x="9583" y="90"/>
                                </a:lnTo>
                                <a:lnTo>
                                  <a:pt x="9585" y="97"/>
                                </a:lnTo>
                                <a:lnTo>
                                  <a:pt x="9585" y="105"/>
                                </a:lnTo>
                                <a:lnTo>
                                  <a:pt x="9585" y="112"/>
                                </a:lnTo>
                                <a:lnTo>
                                  <a:pt x="9585" y="5422"/>
                                </a:lnTo>
                                <a:lnTo>
                                  <a:pt x="9585" y="5429"/>
                                </a:lnTo>
                                <a:lnTo>
                                  <a:pt x="9585" y="5437"/>
                                </a:lnTo>
                                <a:lnTo>
                                  <a:pt x="9583" y="5444"/>
                                </a:lnTo>
                                <a:lnTo>
                                  <a:pt x="9582" y="5451"/>
                                </a:lnTo>
                                <a:lnTo>
                                  <a:pt x="9547" y="5507"/>
                                </a:lnTo>
                                <a:lnTo>
                                  <a:pt x="9535" y="5516"/>
                                </a:lnTo>
                                <a:lnTo>
                                  <a:pt x="9529" y="5520"/>
                                </a:lnTo>
                                <a:lnTo>
                                  <a:pt x="9473" y="5535"/>
                                </a:lnTo>
                                <a:lnTo>
                                  <a:pt x="113" y="5535"/>
                                </a:lnTo>
                                <a:lnTo>
                                  <a:pt x="50" y="5516"/>
                                </a:lnTo>
                                <a:lnTo>
                                  <a:pt x="44" y="5511"/>
                                </a:lnTo>
                                <a:lnTo>
                                  <a:pt x="6" y="5458"/>
                                </a:lnTo>
                                <a:lnTo>
                                  <a:pt x="0" y="5429"/>
                                </a:lnTo>
                                <a:lnTo>
                                  <a:pt x="0" y="5422"/>
                                </a:lnTo>
                                <a:close/>
                              </a:path>
                            </a:pathLst>
                          </a:custGeom>
                          <a:noFill/>
                          <a:ln w="9525">
                            <a:solidFill>
                              <a:srgbClr val="D9DBDF"/>
                            </a:solidFill>
                            <a:round/>
                          </a:ln>
                          <a:effectLst/>
                        </wps:spPr>
                        <wps:bodyPr rot="0" vert="horz" wrap="square" lIns="91440" tIns="45720" rIns="91440" bIns="45720" anchor="t" anchorCtr="0" upright="1">
                          <a:noAutofit/>
                        </wps:bodyPr>
                      </wps:wsp>
                      <pic:pic xmlns:pic="http://schemas.openxmlformats.org/drawingml/2006/picture">
                        <pic:nvPicPr>
                          <pic:cNvPr id="170271061"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525" y="-5553"/>
                            <a:ext cx="255" cy="300"/>
                          </a:xfrm>
                          <a:prstGeom prst="rect">
                            <a:avLst/>
                          </a:prstGeom>
                          <a:noFill/>
                          <a:ln>
                            <a:noFill/>
                          </a:ln>
                          <a:effectLst/>
                        </pic:spPr>
                      </pic:pic>
                      <wps:wsp>
                        <wps:cNvPr id="1584276196" name="Rectangle 23"/>
                        <wps:cNvSpPr>
                          <a:spLocks noChangeArrowheads="1"/>
                        </wps:cNvSpPr>
                        <wps:spPr bwMode="auto">
                          <a:xfrm>
                            <a:off x="3435" y="-3753"/>
                            <a:ext cx="5865" cy="3060"/>
                          </a:xfrm>
                          <a:prstGeom prst="rect">
                            <a:avLst/>
                          </a:prstGeom>
                          <a:noFill/>
                          <a:ln w="9525">
                            <a:solidFill>
                              <a:srgbClr val="EDEDED"/>
                            </a:solidFill>
                            <a:miter lim="800000"/>
                          </a:ln>
                          <a:effectLst/>
                        </wps:spPr>
                        <wps:bodyPr rot="0" vert="horz" wrap="square" lIns="91440" tIns="45720" rIns="91440" bIns="45720" anchor="t" anchorCtr="0" upright="1">
                          <a:noAutofit/>
                        </wps:bodyPr>
                      </wps:wsp>
                      <wps:wsp>
                        <wps:cNvPr id="1867546172" name="AutoShape 22"/>
                        <wps:cNvSpPr/>
                        <wps:spPr bwMode="auto">
                          <a:xfrm>
                            <a:off x="3434" y="-3753"/>
                            <a:ext cx="5865" cy="3060"/>
                          </a:xfrm>
                          <a:custGeom>
                            <a:avLst/>
                            <a:gdLst>
                              <a:gd name="T0" fmla="*/ 15 w 5865"/>
                              <a:gd name="T1" fmla="*/ -3753 h 3060"/>
                              <a:gd name="T2" fmla="*/ 0 w 5865"/>
                              <a:gd name="T3" fmla="*/ -3753 h 3060"/>
                              <a:gd name="T4" fmla="*/ 0 w 5865"/>
                              <a:gd name="T5" fmla="*/ -693 h 3060"/>
                              <a:gd name="T6" fmla="*/ 15 w 5865"/>
                              <a:gd name="T7" fmla="*/ -693 h 3060"/>
                              <a:gd name="T8" fmla="*/ 15 w 5865"/>
                              <a:gd name="T9" fmla="*/ -3753 h 3060"/>
                              <a:gd name="T10" fmla="*/ 1965 w 5865"/>
                              <a:gd name="T11" fmla="*/ -993 h 3060"/>
                              <a:gd name="T12" fmla="*/ 1950 w 5865"/>
                              <a:gd name="T13" fmla="*/ -993 h 3060"/>
                              <a:gd name="T14" fmla="*/ 1950 w 5865"/>
                              <a:gd name="T15" fmla="*/ -693 h 3060"/>
                              <a:gd name="T16" fmla="*/ 1965 w 5865"/>
                              <a:gd name="T17" fmla="*/ -693 h 3060"/>
                              <a:gd name="T18" fmla="*/ 1965 w 5865"/>
                              <a:gd name="T19" fmla="*/ -993 h 3060"/>
                              <a:gd name="T20" fmla="*/ 1965 w 5865"/>
                              <a:gd name="T21" fmla="*/ -2508 h 3060"/>
                              <a:gd name="T22" fmla="*/ 1950 w 5865"/>
                              <a:gd name="T23" fmla="*/ -2508 h 3060"/>
                              <a:gd name="T24" fmla="*/ 1950 w 5865"/>
                              <a:gd name="T25" fmla="*/ -1938 h 3060"/>
                              <a:gd name="T26" fmla="*/ 1965 w 5865"/>
                              <a:gd name="T27" fmla="*/ -1938 h 3060"/>
                              <a:gd name="T28" fmla="*/ 1965 w 5865"/>
                              <a:gd name="T29" fmla="*/ -2508 h 3060"/>
                              <a:gd name="T30" fmla="*/ 1965 w 5865"/>
                              <a:gd name="T31" fmla="*/ -3753 h 3060"/>
                              <a:gd name="T32" fmla="*/ 1950 w 5865"/>
                              <a:gd name="T33" fmla="*/ -3753 h 3060"/>
                              <a:gd name="T34" fmla="*/ 1950 w 5865"/>
                              <a:gd name="T35" fmla="*/ -3453 h 3060"/>
                              <a:gd name="T36" fmla="*/ 1965 w 5865"/>
                              <a:gd name="T37" fmla="*/ -3453 h 3060"/>
                              <a:gd name="T38" fmla="*/ 1965 w 5865"/>
                              <a:gd name="T39" fmla="*/ -3753 h 3060"/>
                              <a:gd name="T40" fmla="*/ 3915 w 5865"/>
                              <a:gd name="T41" fmla="*/ -2508 h 3060"/>
                              <a:gd name="T42" fmla="*/ 3900 w 5865"/>
                              <a:gd name="T43" fmla="*/ -2508 h 3060"/>
                              <a:gd name="T44" fmla="*/ 3900 w 5865"/>
                              <a:gd name="T45" fmla="*/ -693 h 3060"/>
                              <a:gd name="T46" fmla="*/ 3915 w 5865"/>
                              <a:gd name="T47" fmla="*/ -693 h 3060"/>
                              <a:gd name="T48" fmla="*/ 3915 w 5865"/>
                              <a:gd name="T49" fmla="*/ -2508 h 3060"/>
                              <a:gd name="T50" fmla="*/ 3915 w 5865"/>
                              <a:gd name="T51" fmla="*/ -3753 h 3060"/>
                              <a:gd name="T52" fmla="*/ 3900 w 5865"/>
                              <a:gd name="T53" fmla="*/ -3753 h 3060"/>
                              <a:gd name="T54" fmla="*/ 3900 w 5865"/>
                              <a:gd name="T55" fmla="*/ -3453 h 3060"/>
                              <a:gd name="T56" fmla="*/ 3915 w 5865"/>
                              <a:gd name="T57" fmla="*/ -3453 h 3060"/>
                              <a:gd name="T58" fmla="*/ 3915 w 5865"/>
                              <a:gd name="T59" fmla="*/ -3753 h 3060"/>
                              <a:gd name="T60" fmla="*/ 5865 w 5865"/>
                              <a:gd name="T61" fmla="*/ -3753 h 3060"/>
                              <a:gd name="T62" fmla="*/ 5850 w 5865"/>
                              <a:gd name="T63" fmla="*/ -3753 h 3060"/>
                              <a:gd name="T64" fmla="*/ 5850 w 5865"/>
                              <a:gd name="T65" fmla="*/ -693 h 3060"/>
                              <a:gd name="T66" fmla="*/ 5865 w 5865"/>
                              <a:gd name="T67" fmla="*/ -693 h 3060"/>
                              <a:gd name="T68" fmla="*/ 5865 w 5865"/>
                              <a:gd name="T69" fmla="*/ -3753 h 30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865" h="3060">
                                <a:moveTo>
                                  <a:pt x="15" y="0"/>
                                </a:moveTo>
                                <a:lnTo>
                                  <a:pt x="0" y="0"/>
                                </a:lnTo>
                                <a:lnTo>
                                  <a:pt x="0" y="3060"/>
                                </a:lnTo>
                                <a:lnTo>
                                  <a:pt x="15" y="3060"/>
                                </a:lnTo>
                                <a:lnTo>
                                  <a:pt x="15" y="0"/>
                                </a:lnTo>
                                <a:close/>
                                <a:moveTo>
                                  <a:pt x="1965" y="2760"/>
                                </a:moveTo>
                                <a:lnTo>
                                  <a:pt x="1950" y="2760"/>
                                </a:lnTo>
                                <a:lnTo>
                                  <a:pt x="1950" y="3060"/>
                                </a:lnTo>
                                <a:lnTo>
                                  <a:pt x="1965" y="3060"/>
                                </a:lnTo>
                                <a:lnTo>
                                  <a:pt x="1965" y="2760"/>
                                </a:lnTo>
                                <a:close/>
                                <a:moveTo>
                                  <a:pt x="1965" y="1245"/>
                                </a:moveTo>
                                <a:lnTo>
                                  <a:pt x="1950" y="1245"/>
                                </a:lnTo>
                                <a:lnTo>
                                  <a:pt x="1950" y="1815"/>
                                </a:lnTo>
                                <a:lnTo>
                                  <a:pt x="1965" y="1815"/>
                                </a:lnTo>
                                <a:lnTo>
                                  <a:pt x="1965" y="1245"/>
                                </a:lnTo>
                                <a:close/>
                                <a:moveTo>
                                  <a:pt x="1965" y="0"/>
                                </a:moveTo>
                                <a:lnTo>
                                  <a:pt x="1950" y="0"/>
                                </a:lnTo>
                                <a:lnTo>
                                  <a:pt x="1950" y="300"/>
                                </a:lnTo>
                                <a:lnTo>
                                  <a:pt x="1965" y="300"/>
                                </a:lnTo>
                                <a:lnTo>
                                  <a:pt x="1965" y="0"/>
                                </a:lnTo>
                                <a:close/>
                                <a:moveTo>
                                  <a:pt x="3915" y="1245"/>
                                </a:moveTo>
                                <a:lnTo>
                                  <a:pt x="3900" y="1245"/>
                                </a:lnTo>
                                <a:lnTo>
                                  <a:pt x="3900" y="3060"/>
                                </a:lnTo>
                                <a:lnTo>
                                  <a:pt x="3915" y="3060"/>
                                </a:lnTo>
                                <a:lnTo>
                                  <a:pt x="3915" y="1245"/>
                                </a:lnTo>
                                <a:close/>
                                <a:moveTo>
                                  <a:pt x="3915" y="0"/>
                                </a:moveTo>
                                <a:lnTo>
                                  <a:pt x="3900" y="0"/>
                                </a:lnTo>
                                <a:lnTo>
                                  <a:pt x="3900" y="300"/>
                                </a:lnTo>
                                <a:lnTo>
                                  <a:pt x="3915" y="300"/>
                                </a:lnTo>
                                <a:lnTo>
                                  <a:pt x="3915" y="0"/>
                                </a:lnTo>
                                <a:close/>
                                <a:moveTo>
                                  <a:pt x="5865" y="0"/>
                                </a:moveTo>
                                <a:lnTo>
                                  <a:pt x="5850" y="0"/>
                                </a:lnTo>
                                <a:lnTo>
                                  <a:pt x="5850" y="3060"/>
                                </a:lnTo>
                                <a:lnTo>
                                  <a:pt x="5865" y="3060"/>
                                </a:lnTo>
                                <a:lnTo>
                                  <a:pt x="5865" y="0"/>
                                </a:lnTo>
                                <a:close/>
                              </a:path>
                            </a:pathLst>
                          </a:custGeom>
                          <a:solidFill>
                            <a:srgbClr val="EDEDED"/>
                          </a:solidFill>
                          <a:ln>
                            <a:noFill/>
                          </a:ln>
                          <a:effectLst/>
                        </wps:spPr>
                        <wps:bodyPr rot="0" vert="horz" wrap="square" lIns="91440" tIns="45720" rIns="91440" bIns="45720" anchor="t" anchorCtr="0" upright="1">
                          <a:noAutofit/>
                        </wps:bodyPr>
                      </wps:wsp>
                      <wps:wsp>
                        <wps:cNvPr id="1047536430" name="AutoShape 21"/>
                        <wps:cNvSpPr/>
                        <wps:spPr bwMode="auto">
                          <a:xfrm>
                            <a:off x="4409" y="-3753"/>
                            <a:ext cx="3915" cy="3060"/>
                          </a:xfrm>
                          <a:custGeom>
                            <a:avLst/>
                            <a:gdLst>
                              <a:gd name="T0" fmla="*/ 15 w 3915"/>
                              <a:gd name="T1" fmla="*/ -993 h 3060"/>
                              <a:gd name="T2" fmla="*/ 0 w 3915"/>
                              <a:gd name="T3" fmla="*/ -993 h 3060"/>
                              <a:gd name="T4" fmla="*/ 0 w 3915"/>
                              <a:gd name="T5" fmla="*/ -693 h 3060"/>
                              <a:gd name="T6" fmla="*/ 15 w 3915"/>
                              <a:gd name="T7" fmla="*/ -693 h 3060"/>
                              <a:gd name="T8" fmla="*/ 15 w 3915"/>
                              <a:gd name="T9" fmla="*/ -993 h 3060"/>
                              <a:gd name="T10" fmla="*/ 15 w 3915"/>
                              <a:gd name="T11" fmla="*/ -2508 h 3060"/>
                              <a:gd name="T12" fmla="*/ 0 w 3915"/>
                              <a:gd name="T13" fmla="*/ -2508 h 3060"/>
                              <a:gd name="T14" fmla="*/ 0 w 3915"/>
                              <a:gd name="T15" fmla="*/ -1938 h 3060"/>
                              <a:gd name="T16" fmla="*/ 15 w 3915"/>
                              <a:gd name="T17" fmla="*/ -1938 h 3060"/>
                              <a:gd name="T18" fmla="*/ 15 w 3915"/>
                              <a:gd name="T19" fmla="*/ -2508 h 3060"/>
                              <a:gd name="T20" fmla="*/ 15 w 3915"/>
                              <a:gd name="T21" fmla="*/ -3753 h 3060"/>
                              <a:gd name="T22" fmla="*/ 0 w 3915"/>
                              <a:gd name="T23" fmla="*/ -3753 h 3060"/>
                              <a:gd name="T24" fmla="*/ 0 w 3915"/>
                              <a:gd name="T25" fmla="*/ -3453 h 3060"/>
                              <a:gd name="T26" fmla="*/ 15 w 3915"/>
                              <a:gd name="T27" fmla="*/ -3453 h 3060"/>
                              <a:gd name="T28" fmla="*/ 15 w 3915"/>
                              <a:gd name="T29" fmla="*/ -3753 h 3060"/>
                              <a:gd name="T30" fmla="*/ 1965 w 3915"/>
                              <a:gd name="T31" fmla="*/ -2508 h 3060"/>
                              <a:gd name="T32" fmla="*/ 1950 w 3915"/>
                              <a:gd name="T33" fmla="*/ -2508 h 3060"/>
                              <a:gd name="T34" fmla="*/ 1950 w 3915"/>
                              <a:gd name="T35" fmla="*/ -693 h 3060"/>
                              <a:gd name="T36" fmla="*/ 1965 w 3915"/>
                              <a:gd name="T37" fmla="*/ -693 h 3060"/>
                              <a:gd name="T38" fmla="*/ 1965 w 3915"/>
                              <a:gd name="T39" fmla="*/ -2508 h 3060"/>
                              <a:gd name="T40" fmla="*/ 1965 w 3915"/>
                              <a:gd name="T41" fmla="*/ -3753 h 3060"/>
                              <a:gd name="T42" fmla="*/ 1950 w 3915"/>
                              <a:gd name="T43" fmla="*/ -3753 h 3060"/>
                              <a:gd name="T44" fmla="*/ 1950 w 3915"/>
                              <a:gd name="T45" fmla="*/ -3453 h 3060"/>
                              <a:gd name="T46" fmla="*/ 1965 w 3915"/>
                              <a:gd name="T47" fmla="*/ -3453 h 3060"/>
                              <a:gd name="T48" fmla="*/ 1965 w 3915"/>
                              <a:gd name="T49" fmla="*/ -3753 h 3060"/>
                              <a:gd name="T50" fmla="*/ 3915 w 3915"/>
                              <a:gd name="T51" fmla="*/ -3753 h 3060"/>
                              <a:gd name="T52" fmla="*/ 3900 w 3915"/>
                              <a:gd name="T53" fmla="*/ -3753 h 3060"/>
                              <a:gd name="T54" fmla="*/ 3900 w 3915"/>
                              <a:gd name="T55" fmla="*/ -693 h 3060"/>
                              <a:gd name="T56" fmla="*/ 3915 w 3915"/>
                              <a:gd name="T57" fmla="*/ -693 h 3060"/>
                              <a:gd name="T58" fmla="*/ 3915 w 3915"/>
                              <a:gd name="T59" fmla="*/ -3753 h 306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915" h="3060">
                                <a:moveTo>
                                  <a:pt x="15" y="2760"/>
                                </a:moveTo>
                                <a:lnTo>
                                  <a:pt x="0" y="2760"/>
                                </a:lnTo>
                                <a:lnTo>
                                  <a:pt x="0" y="3060"/>
                                </a:lnTo>
                                <a:lnTo>
                                  <a:pt x="15" y="3060"/>
                                </a:lnTo>
                                <a:lnTo>
                                  <a:pt x="15" y="2760"/>
                                </a:lnTo>
                                <a:close/>
                                <a:moveTo>
                                  <a:pt x="15" y="1245"/>
                                </a:moveTo>
                                <a:lnTo>
                                  <a:pt x="0" y="1245"/>
                                </a:lnTo>
                                <a:lnTo>
                                  <a:pt x="0" y="1815"/>
                                </a:lnTo>
                                <a:lnTo>
                                  <a:pt x="15" y="1815"/>
                                </a:lnTo>
                                <a:lnTo>
                                  <a:pt x="15" y="1245"/>
                                </a:lnTo>
                                <a:close/>
                                <a:moveTo>
                                  <a:pt x="15" y="0"/>
                                </a:moveTo>
                                <a:lnTo>
                                  <a:pt x="0" y="0"/>
                                </a:lnTo>
                                <a:lnTo>
                                  <a:pt x="0" y="300"/>
                                </a:lnTo>
                                <a:lnTo>
                                  <a:pt x="15" y="300"/>
                                </a:lnTo>
                                <a:lnTo>
                                  <a:pt x="15" y="0"/>
                                </a:lnTo>
                                <a:close/>
                                <a:moveTo>
                                  <a:pt x="1965" y="1245"/>
                                </a:moveTo>
                                <a:lnTo>
                                  <a:pt x="1950" y="1245"/>
                                </a:lnTo>
                                <a:lnTo>
                                  <a:pt x="1950" y="3060"/>
                                </a:lnTo>
                                <a:lnTo>
                                  <a:pt x="1965" y="3060"/>
                                </a:lnTo>
                                <a:lnTo>
                                  <a:pt x="1965" y="1245"/>
                                </a:lnTo>
                                <a:close/>
                                <a:moveTo>
                                  <a:pt x="1965" y="0"/>
                                </a:moveTo>
                                <a:lnTo>
                                  <a:pt x="1950" y="0"/>
                                </a:lnTo>
                                <a:lnTo>
                                  <a:pt x="1950" y="300"/>
                                </a:lnTo>
                                <a:lnTo>
                                  <a:pt x="1965" y="300"/>
                                </a:lnTo>
                                <a:lnTo>
                                  <a:pt x="1965" y="0"/>
                                </a:lnTo>
                                <a:close/>
                                <a:moveTo>
                                  <a:pt x="3915" y="0"/>
                                </a:moveTo>
                                <a:lnTo>
                                  <a:pt x="3900" y="0"/>
                                </a:lnTo>
                                <a:lnTo>
                                  <a:pt x="3900" y="3060"/>
                                </a:lnTo>
                                <a:lnTo>
                                  <a:pt x="3915" y="3060"/>
                                </a:lnTo>
                                <a:lnTo>
                                  <a:pt x="3915" y="0"/>
                                </a:lnTo>
                                <a:close/>
                              </a:path>
                            </a:pathLst>
                          </a:custGeom>
                          <a:solidFill>
                            <a:srgbClr val="F7F7F7"/>
                          </a:solidFill>
                          <a:ln>
                            <a:noFill/>
                          </a:ln>
                          <a:effectLst/>
                        </wps:spPr>
                        <wps:bodyPr rot="0" vert="horz" wrap="square" lIns="91440" tIns="45720" rIns="91440" bIns="45720" anchor="t" anchorCtr="0" upright="1">
                          <a:noAutofit/>
                        </wps:bodyPr>
                      </wps:wsp>
                      <wps:wsp>
                        <wps:cNvPr id="988978141" name="AutoShape 20"/>
                        <wps:cNvSpPr/>
                        <wps:spPr bwMode="auto">
                          <a:xfrm>
                            <a:off x="3449" y="-3453"/>
                            <a:ext cx="3990" cy="2460"/>
                          </a:xfrm>
                          <a:custGeom>
                            <a:avLst/>
                            <a:gdLst>
                              <a:gd name="T0" fmla="*/ 2430 w 3990"/>
                              <a:gd name="T1" fmla="*/ -1938 h 2460"/>
                              <a:gd name="T2" fmla="*/ 0 w 3990"/>
                              <a:gd name="T3" fmla="*/ -1938 h 2460"/>
                              <a:gd name="T4" fmla="*/ 0 w 3990"/>
                              <a:gd name="T5" fmla="*/ -993 h 2460"/>
                              <a:gd name="T6" fmla="*/ 2430 w 3990"/>
                              <a:gd name="T7" fmla="*/ -993 h 2460"/>
                              <a:gd name="T8" fmla="*/ 2430 w 3990"/>
                              <a:gd name="T9" fmla="*/ -1938 h 2460"/>
                              <a:gd name="T10" fmla="*/ 3990 w 3990"/>
                              <a:gd name="T11" fmla="*/ -3453 h 2460"/>
                              <a:gd name="T12" fmla="*/ 0 w 3990"/>
                              <a:gd name="T13" fmla="*/ -3453 h 2460"/>
                              <a:gd name="T14" fmla="*/ 0 w 3990"/>
                              <a:gd name="T15" fmla="*/ -2508 h 2460"/>
                              <a:gd name="T16" fmla="*/ 3990 w 3990"/>
                              <a:gd name="T17" fmla="*/ -2508 h 2460"/>
                              <a:gd name="T18" fmla="*/ 3990 w 3990"/>
                              <a:gd name="T19" fmla="*/ -3453 h 24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90" h="2460">
                                <a:moveTo>
                                  <a:pt x="2430" y="1515"/>
                                </a:moveTo>
                                <a:lnTo>
                                  <a:pt x="0" y="1515"/>
                                </a:lnTo>
                                <a:lnTo>
                                  <a:pt x="0" y="2460"/>
                                </a:lnTo>
                                <a:lnTo>
                                  <a:pt x="2430" y="2460"/>
                                </a:lnTo>
                                <a:lnTo>
                                  <a:pt x="2430" y="1515"/>
                                </a:lnTo>
                                <a:close/>
                                <a:moveTo>
                                  <a:pt x="3990" y="0"/>
                                </a:moveTo>
                                <a:lnTo>
                                  <a:pt x="0" y="0"/>
                                </a:lnTo>
                                <a:lnTo>
                                  <a:pt x="0" y="945"/>
                                </a:lnTo>
                                <a:lnTo>
                                  <a:pt x="3990" y="945"/>
                                </a:lnTo>
                                <a:lnTo>
                                  <a:pt x="3990" y="0"/>
                                </a:lnTo>
                                <a:close/>
                              </a:path>
                            </a:pathLst>
                          </a:custGeom>
                          <a:solidFill>
                            <a:srgbClr val="663AB6"/>
                          </a:solidFill>
                          <a:ln>
                            <a:noFill/>
                          </a:ln>
                          <a:effectLst/>
                        </wps:spPr>
                        <wps:bodyPr rot="0" vert="horz" wrap="square" lIns="91440" tIns="45720" rIns="91440" bIns="45720" anchor="t" anchorCtr="0" upright="1">
                          <a:noAutofit/>
                        </wps:bodyPr>
                      </wps:wsp>
                      <wps:wsp>
                        <wps:cNvPr id="1651332648" name="Rectangle 19"/>
                        <wps:cNvSpPr>
                          <a:spLocks noChangeArrowheads="1"/>
                        </wps:cNvSpPr>
                        <wps:spPr bwMode="auto">
                          <a:xfrm>
                            <a:off x="3435" y="-3753"/>
                            <a:ext cx="15" cy="3060"/>
                          </a:xfrm>
                          <a:prstGeom prst="rect">
                            <a:avLst/>
                          </a:prstGeom>
                          <a:solidFill>
                            <a:srgbClr val="333333"/>
                          </a:solidFill>
                          <a:ln>
                            <a:noFill/>
                          </a:ln>
                          <a:effectLst/>
                        </wps:spPr>
                        <wps:bodyPr rot="0" vert="horz" wrap="square" lIns="91440" tIns="45720" rIns="91440" bIns="45720" anchor="t" anchorCtr="0" upright="1">
                          <a:noAutofit/>
                        </wps:bodyPr>
                      </wps:wsp>
                      <wps:wsp>
                        <wps:cNvPr id="1949010812" name="Rectangle 18"/>
                        <wps:cNvSpPr>
                          <a:spLocks noChangeArrowheads="1"/>
                        </wps:cNvSpPr>
                        <wps:spPr bwMode="auto">
                          <a:xfrm>
                            <a:off x="7440" y="-2988"/>
                            <a:ext cx="180" cy="15"/>
                          </a:xfrm>
                          <a:prstGeom prst="rect">
                            <a:avLst/>
                          </a:prstGeom>
                          <a:solidFill>
                            <a:srgbClr val="999999"/>
                          </a:solidFill>
                          <a:ln>
                            <a:noFill/>
                          </a:ln>
                          <a:effectLst/>
                        </wps:spPr>
                        <wps:bodyPr rot="0" vert="horz" wrap="square" lIns="91440" tIns="45720" rIns="91440" bIns="45720" anchor="t" anchorCtr="0" upright="1">
                          <a:noAutofit/>
                        </wps:bodyPr>
                      </wps:wsp>
                      <wps:wsp>
                        <wps:cNvPr id="631496370" name="AutoShape 17"/>
                        <wps:cNvSpPr/>
                        <wps:spPr bwMode="auto">
                          <a:xfrm>
                            <a:off x="7622" y="-3055"/>
                            <a:ext cx="165" cy="130"/>
                          </a:xfrm>
                          <a:custGeom>
                            <a:avLst/>
                            <a:gdLst>
                              <a:gd name="T0" fmla="*/ 56 w 165"/>
                              <a:gd name="T1" fmla="*/ -2925 h 130"/>
                              <a:gd name="T2" fmla="*/ 56 w 165"/>
                              <a:gd name="T3" fmla="*/ -2956 h 130"/>
                              <a:gd name="T4" fmla="*/ 0 w 165"/>
                              <a:gd name="T5" fmla="*/ -2956 h 130"/>
                              <a:gd name="T6" fmla="*/ 0 w 165"/>
                              <a:gd name="T7" fmla="*/ -2971 h 130"/>
                              <a:gd name="T8" fmla="*/ 59 w 165"/>
                              <a:gd name="T9" fmla="*/ -3054 h 130"/>
                              <a:gd name="T10" fmla="*/ 72 w 165"/>
                              <a:gd name="T11" fmla="*/ -3054 h 130"/>
                              <a:gd name="T12" fmla="*/ 72 w 165"/>
                              <a:gd name="T13" fmla="*/ -2971 h 130"/>
                              <a:gd name="T14" fmla="*/ 89 w 165"/>
                              <a:gd name="T15" fmla="*/ -2971 h 130"/>
                              <a:gd name="T16" fmla="*/ 89 w 165"/>
                              <a:gd name="T17" fmla="*/ -2956 h 130"/>
                              <a:gd name="T18" fmla="*/ 72 w 165"/>
                              <a:gd name="T19" fmla="*/ -2956 h 130"/>
                              <a:gd name="T20" fmla="*/ 72 w 165"/>
                              <a:gd name="T21" fmla="*/ -2925 h 130"/>
                              <a:gd name="T22" fmla="*/ 56 w 165"/>
                              <a:gd name="T23" fmla="*/ -2925 h 130"/>
                              <a:gd name="T24" fmla="*/ 56 w 165"/>
                              <a:gd name="T25" fmla="*/ -2971 h 130"/>
                              <a:gd name="T26" fmla="*/ 56 w 165"/>
                              <a:gd name="T27" fmla="*/ -3029 h 130"/>
                              <a:gd name="T28" fmla="*/ 16 w 165"/>
                              <a:gd name="T29" fmla="*/ -2971 h 130"/>
                              <a:gd name="T30" fmla="*/ 56 w 165"/>
                              <a:gd name="T31" fmla="*/ -2971 h 130"/>
                              <a:gd name="T32" fmla="*/ 165 w 165"/>
                              <a:gd name="T33" fmla="*/ -2925 h 130"/>
                              <a:gd name="T34" fmla="*/ 149 w 165"/>
                              <a:gd name="T35" fmla="*/ -2925 h 130"/>
                              <a:gd name="T36" fmla="*/ 149 w 165"/>
                              <a:gd name="T37" fmla="*/ -3026 h 130"/>
                              <a:gd name="T38" fmla="*/ 146 w 165"/>
                              <a:gd name="T39" fmla="*/ -3022 h 130"/>
                              <a:gd name="T40" fmla="*/ 141 w 165"/>
                              <a:gd name="T41" fmla="*/ -3019 h 130"/>
                              <a:gd name="T42" fmla="*/ 134 w 165"/>
                              <a:gd name="T43" fmla="*/ -3015 h 130"/>
                              <a:gd name="T44" fmla="*/ 128 w 165"/>
                              <a:gd name="T45" fmla="*/ -3011 h 130"/>
                              <a:gd name="T46" fmla="*/ 123 w 165"/>
                              <a:gd name="T47" fmla="*/ -3009 h 130"/>
                              <a:gd name="T48" fmla="*/ 118 w 165"/>
                              <a:gd name="T49" fmla="*/ -3007 h 130"/>
                              <a:gd name="T50" fmla="*/ 118 w 165"/>
                              <a:gd name="T51" fmla="*/ -3022 h 130"/>
                              <a:gd name="T52" fmla="*/ 127 w 165"/>
                              <a:gd name="T53" fmla="*/ -3026 h 130"/>
                              <a:gd name="T54" fmla="*/ 134 w 165"/>
                              <a:gd name="T55" fmla="*/ -3031 h 130"/>
                              <a:gd name="T56" fmla="*/ 141 w 165"/>
                              <a:gd name="T57" fmla="*/ -3037 h 130"/>
                              <a:gd name="T58" fmla="*/ 148 w 165"/>
                              <a:gd name="T59" fmla="*/ -3043 h 130"/>
                              <a:gd name="T60" fmla="*/ 152 w 165"/>
                              <a:gd name="T61" fmla="*/ -3049 h 130"/>
                              <a:gd name="T62" fmla="*/ 155 w 165"/>
                              <a:gd name="T63" fmla="*/ -3055 h 130"/>
                              <a:gd name="T64" fmla="*/ 165 w 165"/>
                              <a:gd name="T65" fmla="*/ -3055 h 130"/>
                              <a:gd name="T66" fmla="*/ 165 w 165"/>
                              <a:gd name="T67" fmla="*/ -2925 h 13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5" h="130">
                                <a:moveTo>
                                  <a:pt x="56" y="130"/>
                                </a:moveTo>
                                <a:lnTo>
                                  <a:pt x="56" y="99"/>
                                </a:lnTo>
                                <a:lnTo>
                                  <a:pt x="0" y="99"/>
                                </a:lnTo>
                                <a:lnTo>
                                  <a:pt x="0" y="84"/>
                                </a:lnTo>
                                <a:lnTo>
                                  <a:pt x="59" y="1"/>
                                </a:lnTo>
                                <a:lnTo>
                                  <a:pt x="72" y="1"/>
                                </a:lnTo>
                                <a:lnTo>
                                  <a:pt x="72" y="84"/>
                                </a:lnTo>
                                <a:lnTo>
                                  <a:pt x="89" y="84"/>
                                </a:lnTo>
                                <a:lnTo>
                                  <a:pt x="89" y="99"/>
                                </a:lnTo>
                                <a:lnTo>
                                  <a:pt x="72" y="99"/>
                                </a:lnTo>
                                <a:lnTo>
                                  <a:pt x="72" y="130"/>
                                </a:lnTo>
                                <a:lnTo>
                                  <a:pt x="56" y="130"/>
                                </a:lnTo>
                                <a:close/>
                                <a:moveTo>
                                  <a:pt x="56" y="84"/>
                                </a:moveTo>
                                <a:lnTo>
                                  <a:pt x="56" y="26"/>
                                </a:lnTo>
                                <a:lnTo>
                                  <a:pt x="16" y="84"/>
                                </a:lnTo>
                                <a:lnTo>
                                  <a:pt x="56" y="84"/>
                                </a:lnTo>
                                <a:close/>
                                <a:moveTo>
                                  <a:pt x="165" y="130"/>
                                </a:moveTo>
                                <a:lnTo>
                                  <a:pt x="149" y="130"/>
                                </a:lnTo>
                                <a:lnTo>
                                  <a:pt x="149" y="29"/>
                                </a:lnTo>
                                <a:lnTo>
                                  <a:pt x="146" y="33"/>
                                </a:lnTo>
                                <a:lnTo>
                                  <a:pt x="141" y="36"/>
                                </a:lnTo>
                                <a:lnTo>
                                  <a:pt x="134" y="40"/>
                                </a:lnTo>
                                <a:lnTo>
                                  <a:pt x="128" y="44"/>
                                </a:lnTo>
                                <a:lnTo>
                                  <a:pt x="123" y="46"/>
                                </a:lnTo>
                                <a:lnTo>
                                  <a:pt x="118" y="48"/>
                                </a:lnTo>
                                <a:lnTo>
                                  <a:pt x="118" y="33"/>
                                </a:lnTo>
                                <a:lnTo>
                                  <a:pt x="127" y="29"/>
                                </a:lnTo>
                                <a:lnTo>
                                  <a:pt x="134" y="24"/>
                                </a:lnTo>
                                <a:lnTo>
                                  <a:pt x="141" y="18"/>
                                </a:lnTo>
                                <a:lnTo>
                                  <a:pt x="148" y="12"/>
                                </a:lnTo>
                                <a:lnTo>
                                  <a:pt x="152" y="6"/>
                                </a:lnTo>
                                <a:lnTo>
                                  <a:pt x="155" y="0"/>
                                </a:lnTo>
                                <a:lnTo>
                                  <a:pt x="165" y="0"/>
                                </a:lnTo>
                                <a:lnTo>
                                  <a:pt x="165" y="130"/>
                                </a:lnTo>
                                <a:close/>
                              </a:path>
                            </a:pathLst>
                          </a:custGeom>
                          <a:noFill/>
                          <a:ln w="28575">
                            <a:solidFill>
                              <a:srgbClr val="FFFFFF"/>
                            </a:solidFill>
                            <a:round/>
                          </a:ln>
                          <a:effectLst/>
                        </wps:spPr>
                        <wps:bodyPr rot="0" vert="horz" wrap="square" lIns="91440" tIns="45720" rIns="91440" bIns="45720" anchor="t" anchorCtr="0" upright="1">
                          <a:noAutofit/>
                        </wps:bodyPr>
                      </wps:wsp>
                      <pic:pic xmlns:pic="http://schemas.openxmlformats.org/drawingml/2006/picture">
                        <pic:nvPicPr>
                          <pic:cNvPr id="612881158"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7858" y="-3079"/>
                            <a:ext cx="658" cy="214"/>
                          </a:xfrm>
                          <a:prstGeom prst="rect">
                            <a:avLst/>
                          </a:prstGeom>
                          <a:noFill/>
                          <a:ln>
                            <a:noFill/>
                          </a:ln>
                          <a:effectLst/>
                        </pic:spPr>
                      </pic:pic>
                      <pic:pic xmlns:pic="http://schemas.openxmlformats.org/drawingml/2006/picture">
                        <pic:nvPicPr>
                          <pic:cNvPr id="901662517"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5880" y="-1564"/>
                            <a:ext cx="1077" cy="214"/>
                          </a:xfrm>
                          <a:prstGeom prst="rect">
                            <a:avLst/>
                          </a:prstGeom>
                          <a:noFill/>
                          <a:ln>
                            <a:noFill/>
                          </a:ln>
                          <a:effectLst/>
                        </pic:spPr>
                      </pic:pic>
                      <wps:wsp>
                        <wps:cNvPr id="1481963864" name="Text Box 14"/>
                        <wps:cNvSpPr txBox="1">
                          <a:spLocks noChangeArrowheads="1"/>
                        </wps:cNvSpPr>
                        <wps:spPr bwMode="auto">
                          <a:xfrm>
                            <a:off x="1162" y="-5521"/>
                            <a:ext cx="7912" cy="1392"/>
                          </a:xfrm>
                          <a:prstGeom prst="rect">
                            <a:avLst/>
                          </a:prstGeom>
                          <a:noFill/>
                          <a:ln>
                            <a:noFill/>
                          </a:ln>
                          <a:effectLst/>
                        </wps:spPr>
                        <wps:txbx>
                          <w:txbxContent>
                            <w:p w14:paraId="37BC351F">
                              <w:pPr>
                                <w:spacing w:line="300" w:lineRule="auto"/>
                                <w:ind w:right="17"/>
                              </w:pPr>
                              <w:r>
                                <w:rPr>
                                  <w:color w:val="202024"/>
                                </w:rPr>
                                <w:t>If</w:t>
                              </w:r>
                              <w:r>
                                <w:rPr>
                                  <w:color w:val="202024"/>
                                  <w:spacing w:val="8"/>
                                </w:rPr>
                                <w:t xml:space="preserve"> </w:t>
                              </w:r>
                              <w:r>
                                <w:rPr>
                                  <w:color w:val="202024"/>
                                </w:rPr>
                                <w:t>you</w:t>
                              </w:r>
                              <w:r>
                                <w:rPr>
                                  <w:color w:val="202024"/>
                                  <w:spacing w:val="8"/>
                                </w:rPr>
                                <w:t xml:space="preserve"> </w:t>
                              </w:r>
                              <w:r>
                                <w:rPr>
                                  <w:color w:val="202024"/>
                                </w:rPr>
                                <w:t>are</w:t>
                              </w:r>
                              <w:r>
                                <w:rPr>
                                  <w:color w:val="202024"/>
                                  <w:spacing w:val="8"/>
                                </w:rPr>
                                <w:t xml:space="preserve"> </w:t>
                              </w:r>
                              <w:r>
                                <w:rPr>
                                  <w:color w:val="202024"/>
                                </w:rPr>
                                <w:t>willing</w:t>
                              </w:r>
                              <w:r>
                                <w:rPr>
                                  <w:color w:val="202024"/>
                                  <w:spacing w:val="9"/>
                                </w:rPr>
                                <w:t xml:space="preserve"> </w:t>
                              </w:r>
                              <w:r>
                                <w:rPr>
                                  <w:color w:val="202024"/>
                                </w:rPr>
                                <w:t>to</w:t>
                              </w:r>
                              <w:r>
                                <w:rPr>
                                  <w:color w:val="202024"/>
                                  <w:spacing w:val="8"/>
                                </w:rPr>
                                <w:t xml:space="preserve"> </w:t>
                              </w:r>
                              <w:r>
                                <w:rPr>
                                  <w:color w:val="202024"/>
                                </w:rPr>
                                <w:t>participate</w:t>
                              </w:r>
                              <w:r>
                                <w:rPr>
                                  <w:color w:val="202024"/>
                                  <w:spacing w:val="8"/>
                                </w:rPr>
                                <w:t xml:space="preserve"> </w:t>
                              </w:r>
                              <w:r>
                                <w:rPr>
                                  <w:color w:val="202024"/>
                                </w:rPr>
                                <w:t>in</w:t>
                              </w:r>
                              <w:r>
                                <w:rPr>
                                  <w:color w:val="202024"/>
                                  <w:spacing w:val="9"/>
                                </w:rPr>
                                <w:t xml:space="preserve"> </w:t>
                              </w:r>
                              <w:r>
                                <w:rPr>
                                  <w:color w:val="202024"/>
                                </w:rPr>
                                <w:t>a</w:t>
                              </w:r>
                              <w:r>
                                <w:rPr>
                                  <w:color w:val="202024"/>
                                  <w:spacing w:val="8"/>
                                </w:rPr>
                                <w:t xml:space="preserve"> </w:t>
                              </w:r>
                              <w:r>
                                <w:rPr>
                                  <w:color w:val="202024"/>
                                </w:rPr>
                                <w:t>brief</w:t>
                              </w:r>
                              <w:r>
                                <w:rPr>
                                  <w:color w:val="202024"/>
                                  <w:spacing w:val="8"/>
                                </w:rPr>
                                <w:t xml:space="preserve"> </w:t>
                              </w:r>
                              <w:r>
                                <w:rPr>
                                  <w:color w:val="202024"/>
                                </w:rPr>
                                <w:t>one</w:t>
                              </w:r>
                              <w:r>
                                <w:rPr>
                                  <w:color w:val="202024"/>
                                  <w:spacing w:val="9"/>
                                </w:rPr>
                                <w:t xml:space="preserve"> </w:t>
                              </w:r>
                              <w:r>
                                <w:rPr>
                                  <w:color w:val="202024"/>
                                </w:rPr>
                                <w:t>to</w:t>
                              </w:r>
                              <w:r>
                                <w:rPr>
                                  <w:color w:val="202024"/>
                                  <w:spacing w:val="8"/>
                                </w:rPr>
                                <w:t xml:space="preserve"> </w:t>
                              </w:r>
                              <w:r>
                                <w:rPr>
                                  <w:color w:val="202024"/>
                                </w:rPr>
                                <w:t>one</w:t>
                              </w:r>
                              <w:r>
                                <w:rPr>
                                  <w:color w:val="202024"/>
                                  <w:spacing w:val="8"/>
                                </w:rPr>
                                <w:t xml:space="preserve"> </w:t>
                              </w:r>
                              <w:r>
                                <w:rPr>
                                  <w:color w:val="202024"/>
                                </w:rPr>
                                <w:t>call</w:t>
                              </w:r>
                              <w:r>
                                <w:rPr>
                                  <w:color w:val="202024"/>
                                  <w:spacing w:val="9"/>
                                </w:rPr>
                                <w:t xml:space="preserve"> </w:t>
                              </w:r>
                              <w:r>
                                <w:rPr>
                                  <w:color w:val="202024"/>
                                </w:rPr>
                                <w:t>or</w:t>
                              </w:r>
                              <w:r>
                                <w:rPr>
                                  <w:color w:val="202024"/>
                                  <w:spacing w:val="8"/>
                                </w:rPr>
                                <w:t xml:space="preserve"> </w:t>
                              </w:r>
                              <w:r>
                                <w:rPr>
                                  <w:color w:val="202024"/>
                                </w:rPr>
                                <w:t>zoom</w:t>
                              </w:r>
                              <w:r>
                                <w:rPr>
                                  <w:color w:val="202024"/>
                                  <w:spacing w:val="8"/>
                                </w:rPr>
                                <w:t xml:space="preserve"> </w:t>
                              </w:r>
                              <w:r>
                                <w:rPr>
                                  <w:color w:val="202024"/>
                                </w:rPr>
                                <w:t>meeting</w:t>
                              </w:r>
                              <w:r>
                                <w:rPr>
                                  <w:color w:val="202024"/>
                                  <w:spacing w:val="-56"/>
                                </w:rPr>
                                <w:t xml:space="preserve"> </w:t>
                              </w:r>
                              <w:r>
                                <w:rPr>
                                  <w:color w:val="202024"/>
                                </w:rPr>
                                <w:t>with</w:t>
                              </w:r>
                              <w:r>
                                <w:rPr>
                                  <w:color w:val="202024"/>
                                  <w:spacing w:val="4"/>
                                </w:rPr>
                                <w:t xml:space="preserve"> </w:t>
                              </w:r>
                              <w:r>
                                <w:rPr>
                                  <w:color w:val="202024"/>
                                </w:rPr>
                                <w:t>the</w:t>
                              </w:r>
                              <w:r>
                                <w:rPr>
                                  <w:color w:val="202024"/>
                                  <w:spacing w:val="5"/>
                                </w:rPr>
                                <w:t xml:space="preserve"> </w:t>
                              </w:r>
                              <w:r>
                                <w:rPr>
                                  <w:color w:val="202024"/>
                                </w:rPr>
                                <w:t>researcher,</w:t>
                              </w:r>
                              <w:r>
                                <w:rPr>
                                  <w:color w:val="202024"/>
                                  <w:spacing w:val="4"/>
                                </w:rPr>
                                <w:t xml:space="preserve"> </w:t>
                              </w:r>
                              <w:r>
                                <w:rPr>
                                  <w:color w:val="202024"/>
                                </w:rPr>
                                <w:t>kindly</w:t>
                              </w:r>
                              <w:r>
                                <w:rPr>
                                  <w:color w:val="202024"/>
                                  <w:spacing w:val="5"/>
                                </w:rPr>
                                <w:t xml:space="preserve"> </w:t>
                              </w:r>
                              <w:r>
                                <w:rPr>
                                  <w:color w:val="202024"/>
                                </w:rPr>
                                <w:t>indicate</w:t>
                              </w:r>
                              <w:r>
                                <w:rPr>
                                  <w:color w:val="202024"/>
                                  <w:spacing w:val="4"/>
                                </w:rPr>
                                <w:t xml:space="preserve"> </w:t>
                              </w:r>
                              <w:r>
                                <w:rPr>
                                  <w:color w:val="202024"/>
                                </w:rPr>
                                <w:t>in</w:t>
                              </w:r>
                              <w:r>
                                <w:rPr>
                                  <w:color w:val="202024"/>
                                  <w:spacing w:val="5"/>
                                </w:rPr>
                                <w:t xml:space="preserve"> </w:t>
                              </w:r>
                              <w:r>
                                <w:rPr>
                                  <w:color w:val="202024"/>
                                </w:rPr>
                                <w:t>the</w:t>
                              </w:r>
                              <w:r>
                                <w:rPr>
                                  <w:color w:val="202024"/>
                                  <w:spacing w:val="5"/>
                                </w:rPr>
                                <w:t xml:space="preserve"> </w:t>
                              </w:r>
                              <w:r>
                                <w:rPr>
                                  <w:color w:val="202024"/>
                                </w:rPr>
                                <w:t>box</w:t>
                              </w:r>
                              <w:r>
                                <w:rPr>
                                  <w:color w:val="202024"/>
                                  <w:spacing w:val="4"/>
                                </w:rPr>
                                <w:t xml:space="preserve"> </w:t>
                              </w:r>
                              <w:r>
                                <w:rPr>
                                  <w:color w:val="202024"/>
                                </w:rPr>
                                <w:t>below,</w:t>
                              </w:r>
                              <w:r>
                                <w:rPr>
                                  <w:color w:val="202024"/>
                                  <w:spacing w:val="5"/>
                                </w:rPr>
                                <w:t xml:space="preserve"> </w:t>
                              </w:r>
                              <w:r>
                                <w:rPr>
                                  <w:color w:val="202024"/>
                                </w:rPr>
                                <w:t>and</w:t>
                              </w:r>
                              <w:r>
                                <w:rPr>
                                  <w:color w:val="202024"/>
                                  <w:spacing w:val="4"/>
                                </w:rPr>
                                <w:t xml:space="preserve"> </w:t>
                              </w:r>
                              <w:r>
                                <w:rPr>
                                  <w:color w:val="202024"/>
                                </w:rPr>
                                <w:t>provide</w:t>
                              </w:r>
                              <w:r>
                                <w:rPr>
                                  <w:color w:val="202024"/>
                                  <w:spacing w:val="5"/>
                                </w:rPr>
                                <w:t xml:space="preserve"> </w:t>
                              </w:r>
                              <w:r>
                                <w:rPr>
                                  <w:color w:val="202024"/>
                                </w:rPr>
                                <w:t>your</w:t>
                              </w:r>
                              <w:r>
                                <w:rPr>
                                  <w:color w:val="202024"/>
                                  <w:spacing w:val="1"/>
                                </w:rPr>
                                <w:t xml:space="preserve"> </w:t>
                              </w:r>
                              <w:r>
                                <w:rPr>
                                  <w:color w:val="202024"/>
                                </w:rPr>
                                <w:t>contact</w:t>
                              </w:r>
                              <w:r>
                                <w:rPr>
                                  <w:color w:val="202024"/>
                                  <w:spacing w:val="5"/>
                                </w:rPr>
                                <w:t xml:space="preserve"> </w:t>
                              </w:r>
                              <w:r>
                                <w:rPr>
                                  <w:color w:val="202024"/>
                                </w:rPr>
                                <w:t>details:</w:t>
                              </w:r>
                            </w:p>
                            <w:p w14:paraId="4A4EAEB8">
                              <w:pPr>
                                <w:spacing w:before="96" w:line="215" w:lineRule="exact"/>
                                <w:rPr>
                                  <w:sz w:val="18"/>
                                </w:rPr>
                              </w:pPr>
                              <w:r>
                                <w:rPr>
                                  <w:color w:val="202024"/>
                                  <w:sz w:val="18"/>
                                </w:rPr>
                                <w:t>66</w:t>
                              </w:r>
                              <w:r>
                                <w:rPr>
                                  <w:color w:val="202024"/>
                                  <w:spacing w:val="20"/>
                                  <w:sz w:val="18"/>
                                </w:rPr>
                                <w:t xml:space="preserve"> </w:t>
                              </w:r>
                              <w:r>
                                <w:rPr>
                                  <w:color w:val="202024"/>
                                  <w:sz w:val="18"/>
                                </w:rPr>
                                <w:t>responses</w:t>
                              </w:r>
                            </w:p>
                          </w:txbxContent>
                        </wps:txbx>
                        <wps:bodyPr rot="0" vert="horz" wrap="square" lIns="0" tIns="0" rIns="0" bIns="0" anchor="t" anchorCtr="0" upright="1">
                          <a:noAutofit/>
                        </wps:bodyPr>
                      </wps:wsp>
                      <wps:wsp>
                        <wps:cNvPr id="1071939322" name="Text Box 13"/>
                        <wps:cNvSpPr txBox="1">
                          <a:spLocks noChangeArrowheads="1"/>
                        </wps:cNvSpPr>
                        <wps:spPr bwMode="auto">
                          <a:xfrm>
                            <a:off x="9958" y="-5482"/>
                            <a:ext cx="550" cy="200"/>
                          </a:xfrm>
                          <a:prstGeom prst="rect">
                            <a:avLst/>
                          </a:prstGeom>
                          <a:noFill/>
                          <a:ln>
                            <a:noFill/>
                          </a:ln>
                          <a:effectLst/>
                        </wps:spPr>
                        <wps:txbx>
                          <w:txbxContent>
                            <w:p w14:paraId="3A8514F4">
                              <w:pPr>
                                <w:spacing w:line="199" w:lineRule="exact"/>
                                <w:rPr>
                                  <w:rFonts w:ascii="Lucida Sans Unicode"/>
                                  <w:sz w:val="20"/>
                                </w:rPr>
                              </w:pPr>
                              <w:r>
                                <w:rPr>
                                  <w:rFonts w:ascii="Lucida Sans Unicode"/>
                                  <w:color w:val="1A73E7"/>
                                  <w:w w:val="105"/>
                                  <w:sz w:val="20"/>
                                </w:rPr>
                                <w:t>Copy</w:t>
                              </w:r>
                            </w:p>
                          </w:txbxContent>
                        </wps:txbx>
                        <wps:bodyPr rot="0" vert="horz" wrap="square" lIns="0" tIns="0" rIns="0" bIns="0" anchor="t" anchorCtr="0" upright="1">
                          <a:noAutofit/>
                        </wps:bodyPr>
                      </wps:wsp>
                      <wps:wsp>
                        <wps:cNvPr id="2087340720" name="Text Box 12"/>
                        <wps:cNvSpPr txBox="1">
                          <a:spLocks noChangeArrowheads="1"/>
                        </wps:cNvSpPr>
                        <wps:spPr bwMode="auto">
                          <a:xfrm>
                            <a:off x="2961" y="-3085"/>
                            <a:ext cx="314" cy="202"/>
                          </a:xfrm>
                          <a:prstGeom prst="rect">
                            <a:avLst/>
                          </a:prstGeom>
                          <a:noFill/>
                          <a:ln>
                            <a:noFill/>
                          </a:ln>
                          <a:effectLst/>
                        </wps:spPr>
                        <wps:txbx>
                          <w:txbxContent>
                            <w:p w14:paraId="6CEA9A90">
                              <w:pPr>
                                <w:spacing w:line="201" w:lineRule="exact"/>
                                <w:rPr>
                                  <w:rFonts w:ascii="Arial MT"/>
                                  <w:sz w:val="18"/>
                                </w:rPr>
                              </w:pPr>
                              <w:r>
                                <w:rPr>
                                  <w:rFonts w:ascii="Arial MT"/>
                                  <w:color w:val="212121"/>
                                  <w:spacing w:val="-2"/>
                                  <w:sz w:val="18"/>
                                </w:rPr>
                                <w:t>Yes</w:t>
                              </w:r>
                            </w:p>
                          </w:txbxContent>
                        </wps:txbx>
                        <wps:bodyPr rot="0" vert="horz" wrap="square" lIns="0" tIns="0" rIns="0" bIns="0" anchor="t" anchorCtr="0" upright="1">
                          <a:noAutofit/>
                        </wps:bodyPr>
                      </wps:wsp>
                      <wps:wsp>
                        <wps:cNvPr id="1770314971" name="Text Box 11"/>
                        <wps:cNvSpPr txBox="1">
                          <a:spLocks noChangeArrowheads="1"/>
                        </wps:cNvSpPr>
                        <wps:spPr bwMode="auto">
                          <a:xfrm>
                            <a:off x="7620" y="-3089"/>
                            <a:ext cx="901" cy="202"/>
                          </a:xfrm>
                          <a:prstGeom prst="rect">
                            <a:avLst/>
                          </a:prstGeom>
                          <a:noFill/>
                          <a:ln>
                            <a:noFill/>
                          </a:ln>
                          <a:effectLst/>
                        </wps:spPr>
                        <wps:txbx>
                          <w:txbxContent>
                            <w:p w14:paraId="36EF034E">
                              <w:pPr>
                                <w:spacing w:line="201" w:lineRule="exact"/>
                                <w:rPr>
                                  <w:rFonts w:ascii="Arial MT"/>
                                  <w:sz w:val="18"/>
                                </w:rPr>
                              </w:pPr>
                              <w:r>
                                <w:rPr>
                                  <w:rFonts w:ascii="Arial MT"/>
                                  <w:color w:val="202024"/>
                                  <w:sz w:val="18"/>
                                </w:rPr>
                                <w:t>41 (62.1%)</w:t>
                              </w:r>
                            </w:p>
                          </w:txbxContent>
                        </wps:txbx>
                        <wps:bodyPr rot="0" vert="horz" wrap="square" lIns="0" tIns="0" rIns="0" bIns="0" anchor="t" anchorCtr="0" upright="1">
                          <a:noAutofit/>
                        </wps:bodyPr>
                      </wps:wsp>
                      <wps:wsp>
                        <wps:cNvPr id="1413470633" name="Text Box 10"/>
                        <wps:cNvSpPr txBox="1">
                          <a:spLocks noChangeArrowheads="1"/>
                        </wps:cNvSpPr>
                        <wps:spPr bwMode="auto">
                          <a:xfrm>
                            <a:off x="3024" y="-1562"/>
                            <a:ext cx="251" cy="202"/>
                          </a:xfrm>
                          <a:prstGeom prst="rect">
                            <a:avLst/>
                          </a:prstGeom>
                          <a:noFill/>
                          <a:ln>
                            <a:noFill/>
                          </a:ln>
                          <a:effectLst/>
                        </wps:spPr>
                        <wps:txbx>
                          <w:txbxContent>
                            <w:p w14:paraId="6896ECD5">
                              <w:pPr>
                                <w:spacing w:line="201" w:lineRule="exact"/>
                                <w:rPr>
                                  <w:rFonts w:ascii="Arial MT"/>
                                  <w:sz w:val="18"/>
                                </w:rPr>
                              </w:pPr>
                              <w:r>
                                <w:rPr>
                                  <w:rFonts w:ascii="Arial MT"/>
                                  <w:color w:val="212121"/>
                                  <w:sz w:val="18"/>
                                </w:rPr>
                                <w:t>No</w:t>
                              </w:r>
                            </w:p>
                          </w:txbxContent>
                        </wps:txbx>
                        <wps:bodyPr rot="0" vert="horz" wrap="square" lIns="0" tIns="0" rIns="0" bIns="0" anchor="t" anchorCtr="0" upright="1">
                          <a:noAutofit/>
                        </wps:bodyPr>
                      </wps:wsp>
                      <wps:wsp>
                        <wps:cNvPr id="1627469760" name="Text Box 9"/>
                        <wps:cNvSpPr txBox="1">
                          <a:spLocks noChangeArrowheads="1"/>
                        </wps:cNvSpPr>
                        <wps:spPr bwMode="auto">
                          <a:xfrm>
                            <a:off x="6060" y="-1574"/>
                            <a:ext cx="901" cy="202"/>
                          </a:xfrm>
                          <a:prstGeom prst="rect">
                            <a:avLst/>
                          </a:prstGeom>
                          <a:noFill/>
                          <a:ln>
                            <a:noFill/>
                          </a:ln>
                          <a:effectLst/>
                        </wps:spPr>
                        <wps:txbx>
                          <w:txbxContent>
                            <w:p w14:paraId="40B37799">
                              <w:pPr>
                                <w:spacing w:line="201" w:lineRule="exact"/>
                                <w:rPr>
                                  <w:rFonts w:ascii="Arial MT"/>
                                  <w:sz w:val="18"/>
                                </w:rPr>
                              </w:pPr>
                              <w:r>
                                <w:rPr>
                                  <w:rFonts w:ascii="Arial MT"/>
                                  <w:color w:val="202024"/>
                                  <w:sz w:val="18"/>
                                </w:rPr>
                                <w:t>25 (37.9%)</w:t>
                              </w:r>
                            </w:p>
                          </w:txbxContent>
                        </wps:txbx>
                        <wps:bodyPr rot="0" vert="horz" wrap="square" lIns="0" tIns="0" rIns="0" bIns="0" anchor="t" anchorCtr="0" upright="1">
                          <a:noAutofit/>
                        </wps:bodyPr>
                      </wps:wsp>
                      <wps:wsp>
                        <wps:cNvPr id="1176561331" name="Text Box 8"/>
                        <wps:cNvSpPr txBox="1">
                          <a:spLocks noChangeArrowheads="1"/>
                        </wps:cNvSpPr>
                        <wps:spPr bwMode="auto">
                          <a:xfrm>
                            <a:off x="3392" y="-599"/>
                            <a:ext cx="121" cy="202"/>
                          </a:xfrm>
                          <a:prstGeom prst="rect">
                            <a:avLst/>
                          </a:prstGeom>
                          <a:noFill/>
                          <a:ln>
                            <a:noFill/>
                          </a:ln>
                          <a:effectLst/>
                        </wps:spPr>
                        <wps:txbx>
                          <w:txbxContent>
                            <w:p w14:paraId="5CA5F825">
                              <w:pPr>
                                <w:spacing w:line="201" w:lineRule="exact"/>
                                <w:rPr>
                                  <w:rFonts w:ascii="Arial MT"/>
                                  <w:sz w:val="18"/>
                                </w:rPr>
                              </w:pPr>
                              <w:r>
                                <w:rPr>
                                  <w:rFonts w:ascii="Arial MT"/>
                                  <w:color w:val="444444"/>
                                  <w:sz w:val="18"/>
                                </w:rPr>
                                <w:t>0</w:t>
                              </w:r>
                            </w:p>
                          </w:txbxContent>
                        </wps:txbx>
                        <wps:bodyPr rot="0" vert="horz" wrap="square" lIns="0" tIns="0" rIns="0" bIns="0" anchor="t" anchorCtr="0" upright="1">
                          <a:noAutofit/>
                        </wps:bodyPr>
                      </wps:wsp>
                      <wps:wsp>
                        <wps:cNvPr id="1355913257" name="Text Box 7"/>
                        <wps:cNvSpPr txBox="1">
                          <a:spLocks noChangeArrowheads="1"/>
                        </wps:cNvSpPr>
                        <wps:spPr bwMode="auto">
                          <a:xfrm>
                            <a:off x="5292" y="-599"/>
                            <a:ext cx="221" cy="202"/>
                          </a:xfrm>
                          <a:prstGeom prst="rect">
                            <a:avLst/>
                          </a:prstGeom>
                          <a:noFill/>
                          <a:ln>
                            <a:noFill/>
                          </a:ln>
                          <a:effectLst/>
                        </wps:spPr>
                        <wps:txbx>
                          <w:txbxContent>
                            <w:p w14:paraId="79F56748">
                              <w:pPr>
                                <w:spacing w:line="201" w:lineRule="exact"/>
                                <w:rPr>
                                  <w:rFonts w:ascii="Arial MT"/>
                                  <w:sz w:val="18"/>
                                </w:rPr>
                              </w:pPr>
                              <w:r>
                                <w:rPr>
                                  <w:rFonts w:ascii="Arial MT"/>
                                  <w:color w:val="444444"/>
                                  <w:sz w:val="18"/>
                                </w:rPr>
                                <w:t>20</w:t>
                              </w:r>
                            </w:p>
                          </w:txbxContent>
                        </wps:txbx>
                        <wps:bodyPr rot="0" vert="horz" wrap="square" lIns="0" tIns="0" rIns="0" bIns="0" anchor="t" anchorCtr="0" upright="1">
                          <a:noAutofit/>
                        </wps:bodyPr>
                      </wps:wsp>
                      <wps:wsp>
                        <wps:cNvPr id="437890026" name="Text Box 6"/>
                        <wps:cNvSpPr txBox="1">
                          <a:spLocks noChangeArrowheads="1"/>
                        </wps:cNvSpPr>
                        <wps:spPr bwMode="auto">
                          <a:xfrm>
                            <a:off x="7242" y="-599"/>
                            <a:ext cx="221" cy="202"/>
                          </a:xfrm>
                          <a:prstGeom prst="rect">
                            <a:avLst/>
                          </a:prstGeom>
                          <a:noFill/>
                          <a:ln>
                            <a:noFill/>
                          </a:ln>
                          <a:effectLst/>
                        </wps:spPr>
                        <wps:txbx>
                          <w:txbxContent>
                            <w:p w14:paraId="429EFA4E">
                              <w:pPr>
                                <w:spacing w:line="201" w:lineRule="exact"/>
                                <w:rPr>
                                  <w:rFonts w:ascii="Arial MT"/>
                                  <w:sz w:val="18"/>
                                </w:rPr>
                              </w:pPr>
                              <w:r>
                                <w:rPr>
                                  <w:rFonts w:ascii="Arial MT"/>
                                  <w:color w:val="444444"/>
                                  <w:sz w:val="18"/>
                                </w:rPr>
                                <w:t>40</w:t>
                              </w:r>
                            </w:p>
                          </w:txbxContent>
                        </wps:txbx>
                        <wps:bodyPr rot="0" vert="horz" wrap="square" lIns="0" tIns="0" rIns="0" bIns="0" anchor="t" anchorCtr="0" upright="1">
                          <a:noAutofit/>
                        </wps:bodyPr>
                      </wps:wsp>
                      <wps:wsp>
                        <wps:cNvPr id="1461339818" name="Text Box 5"/>
                        <wps:cNvSpPr txBox="1">
                          <a:spLocks noChangeArrowheads="1"/>
                        </wps:cNvSpPr>
                        <wps:spPr bwMode="auto">
                          <a:xfrm>
                            <a:off x="9192" y="-599"/>
                            <a:ext cx="221" cy="202"/>
                          </a:xfrm>
                          <a:prstGeom prst="rect">
                            <a:avLst/>
                          </a:prstGeom>
                          <a:noFill/>
                          <a:ln>
                            <a:noFill/>
                          </a:ln>
                          <a:effectLst/>
                        </wps:spPr>
                        <wps:txbx>
                          <w:txbxContent>
                            <w:p w14:paraId="495FAD38">
                              <w:pPr>
                                <w:spacing w:line="201" w:lineRule="exact"/>
                                <w:rPr>
                                  <w:rFonts w:ascii="Arial MT"/>
                                  <w:sz w:val="18"/>
                                </w:rPr>
                              </w:pPr>
                              <w:r>
                                <w:rPr>
                                  <w:rFonts w:ascii="Arial MT"/>
                                  <w:color w:val="444444"/>
                                  <w:sz w:val="18"/>
                                </w:rPr>
                                <w:t>60</w:t>
                              </w:r>
                            </w:p>
                          </w:txbxContent>
                        </wps:txbx>
                        <wps:bodyPr rot="0" vert="horz" wrap="square" lIns="0" tIns="0" rIns="0" bIns="0" anchor="t" anchorCtr="0" upright="1">
                          <a:noAutofit/>
                        </wps:bodyPr>
                      </wps:wsp>
                    </wpg:wgp>
                  </a:graphicData>
                </a:graphic>
              </wp:anchor>
            </w:drawing>
          </mc:Choice>
          <mc:Fallback>
            <w:pict>
              <v:group id="Group 4" o:spid="_x0000_s1026" o:spt="203" style="position:absolute;left:0pt;margin-left:57.75pt;margin-top:-284.4pt;height:277.5pt;width:480pt;mso-position-horizontal-relative:page;z-index:251745280;mso-width-relative:page;mso-height-relative:page;" coordorigin="1155,-5688" coordsize="9600,5550" o:gfxdata="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3J0dhxgAAACkCAAAZAAAAZHJzL19yZWxz&#10;L2Uyb0RvYy54bWwucmVsc72RwWoCMRCG70LfIcy9m90ViohZLyJ4FfsAQzKbDW4mIYmlvr2BUqgg&#10;9eZxZvi//4PZbL/9LL4oZRdYQde0IIh1MI6tgs/T/n0FIhdkg3NgUnClDNvhbbE50oylhvLkYhaV&#10;wlnBVEpcS5n1RB5zEyJxvYwheSx1TFZG1Ge0JPu2/ZDpLwOGO6Y4GAXpYJYgTtdYm5+zwzg6Tbug&#10;L564PKiQztfuCsRkqSjwZBz+LJdNZAvysUP/Gof+P4fuNQ7dr4O8e/B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">
                <o:lock v:ext="edit" aspectratio="f"/>
                <v:shape id="Freeform 25" o:spid="_x0000_s1026" o:spt="100" style="position:absolute;left:1162;top:-5681;height:5535;width:9585;" filled="f" stroked="t" coordsize="9585,5535" o:gfxdata="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ryODMQAAADjAAAADwAAAAAAAAABACAAAAAiAAAAZHJzL2Rvd25yZXYueG1sUEsBAhQAFAAAAAgA&#10;h07iQDMvBZ47AAAAOQAAABAAAAAAAAAAAQAgAAAAEwEAAGRycy9zaGFwZXhtbC54bWxQSwUGAAAA&#10;AAYABgBbAQAAvQMAAAAA&#10;" path="m0,5422l0,112,0,105,1,97,3,90,4,83,6,76,9,69,12,62,15,56,19,49,24,43,28,38,33,32,39,27,44,23,50,18,57,14,63,11,70,8,77,5,84,3,91,2,98,0,106,0,113,0,9473,0,9480,0,9488,0,9495,2,9502,3,9509,5,9516,8,9523,11,9529,14,9535,18,9542,23,9547,27,9553,32,9558,38,9583,90,9585,97,9585,105,9585,112,9585,5422,9585,5429,9585,5437,9583,5444,9582,5451,9547,5507,9535,5516,9529,5520,9473,5535,113,5535,50,5516,44,5511,6,5458,0,5429,0,5422xe">
                  <v:path o:connectlocs="0,-258;0,-5568;0,-5575;1,-5583;3,-5590;4,-5597;6,-5604;9,-5611;12,-5618;15,-5624;19,-5631;24,-5637;28,-5642;33,-5648;39,-5653;44,-5657;50,-5662;57,-5666;63,-5669;70,-5672;77,-5675;84,-5677;91,-5678;98,-5680;106,-5680;113,-5680;9473,-5680;9480,-5680;9488,-5680;9495,-5678;9502,-5677;9509,-5675;9516,-5672;9523,-5669;9529,-5666;9535,-5662;9542,-5657;9547,-5653;9553,-5648;9558,-5642;9583,-5590;9585,-5583;9585,-5575;9585,-5568;9585,-258;9585,-251;9585,-243;9583,-236;9582,-229;9547,-173;9535,-164;9529,-160;9473,-145;113,-145;50,-164;44,-169;6,-222;0,-251;0,-258" o:connectangles="0,0,0,0,0,0,0,0,0,0,0,0,0,0,0,0,0,0,0,0,0,0,0,0,0,0,0,0,0,0,0,0,0,0,0,0,0,0,0,0,0,0,0,0,0,0,0,0,0,0,0,0,0,0,0,0,0,0,0"/>
                  <v:fill on="f" focussize="0,0"/>
                  <v:stroke color="#D9DBDF" joinstyle="round"/>
                  <v:imagedata o:title=""/>
                  <o:lock v:ext="edit" aspectratio="f"/>
                </v:shape>
                <v:shape id="Picture 24" o:spid="_x0000_s1026" o:spt="75" type="#_x0000_t75" style="position:absolute;left:9525;top:-5553;height:300;width:255;" filled="f" o:preferrelative="t" stroked="f" coordsize="21600,21600" o:gfxdata="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fO&#10;REzCAAAA4gAAAA8AAAAAAAAAAQAgAAAAIgAAAGRycy9kb3ducmV2LnhtbFBLAQIUABQAAAAIAIdO&#10;4kAzLwWeOwAAADkAAAAQAAAAAAAAAAEAIAAAABEBAABkcnMvc2hhcGV4bWwueG1sUEsFBgAAAAAG&#10;AAYAWwEAALsDAAAAAA==&#10;">
                  <v:fill on="f" focussize="0,0"/>
                  <v:stroke on="f"/>
                  <v:imagedata r:id="rId110" o:title=""/>
                  <o:lock v:ext="edit" aspectratio="t"/>
                </v:shape>
                <v:rect id="Rectangle 23" o:spid="_x0000_s1026" o:spt="1" style="position:absolute;left:3435;top:-3753;height:3060;width:5865;" filled="f" stroked="t" coordsize="21600,21600" o:gfxdata="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wX&#10;YMEAAADjAAAADwAAAAAAAAABACAAAAAiAAAAZHJzL2Rvd25yZXYueG1sUEsBAhQAFAAAAAgAh07i&#10;QDMvBZ47AAAAOQAAABAAAAAAAAAAAQAgAAAAEAEAAGRycy9zaGFwZXhtbC54bWxQSwUGAAAAAAYA&#10;BgBbAQAAugMAAAAA&#10;">
                  <v:fill on="f" focussize="0,0"/>
                  <v:stroke color="#EDEDED" miterlimit="8" joinstyle="miter"/>
                  <v:imagedata o:title=""/>
                  <o:lock v:ext="edit" aspectratio="f"/>
                </v:rect>
                <v:shape id="AutoShape 22" o:spid="_x0000_s1026" o:spt="100" style="position:absolute;left:3434;top:-3753;height:3060;width:5865;" fillcolor="#EDEDED" filled="t" stroked="f" coordsize="5865,3060" o:gfxdata="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m5&#10;LePCAAAA4wAAAA8AAAAAAAAAAQAgAAAAIgAAAGRycy9kb3ducmV2LnhtbFBLAQIUABQAAAAIAIdO&#10;4kAzLwWeOwAAADkAAAAQAAAAAAAAAAEAIAAAABEBAABkcnMvc2hhcGV4bWwueG1sUEsFBgAAAAAG&#10;AAYAWwEAALsDAAAAAA==&#10;" path="m15,0l0,0,0,3060,15,3060,15,0xm1965,2760l1950,2760,1950,3060,1965,3060,1965,2760xm1965,1245l1950,1245,1950,1815,1965,1815,1965,1245xm1965,0l1950,0,1950,300,1965,300,1965,0xm3915,1245l3900,1245,3900,3060,3915,3060,3915,1245xm3915,0l3900,0,3900,300,3915,300,3915,0xm5865,0l5850,0,5850,3060,5865,3060,5865,0xe">
                  <v:path o:connectlocs="15,-3753;0,-3753;0,-693;15,-693;15,-3753;1965,-993;1950,-993;1950,-693;1965,-693;1965,-993;1965,-2508;1950,-2508;1950,-1938;1965,-1938;1965,-2508;1965,-3753;1950,-3753;1950,-3453;1965,-3453;1965,-3753;3915,-2508;3900,-2508;3900,-693;3915,-693;3915,-2508;3915,-3753;3900,-3753;3900,-3453;3915,-3453;3915,-3753;5865,-3753;5850,-3753;5850,-693;5865,-693;5865,-3753" o:connectangles="0,0,0,0,0,0,0,0,0,0,0,0,0,0,0,0,0,0,0,0,0,0,0,0,0,0,0,0,0,0,0,0,0,0,0"/>
                  <v:fill on="t" focussize="0,0"/>
                  <v:stroke on="f"/>
                  <v:imagedata o:title=""/>
                  <o:lock v:ext="edit" aspectratio="f"/>
                </v:shape>
                <v:shape id="AutoShape 21" o:spid="_x0000_s1026" o:spt="100" style="position:absolute;left:4409;top:-3753;height:3060;width:3915;" fillcolor="#F7F7F7" filled="t" stroked="f" coordsize="3915,3060" o:gfxdata="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dqABPMcAAADjAAAADwAAAAAAAAABACAAAAAiAAAAZHJzL2Rvd25yZXYueG1sUEsBAhQAFAAA&#10;AAgAh07iQDMvBZ47AAAAOQAAABAAAAAAAAAAAQAgAAAAFgEAAGRycy9zaGFwZXhtbC54bWxQSwUG&#10;AAAAAAYABgBbAQAAwAMAAAAA&#10;" path="m15,2760l0,2760,0,3060,15,3060,15,2760xm15,1245l0,1245,0,1815,15,1815,15,1245xm15,0l0,0,0,300,15,300,15,0xm1965,1245l1950,1245,1950,3060,1965,3060,1965,1245xm1965,0l1950,0,1950,300,1965,300,1965,0xm3915,0l3900,0,3900,3060,3915,3060,3915,0xe">
                  <v:path o:connectlocs="15,-993;0,-993;0,-693;15,-693;15,-993;15,-2508;0,-2508;0,-1938;15,-1938;15,-2508;15,-3753;0,-3753;0,-3453;15,-3453;15,-3753;1965,-2508;1950,-2508;1950,-693;1965,-693;1965,-2508;1965,-3753;1950,-3753;1950,-3453;1965,-3453;1965,-3753;3915,-3753;3900,-3753;3900,-693;3915,-693;3915,-3753" o:connectangles="0,0,0,0,0,0,0,0,0,0,0,0,0,0,0,0,0,0,0,0,0,0,0,0,0,0,0,0,0,0"/>
                  <v:fill on="t" focussize="0,0"/>
                  <v:stroke on="f"/>
                  <v:imagedata o:title=""/>
                  <o:lock v:ext="edit" aspectratio="f"/>
                </v:shape>
                <v:shape id="AutoShape 20" o:spid="_x0000_s1026" o:spt="100" style="position:absolute;left:3449;top:-3453;height:2460;width:3990;" fillcolor="#663AB6" filled="t" stroked="f" coordsize="3990,2460" o:gfxdata="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LhJNMQAAADiAAAADwAAAAAAAAABACAAAAAiAAAAZHJzL2Rvd25yZXYueG1sUEsBAhQAFAAAAAgA&#10;h07iQDMvBZ47AAAAOQAAABAAAAAAAAAAAQAgAAAAEwEAAGRycy9zaGFwZXhtbC54bWxQSwUGAAAA&#10;AAYABgBbAQAAvQMAAAAA&#10;" path="m2430,1515l0,1515,0,2460,2430,2460,2430,1515xm3990,0l0,0,0,945,3990,945,3990,0xe">
                  <v:path o:connectlocs="2430,-1938;0,-1938;0,-993;2430,-993;2430,-1938;3990,-3453;0,-3453;0,-2508;3990,-2508;3990,-3453" o:connectangles="0,0,0,0,0,0,0,0,0,0"/>
                  <v:fill on="t" focussize="0,0"/>
                  <v:stroke on="f"/>
                  <v:imagedata o:title=""/>
                  <o:lock v:ext="edit" aspectratio="f"/>
                </v:shape>
                <v:rect id="Rectangle 19" o:spid="_x0000_s1026" o:spt="1" style="position:absolute;left:3435;top:-3753;height:3060;width:15;" fillcolor="#333333" filled="t" stroked="f" coordsize="21600,21600" o:gfxdata="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T53LnFAAAA4wAAAA8AAAAAAAAAAQAgAAAAIgAAAGRycy9kb3ducmV2LnhtbFBLAQIUABQAAAAI&#10;AIdO4kAzLwWeOwAAADkAAAAQAAAAAAAAAAEAIAAAABQBAABkcnMvc2hhcGV4bWwueG1sUEsFBgAA&#10;AAAGAAYAWwEAAL4DAAAAAA==&#10;">
                  <v:fill on="t" focussize="0,0"/>
                  <v:stroke on="f"/>
                  <v:imagedata o:title=""/>
                  <o:lock v:ext="edit" aspectratio="f"/>
                </v:rect>
                <v:rect id="Rectangle 18" o:spid="_x0000_s1026" o:spt="1" style="position:absolute;left:7440;top:-2988;height:15;width:180;" fillcolor="#999999" filled="t" stroked="f" coordsize="21600,21600" o:gfxdata="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OJHe/&#10;AAAA4wAAAA8AAAAAAAAAAQAgAAAAIgAAAGRycy9kb3ducmV2LnhtbFBLAQIUABQAAAAIAIdO4kAz&#10;LwWeOwAAADkAAAAQAAAAAAAAAAEAIAAAAA4BAABkcnMvc2hhcGV4bWwueG1sUEsFBgAAAAAGAAYA&#10;WwEAALgDAAAAAA==&#10;">
                  <v:fill on="t" focussize="0,0"/>
                  <v:stroke on="f"/>
                  <v:imagedata o:title=""/>
                  <o:lock v:ext="edit" aspectratio="f"/>
                </v:rect>
                <v:shape id="AutoShape 17" o:spid="_x0000_s1026" o:spt="100" style="position:absolute;left:7622;top:-3055;height:130;width:165;" filled="f" stroked="t" coordsize="165,130" o:gfxdata="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4LJ&#10;RMEAAADiAAAADwAAAAAAAAABACAAAAAiAAAAZHJzL2Rvd25yZXYueG1sUEsBAhQAFAAAAAgAh07i&#10;QDMvBZ47AAAAOQAAABAAAAAAAAAAAQAgAAAAEAEAAGRycy9zaGFwZXhtbC54bWxQSwUGAAAAAAYA&#10;BgBbAQAAugMAAAAA&#10;" path="m56,130l56,99,0,99,0,84,59,1,72,1,72,84,89,84,89,99,72,99,72,130,56,130xm56,84l56,26,16,84,56,84xm165,130l149,130,149,29,146,33,141,36,134,40,128,44,123,46,118,48,118,33,127,29,134,24,141,18,148,12,152,6,155,0,165,0,165,130xe">
                  <v:path o:connectlocs="56,-2925;56,-2956;0,-2956;0,-2971;59,-3054;72,-3054;72,-2971;89,-2971;89,-2956;72,-2956;72,-2925;56,-2925;56,-2971;56,-3029;16,-2971;56,-2971;165,-2925;149,-2925;149,-3026;146,-3022;141,-3019;134,-3015;128,-3011;123,-3009;118,-3007;118,-3022;127,-3026;134,-3031;141,-3037;148,-3043;152,-3049;155,-3055;165,-3055;165,-2925" o:connectangles="0,0,0,0,0,0,0,0,0,0,0,0,0,0,0,0,0,0,0,0,0,0,0,0,0,0,0,0,0,0,0,0,0,0"/>
                  <v:fill on="f" focussize="0,0"/>
                  <v:stroke weight="2.25pt" color="#FFFFFF" joinstyle="round"/>
                  <v:imagedata o:title=""/>
                  <o:lock v:ext="edit" aspectratio="f"/>
                </v:shape>
                <v:shape id="Picture 16" o:spid="_x0000_s1026" o:spt="75" type="#_x0000_t75" style="position:absolute;left:7858;top:-3079;height:214;width:658;" filled="f" o:preferrelative="t" stroked="f" coordsize="21600,21600" o:gfxdata="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6CR1&#10;wAAAAOIAAAAPAAAAAAAAAAEAIAAAACIAAABkcnMvZG93bnJldi54bWxQSwECFAAUAAAACACHTuJA&#10;My8FnjsAAAA5AAAAEAAAAAAAAAABACAAAAAPAQAAZHJzL3NoYXBleG1sLnhtbFBLBQYAAAAABgAG&#10;AFsBAAC5AwAAAAA=&#10;">
                  <v:fill on="f" focussize="0,0"/>
                  <v:stroke on="f"/>
                  <v:imagedata r:id="rId121" o:title=""/>
                  <o:lock v:ext="edit" aspectratio="t"/>
                </v:shape>
                <v:shape id="Picture 15" o:spid="_x0000_s1026" o:spt="75" type="#_x0000_t75" style="position:absolute;left:5880;top:-1564;height:214;width:1077;" filled="f" o:preferrelative="t" stroked="f" coordsize="21600,21600" o:gfxdata="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RmKLsQAAADiAAAADwAAAAAAAAABACAAAAAiAAAAZHJzL2Rvd25yZXYueG1sUEsBAhQAFAAAAAgA&#10;h07iQDMvBZ47AAAAOQAAABAAAAAAAAAAAQAgAAAAEwEAAGRycy9zaGFwZXhtbC54bWxQSwUGAAAA&#10;AAYABgBbAQAAvQMAAAAA&#10;">
                  <v:fill on="f" focussize="0,0"/>
                  <v:stroke on="f"/>
                  <v:imagedata r:id="rId122" o:title=""/>
                  <o:lock v:ext="edit" aspectratio="t"/>
                </v:shape>
                <v:shape id="Text Box 14" o:spid="_x0000_s1026" o:spt="202" type="#_x0000_t202" style="position:absolute;left:1162;top:-5521;height:1392;width:7912;" filled="f" stroked="f" coordsize="21600,21600" o:gfxdata="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10;MPr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7BC351F">
                        <w:pPr>
                          <w:spacing w:line="300" w:lineRule="auto"/>
                          <w:ind w:right="17"/>
                        </w:pPr>
                        <w:r>
                          <w:rPr>
                            <w:color w:val="202024"/>
                          </w:rPr>
                          <w:t>If</w:t>
                        </w:r>
                        <w:r>
                          <w:rPr>
                            <w:color w:val="202024"/>
                            <w:spacing w:val="8"/>
                          </w:rPr>
                          <w:t xml:space="preserve"> </w:t>
                        </w:r>
                        <w:r>
                          <w:rPr>
                            <w:color w:val="202024"/>
                          </w:rPr>
                          <w:t>you</w:t>
                        </w:r>
                        <w:r>
                          <w:rPr>
                            <w:color w:val="202024"/>
                            <w:spacing w:val="8"/>
                          </w:rPr>
                          <w:t xml:space="preserve"> </w:t>
                        </w:r>
                        <w:r>
                          <w:rPr>
                            <w:color w:val="202024"/>
                          </w:rPr>
                          <w:t>are</w:t>
                        </w:r>
                        <w:r>
                          <w:rPr>
                            <w:color w:val="202024"/>
                            <w:spacing w:val="8"/>
                          </w:rPr>
                          <w:t xml:space="preserve"> </w:t>
                        </w:r>
                        <w:r>
                          <w:rPr>
                            <w:color w:val="202024"/>
                          </w:rPr>
                          <w:t>willing</w:t>
                        </w:r>
                        <w:r>
                          <w:rPr>
                            <w:color w:val="202024"/>
                            <w:spacing w:val="9"/>
                          </w:rPr>
                          <w:t xml:space="preserve"> </w:t>
                        </w:r>
                        <w:r>
                          <w:rPr>
                            <w:color w:val="202024"/>
                          </w:rPr>
                          <w:t>to</w:t>
                        </w:r>
                        <w:r>
                          <w:rPr>
                            <w:color w:val="202024"/>
                            <w:spacing w:val="8"/>
                          </w:rPr>
                          <w:t xml:space="preserve"> </w:t>
                        </w:r>
                        <w:r>
                          <w:rPr>
                            <w:color w:val="202024"/>
                          </w:rPr>
                          <w:t>participate</w:t>
                        </w:r>
                        <w:r>
                          <w:rPr>
                            <w:color w:val="202024"/>
                            <w:spacing w:val="8"/>
                          </w:rPr>
                          <w:t xml:space="preserve"> </w:t>
                        </w:r>
                        <w:r>
                          <w:rPr>
                            <w:color w:val="202024"/>
                          </w:rPr>
                          <w:t>in</w:t>
                        </w:r>
                        <w:r>
                          <w:rPr>
                            <w:color w:val="202024"/>
                            <w:spacing w:val="9"/>
                          </w:rPr>
                          <w:t xml:space="preserve"> </w:t>
                        </w:r>
                        <w:r>
                          <w:rPr>
                            <w:color w:val="202024"/>
                          </w:rPr>
                          <w:t>a</w:t>
                        </w:r>
                        <w:r>
                          <w:rPr>
                            <w:color w:val="202024"/>
                            <w:spacing w:val="8"/>
                          </w:rPr>
                          <w:t xml:space="preserve"> </w:t>
                        </w:r>
                        <w:r>
                          <w:rPr>
                            <w:color w:val="202024"/>
                          </w:rPr>
                          <w:t>brief</w:t>
                        </w:r>
                        <w:r>
                          <w:rPr>
                            <w:color w:val="202024"/>
                            <w:spacing w:val="8"/>
                          </w:rPr>
                          <w:t xml:space="preserve"> </w:t>
                        </w:r>
                        <w:r>
                          <w:rPr>
                            <w:color w:val="202024"/>
                          </w:rPr>
                          <w:t>one</w:t>
                        </w:r>
                        <w:r>
                          <w:rPr>
                            <w:color w:val="202024"/>
                            <w:spacing w:val="9"/>
                          </w:rPr>
                          <w:t xml:space="preserve"> </w:t>
                        </w:r>
                        <w:r>
                          <w:rPr>
                            <w:color w:val="202024"/>
                          </w:rPr>
                          <w:t>to</w:t>
                        </w:r>
                        <w:r>
                          <w:rPr>
                            <w:color w:val="202024"/>
                            <w:spacing w:val="8"/>
                          </w:rPr>
                          <w:t xml:space="preserve"> </w:t>
                        </w:r>
                        <w:r>
                          <w:rPr>
                            <w:color w:val="202024"/>
                          </w:rPr>
                          <w:t>one</w:t>
                        </w:r>
                        <w:r>
                          <w:rPr>
                            <w:color w:val="202024"/>
                            <w:spacing w:val="8"/>
                          </w:rPr>
                          <w:t xml:space="preserve"> </w:t>
                        </w:r>
                        <w:r>
                          <w:rPr>
                            <w:color w:val="202024"/>
                          </w:rPr>
                          <w:t>call</w:t>
                        </w:r>
                        <w:r>
                          <w:rPr>
                            <w:color w:val="202024"/>
                            <w:spacing w:val="9"/>
                          </w:rPr>
                          <w:t xml:space="preserve"> </w:t>
                        </w:r>
                        <w:r>
                          <w:rPr>
                            <w:color w:val="202024"/>
                          </w:rPr>
                          <w:t>or</w:t>
                        </w:r>
                        <w:r>
                          <w:rPr>
                            <w:color w:val="202024"/>
                            <w:spacing w:val="8"/>
                          </w:rPr>
                          <w:t xml:space="preserve"> </w:t>
                        </w:r>
                        <w:r>
                          <w:rPr>
                            <w:color w:val="202024"/>
                          </w:rPr>
                          <w:t>zoom</w:t>
                        </w:r>
                        <w:r>
                          <w:rPr>
                            <w:color w:val="202024"/>
                            <w:spacing w:val="8"/>
                          </w:rPr>
                          <w:t xml:space="preserve"> </w:t>
                        </w:r>
                        <w:r>
                          <w:rPr>
                            <w:color w:val="202024"/>
                          </w:rPr>
                          <w:t>meeting</w:t>
                        </w:r>
                        <w:r>
                          <w:rPr>
                            <w:color w:val="202024"/>
                            <w:spacing w:val="-56"/>
                          </w:rPr>
                          <w:t xml:space="preserve"> </w:t>
                        </w:r>
                        <w:r>
                          <w:rPr>
                            <w:color w:val="202024"/>
                          </w:rPr>
                          <w:t>with</w:t>
                        </w:r>
                        <w:r>
                          <w:rPr>
                            <w:color w:val="202024"/>
                            <w:spacing w:val="4"/>
                          </w:rPr>
                          <w:t xml:space="preserve"> </w:t>
                        </w:r>
                        <w:r>
                          <w:rPr>
                            <w:color w:val="202024"/>
                          </w:rPr>
                          <w:t>the</w:t>
                        </w:r>
                        <w:r>
                          <w:rPr>
                            <w:color w:val="202024"/>
                            <w:spacing w:val="5"/>
                          </w:rPr>
                          <w:t xml:space="preserve"> </w:t>
                        </w:r>
                        <w:r>
                          <w:rPr>
                            <w:color w:val="202024"/>
                          </w:rPr>
                          <w:t>researcher,</w:t>
                        </w:r>
                        <w:r>
                          <w:rPr>
                            <w:color w:val="202024"/>
                            <w:spacing w:val="4"/>
                          </w:rPr>
                          <w:t xml:space="preserve"> </w:t>
                        </w:r>
                        <w:r>
                          <w:rPr>
                            <w:color w:val="202024"/>
                          </w:rPr>
                          <w:t>kindly</w:t>
                        </w:r>
                        <w:r>
                          <w:rPr>
                            <w:color w:val="202024"/>
                            <w:spacing w:val="5"/>
                          </w:rPr>
                          <w:t xml:space="preserve"> </w:t>
                        </w:r>
                        <w:r>
                          <w:rPr>
                            <w:color w:val="202024"/>
                          </w:rPr>
                          <w:t>indicate</w:t>
                        </w:r>
                        <w:r>
                          <w:rPr>
                            <w:color w:val="202024"/>
                            <w:spacing w:val="4"/>
                          </w:rPr>
                          <w:t xml:space="preserve"> </w:t>
                        </w:r>
                        <w:r>
                          <w:rPr>
                            <w:color w:val="202024"/>
                          </w:rPr>
                          <w:t>in</w:t>
                        </w:r>
                        <w:r>
                          <w:rPr>
                            <w:color w:val="202024"/>
                            <w:spacing w:val="5"/>
                          </w:rPr>
                          <w:t xml:space="preserve"> </w:t>
                        </w:r>
                        <w:r>
                          <w:rPr>
                            <w:color w:val="202024"/>
                          </w:rPr>
                          <w:t>the</w:t>
                        </w:r>
                        <w:r>
                          <w:rPr>
                            <w:color w:val="202024"/>
                            <w:spacing w:val="5"/>
                          </w:rPr>
                          <w:t xml:space="preserve"> </w:t>
                        </w:r>
                        <w:r>
                          <w:rPr>
                            <w:color w:val="202024"/>
                          </w:rPr>
                          <w:t>box</w:t>
                        </w:r>
                        <w:r>
                          <w:rPr>
                            <w:color w:val="202024"/>
                            <w:spacing w:val="4"/>
                          </w:rPr>
                          <w:t xml:space="preserve"> </w:t>
                        </w:r>
                        <w:r>
                          <w:rPr>
                            <w:color w:val="202024"/>
                          </w:rPr>
                          <w:t>below,</w:t>
                        </w:r>
                        <w:r>
                          <w:rPr>
                            <w:color w:val="202024"/>
                            <w:spacing w:val="5"/>
                          </w:rPr>
                          <w:t xml:space="preserve"> </w:t>
                        </w:r>
                        <w:r>
                          <w:rPr>
                            <w:color w:val="202024"/>
                          </w:rPr>
                          <w:t>and</w:t>
                        </w:r>
                        <w:r>
                          <w:rPr>
                            <w:color w:val="202024"/>
                            <w:spacing w:val="4"/>
                          </w:rPr>
                          <w:t xml:space="preserve"> </w:t>
                        </w:r>
                        <w:r>
                          <w:rPr>
                            <w:color w:val="202024"/>
                          </w:rPr>
                          <w:t>provide</w:t>
                        </w:r>
                        <w:r>
                          <w:rPr>
                            <w:color w:val="202024"/>
                            <w:spacing w:val="5"/>
                          </w:rPr>
                          <w:t xml:space="preserve"> </w:t>
                        </w:r>
                        <w:r>
                          <w:rPr>
                            <w:color w:val="202024"/>
                          </w:rPr>
                          <w:t>your</w:t>
                        </w:r>
                        <w:r>
                          <w:rPr>
                            <w:color w:val="202024"/>
                            <w:spacing w:val="1"/>
                          </w:rPr>
                          <w:t xml:space="preserve"> </w:t>
                        </w:r>
                        <w:r>
                          <w:rPr>
                            <w:color w:val="202024"/>
                          </w:rPr>
                          <w:t>contact</w:t>
                        </w:r>
                        <w:r>
                          <w:rPr>
                            <w:color w:val="202024"/>
                            <w:spacing w:val="5"/>
                          </w:rPr>
                          <w:t xml:space="preserve"> </w:t>
                        </w:r>
                        <w:r>
                          <w:rPr>
                            <w:color w:val="202024"/>
                          </w:rPr>
                          <w:t>details:</w:t>
                        </w:r>
                      </w:p>
                      <w:p w14:paraId="4A4EAEB8">
                        <w:pPr>
                          <w:spacing w:before="96" w:line="215" w:lineRule="exact"/>
                          <w:rPr>
                            <w:sz w:val="18"/>
                          </w:rPr>
                        </w:pPr>
                        <w:r>
                          <w:rPr>
                            <w:color w:val="202024"/>
                            <w:sz w:val="18"/>
                          </w:rPr>
                          <w:t>66</w:t>
                        </w:r>
                        <w:r>
                          <w:rPr>
                            <w:color w:val="202024"/>
                            <w:spacing w:val="20"/>
                            <w:sz w:val="18"/>
                          </w:rPr>
                          <w:t xml:space="preserve"> </w:t>
                        </w:r>
                        <w:r>
                          <w:rPr>
                            <w:color w:val="202024"/>
                            <w:sz w:val="18"/>
                          </w:rPr>
                          <w:t>responses</w:t>
                        </w:r>
                      </w:p>
                    </w:txbxContent>
                  </v:textbox>
                </v:shape>
                <v:shape id="Text Box 13" o:spid="_x0000_s1026" o:spt="202" type="#_x0000_t202" style="position:absolute;left:9958;top:-5482;height:200;width:550;" filled="f" stroked="f" coordsize="21600,21600" o:gfxdata="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OX&#10;qIr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A8514F4">
                        <w:pPr>
                          <w:spacing w:line="199" w:lineRule="exact"/>
                          <w:rPr>
                            <w:rFonts w:ascii="Lucida Sans Unicode"/>
                            <w:sz w:val="20"/>
                          </w:rPr>
                        </w:pPr>
                        <w:r>
                          <w:rPr>
                            <w:rFonts w:ascii="Lucida Sans Unicode"/>
                            <w:color w:val="1A73E7"/>
                            <w:w w:val="105"/>
                            <w:sz w:val="20"/>
                          </w:rPr>
                          <w:t>Copy</w:t>
                        </w:r>
                      </w:p>
                    </w:txbxContent>
                  </v:textbox>
                </v:shape>
                <v:shape id="Text Box 12" o:spid="_x0000_s1026" o:spt="202" type="#_x0000_t202" style="position:absolute;left:2961;top:-3085;height:202;width:314;" filled="f" stroked="f" coordsize="21600,21600" o:gfxdata="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5l8M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6CEA9A90">
                        <w:pPr>
                          <w:spacing w:line="201" w:lineRule="exact"/>
                          <w:rPr>
                            <w:rFonts w:ascii="Arial MT"/>
                            <w:sz w:val="18"/>
                          </w:rPr>
                        </w:pPr>
                        <w:r>
                          <w:rPr>
                            <w:rFonts w:ascii="Arial MT"/>
                            <w:color w:val="212121"/>
                            <w:spacing w:val="-2"/>
                            <w:sz w:val="18"/>
                          </w:rPr>
                          <w:t>Yes</w:t>
                        </w:r>
                      </w:p>
                    </w:txbxContent>
                  </v:textbox>
                </v:shape>
                <v:shape id="Text Box 11" o:spid="_x0000_s1026" o:spt="202" type="#_x0000_t202" style="position:absolute;left:7620;top:-3089;height:202;width:901;" filled="f" stroked="f" coordsize="21600,21600" o:gfxdata="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0&#10;un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6EF034E">
                        <w:pPr>
                          <w:spacing w:line="201" w:lineRule="exact"/>
                          <w:rPr>
                            <w:rFonts w:ascii="Arial MT"/>
                            <w:sz w:val="18"/>
                          </w:rPr>
                        </w:pPr>
                        <w:r>
                          <w:rPr>
                            <w:rFonts w:ascii="Arial MT"/>
                            <w:color w:val="202024"/>
                            <w:sz w:val="18"/>
                          </w:rPr>
                          <w:t>41 (62.1%)</w:t>
                        </w:r>
                      </w:p>
                    </w:txbxContent>
                  </v:textbox>
                </v:shape>
                <v:shape id="Text Box 10" o:spid="_x0000_s1026" o:spt="202" type="#_x0000_t202" style="position:absolute;left:3024;top:-1562;height:202;width:251;" filled="f" stroked="f" coordsize="21600,21600" o:gfxdata="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cf&#10;IC7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896ECD5">
                        <w:pPr>
                          <w:spacing w:line="201" w:lineRule="exact"/>
                          <w:rPr>
                            <w:rFonts w:ascii="Arial MT"/>
                            <w:sz w:val="18"/>
                          </w:rPr>
                        </w:pPr>
                        <w:r>
                          <w:rPr>
                            <w:rFonts w:ascii="Arial MT"/>
                            <w:color w:val="212121"/>
                            <w:sz w:val="18"/>
                          </w:rPr>
                          <w:t>No</w:t>
                        </w:r>
                      </w:p>
                    </w:txbxContent>
                  </v:textbox>
                </v:shape>
                <v:shape id="Text Box 9" o:spid="_x0000_s1026" o:spt="202" type="#_x0000_t202" style="position:absolute;left:6060;top:-1574;height:202;width:901;" filled="f" stroked="f" coordsize="21600,21600" o:gfxdata="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8+tGP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40B37799">
                        <w:pPr>
                          <w:spacing w:line="201" w:lineRule="exact"/>
                          <w:rPr>
                            <w:rFonts w:ascii="Arial MT"/>
                            <w:sz w:val="18"/>
                          </w:rPr>
                        </w:pPr>
                        <w:r>
                          <w:rPr>
                            <w:rFonts w:ascii="Arial MT"/>
                            <w:color w:val="202024"/>
                            <w:sz w:val="18"/>
                          </w:rPr>
                          <w:t>25 (37.9%)</w:t>
                        </w:r>
                      </w:p>
                    </w:txbxContent>
                  </v:textbox>
                </v:shape>
                <v:shape id="Text Box 8" o:spid="_x0000_s1026" o:spt="202" type="#_x0000_t202" style="position:absolute;left:3392;top:-599;height:202;width:121;" filled="f" stroked="f" coordsize="21600,21600" o:gfxdata="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Qh&#10;h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A5F825">
                        <w:pPr>
                          <w:spacing w:line="201" w:lineRule="exact"/>
                          <w:rPr>
                            <w:rFonts w:ascii="Arial MT"/>
                            <w:sz w:val="18"/>
                          </w:rPr>
                        </w:pPr>
                        <w:r>
                          <w:rPr>
                            <w:rFonts w:ascii="Arial MT"/>
                            <w:color w:val="444444"/>
                            <w:sz w:val="18"/>
                          </w:rPr>
                          <w:t>0</w:t>
                        </w:r>
                      </w:p>
                    </w:txbxContent>
                  </v:textbox>
                </v:shape>
                <v:shape id="Text Box 7" o:spid="_x0000_s1026" o:spt="202" type="#_x0000_t202" style="position:absolute;left:5292;top:-599;height:202;width:221;" filled="f" stroked="f" coordsize="21600,21600" o:gfxdata="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XD&#10;bcL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9F56748">
                        <w:pPr>
                          <w:spacing w:line="201" w:lineRule="exact"/>
                          <w:rPr>
                            <w:rFonts w:ascii="Arial MT"/>
                            <w:sz w:val="18"/>
                          </w:rPr>
                        </w:pPr>
                        <w:r>
                          <w:rPr>
                            <w:rFonts w:ascii="Arial MT"/>
                            <w:color w:val="444444"/>
                            <w:sz w:val="18"/>
                          </w:rPr>
                          <w:t>20</w:t>
                        </w:r>
                      </w:p>
                    </w:txbxContent>
                  </v:textbox>
                </v:shape>
                <v:shape id="Text Box 6" o:spid="_x0000_s1026" o:spt="202" type="#_x0000_t202" style="position:absolute;left:7242;top:-599;height:202;width:221;" filled="f" stroked="f" coordsize="21600,21600" o:gfxdata="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BGPL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429EFA4E">
                        <w:pPr>
                          <w:spacing w:line="201" w:lineRule="exact"/>
                          <w:rPr>
                            <w:rFonts w:ascii="Arial MT"/>
                            <w:sz w:val="18"/>
                          </w:rPr>
                        </w:pPr>
                        <w:r>
                          <w:rPr>
                            <w:rFonts w:ascii="Arial MT"/>
                            <w:color w:val="444444"/>
                            <w:sz w:val="18"/>
                          </w:rPr>
                          <w:t>40</w:t>
                        </w:r>
                      </w:p>
                    </w:txbxContent>
                  </v:textbox>
                </v:shape>
                <v:shape id="Text Box 5" o:spid="_x0000_s1026" o:spt="202" type="#_x0000_t202" style="position:absolute;left:9192;top:-599;height:202;width:221;" filled="f" stroked="f" coordsize="21600,21600" o:gfxdata="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mcTjn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495FAD38">
                        <w:pPr>
                          <w:spacing w:line="201" w:lineRule="exact"/>
                          <w:rPr>
                            <w:rFonts w:ascii="Arial MT"/>
                            <w:sz w:val="18"/>
                          </w:rPr>
                        </w:pPr>
                        <w:r>
                          <w:rPr>
                            <w:rFonts w:ascii="Arial MT"/>
                            <w:color w:val="444444"/>
                            <w:sz w:val="18"/>
                          </w:rPr>
                          <w:t>60</w:t>
                        </w:r>
                      </w:p>
                    </w:txbxContent>
                  </v:textbox>
                </v:shape>
              </v:group>
            </w:pict>
          </mc:Fallback>
        </mc:AlternateContent>
      </w:r>
      <w:r>
        <mc:AlternateContent>
          <mc:Choice Requires="wps">
            <w:drawing>
              <wp:anchor distT="0" distB="0" distL="114300" distR="114300" simplePos="0" relativeHeight="251746304" behindDoc="0" locked="0" layoutInCell="1" allowOverlap="1">
                <wp:simplePos x="0" y="0"/>
                <wp:positionH relativeFrom="page">
                  <wp:posOffset>6050915</wp:posOffset>
                </wp:positionH>
                <wp:positionV relativeFrom="paragraph">
                  <wp:posOffset>179070</wp:posOffset>
                </wp:positionV>
                <wp:extent cx="351155" cy="9525"/>
                <wp:effectExtent l="0" t="0" r="0" b="0"/>
                <wp:wrapNone/>
                <wp:docPr id="458168111" name="Freeform: Shape 51"/>
                <wp:cNvGraphicFramePr/>
                <a:graphic xmlns:a="http://schemas.openxmlformats.org/drawingml/2006/main">
                  <a:graphicData uri="http://schemas.microsoft.com/office/word/2010/wordprocessingShape">
                    <wps:wsp>
                      <wps:cNvSpPr/>
                      <wps:spPr bwMode="auto">
                        <a:xfrm>
                          <a:off x="0" y="0"/>
                          <a:ext cx="351155" cy="9525"/>
                        </a:xfrm>
                        <a:custGeom>
                          <a:avLst/>
                          <a:gdLst>
                            <a:gd name="T0" fmla="+- 0 10082 9529"/>
                            <a:gd name="T1" fmla="*/ T0 w 553"/>
                            <a:gd name="T2" fmla="+- 0 282 282"/>
                            <a:gd name="T3" fmla="*/ 282 h 15"/>
                            <a:gd name="T4" fmla="+- 0 10056 9529"/>
                            <a:gd name="T5" fmla="*/ T4 w 553"/>
                            <a:gd name="T6" fmla="+- 0 282 282"/>
                            <a:gd name="T7" fmla="*/ 282 h 15"/>
                            <a:gd name="T8" fmla="+- 0 9529 9529"/>
                            <a:gd name="T9" fmla="*/ T8 w 553"/>
                            <a:gd name="T10" fmla="+- 0 282 282"/>
                            <a:gd name="T11" fmla="*/ 282 h 15"/>
                            <a:gd name="T12" fmla="+- 0 9529 9529"/>
                            <a:gd name="T13" fmla="*/ T12 w 553"/>
                            <a:gd name="T14" fmla="+- 0 297 282"/>
                            <a:gd name="T15" fmla="*/ 297 h 15"/>
                            <a:gd name="T16" fmla="+- 0 10056 9529"/>
                            <a:gd name="T17" fmla="*/ T16 w 553"/>
                            <a:gd name="T18" fmla="+- 0 297 282"/>
                            <a:gd name="T19" fmla="*/ 297 h 15"/>
                            <a:gd name="T20" fmla="+- 0 10082 9529"/>
                            <a:gd name="T21" fmla="*/ T20 w 553"/>
                            <a:gd name="T22" fmla="+- 0 297 282"/>
                            <a:gd name="T23" fmla="*/ 297 h 15"/>
                            <a:gd name="T24" fmla="+- 0 10082 9529"/>
                            <a:gd name="T25" fmla="*/ T24 w 553"/>
                            <a:gd name="T26" fmla="+- 0 282 282"/>
                            <a:gd name="T27" fmla="*/ 282 h 15"/>
                          </a:gdLst>
                          <a:ahLst/>
                          <a:cxnLst>
                            <a:cxn ang="0">
                              <a:pos x="T1" y="T3"/>
                            </a:cxn>
                            <a:cxn ang="0">
                              <a:pos x="T5" y="T7"/>
                            </a:cxn>
                            <a:cxn ang="0">
                              <a:pos x="T9" y="T11"/>
                            </a:cxn>
                            <a:cxn ang="0">
                              <a:pos x="T13" y="T15"/>
                            </a:cxn>
                            <a:cxn ang="0">
                              <a:pos x="T17" y="T19"/>
                            </a:cxn>
                            <a:cxn ang="0">
                              <a:pos x="T21" y="T23"/>
                            </a:cxn>
                            <a:cxn ang="0">
                              <a:pos x="T25" y="T27"/>
                            </a:cxn>
                          </a:cxnLst>
                          <a:rect l="0" t="0" r="r" b="b"/>
                          <a:pathLst>
                            <a:path w="553" h="15">
                              <a:moveTo>
                                <a:pt x="553" y="0"/>
                              </a:moveTo>
                              <a:lnTo>
                                <a:pt x="527" y="0"/>
                              </a:lnTo>
                              <a:lnTo>
                                <a:pt x="0" y="0"/>
                              </a:lnTo>
                              <a:lnTo>
                                <a:pt x="0" y="15"/>
                              </a:lnTo>
                              <a:lnTo>
                                <a:pt x="527" y="15"/>
                              </a:lnTo>
                              <a:lnTo>
                                <a:pt x="553" y="15"/>
                              </a:lnTo>
                              <a:lnTo>
                                <a:pt x="553" y="0"/>
                              </a:lnTo>
                              <a:close/>
                            </a:path>
                          </a:pathLst>
                        </a:custGeom>
                        <a:solidFill>
                          <a:srgbClr val="000000">
                            <a:alpha val="65880"/>
                          </a:srgbClr>
                        </a:solidFill>
                        <a:ln>
                          <a:noFill/>
                        </a:ln>
                        <a:effectLst/>
                      </wps:spPr>
                      <wps:bodyPr rot="0" vert="horz" wrap="square" lIns="91440" tIns="45720" rIns="91440" bIns="45720" anchor="t" anchorCtr="0" upright="1">
                        <a:noAutofit/>
                      </wps:bodyPr>
                    </wps:wsp>
                  </a:graphicData>
                </a:graphic>
              </wp:anchor>
            </w:drawing>
          </mc:Choice>
          <mc:Fallback>
            <w:pict>
              <v:shape id="Freeform: Shape 51" o:spid="_x0000_s1026" o:spt="100" style="position:absolute;left:0pt;margin-left:476.45pt;margin-top:14.1pt;height:0.75pt;width:27.65pt;mso-position-horizontal-relative:page;z-index:251746304;mso-width-relative:page;mso-height-relative:page;" fillcolor="#000000" filled="t" stroked="f" coordsize="553,15" o:gfxdata="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6a87A9cAAAAKAQAADwAAAAAAAAABACAAAAAiAAAAZHJzL2Rvd25yZXYueG1sUEsBAhQA&#10;FAAAAAgAh07iQGzHxc67AwAANAsAAA4AAAAAAAAAAQAgAAAAJgEAAGRycy9lMm9Eb2MueG1sUEsF&#10;BgAAAAAGAAYAWQEAAFMHAAAAAA==&#10;" path="m553,0l527,0,0,0,0,15,527,15,553,15,553,0xe">
                <v:path o:connectlocs="351155,179070;334645,179070;0,179070;0,188595;334645,188595;351155,188595;351155,179070" o:connectangles="0,0,0,0,0,0,0"/>
                <v:fill on="t" opacity="43175f" focussize="0,0"/>
                <v:stroke on="f"/>
                <v:imagedata o:title=""/>
                <o:lock v:ext="edit" aspectratio="f"/>
              </v:shape>
            </w:pict>
          </mc:Fallback>
        </mc:AlternateContent>
      </w:r>
      <w:r>
        <w:rPr>
          <w:rFonts w:eastAsia="Roboto"/>
          <w:w w:val="95"/>
        </w:rPr>
        <w:t>This</w:t>
      </w:r>
      <w:r>
        <w:rPr>
          <w:rFonts w:eastAsia="Roboto"/>
          <w:spacing w:val="10"/>
          <w:w w:val="95"/>
        </w:rPr>
        <w:t xml:space="preserve"> </w:t>
      </w:r>
      <w:r>
        <w:rPr>
          <w:rFonts w:eastAsia="Roboto"/>
          <w:w w:val="95"/>
        </w:rPr>
        <w:t>content</w:t>
      </w:r>
      <w:r>
        <w:rPr>
          <w:rFonts w:eastAsia="Roboto"/>
          <w:spacing w:val="11"/>
          <w:w w:val="95"/>
        </w:rPr>
        <w:t xml:space="preserve"> </w:t>
      </w:r>
      <w:r>
        <w:rPr>
          <w:rFonts w:eastAsia="Roboto"/>
          <w:w w:val="95"/>
        </w:rPr>
        <w:t>is</w:t>
      </w:r>
      <w:r>
        <w:rPr>
          <w:rFonts w:eastAsia="Roboto"/>
          <w:spacing w:val="11"/>
          <w:w w:val="95"/>
        </w:rPr>
        <w:t xml:space="preserve"> </w:t>
      </w:r>
      <w:r>
        <w:rPr>
          <w:rFonts w:eastAsia="Roboto"/>
          <w:w w:val="95"/>
        </w:rPr>
        <w:t>neither</w:t>
      </w:r>
      <w:r>
        <w:rPr>
          <w:rFonts w:eastAsia="Roboto"/>
          <w:spacing w:val="10"/>
          <w:w w:val="95"/>
        </w:rPr>
        <w:t xml:space="preserve"> </w:t>
      </w:r>
      <w:r>
        <w:rPr>
          <w:rFonts w:eastAsia="Roboto"/>
          <w:w w:val="95"/>
        </w:rPr>
        <w:t>created</w:t>
      </w:r>
      <w:r>
        <w:rPr>
          <w:rFonts w:eastAsia="Roboto"/>
          <w:spacing w:val="11"/>
          <w:w w:val="95"/>
        </w:rPr>
        <w:t xml:space="preserve"> </w:t>
      </w:r>
      <w:r>
        <w:rPr>
          <w:rFonts w:eastAsia="Roboto"/>
          <w:w w:val="95"/>
        </w:rPr>
        <w:t>nor</w:t>
      </w:r>
      <w:r>
        <w:rPr>
          <w:rFonts w:eastAsia="Roboto"/>
          <w:spacing w:val="11"/>
          <w:w w:val="95"/>
        </w:rPr>
        <w:t xml:space="preserve"> </w:t>
      </w:r>
      <w:r>
        <w:rPr>
          <w:rFonts w:eastAsia="Roboto"/>
          <w:w w:val="95"/>
        </w:rPr>
        <w:t>endorsed</w:t>
      </w:r>
      <w:r>
        <w:rPr>
          <w:rFonts w:eastAsia="Roboto"/>
          <w:spacing w:val="11"/>
          <w:w w:val="95"/>
        </w:rPr>
        <w:t xml:space="preserve"> </w:t>
      </w:r>
      <w:r>
        <w:rPr>
          <w:rFonts w:eastAsia="Roboto"/>
          <w:w w:val="95"/>
        </w:rPr>
        <w:t>by</w:t>
      </w:r>
      <w:r>
        <w:rPr>
          <w:rFonts w:eastAsia="Roboto"/>
          <w:spacing w:val="10"/>
          <w:w w:val="95"/>
        </w:rPr>
        <w:t xml:space="preserve"> </w:t>
      </w:r>
      <w:r>
        <w:rPr>
          <w:rFonts w:eastAsia="Roboto"/>
          <w:w w:val="95"/>
        </w:rPr>
        <w:t>Google.</w:t>
      </w:r>
      <w:r>
        <w:rPr>
          <w:rFonts w:eastAsia="Roboto"/>
          <w:spacing w:val="11"/>
          <w:w w:val="95"/>
        </w:rPr>
        <w:t xml:space="preserve"> </w:t>
      </w:r>
      <w:r>
        <w:rPr>
          <w:rFonts w:eastAsia="Roboto"/>
          <w:spacing w:val="-111"/>
          <w:w w:val="95"/>
        </w:rPr>
        <w:t>R</w:t>
      </w:r>
      <w:r>
        <w:fldChar w:fldCharType="begin"/>
      </w:r>
      <w:r>
        <w:instrText xml:space="preserve"> HYPERLINK "https://docs.google.com/forms/d/1HczRnnyvp2oCRtce6UewNpVjKPFp2_ExkOTXx-YMeto/reportabuse" \h </w:instrText>
      </w:r>
      <w:r>
        <w:fldChar w:fldCharType="separate"/>
      </w:r>
      <w:r>
        <w:rPr>
          <w:rFonts w:eastAsia="Roboto"/>
          <w:spacing w:val="92"/>
          <w:w w:val="95"/>
          <w:u w:val="single"/>
        </w:rPr>
        <w:t xml:space="preserve"> </w:t>
      </w:r>
      <w:r>
        <w:rPr>
          <w:rFonts w:eastAsia="Roboto"/>
          <w:w w:val="95"/>
        </w:rPr>
        <w:t>eport</w:t>
      </w:r>
      <w:r>
        <w:rPr>
          <w:rFonts w:eastAsia="Roboto"/>
          <w:spacing w:val="10"/>
          <w:w w:val="95"/>
        </w:rPr>
        <w:t xml:space="preserve"> </w:t>
      </w:r>
      <w:r>
        <w:rPr>
          <w:rFonts w:eastAsia="Roboto"/>
          <w:w w:val="95"/>
        </w:rPr>
        <w:t>Abuse</w:t>
      </w:r>
      <w:r>
        <w:rPr>
          <w:rFonts w:eastAsia="Roboto"/>
          <w:spacing w:val="11"/>
          <w:w w:val="95"/>
        </w:rPr>
        <w:t xml:space="preserve"> </w:t>
      </w:r>
      <w:r>
        <w:rPr>
          <w:rFonts w:eastAsia="Roboto"/>
          <w:spacing w:val="11"/>
          <w:w w:val="95"/>
        </w:rPr>
        <w:fldChar w:fldCharType="end"/>
      </w:r>
      <w:r>
        <w:rPr>
          <w:rFonts w:eastAsia="Roboto"/>
          <w:w w:val="95"/>
        </w:rPr>
        <w:t>-</w:t>
      </w:r>
      <w:r>
        <w:fldChar w:fldCharType="begin"/>
      </w:r>
      <w:r>
        <w:instrText xml:space="preserve"> HYPERLINK "https://policies.google.com/terms" \h </w:instrText>
      </w:r>
      <w:r>
        <w:fldChar w:fldCharType="separate"/>
      </w:r>
      <w:r>
        <w:rPr>
          <w:rFonts w:eastAsia="Roboto"/>
          <w:spacing w:val="7"/>
          <w:w w:val="95"/>
          <w:u w:val="single"/>
        </w:rPr>
        <w:t xml:space="preserve"> </w:t>
      </w:r>
      <w:r>
        <w:rPr>
          <w:rFonts w:eastAsia="Roboto"/>
          <w:w w:val="95"/>
        </w:rPr>
        <w:t>Terms</w:t>
      </w:r>
      <w:r>
        <w:rPr>
          <w:rFonts w:eastAsia="Roboto"/>
          <w:spacing w:val="11"/>
          <w:w w:val="95"/>
        </w:rPr>
        <w:t xml:space="preserve"> </w:t>
      </w:r>
      <w:r>
        <w:rPr>
          <w:rFonts w:eastAsia="Roboto"/>
          <w:w w:val="95"/>
        </w:rPr>
        <w:t>of</w:t>
      </w:r>
      <w:r>
        <w:rPr>
          <w:rFonts w:eastAsia="Roboto"/>
          <w:spacing w:val="11"/>
          <w:w w:val="95"/>
        </w:rPr>
        <w:t xml:space="preserve"> </w:t>
      </w:r>
      <w:r>
        <w:rPr>
          <w:rFonts w:eastAsia="Roboto"/>
          <w:w w:val="95"/>
        </w:rPr>
        <w:t>Service</w:t>
      </w:r>
      <w:r>
        <w:rPr>
          <w:rFonts w:eastAsia="Roboto"/>
          <w:w w:val="95"/>
        </w:rPr>
        <w:fldChar w:fldCharType="end"/>
      </w:r>
      <w:r>
        <w:rPr>
          <w:rFonts w:eastAsia="Roboto"/>
          <w:spacing w:val="12"/>
          <w:w w:val="95"/>
        </w:rPr>
        <w:t xml:space="preserve"> </w:t>
      </w:r>
      <w:r>
        <w:rPr>
          <w:rFonts w:eastAsia="Roboto"/>
          <w:w w:val="95"/>
        </w:rPr>
        <w:t>-</w:t>
      </w:r>
      <w:r>
        <w:rPr>
          <w:rFonts w:eastAsia="Roboto"/>
          <w:spacing w:val="12"/>
          <w:w w:val="95"/>
        </w:rPr>
        <w:t xml:space="preserve"> </w:t>
      </w:r>
      <w:r>
        <w:fldChar w:fldCharType="begin"/>
      </w:r>
      <w:r>
        <w:instrText xml:space="preserve"> HYPERLINK "https://policies.google.com/privacy" \h </w:instrText>
      </w:r>
      <w:r>
        <w:fldChar w:fldCharType="separate"/>
      </w:r>
      <w:r>
        <w:rPr>
          <w:rFonts w:eastAsia="Roboto"/>
          <w:spacing w:val="-114"/>
          <w:w w:val="95"/>
        </w:rPr>
        <w:t>P</w:t>
      </w:r>
      <w:r>
        <w:rPr>
          <w:rFonts w:eastAsia="Roboto"/>
          <w:spacing w:val="95"/>
          <w:w w:val="95"/>
          <w:u w:val="single"/>
        </w:rPr>
        <w:t xml:space="preserve"> </w:t>
      </w:r>
      <w:r>
        <w:rPr>
          <w:rFonts w:eastAsia="Roboto"/>
          <w:w w:val="95"/>
        </w:rPr>
        <w:t>rivacy</w:t>
      </w:r>
      <w:r>
        <w:rPr>
          <w:rFonts w:eastAsia="Roboto"/>
          <w:spacing w:val="10"/>
          <w:w w:val="95"/>
        </w:rPr>
        <w:t xml:space="preserve"> </w:t>
      </w:r>
      <w:r>
        <w:rPr>
          <w:rFonts w:eastAsia="Roboto"/>
          <w:w w:val="95"/>
        </w:rPr>
        <w:t>Policy</w:t>
      </w:r>
      <w:r>
        <w:rPr>
          <w:rFonts w:eastAsia="Roboto"/>
          <w:w w:val="95"/>
        </w:rPr>
        <w:fldChar w:fldCharType="end"/>
      </w:r>
    </w:p>
    <w:p w14:paraId="01F759CE">
      <w:pPr>
        <w:widowControl w:val="0"/>
        <w:autoSpaceDE w:val="0"/>
        <w:autoSpaceDN w:val="0"/>
        <w:rPr>
          <w:rFonts w:eastAsia="Roboto"/>
        </w:rPr>
      </w:pPr>
    </w:p>
    <w:p w14:paraId="093CDE40">
      <w:pPr>
        <w:widowControl w:val="0"/>
        <w:autoSpaceDE w:val="0"/>
        <w:autoSpaceDN w:val="0"/>
        <w:ind w:right="3620"/>
        <w:jc w:val="center"/>
        <w:rPr>
          <w:rFonts w:eastAsia="Roboto"/>
        </w:rPr>
      </w:pPr>
      <w:r>
        <mc:AlternateContent>
          <mc:Choice Requires="wps">
            <w:drawing>
              <wp:anchor distT="0" distB="0" distL="114300" distR="114300" simplePos="0" relativeHeight="251747328" behindDoc="0" locked="0" layoutInCell="1" allowOverlap="1">
                <wp:simplePos x="0" y="0"/>
                <wp:positionH relativeFrom="page">
                  <wp:posOffset>3125470</wp:posOffset>
                </wp:positionH>
                <wp:positionV relativeFrom="paragraph">
                  <wp:posOffset>38100</wp:posOffset>
                </wp:positionV>
                <wp:extent cx="696595" cy="219075"/>
                <wp:effectExtent l="1270" t="1270" r="6985" b="8255"/>
                <wp:wrapNone/>
                <wp:docPr id="523276520" name="AutoShape 2"/>
                <wp:cNvGraphicFramePr/>
                <a:graphic xmlns:a="http://schemas.openxmlformats.org/drawingml/2006/main">
                  <a:graphicData uri="http://schemas.microsoft.com/office/word/2010/wordprocessingShape">
                    <wps:wsp>
                      <wps:cNvSpPr/>
                      <wps:spPr bwMode="auto">
                        <a:xfrm>
                          <a:off x="0" y="0"/>
                          <a:ext cx="696595" cy="219075"/>
                        </a:xfrm>
                        <a:custGeom>
                          <a:avLst/>
                          <a:gdLst>
                            <a:gd name="T0" fmla="*/ 0 w 1097"/>
                            <a:gd name="T1" fmla="*/ 123825 h 345"/>
                            <a:gd name="T2" fmla="*/ 104775 w 1097"/>
                            <a:gd name="T3" fmla="*/ 40005 h 345"/>
                            <a:gd name="T4" fmla="*/ 62865 w 1097"/>
                            <a:gd name="T5" fmla="*/ 66675 h 345"/>
                            <a:gd name="T6" fmla="*/ 43180 w 1097"/>
                            <a:gd name="T7" fmla="*/ 168275 h 345"/>
                            <a:gd name="T8" fmla="*/ 120650 w 1097"/>
                            <a:gd name="T9" fmla="*/ 203200 h 345"/>
                            <a:gd name="T10" fmla="*/ 111125 w 1097"/>
                            <a:gd name="T11" fmla="*/ 66675 h 345"/>
                            <a:gd name="T12" fmla="*/ 128905 w 1097"/>
                            <a:gd name="T13" fmla="*/ 78740 h 345"/>
                            <a:gd name="T14" fmla="*/ 123190 w 1097"/>
                            <a:gd name="T15" fmla="*/ 175260 h 345"/>
                            <a:gd name="T16" fmla="*/ 142875 w 1097"/>
                            <a:gd name="T17" fmla="*/ 139700 h 345"/>
                            <a:gd name="T18" fmla="*/ 167005 w 1097"/>
                            <a:gd name="T19" fmla="*/ 123825 h 345"/>
                            <a:gd name="T20" fmla="*/ 146685 w 1097"/>
                            <a:gd name="T21" fmla="*/ 185420 h 345"/>
                            <a:gd name="T22" fmla="*/ 185420 w 1097"/>
                            <a:gd name="T23" fmla="*/ 174625 h 345"/>
                            <a:gd name="T24" fmla="*/ 236855 w 1097"/>
                            <a:gd name="T25" fmla="*/ 97155 h 345"/>
                            <a:gd name="T26" fmla="*/ 224790 w 1097"/>
                            <a:gd name="T27" fmla="*/ 121285 h 345"/>
                            <a:gd name="T28" fmla="*/ 214630 w 1097"/>
                            <a:gd name="T29" fmla="*/ 176530 h 345"/>
                            <a:gd name="T30" fmla="*/ 276225 w 1097"/>
                            <a:gd name="T31" fmla="*/ 192405 h 345"/>
                            <a:gd name="T32" fmla="*/ 248920 w 1097"/>
                            <a:gd name="T33" fmla="*/ 183515 h 345"/>
                            <a:gd name="T34" fmla="*/ 258445 w 1097"/>
                            <a:gd name="T35" fmla="*/ 128270 h 345"/>
                            <a:gd name="T36" fmla="*/ 292100 w 1097"/>
                            <a:gd name="T37" fmla="*/ 152400 h 345"/>
                            <a:gd name="T38" fmla="*/ 442595 w 1097"/>
                            <a:gd name="T39" fmla="*/ 191770 h 345"/>
                            <a:gd name="T40" fmla="*/ 459105 w 1097"/>
                            <a:gd name="T41" fmla="*/ 101600 h 345"/>
                            <a:gd name="T42" fmla="*/ 508000 w 1097"/>
                            <a:gd name="T43" fmla="*/ 109855 h 345"/>
                            <a:gd name="T44" fmla="*/ 460375 w 1097"/>
                            <a:gd name="T45" fmla="*/ 128270 h 345"/>
                            <a:gd name="T46" fmla="*/ 469265 w 1097"/>
                            <a:gd name="T47" fmla="*/ 183515 h 345"/>
                            <a:gd name="T48" fmla="*/ 503555 w 1097"/>
                            <a:gd name="T49" fmla="*/ 200025 h 345"/>
                            <a:gd name="T50" fmla="*/ 509270 w 1097"/>
                            <a:gd name="T51" fmla="*/ 109855 h 345"/>
                            <a:gd name="T52" fmla="*/ 481330 w 1097"/>
                            <a:gd name="T53" fmla="*/ 186055 h 345"/>
                            <a:gd name="T54" fmla="*/ 508635 w 1097"/>
                            <a:gd name="T55" fmla="*/ 139065 h 345"/>
                            <a:gd name="T56" fmla="*/ 532130 w 1097"/>
                            <a:gd name="T57" fmla="*/ 186055 h 345"/>
                            <a:gd name="T58" fmla="*/ 506730 w 1097"/>
                            <a:gd name="T59" fmla="*/ 217170 h 345"/>
                            <a:gd name="T60" fmla="*/ 527685 w 1097"/>
                            <a:gd name="T61" fmla="*/ 226060 h 345"/>
                            <a:gd name="T62" fmla="*/ 436880 w 1097"/>
                            <a:gd name="T63" fmla="*/ 235585 h 345"/>
                            <a:gd name="T64" fmla="*/ 469265 w 1097"/>
                            <a:gd name="T65" fmla="*/ 233680 h 345"/>
                            <a:gd name="T66" fmla="*/ 479425 w 1097"/>
                            <a:gd name="T67" fmla="*/ 257175 h 345"/>
                            <a:gd name="T68" fmla="*/ 305435 w 1097"/>
                            <a:gd name="T69" fmla="*/ 152400 h 345"/>
                            <a:gd name="T70" fmla="*/ 382270 w 1097"/>
                            <a:gd name="T71" fmla="*/ 101600 h 345"/>
                            <a:gd name="T72" fmla="*/ 338455 w 1097"/>
                            <a:gd name="T73" fmla="*/ 128270 h 345"/>
                            <a:gd name="T74" fmla="*/ 348615 w 1097"/>
                            <a:gd name="T75" fmla="*/ 183515 h 345"/>
                            <a:gd name="T76" fmla="*/ 360680 w 1097"/>
                            <a:gd name="T77" fmla="*/ 207645 h 345"/>
                            <a:gd name="T78" fmla="*/ 389255 w 1097"/>
                            <a:gd name="T79" fmla="*/ 166370 h 345"/>
                            <a:gd name="T80" fmla="*/ 360680 w 1097"/>
                            <a:gd name="T81" fmla="*/ 118745 h 345"/>
                            <a:gd name="T82" fmla="*/ 403860 w 1097"/>
                            <a:gd name="T83" fmla="*/ 186055 h 345"/>
                            <a:gd name="T84" fmla="*/ 575310 w 1097"/>
                            <a:gd name="T85" fmla="*/ 207645 h 345"/>
                            <a:gd name="T86" fmla="*/ 593725 w 1097"/>
                            <a:gd name="T87" fmla="*/ 152400 h 345"/>
                            <a:gd name="T88" fmla="*/ 664845 w 1097"/>
                            <a:gd name="T89" fmla="*/ 100965 h 345"/>
                            <a:gd name="T90" fmla="*/ 628015 w 1097"/>
                            <a:gd name="T91" fmla="*/ 125730 h 345"/>
                            <a:gd name="T92" fmla="*/ 626745 w 1097"/>
                            <a:gd name="T93" fmla="*/ 176530 h 345"/>
                            <a:gd name="T94" fmla="*/ 692785 w 1097"/>
                            <a:gd name="T95" fmla="*/ 186055 h 345"/>
                            <a:gd name="T96" fmla="*/ 666750 w 1097"/>
                            <a:gd name="T97" fmla="*/ 150495 h 345"/>
                            <a:gd name="T98" fmla="*/ 685165 w 1097"/>
                            <a:gd name="T99" fmla="*/ 118110 h 345"/>
                            <a:gd name="T100" fmla="*/ 692785 w 1097"/>
                            <a:gd name="T101" fmla="*/ 186055 h 345"/>
                            <a:gd name="T102" fmla="*/ 676275 w 1097"/>
                            <a:gd name="T103" fmla="*/ 170815 h 34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97" h="345">
                              <a:moveTo>
                                <a:pt x="137" y="270"/>
                              </a:moveTo>
                              <a:lnTo>
                                <a:pt x="84" y="260"/>
                              </a:lnTo>
                              <a:lnTo>
                                <a:pt x="40" y="231"/>
                              </a:lnTo>
                              <a:lnTo>
                                <a:pt x="11" y="188"/>
                              </a:lnTo>
                              <a:lnTo>
                                <a:pt x="0" y="135"/>
                              </a:lnTo>
                              <a:lnTo>
                                <a:pt x="11" y="83"/>
                              </a:lnTo>
                              <a:lnTo>
                                <a:pt x="40" y="40"/>
                              </a:lnTo>
                              <a:lnTo>
                                <a:pt x="84" y="11"/>
                              </a:lnTo>
                              <a:lnTo>
                                <a:pt x="137" y="0"/>
                              </a:lnTo>
                              <a:lnTo>
                                <a:pt x="165" y="3"/>
                              </a:lnTo>
                              <a:lnTo>
                                <a:pt x="190" y="11"/>
                              </a:lnTo>
                              <a:lnTo>
                                <a:pt x="211" y="23"/>
                              </a:lnTo>
                              <a:lnTo>
                                <a:pt x="228" y="37"/>
                              </a:lnTo>
                              <a:lnTo>
                                <a:pt x="137" y="37"/>
                              </a:lnTo>
                              <a:lnTo>
                                <a:pt x="99" y="45"/>
                              </a:lnTo>
                              <a:lnTo>
                                <a:pt x="68" y="66"/>
                              </a:lnTo>
                              <a:lnTo>
                                <a:pt x="47" y="97"/>
                              </a:lnTo>
                              <a:lnTo>
                                <a:pt x="40" y="135"/>
                              </a:lnTo>
                              <a:lnTo>
                                <a:pt x="47" y="174"/>
                              </a:lnTo>
                              <a:lnTo>
                                <a:pt x="68" y="205"/>
                              </a:lnTo>
                              <a:lnTo>
                                <a:pt x="99" y="226"/>
                              </a:lnTo>
                              <a:lnTo>
                                <a:pt x="137" y="233"/>
                              </a:lnTo>
                              <a:lnTo>
                                <a:pt x="230" y="233"/>
                              </a:lnTo>
                              <a:lnTo>
                                <a:pt x="212" y="249"/>
                              </a:lnTo>
                              <a:lnTo>
                                <a:pt x="190" y="260"/>
                              </a:lnTo>
                              <a:lnTo>
                                <a:pt x="165" y="268"/>
                              </a:lnTo>
                              <a:lnTo>
                                <a:pt x="137" y="270"/>
                              </a:lnTo>
                              <a:close/>
                              <a:moveTo>
                                <a:pt x="203" y="64"/>
                              </a:moveTo>
                              <a:lnTo>
                                <a:pt x="190" y="53"/>
                              </a:lnTo>
                              <a:lnTo>
                                <a:pt x="175" y="45"/>
                              </a:lnTo>
                              <a:lnTo>
                                <a:pt x="157" y="39"/>
                              </a:lnTo>
                              <a:lnTo>
                                <a:pt x="137" y="37"/>
                              </a:lnTo>
                              <a:lnTo>
                                <a:pt x="228" y="37"/>
                              </a:lnTo>
                              <a:lnTo>
                                <a:pt x="229" y="38"/>
                              </a:lnTo>
                              <a:lnTo>
                                <a:pt x="203" y="64"/>
                              </a:lnTo>
                              <a:close/>
                              <a:moveTo>
                                <a:pt x="230" y="233"/>
                              </a:moveTo>
                              <a:lnTo>
                                <a:pt x="137" y="233"/>
                              </a:lnTo>
                              <a:lnTo>
                                <a:pt x="160" y="231"/>
                              </a:lnTo>
                              <a:lnTo>
                                <a:pt x="179" y="225"/>
                              </a:lnTo>
                              <a:lnTo>
                                <a:pt x="194" y="216"/>
                              </a:lnTo>
                              <a:lnTo>
                                <a:pt x="205" y="206"/>
                              </a:lnTo>
                              <a:lnTo>
                                <a:pt x="212" y="198"/>
                              </a:lnTo>
                              <a:lnTo>
                                <a:pt x="218" y="187"/>
                              </a:lnTo>
                              <a:lnTo>
                                <a:pt x="222" y="174"/>
                              </a:lnTo>
                              <a:lnTo>
                                <a:pt x="225" y="160"/>
                              </a:lnTo>
                              <a:lnTo>
                                <a:pt x="137" y="160"/>
                              </a:lnTo>
                              <a:lnTo>
                                <a:pt x="137" y="123"/>
                              </a:lnTo>
                              <a:lnTo>
                                <a:pt x="261" y="123"/>
                              </a:lnTo>
                              <a:lnTo>
                                <a:pt x="262" y="130"/>
                              </a:lnTo>
                              <a:lnTo>
                                <a:pt x="263" y="135"/>
                              </a:lnTo>
                              <a:lnTo>
                                <a:pt x="263" y="146"/>
                              </a:lnTo>
                              <a:lnTo>
                                <a:pt x="261" y="168"/>
                              </a:lnTo>
                              <a:lnTo>
                                <a:pt x="256" y="190"/>
                              </a:lnTo>
                              <a:lnTo>
                                <a:pt x="246" y="213"/>
                              </a:lnTo>
                              <a:lnTo>
                                <a:pt x="231" y="232"/>
                              </a:lnTo>
                              <a:lnTo>
                                <a:pt x="230" y="233"/>
                              </a:lnTo>
                              <a:close/>
                              <a:moveTo>
                                <a:pt x="373" y="267"/>
                              </a:moveTo>
                              <a:lnTo>
                                <a:pt x="339" y="261"/>
                              </a:lnTo>
                              <a:lnTo>
                                <a:pt x="311" y="243"/>
                              </a:lnTo>
                              <a:lnTo>
                                <a:pt x="292" y="215"/>
                              </a:lnTo>
                              <a:lnTo>
                                <a:pt x="286" y="180"/>
                              </a:lnTo>
                              <a:lnTo>
                                <a:pt x="292" y="145"/>
                              </a:lnTo>
                              <a:lnTo>
                                <a:pt x="311" y="118"/>
                              </a:lnTo>
                              <a:lnTo>
                                <a:pt x="339" y="100"/>
                              </a:lnTo>
                              <a:lnTo>
                                <a:pt x="373" y="93"/>
                              </a:lnTo>
                              <a:lnTo>
                                <a:pt x="407" y="100"/>
                              </a:lnTo>
                              <a:lnTo>
                                <a:pt x="435" y="118"/>
                              </a:lnTo>
                              <a:lnTo>
                                <a:pt x="441" y="127"/>
                              </a:lnTo>
                              <a:lnTo>
                                <a:pt x="373" y="127"/>
                              </a:lnTo>
                              <a:lnTo>
                                <a:pt x="354" y="131"/>
                              </a:lnTo>
                              <a:lnTo>
                                <a:pt x="338" y="142"/>
                              </a:lnTo>
                              <a:lnTo>
                                <a:pt x="328" y="159"/>
                              </a:lnTo>
                              <a:lnTo>
                                <a:pt x="324" y="180"/>
                              </a:lnTo>
                              <a:lnTo>
                                <a:pt x="328" y="202"/>
                              </a:lnTo>
                              <a:lnTo>
                                <a:pt x="338" y="218"/>
                              </a:lnTo>
                              <a:lnTo>
                                <a:pt x="354" y="229"/>
                              </a:lnTo>
                              <a:lnTo>
                                <a:pt x="373" y="233"/>
                              </a:lnTo>
                              <a:lnTo>
                                <a:pt x="441" y="233"/>
                              </a:lnTo>
                              <a:lnTo>
                                <a:pt x="435" y="243"/>
                              </a:lnTo>
                              <a:lnTo>
                                <a:pt x="407" y="261"/>
                              </a:lnTo>
                              <a:lnTo>
                                <a:pt x="373" y="267"/>
                              </a:lnTo>
                              <a:close/>
                              <a:moveTo>
                                <a:pt x="441" y="233"/>
                              </a:moveTo>
                              <a:lnTo>
                                <a:pt x="373" y="233"/>
                              </a:lnTo>
                              <a:lnTo>
                                <a:pt x="392" y="229"/>
                              </a:lnTo>
                              <a:lnTo>
                                <a:pt x="407" y="218"/>
                              </a:lnTo>
                              <a:lnTo>
                                <a:pt x="418" y="202"/>
                              </a:lnTo>
                              <a:lnTo>
                                <a:pt x="422" y="180"/>
                              </a:lnTo>
                              <a:lnTo>
                                <a:pt x="418" y="159"/>
                              </a:lnTo>
                              <a:lnTo>
                                <a:pt x="407" y="142"/>
                              </a:lnTo>
                              <a:lnTo>
                                <a:pt x="392" y="131"/>
                              </a:lnTo>
                              <a:lnTo>
                                <a:pt x="373" y="127"/>
                              </a:lnTo>
                              <a:lnTo>
                                <a:pt x="441" y="127"/>
                              </a:lnTo>
                              <a:lnTo>
                                <a:pt x="454" y="145"/>
                              </a:lnTo>
                              <a:lnTo>
                                <a:pt x="460" y="180"/>
                              </a:lnTo>
                              <a:lnTo>
                                <a:pt x="454" y="215"/>
                              </a:lnTo>
                              <a:lnTo>
                                <a:pt x="441" y="233"/>
                              </a:lnTo>
                              <a:close/>
                              <a:moveTo>
                                <a:pt x="754" y="267"/>
                              </a:moveTo>
                              <a:lnTo>
                                <a:pt x="723" y="261"/>
                              </a:lnTo>
                              <a:lnTo>
                                <a:pt x="697" y="242"/>
                              </a:lnTo>
                              <a:lnTo>
                                <a:pt x="680" y="214"/>
                              </a:lnTo>
                              <a:lnTo>
                                <a:pt x="673" y="180"/>
                              </a:lnTo>
                              <a:lnTo>
                                <a:pt x="680" y="146"/>
                              </a:lnTo>
                              <a:lnTo>
                                <a:pt x="697" y="118"/>
                              </a:lnTo>
                              <a:lnTo>
                                <a:pt x="723" y="100"/>
                              </a:lnTo>
                              <a:lnTo>
                                <a:pt x="754" y="93"/>
                              </a:lnTo>
                              <a:lnTo>
                                <a:pt x="769" y="95"/>
                              </a:lnTo>
                              <a:lnTo>
                                <a:pt x="782" y="99"/>
                              </a:lnTo>
                              <a:lnTo>
                                <a:pt x="793" y="105"/>
                              </a:lnTo>
                              <a:lnTo>
                                <a:pt x="800" y="113"/>
                              </a:lnTo>
                              <a:lnTo>
                                <a:pt x="838" y="113"/>
                              </a:lnTo>
                              <a:lnTo>
                                <a:pt x="838" y="127"/>
                              </a:lnTo>
                              <a:lnTo>
                                <a:pt x="758" y="127"/>
                              </a:lnTo>
                              <a:lnTo>
                                <a:pt x="739" y="131"/>
                              </a:lnTo>
                              <a:lnTo>
                                <a:pt x="725" y="142"/>
                              </a:lnTo>
                              <a:lnTo>
                                <a:pt x="715" y="159"/>
                              </a:lnTo>
                              <a:lnTo>
                                <a:pt x="711" y="180"/>
                              </a:lnTo>
                              <a:lnTo>
                                <a:pt x="715" y="201"/>
                              </a:lnTo>
                              <a:lnTo>
                                <a:pt x="725" y="218"/>
                              </a:lnTo>
                              <a:lnTo>
                                <a:pt x="739" y="229"/>
                              </a:lnTo>
                              <a:lnTo>
                                <a:pt x="758" y="233"/>
                              </a:lnTo>
                              <a:lnTo>
                                <a:pt x="838" y="233"/>
                              </a:lnTo>
                              <a:lnTo>
                                <a:pt x="838" y="248"/>
                              </a:lnTo>
                              <a:lnTo>
                                <a:pt x="800" y="248"/>
                              </a:lnTo>
                              <a:lnTo>
                                <a:pt x="793" y="255"/>
                              </a:lnTo>
                              <a:lnTo>
                                <a:pt x="782" y="261"/>
                              </a:lnTo>
                              <a:lnTo>
                                <a:pt x="769" y="266"/>
                              </a:lnTo>
                              <a:lnTo>
                                <a:pt x="754" y="267"/>
                              </a:lnTo>
                              <a:close/>
                              <a:moveTo>
                                <a:pt x="838" y="113"/>
                              </a:moveTo>
                              <a:lnTo>
                                <a:pt x="802" y="113"/>
                              </a:lnTo>
                              <a:lnTo>
                                <a:pt x="802" y="98"/>
                              </a:lnTo>
                              <a:lnTo>
                                <a:pt x="838" y="98"/>
                              </a:lnTo>
                              <a:lnTo>
                                <a:pt x="838" y="113"/>
                              </a:lnTo>
                              <a:close/>
                              <a:moveTo>
                                <a:pt x="838" y="233"/>
                              </a:moveTo>
                              <a:lnTo>
                                <a:pt x="758" y="233"/>
                              </a:lnTo>
                              <a:lnTo>
                                <a:pt x="776" y="229"/>
                              </a:lnTo>
                              <a:lnTo>
                                <a:pt x="791" y="218"/>
                              </a:lnTo>
                              <a:lnTo>
                                <a:pt x="801" y="202"/>
                              </a:lnTo>
                              <a:lnTo>
                                <a:pt x="804" y="180"/>
                              </a:lnTo>
                              <a:lnTo>
                                <a:pt x="801" y="159"/>
                              </a:lnTo>
                              <a:lnTo>
                                <a:pt x="791" y="142"/>
                              </a:lnTo>
                              <a:lnTo>
                                <a:pt x="776" y="131"/>
                              </a:lnTo>
                              <a:lnTo>
                                <a:pt x="758" y="127"/>
                              </a:lnTo>
                              <a:lnTo>
                                <a:pt x="838" y="127"/>
                              </a:lnTo>
                              <a:lnTo>
                                <a:pt x="838" y="233"/>
                              </a:lnTo>
                              <a:close/>
                              <a:moveTo>
                                <a:pt x="822" y="311"/>
                              </a:moveTo>
                              <a:lnTo>
                                <a:pt x="755" y="311"/>
                              </a:lnTo>
                              <a:lnTo>
                                <a:pt x="775" y="308"/>
                              </a:lnTo>
                              <a:lnTo>
                                <a:pt x="789" y="298"/>
                              </a:lnTo>
                              <a:lnTo>
                                <a:pt x="798" y="282"/>
                              </a:lnTo>
                              <a:lnTo>
                                <a:pt x="802" y="261"/>
                              </a:lnTo>
                              <a:lnTo>
                                <a:pt x="802" y="248"/>
                              </a:lnTo>
                              <a:lnTo>
                                <a:pt x="838" y="248"/>
                              </a:lnTo>
                              <a:lnTo>
                                <a:pt x="838" y="255"/>
                              </a:lnTo>
                              <a:lnTo>
                                <a:pt x="831" y="296"/>
                              </a:lnTo>
                              <a:lnTo>
                                <a:pt x="822" y="311"/>
                              </a:lnTo>
                              <a:close/>
                              <a:moveTo>
                                <a:pt x="755" y="345"/>
                              </a:moveTo>
                              <a:lnTo>
                                <a:pt x="727" y="340"/>
                              </a:lnTo>
                              <a:lnTo>
                                <a:pt x="704" y="328"/>
                              </a:lnTo>
                              <a:lnTo>
                                <a:pt x="688" y="311"/>
                              </a:lnTo>
                              <a:lnTo>
                                <a:pt x="678" y="294"/>
                              </a:lnTo>
                              <a:lnTo>
                                <a:pt x="711" y="280"/>
                              </a:lnTo>
                              <a:lnTo>
                                <a:pt x="717" y="291"/>
                              </a:lnTo>
                              <a:lnTo>
                                <a:pt x="727" y="301"/>
                              </a:lnTo>
                              <a:lnTo>
                                <a:pt x="739" y="308"/>
                              </a:lnTo>
                              <a:lnTo>
                                <a:pt x="755" y="311"/>
                              </a:lnTo>
                              <a:lnTo>
                                <a:pt x="822" y="311"/>
                              </a:lnTo>
                              <a:lnTo>
                                <a:pt x="813" y="324"/>
                              </a:lnTo>
                              <a:lnTo>
                                <a:pt x="787" y="340"/>
                              </a:lnTo>
                              <a:lnTo>
                                <a:pt x="755" y="345"/>
                              </a:lnTo>
                              <a:close/>
                              <a:moveTo>
                                <a:pt x="568" y="267"/>
                              </a:moveTo>
                              <a:lnTo>
                                <a:pt x="534" y="261"/>
                              </a:lnTo>
                              <a:lnTo>
                                <a:pt x="506" y="243"/>
                              </a:lnTo>
                              <a:lnTo>
                                <a:pt x="487" y="215"/>
                              </a:lnTo>
                              <a:lnTo>
                                <a:pt x="481" y="180"/>
                              </a:lnTo>
                              <a:lnTo>
                                <a:pt x="487" y="145"/>
                              </a:lnTo>
                              <a:lnTo>
                                <a:pt x="506" y="118"/>
                              </a:lnTo>
                              <a:lnTo>
                                <a:pt x="534" y="100"/>
                              </a:lnTo>
                              <a:lnTo>
                                <a:pt x="568" y="93"/>
                              </a:lnTo>
                              <a:lnTo>
                                <a:pt x="602" y="100"/>
                              </a:lnTo>
                              <a:lnTo>
                                <a:pt x="630" y="118"/>
                              </a:lnTo>
                              <a:lnTo>
                                <a:pt x="636" y="127"/>
                              </a:lnTo>
                              <a:lnTo>
                                <a:pt x="568" y="127"/>
                              </a:lnTo>
                              <a:lnTo>
                                <a:pt x="549" y="131"/>
                              </a:lnTo>
                              <a:lnTo>
                                <a:pt x="533" y="142"/>
                              </a:lnTo>
                              <a:lnTo>
                                <a:pt x="523" y="159"/>
                              </a:lnTo>
                              <a:lnTo>
                                <a:pt x="519" y="180"/>
                              </a:lnTo>
                              <a:lnTo>
                                <a:pt x="523" y="202"/>
                              </a:lnTo>
                              <a:lnTo>
                                <a:pt x="533" y="218"/>
                              </a:lnTo>
                              <a:lnTo>
                                <a:pt x="549" y="229"/>
                              </a:lnTo>
                              <a:lnTo>
                                <a:pt x="568" y="233"/>
                              </a:lnTo>
                              <a:lnTo>
                                <a:pt x="636" y="233"/>
                              </a:lnTo>
                              <a:lnTo>
                                <a:pt x="630" y="243"/>
                              </a:lnTo>
                              <a:lnTo>
                                <a:pt x="602" y="261"/>
                              </a:lnTo>
                              <a:lnTo>
                                <a:pt x="568" y="267"/>
                              </a:lnTo>
                              <a:close/>
                              <a:moveTo>
                                <a:pt x="636" y="233"/>
                              </a:moveTo>
                              <a:lnTo>
                                <a:pt x="568" y="233"/>
                              </a:lnTo>
                              <a:lnTo>
                                <a:pt x="587" y="229"/>
                              </a:lnTo>
                              <a:lnTo>
                                <a:pt x="602" y="218"/>
                              </a:lnTo>
                              <a:lnTo>
                                <a:pt x="613" y="202"/>
                              </a:lnTo>
                              <a:lnTo>
                                <a:pt x="617" y="180"/>
                              </a:lnTo>
                              <a:lnTo>
                                <a:pt x="613" y="159"/>
                              </a:lnTo>
                              <a:lnTo>
                                <a:pt x="602" y="142"/>
                              </a:lnTo>
                              <a:lnTo>
                                <a:pt x="587" y="131"/>
                              </a:lnTo>
                              <a:lnTo>
                                <a:pt x="568" y="127"/>
                              </a:lnTo>
                              <a:lnTo>
                                <a:pt x="636" y="127"/>
                              </a:lnTo>
                              <a:lnTo>
                                <a:pt x="649" y="145"/>
                              </a:lnTo>
                              <a:lnTo>
                                <a:pt x="655" y="180"/>
                              </a:lnTo>
                              <a:lnTo>
                                <a:pt x="649" y="215"/>
                              </a:lnTo>
                              <a:lnTo>
                                <a:pt x="636" y="233"/>
                              </a:lnTo>
                              <a:close/>
                              <a:moveTo>
                                <a:pt x="906" y="267"/>
                              </a:moveTo>
                              <a:lnTo>
                                <a:pt x="868" y="267"/>
                              </a:lnTo>
                              <a:lnTo>
                                <a:pt x="868" y="4"/>
                              </a:lnTo>
                              <a:lnTo>
                                <a:pt x="906" y="4"/>
                              </a:lnTo>
                              <a:lnTo>
                                <a:pt x="906" y="267"/>
                              </a:lnTo>
                              <a:close/>
                              <a:moveTo>
                                <a:pt x="1022" y="267"/>
                              </a:moveTo>
                              <a:lnTo>
                                <a:pt x="988" y="261"/>
                              </a:lnTo>
                              <a:lnTo>
                                <a:pt x="960" y="242"/>
                              </a:lnTo>
                              <a:lnTo>
                                <a:pt x="942" y="214"/>
                              </a:lnTo>
                              <a:lnTo>
                                <a:pt x="935" y="180"/>
                              </a:lnTo>
                              <a:lnTo>
                                <a:pt x="942" y="145"/>
                              </a:lnTo>
                              <a:lnTo>
                                <a:pt x="960" y="117"/>
                              </a:lnTo>
                              <a:lnTo>
                                <a:pt x="986" y="99"/>
                              </a:lnTo>
                              <a:lnTo>
                                <a:pt x="1018" y="93"/>
                              </a:lnTo>
                              <a:lnTo>
                                <a:pt x="1047" y="99"/>
                              </a:lnTo>
                              <a:lnTo>
                                <a:pt x="1069" y="113"/>
                              </a:lnTo>
                              <a:lnTo>
                                <a:pt x="1079" y="126"/>
                              </a:lnTo>
                              <a:lnTo>
                                <a:pt x="1019" y="126"/>
                              </a:lnTo>
                              <a:lnTo>
                                <a:pt x="1004" y="129"/>
                              </a:lnTo>
                              <a:lnTo>
                                <a:pt x="989" y="138"/>
                              </a:lnTo>
                              <a:lnTo>
                                <a:pt x="978" y="154"/>
                              </a:lnTo>
                              <a:lnTo>
                                <a:pt x="973" y="177"/>
                              </a:lnTo>
                              <a:lnTo>
                                <a:pt x="1050" y="177"/>
                              </a:lnTo>
                              <a:lnTo>
                                <a:pt x="980" y="207"/>
                              </a:lnTo>
                              <a:lnTo>
                                <a:pt x="987" y="218"/>
                              </a:lnTo>
                              <a:lnTo>
                                <a:pt x="997" y="226"/>
                              </a:lnTo>
                              <a:lnTo>
                                <a:pt x="1008" y="231"/>
                              </a:lnTo>
                              <a:lnTo>
                                <a:pt x="1022" y="233"/>
                              </a:lnTo>
                              <a:lnTo>
                                <a:pt x="1091" y="233"/>
                              </a:lnTo>
                              <a:lnTo>
                                <a:pt x="1085" y="241"/>
                              </a:lnTo>
                              <a:lnTo>
                                <a:pt x="1070" y="253"/>
                              </a:lnTo>
                              <a:lnTo>
                                <a:pt x="1049" y="263"/>
                              </a:lnTo>
                              <a:lnTo>
                                <a:pt x="1022" y="267"/>
                              </a:lnTo>
                              <a:close/>
                              <a:moveTo>
                                <a:pt x="1050" y="177"/>
                              </a:moveTo>
                              <a:lnTo>
                                <a:pt x="973" y="177"/>
                              </a:lnTo>
                              <a:lnTo>
                                <a:pt x="1052" y="145"/>
                              </a:lnTo>
                              <a:lnTo>
                                <a:pt x="1048" y="134"/>
                              </a:lnTo>
                              <a:lnTo>
                                <a:pt x="1035" y="126"/>
                              </a:lnTo>
                              <a:lnTo>
                                <a:pt x="1079" y="126"/>
                              </a:lnTo>
                              <a:lnTo>
                                <a:pt x="1084" y="132"/>
                              </a:lnTo>
                              <a:lnTo>
                                <a:pt x="1092" y="149"/>
                              </a:lnTo>
                              <a:lnTo>
                                <a:pt x="1096" y="158"/>
                              </a:lnTo>
                              <a:lnTo>
                                <a:pt x="1050" y="177"/>
                              </a:lnTo>
                              <a:close/>
                              <a:moveTo>
                                <a:pt x="1091" y="233"/>
                              </a:moveTo>
                              <a:lnTo>
                                <a:pt x="1022" y="233"/>
                              </a:lnTo>
                              <a:lnTo>
                                <a:pt x="1035" y="231"/>
                              </a:lnTo>
                              <a:lnTo>
                                <a:pt x="1047" y="226"/>
                              </a:lnTo>
                              <a:lnTo>
                                <a:pt x="1057" y="219"/>
                              </a:lnTo>
                              <a:lnTo>
                                <a:pt x="1065" y="209"/>
                              </a:lnTo>
                              <a:lnTo>
                                <a:pt x="1094" y="229"/>
                              </a:lnTo>
                              <a:lnTo>
                                <a:pt x="1091" y="233"/>
                              </a:lnTo>
                              <a:close/>
                            </a:path>
                          </a:pathLst>
                        </a:custGeom>
                        <a:solidFill>
                          <a:srgbClr val="000000">
                            <a:alpha val="54901"/>
                          </a:srgbClr>
                        </a:solidFill>
                        <a:ln>
                          <a:noFill/>
                        </a:ln>
                        <a:effectLst/>
                      </wps:spPr>
                      <wps:bodyPr rot="0" vert="horz" wrap="square" lIns="91440" tIns="45720" rIns="91440" bIns="45720" anchor="t" anchorCtr="0" upright="1">
                        <a:noAutofit/>
                      </wps:bodyPr>
                    </wps:wsp>
                  </a:graphicData>
                </a:graphic>
              </wp:anchor>
            </w:drawing>
          </mc:Choice>
          <mc:Fallback>
            <w:pict>
              <v:shape id="AutoShape 2" o:spid="_x0000_s1026" o:spt="100" style="position:absolute;left:0pt;margin-left:246.1pt;margin-top:3pt;height:17.25pt;width:54.85pt;mso-position-horizontal-relative:page;z-index:251747328;mso-width-relative:page;mso-height-relative:page;" fillcolor="#000000" filled="t" stroked="f" coordsize="1097,345" o:gfxdata="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" path="m137,270l84,260,40,231,11,188,0,135,11,83,40,40,84,11,137,0,165,3,190,11,211,23,228,37,137,37,99,45,68,66,47,97,40,135,47,174,68,205,99,226,137,233,230,233,212,249,190,260,165,268,137,270xm203,64l190,53,175,45,157,39,137,37,228,37,229,38,203,64xm230,233l137,233,160,231,179,225,194,216,205,206,212,198,218,187,222,174,225,160,137,160,137,123,261,123,262,130,263,135,263,146,261,168,256,190,246,213,231,232,230,233xm373,267l339,261,311,243,292,215,286,180,292,145,311,118,339,100,373,93,407,100,435,118,441,127,373,127,354,131,338,142,328,159,324,180,328,202,338,218,354,229,373,233,441,233,435,243,407,261,373,267xm441,233l373,233,392,229,407,218,418,202,422,180,418,159,407,142,392,131,373,127,441,127,454,145,460,180,454,215,441,233xm754,267l723,261,697,242,680,214,673,180,680,146,697,118,723,100,754,93,769,95,782,99,793,105,800,113,838,113,838,127,758,127,739,131,725,142,715,159,711,180,715,201,725,218,739,229,758,233,838,233,838,248,800,248,793,255,782,261,769,266,754,267xm838,113l802,113,802,98,838,98,838,113xm838,233l758,233,776,229,791,218,801,202,804,180,801,159,791,142,776,131,758,127,838,127,838,233xm822,311l755,311,775,308,789,298,798,282,802,261,802,248,838,248,838,255,831,296,822,311xm755,345l727,340,704,328,688,311,678,294,711,280,717,291,727,301,739,308,755,311,822,311,813,324,787,340,755,345xm568,267l534,261,506,243,487,215,481,180,487,145,506,118,534,100,568,93,602,100,630,118,636,127,568,127,549,131,533,142,523,159,519,180,523,202,533,218,549,229,568,233,636,233,630,243,602,261,568,267xm636,233l568,233,587,229,602,218,613,202,617,180,613,159,602,142,587,131,568,127,636,127,649,145,655,180,649,215,636,233xm906,267l868,267,868,4,906,4,906,267xm1022,267l988,261,960,242,942,214,935,180,942,145,960,117,986,99,1018,93,1047,99,1069,113,1079,126,1019,126,1004,129,989,138,978,154,973,177,1050,177,980,207,987,218,997,226,1008,231,1022,233,1091,233,1085,241,1070,253,1049,263,1022,267xm1050,177l973,177,1052,145,1048,134,1035,126,1079,126,1084,132,1092,149,1096,158,1050,177xm1091,233l1022,233,1035,231,1047,226,1057,219,1065,209,1094,229,1091,233xe">
                <v:path o:connectlocs="0,78628875;66532125,25403175;39919275,42338625;27419300,106854625;76612750,129032000;70564375,42338625;81854675,49999900;78225650,111290100;90725625,88709500;106048175,78628875;93144975,117741700;117741700,110886875;150402925,61693425;142741650,77015975;136290050,112096550;175402875,122177175;158064200,116532025;164112575,81451450;185483500,96774000;281047825,121773950;291531675,64516000;322580000,69757925;292338125,81451450;297983275,116532025;319757425,127015875;323386450,69757925;305644550,118144925;322983225,88306275;337902550,118144925;321773550,137902950;335079975,143548100;277418800,149596475;297983275,148386800;304434875,163306125;193951225,96774000;242741450,64516000;214918925,81451450;221370525,116532025;229031800,131854575;247176925,105644950;229031800,75403075;256451100,118144925;365321850,131854575;377015375,96774000;422176575,64112775;398789525,79838550;397983075,112096550;439918475,118144925;423386250,95564325;435079775,74999850;439918475,118144925;429434625,108467525" o:connectangles="0,0,0,0,0,0,0,0,0,0,0,0,0,0,0,0,0,0,0,0,0,0,0,0,0,0,0,0,0,0,0,0,0,0,0,0,0,0,0,0,0,0,0,0,0,0,0,0,0,0,0,0"/>
                <v:fill on="t" opacity="35979f" focussize="0,0"/>
                <v:stroke on="f"/>
                <v:imagedata o:title=""/>
                <o:lock v:ext="edit" aspectratio="f"/>
              </v:shape>
            </w:pict>
          </mc:Fallback>
        </mc:AlternateContent>
      </w:r>
      <w:r>
        <w:fldChar w:fldCharType="begin"/>
      </w:r>
      <w:r>
        <w:instrText xml:space="preserve"> HYPERLINK "https://www.google.com/forms/about/?utm_source=product&amp;utm_medium=forms_logo&amp;utm_campaign=forms" \h </w:instrText>
      </w:r>
      <w:r>
        <w:fldChar w:fldCharType="separate"/>
      </w:r>
      <w:r>
        <w:rPr>
          <w:rFonts w:eastAsia="Roboto"/>
        </w:rPr>
        <w:t>Forms</w:t>
      </w:r>
      <w:r>
        <w:rPr>
          <w:rFonts w:eastAsia="Roboto"/>
        </w:rPr>
        <w:fldChar w:fldCharType="end"/>
      </w:r>
    </w:p>
    <w:p w14:paraId="7F270061">
      <w:pPr>
        <w:widowControl w:val="0"/>
        <w:autoSpaceDE w:val="0"/>
        <w:autoSpaceDN w:val="0"/>
        <w:jc w:val="center"/>
      </w:pPr>
    </w:p>
    <w:p w14:paraId="1646783B">
      <w:pPr>
        <w:rPr>
          <w:rFonts w:eastAsia="Roboto"/>
        </w:rPr>
      </w:pPr>
    </w:p>
    <w:p w14:paraId="287F1B91">
      <w:pPr>
        <w:rPr>
          <w:rFonts w:eastAsia="Roboto"/>
        </w:rPr>
      </w:pPr>
    </w:p>
    <w:p w14:paraId="2F5162FE">
      <w:pPr>
        <w:rPr>
          <w:rFonts w:eastAsia="Roboto"/>
        </w:rPr>
      </w:pPr>
    </w:p>
    <w:p w14:paraId="604F7187">
      <w:pPr>
        <w:pStyle w:val="33"/>
        <w:rPr>
          <w:rFonts w:ascii="Times New Roman" w:hAnsi="Times New Roman" w:eastAsia="Arial MT"/>
          <w:b/>
          <w:bCs/>
          <w:color w:val="202024"/>
          <w:sz w:val="24"/>
          <w:szCs w:val="24"/>
        </w:rPr>
      </w:pPr>
      <w:r>
        <w:rPr>
          <w:rFonts w:ascii="Times New Roman" w:hAnsi="Times New Roman" w:eastAsia="Arial MT"/>
          <w:b/>
          <w:bCs/>
          <w:color w:val="202024"/>
          <w:sz w:val="24"/>
          <w:szCs w:val="24"/>
        </w:rPr>
        <w:t>APPENDIX</w:t>
      </w:r>
      <w:r>
        <w:rPr>
          <w:rFonts w:ascii="Times New Roman" w:hAnsi="Times New Roman" w:eastAsia="Arial MT"/>
          <w:color w:val="202024"/>
          <w:sz w:val="24"/>
          <w:szCs w:val="24"/>
        </w:rPr>
        <w:t xml:space="preserve">  </w:t>
      </w:r>
      <w:r>
        <w:rPr>
          <w:rFonts w:ascii="Times New Roman" w:hAnsi="Times New Roman" w:eastAsia="Arial MT"/>
          <w:b/>
          <w:bCs/>
          <w:color w:val="202024"/>
          <w:sz w:val="24"/>
          <w:szCs w:val="24"/>
        </w:rPr>
        <w:t>III – National Tax Policy - 2012  &amp; Revised National Tax Policy -2016</w:t>
      </w:r>
    </w:p>
    <w:p w14:paraId="62C33E47"/>
    <w:p w14:paraId="77391BC1">
      <w:r>
        <w:fldChar w:fldCharType="begin"/>
      </w:r>
      <w:r>
        <w:instrText xml:space="preserve"> HYPERLINK "https://www.academia.edu/27794073/National_Tax_Policy_FEDERAL_MINISTRY_OF_FINANCE_APRIL_2012" </w:instrText>
      </w:r>
      <w:r>
        <w:fldChar w:fldCharType="separate"/>
      </w:r>
      <w:r>
        <w:rPr>
          <w:color w:val="0000FF"/>
          <w:u w:val="single"/>
        </w:rPr>
        <w:t>(PDF) National Tax Policy FEDERAL MINISTRY OF FINANCE APRIL 2012 | Ugwumsinachi Benjamin - Academia.edu</w:t>
      </w:r>
      <w:r>
        <w:rPr>
          <w:color w:val="0000FF"/>
          <w:u w:val="single"/>
        </w:rPr>
        <w:fldChar w:fldCharType="end"/>
      </w:r>
    </w:p>
    <w:p w14:paraId="64EAC5E1"/>
    <w:p w14:paraId="1DB631DD">
      <w:r>
        <w:fldChar w:fldCharType="begin"/>
      </w:r>
      <w:r>
        <w:instrText xml:space="preserve"> HYPERLINK "https://www.slideshare.net/slideshow/nigeria-revised-national-tax-policy/66707287" \l "7" </w:instrText>
      </w:r>
      <w:r>
        <w:fldChar w:fldCharType="separate"/>
      </w:r>
      <w:r>
        <w:rPr>
          <w:color w:val="0000FF"/>
          <w:u w:val="single"/>
        </w:rPr>
        <w:t>Nigeria. Revised National Tax Policy | PDF (slideshare.net)</w:t>
      </w:r>
      <w:r>
        <w:rPr>
          <w:color w:val="0000FF"/>
          <w:u w:val="single"/>
        </w:rPr>
        <w:fldChar w:fldCharType="end"/>
      </w:r>
    </w:p>
    <w:p w14:paraId="71A3BF0D"/>
    <w:p w14:paraId="31E558C6">
      <w:pPr>
        <w:pStyle w:val="33"/>
        <w:rPr>
          <w:rFonts w:ascii="Times New Roman" w:hAnsi="Times New Roman" w:eastAsia="Arial MT"/>
          <w:b/>
          <w:bCs/>
          <w:color w:val="202024"/>
          <w:sz w:val="24"/>
          <w:szCs w:val="24"/>
        </w:rPr>
      </w:pPr>
    </w:p>
    <w:p w14:paraId="468B71EE">
      <w:r>
        <w:rPr>
          <w:rFonts w:eastAsia="Arial MT"/>
          <w:b/>
          <w:bCs/>
          <w:color w:val="202024"/>
        </w:rPr>
        <w:t>APPENDIX</w:t>
      </w:r>
      <w:r>
        <w:rPr>
          <w:rFonts w:eastAsia="Arial MT"/>
          <w:color w:val="202024"/>
        </w:rPr>
        <w:t xml:space="preserve">  I</w:t>
      </w:r>
      <w:r>
        <w:rPr>
          <w:rFonts w:eastAsia="Arial MT"/>
          <w:b/>
          <w:bCs/>
          <w:color w:val="202024"/>
        </w:rPr>
        <w:t xml:space="preserve">V - </w:t>
      </w:r>
      <w:r>
        <w:rPr>
          <w:b/>
          <w:bCs/>
        </w:rPr>
        <w:t>National Oil Policy (NOP) / National Gas Policy 2016</w:t>
      </w:r>
    </w:p>
    <w:p w14:paraId="6E9E94AB"/>
    <w:p w14:paraId="54BA62D3">
      <w:pPr>
        <w:spacing w:after="160" w:line="480" w:lineRule="auto"/>
        <w:jc w:val="both"/>
        <w:rPr>
          <w:rFonts w:eastAsia="Calibri"/>
        </w:rPr>
      </w:pPr>
      <w:r>
        <w:fldChar w:fldCharType="begin"/>
      </w:r>
      <w:r>
        <w:instrText xml:space="preserve"> HYPERLINK "https://acrobat.adobe.com/id/urn:aaid:sc:eu:6e6c48d7-93f7-455c-8e21-88920f0ebc2c" </w:instrText>
      </w:r>
      <w:r>
        <w:fldChar w:fldCharType="separate"/>
      </w:r>
      <w:r>
        <w:rPr>
          <w:rStyle w:val="27"/>
          <w:rFonts w:eastAsia="Calibri"/>
        </w:rPr>
        <w:t>https://acrobat.adobe.com/id/urn:aaid:sc:eu:6e6c48d7-93f7-455c-8e21-88920f0ebc2c</w:t>
      </w:r>
      <w:r>
        <w:rPr>
          <w:rStyle w:val="27"/>
          <w:rFonts w:eastAsia="Calibri"/>
        </w:rPr>
        <w:fldChar w:fldCharType="end"/>
      </w:r>
    </w:p>
    <w:p w14:paraId="0D6E187D">
      <w:pPr>
        <w:spacing w:after="160" w:line="480" w:lineRule="auto"/>
        <w:jc w:val="both"/>
        <w:rPr>
          <w:rFonts w:eastAsia="Calibri"/>
        </w:rPr>
      </w:pPr>
      <w:r>
        <w:fldChar w:fldCharType="begin"/>
      </w:r>
      <w:r>
        <w:instrText xml:space="preserve"> HYPERLINK "http://www.petroleumindustrybill.com/wp-content/uploads/2017/06/National-Gas-Policy-Approved-By-FEC-in-June-2017.pdf" </w:instrText>
      </w:r>
      <w:r>
        <w:fldChar w:fldCharType="separate"/>
      </w:r>
      <w:r>
        <w:rPr>
          <w:rStyle w:val="27"/>
          <w:rFonts w:eastAsia="Calibri"/>
        </w:rPr>
        <w:t>Microsoft Word - National_Gas_Policy-FEC-Jun_2017 .docx (petroleumindustrybill.com)</w:t>
      </w:r>
      <w:r>
        <w:rPr>
          <w:rStyle w:val="27"/>
          <w:rFonts w:eastAsia="Calibri"/>
        </w:rPr>
        <w:fldChar w:fldCharType="end"/>
      </w:r>
    </w:p>
    <w:p w14:paraId="53AE3319">
      <w:pPr>
        <w:spacing w:after="160" w:line="480" w:lineRule="auto"/>
        <w:jc w:val="both"/>
        <w:rPr>
          <w:rFonts w:eastAsia="Calibri"/>
        </w:rPr>
      </w:pPr>
      <w:r>
        <w:rPr>
          <w:rFonts w:eastAsia="Calibri"/>
          <w:b/>
          <w:bCs/>
        </w:rPr>
        <w:t>APPENDIX</w:t>
      </w:r>
      <w:r>
        <w:rPr>
          <w:rFonts w:eastAsia="Calibri"/>
        </w:rPr>
        <w:t xml:space="preserve">  </w:t>
      </w:r>
      <w:r>
        <w:rPr>
          <w:rFonts w:eastAsia="Calibri"/>
          <w:b/>
          <w:bCs/>
        </w:rPr>
        <w:t>V – Petroleum Industry Bill (PIB) – 2008 to 2020</w:t>
      </w:r>
    </w:p>
    <w:p w14:paraId="5CEB2F0E">
      <w:pPr>
        <w:spacing w:after="160" w:line="480" w:lineRule="auto"/>
        <w:jc w:val="both"/>
        <w:rPr>
          <w:rFonts w:eastAsia="Calibri"/>
        </w:rPr>
      </w:pPr>
      <w:r>
        <w:fldChar w:fldCharType="begin"/>
      </w:r>
      <w:r>
        <w:instrText xml:space="preserve"> HYPERLINK "https://ngfrepository.org.ng:8443/jspui/bitstream/123456789/954/1/PETROLEUM%20INDUSTRY%20BILL%202008.pdf" </w:instrText>
      </w:r>
      <w:r>
        <w:fldChar w:fldCharType="separate"/>
      </w:r>
      <w:r>
        <w:rPr>
          <w:rStyle w:val="27"/>
          <w:rFonts w:eastAsia="Calibri"/>
        </w:rPr>
        <w:t>PETROLEUM INDUSTRY BILL 2008.pdf (ngfrepository.org.ng)</w:t>
      </w:r>
      <w:r>
        <w:rPr>
          <w:rStyle w:val="27"/>
          <w:rFonts w:eastAsia="Calibri"/>
        </w:rPr>
        <w:fldChar w:fldCharType="end"/>
      </w:r>
    </w:p>
    <w:p w14:paraId="45791848">
      <w:pPr>
        <w:spacing w:after="160" w:line="480" w:lineRule="auto"/>
        <w:jc w:val="both"/>
        <w:rPr>
          <w:rFonts w:eastAsia="Calibri"/>
        </w:rPr>
      </w:pPr>
      <w:r>
        <w:fldChar w:fldCharType="begin"/>
      </w:r>
      <w:r>
        <w:instrText xml:space="preserve"> HYPERLINK "http://www.petroleumindustrybill.com/wp-content/uploads/2020/09/Petroleum-Industry-Bill-2020.pdf" </w:instrText>
      </w:r>
      <w:r>
        <w:fldChar w:fldCharType="separate"/>
      </w:r>
      <w:r>
        <w:rPr>
          <w:rStyle w:val="27"/>
          <w:rFonts w:eastAsia="Calibri"/>
        </w:rPr>
        <w:t>Petroleum-Industry-Bill-2020.pdf (petroleumindustrybill.com)</w:t>
      </w:r>
      <w:r>
        <w:rPr>
          <w:rStyle w:val="27"/>
          <w:rFonts w:eastAsia="Calibri"/>
        </w:rPr>
        <w:fldChar w:fldCharType="end"/>
      </w:r>
    </w:p>
    <w:p w14:paraId="51A56715">
      <w:pPr>
        <w:spacing w:after="160" w:line="480" w:lineRule="auto"/>
        <w:jc w:val="both"/>
        <w:rPr>
          <w:rFonts w:eastAsia="Calibri"/>
          <w:b/>
          <w:bCs/>
          <w:lang w:val="en-GB"/>
        </w:rPr>
      </w:pPr>
      <w:r>
        <w:rPr>
          <w:rFonts w:eastAsia="Calibri"/>
          <w:b/>
          <w:bCs/>
        </w:rPr>
        <w:t>APPENDIX</w:t>
      </w:r>
      <w:r>
        <w:rPr>
          <w:rFonts w:eastAsia="Calibri"/>
        </w:rPr>
        <w:t xml:space="preserve">  </w:t>
      </w:r>
      <w:r>
        <w:rPr>
          <w:rFonts w:eastAsia="Calibri"/>
          <w:b/>
          <w:bCs/>
        </w:rPr>
        <w:t xml:space="preserve">VI -  </w:t>
      </w:r>
      <w:r>
        <w:rPr>
          <w:rFonts w:eastAsia="Calibri"/>
          <w:b/>
          <w:bCs/>
          <w:lang w:val="en-GB"/>
        </w:rPr>
        <w:t>National-Petroleum-Policy-Approved-By-FEC-In-July-2017.Pdf</w:t>
      </w:r>
    </w:p>
    <w:p w14:paraId="5170842B">
      <w:pPr>
        <w:spacing w:after="160" w:line="480" w:lineRule="auto"/>
        <w:jc w:val="both"/>
        <w:rPr>
          <w:rFonts w:eastAsia="Calibri"/>
        </w:rPr>
      </w:pPr>
      <w:r>
        <w:fldChar w:fldCharType="begin"/>
      </w:r>
      <w:r>
        <w:instrText xml:space="preserve"> HYPERLINK "https://docslib.org/doc/5740705/national-petroleum-policy-approved-by-fec-in-july-2017-pdf" </w:instrText>
      </w:r>
      <w:r>
        <w:fldChar w:fldCharType="separate"/>
      </w:r>
      <w:r>
        <w:rPr>
          <w:rStyle w:val="27"/>
          <w:rFonts w:eastAsia="Calibri"/>
        </w:rPr>
        <w:t>National-Petroleum-Policy-Approved-By-FEC-In-July-2017.Pdf - DocsLib</w:t>
      </w:r>
      <w:r>
        <w:rPr>
          <w:rStyle w:val="27"/>
          <w:rFonts w:eastAsia="Calibri"/>
        </w:rPr>
        <w:fldChar w:fldCharType="end"/>
      </w:r>
    </w:p>
    <w:p w14:paraId="648B42E8">
      <w:pPr>
        <w:spacing w:after="160" w:line="480" w:lineRule="auto"/>
        <w:jc w:val="both"/>
        <w:rPr>
          <w:rFonts w:eastAsia="Calibri"/>
          <w:lang w:val="en-GB"/>
        </w:rPr>
      </w:pPr>
    </w:p>
    <w:p w14:paraId="4D929D97">
      <w:pPr>
        <w:spacing w:line="480" w:lineRule="auto"/>
        <w:jc w:val="both"/>
        <w:rPr>
          <w:b/>
          <w:bCs/>
        </w:rPr>
      </w:pPr>
    </w:p>
    <w:p w14:paraId="0CB4857F">
      <w:pPr>
        <w:spacing w:line="480" w:lineRule="auto"/>
        <w:jc w:val="both"/>
        <w:rPr>
          <w:b/>
          <w:bCs/>
        </w:rPr>
      </w:pPr>
    </w:p>
    <w:p w14:paraId="0472123C">
      <w:pPr>
        <w:spacing w:line="480" w:lineRule="auto"/>
        <w:jc w:val="both"/>
        <w:rPr>
          <w:b/>
          <w:bCs/>
        </w:rPr>
      </w:pPr>
    </w:p>
    <w:p w14:paraId="27324B02">
      <w:pPr>
        <w:spacing w:line="480" w:lineRule="auto"/>
        <w:jc w:val="center"/>
        <w:rPr>
          <w:b/>
          <w:bCs/>
        </w:rPr>
      </w:pPr>
    </w:p>
    <w:p w14:paraId="4F7462F1">
      <w:pPr>
        <w:spacing w:line="480" w:lineRule="auto"/>
        <w:jc w:val="center"/>
        <w:rPr>
          <w:b/>
          <w:bCs/>
        </w:rPr>
      </w:pPr>
    </w:p>
    <w:p w14:paraId="3F04A1E0">
      <w:pPr>
        <w:spacing w:line="480" w:lineRule="auto"/>
        <w:jc w:val="center"/>
        <w:rPr>
          <w:b/>
          <w:bCs/>
        </w:rPr>
      </w:pPr>
    </w:p>
    <w:p w14:paraId="2FC2DE8D">
      <w:pPr>
        <w:spacing w:line="480" w:lineRule="auto"/>
        <w:jc w:val="center"/>
        <w:rPr>
          <w:b/>
          <w:bCs/>
        </w:rPr>
      </w:pPr>
    </w:p>
    <w:p w14:paraId="61E08855">
      <w:pPr>
        <w:spacing w:line="480" w:lineRule="auto"/>
        <w:jc w:val="center"/>
        <w:rPr>
          <w:b/>
          <w:bCs/>
        </w:rPr>
      </w:pPr>
    </w:p>
    <w:p w14:paraId="7DDB1F29">
      <w:pPr>
        <w:spacing w:line="480" w:lineRule="auto"/>
        <w:jc w:val="center"/>
        <w:rPr>
          <w:b/>
          <w:bCs/>
        </w:rPr>
      </w:pPr>
    </w:p>
    <w:p w14:paraId="5A475284">
      <w:pPr>
        <w:spacing w:line="480" w:lineRule="auto"/>
        <w:jc w:val="center"/>
        <w:rPr>
          <w:b/>
          <w:bCs/>
        </w:rPr>
      </w:pPr>
    </w:p>
    <w:p w14:paraId="7D357E12">
      <w:pPr>
        <w:spacing w:line="480" w:lineRule="auto"/>
        <w:jc w:val="center"/>
        <w:rPr>
          <w:b/>
          <w:bCs/>
        </w:rPr>
      </w:pPr>
    </w:p>
    <w:p w14:paraId="08327CDE">
      <w:pPr>
        <w:spacing w:line="480" w:lineRule="auto"/>
        <w:jc w:val="center"/>
        <w:rPr>
          <w:b/>
          <w:bCs/>
        </w:rPr>
      </w:pPr>
    </w:p>
    <w:p w14:paraId="13ECFBBC">
      <w:pPr>
        <w:tabs>
          <w:tab w:val="left" w:pos="5496"/>
        </w:tabs>
        <w:spacing w:line="480" w:lineRule="auto"/>
        <w:rPr>
          <w:b/>
          <w:bCs/>
        </w:rPr>
      </w:pPr>
      <w:r>
        <w:rPr>
          <w:b/>
          <w:bCs/>
        </w:rPr>
        <w:tab/>
      </w:r>
    </w:p>
    <w:p w14:paraId="05821FC9">
      <w:pPr>
        <w:spacing w:line="480" w:lineRule="auto"/>
        <w:jc w:val="center"/>
        <w:rPr>
          <w:b/>
          <w:bCs/>
        </w:rPr>
      </w:pPr>
    </w:p>
    <w:p w14:paraId="6C0A163E">
      <w:pPr>
        <w:spacing w:line="480" w:lineRule="auto"/>
        <w:jc w:val="center"/>
        <w:rPr>
          <w:b/>
          <w:bCs/>
        </w:rPr>
      </w:pPr>
    </w:p>
    <w:p w14:paraId="5A043984">
      <w:pPr>
        <w:spacing w:line="480" w:lineRule="auto"/>
        <w:jc w:val="both"/>
      </w:pPr>
    </w:p>
    <w:p w14:paraId="6F1F537E">
      <w:pPr>
        <w:spacing w:line="480" w:lineRule="auto"/>
        <w:jc w:val="both"/>
        <w:rPr>
          <w:b/>
          <w:bCs/>
        </w:rPr>
      </w:pPr>
    </w:p>
    <w:p w14:paraId="1FD3011C">
      <w:pPr>
        <w:rPr>
          <w:b/>
        </w:rPr>
      </w:pPr>
    </w:p>
    <w:p w14:paraId="7CDE5E38">
      <w:pPr>
        <w:rPr>
          <w:b/>
        </w:rPr>
      </w:pPr>
    </w:p>
    <w:p w14:paraId="79D17C62"/>
    <w:p w14:paraId="749DA71F">
      <w:pPr>
        <w:pStyle w:val="4"/>
        <w:spacing w:after="0" w:line="480" w:lineRule="auto"/>
        <w:jc w:val="both"/>
        <w:rPr>
          <w:rFonts w:ascii="Times New Roman" w:hAnsi="Times New Roman" w:cs="Times New Roman"/>
          <w:b/>
          <w:sz w:val="24"/>
          <w:szCs w:val="24"/>
        </w:rPr>
      </w:pPr>
    </w:p>
    <w:sectPr>
      <w:headerReference r:id="rId30" w:type="default"/>
      <w:pgSz w:w="12240" w:h="15840"/>
      <w:pgMar w:top="1440" w:right="1440" w:bottom="1440" w:left="1440" w:header="708" w:footer="708"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rial Unicode MS">
    <w:altName w:val="Arial"/>
    <w:panose1 w:val="020B0604020202020204"/>
    <w:charset w:val="80"/>
    <w:family w:val="swiss"/>
    <w:pitch w:val="default"/>
    <w:sig w:usb0="00000000" w:usb1="00000000" w:usb2="0000003F" w:usb3="00000000" w:csb0="003F01FF" w:csb1="00000000"/>
  </w:font>
  <w:font w:name="Verdana Bold">
    <w:altName w:val="Verdana"/>
    <w:panose1 w:val="020B0604020202020204"/>
    <w:charset w:val="00"/>
    <w:family w:val="roman"/>
    <w:pitch w:val="default"/>
    <w:sig w:usb0="00000000" w:usb1="00000000" w:usb2="00000000" w:usb3="00000000" w:csb0="00000000" w:csb1="00000000"/>
  </w:font>
  <w:font w:name="DengXian Light">
    <w:altName w:val="SimSun"/>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DengXian">
    <w:altName w:val="SimSun"/>
    <w:panose1 w:val="02010600030101010101"/>
    <w:charset w:val="86"/>
    <w:family w:val="auto"/>
    <w:pitch w:val="default"/>
    <w:sig w:usb0="00000000" w:usb1="00000000" w:usb2="00000016" w:usb3="00000000" w:csb0="0004000F" w:csb1="00000000"/>
  </w:font>
  <w:font w:name="Helvetica Neue">
    <w:altName w:val="Times New Roman"/>
    <w:panose1 w:val="02000503000000020004"/>
    <w:charset w:val="00"/>
    <w:family w:val="auto"/>
    <w:pitch w:val="default"/>
    <w:sig w:usb0="00000000" w:usb1="00000000" w:usb2="00000010" w:usb3="00000000" w:csb0="00000001" w:csb1="00000000"/>
  </w:font>
  <w:font w:name="Calibri Light">
    <w:panose1 w:val="020F0302020204030204"/>
    <w:charset w:val="00"/>
    <w:family w:val="swiss"/>
    <w:pitch w:val="default"/>
    <w:sig w:usb0="E4002EFF" w:usb1="C200247B" w:usb2="00000009" w:usb3="00000000" w:csb0="200001FF" w:csb1="00000000"/>
  </w:font>
  <w:font w:name="FranklinGothic-Demi">
    <w:altName w:val="Calibri"/>
    <w:panose1 w:val="020B0604020202020204"/>
    <w:charset w:val="4D"/>
    <w:family w:val="auto"/>
    <w:pitch w:val="default"/>
    <w:sig w:usb0="00000000" w:usb1="00000000" w:usb2="00000000" w:usb3="00000000" w:csb0="00000001" w:csb1="00000000"/>
  </w:font>
  <w:font w:name="TimesNewRomanPSMT">
    <w:altName w:val="Times New Roman"/>
    <w:panose1 w:val="020B0604020202020204"/>
    <w:charset w:val="80"/>
    <w:family w:val="auto"/>
    <w:pitch w:val="default"/>
    <w:sig w:usb0="00000000" w:usb1="00000000" w:usb2="00000010" w:usb3="00000000" w:csb0="000A0000" w:csb1="00000000"/>
  </w:font>
  <w:font w:name="Arial MT">
    <w:altName w:val="Arial"/>
    <w:panose1 w:val="020B0604020202020204"/>
    <w:charset w:val="01"/>
    <w:family w:val="swiss"/>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 w:name="Roboto">
    <w:altName w:val="Wide Latin"/>
    <w:panose1 w:val="02000000000000000000"/>
    <w:charset w:val="00"/>
    <w:family w:val="auto"/>
    <w:pitch w:val="default"/>
    <w:sig w:usb0="00000000" w:usb1="00000000" w:usb2="00000021" w:usb3="00000000" w:csb0="0000019F" w:csb1="00000000"/>
  </w:font>
  <w:font w:name="Lucida Sans Unicode">
    <w:panose1 w:val="020B0602030504020204"/>
    <w:charset w:val="00"/>
    <w:family w:val="swiss"/>
    <w:pitch w:val="default"/>
    <w:sig w:usb0="80001AFF" w:usb1="0000396B" w:usb2="00000000" w:usb3="00000000" w:csb0="200000BF" w:csb1="D7F70000"/>
  </w:font>
  <w:font w:name="Wide Latin">
    <w:panose1 w:val="020A0A070505050204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B30A8">
    <w:pPr>
      <w:pStyle w:val="22"/>
      <w:tabs>
        <w:tab w:val="right" w:pos="9000"/>
        <w:tab w:val="clear" w:pos="9026"/>
      </w:tabs>
      <w:jc w:val="center"/>
    </w:pPr>
    <w:r>
      <w:rPr>
        <w:rFonts w:ascii="Times New Roman" w:hAnsi="Times New Roman"/>
        <w:sz w:val="16"/>
        <w:szCs w:val="16"/>
      </w:rPr>
      <w:fldChar w:fldCharType="begin"/>
    </w:r>
    <w:r>
      <w:rPr>
        <w:rFonts w:ascii="Times New Roman" w:hAnsi="Times New Roman"/>
        <w:sz w:val="16"/>
        <w:szCs w:val="16"/>
      </w:rPr>
      <w:instrText xml:space="preserve"> PAGE </w:instrText>
    </w:r>
    <w:r>
      <w:rPr>
        <w:rFonts w:ascii="Times New Roman" w:hAnsi="Times New Roman"/>
        <w:sz w:val="16"/>
        <w:szCs w:val="16"/>
      </w:rPr>
      <w:fldChar w:fldCharType="separate"/>
    </w:r>
    <w:r>
      <w:rPr>
        <w:rFonts w:ascii="Times New Roman" w:hAnsi="Times New Roman"/>
        <w:sz w:val="16"/>
        <w:szCs w:val="16"/>
      </w:rPr>
      <w:t>308</w:t>
    </w:r>
    <w:r>
      <w:rPr>
        <w:rFonts w:ascii="Times New Roman" w:hAnsi="Times New Roman"/>
        <w:sz w:val="16"/>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4FFD">
    <w:pPr>
      <w:pStyle w:val="15"/>
      <w:spacing w:line="14" w:lineRule="auto"/>
      <w:rPr>
        <w:sz w:val="20"/>
      </w:rPr>
    </w:pPr>
    <w:r>
      <mc:AlternateContent>
        <mc:Choice Requires="wps">
          <w:drawing>
            <wp:anchor distT="0" distB="0" distL="114300" distR="114300" simplePos="0" relativeHeight="251719680"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840671661" name="Text Box 14"/>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39DBE1D4">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14" o:spid="_x0000_s1026" o:spt="202" type="#_x0000_t202" style="position:absolute;left:0pt;margin-left:24.5pt;margin-top:818.25pt;height:10.95pt;width:369.5pt;mso-position-horizontal-relative:page;mso-position-vertical-relative:page;z-index:-251596800;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XiaV2gAAAAwBAAAPAAAAAAAAAAEAIAAA&#10;ACIAAABkcnMvZG93bnJldi54bWxQSwECFAAUAAAACACHTuJAbeZ/1AoCAAAbBAAADgAAAAAAAAAB&#10;ACAAAAApAQAAZHJzL2Uyb0RvYy54bWxQSwUGAAAAAAYABgBZAQAApQUAAAAA&#10;">
              <v:fill on="f" focussize="0,0"/>
              <v:stroke on="f"/>
              <v:imagedata o:title=""/>
              <o:lock v:ext="edit" aspectratio="f"/>
              <v:textbox inset="0mm,0mm,0mm,0mm">
                <w:txbxContent>
                  <w:p w14:paraId="39DBE1D4">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720704" behindDoc="1" locked="0" layoutInCell="1" allowOverlap="1">
              <wp:simplePos x="0" y="0"/>
              <wp:positionH relativeFrom="page">
                <wp:posOffset>6942455</wp:posOffset>
              </wp:positionH>
              <wp:positionV relativeFrom="page">
                <wp:posOffset>10391775</wp:posOffset>
              </wp:positionV>
              <wp:extent cx="343535" cy="139065"/>
              <wp:effectExtent l="0" t="0" r="0" b="0"/>
              <wp:wrapNone/>
              <wp:docPr id="687621480"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ffectLst/>
                    </wps:spPr>
                    <wps:txbx>
                      <w:txbxContent>
                        <w:p w14:paraId="3CE2435C">
                          <w:pPr>
                            <w:spacing w:before="14"/>
                            <w:rPr>
                              <w:rFonts w:ascii="Arial MT"/>
                              <w:sz w:val="16"/>
                            </w:rPr>
                          </w:pPr>
                          <w:r>
                            <w:fldChar w:fldCharType="begin"/>
                          </w:r>
                          <w:r>
                            <w:rPr>
                              <w:rFonts w:ascii="Arial MT"/>
                              <w:sz w:val="16"/>
                            </w:rPr>
                            <w:instrText xml:space="preserve"> PAGE </w:instrText>
                          </w:r>
                          <w:r>
                            <w:fldChar w:fldCharType="separate"/>
                          </w:r>
                          <w:r>
                            <w:t>16</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13" o:spid="_x0000_s1026" o:spt="202" type="#_x0000_t202" style="position:absolute;left:0pt;margin-left:546.65pt;margin-top:818.25pt;height:10.95pt;width:27.05pt;mso-position-horizontal-relative:page;mso-position-vertical-relative:page;z-index:-251595776;mso-width-relative:page;mso-height-relative:page;" filled="f" stroked="f" coordsize="21600,21600" o:gfxdata="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qqqbcAAAADwEAAA8AAAAAAAAAAQAg&#10;AAAAIgAAAGRycy9kb3ducmV2LnhtbFBLAQIUABQAAAAIAIdO4kDaK26LCgIAABoEAAAOAAAAAAAA&#10;AAEAIAAAACsBAABkcnMvZTJvRG9jLnhtbFBLBQYAAAAABgAGAFkBAACnBQAAAAA=&#10;">
              <v:fill on="f" focussize="0,0"/>
              <v:stroke on="f"/>
              <v:imagedata o:title=""/>
              <o:lock v:ext="edit" aspectratio="f"/>
              <v:textbox inset="0mm,0mm,0mm,0mm">
                <w:txbxContent>
                  <w:p w14:paraId="3CE2435C">
                    <w:pPr>
                      <w:spacing w:before="14"/>
                      <w:rPr>
                        <w:rFonts w:ascii="Arial MT"/>
                        <w:sz w:val="16"/>
                      </w:rPr>
                    </w:pPr>
                    <w:r>
                      <w:fldChar w:fldCharType="begin"/>
                    </w:r>
                    <w:r>
                      <w:rPr>
                        <w:rFonts w:ascii="Arial MT"/>
                        <w:sz w:val="16"/>
                      </w:rPr>
                      <w:instrText xml:space="preserve"> PAGE </w:instrText>
                    </w:r>
                    <w:r>
                      <w:fldChar w:fldCharType="separate"/>
                    </w:r>
                    <w:r>
                      <w:t>16</w:t>
                    </w:r>
                    <w:r>
                      <w:fldChar w:fldCharType="end"/>
                    </w:r>
                    <w:r>
                      <w:rPr>
                        <w:rFonts w:ascii="Arial MT"/>
                        <w:sz w:val="16"/>
                      </w:rPr>
                      <w:t>/22</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D75CF">
    <w:pPr>
      <w:pStyle w:val="15"/>
      <w:spacing w:line="14" w:lineRule="auto"/>
      <w:rPr>
        <w:sz w:val="20"/>
      </w:rPr>
    </w:pPr>
    <w:r>
      <w:drawing>
        <wp:anchor distT="0" distB="0" distL="0" distR="0" simplePos="0" relativeHeight="251723776" behindDoc="1" locked="0" layoutInCell="1" allowOverlap="1">
          <wp:simplePos x="0" y="0"/>
          <wp:positionH relativeFrom="page">
            <wp:posOffset>6477000</wp:posOffset>
          </wp:positionH>
          <wp:positionV relativeFrom="page">
            <wp:posOffset>9618980</wp:posOffset>
          </wp:positionV>
          <wp:extent cx="533400" cy="536575"/>
          <wp:effectExtent l="0" t="0" r="0" b="0"/>
          <wp:wrapNone/>
          <wp:docPr id="1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a:picLocks noChangeAspect="1"/>
                  </pic:cNvPicPr>
                </pic:nvPicPr>
                <pic:blipFill>
                  <a:blip r:embed="rId1"/>
                  <a:stretch>
                    <a:fillRect/>
                  </a:stretch>
                </pic:blipFill>
                <pic:spPr>
                  <a:xfrm>
                    <a:off x="0" y="0"/>
                    <a:ext cx="533400" cy="536575"/>
                  </a:xfrm>
                  <a:prstGeom prst="rect">
                    <a:avLst/>
                  </a:prstGeom>
                  <a:noFill/>
                  <a:ln>
                    <a:noFill/>
                  </a:ln>
                </pic:spPr>
              </pic:pic>
            </a:graphicData>
          </a:graphic>
        </wp:anchor>
      </w:drawing>
    </w:r>
    <w:r>
      <mc:AlternateContent>
        <mc:Choice Requires="wps">
          <w:drawing>
            <wp:anchor distT="0" distB="0" distL="114300" distR="114300" simplePos="0" relativeHeight="251724800"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546109177" name="Text Box 10"/>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3449F987">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24.5pt;margin-top:818.25pt;height:10.95pt;width:369.5pt;mso-position-horizontal-relative:page;mso-position-vertical-relative:page;z-index:-251591680;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XiaV2gAAAAwBAAAPAAAAAAAAAAEAIAAA&#10;ACIAAABkcnMvZG93bnJldi54bWxQSwECFAAUAAAACACHTuJAFNlfgQoCAAAbBAAADgAAAAAAAAAB&#10;ACAAAAApAQAAZHJzL2Uyb0RvYy54bWxQSwUGAAAAAAYABgBZAQAApQUAAAAA&#10;">
              <v:fill on="f" focussize="0,0"/>
              <v:stroke on="f"/>
              <v:imagedata o:title=""/>
              <o:lock v:ext="edit" aspectratio="f"/>
              <v:textbox inset="0mm,0mm,0mm,0mm">
                <w:txbxContent>
                  <w:p w14:paraId="3449F987">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6942455</wp:posOffset>
              </wp:positionH>
              <wp:positionV relativeFrom="page">
                <wp:posOffset>10391775</wp:posOffset>
              </wp:positionV>
              <wp:extent cx="343535" cy="139065"/>
              <wp:effectExtent l="0" t="0" r="0" b="0"/>
              <wp:wrapNone/>
              <wp:docPr id="1244335606" name="Text Box 9"/>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ffectLst/>
                    </wps:spPr>
                    <wps:txbx>
                      <w:txbxContent>
                        <w:p w14:paraId="51621148">
                          <w:pPr>
                            <w:spacing w:before="14"/>
                            <w:rPr>
                              <w:rFonts w:ascii="Arial MT"/>
                              <w:sz w:val="16"/>
                            </w:rPr>
                          </w:pPr>
                          <w:r>
                            <w:fldChar w:fldCharType="begin"/>
                          </w:r>
                          <w:r>
                            <w:rPr>
                              <w:rFonts w:ascii="Arial MT"/>
                              <w:sz w:val="16"/>
                            </w:rPr>
                            <w:instrText xml:space="preserve"> PAGE </w:instrText>
                          </w:r>
                          <w:r>
                            <w:fldChar w:fldCharType="separate"/>
                          </w:r>
                          <w:r>
                            <w:t>17</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546.65pt;margin-top:818.25pt;height:10.95pt;width:27.05pt;mso-position-horizontal-relative:page;mso-position-vertical-relative:page;z-index:-251590656;mso-width-relative:page;mso-height-relative:page;" filled="f" stroked="f" coordsize="21600,21600" o:gfxdata="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GqqptwAAAAPAQAADwAAAAAAAAABACAA&#10;AAAiAAAAZHJzL2Rvd25yZXYueG1sUEsBAhQAFAAAAAgAh07iQGz2HmoJAgAAGgQAAA4AAAAAAAAA&#10;AQAgAAAAKwEAAGRycy9lMm9Eb2MueG1sUEsFBgAAAAAGAAYAWQEAAKYFAAAAAA==&#10;">
              <v:fill on="f" focussize="0,0"/>
              <v:stroke on="f"/>
              <v:imagedata o:title=""/>
              <o:lock v:ext="edit" aspectratio="f"/>
              <v:textbox inset="0mm,0mm,0mm,0mm">
                <w:txbxContent>
                  <w:p w14:paraId="51621148">
                    <w:pPr>
                      <w:spacing w:before="14"/>
                      <w:rPr>
                        <w:rFonts w:ascii="Arial MT"/>
                        <w:sz w:val="16"/>
                      </w:rPr>
                    </w:pPr>
                    <w:r>
                      <w:fldChar w:fldCharType="begin"/>
                    </w:r>
                    <w:r>
                      <w:rPr>
                        <w:rFonts w:ascii="Arial MT"/>
                        <w:sz w:val="16"/>
                      </w:rPr>
                      <w:instrText xml:space="preserve"> PAGE </w:instrText>
                    </w:r>
                    <w:r>
                      <w:fldChar w:fldCharType="separate"/>
                    </w:r>
                    <w:r>
                      <w:t>17</w:t>
                    </w:r>
                    <w:r>
                      <w:fldChar w:fldCharType="end"/>
                    </w:r>
                    <w:r>
                      <w:rPr>
                        <w:rFonts w:ascii="Arial MT"/>
                        <w:sz w:val="16"/>
                      </w:rPr>
                      <w:t>/22</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77327">
    <w:pPr>
      <w:pStyle w:val="15"/>
      <w:spacing w:line="14" w:lineRule="auto"/>
      <w:rPr>
        <w:sz w:val="20"/>
      </w:rPr>
    </w:pPr>
    <w:r>
      <mc:AlternateContent>
        <mc:Choice Requires="wps">
          <w:drawing>
            <wp:anchor distT="0" distB="0" distL="114300" distR="114300" simplePos="0" relativeHeight="251728896"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2137772347" name="Text Box 6"/>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10ED2B86">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24.5pt;margin-top:818.25pt;height:10.95pt;width:369.5pt;mso-position-horizontal-relative:page;mso-position-vertical-relative:page;z-index:-251587584;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l4mldoAAAAMAQAADwAAAAAAAAABACAA&#10;AAAiAAAAZHJzL2Rvd25yZXYueG1sUEsBAhQAFAAAAAgAh07iQIUEfMoLAgAAGwQAAA4AAAAAAAAA&#10;AQAgAAAAKQEAAGRycy9lMm9Eb2MueG1sUEsFBgAAAAAGAAYAWQEAAKYFAAAAAA==&#10;">
              <v:fill on="f" focussize="0,0"/>
              <v:stroke on="f"/>
              <v:imagedata o:title=""/>
              <o:lock v:ext="edit" aspectratio="f"/>
              <v:textbox inset="0mm,0mm,0mm,0mm">
                <w:txbxContent>
                  <w:p w14:paraId="10ED2B86">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6942455</wp:posOffset>
              </wp:positionH>
              <wp:positionV relativeFrom="page">
                <wp:posOffset>10391775</wp:posOffset>
              </wp:positionV>
              <wp:extent cx="343535" cy="139065"/>
              <wp:effectExtent l="0" t="0" r="0" b="0"/>
              <wp:wrapNone/>
              <wp:docPr id="1523188153" name="Text Box 5"/>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ffectLst/>
                    </wps:spPr>
                    <wps:txbx>
                      <w:txbxContent>
                        <w:p w14:paraId="4D5067CE">
                          <w:pPr>
                            <w:spacing w:before="14"/>
                            <w:rPr>
                              <w:rFonts w:ascii="Arial MT"/>
                              <w:sz w:val="16"/>
                            </w:rPr>
                          </w:pPr>
                          <w:r>
                            <w:fldChar w:fldCharType="begin"/>
                          </w:r>
                          <w:r>
                            <w:rPr>
                              <w:rFonts w:ascii="Arial MT"/>
                              <w:sz w:val="16"/>
                            </w:rPr>
                            <w:instrText xml:space="preserve"> PAGE </w:instrText>
                          </w:r>
                          <w:r>
                            <w:fldChar w:fldCharType="separate"/>
                          </w:r>
                          <w:r>
                            <w:t>20</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546.65pt;margin-top:818.25pt;height:10.95pt;width:27.05pt;mso-position-horizontal-relative:page;mso-position-vertical-relative:page;z-index:-251586560;mso-width-relative:page;mso-height-relative:page;" filled="f" stroked="f" coordsize="21600,21600" o:gfxdata="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GqqptwAAAAPAQAADwAAAAAAAAABACAA&#10;AAAiAAAAZHJzL2Rvd25yZXYueG1sUEsBAhQAFAAAAAgAh07iQJrJ/pAJAgAAGgQAAA4AAAAAAAAA&#10;AQAgAAAAKwEAAGRycy9lMm9Eb2MueG1sUEsFBgAAAAAGAAYAWQEAAKYFAAAAAA==&#10;">
              <v:fill on="f" focussize="0,0"/>
              <v:stroke on="f"/>
              <v:imagedata o:title=""/>
              <o:lock v:ext="edit" aspectratio="f"/>
              <v:textbox inset="0mm,0mm,0mm,0mm">
                <w:txbxContent>
                  <w:p w14:paraId="4D5067CE">
                    <w:pPr>
                      <w:spacing w:before="14"/>
                      <w:rPr>
                        <w:rFonts w:ascii="Arial MT"/>
                        <w:sz w:val="16"/>
                      </w:rPr>
                    </w:pPr>
                    <w:r>
                      <w:fldChar w:fldCharType="begin"/>
                    </w:r>
                    <w:r>
                      <w:rPr>
                        <w:rFonts w:ascii="Arial MT"/>
                        <w:sz w:val="16"/>
                      </w:rPr>
                      <w:instrText xml:space="preserve"> PAGE </w:instrText>
                    </w:r>
                    <w:r>
                      <w:fldChar w:fldCharType="separate"/>
                    </w:r>
                    <w:r>
                      <w:t>20</w:t>
                    </w:r>
                    <w:r>
                      <w:fldChar w:fldCharType="end"/>
                    </w:r>
                    <w:r>
                      <w:rPr>
                        <w:rFonts w:ascii="Arial MT"/>
                        <w:sz w:val="16"/>
                      </w:rPr>
                      <w:t>/22</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926F">
    <w:pPr>
      <w:pStyle w:val="15"/>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311150</wp:posOffset>
              </wp:positionH>
              <wp:positionV relativeFrom="page">
                <wp:posOffset>10391775</wp:posOffset>
              </wp:positionV>
              <wp:extent cx="4904740" cy="139065"/>
              <wp:effectExtent l="0" t="0" r="0" b="0"/>
              <wp:wrapNone/>
              <wp:docPr id="778735603" name="Text Box 46"/>
              <wp:cNvGraphicFramePr/>
              <a:graphic xmlns:a="http://schemas.openxmlformats.org/drawingml/2006/main">
                <a:graphicData uri="http://schemas.microsoft.com/office/word/2010/wordprocessingShape">
                  <wps:wsp>
                    <wps:cNvSpPr txBox="1">
                      <a:spLocks noChangeArrowheads="1"/>
                    </wps:cNvSpPr>
                    <wps:spPr bwMode="auto">
                      <a:xfrm>
                        <a:off x="0" y="0"/>
                        <a:ext cx="4904740" cy="139065"/>
                      </a:xfrm>
                      <a:prstGeom prst="rect">
                        <a:avLst/>
                      </a:prstGeom>
                      <a:noFill/>
                      <a:ln>
                        <a:noFill/>
                      </a:ln>
                      <a:effectLst/>
                    </wps:spPr>
                    <wps:txbx>
                      <w:txbxContent>
                        <w:p w14:paraId="25D802B4">
                          <w:pPr>
                            <w:spacing w:before="14"/>
                            <w:rPr>
                              <w:sz w:val="16"/>
                            </w:rPr>
                          </w:pPr>
                          <w:r>
                            <w:rPr>
                              <w:sz w:val="16"/>
                            </w:rPr>
                            <w:t>https://docs.google.com/forms/d/1HczRnnyvp2oCRtce6UewNpVjKPFp2_ExkOTXx-YMeto/edit?ts=6298ad26</w:t>
                          </w:r>
                        </w:p>
                      </w:txbxContent>
                    </wps:txbx>
                    <wps:bodyPr rot="0" vert="horz" wrap="square" lIns="0" tIns="0" rIns="0" bIns="0" anchor="t" anchorCtr="0" upright="1">
                      <a:noAutofit/>
                    </wps:bodyPr>
                  </wps:wsp>
                </a:graphicData>
              </a:graphic>
            </wp:anchor>
          </w:drawing>
        </mc:Choice>
        <mc:Fallback>
          <w:pict>
            <v:shape id="Text Box 46" o:spid="_x0000_s1026" o:spt="202" type="#_x0000_t202" style="position:absolute;left:0pt;margin-left:24.5pt;margin-top:818.25pt;height:10.95pt;width:386.2pt;mso-position-horizontal-relative:page;mso-position-vertical-relative:page;z-index:-251632640;mso-width-relative:page;mso-height-relative:page;" filled="f" stroked="f" coordsize="21600,21600" o:gfxdata="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XAv99oAAAAMAQAADwAAAAAAAAABACAA&#10;AAAiAAAAZHJzL2Rvd25yZXYueG1sUEsBAhQAFAAAAAgAh07iQEIhjx4LAgAAGwQAAA4AAAAAAAAA&#10;AQAgAAAAKQEAAGRycy9lMm9Eb2MueG1sUEsFBgAAAAAGAAYAWQEAAKYFAAAAAA==&#10;">
              <v:fill on="f" focussize="0,0"/>
              <v:stroke on="f"/>
              <v:imagedata o:title=""/>
              <o:lock v:ext="edit" aspectratio="f"/>
              <v:textbox inset="0mm,0mm,0mm,0mm">
                <w:txbxContent>
                  <w:p w14:paraId="25D802B4">
                    <w:pPr>
                      <w:spacing w:before="14"/>
                      <w:rPr>
                        <w:sz w:val="16"/>
                      </w:rPr>
                    </w:pPr>
                    <w:r>
                      <w:rPr>
                        <w:sz w:val="16"/>
                      </w:rPr>
                      <w:t>https://docs.google.com/forms/d/1HczRnnyvp2oCRtce6UewNpVjKPFp2_ExkOTXx-YMeto/edit?ts=6298ad26</w:t>
                    </w:r>
                  </w:p>
                </w:txbxContent>
              </v:textbox>
            </v:shape>
          </w:pict>
        </mc:Fallback>
      </mc:AlternateContent>
    </w:r>
    <w:r>
      <mc:AlternateContent>
        <mc:Choice Requires="wps">
          <w:drawing>
            <wp:anchor distT="0" distB="0" distL="114300" distR="114300" simplePos="0" relativeHeight="251684864" behindDoc="1" locked="0" layoutInCell="1" allowOverlap="1">
              <wp:simplePos x="0" y="0"/>
              <wp:positionH relativeFrom="page">
                <wp:posOffset>7006590</wp:posOffset>
              </wp:positionH>
              <wp:positionV relativeFrom="page">
                <wp:posOffset>10391775</wp:posOffset>
              </wp:positionV>
              <wp:extent cx="279400" cy="139065"/>
              <wp:effectExtent l="0" t="0" r="0" b="0"/>
              <wp:wrapNone/>
              <wp:docPr id="1510405719" name="Text Box 45"/>
              <wp:cNvGraphicFramePr/>
              <a:graphic xmlns:a="http://schemas.openxmlformats.org/drawingml/2006/main">
                <a:graphicData uri="http://schemas.microsoft.com/office/word/2010/wordprocessingShape">
                  <wps:wsp>
                    <wps:cNvSpPr txBox="1">
                      <a:spLocks noChangeArrowheads="1"/>
                    </wps:cNvSpPr>
                    <wps:spPr bwMode="auto">
                      <a:xfrm>
                        <a:off x="0" y="0"/>
                        <a:ext cx="279400" cy="139065"/>
                      </a:xfrm>
                      <a:prstGeom prst="rect">
                        <a:avLst/>
                      </a:prstGeom>
                      <a:noFill/>
                      <a:ln>
                        <a:noFill/>
                      </a:ln>
                      <a:effectLst/>
                    </wps:spPr>
                    <wps:txbx>
                      <w:txbxContent>
                        <w:p w14:paraId="0C7D89F1">
                          <w:pPr>
                            <w:spacing w:before="14"/>
                            <w:rPr>
                              <w:sz w:val="16"/>
                            </w:rPr>
                          </w:pPr>
                          <w:r>
                            <w:fldChar w:fldCharType="begin"/>
                          </w:r>
                          <w:r>
                            <w:rPr>
                              <w:sz w:val="16"/>
                            </w:rPr>
                            <w:instrText xml:space="preserve"> PAGE </w:instrText>
                          </w:r>
                          <w:r>
                            <w:fldChar w:fldCharType="separate"/>
                          </w:r>
                          <w:r>
                            <w:t>6</w:t>
                          </w:r>
                          <w:r>
                            <w:fldChar w:fldCharType="end"/>
                          </w:r>
                          <w:r>
                            <w:rPr>
                              <w:sz w:val="16"/>
                            </w:rPr>
                            <w:t>/11</w:t>
                          </w:r>
                        </w:p>
                      </w:txbxContent>
                    </wps:txbx>
                    <wps:bodyPr rot="0" vert="horz" wrap="square" lIns="0" tIns="0" rIns="0" bIns="0" anchor="t" anchorCtr="0" upright="1">
                      <a:noAutofit/>
                    </wps:bodyPr>
                  </wps:wsp>
                </a:graphicData>
              </a:graphic>
            </wp:anchor>
          </w:drawing>
        </mc:Choice>
        <mc:Fallback>
          <w:pict>
            <v:shape id="Text Box 45" o:spid="_x0000_s1026" o:spt="202" type="#_x0000_t202" style="position:absolute;left:0pt;margin-left:551.7pt;margin-top:818.25pt;height:10.95pt;width:22pt;mso-position-horizontal-relative:page;mso-position-vertical-relative:page;z-index:-251631616;mso-width-relative:page;mso-height-relative:page;" filled="f" stroked="f" coordsize="21600,21600" o:gfxdata="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J3D42wAAAA8BAAAPAAAAAAAAAAEAIAAA&#10;ACIAAABkcnMvZG93bnJldi54bWxQSwECFAAUAAAACACHTuJACMjLewkCAAAbBAAADgAAAAAAAAAB&#10;ACAAAAAqAQAAZHJzL2Uyb0RvYy54bWxQSwUGAAAAAAYABgBZAQAApQUAAAAA&#10;">
              <v:fill on="f" focussize="0,0"/>
              <v:stroke on="f"/>
              <v:imagedata o:title=""/>
              <o:lock v:ext="edit" aspectratio="f"/>
              <v:textbox inset="0mm,0mm,0mm,0mm">
                <w:txbxContent>
                  <w:p w14:paraId="0C7D89F1">
                    <w:pPr>
                      <w:spacing w:before="14"/>
                      <w:rPr>
                        <w:sz w:val="16"/>
                      </w:rPr>
                    </w:pPr>
                    <w:r>
                      <w:fldChar w:fldCharType="begin"/>
                    </w:r>
                    <w:r>
                      <w:rPr>
                        <w:sz w:val="16"/>
                      </w:rPr>
                      <w:instrText xml:space="preserve"> PAGE </w:instrText>
                    </w:r>
                    <w:r>
                      <w:fldChar w:fldCharType="separate"/>
                    </w:r>
                    <w:r>
                      <w:t>6</w:t>
                    </w:r>
                    <w:r>
                      <w:fldChar w:fldCharType="end"/>
                    </w:r>
                    <w:r>
                      <w:rPr>
                        <w:sz w:val="16"/>
                      </w:rPr>
                      <w:t>/11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45490">
    <w:pPr>
      <w:pStyle w:val="15"/>
      <w:spacing w:line="14" w:lineRule="auto"/>
      <w:rPr>
        <w:sz w:val="20"/>
      </w:rPr>
    </w:pPr>
    <w:r>
      <w:drawing>
        <wp:anchor distT="0" distB="0" distL="0" distR="0" simplePos="0" relativeHeight="251687936" behindDoc="1" locked="0" layoutInCell="1" allowOverlap="1">
          <wp:simplePos x="0" y="0"/>
          <wp:positionH relativeFrom="page">
            <wp:posOffset>6477000</wp:posOffset>
          </wp:positionH>
          <wp:positionV relativeFrom="page">
            <wp:posOffset>9618980</wp:posOffset>
          </wp:positionV>
          <wp:extent cx="533400" cy="536575"/>
          <wp:effectExtent l="0" t="0" r="0" b="0"/>
          <wp:wrapNone/>
          <wp:docPr id="1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a:picLocks noChangeAspect="1"/>
                  </pic:cNvPicPr>
                </pic:nvPicPr>
                <pic:blipFill>
                  <a:blip r:embed="rId1"/>
                  <a:stretch>
                    <a:fillRect/>
                  </a:stretch>
                </pic:blipFill>
                <pic:spPr>
                  <a:xfrm>
                    <a:off x="0" y="0"/>
                    <a:ext cx="533400" cy="536575"/>
                  </a:xfrm>
                  <a:prstGeom prst="rect">
                    <a:avLst/>
                  </a:prstGeom>
                  <a:noFill/>
                  <a:ln>
                    <a:noFill/>
                  </a:ln>
                </pic:spPr>
              </pic:pic>
            </a:graphicData>
          </a:graphic>
        </wp:anchor>
      </w:drawing>
    </w:r>
    <w:r>
      <mc:AlternateContent>
        <mc:Choice Requires="wps">
          <w:drawing>
            <wp:anchor distT="0" distB="0" distL="114300" distR="114300" simplePos="0" relativeHeight="251688960"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536940242" name="Text Box 42"/>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5FA3DBA2">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42" o:spid="_x0000_s1026" o:spt="202" type="#_x0000_t202" style="position:absolute;left:0pt;margin-left:24.5pt;margin-top:818.25pt;height:10.95pt;width:369.5pt;mso-position-horizontal-relative:page;mso-position-vertical-relative:page;z-index:-251627520;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XiaV2gAAAAwBAAAPAAAAAAAAAAEAIAAA&#10;ACIAAABkcnMvZG93bnJldi54bWxQSwECFAAUAAAACACHTuJAKgEKIwoCAAAbBAAADgAAAAAAAAAB&#10;ACAAAAApAQAAZHJzL2Uyb0RvYy54bWxQSwUGAAAAAAYABgBZAQAApQUAAAAA&#10;">
              <v:fill on="f" focussize="0,0"/>
              <v:stroke on="f"/>
              <v:imagedata o:title=""/>
              <o:lock v:ext="edit" aspectratio="f"/>
              <v:textbox inset="0mm,0mm,0mm,0mm">
                <w:txbxContent>
                  <w:p w14:paraId="5FA3DBA2">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6998970</wp:posOffset>
              </wp:positionH>
              <wp:positionV relativeFrom="page">
                <wp:posOffset>10391775</wp:posOffset>
              </wp:positionV>
              <wp:extent cx="287020" cy="139065"/>
              <wp:effectExtent l="0" t="0" r="0" b="0"/>
              <wp:wrapNone/>
              <wp:docPr id="843792476" name="Text Box 41"/>
              <wp:cNvGraphicFramePr/>
              <a:graphic xmlns:a="http://schemas.openxmlformats.org/drawingml/2006/main">
                <a:graphicData uri="http://schemas.microsoft.com/office/word/2010/wordprocessingShape">
                  <wps:wsp>
                    <wps:cNvSpPr txBox="1">
                      <a:spLocks noChangeArrowheads="1"/>
                    </wps:cNvSpPr>
                    <wps:spPr bwMode="auto">
                      <a:xfrm>
                        <a:off x="0" y="0"/>
                        <a:ext cx="287020" cy="139065"/>
                      </a:xfrm>
                      <a:prstGeom prst="rect">
                        <a:avLst/>
                      </a:prstGeom>
                      <a:noFill/>
                      <a:ln>
                        <a:noFill/>
                      </a:ln>
                      <a:effectLst/>
                    </wps:spPr>
                    <wps:txbx>
                      <w:txbxContent>
                        <w:p w14:paraId="70918145">
                          <w:pPr>
                            <w:spacing w:before="14"/>
                            <w:rPr>
                              <w:rFonts w:ascii="Arial MT"/>
                              <w:sz w:val="16"/>
                            </w:rPr>
                          </w:pPr>
                          <w:r>
                            <w:fldChar w:fldCharType="begin"/>
                          </w:r>
                          <w:r>
                            <w:rPr>
                              <w:rFonts w:ascii="Arial MT"/>
                              <w:sz w:val="16"/>
                            </w:rPr>
                            <w:instrText xml:space="preserve"> PAGE </w:instrText>
                          </w:r>
                          <w:r>
                            <w:fldChar w:fldCharType="separate"/>
                          </w:r>
                          <w:r>
                            <w:t>1</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41" o:spid="_x0000_s1026" o:spt="202" type="#_x0000_t202" style="position:absolute;left:0pt;margin-left:551.1pt;margin-top:818.25pt;height:10.95pt;width:22.6pt;mso-position-horizontal-relative:page;mso-position-vertical-relative:page;z-index:-251626496;mso-width-relative:page;mso-height-relative:page;" filled="f" stroked="f" coordsize="21600,21600" o:gfxdata="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Qc+ncAAAADwEAAA8AAAAAAAAAAQAg&#10;AAAAIgAAAGRycy9kb3ducmV2LnhtbFBLAQIUABQAAAAIAIdO4kAFXOHtCgIAABoEAAAOAAAAAAAA&#10;AAEAIAAAACsBAABkcnMvZTJvRG9jLnhtbFBLBQYAAAAABgAGAFkBAACnBQAAAAA=&#10;">
              <v:fill on="f" focussize="0,0"/>
              <v:stroke on="f"/>
              <v:imagedata o:title=""/>
              <o:lock v:ext="edit" aspectratio="f"/>
              <v:textbox inset="0mm,0mm,0mm,0mm">
                <w:txbxContent>
                  <w:p w14:paraId="70918145">
                    <w:pPr>
                      <w:spacing w:before="14"/>
                      <w:rPr>
                        <w:rFonts w:ascii="Arial MT"/>
                        <w:sz w:val="16"/>
                      </w:rPr>
                    </w:pPr>
                    <w:r>
                      <w:fldChar w:fldCharType="begin"/>
                    </w:r>
                    <w:r>
                      <w:rPr>
                        <w:rFonts w:ascii="Arial MT"/>
                        <w:sz w:val="16"/>
                      </w:rPr>
                      <w:instrText xml:space="preserve"> PAGE </w:instrText>
                    </w:r>
                    <w:r>
                      <w:fldChar w:fldCharType="separate"/>
                    </w:r>
                    <w:r>
                      <w:t>1</w:t>
                    </w:r>
                    <w:r>
                      <w:fldChar w:fldCharType="end"/>
                    </w:r>
                    <w:r>
                      <w:rPr>
                        <w:rFonts w:ascii="Arial MT"/>
                        <w:sz w:val="16"/>
                      </w:rPr>
                      <w:t>/22</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FEB15">
    <w:pPr>
      <w:pStyle w:val="15"/>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253000361" name="Text Box 38"/>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1E8E92D0">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24.5pt;margin-top:818.25pt;height:10.95pt;width:369.5pt;mso-position-horizontal-relative:page;mso-position-vertical-relative:page;z-index:-251623424;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XiaV2gAAAAwBAAAPAAAAAAAAAAEAIAAA&#10;ACIAAABkcnMvZG93bnJldi54bWxQSwECFAAUAAAACACHTuJApMGengoCAAAbBAAADgAAAAAAAAAB&#10;ACAAAAApAQAAZHJzL2Uyb0RvYy54bWxQSwUGAAAAAAYABgBZAQAApQUAAAAA&#10;">
              <v:fill on="f" focussize="0,0"/>
              <v:stroke on="f"/>
              <v:imagedata o:title=""/>
              <o:lock v:ext="edit" aspectratio="f"/>
              <v:textbox inset="0mm,0mm,0mm,0mm">
                <w:txbxContent>
                  <w:p w14:paraId="1E8E92D0">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6998970</wp:posOffset>
              </wp:positionH>
              <wp:positionV relativeFrom="page">
                <wp:posOffset>10391775</wp:posOffset>
              </wp:positionV>
              <wp:extent cx="287020" cy="139065"/>
              <wp:effectExtent l="0" t="0" r="0" b="0"/>
              <wp:wrapNone/>
              <wp:docPr id="1346029814" name="Text Box 37"/>
              <wp:cNvGraphicFramePr/>
              <a:graphic xmlns:a="http://schemas.openxmlformats.org/drawingml/2006/main">
                <a:graphicData uri="http://schemas.microsoft.com/office/word/2010/wordprocessingShape">
                  <wps:wsp>
                    <wps:cNvSpPr txBox="1">
                      <a:spLocks noChangeArrowheads="1"/>
                    </wps:cNvSpPr>
                    <wps:spPr bwMode="auto">
                      <a:xfrm>
                        <a:off x="0" y="0"/>
                        <a:ext cx="287020" cy="139065"/>
                      </a:xfrm>
                      <a:prstGeom prst="rect">
                        <a:avLst/>
                      </a:prstGeom>
                      <a:noFill/>
                      <a:ln>
                        <a:noFill/>
                      </a:ln>
                      <a:effectLst/>
                    </wps:spPr>
                    <wps:txbx>
                      <w:txbxContent>
                        <w:p w14:paraId="2D11DC71">
                          <w:pPr>
                            <w:spacing w:before="14"/>
                            <w:rPr>
                              <w:rFonts w:ascii="Arial MT"/>
                              <w:sz w:val="16"/>
                            </w:rPr>
                          </w:pPr>
                          <w:r>
                            <w:fldChar w:fldCharType="begin"/>
                          </w:r>
                          <w:r>
                            <w:rPr>
                              <w:rFonts w:ascii="Arial MT"/>
                              <w:sz w:val="16"/>
                            </w:rPr>
                            <w:instrText xml:space="preserve"> PAGE </w:instrText>
                          </w:r>
                          <w:r>
                            <w:fldChar w:fldCharType="separate"/>
                          </w:r>
                          <w:r>
                            <w:t>5</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37" o:spid="_x0000_s1026" o:spt="202" type="#_x0000_t202" style="position:absolute;left:0pt;margin-left:551.1pt;margin-top:818.25pt;height:10.95pt;width:22.6pt;mso-position-horizontal-relative:page;mso-position-vertical-relative:page;z-index:-251622400;mso-width-relative:page;mso-height-relative:page;" filled="f" stroked="f" coordsize="21600,21600" o:gfxdata="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Qc+ncAAAADwEAAA8AAAAAAAAAAQAg&#10;AAAAIgAAAGRycy9kb3ducmV2LnhtbFBLAQIUABQAAAAIAIdO4kClKhi9CgIAABsEAAAOAAAAAAAA&#10;AAEAIAAAACsBAABkcnMvZTJvRG9jLnhtbFBLBQYAAAAABgAGAFkBAACnBQAAAAA=&#10;">
              <v:fill on="f" focussize="0,0"/>
              <v:stroke on="f"/>
              <v:imagedata o:title=""/>
              <o:lock v:ext="edit" aspectratio="f"/>
              <v:textbox inset="0mm,0mm,0mm,0mm">
                <w:txbxContent>
                  <w:p w14:paraId="2D11DC71">
                    <w:pPr>
                      <w:spacing w:before="14"/>
                      <w:rPr>
                        <w:rFonts w:ascii="Arial MT"/>
                        <w:sz w:val="16"/>
                      </w:rPr>
                    </w:pPr>
                    <w:r>
                      <w:fldChar w:fldCharType="begin"/>
                    </w:r>
                    <w:r>
                      <w:rPr>
                        <w:rFonts w:ascii="Arial MT"/>
                        <w:sz w:val="16"/>
                      </w:rPr>
                      <w:instrText xml:space="preserve"> PAGE </w:instrText>
                    </w:r>
                    <w:r>
                      <w:fldChar w:fldCharType="separate"/>
                    </w:r>
                    <w:r>
                      <w:t>5</w:t>
                    </w:r>
                    <w:r>
                      <w:fldChar w:fldCharType="end"/>
                    </w:r>
                    <w:r>
                      <w:rPr>
                        <w:rFonts w:ascii="Arial MT"/>
                        <w:sz w:val="16"/>
                      </w:rPr>
                      <w:t>/22</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9EEA8">
    <w:pPr>
      <w:pStyle w:val="15"/>
      <w:spacing w:line="14" w:lineRule="auto"/>
      <w:rPr>
        <w:sz w:val="20"/>
      </w:rPr>
    </w:pPr>
    <w:r>
      <w:drawing>
        <wp:anchor distT="0" distB="0" distL="0" distR="0" simplePos="0" relativeHeight="251697152" behindDoc="1" locked="0" layoutInCell="1" allowOverlap="1">
          <wp:simplePos x="0" y="0"/>
          <wp:positionH relativeFrom="page">
            <wp:posOffset>6477000</wp:posOffset>
          </wp:positionH>
          <wp:positionV relativeFrom="page">
            <wp:posOffset>9618980</wp:posOffset>
          </wp:positionV>
          <wp:extent cx="533400" cy="536575"/>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png"/>
                  <pic:cNvPicPr>
                    <a:picLocks noChangeAspect="1"/>
                  </pic:cNvPicPr>
                </pic:nvPicPr>
                <pic:blipFill>
                  <a:blip r:embed="rId1"/>
                  <a:stretch>
                    <a:fillRect/>
                  </a:stretch>
                </pic:blipFill>
                <pic:spPr>
                  <a:xfrm>
                    <a:off x="0" y="0"/>
                    <a:ext cx="533400" cy="536575"/>
                  </a:xfrm>
                  <a:prstGeom prst="rect">
                    <a:avLst/>
                  </a:prstGeom>
                  <a:noFill/>
                  <a:ln>
                    <a:noFill/>
                  </a:ln>
                </pic:spPr>
              </pic:pic>
            </a:graphicData>
          </a:graphic>
        </wp:anchor>
      </w:drawing>
    </w:r>
    <w:r>
      <mc:AlternateContent>
        <mc:Choice Requires="wps">
          <w:drawing>
            <wp:anchor distT="0" distB="0" distL="114300" distR="114300" simplePos="0" relativeHeight="251698176"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501803223" name="Text Box 34"/>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267679D9">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34" o:spid="_x0000_s1026" o:spt="202" type="#_x0000_t202" style="position:absolute;left:0pt;margin-left:24.5pt;margin-top:818.25pt;height:10.95pt;width:369.5pt;mso-position-horizontal-relative:page;mso-position-vertical-relative:page;z-index:-251618304;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XiaV2gAAAAwBAAAPAAAAAAAAAAEAIAAA&#10;ACIAAABkcnMvZG93bnJldi54bWxQSwECFAAUAAAACACHTuJA9AWLTwoCAAAbBAAADgAAAAAAAAAB&#10;ACAAAAApAQAAZHJzL2Uyb0RvYy54bWxQSwUGAAAAAAYABgBZAQAApQUAAAAA&#10;">
              <v:fill on="f" focussize="0,0"/>
              <v:stroke on="f"/>
              <v:imagedata o:title=""/>
              <o:lock v:ext="edit" aspectratio="f"/>
              <v:textbox inset="0mm,0mm,0mm,0mm">
                <w:txbxContent>
                  <w:p w14:paraId="267679D9">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6998970</wp:posOffset>
              </wp:positionH>
              <wp:positionV relativeFrom="page">
                <wp:posOffset>10391775</wp:posOffset>
              </wp:positionV>
              <wp:extent cx="287020" cy="139065"/>
              <wp:effectExtent l="0" t="0" r="0" b="0"/>
              <wp:wrapNone/>
              <wp:docPr id="1150312640" name="Text Box 33"/>
              <wp:cNvGraphicFramePr/>
              <a:graphic xmlns:a="http://schemas.openxmlformats.org/drawingml/2006/main">
                <a:graphicData uri="http://schemas.microsoft.com/office/word/2010/wordprocessingShape">
                  <wps:wsp>
                    <wps:cNvSpPr txBox="1">
                      <a:spLocks noChangeArrowheads="1"/>
                    </wps:cNvSpPr>
                    <wps:spPr bwMode="auto">
                      <a:xfrm>
                        <a:off x="0" y="0"/>
                        <a:ext cx="287020" cy="139065"/>
                      </a:xfrm>
                      <a:prstGeom prst="rect">
                        <a:avLst/>
                      </a:prstGeom>
                      <a:noFill/>
                      <a:ln>
                        <a:noFill/>
                      </a:ln>
                      <a:effectLst/>
                    </wps:spPr>
                    <wps:txbx>
                      <w:txbxContent>
                        <w:p w14:paraId="26ADCDA5">
                          <w:pPr>
                            <w:spacing w:before="14"/>
                            <w:rPr>
                              <w:rFonts w:ascii="Arial MT"/>
                              <w:sz w:val="16"/>
                            </w:rPr>
                          </w:pPr>
                          <w:r>
                            <w:fldChar w:fldCharType="begin"/>
                          </w:r>
                          <w:r>
                            <w:rPr>
                              <w:rFonts w:ascii="Arial MT"/>
                              <w:sz w:val="16"/>
                            </w:rPr>
                            <w:instrText xml:space="preserve"> PAGE </w:instrText>
                          </w:r>
                          <w:r>
                            <w:fldChar w:fldCharType="separate"/>
                          </w:r>
                          <w:r>
                            <w:t>6</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33" o:spid="_x0000_s1026" o:spt="202" type="#_x0000_t202" style="position:absolute;left:0pt;margin-left:551.1pt;margin-top:818.25pt;height:10.95pt;width:22.6pt;mso-position-horizontal-relative:page;mso-position-vertical-relative:page;z-index:-251617280;mso-width-relative:page;mso-height-relative:page;" filled="f" stroked="f" coordsize="21600,21600" o:gfxdata="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dBz6dwAAAAPAQAADwAAAAAAAAABACAA&#10;AAAiAAAAZHJzL2Rvd25yZXYueG1sUEsBAhQAFAAAAAgAh07iQO9vyEUJAgAAGwQAAA4AAAAAAAAA&#10;AQAgAAAAKwEAAGRycy9lMm9Eb2MueG1sUEsFBgAAAAAGAAYAWQEAAKYFAAAAAA==&#10;">
              <v:fill on="f" focussize="0,0"/>
              <v:stroke on="f"/>
              <v:imagedata o:title=""/>
              <o:lock v:ext="edit" aspectratio="f"/>
              <v:textbox inset="0mm,0mm,0mm,0mm">
                <w:txbxContent>
                  <w:p w14:paraId="26ADCDA5">
                    <w:pPr>
                      <w:spacing w:before="14"/>
                      <w:rPr>
                        <w:rFonts w:ascii="Arial MT"/>
                        <w:sz w:val="16"/>
                      </w:rPr>
                    </w:pPr>
                    <w:r>
                      <w:fldChar w:fldCharType="begin"/>
                    </w:r>
                    <w:r>
                      <w:rPr>
                        <w:rFonts w:ascii="Arial MT"/>
                        <w:sz w:val="16"/>
                      </w:rPr>
                      <w:instrText xml:space="preserve"> PAGE </w:instrText>
                    </w:r>
                    <w:r>
                      <w:fldChar w:fldCharType="separate"/>
                    </w:r>
                    <w:r>
                      <w:t>6</w:t>
                    </w:r>
                    <w:r>
                      <w:fldChar w:fldCharType="end"/>
                    </w:r>
                    <w:r>
                      <w:rPr>
                        <w:rFonts w:ascii="Arial MT"/>
                        <w:sz w:val="16"/>
                      </w:rPr>
                      <w:t>/22</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5E832">
    <w:pPr>
      <w:pStyle w:val="15"/>
      <w:spacing w:line="14" w:lineRule="auto"/>
      <w:rPr>
        <w:sz w:val="20"/>
      </w:rPr>
    </w:pPr>
    <w:r>
      <mc:AlternateContent>
        <mc:Choice Requires="wps">
          <w:drawing>
            <wp:anchor distT="0" distB="0" distL="114300" distR="114300" simplePos="0" relativeHeight="251702272"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1245681353" name="Text Box 30"/>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579E7720">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30" o:spid="_x0000_s1026" o:spt="202" type="#_x0000_t202" style="position:absolute;left:0pt;margin-left:24.5pt;margin-top:818.25pt;height:10.95pt;width:369.5pt;mso-position-horizontal-relative:page;mso-position-vertical-relative:page;z-index:-251614208;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XiaV2gAAAAwBAAAPAAAAAAAAAAEAIAAA&#10;ACIAAABkcnMvZG93bnJldi54bWxQSwECFAAUAAAACACHTuJAngn9cAoCAAAcBAAADgAAAAAAAAAB&#10;ACAAAAApAQAAZHJzL2Uyb0RvYy54bWxQSwUGAAAAAAYABgBZAQAApQUAAAAA&#10;">
              <v:fill on="f" focussize="0,0"/>
              <v:stroke on="f"/>
              <v:imagedata o:title=""/>
              <o:lock v:ext="edit" aspectratio="f"/>
              <v:textbox inset="0mm,0mm,0mm,0mm">
                <w:txbxContent>
                  <w:p w14:paraId="579E7720">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6998970</wp:posOffset>
              </wp:positionH>
              <wp:positionV relativeFrom="page">
                <wp:posOffset>10391775</wp:posOffset>
              </wp:positionV>
              <wp:extent cx="287020" cy="139065"/>
              <wp:effectExtent l="0" t="0" r="0" b="0"/>
              <wp:wrapNone/>
              <wp:docPr id="1395451057" name="Text Box 29"/>
              <wp:cNvGraphicFramePr/>
              <a:graphic xmlns:a="http://schemas.openxmlformats.org/drawingml/2006/main">
                <a:graphicData uri="http://schemas.microsoft.com/office/word/2010/wordprocessingShape">
                  <wps:wsp>
                    <wps:cNvSpPr txBox="1">
                      <a:spLocks noChangeArrowheads="1"/>
                    </wps:cNvSpPr>
                    <wps:spPr bwMode="auto">
                      <a:xfrm>
                        <a:off x="0" y="0"/>
                        <a:ext cx="287020" cy="139065"/>
                      </a:xfrm>
                      <a:prstGeom prst="rect">
                        <a:avLst/>
                      </a:prstGeom>
                      <a:noFill/>
                      <a:ln>
                        <a:noFill/>
                      </a:ln>
                      <a:effectLst/>
                    </wps:spPr>
                    <wps:txbx>
                      <w:txbxContent>
                        <w:p w14:paraId="2528DA6B">
                          <w:pPr>
                            <w:spacing w:before="14"/>
                            <w:rPr>
                              <w:rFonts w:ascii="Arial MT"/>
                              <w:sz w:val="16"/>
                            </w:rPr>
                          </w:pPr>
                          <w:r>
                            <w:fldChar w:fldCharType="begin"/>
                          </w:r>
                          <w:r>
                            <w:rPr>
                              <w:rFonts w:ascii="Arial MT"/>
                              <w:sz w:val="16"/>
                            </w:rPr>
                            <w:instrText xml:space="preserve"> PAGE </w:instrText>
                          </w:r>
                          <w:r>
                            <w:fldChar w:fldCharType="separate"/>
                          </w:r>
                          <w:r>
                            <w:t>9</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29" o:spid="_x0000_s1026" o:spt="202" type="#_x0000_t202" style="position:absolute;left:0pt;margin-left:551.1pt;margin-top:818.25pt;height:10.95pt;width:22.6pt;mso-position-horizontal-relative:page;mso-position-vertical-relative:page;z-index:-251613184;mso-width-relative:page;mso-height-relative:page;" filled="f" stroked="f" coordsize="21600,21600" o:gfxdata="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dBz6dwAAAAPAQAADwAAAAAAAAABACAA&#10;AAAiAAAAZHJzL2Rvd25yZXYueG1sUEsBAhQAFAAAAAgAh07iQBHJHr0JAgAAGwQAAA4AAAAAAAAA&#10;AQAgAAAAKwEAAGRycy9lMm9Eb2MueG1sUEsFBgAAAAAGAAYAWQEAAKYFAAAAAA==&#10;">
              <v:fill on="f" focussize="0,0"/>
              <v:stroke on="f"/>
              <v:imagedata o:title=""/>
              <o:lock v:ext="edit" aspectratio="f"/>
              <v:textbox inset="0mm,0mm,0mm,0mm">
                <w:txbxContent>
                  <w:p w14:paraId="2528DA6B">
                    <w:pPr>
                      <w:spacing w:before="14"/>
                      <w:rPr>
                        <w:rFonts w:ascii="Arial MT"/>
                        <w:sz w:val="16"/>
                      </w:rPr>
                    </w:pPr>
                    <w:r>
                      <w:fldChar w:fldCharType="begin"/>
                    </w:r>
                    <w:r>
                      <w:rPr>
                        <w:rFonts w:ascii="Arial MT"/>
                        <w:sz w:val="16"/>
                      </w:rPr>
                      <w:instrText xml:space="preserve"> PAGE </w:instrText>
                    </w:r>
                    <w:r>
                      <w:fldChar w:fldCharType="separate"/>
                    </w:r>
                    <w:r>
                      <w:t>9</w:t>
                    </w:r>
                    <w:r>
                      <w:fldChar w:fldCharType="end"/>
                    </w:r>
                    <w:r>
                      <w:rPr>
                        <w:rFonts w:ascii="Arial MT"/>
                        <w:sz w:val="16"/>
                      </w:rPr>
                      <w:t>/22</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B8B49">
    <w:pPr>
      <w:pStyle w:val="15"/>
      <w:spacing w:line="14" w:lineRule="auto"/>
      <w:rPr>
        <w:sz w:val="20"/>
      </w:rPr>
    </w:pPr>
    <w:r>
      <w:drawing>
        <wp:anchor distT="0" distB="0" distL="0" distR="0" simplePos="0" relativeHeight="251705344" behindDoc="1" locked="0" layoutInCell="1" allowOverlap="1">
          <wp:simplePos x="0" y="0"/>
          <wp:positionH relativeFrom="page">
            <wp:posOffset>6477000</wp:posOffset>
          </wp:positionH>
          <wp:positionV relativeFrom="page">
            <wp:posOffset>9618980</wp:posOffset>
          </wp:positionV>
          <wp:extent cx="533400" cy="536575"/>
          <wp:effectExtent l="0" t="0" r="0" b="0"/>
          <wp:wrapNone/>
          <wp:docPr id="1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a:picLocks noChangeAspect="1"/>
                  </pic:cNvPicPr>
                </pic:nvPicPr>
                <pic:blipFill>
                  <a:blip r:embed="rId1"/>
                  <a:stretch>
                    <a:fillRect/>
                  </a:stretch>
                </pic:blipFill>
                <pic:spPr>
                  <a:xfrm>
                    <a:off x="0" y="0"/>
                    <a:ext cx="533400" cy="536575"/>
                  </a:xfrm>
                  <a:prstGeom prst="rect">
                    <a:avLst/>
                  </a:prstGeom>
                  <a:noFill/>
                  <a:ln>
                    <a:noFill/>
                  </a:ln>
                </pic:spPr>
              </pic:pic>
            </a:graphicData>
          </a:graphic>
        </wp:anchor>
      </w:drawing>
    </w:r>
    <w:r>
      <mc:AlternateContent>
        <mc:Choice Requires="wps">
          <w:drawing>
            <wp:anchor distT="0" distB="0" distL="114300" distR="114300" simplePos="0" relativeHeight="251706368"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1598871354" name="Text Box 26"/>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6AE03387">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26" o:spid="_x0000_s1026" o:spt="202" type="#_x0000_t202" style="position:absolute;left:0pt;margin-left:24.5pt;margin-top:818.25pt;height:10.95pt;width:369.5pt;mso-position-horizontal-relative:page;mso-position-vertical-relative:page;z-index:-251610112;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l4mldoAAAAMAQAADwAAAAAAAAABACAA&#10;AAAiAAAAZHJzL2Rvd25yZXYueG1sUEsBAhQAFAAAAAgAh07iQOKw2BwLAgAAHAQAAA4AAAAAAAAA&#10;AQAgAAAAKQEAAGRycy9lMm9Eb2MueG1sUEsFBgAAAAAGAAYAWQEAAKYFAAAAAA==&#10;">
              <v:fill on="f" focussize="0,0"/>
              <v:stroke on="f"/>
              <v:imagedata o:title=""/>
              <o:lock v:ext="edit" aspectratio="f"/>
              <v:textbox inset="0mm,0mm,0mm,0mm">
                <w:txbxContent>
                  <w:p w14:paraId="6AE03387">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707392" behindDoc="1" locked="0" layoutInCell="1" allowOverlap="1">
              <wp:simplePos x="0" y="0"/>
              <wp:positionH relativeFrom="page">
                <wp:posOffset>6942455</wp:posOffset>
              </wp:positionH>
              <wp:positionV relativeFrom="page">
                <wp:posOffset>10391775</wp:posOffset>
              </wp:positionV>
              <wp:extent cx="343535" cy="139065"/>
              <wp:effectExtent l="0" t="0" r="0" b="0"/>
              <wp:wrapNone/>
              <wp:docPr id="1389933882" name="Text Box 25"/>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ffectLst/>
                    </wps:spPr>
                    <wps:txbx>
                      <w:txbxContent>
                        <w:p w14:paraId="603B0C69">
                          <w:pPr>
                            <w:spacing w:before="14"/>
                            <w:rPr>
                              <w:rFonts w:ascii="Arial MT"/>
                              <w:sz w:val="16"/>
                            </w:rPr>
                          </w:pPr>
                          <w:r>
                            <w:fldChar w:fldCharType="begin"/>
                          </w:r>
                          <w:r>
                            <w:rPr>
                              <w:rFonts w:ascii="Arial MT"/>
                              <w:sz w:val="16"/>
                            </w:rPr>
                            <w:instrText xml:space="preserve"> PAGE </w:instrText>
                          </w:r>
                          <w:r>
                            <w:fldChar w:fldCharType="separate"/>
                          </w:r>
                          <w:r>
                            <w:t>10</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25" o:spid="_x0000_s1026" o:spt="202" type="#_x0000_t202" style="position:absolute;left:0pt;margin-left:546.65pt;margin-top:818.25pt;height:10.95pt;width:27.05pt;mso-position-horizontal-relative:page;mso-position-vertical-relative:page;z-index:-251609088;mso-width-relative:page;mso-height-relative:page;" filled="f" stroked="f" coordsize="21600,21600" o:gfxdata="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qqqbcAAAADwEAAA8AAAAAAAAAAQAg&#10;AAAAIgAAAGRycy9kb3ducmV2LnhtbFBLAQIUABQAAAAIAIdO4kBdt6wMCgIAABsEAAAOAAAAAAAA&#10;AAEAIAAAACsBAABkcnMvZTJvRG9jLnhtbFBLBQYAAAAABgAGAFkBAACnBQAAAAA=&#10;">
              <v:fill on="f" focussize="0,0"/>
              <v:stroke on="f"/>
              <v:imagedata o:title=""/>
              <o:lock v:ext="edit" aspectratio="f"/>
              <v:textbox inset="0mm,0mm,0mm,0mm">
                <w:txbxContent>
                  <w:p w14:paraId="603B0C69">
                    <w:pPr>
                      <w:spacing w:before="14"/>
                      <w:rPr>
                        <w:rFonts w:ascii="Arial MT"/>
                        <w:sz w:val="16"/>
                      </w:rPr>
                    </w:pPr>
                    <w:r>
                      <w:fldChar w:fldCharType="begin"/>
                    </w:r>
                    <w:r>
                      <w:rPr>
                        <w:rFonts w:ascii="Arial MT"/>
                        <w:sz w:val="16"/>
                      </w:rPr>
                      <w:instrText xml:space="preserve"> PAGE </w:instrText>
                    </w:r>
                    <w:r>
                      <w:fldChar w:fldCharType="separate"/>
                    </w:r>
                    <w:r>
                      <w:t>10</w:t>
                    </w:r>
                    <w:r>
                      <w:fldChar w:fldCharType="end"/>
                    </w:r>
                    <w:r>
                      <w:rPr>
                        <w:rFonts w:ascii="Arial MT"/>
                        <w:sz w:val="16"/>
                      </w:rPr>
                      <w:t>/22</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7F79B">
    <w:pPr>
      <w:pStyle w:val="15"/>
      <w:spacing w:line="14" w:lineRule="auto"/>
      <w:rPr>
        <w:sz w:val="20"/>
      </w:rPr>
    </w:pPr>
    <w:r>
      <mc:AlternateContent>
        <mc:Choice Requires="wps">
          <w:drawing>
            <wp:anchor distT="0" distB="0" distL="114300" distR="114300" simplePos="0" relativeHeight="251710464"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1226476127" name="Text Box 22"/>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5E16E51C">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24.5pt;margin-top:818.25pt;height:10.95pt;width:369.5pt;mso-position-horizontal-relative:page;mso-position-vertical-relative:page;z-index:-251606016;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l4mldoAAAAMAQAADwAAAAAAAAABACAA&#10;AAAiAAAAZHJzL2Rvd25yZXYueG1sUEsBAhQAFAAAAAgAh07iQO40e2MLAgAAHAQAAA4AAAAAAAAA&#10;AQAgAAAAKQEAAGRycy9lMm9Eb2MueG1sUEsFBgAAAAAGAAYAWQEAAKYFAAAAAA==&#10;">
              <v:fill on="f" focussize="0,0"/>
              <v:stroke on="f"/>
              <v:imagedata o:title=""/>
              <o:lock v:ext="edit" aspectratio="f"/>
              <v:textbox inset="0mm,0mm,0mm,0mm">
                <w:txbxContent>
                  <w:p w14:paraId="5E16E51C">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6942455</wp:posOffset>
              </wp:positionH>
              <wp:positionV relativeFrom="page">
                <wp:posOffset>10391775</wp:posOffset>
              </wp:positionV>
              <wp:extent cx="343535" cy="139065"/>
              <wp:effectExtent l="0" t="0" r="0" b="0"/>
              <wp:wrapNone/>
              <wp:docPr id="1805665914" name="Text Box 21"/>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ffectLst/>
                    </wps:spPr>
                    <wps:txbx>
                      <w:txbxContent>
                        <w:p w14:paraId="1A76093D">
                          <w:pPr>
                            <w:spacing w:before="14"/>
                            <w:rPr>
                              <w:rFonts w:ascii="Arial MT"/>
                              <w:sz w:val="16"/>
                            </w:rPr>
                          </w:pPr>
                          <w:r>
                            <w:fldChar w:fldCharType="begin"/>
                          </w:r>
                          <w:r>
                            <w:rPr>
                              <w:rFonts w:ascii="Arial MT"/>
                              <w:sz w:val="16"/>
                            </w:rPr>
                            <w:instrText xml:space="preserve"> PAGE </w:instrText>
                          </w:r>
                          <w:r>
                            <w:fldChar w:fldCharType="separate"/>
                          </w:r>
                          <w:r>
                            <w:t>13</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left:546.65pt;margin-top:818.25pt;height:10.95pt;width:27.05pt;mso-position-horizontal-relative:page;mso-position-vertical-relative:page;z-index:-251604992;mso-width-relative:page;mso-height-relative:page;" filled="f" stroked="f" coordsize="21600,21600" o:gfxdata="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qqqbcAAAADwEAAA8AAAAAAAAAAQAg&#10;AAAAIgAAAGRycy9kb3ducmV2LnhtbFBLAQIUABQAAAAIAIdO4kC8O8j5CgIAABsEAAAOAAAAAAAA&#10;AAEAIAAAACsBAABkcnMvZTJvRG9jLnhtbFBLBQYAAAAABgAGAFkBAACnBQAAAAA=&#10;">
              <v:fill on="f" focussize="0,0"/>
              <v:stroke on="f"/>
              <v:imagedata o:title=""/>
              <o:lock v:ext="edit" aspectratio="f"/>
              <v:textbox inset="0mm,0mm,0mm,0mm">
                <w:txbxContent>
                  <w:p w14:paraId="1A76093D">
                    <w:pPr>
                      <w:spacing w:before="14"/>
                      <w:rPr>
                        <w:rFonts w:ascii="Arial MT"/>
                        <w:sz w:val="16"/>
                      </w:rPr>
                    </w:pPr>
                    <w:r>
                      <w:fldChar w:fldCharType="begin"/>
                    </w:r>
                    <w:r>
                      <w:rPr>
                        <w:rFonts w:ascii="Arial MT"/>
                        <w:sz w:val="16"/>
                      </w:rPr>
                      <w:instrText xml:space="preserve"> PAGE </w:instrText>
                    </w:r>
                    <w:r>
                      <w:fldChar w:fldCharType="separate"/>
                    </w:r>
                    <w:r>
                      <w:t>13</w:t>
                    </w:r>
                    <w:r>
                      <w:fldChar w:fldCharType="end"/>
                    </w:r>
                    <w:r>
                      <w:rPr>
                        <w:rFonts w:ascii="Arial MT"/>
                        <w:sz w:val="16"/>
                      </w:rPr>
                      <w:t>/22</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99894">
    <w:pPr>
      <w:pStyle w:val="15"/>
      <w:spacing w:line="14" w:lineRule="auto"/>
      <w:rPr>
        <w:sz w:val="20"/>
      </w:rPr>
    </w:pPr>
    <w:r>
      <w:drawing>
        <wp:anchor distT="0" distB="0" distL="0" distR="0" simplePos="0" relativeHeight="251714560" behindDoc="1" locked="0" layoutInCell="1" allowOverlap="1">
          <wp:simplePos x="0" y="0"/>
          <wp:positionH relativeFrom="page">
            <wp:posOffset>6477000</wp:posOffset>
          </wp:positionH>
          <wp:positionV relativeFrom="page">
            <wp:posOffset>9618980</wp:posOffset>
          </wp:positionV>
          <wp:extent cx="533400" cy="536575"/>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png"/>
                  <pic:cNvPicPr>
                    <a:picLocks noChangeAspect="1"/>
                  </pic:cNvPicPr>
                </pic:nvPicPr>
                <pic:blipFill>
                  <a:blip r:embed="rId1"/>
                  <a:stretch>
                    <a:fillRect/>
                  </a:stretch>
                </pic:blipFill>
                <pic:spPr>
                  <a:xfrm>
                    <a:off x="0" y="0"/>
                    <a:ext cx="533400" cy="536575"/>
                  </a:xfrm>
                  <a:prstGeom prst="rect">
                    <a:avLst/>
                  </a:prstGeom>
                  <a:noFill/>
                  <a:ln>
                    <a:noFill/>
                  </a:ln>
                </pic:spPr>
              </pic:pic>
            </a:graphicData>
          </a:graphic>
        </wp:anchor>
      </w:drawing>
    </w:r>
    <w:r>
      <mc:AlternateContent>
        <mc:Choice Requires="wps">
          <w:drawing>
            <wp:anchor distT="0" distB="0" distL="114300" distR="114300" simplePos="0" relativeHeight="251715584" behindDoc="1" locked="0" layoutInCell="1" allowOverlap="1">
              <wp:simplePos x="0" y="0"/>
              <wp:positionH relativeFrom="page">
                <wp:posOffset>311150</wp:posOffset>
              </wp:positionH>
              <wp:positionV relativeFrom="page">
                <wp:posOffset>10391775</wp:posOffset>
              </wp:positionV>
              <wp:extent cx="4692650" cy="139065"/>
              <wp:effectExtent l="0" t="0" r="0" b="0"/>
              <wp:wrapNone/>
              <wp:docPr id="1093379776" name="Text Box 18"/>
              <wp:cNvGraphicFramePr/>
              <a:graphic xmlns:a="http://schemas.openxmlformats.org/drawingml/2006/main">
                <a:graphicData uri="http://schemas.microsoft.com/office/word/2010/wordprocessingShape">
                  <wps:wsp>
                    <wps:cNvSpPr txBox="1">
                      <a:spLocks noChangeArrowheads="1"/>
                    </wps:cNvSpPr>
                    <wps:spPr bwMode="auto">
                      <a:xfrm>
                        <a:off x="0" y="0"/>
                        <a:ext cx="4692650" cy="139065"/>
                      </a:xfrm>
                      <a:prstGeom prst="rect">
                        <a:avLst/>
                      </a:prstGeom>
                      <a:noFill/>
                      <a:ln>
                        <a:noFill/>
                      </a:ln>
                      <a:effectLst/>
                    </wps:spPr>
                    <wps:txbx>
                      <w:txbxContent>
                        <w:p w14:paraId="2F4DBFF6">
                          <w:pPr>
                            <w:spacing w:before="14"/>
                            <w:rPr>
                              <w:rFonts w:ascii="Arial MT"/>
                              <w:sz w:val="16"/>
                            </w:rPr>
                          </w:pPr>
                          <w:r>
                            <w:rPr>
                              <w:rFonts w:ascii="Arial MT"/>
                              <w:sz w:val="16"/>
                            </w:rPr>
                            <w:t>https://docs.google.com/forms/d/1HczRnnyvp2oCRtce6UewNpVjKPFp2_ExkOTXx-YMeto/viewanalytics</w:t>
                          </w:r>
                        </w:p>
                      </w:txbxContent>
                    </wps:txbx>
                    <wps:bodyPr rot="0" vert="horz" wrap="square" lIns="0" tIns="0" rIns="0" bIns="0" anchor="t" anchorCtr="0" upright="1">
                      <a:noAutofit/>
                    </wps:bodyPr>
                  </wps:wsp>
                </a:graphicData>
              </a:graphic>
            </wp:anchor>
          </w:drawing>
        </mc:Choice>
        <mc:Fallback>
          <w:pict>
            <v:shape id="Text Box 18" o:spid="_x0000_s1026" o:spt="202" type="#_x0000_t202" style="position:absolute;left:0pt;margin-left:24.5pt;margin-top:818.25pt;height:10.95pt;width:369.5pt;mso-position-horizontal-relative:page;mso-position-vertical-relative:page;z-index:-251600896;mso-width-relative:page;mso-height-relative:page;" filled="f" stroked="f" coordsize="21600,21600" o:gfxdata="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l4mldoAAAAMAQAADwAAAAAAAAABACAA&#10;AAAiAAAAZHJzL2Rvd25yZXYueG1sUEsBAhQAFAAAAAgAh07iQDt6ds8LAgAAHAQAAA4AAAAAAAAA&#10;AQAgAAAAKQEAAGRycy9lMm9Eb2MueG1sUEsFBgAAAAAGAAYAWQEAAKYFAAAAAA==&#10;">
              <v:fill on="f" focussize="0,0"/>
              <v:stroke on="f"/>
              <v:imagedata o:title=""/>
              <o:lock v:ext="edit" aspectratio="f"/>
              <v:textbox inset="0mm,0mm,0mm,0mm">
                <w:txbxContent>
                  <w:p w14:paraId="2F4DBFF6">
                    <w:pPr>
                      <w:spacing w:before="14"/>
                      <w:rPr>
                        <w:rFonts w:ascii="Arial MT"/>
                        <w:sz w:val="16"/>
                      </w:rPr>
                    </w:pPr>
                    <w:r>
                      <w:rPr>
                        <w:rFonts w:ascii="Arial MT"/>
                        <w:sz w:val="16"/>
                      </w:rPr>
                      <w:t>https://docs.google.com/forms/d/1HczRnnyvp2oCRtce6UewNpVjKPFp2_ExkOTXx-YMeto/viewanalytics</w:t>
                    </w:r>
                  </w:p>
                </w:txbxContent>
              </v:textbox>
            </v:shape>
          </w:pict>
        </mc:Fallback>
      </mc:AlternateContent>
    </w:r>
    <w:r>
      <mc:AlternateContent>
        <mc:Choice Requires="wps">
          <w:drawing>
            <wp:anchor distT="0" distB="0" distL="114300" distR="114300" simplePos="0" relativeHeight="251716608" behindDoc="1" locked="0" layoutInCell="1" allowOverlap="1">
              <wp:simplePos x="0" y="0"/>
              <wp:positionH relativeFrom="page">
                <wp:posOffset>6942455</wp:posOffset>
              </wp:positionH>
              <wp:positionV relativeFrom="page">
                <wp:posOffset>10391775</wp:posOffset>
              </wp:positionV>
              <wp:extent cx="343535" cy="139065"/>
              <wp:effectExtent l="0" t="0" r="0" b="0"/>
              <wp:wrapNone/>
              <wp:docPr id="1882632040" name="Text Box 17"/>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ffectLst/>
                    </wps:spPr>
                    <wps:txbx>
                      <w:txbxContent>
                        <w:p w14:paraId="67C3DBC7">
                          <w:pPr>
                            <w:spacing w:before="14"/>
                            <w:rPr>
                              <w:rFonts w:ascii="Arial MT"/>
                              <w:sz w:val="16"/>
                            </w:rPr>
                          </w:pPr>
                          <w:r>
                            <w:fldChar w:fldCharType="begin"/>
                          </w:r>
                          <w:r>
                            <w:rPr>
                              <w:rFonts w:ascii="Arial MT"/>
                              <w:sz w:val="16"/>
                            </w:rPr>
                            <w:instrText xml:space="preserve"> PAGE </w:instrText>
                          </w:r>
                          <w:r>
                            <w:fldChar w:fldCharType="separate"/>
                          </w:r>
                          <w:r>
                            <w:t>14</w:t>
                          </w:r>
                          <w:r>
                            <w:fldChar w:fldCharType="end"/>
                          </w:r>
                          <w:r>
                            <w:rPr>
                              <w:rFonts w:ascii="Arial MT"/>
                              <w:sz w:val="16"/>
                            </w:rPr>
                            <w:t>/22</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546.65pt;margin-top:818.25pt;height:10.95pt;width:27.05pt;mso-position-horizontal-relative:page;mso-position-vertical-relative:page;z-index:-251599872;mso-width-relative:page;mso-height-relative:page;" filled="f" stroked="f" coordsize="21600,21600" o:gfxdata="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qqqbcAAAADwEAAA8AAAAAAAAAAQAg&#10;AAAAIgAAAGRycy9kb3ducmV2LnhtbFBLAQIUABQAAAAIAIdO4kAMKWcDCgIAABsEAAAOAAAAAAAA&#10;AAEAIAAAACsBAABkcnMvZTJvRG9jLnhtbFBLBQYAAAAABgAGAFkBAACnBQAAAAA=&#10;">
              <v:fill on="f" focussize="0,0"/>
              <v:stroke on="f"/>
              <v:imagedata o:title=""/>
              <o:lock v:ext="edit" aspectratio="f"/>
              <v:textbox inset="0mm,0mm,0mm,0mm">
                <w:txbxContent>
                  <w:p w14:paraId="67C3DBC7">
                    <w:pPr>
                      <w:spacing w:before="14"/>
                      <w:rPr>
                        <w:rFonts w:ascii="Arial MT"/>
                        <w:sz w:val="16"/>
                      </w:rPr>
                    </w:pPr>
                    <w:r>
                      <w:fldChar w:fldCharType="begin"/>
                    </w:r>
                    <w:r>
                      <w:rPr>
                        <w:rFonts w:ascii="Arial MT"/>
                        <w:sz w:val="16"/>
                      </w:rPr>
                      <w:instrText xml:space="preserve"> PAGE </w:instrText>
                    </w:r>
                    <w:r>
                      <w:fldChar w:fldCharType="separate"/>
                    </w:r>
                    <w:r>
                      <w:t>14</w:t>
                    </w:r>
                    <w:r>
                      <w:fldChar w:fldCharType="end"/>
                    </w:r>
                    <w:r>
                      <w:rPr>
                        <w:rFonts w:ascii="Arial MT"/>
                        <w:sz w:val="16"/>
                      </w:rPr>
                      <w:t>/22</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54">
    <w:p>
      <w:r>
        <w:separator/>
      </w:r>
    </w:p>
  </w:footnote>
  <w:footnote w:type="continuationSeparator" w:id="1455">
    <w:p>
      <w:r>
        <w:continuationSeparator/>
      </w:r>
    </w:p>
  </w:footnote>
  <w:footnote w:id="0">
    <w:p w14:paraId="1D216935">
      <w:pPr>
        <w:pStyle w:val="24"/>
        <w:jc w:val="both"/>
        <w:rPr>
          <w:rFonts w:ascii="Times New Roman" w:hAnsi="Times New Roman" w:eastAsia="Times New Roman" w:cs="Times New Roman"/>
        </w:rPr>
      </w:pPr>
      <w:r>
        <w:rPr>
          <w:rFonts w:ascii="Times New Roman" w:hAnsi="Times New Roman" w:cs="Times New Roman"/>
          <w:smallCaps/>
          <w:vertAlign w:val="superscript"/>
        </w:rPr>
        <w:footnoteRef/>
      </w:r>
      <w:r>
        <w:rPr>
          <w:rStyle w:val="41"/>
          <w:rFonts w:ascii="Times New Roman" w:hAnsi="Times New Roman" w:cs="Times New Roman"/>
        </w:rPr>
        <w:t xml:space="preserve"> </w:t>
      </w:r>
      <w:r>
        <w:rPr>
          <w:rStyle w:val="41"/>
          <w:rFonts w:ascii="Times New Roman" w:hAnsi="Times New Roman" w:cs="Times New Roman"/>
        </w:rPr>
        <w:tab/>
      </w:r>
      <w:r>
        <w:rPr>
          <w:rFonts w:ascii="Times New Roman" w:hAnsi="Times New Roman" w:cs="Times New Roman"/>
        </w:rPr>
        <w:t xml:space="preserve">Sir Josiah Stamp, The Fundamental Principles of Taxation in the Light of Modern Developments: </w:t>
      </w:r>
    </w:p>
    <w:p w14:paraId="25CDE17C">
      <w:pPr>
        <w:pStyle w:val="24"/>
        <w:ind w:left="720"/>
        <w:jc w:val="both"/>
        <w:rPr>
          <w:rFonts w:ascii="Times New Roman" w:hAnsi="Times New Roman" w:cs="Times New Roman"/>
        </w:rPr>
      </w:pPr>
      <w:r>
        <w:rPr>
          <w:rFonts w:ascii="Times New Roman" w:hAnsi="Times New Roman" w:cs="Times New Roman"/>
        </w:rPr>
        <w:t>The Newmarch Lectures for 1919 (1929) 198 (referring to M’Culloch’s adaptation of Pope), quoted in P J Lanigan, ‘Technical Problems Relating to the Objectives and Consequences of Taxation’ in Taxation Institute of Australia (ed), Taxation Now and in the Future: Papers and Commentaries Presented at the First National Convention of the Taxation Institute of Australia (1969) 27, 39.</w:t>
      </w:r>
    </w:p>
  </w:footnote>
  <w:footnote w:id="1">
    <w:p w14:paraId="6650139B">
      <w:pPr>
        <w:pStyle w:val="24"/>
      </w:pPr>
      <w:r>
        <w:rPr>
          <w:rFonts w:ascii="Times New Roman" w:hAnsi="Times New Roman" w:eastAsia="Times New Roman" w:cs="Times New Roman"/>
          <w:vertAlign w:val="superscript"/>
        </w:rPr>
        <w:footnoteRef/>
      </w:r>
      <w:r>
        <w:rPr>
          <w:rStyle w:val="41"/>
          <w:rFonts w:ascii="Times New Roman" w:hAnsi="Times New Roman" w:eastAsia="Arial Unicode MS" w:cs="Times New Roman"/>
        </w:rPr>
        <w:t xml:space="preserve"> </w:t>
      </w:r>
      <w:r>
        <w:rPr>
          <w:rStyle w:val="41"/>
          <w:rFonts w:ascii="Times New Roman" w:hAnsi="Times New Roman" w:eastAsia="Arial Unicode MS" w:cs="Times New Roman"/>
        </w:rPr>
        <w:tab/>
      </w:r>
      <w:r>
        <w:rPr>
          <w:rStyle w:val="41"/>
          <w:rFonts w:ascii="Times New Roman" w:hAnsi="Times New Roman" w:eastAsia="Arial Unicode MS" w:cs="Times New Roman"/>
        </w:rPr>
        <w:t xml:space="preserve">Cambridge Dictionary: </w:t>
      </w:r>
      <w:r>
        <w:rPr>
          <w:rFonts w:ascii="Times New Roman" w:hAnsi="Times New Roman" w:cs="Times New Roman"/>
        </w:rPr>
        <w:t>https://dictionary.cambridge.org.</w:t>
      </w:r>
    </w:p>
  </w:footnote>
  <w:footnote w:id="2">
    <w:p w14:paraId="290D1F0A">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upstream sector involves the </w:t>
      </w:r>
      <w:r>
        <w:rPr>
          <w:rFonts w:ascii="Times New Roman" w:hAnsi="Times New Roman" w:cs="Times New Roman"/>
          <w:bCs/>
        </w:rPr>
        <w:t xml:space="preserve">exploration for and extraction of petroleum crude oil and </w:t>
      </w:r>
    </w:p>
    <w:p w14:paraId="776C9487">
      <w:pPr>
        <w:pStyle w:val="24"/>
        <w:ind w:left="720"/>
        <w:jc w:val="both"/>
      </w:pPr>
      <w:r>
        <w:rPr>
          <w:rFonts w:ascii="Times New Roman" w:hAnsi="Times New Roman" w:cs="Times New Roman"/>
          <w:bCs/>
        </w:rPr>
        <w:t>natural gas</w:t>
      </w:r>
      <w:r>
        <w:rPr>
          <w:rFonts w:ascii="Times New Roman" w:hAnsi="Times New Roman" w:cs="Times New Roman"/>
        </w:rPr>
        <w:t>. The upstream oil sector is also known as the exploration and production (E&amp;P) sector. The upstream sector includes the searching for potential underground or underwater oil and gas fields, drilling of exploratory wells, and subsequently operating the wells that recover and bring the petroleum crude oil and/or raw natural gas to the surface.</w:t>
      </w:r>
    </w:p>
  </w:footnote>
  <w:footnote w:id="3">
    <w:p w14:paraId="1B8AED57">
      <w:pPr>
        <w:pStyle w:val="24"/>
        <w:jc w:val="both"/>
        <w:rPr>
          <w:rFonts w:ascii="Times New Roman" w:hAnsi="Times New Roman" w:cs="Times New Roman"/>
        </w:rPr>
      </w:pPr>
      <w:r>
        <w:rPr>
          <w:rFonts w:ascii="Times New Roman" w:hAnsi="Times New Roman" w:eastAsia="Times New Roman" w:cs="Times New Roman"/>
          <w:vertAlign w:val="superscript"/>
        </w:rPr>
        <w:footnoteRef/>
      </w:r>
      <w:r>
        <w:rPr>
          <w:rStyle w:val="41"/>
          <w:rFonts w:ascii="Times New Roman" w:hAnsi="Times New Roman" w:cs="Times New Roman"/>
        </w:rPr>
        <w:t xml:space="preserve"> </w:t>
      </w:r>
      <w:r>
        <w:rPr>
          <w:rStyle w:val="41"/>
          <w:rFonts w:ascii="Times New Roman" w:hAnsi="Times New Roman" w:cs="Times New Roman"/>
        </w:rPr>
        <w:tab/>
      </w:r>
      <w:r>
        <w:rPr>
          <w:rStyle w:val="41"/>
          <w:rFonts w:ascii="Times New Roman" w:hAnsi="Times New Roman" w:cs="Times New Roman"/>
        </w:rPr>
        <w:t xml:space="preserve">Knight, Frank; </w:t>
      </w:r>
      <w:r>
        <w:rPr>
          <w:rFonts w:ascii="Times New Roman" w:hAnsi="Times New Roman" w:cs="Times New Roman"/>
        </w:rPr>
        <w:t>‘Risk Uncertainty and Profit’ (1921) -</w:t>
      </w:r>
      <w:r>
        <w:rPr>
          <w:rStyle w:val="41"/>
          <w:rFonts w:ascii="Times New Roman" w:hAnsi="Times New Roman" w:cs="Times New Roman"/>
        </w:rPr>
        <w:t xml:space="preserve"> </w:t>
      </w:r>
      <w:r>
        <w:rPr>
          <w:rFonts w:ascii="Times New Roman" w:hAnsi="Times New Roman" w:cs="Times New Roman"/>
        </w:rPr>
        <w:t xml:space="preserve">In economics, </w:t>
      </w:r>
      <w:r>
        <w:fldChar w:fldCharType="begin"/>
      </w:r>
      <w:r>
        <w:instrText xml:space="preserve"> HYPERLINK "https://en.wikipedia.org/wiki/Frank_Knight" </w:instrText>
      </w:r>
      <w:r>
        <w:fldChar w:fldCharType="separate"/>
      </w:r>
      <w:r>
        <w:rPr>
          <w:rStyle w:val="45"/>
          <w:rFonts w:eastAsia="Calibri"/>
          <w:color w:val="auto"/>
        </w:rPr>
        <w:t>Frank Knight</w:t>
      </w:r>
      <w:r>
        <w:rPr>
          <w:rStyle w:val="45"/>
          <w:rFonts w:eastAsia="Calibri"/>
          <w:color w:val="auto"/>
        </w:rPr>
        <w:fldChar w:fldCharType="end"/>
      </w:r>
      <w:r>
        <w:rPr>
          <w:rFonts w:ascii="Times New Roman" w:hAnsi="Times New Roman" w:cs="Times New Roman"/>
        </w:rPr>
        <w:t xml:space="preserve"> distinguished uncertainty </w:t>
      </w:r>
    </w:p>
    <w:p w14:paraId="3BBFE478">
      <w:pPr>
        <w:pStyle w:val="24"/>
        <w:ind w:left="720"/>
        <w:jc w:val="both"/>
        <w:rPr>
          <w:rFonts w:ascii="Times New Roman" w:hAnsi="Times New Roman" w:cs="Times New Roman"/>
        </w:rPr>
      </w:pPr>
      <w:r>
        <w:rPr>
          <w:rFonts w:ascii="Times New Roman" w:hAnsi="Times New Roman" w:cs="Times New Roman"/>
        </w:rPr>
        <w:t>from risk with uncertainty being lack of knowledge which is immeasurable and impossible to calculate; this is now referred to as ‘</w:t>
      </w:r>
      <w:r>
        <w:fldChar w:fldCharType="begin"/>
      </w:r>
      <w:r>
        <w:instrText xml:space="preserve"> HYPERLINK "https://en.wikipedia.org/wiki/Knightian_uncertainty" </w:instrText>
      </w:r>
      <w:r>
        <w:fldChar w:fldCharType="separate"/>
      </w:r>
      <w:r>
        <w:rPr>
          <w:rStyle w:val="45"/>
          <w:rFonts w:eastAsia="Calibri"/>
          <w:color w:val="auto"/>
        </w:rPr>
        <w:t>Knightian uncertainty</w:t>
      </w:r>
      <w:r>
        <w:rPr>
          <w:rStyle w:val="45"/>
          <w:rFonts w:eastAsia="Calibri"/>
          <w:color w:val="auto"/>
        </w:rPr>
        <w:fldChar w:fldCharType="end"/>
      </w:r>
      <w:r>
        <w:rPr>
          <w:rStyle w:val="45"/>
          <w:rFonts w:eastAsia="Calibri"/>
          <w:color w:val="auto"/>
        </w:rPr>
        <w:t>’</w:t>
      </w:r>
      <w:r>
        <w:rPr>
          <w:rFonts w:ascii="Times New Roman" w:hAnsi="Times New Roman" w:cs="Times New Roman"/>
          <w:color w:val="auto"/>
        </w:rPr>
        <w:t>.</w:t>
      </w:r>
      <w:r>
        <w:rPr>
          <w:rFonts w:ascii="Times New Roman" w:hAnsi="Times New Roman" w:cs="Times New Roman"/>
        </w:rPr>
        <w:t xml:space="preserve"> It states that “Uncertainty must be taken in a sense radically distinct from the familiar notion of risk, from which it has never been properly separated...’. The essential fact is that 'risk' means in some cases a quantity susceptible of measurement, while at other times it is something distinctly not of this character; and there are far-reaching and crucial differences in the bearings of the phenomena depending on which of the two is really present and operating.... It will appear that a measurable uncertainty, or 'risk' proper, as we shall use the term, is so far different from an unmeasurable one that it is not in effect an uncertainty at all”. — </w:t>
      </w:r>
      <w:r>
        <w:fldChar w:fldCharType="begin"/>
      </w:r>
      <w:r>
        <w:instrText xml:space="preserve"> HYPERLINK "https://en.wikipedia.org/wiki/Frank_Knight" </w:instrText>
      </w:r>
      <w:r>
        <w:fldChar w:fldCharType="separate"/>
      </w:r>
      <w:r>
        <w:rPr>
          <w:rStyle w:val="45"/>
          <w:rFonts w:eastAsia="Calibri"/>
          <w:color w:val="auto"/>
        </w:rPr>
        <w:t>Frank Knight</w:t>
      </w:r>
      <w:r>
        <w:rPr>
          <w:rStyle w:val="45"/>
          <w:rFonts w:eastAsia="Calibri"/>
          <w:color w:val="auto"/>
        </w:rPr>
        <w:fldChar w:fldCharType="end"/>
      </w:r>
      <w:r>
        <w:rPr>
          <w:rFonts w:ascii="Times New Roman" w:hAnsi="Times New Roman" w:cs="Times New Roman"/>
          <w:color w:val="auto"/>
        </w:rPr>
        <w:t xml:space="preserve"> </w:t>
      </w:r>
      <w:r>
        <w:rPr>
          <w:rFonts w:ascii="Times New Roman" w:hAnsi="Times New Roman" w:cs="Times New Roman"/>
        </w:rPr>
        <w:t xml:space="preserve">(1885–1972), </w:t>
      </w:r>
      <w:r>
        <w:rPr>
          <w:rFonts w:ascii="Times New Roman" w:hAnsi="Times New Roman" w:cs="Times New Roman"/>
          <w:i/>
          <w:iCs/>
        </w:rPr>
        <w:t>Risk, Uncertainty, and Profit</w:t>
      </w:r>
      <w:r>
        <w:rPr>
          <w:rFonts w:ascii="Times New Roman" w:hAnsi="Times New Roman" w:cs="Times New Roman"/>
        </w:rPr>
        <w:t xml:space="preserve"> (1921), </w:t>
      </w:r>
      <w:r>
        <w:fldChar w:fldCharType="begin"/>
      </w:r>
      <w:r>
        <w:instrText xml:space="preserve"> HYPERLINK "https://en.wikipedia.org/wiki/University_of_Chicago" </w:instrText>
      </w:r>
      <w:r>
        <w:fldChar w:fldCharType="separate"/>
      </w:r>
      <w:r>
        <w:rPr>
          <w:rStyle w:val="45"/>
          <w:rFonts w:eastAsia="Calibri"/>
          <w:color w:val="auto"/>
        </w:rPr>
        <w:t>University of Chicago</w:t>
      </w:r>
      <w:r>
        <w:rPr>
          <w:rStyle w:val="45"/>
          <w:rFonts w:eastAsia="Calibri"/>
          <w:color w:val="auto"/>
        </w:rPr>
        <w:fldChar w:fldCharType="end"/>
      </w:r>
      <w:r>
        <w:rPr>
          <w:rFonts w:ascii="Times New Roman" w:hAnsi="Times New Roman" w:cs="Times New Roman"/>
          <w:color w:val="auto"/>
        </w:rPr>
        <w:t>.</w:t>
      </w:r>
    </w:p>
  </w:footnote>
  <w:footnote w:id="4">
    <w:p w14:paraId="4BAC9C78">
      <w:pPr>
        <w:pStyle w:val="24"/>
        <w:jc w:val="both"/>
        <w:rPr>
          <w:rFonts w:ascii="Times New Roman" w:hAnsi="Times New Roman"/>
        </w:rPr>
      </w:pPr>
      <w:r>
        <w:rPr>
          <w:rFonts w:ascii="Times New Roman" w:hAnsi="Times New Roman" w:eastAsia="Times New Roman" w:cs="Times New Roman"/>
          <w:vertAlign w:val="superscript"/>
        </w:rPr>
        <w:footnoteRef/>
      </w:r>
      <w:r>
        <w:rPr>
          <w:rStyle w:val="41"/>
          <w:rFonts w:eastAsia="Arial Unicode MS" w:cs="Arial Unicode MS"/>
        </w:rPr>
        <w:t xml:space="preserve"> </w:t>
      </w:r>
      <w:r>
        <w:rPr>
          <w:rStyle w:val="41"/>
          <w:rFonts w:eastAsia="Arial Unicode MS" w:cs="Arial Unicode MS"/>
        </w:rPr>
        <w:tab/>
      </w:r>
      <w:r>
        <w:rPr>
          <w:rFonts w:ascii="Times New Roman" w:hAnsi="Times New Roman"/>
        </w:rPr>
        <w:t xml:space="preserve">Chambers Concise Dictionary &amp; Thesaurus, Edited by Mary O’Neill (new edn.). Uncertainty (noun) is </w:t>
      </w:r>
    </w:p>
    <w:p w14:paraId="37FB8F5F">
      <w:pPr>
        <w:pStyle w:val="24"/>
        <w:ind w:left="709"/>
        <w:jc w:val="both"/>
        <w:rPr>
          <w:rFonts w:ascii="Times New Roman" w:hAnsi="Times New Roman"/>
        </w:rPr>
      </w:pPr>
      <w:r>
        <w:rPr>
          <w:rFonts w:ascii="Times New Roman" w:hAnsi="Times New Roman"/>
        </w:rPr>
        <w:t>described as an uncertain state, something that is uncertain. The following synonyms are used to explain the term: doubt, skepticism, irresolution, dilemma, hesitation, misgiving, confusion, bewilderment, perplexity, unreliability, unpredictability, insecurity. Uncertain (adj.) is described as not sure, not definitely known or decided, not to be depended upon, likely to change and lacking confidence; hesitant. Certainty (noun), as the opposite is something that cannot be doubted or is bound to happen. Freedom from doubt, the state of being sure, and the state of being sure to happen: e.g.</w:t>
      </w:r>
      <w:r>
        <w:rPr>
          <w:rFonts w:ascii="Times New Roman" w:hAnsi="Times New Roman"/>
          <w:i/>
        </w:rPr>
        <w:t xml:space="preserve"> certainty of death.</w:t>
      </w:r>
      <w:r>
        <w:rPr>
          <w:rFonts w:ascii="Times New Roman" w:hAnsi="Times New Roman"/>
        </w:rPr>
        <w:t xml:space="preserve"> </w:t>
      </w:r>
    </w:p>
  </w:footnote>
  <w:footnote w:id="5">
    <w:p w14:paraId="48B7F8F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John Kay &amp; Mervyn King, ‘Radical Uncertainty-Decision Making Beyond the Numbers’.</w:t>
      </w:r>
    </w:p>
    <w:p w14:paraId="54D60FB0">
      <w:pPr>
        <w:pStyle w:val="24"/>
        <w:ind w:firstLine="709"/>
        <w:jc w:val="both"/>
        <w:rPr>
          <w:rFonts w:ascii="Times New Roman" w:hAnsi="Times New Roman" w:cs="Times New Roman"/>
        </w:rPr>
      </w:pPr>
      <w:r>
        <w:rPr>
          <w:rFonts w:ascii="Times New Roman" w:hAnsi="Times New Roman" w:cs="Times New Roman"/>
        </w:rPr>
        <w:t xml:space="preserve"> (March 2020)</w:t>
      </w:r>
    </w:p>
  </w:footnote>
  <w:footnote w:id="6">
    <w:p w14:paraId="3324C07C">
      <w:pPr>
        <w:pStyle w:val="24"/>
        <w:ind w:left="709" w:hanging="709"/>
        <w:jc w:val="both"/>
        <w:rPr>
          <w:rFonts w:ascii="Times New Roman" w:hAnsi="Times New Roman" w:cs="Times New Roman"/>
        </w:rPr>
      </w:pPr>
      <w:r>
        <w:rPr>
          <w:rFonts w:ascii="Times New Roman" w:hAnsi="Times New Roman" w:eastAsia="Times New Roman" w:cs="Times New Roman"/>
          <w:vertAlign w:val="superscript"/>
        </w:rPr>
        <w:footnoteRef/>
      </w:r>
      <w:r>
        <w:rPr>
          <w:rStyle w:val="23"/>
          <w:rFonts w:ascii="Times New Roman" w:hAnsi="Times New Roman" w:cs="Times New Roman"/>
        </w:rPr>
        <w:t xml:space="preserve"> </w:t>
      </w:r>
      <w:r>
        <w:rPr>
          <w:rStyle w:val="23"/>
          <w:rFonts w:ascii="Times New Roman" w:hAnsi="Times New Roman" w:cs="Times New Roman"/>
        </w:rPr>
        <w:tab/>
      </w:r>
      <w:r>
        <w:rPr>
          <w:rFonts w:ascii="Times New Roman" w:hAnsi="Times New Roman" w:cs="Times New Roman"/>
        </w:rPr>
        <w:t>Schatzl L.H., ‘Petroleum in Nigeria (First Edition, Oxford University Press, 1969) 152; Nwoba Martin and E.O. Abah ‘Impact of Crude Oil Revenue (COR) On Economic Growth in Nigeria (1960-2010)’ (2017) 22(7) IOSR Journal of Humanities and Social Science 85-99; Brownson Moses Udodok ‘The role of the petroleum industry in the development of the Nigerian economy, (1975) 5(1) Atlanta University Center 1-79.</w:t>
      </w:r>
    </w:p>
  </w:footnote>
  <w:footnote w:id="7">
    <w:p w14:paraId="23F91DF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Bayelsa State is one of the 36 States in the Federation and was carved out of the present Rivers State of</w:t>
      </w:r>
    </w:p>
    <w:p w14:paraId="26FEE95E">
      <w:pPr>
        <w:pStyle w:val="24"/>
        <w:ind w:left="720"/>
        <w:jc w:val="both"/>
        <w:rPr>
          <w:rFonts w:ascii="Times New Roman" w:hAnsi="Times New Roman" w:cs="Times New Roman"/>
        </w:rPr>
      </w:pPr>
      <w:r>
        <w:rPr>
          <w:rFonts w:ascii="Times New Roman" w:hAnsi="Times New Roman" w:cs="Times New Roman"/>
        </w:rPr>
        <w:t>Nigeria in1996. Bayelsa State has one of the largest crude oil and natural gas deposits in Nigeria.</w:t>
      </w:r>
    </w:p>
  </w:footnote>
  <w:footnote w:id="8">
    <w:p w14:paraId="1C4B78D1">
      <w:pPr>
        <w:pStyle w:val="24"/>
        <w:jc w:val="both"/>
      </w:pPr>
      <w:r>
        <w:rPr>
          <w:rFonts w:ascii="Times New Roman" w:hAnsi="Times New Roman" w:eastAsia="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Oil prospecting license (OPL), oil exploration and oil mining licenses (OEL/OML’s). </w:t>
      </w:r>
    </w:p>
  </w:footnote>
  <w:footnote w:id="9">
    <w:p w14:paraId="1666B036">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Nigeria’s oil and condensate reserves as at January 2023 stands at 31,060 billion barrels of oil and 5,906 </w:t>
      </w:r>
    </w:p>
    <w:p w14:paraId="7C82C9A0">
      <w:pPr>
        <w:pStyle w:val="24"/>
        <w:ind w:left="720"/>
        <w:jc w:val="both"/>
        <w:rPr>
          <w:rFonts w:ascii="Times New Roman" w:hAnsi="Times New Roman" w:cs="Times New Roman"/>
          <w:lang w:val="en-GB"/>
        </w:rPr>
      </w:pPr>
      <w:r>
        <w:rPr>
          <w:rFonts w:ascii="Times New Roman" w:hAnsi="Times New Roman" w:cs="Times New Roman"/>
          <w:lang w:val="en-GB"/>
        </w:rPr>
        <w:t xml:space="preserve">billion barrels for condensate, making a total of 36,966 billion barrels of oil and condensate while associated gas reserves is 102,32 trillion cubic feet, non-associated gas is 106.51 trillion. https://www.thisdaylive.com </w:t>
      </w:r>
    </w:p>
  </w:footnote>
  <w:footnote w:id="10">
    <w:p w14:paraId="3B826A68">
      <w:pPr>
        <w:pStyle w:val="24"/>
        <w:jc w:val="both"/>
        <w:rPr>
          <w:rFonts w:ascii="Times New Roman" w:hAnsi="Times New Roman" w:eastAsia="Times New Roman" w:cs="Times New Roman"/>
        </w:rPr>
      </w:pPr>
      <w:r>
        <w:rPr>
          <w:rFonts w:ascii="Times New Roman" w:hAnsi="Times New Roman" w:eastAsia="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L.N. Chete, J. O. Adeoti, F. M. Adeyinka, and O. Ogundele ‘Industrial development and growth in  </w:t>
      </w:r>
    </w:p>
    <w:p w14:paraId="1538EAE1">
      <w:pPr>
        <w:pStyle w:val="24"/>
        <w:ind w:left="720"/>
        <w:jc w:val="both"/>
        <w:rPr>
          <w:rFonts w:ascii="Times New Roman" w:hAnsi="Times New Roman" w:cs="Times New Roman"/>
        </w:rPr>
      </w:pPr>
      <w:r>
        <w:rPr>
          <w:rFonts w:ascii="Times New Roman" w:hAnsi="Times New Roman" w:cs="Times New Roman"/>
        </w:rPr>
        <w:t xml:space="preserve">Nigeria:  Lessons and challenges’ (Brookings Institution, African Development Bank Group, Learning to Compete, Working Paper 8, United States, 2016) 1-40; Nweze Paul Nweze and Greg Ekpung Edame ‘An Empirical Investigation of Oil Revenue and Economic Growth in Nigeria’ (2016) 12(25) </w:t>
      </w:r>
      <w:r>
        <w:rPr>
          <w:rFonts w:ascii="Times New Roman" w:hAnsi="Times New Roman" w:cs="Times New Roman"/>
          <w:i/>
          <w:iCs/>
        </w:rPr>
        <w:t>European Scientific Journal</w:t>
      </w:r>
      <w:r>
        <w:rPr>
          <w:rFonts w:ascii="Times New Roman" w:hAnsi="Times New Roman" w:cs="Times New Roman"/>
        </w:rPr>
        <w:t xml:space="preserve"> 271-294, ”op cit”; Temitope Michael Asagunla and Moses Oyeyemi Agbede ‘Oil Revenue and Output Growth in Nigeria’ (2018) 4(6) </w:t>
      </w:r>
      <w:r>
        <w:rPr>
          <w:rFonts w:ascii="Times New Roman" w:hAnsi="Times New Roman" w:cs="Times New Roman"/>
          <w:i/>
          <w:iCs/>
        </w:rPr>
        <w:t>IIARD International Journal of Economics and Business Management</w:t>
      </w:r>
      <w:r>
        <w:rPr>
          <w:rFonts w:ascii="Times New Roman" w:hAnsi="Times New Roman" w:cs="Times New Roman"/>
        </w:rPr>
        <w:t xml:space="preserve"> 65-74.</w:t>
      </w:r>
    </w:p>
  </w:footnote>
  <w:footnote w:id="11">
    <w:p w14:paraId="43977E13">
      <w:pPr>
        <w:pStyle w:val="24"/>
        <w:jc w:val="both"/>
        <w:rPr>
          <w:rFonts w:ascii="Times New Roman" w:hAnsi="Times New Roman" w:eastAsia="Times New Roman" w:cs="Times New Roman"/>
        </w:rPr>
      </w:pPr>
      <w:r>
        <w:rPr>
          <w:rFonts w:ascii="Times New Roman" w:hAnsi="Times New Roman" w:eastAsia="Times New Roman" w:cs="Times New Roman"/>
          <w:vertAlign w:val="superscript"/>
        </w:rPr>
        <w:footnoteRef/>
      </w:r>
      <w:r>
        <w:rPr>
          <w:rFonts w:ascii="Times New Roman" w:hAnsi="Times New Roman" w:cs="Times New Roman"/>
        </w:rPr>
        <w:t>.</w:t>
      </w:r>
      <w:r>
        <w:rPr>
          <w:rFonts w:ascii="Times New Roman" w:hAnsi="Times New Roman" w:cs="Times New Roman"/>
        </w:rPr>
        <w:tab/>
      </w:r>
      <w:r>
        <w:rPr>
          <w:rFonts w:ascii="Times New Roman" w:hAnsi="Times New Roman" w:cs="Times New Roman"/>
        </w:rPr>
        <w:t xml:space="preserve">Victor Nwaoba Itumo, ‘Nigeria’s Mono-Cultural Economy: Impact Assessment and Prospects’ (2016) </w:t>
      </w:r>
    </w:p>
    <w:p w14:paraId="25CC6B8E">
      <w:pPr>
        <w:pStyle w:val="24"/>
        <w:ind w:left="720"/>
        <w:jc w:val="both"/>
        <w:rPr>
          <w:rFonts w:ascii="Times New Roman" w:hAnsi="Times New Roman" w:cs="Times New Roman"/>
        </w:rPr>
      </w:pPr>
      <w:r>
        <w:rPr>
          <w:rFonts w:ascii="Times New Roman" w:hAnsi="Times New Roman" w:cs="Times New Roman"/>
        </w:rPr>
        <w:t xml:space="preserve">8(2) </w:t>
      </w:r>
      <w:r>
        <w:rPr>
          <w:rFonts w:ascii="Times New Roman" w:hAnsi="Times New Roman" w:cs="Times New Roman"/>
          <w:i/>
          <w:iCs/>
        </w:rPr>
        <w:t>European Journal of Interdisciplinary Studies</w:t>
      </w:r>
      <w:r>
        <w:rPr>
          <w:rFonts w:ascii="Times New Roman" w:hAnsi="Times New Roman" w:cs="Times New Roman"/>
        </w:rPr>
        <w:t xml:space="preserve"> 20-35; Nweze Paul Nweze and Greg Ekpung Edame (2016) 12(25) </w:t>
      </w:r>
      <w:r>
        <w:rPr>
          <w:rFonts w:ascii="Times New Roman" w:hAnsi="Times New Roman" w:cs="Times New Roman"/>
          <w:i/>
          <w:iCs/>
        </w:rPr>
        <w:t xml:space="preserve">European Scientific Journal </w:t>
      </w:r>
      <w:r>
        <w:rPr>
          <w:rFonts w:ascii="Times New Roman" w:hAnsi="Times New Roman" w:cs="Times New Roman"/>
        </w:rPr>
        <w:t xml:space="preserve">September 271-293. </w:t>
      </w:r>
    </w:p>
  </w:footnote>
  <w:footnote w:id="12">
    <w:p w14:paraId="2E46F975">
      <w:pPr>
        <w:pStyle w:val="24"/>
        <w:ind w:left="720" w:hanging="720"/>
        <w:jc w:val="both"/>
        <w:rPr>
          <w:rFonts w:ascii="Times New Roman" w:hAnsi="Times New Roman" w:cs="Times New Roman"/>
        </w:rPr>
      </w:pPr>
      <w:r>
        <w:rPr>
          <w:rFonts w:ascii="Times New Roman" w:hAnsi="Times New Roman" w:eastAsia="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C.A. Okezie and Baharuddin Amir ‘Economic crossroads: The experiences of Nigeria and lessons from Malaysia, (2011) 3(8) </w:t>
      </w:r>
      <w:r>
        <w:rPr>
          <w:rFonts w:ascii="Times New Roman" w:hAnsi="Times New Roman" w:cs="Times New Roman"/>
          <w:i/>
          <w:iCs/>
        </w:rPr>
        <w:t>Journal of Development and Agricultural Economics</w:t>
      </w:r>
      <w:r>
        <w:rPr>
          <w:rFonts w:ascii="Times New Roman" w:hAnsi="Times New Roman" w:cs="Times New Roman"/>
        </w:rPr>
        <w:t xml:space="preserve"> 368-378.</w:t>
      </w:r>
    </w:p>
  </w:footnote>
  <w:footnote w:id="13">
    <w:p w14:paraId="73DCD34B">
      <w:pPr>
        <w:pStyle w:val="24"/>
        <w:ind w:left="720" w:hanging="720"/>
        <w:jc w:val="both"/>
        <w:rPr>
          <w:rFonts w:ascii="Times New Roman" w:hAnsi="Times New Roman" w:cs="Times New Roman"/>
        </w:rPr>
      </w:pPr>
      <w:r>
        <w:rPr>
          <w:rFonts w:ascii="Times New Roman" w:hAnsi="Times New Roman" w:eastAsia="Times New Roman" w:cs="Times New Roman"/>
          <w:vertAlign w:val="superscript"/>
        </w:rPr>
        <w:footnoteRef/>
      </w:r>
      <w:r>
        <w:rPr>
          <w:rFonts w:ascii="Times New Roman" w:hAnsi="Times New Roman" w:cs="Times New Roman"/>
        </w:rPr>
        <w:t xml:space="preserve"> </w:t>
      </w:r>
      <w:r>
        <w:rPr>
          <w:rFonts w:ascii="Times New Roman" w:hAnsi="Times New Roman" w:eastAsia="Times New Roman" w:cs="Times New Roman"/>
          <w:i/>
          <w:iCs/>
        </w:rPr>
        <w:tab/>
      </w:r>
      <w:r>
        <w:rPr>
          <w:rFonts w:ascii="Times New Roman" w:hAnsi="Times New Roman" w:cs="Times New Roman"/>
        </w:rPr>
        <w:t>Chukwueyem Rapu, Adeniyi Adenuga, Williams Kanya, Magnus Abeng, Peter Golit, Margaret Hilili, Ibrahim Uba, Emeka Ochu, ‘Analysis of Energy Market Conditions in Nigeria’</w:t>
      </w:r>
      <w:r>
        <w:rPr>
          <w:rFonts w:ascii="Times New Roman" w:hAnsi="Times New Roman" w:cs="Times New Roman"/>
          <w:i/>
          <w:iCs/>
        </w:rPr>
        <w:t xml:space="preserve"> </w:t>
      </w:r>
      <w:r>
        <w:rPr>
          <w:rFonts w:ascii="Times New Roman" w:hAnsi="Times New Roman" w:cs="Times New Roman"/>
        </w:rPr>
        <w:t>(Central Bank of Nigeria, Central Business District, Abuja, Nigeria) 1-80.</w:t>
      </w:r>
      <w:r>
        <w:rPr>
          <w:rFonts w:ascii="Times New Roman" w:hAnsi="Times New Roman" w:cs="Times New Roman"/>
          <w:i/>
          <w:iCs/>
        </w:rPr>
        <w:t xml:space="preserve"> </w:t>
      </w:r>
    </w:p>
  </w:footnote>
  <w:footnote w:id="14">
    <w:p w14:paraId="790342DE">
      <w:pPr>
        <w:pStyle w:val="24"/>
        <w:ind w:left="720" w:hanging="720"/>
        <w:jc w:val="both"/>
        <w:rPr>
          <w:rFonts w:ascii="Times New Roman" w:hAnsi="Times New Roman" w:cs="Times New Roman"/>
          <w:color w:val="auto"/>
        </w:rPr>
      </w:pPr>
      <w:r>
        <w:rPr>
          <w:rFonts w:ascii="Times New Roman" w:hAnsi="Times New Roman" w:eastAsia="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Osayaba Giwa-Osagie &amp; Emwanta Ehigiato, Financing Options in the Oil and Gas Sector in Nigeria, (2015) Vol 33(3) </w:t>
      </w:r>
      <w:r>
        <w:rPr>
          <w:rFonts w:ascii="Times New Roman" w:hAnsi="Times New Roman" w:cs="Times New Roman"/>
          <w:i/>
          <w:iCs/>
        </w:rPr>
        <w:t>Journal of Energy &amp; Natural Resources Law</w:t>
      </w:r>
      <w:r>
        <w:rPr>
          <w:rFonts w:ascii="Times New Roman" w:hAnsi="Times New Roman" w:cs="Times New Roman"/>
        </w:rPr>
        <w:t xml:space="preserve"> 218-240 (“Giwa-Osagie &amp; Ehigiato”);  See, also, Onyedimma Kachukwu, ‘Five Reasons Oil Price Drop Will be Devastating for Nigeria’ (Ventures Africa, 20 October 2014) </w:t>
      </w:r>
      <w:r>
        <w:rPr>
          <w:rFonts w:ascii="Times New Roman" w:hAnsi="Times New Roman" w:cs="Times New Roman"/>
          <w:color w:val="auto"/>
        </w:rPr>
        <w:t>&lt;</w:t>
      </w:r>
      <w:r>
        <w:fldChar w:fldCharType="begin"/>
      </w:r>
      <w:r>
        <w:instrText xml:space="preserve"> HYPERLINK "https://venturesafrica.com/5-reasons-oil-price-drop-will-be-devastating-for-nigeria/" </w:instrText>
      </w:r>
      <w:r>
        <w:fldChar w:fldCharType="separate"/>
      </w:r>
      <w:r>
        <w:rPr>
          <w:rStyle w:val="27"/>
          <w:rFonts w:ascii="Times New Roman" w:hAnsi="Times New Roman" w:cs="Times New Roman"/>
        </w:rPr>
        <w:t>https://venturesafrica.com/5-reasons-oil-price-drop-will-be-devastating-for-nigeria/</w:t>
      </w:r>
      <w:r>
        <w:rPr>
          <w:rStyle w:val="27"/>
          <w:rFonts w:ascii="Times New Roman" w:hAnsi="Times New Roman" w:cs="Times New Roman"/>
        </w:rPr>
        <w:fldChar w:fldCharType="end"/>
      </w:r>
      <w:r>
        <w:rPr>
          <w:rFonts w:ascii="Times New Roman" w:hAnsi="Times New Roman" w:cs="Times New Roman"/>
          <w:color w:val="auto"/>
        </w:rPr>
        <w:t>&gt; accessed 15 April 2024.</w:t>
      </w:r>
    </w:p>
  </w:footnote>
  <w:footnote w:id="15">
    <w:p w14:paraId="0D29457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Adeyeri,Olusegun, Adejuwon, Kehinde Davide, The Implication of British Colonial Economic Policies </w:t>
      </w:r>
    </w:p>
    <w:p w14:paraId="0359F791">
      <w:pPr>
        <w:pStyle w:val="24"/>
        <w:ind w:left="720"/>
        <w:jc w:val="both"/>
        <w:rPr>
          <w:rFonts w:ascii="Times New Roman" w:hAnsi="Times New Roman" w:cs="Times New Roman"/>
        </w:rPr>
      </w:pPr>
      <w:r>
        <w:rPr>
          <w:rFonts w:ascii="Times New Roman" w:hAnsi="Times New Roman" w:cs="Times New Roman"/>
        </w:rPr>
        <w:t>on Nigeria; International Journal of Advanced Research in Management and Social Sciences, Vol. 1 | No. 2 | August 2012. Frances Jumoke Oloidi, Webology ‘The Colonial Administrators And Income Policies In Nigeria Before Independence (1900 – 1960) (ISSN: 1735-188X) Volume 18, Number 5, 2021</w:t>
      </w:r>
    </w:p>
  </w:footnote>
  <w:footnote w:id="16">
    <w:p w14:paraId="2D7B1E4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Yinka Omoregie, ‘Fiscal Regimes: Review and Reform,’ The Oil and Gas Summit of the Nigerian </w:t>
      </w:r>
    </w:p>
    <w:p w14:paraId="6745C197">
      <w:pPr>
        <w:pStyle w:val="24"/>
        <w:ind w:left="720"/>
        <w:jc w:val="both"/>
        <w:rPr>
          <w:rFonts w:ascii="Times New Roman" w:hAnsi="Times New Roman" w:cs="Times New Roman"/>
          <w:lang w:val="en-GB"/>
        </w:rPr>
      </w:pPr>
      <w:r>
        <w:rPr>
          <w:rFonts w:ascii="Times New Roman" w:hAnsi="Times New Roman" w:cs="Times New Roman"/>
        </w:rPr>
        <w:t xml:space="preserve">Economic Summit Group (NESG), Abuja, 12th – 14th November,2003. </w:t>
      </w:r>
      <w:r>
        <w:fldChar w:fldCharType="begin"/>
      </w:r>
      <w:r>
        <w:instrText xml:space="preserve"> HYPERLINK "https://nigerianlawguru.com/wp-content/uploads/2024/06/FISCAL-REGIMES-1.pdf" </w:instrText>
      </w:r>
      <w:r>
        <w:fldChar w:fldCharType="separate"/>
      </w:r>
      <w:r>
        <w:rPr>
          <w:rStyle w:val="27"/>
          <w:rFonts w:ascii="Times New Roman" w:hAnsi="Times New Roman" w:cs="Times New Roman"/>
        </w:rPr>
        <w:t>Fiscal Regimes.doc</w:t>
      </w:r>
      <w:r>
        <w:rPr>
          <w:rStyle w:val="27"/>
          <w:rFonts w:ascii="Times New Roman" w:hAnsi="Times New Roman" w:cs="Times New Roman"/>
        </w:rPr>
        <w:fldChar w:fldCharType="end"/>
      </w:r>
      <w:r>
        <w:rPr>
          <w:rFonts w:ascii="Times New Roman" w:hAnsi="Times New Roman" w:cs="Times New Roman"/>
        </w:rPr>
        <w:t xml:space="preserve"> – accessed Dec.2024. </w:t>
      </w:r>
    </w:p>
  </w:footnote>
  <w:footnote w:id="17">
    <w:p w14:paraId="7A20AD5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Adamu Jibir and Chandana Aluthge, Fiscal Policy Operation in Nigeria: Trends, Magnitude and </w:t>
      </w:r>
    </w:p>
    <w:p w14:paraId="52A713F6">
      <w:pPr>
        <w:pStyle w:val="24"/>
        <w:ind w:firstLine="720"/>
        <w:jc w:val="both"/>
        <w:rPr>
          <w:lang w:val="en-GB"/>
        </w:rPr>
      </w:pPr>
      <w:r>
        <w:rPr>
          <w:rFonts w:ascii="Times New Roman" w:hAnsi="Times New Roman" w:cs="Times New Roman"/>
        </w:rPr>
        <w:t>Challenges, Publisher: KSP Books, Turkey ISBN: 978-605-7602-84-8, June 2019,</w:t>
      </w:r>
    </w:p>
  </w:footnote>
  <w:footnote w:id="18">
    <w:p w14:paraId="5B1250B2">
      <w:pPr>
        <w:pStyle w:val="24"/>
        <w:jc w:val="both"/>
        <w:rPr>
          <w:rFonts w:ascii="Times New Roman" w:hAnsi="Times New Roman" w:cs="Times New Roman"/>
        </w:rPr>
      </w:pPr>
      <w:r>
        <w:rPr>
          <w:rFonts w:ascii="Times New Roman" w:hAnsi="Times New Roman" w:eastAsia="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Petroleum Act (PA)1968 &amp; Petroleum Profits Tax Act (PPTA) 1959, Laws of the Federation 2004. Also, </w:t>
      </w:r>
    </w:p>
    <w:p w14:paraId="68AEB4B2">
      <w:pPr>
        <w:pStyle w:val="24"/>
        <w:ind w:left="720"/>
        <w:jc w:val="both"/>
        <w:rPr>
          <w:rFonts w:ascii="Times New Roman" w:hAnsi="Times New Roman" w:cs="Times New Roman"/>
        </w:rPr>
      </w:pPr>
      <w:r>
        <w:rPr>
          <w:rFonts w:ascii="Times New Roman" w:hAnsi="Times New Roman" w:cs="Times New Roman"/>
        </w:rPr>
        <w:t>the Company Income Tax Act, Local Content Act, NDDC Act, Oil and Gas Tax Free Zone Act, MOU, etc.</w:t>
      </w:r>
    </w:p>
  </w:footnote>
  <w:footnote w:id="19">
    <w:p w14:paraId="1157106C">
      <w:pPr>
        <w:pStyle w:val="24"/>
        <w:jc w:val="both"/>
        <w:rPr>
          <w:rFonts w:ascii="Times New Roman" w:hAnsi="Times New Roman" w:eastAsia="Times New Roman" w:cs="Times New Roman"/>
        </w:rPr>
      </w:pPr>
      <w:r>
        <w:rPr>
          <w:rFonts w:ascii="Times New Roman" w:hAnsi="Times New Roman" w:eastAsia="Times New Roman" w:cs="Times New Roman"/>
          <w:vertAlign w:val="superscript"/>
        </w:rPr>
        <w:footnoteRef/>
      </w:r>
      <w:r>
        <w:rPr>
          <w:rStyle w:val="41"/>
          <w:rFonts w:ascii="Times New Roman" w:hAnsi="Times New Roman" w:cs="Times New Roman"/>
        </w:rPr>
        <w:t xml:space="preserve"> </w:t>
      </w:r>
      <w:r>
        <w:rPr>
          <w:rStyle w:val="41"/>
          <w:rFonts w:ascii="Times New Roman" w:hAnsi="Times New Roman" w:cs="Times New Roman"/>
        </w:rPr>
        <w:tab/>
      </w:r>
      <w:r>
        <w:rPr>
          <w:rFonts w:ascii="Times New Roman" w:hAnsi="Times New Roman" w:cs="Times New Roman"/>
        </w:rPr>
        <w:t xml:space="preserve">Adeyemi, Babatunde Ajani, ‘Petroleum Profits Tax Act in Nigeria: The Practice’ (2015). Available </w:t>
      </w:r>
    </w:p>
    <w:p w14:paraId="541DA718">
      <w:pPr>
        <w:pStyle w:val="24"/>
        <w:ind w:firstLine="720"/>
        <w:jc w:val="both"/>
        <w:rPr>
          <w:rFonts w:ascii="Times New Roman" w:hAnsi="Times New Roman" w:cs="Times New Roman"/>
        </w:rPr>
      </w:pPr>
      <w:r>
        <w:rPr>
          <w:rFonts w:ascii="Times New Roman" w:hAnsi="Times New Roman" w:cs="Times New Roman"/>
        </w:rPr>
        <w:t>at SSRN</w:t>
      </w:r>
      <w:r>
        <w:rPr>
          <w:rFonts w:ascii="Times New Roman" w:hAnsi="Times New Roman" w:cs="Times New Roman"/>
          <w:color w:val="auto"/>
        </w:rPr>
        <w:t xml:space="preserve">: </w:t>
      </w:r>
      <w:r>
        <w:fldChar w:fldCharType="begin"/>
      </w:r>
      <w:r>
        <w:instrText xml:space="preserve"> HYPERLINK "https://ssrn.com/abstract=2703620" </w:instrText>
      </w:r>
      <w:r>
        <w:fldChar w:fldCharType="separate"/>
      </w:r>
      <w:r>
        <w:rPr>
          <w:rStyle w:val="45"/>
          <w:rFonts w:eastAsia="Calibri"/>
          <w:color w:val="auto"/>
        </w:rPr>
        <w:t>https://ssrn.com/abstract=2703620</w:t>
      </w:r>
      <w:r>
        <w:rPr>
          <w:rStyle w:val="45"/>
          <w:rFonts w:eastAsia="Calibri"/>
          <w:color w:val="auto"/>
        </w:rPr>
        <w:fldChar w:fldCharType="end"/>
      </w:r>
      <w:r>
        <w:rPr>
          <w:rFonts w:ascii="Times New Roman" w:hAnsi="Times New Roman" w:cs="Times New Roman"/>
        </w:rPr>
        <w:t xml:space="preserve"> or </w:t>
      </w:r>
      <w:r>
        <w:fldChar w:fldCharType="begin"/>
      </w:r>
      <w:r>
        <w:instrText xml:space="preserve"> HYPERLINK "http://dx.doi.org/10.2139/ssrn.2703620.%20" </w:instrText>
      </w:r>
      <w:r>
        <w:fldChar w:fldCharType="separate"/>
      </w:r>
      <w:r>
        <w:rPr>
          <w:rStyle w:val="27"/>
          <w:rFonts w:ascii="Times New Roman" w:hAnsi="Times New Roman" w:cs="Times New Roman"/>
          <w:u w:color="0000FF"/>
        </w:rPr>
        <w:t xml:space="preserve">http://dx.doi.org/10.2139/ssrn.2703620. </w:t>
      </w:r>
      <w:r>
        <w:rPr>
          <w:rStyle w:val="27"/>
          <w:rFonts w:ascii="Times New Roman" w:hAnsi="Times New Roman" w:cs="Times New Roman"/>
          <w:u w:color="0000FF"/>
        </w:rPr>
        <w:fldChar w:fldCharType="end"/>
      </w:r>
    </w:p>
  </w:footnote>
  <w:footnote w:id="20">
    <w:p w14:paraId="10A035D6">
      <w:pPr>
        <w:pStyle w:val="24"/>
        <w:jc w:val="both"/>
        <w:rPr>
          <w:rFonts w:ascii="Times New Roman" w:hAnsi="Times New Roman" w:eastAsia="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Kyari Adam Konto: PhD Thesis</w:t>
      </w:r>
      <w:r>
        <w:rPr>
          <w:rFonts w:ascii="Times New Roman" w:hAnsi="Times New Roman" w:cs="Times New Roman"/>
          <w:b/>
          <w:bCs/>
        </w:rPr>
        <w:t>: ‘</w:t>
      </w:r>
      <w:r>
        <w:rPr>
          <w:rFonts w:ascii="Times New Roman" w:hAnsi="Times New Roman" w:cs="Times New Roman"/>
        </w:rPr>
        <w:t xml:space="preserve">A Theoretical and Empirical Investigation into the Design and </w:t>
      </w:r>
    </w:p>
    <w:p w14:paraId="6D3E1EB8">
      <w:pPr>
        <w:pStyle w:val="24"/>
        <w:ind w:left="720"/>
        <w:jc w:val="both"/>
        <w:rPr>
          <w:rFonts w:ascii="Times New Roman" w:hAnsi="Times New Roman" w:cs="Times New Roman"/>
        </w:rPr>
      </w:pPr>
      <w:r>
        <w:rPr>
          <w:rFonts w:ascii="Times New Roman" w:hAnsi="Times New Roman" w:cs="Times New Roman"/>
        </w:rPr>
        <w:t>Implementation of an Appropriate Tax Regime: An Evaluation of Nigeria’s Petroleum Taxation Arrangements’</w:t>
      </w:r>
      <w:r>
        <w:rPr>
          <w:rFonts w:ascii="Times New Roman" w:hAnsi="Times New Roman" w:cs="Times New Roman"/>
          <w:b/>
          <w:bCs/>
        </w:rPr>
        <w:t xml:space="preserve"> </w:t>
      </w:r>
      <w:r>
        <w:rPr>
          <w:rFonts w:ascii="Times New Roman" w:hAnsi="Times New Roman" w:cs="Times New Roman"/>
        </w:rPr>
        <w:t xml:space="preserve">(DPhil Thesis, Robert Gordon University 2013). See also, Asada D, and Olong M, Appraising Taxation and the Nigerian Oil Industry’ in J.A. Agbonika (eds), Topical Issues on Nigerian Tax Laws and Related Areas (Ibadan: Abada Press limited, 2015) pp 184-186. </w:t>
      </w:r>
    </w:p>
  </w:footnote>
  <w:footnote w:id="21">
    <w:p w14:paraId="032D59BB">
      <w:pPr>
        <w:pStyle w:val="24"/>
        <w:jc w:val="both"/>
        <w:rPr>
          <w:rFonts w:ascii="Times New Roman" w:hAnsi="Times New Roman" w:eastAsia="Times New Roman" w:cs="Times New Roman"/>
        </w:rPr>
      </w:pPr>
      <w:r>
        <w:rPr>
          <w:rFonts w:ascii="Times New Roman" w:hAnsi="Times New Roman" w:eastAsia="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Adam Smith thought that taxes should be clear, so that everyone paying them could understand when, how, </w:t>
      </w:r>
    </w:p>
    <w:p w14:paraId="7DD80929">
      <w:pPr>
        <w:pStyle w:val="24"/>
        <w:ind w:left="720"/>
        <w:jc w:val="both"/>
        <w:rPr>
          <w:rFonts w:ascii="Times New Roman" w:hAnsi="Times New Roman" w:cs="Times New Roman"/>
        </w:rPr>
      </w:pPr>
      <w:r>
        <w:rPr>
          <w:rFonts w:ascii="Times New Roman" w:hAnsi="Times New Roman" w:cs="Times New Roman"/>
        </w:rPr>
        <w:t xml:space="preserve">and what they should be paying. The tax code is meant to do that, by outlining the taxes you have to pay and clearly stating that your </w:t>
      </w:r>
      <w:r>
        <w:fldChar w:fldCharType="begin"/>
      </w:r>
      <w:r>
        <w:instrText xml:space="preserve"> HYPERLINK "https://www.shmoop.com/finance/taxes/types-of-income-taxes.html" </w:instrText>
      </w:r>
      <w:r>
        <w:fldChar w:fldCharType="separate"/>
      </w:r>
      <w:r>
        <w:rPr>
          <w:rStyle w:val="49"/>
          <w:rFonts w:eastAsia="Calibri"/>
          <w:color w:val="auto"/>
        </w:rPr>
        <w:t>income tax</w:t>
      </w:r>
      <w:r>
        <w:rPr>
          <w:rStyle w:val="49"/>
          <w:rFonts w:eastAsia="Calibri"/>
          <w:color w:val="auto"/>
        </w:rPr>
        <w:fldChar w:fldCharType="end"/>
      </w:r>
      <w:r>
        <w:rPr>
          <w:rStyle w:val="48"/>
          <w:rFonts w:ascii="Times New Roman" w:hAnsi="Times New Roman" w:cs="Times New Roman"/>
        </w:rPr>
        <w:t xml:space="preserve"> return is due on a specified date. The tax code should let you see exactly how much you will owe and exactly how much you should pay as your tax liability.  Adam Smith in his seminal book “The Wealth of Nations “articulated four key principles for taxation as follows; Equality, Certainty, Convenience and Efficiency.</w:t>
      </w:r>
    </w:p>
  </w:footnote>
  <w:footnote w:id="22">
    <w:p w14:paraId="63E46CDF">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‘Update on Tax Certainty’: IMF/OECD Report for the G20 Finance Ministers and Central </w:t>
      </w:r>
    </w:p>
    <w:p w14:paraId="4D31850C">
      <w:pPr>
        <w:pStyle w:val="24"/>
        <w:ind w:firstLine="720"/>
        <w:jc w:val="both"/>
        <w:rPr>
          <w:rFonts w:ascii="Times New Roman" w:hAnsi="Times New Roman" w:cs="Times New Roman"/>
        </w:rPr>
      </w:pPr>
      <w:r>
        <w:rPr>
          <w:rStyle w:val="48"/>
          <w:rFonts w:ascii="Times New Roman" w:hAnsi="Times New Roman" w:cs="Times New Roman"/>
        </w:rPr>
        <w:t>Bank Governors, July 2018.</w:t>
      </w:r>
    </w:p>
  </w:footnote>
  <w:footnote w:id="23">
    <w:p w14:paraId="01E0D3EB">
      <w:pPr>
        <w:pStyle w:val="24"/>
        <w:jc w:val="both"/>
        <w:rPr>
          <w:rStyle w:val="48"/>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UK Treasury Report 2023, A simple tax system does not distort economic decisions and treat everyone </w:t>
      </w:r>
    </w:p>
    <w:p w14:paraId="292E9B4A">
      <w:pPr>
        <w:pStyle w:val="24"/>
        <w:ind w:left="720"/>
        <w:jc w:val="both"/>
        <w:rPr>
          <w:rFonts w:ascii="Times New Roman" w:hAnsi="Times New Roman" w:cs="Times New Roman"/>
          <w:color w:val="FF0000"/>
        </w:rPr>
      </w:pPr>
      <w:r>
        <w:rPr>
          <w:rStyle w:val="48"/>
          <w:rFonts w:ascii="Times New Roman" w:hAnsi="Times New Roman" w:cs="Times New Roman"/>
        </w:rPr>
        <w:t>equally. But just what do we mean by simplicity in tax, and how can it be achieved? Is it really the single most important driver, or should it be balanced against concepts such as stability or certainty? Some commentators are however of the view that simplicity in the taxation regime may be difficult to achieve in complex industries, such as the oil and gas industry.</w:t>
      </w:r>
    </w:p>
  </w:footnote>
  <w:footnote w:id="24">
    <w:p w14:paraId="7C083335">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United Nations Handbook on Selected Issues for Taxation of the Extractive Industries by </w:t>
      </w:r>
    </w:p>
    <w:p w14:paraId="61A17A7A">
      <w:pPr>
        <w:pStyle w:val="24"/>
        <w:ind w:left="720"/>
        <w:jc w:val="both"/>
        <w:rPr>
          <w:rFonts w:ascii="Times New Roman" w:hAnsi="Times New Roman" w:cs="Times New Roman"/>
        </w:rPr>
      </w:pPr>
      <w:r>
        <w:rPr>
          <w:rStyle w:val="48"/>
          <w:rFonts w:ascii="Times New Roman" w:hAnsi="Times New Roman" w:cs="Times New Roman"/>
        </w:rPr>
        <w:t>Developing Countries,</w:t>
      </w:r>
      <w:r>
        <w:rPr>
          <w:rFonts w:ascii="Times New Roman" w:hAnsi="Times New Roman" w:cs="Times New Roman"/>
        </w:rPr>
        <w:t xml:space="preserve"> </w:t>
      </w:r>
      <w:r>
        <w:fldChar w:fldCharType="begin"/>
      </w:r>
      <w:r>
        <w:instrText xml:space="preserve"> HYPERLINK "https://shop.un.org/books/un-handbk-select-issues-taxation-85642" </w:instrText>
      </w:r>
      <w:r>
        <w:fldChar w:fldCharType="separate"/>
      </w:r>
      <w:r>
        <w:rPr>
          <w:rStyle w:val="27"/>
          <w:rFonts w:ascii="Times New Roman" w:hAnsi="Times New Roman" w:cs="Times New Roman"/>
        </w:rPr>
        <w:t>https://shop.un.org/books/un-handbk-select-issues-taxation-85642</w:t>
      </w:r>
      <w:r>
        <w:rPr>
          <w:rStyle w:val="27"/>
          <w:rFonts w:ascii="Times New Roman" w:hAnsi="Times New Roman" w:cs="Times New Roman"/>
        </w:rPr>
        <w:fldChar w:fldCharType="end"/>
      </w:r>
      <w:r>
        <w:rPr>
          <w:rStyle w:val="48"/>
          <w:rFonts w:ascii="Times New Roman" w:hAnsi="Times New Roman" w:cs="Times New Roman"/>
        </w:rPr>
        <w:t xml:space="preserve"> (March 2019). </w:t>
      </w:r>
    </w:p>
  </w:footnote>
  <w:footnote w:id="25">
    <w:p w14:paraId="0AE48ED6">
      <w:pPr>
        <w:pStyle w:val="24"/>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OECD Report on Addressing the Tax Challenges of the Digital Economy, (2014)</w:t>
      </w:r>
    </w:p>
  </w:footnote>
  <w:footnote w:id="26">
    <w:p w14:paraId="7D486C86">
      <w:pPr>
        <w:pStyle w:val="24"/>
        <w:ind w:left="709" w:hanging="709"/>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vertAlign w:val="superscript"/>
        </w:rPr>
        <w:t xml:space="preserve"> </w:t>
      </w:r>
      <w:r>
        <w:rPr>
          <w:rStyle w:val="48"/>
          <w:rFonts w:ascii="Times New Roman" w:hAnsi="Times New Roman" w:cs="Times New Roman"/>
          <w:vertAlign w:val="superscript"/>
        </w:rPr>
        <w:tab/>
      </w:r>
      <w:r>
        <w:rPr>
          <w:rStyle w:val="48"/>
          <w:rFonts w:ascii="Times New Roman" w:hAnsi="Times New Roman" w:cs="Times New Roman"/>
        </w:rPr>
        <w:t>Stanford Encyclopedia of Philosophy ‘Law and Language’ (First published, 5 December 2002 and revised 15 April 2016, Stanford University, United States) (online) &lt;</w:t>
      </w:r>
      <w:r>
        <w:fldChar w:fldCharType="begin"/>
      </w:r>
      <w:r>
        <w:instrText xml:space="preserve"> HYPERLINK "https://plato.stanford.edu/entries/law-language/" </w:instrText>
      </w:r>
      <w:r>
        <w:fldChar w:fldCharType="separate"/>
      </w:r>
      <w:r>
        <w:rPr>
          <w:rStyle w:val="50"/>
          <w:rFonts w:eastAsia="Calibri"/>
        </w:rPr>
        <w:t>https://plato.stanford.edu/entries/law-language/</w:t>
      </w:r>
      <w:r>
        <w:rPr>
          <w:rStyle w:val="50"/>
          <w:rFonts w:eastAsia="Calibri"/>
        </w:rPr>
        <w:fldChar w:fldCharType="end"/>
      </w:r>
      <w:r>
        <w:rPr>
          <w:rStyle w:val="50"/>
          <w:rFonts w:eastAsia="Calibri"/>
        </w:rPr>
        <w:t>&gt; accessed 15 April 2024.</w:t>
      </w:r>
    </w:p>
  </w:footnote>
  <w:footnote w:id="27">
    <w:p w14:paraId="5E784724">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Lon L. Fuller, The Morality of Law (New Haven, Yale University Press, revised edn 1973), 262. </w:t>
      </w:r>
    </w:p>
    <w:p w14:paraId="474E10A9">
      <w:pPr>
        <w:pStyle w:val="24"/>
        <w:ind w:left="720"/>
        <w:jc w:val="both"/>
        <w:rPr>
          <w:rFonts w:ascii="Times New Roman" w:hAnsi="Times New Roman" w:cs="Times New Roman"/>
        </w:rPr>
      </w:pPr>
      <w:r>
        <w:rPr>
          <w:rStyle w:val="48"/>
          <w:rFonts w:ascii="Times New Roman" w:hAnsi="Times New Roman" w:cs="Times New Roman"/>
        </w:rPr>
        <w:t>Fuller’s definition of legal system is based on eight ‘principles of internal morality’ and reflects some key requirements of the principle of certainty of law, as accepted in civil and common law jurisdictions.</w:t>
      </w:r>
    </w:p>
  </w:footnote>
  <w:footnote w:id="28">
    <w:p w14:paraId="18E20268">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51"/>
          <w:rFonts w:ascii="Times New Roman" w:hAnsi="Times New Roman" w:cs="Times New Roman"/>
          <w:sz w:val="20"/>
          <w:szCs w:val="20"/>
        </w:rPr>
        <w:t>Anthony Burgess, A Mouthful of Air (Vintage 1993) 15.</w:t>
      </w:r>
      <w:r>
        <w:rPr>
          <w:rStyle w:val="51"/>
          <w:rFonts w:ascii="Times New Roman" w:hAnsi="Times New Roman" w:cs="Times New Roman"/>
        </w:rPr>
        <w:t xml:space="preserve"> </w:t>
      </w:r>
    </w:p>
  </w:footnote>
  <w:footnote w:id="29">
    <w:p w14:paraId="31830F8C">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51"/>
          <w:rFonts w:ascii="Times New Roman" w:hAnsi="Times New Roman" w:cs="Times New Roman"/>
          <w:sz w:val="20"/>
          <w:szCs w:val="20"/>
        </w:rPr>
        <w:t>Jack Stark, The Art of Statute, Chapter 1 – Background on Language, p.xi.</w:t>
      </w:r>
    </w:p>
  </w:footnote>
  <w:footnote w:id="30">
    <w:p w14:paraId="0BF83771">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51"/>
          <w:rFonts w:ascii="Times New Roman" w:hAnsi="Times New Roman" w:cs="Times New Roman"/>
          <w:sz w:val="20"/>
          <w:szCs w:val="20"/>
        </w:rPr>
        <w:t xml:space="preserve">Ray Jackendoff, </w:t>
      </w:r>
      <w:r>
        <w:rPr>
          <w:rStyle w:val="48"/>
          <w:rFonts w:ascii="Times New Roman" w:hAnsi="Times New Roman" w:cs="Times New Roman"/>
          <w:iCs/>
        </w:rPr>
        <w:t>Patterns in the Mind Language and Human Nature</w:t>
      </w:r>
      <w:r>
        <w:rPr>
          <w:rStyle w:val="48"/>
          <w:rFonts w:ascii="Times New Roman" w:hAnsi="Times New Roman" w:cs="Times New Roman"/>
          <w:i/>
          <w:iCs/>
        </w:rPr>
        <w:t>,</w:t>
      </w:r>
      <w:r>
        <w:rPr>
          <w:rStyle w:val="51"/>
          <w:rFonts w:ascii="Times New Roman" w:hAnsi="Times New Roman" w:cs="Times New Roman"/>
          <w:sz w:val="20"/>
          <w:szCs w:val="20"/>
        </w:rPr>
        <w:t xml:space="preserve"> (Basic Books 1994) Chapter 4, p.39-52</w:t>
      </w:r>
    </w:p>
  </w:footnote>
  <w:footnote w:id="31">
    <w:p w14:paraId="4C73ABC3">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51"/>
          <w:rFonts w:ascii="Times New Roman" w:hAnsi="Times New Roman" w:cs="Times New Roman"/>
          <w:sz w:val="20"/>
          <w:szCs w:val="20"/>
        </w:rPr>
        <w:t>Peter Fredrick Strawson, ‘On Referring’ (Oxford University Press, United Kingdom 1950) 235.</w:t>
      </w:r>
    </w:p>
  </w:footnote>
  <w:footnote w:id="32">
    <w:p w14:paraId="0C913D25">
      <w:pPr>
        <w:pStyle w:val="24"/>
        <w:ind w:left="720" w:hanging="720"/>
        <w:jc w:val="both"/>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48"/>
          <w:rFonts w:ascii="Times New Roman" w:hAnsi="Times New Roman" w:cs="Times New Roman"/>
        </w:rPr>
        <w:t xml:space="preserve">James Boyd White; </w:t>
      </w:r>
      <w:r>
        <w:rPr>
          <w:rStyle w:val="48"/>
          <w:rFonts w:ascii="Times New Roman" w:hAnsi="Times New Roman" w:cs="Times New Roman"/>
          <w:i/>
          <w:iCs/>
        </w:rPr>
        <w:t>The Legal Imagination</w:t>
      </w:r>
      <w:r>
        <w:rPr>
          <w:rStyle w:val="48"/>
          <w:rFonts w:ascii="Times New Roman" w:hAnsi="Times New Roman" w:cs="Times New Roman"/>
        </w:rPr>
        <w:t xml:space="preserve"> (Abridged edn, University of Chicago Press 1985, 1</w:t>
      </w:r>
    </w:p>
  </w:footnote>
  <w:footnote w:id="33">
    <w:p w14:paraId="3AE37E19">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Vincent Cyril Crabbe, ‘Drafting in Developing Countries: The Problem of Importing Expertise’ (1992) 4 </w:t>
      </w:r>
      <w:r>
        <w:rPr>
          <w:rStyle w:val="48"/>
          <w:rFonts w:ascii="Times New Roman" w:hAnsi="Times New Roman"/>
          <w:i/>
          <w:iCs/>
        </w:rPr>
        <w:t>African J. Int'l Comparative Law</w:t>
      </w:r>
      <w:r>
        <w:rPr>
          <w:rStyle w:val="48"/>
          <w:rFonts w:ascii="Times New Roman" w:hAnsi="Times New Roman"/>
        </w:rPr>
        <w:t xml:space="preserve"> 630 - 648. </w:t>
      </w:r>
    </w:p>
  </w:footnote>
  <w:footnote w:id="34">
    <w:p w14:paraId="44694DC3">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Jack Stark, ‘Should the Main Goal of Statutory Drafting Be Accuracy or Clarity?’ (1994) 15(3) </w:t>
      </w:r>
      <w:r>
        <w:rPr>
          <w:rStyle w:val="48"/>
          <w:rFonts w:ascii="Times New Roman" w:hAnsi="Times New Roman"/>
          <w:i/>
          <w:iCs/>
        </w:rPr>
        <w:t>Statute Law Review</w:t>
      </w:r>
      <w:r>
        <w:rPr>
          <w:rStyle w:val="48"/>
          <w:rFonts w:ascii="Times New Roman" w:hAnsi="Times New Roman"/>
        </w:rPr>
        <w:t xml:space="preserve"> 207-213.</w:t>
      </w:r>
    </w:p>
  </w:footnote>
  <w:footnote w:id="35">
    <w:p w14:paraId="16D91306">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Ibid, p.207</w:t>
      </w:r>
    </w:p>
  </w:footnote>
  <w:footnote w:id="36">
    <w:p w14:paraId="20BB9736">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Jeffrey Owens, ‘The Role of Tax Certainty in Promoting Sustainable and Inclusive Growth’.</w:t>
      </w:r>
    </w:p>
    <w:p w14:paraId="57A4B7C6">
      <w:pPr>
        <w:pStyle w:val="24"/>
        <w:ind w:left="720" w:firstLine="45"/>
        <w:jc w:val="both"/>
      </w:pPr>
      <w:r>
        <w:rPr>
          <w:rStyle w:val="48"/>
          <w:rFonts w:ascii="Times New Roman" w:hAnsi="Times New Roman"/>
        </w:rPr>
        <w:t>Paper presented at the Multi-disciplinary Academic Conference, UNCTAD, Geneva, 26 October 2018. The paper dealt with the following issues: (i) Tax certainty</w:t>
      </w:r>
      <w:r>
        <w:rPr>
          <w:rStyle w:val="48"/>
          <w:rFonts w:ascii="Times New Roman" w:hAnsi="Times New Roman"/>
          <w:b/>
          <w:bCs/>
        </w:rPr>
        <w:t xml:space="preserve">- </w:t>
      </w:r>
      <w:r>
        <w:rPr>
          <w:rStyle w:val="48"/>
          <w:rFonts w:ascii="Times New Roman" w:hAnsi="Times New Roman"/>
        </w:rPr>
        <w:t>The capacity to make an accurate assessment</w:t>
      </w:r>
      <w:r>
        <w:rPr>
          <w:rStyle w:val="48"/>
          <w:rFonts w:ascii="Times New Roman" w:hAnsi="Times New Roman"/>
          <w:b/>
          <w:bCs/>
        </w:rPr>
        <w:t xml:space="preserve"> </w:t>
      </w:r>
      <w:r>
        <w:rPr>
          <w:rStyle w:val="48"/>
          <w:rFonts w:ascii="Times New Roman" w:hAnsi="Times New Roman"/>
        </w:rPr>
        <w:t xml:space="preserve">of the tax and compliance </w:t>
      </w:r>
      <w:r>
        <w:rPr>
          <w:rStyle w:val="48"/>
          <w:rFonts w:ascii="Times New Roman" w:hAnsi="Times New Roman"/>
          <w:b/>
          <w:bCs/>
        </w:rPr>
        <w:t>co</w:t>
      </w:r>
      <w:r>
        <w:rPr>
          <w:rStyle w:val="48"/>
          <w:rFonts w:ascii="Times New Roman" w:hAnsi="Times New Roman"/>
        </w:rPr>
        <w:t>sts associated with an investment or a continuation of an investment in a country over the life cycle of the investment/company; (ii) Compliance by taxpayers and</w:t>
      </w:r>
      <w:r>
        <w:rPr>
          <w:rStyle w:val="48"/>
          <w:rFonts w:ascii="Times New Roman" w:hAnsi="Times New Roman"/>
          <w:b/>
          <w:bCs/>
        </w:rPr>
        <w:t xml:space="preserve"> </w:t>
      </w:r>
      <w:r>
        <w:rPr>
          <w:rStyle w:val="48"/>
          <w:rFonts w:ascii="Times New Roman" w:hAnsi="Times New Roman"/>
        </w:rPr>
        <w:t>voluntary behavior by companies and individuals,</w:t>
      </w:r>
      <w:r>
        <w:rPr>
          <w:rStyle w:val="48"/>
          <w:rFonts w:ascii="Times New Roman" w:hAnsi="Times New Roman"/>
          <w:b/>
          <w:bCs/>
        </w:rPr>
        <w:t xml:space="preserve"> </w:t>
      </w:r>
      <w:r>
        <w:rPr>
          <w:rStyle w:val="48"/>
          <w:rFonts w:ascii="Times New Roman" w:hAnsi="Times New Roman"/>
        </w:rPr>
        <w:t>in a way that both respects the letter and the spirit of the law</w:t>
      </w:r>
      <w:r>
        <w:rPr>
          <w:rStyle w:val="48"/>
          <w:rFonts w:ascii="Times New Roman" w:hAnsi="Times New Roman"/>
          <w:b/>
          <w:bCs/>
        </w:rPr>
        <w:t xml:space="preserve"> </w:t>
      </w:r>
      <w:r>
        <w:rPr>
          <w:rStyle w:val="48"/>
          <w:rFonts w:ascii="Times New Roman" w:hAnsi="Times New Roman"/>
        </w:rPr>
        <w:t>and which is in accordance with the intention of the legislator; (iii) Aggressive tax planning - An intentional use of the tax law or a combination of tax laws and /or tax treaties in a way that leads to taxation not in line with the spirit and purpose of the relevant tax laws.</w:t>
      </w:r>
    </w:p>
  </w:footnote>
  <w:footnote w:id="37">
    <w:p w14:paraId="418C4BEA">
      <w:pPr>
        <w:pStyle w:val="24"/>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1"/>
          <w:rFonts w:ascii="Times New Roman" w:hAnsi="Times New Roman" w:cs="Times New Roman"/>
        </w:rPr>
        <w:t xml:space="preserve"> </w:t>
      </w:r>
      <w:r>
        <w:rPr>
          <w:rStyle w:val="41"/>
          <w:rFonts w:ascii="Times New Roman" w:hAnsi="Times New Roman" w:cs="Times New Roman"/>
        </w:rPr>
        <w:tab/>
      </w:r>
      <w:r>
        <w:rPr>
          <w:rFonts w:cs="Times New Roman"/>
        </w:rPr>
        <w:t xml:space="preserve">Parts I and II of the 2nd Schedule to the </w:t>
      </w:r>
      <w:r>
        <w:rPr>
          <w:rFonts w:ascii="Times New Roman" w:hAnsi="Times New Roman" w:cs="Times New Roman"/>
        </w:rPr>
        <w:t xml:space="preserve">1999 </w:t>
      </w:r>
      <w:r>
        <w:rPr>
          <w:rFonts w:cs="Times New Roman"/>
        </w:rPr>
        <w:t xml:space="preserve">Constitution consists of two (2) Lists which </w:t>
      </w:r>
      <w:r>
        <w:rPr>
          <w:rFonts w:ascii="Times New Roman" w:hAnsi="Times New Roman" w:cs="Times New Roman"/>
        </w:rPr>
        <w:t>contain</w:t>
      </w:r>
      <w:r>
        <w:rPr>
          <w:rFonts w:cs="Times New Roman"/>
        </w:rPr>
        <w:t xml:space="preserve"> the items </w:t>
      </w:r>
    </w:p>
    <w:p w14:paraId="3E4929EC">
      <w:pPr>
        <w:pStyle w:val="24"/>
        <w:ind w:firstLine="720"/>
        <w:jc w:val="both"/>
        <w:rPr>
          <w:rFonts w:ascii="Times New Roman" w:hAnsi="Times New Roman" w:cs="Times New Roman"/>
        </w:rPr>
      </w:pPr>
      <w:r>
        <w:rPr>
          <w:rFonts w:cs="Times New Roman"/>
        </w:rPr>
        <w:t>on which each tier of government may legislate.</w:t>
      </w:r>
    </w:p>
  </w:footnote>
  <w:footnote w:id="38">
    <w:p w14:paraId="17DA1B61">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See also G20 Leaders’ Communique, Hangzhou Summit, China, 4 -5 September 2016.  </w:t>
      </w:r>
    </w:p>
    <w:p w14:paraId="25590725">
      <w:pPr>
        <w:pStyle w:val="24"/>
        <w:ind w:firstLine="720"/>
        <w:jc w:val="both"/>
        <w:rPr>
          <w:rStyle w:val="48"/>
          <w:rFonts w:ascii="Times New Roman" w:hAnsi="Times New Roman" w:eastAsia="Times New Roman" w:cs="Times New Roman"/>
        </w:rPr>
      </w:pPr>
      <w:r>
        <w:rPr>
          <w:rStyle w:val="48"/>
          <w:rFonts w:ascii="Times New Roman" w:hAnsi="Times New Roman" w:cs="Times New Roman"/>
        </w:rPr>
        <w:t xml:space="preserve">“We emphasize the effectiveness of tax policy tools in supply-side structural reform for </w:t>
      </w:r>
    </w:p>
    <w:p w14:paraId="6373E50A">
      <w:pPr>
        <w:pStyle w:val="24"/>
        <w:ind w:left="720"/>
        <w:jc w:val="both"/>
        <w:rPr>
          <w:rFonts w:ascii="Times New Roman" w:hAnsi="Times New Roman" w:cs="Times New Roman"/>
        </w:rPr>
      </w:pPr>
      <w:r>
        <w:rPr>
          <w:rStyle w:val="48"/>
          <w:rFonts w:ascii="Times New Roman" w:hAnsi="Times New Roman" w:cs="Times New Roman"/>
        </w:rPr>
        <w:t>promoting … the benefits of tax certainty to promote investment and trade and ask the OECD and IMF to continue working on … tax certainty.”</w:t>
      </w:r>
    </w:p>
  </w:footnote>
  <w:footnote w:id="39">
    <w:p w14:paraId="70269F39">
      <w:pPr>
        <w:pStyle w:val="24"/>
        <w:jc w:val="both"/>
        <w:rPr>
          <w:rStyle w:val="48"/>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Petroleum Industry Bill (PIB) and the National Petroleum Fiscal Policy document (NPFP), 2016, examined </w:t>
      </w:r>
    </w:p>
    <w:p w14:paraId="14B751CF">
      <w:pPr>
        <w:pStyle w:val="24"/>
        <w:ind w:firstLine="720"/>
        <w:jc w:val="both"/>
        <w:rPr>
          <w:rFonts w:ascii="Times New Roman" w:hAnsi="Times New Roman" w:cs="Times New Roman"/>
        </w:rPr>
      </w:pPr>
      <w:r>
        <w:rPr>
          <w:rStyle w:val="48"/>
          <w:rFonts w:ascii="Times New Roman" w:hAnsi="Times New Roman" w:cs="Times New Roman"/>
        </w:rPr>
        <w:t xml:space="preserve">in chapter 5 of this Thesis. </w:t>
      </w:r>
    </w:p>
  </w:footnote>
  <w:footnote w:id="40">
    <w:p w14:paraId="57CA2EAA">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1"/>
          <w:rFonts w:ascii="Times New Roman" w:hAnsi="Times New Roman" w:cs="Times New Roman"/>
        </w:rPr>
        <w:t xml:space="preserve"> </w:t>
      </w:r>
      <w:r>
        <w:rPr>
          <w:rStyle w:val="41"/>
          <w:rFonts w:ascii="Times New Roman" w:hAnsi="Times New Roman" w:cs="Times New Roman"/>
        </w:rPr>
        <w:tab/>
      </w:r>
      <w:r>
        <w:rPr>
          <w:rStyle w:val="48"/>
          <w:rFonts w:ascii="Times New Roman" w:hAnsi="Times New Roman" w:cs="Times New Roman"/>
        </w:rPr>
        <w:t xml:space="preserve">Sections 10, 11, PPTA &amp; Sections 5, 13-16 DIOBPSCA. See also, Adeyemi Babatunde Ajani, ‘Petroleum </w:t>
      </w:r>
    </w:p>
    <w:p w14:paraId="026D2001">
      <w:pPr>
        <w:pStyle w:val="24"/>
        <w:ind w:left="720"/>
        <w:jc w:val="both"/>
        <w:rPr>
          <w:rFonts w:ascii="Times New Roman" w:hAnsi="Times New Roman" w:cs="Times New Roman"/>
        </w:rPr>
      </w:pPr>
      <w:r>
        <w:rPr>
          <w:rStyle w:val="48"/>
          <w:rFonts w:ascii="Times New Roman" w:hAnsi="Times New Roman" w:cs="Times New Roman"/>
        </w:rPr>
        <w:t xml:space="preserve">Profits Tax Act in Nigeria: The Practice’ (August 10, 2015). Available at SSRN: </w:t>
      </w:r>
      <w:r>
        <w:fldChar w:fldCharType="begin"/>
      </w:r>
      <w:r>
        <w:instrText xml:space="preserve"> HYPERLINK "https://ssrn.com/abstract=2703620" </w:instrText>
      </w:r>
      <w:r>
        <w:fldChar w:fldCharType="separate"/>
      </w:r>
      <w:r>
        <w:rPr>
          <w:rStyle w:val="45"/>
          <w:rFonts w:eastAsia="Calibri"/>
          <w:color w:val="auto"/>
        </w:rPr>
        <w:t>https://ssrn.com/abstract=2703620</w:t>
      </w:r>
      <w:r>
        <w:rPr>
          <w:rStyle w:val="45"/>
          <w:rFonts w:eastAsia="Calibri"/>
          <w:color w:val="auto"/>
        </w:rPr>
        <w:fldChar w:fldCharType="end"/>
      </w:r>
      <w:r>
        <w:rPr>
          <w:rStyle w:val="48"/>
          <w:rFonts w:ascii="Times New Roman" w:hAnsi="Times New Roman" w:cs="Times New Roman"/>
          <w:color w:val="auto"/>
        </w:rPr>
        <w:t xml:space="preserve"> or </w:t>
      </w:r>
      <w:r>
        <w:fldChar w:fldCharType="begin"/>
      </w:r>
      <w:r>
        <w:instrText xml:space="preserve"> HYPERLINK "https://dx.doi.org/10.2139/ssrn.2703620" </w:instrText>
      </w:r>
      <w:r>
        <w:fldChar w:fldCharType="separate"/>
      </w:r>
      <w:r>
        <w:rPr>
          <w:rStyle w:val="45"/>
          <w:rFonts w:eastAsia="Calibri"/>
          <w:color w:val="auto"/>
        </w:rPr>
        <w:t xml:space="preserve">http://dx.doi.org/10.2139/ssrn.2703620 </w:t>
      </w:r>
      <w:r>
        <w:rPr>
          <w:rStyle w:val="45"/>
          <w:rFonts w:eastAsia="Calibri"/>
          <w:color w:val="auto"/>
        </w:rPr>
        <w:fldChar w:fldCharType="end"/>
      </w:r>
      <w:r>
        <w:rPr>
          <w:rStyle w:val="45"/>
          <w:rFonts w:eastAsia="Calibri"/>
          <w:color w:val="auto"/>
        </w:rPr>
        <w:t>.</w:t>
      </w:r>
    </w:p>
  </w:footnote>
  <w:footnote w:id="41">
    <w:p w14:paraId="2F717D96">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Nigeria LNG (Fiscal Incentives, Guarantees and Assurances) Act 1989.</w:t>
      </w:r>
    </w:p>
  </w:footnote>
  <w:footnote w:id="42">
    <w:p w14:paraId="2FEBB851">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Section 16 of the DOIBPSCA/PSC Act states: (1) The provisions of this Act shall be subject to review </w:t>
      </w:r>
    </w:p>
    <w:p w14:paraId="010AB739">
      <w:pPr>
        <w:pStyle w:val="24"/>
        <w:ind w:left="720"/>
        <w:jc w:val="both"/>
        <w:rPr>
          <w:rStyle w:val="48"/>
          <w:rFonts w:ascii="Times New Roman" w:hAnsi="Times New Roman" w:eastAsia="Times New Roman" w:cs="Times New Roman"/>
        </w:rPr>
      </w:pPr>
      <w:r>
        <w:rPr>
          <w:rStyle w:val="48"/>
          <w:rFonts w:ascii="Times New Roman" w:hAnsi="Times New Roman" w:cs="Times New Roman"/>
        </w:rPr>
        <w:t>to ensure that if the price of crude oil at any time exceeds $20 per barrel, real terms, the share of the government of the Federation in the additional revenue shall be adjusted under the production sharing contracts to such extent that the production sharing contracts shall be economically beneficial to the government of the Federation.</w:t>
      </w:r>
    </w:p>
    <w:p w14:paraId="1323B73D">
      <w:pPr>
        <w:pStyle w:val="24"/>
        <w:ind w:left="720"/>
        <w:jc w:val="both"/>
        <w:rPr>
          <w:rFonts w:ascii="Times New Roman" w:hAnsi="Times New Roman" w:cs="Times New Roman"/>
        </w:rPr>
      </w:pPr>
      <w:r>
        <w:rPr>
          <w:rStyle w:val="48"/>
          <w:rFonts w:ascii="Times New Roman" w:hAnsi="Times New Roman" w:cs="Times New Roman"/>
        </w:rPr>
        <w:t>(2) Notwithstanding the provisions of Subsection (1) of this Section, the provisions of this Act shall be liable to review after a period of fifteen years from the date of commencement and every five years thereafter.”</w:t>
      </w:r>
    </w:p>
  </w:footnote>
  <w:footnote w:id="43">
    <w:p w14:paraId="5C39551C">
      <w:pPr>
        <w:pStyle w:val="24"/>
        <w:jc w:val="both"/>
        <w:rPr>
          <w:rStyle w:val="48"/>
          <w:rFonts w:ascii="Times New Roman" w:hAnsi="Times New Roman" w:eastAsia="Times New Roman" w:cs="Times New Roman"/>
          <w:i/>
          <w:color w:val="auto"/>
        </w:rPr>
      </w:pPr>
      <w:r>
        <w:rPr>
          <w:rStyle w:val="48"/>
          <w:rFonts w:ascii="Times New Roman" w:hAnsi="Times New Roman" w:eastAsia="Times New Roman" w:cs="Times New Roman"/>
          <w:vertAlign w:val="superscript"/>
        </w:rPr>
        <w:footnoteRef/>
      </w:r>
      <w:r>
        <w:rPr>
          <w:rStyle w:val="41"/>
        </w:rPr>
        <w:t xml:space="preserve"> </w:t>
      </w:r>
      <w:r>
        <w:rPr>
          <w:rStyle w:val="41"/>
        </w:rPr>
        <w:tab/>
      </w:r>
      <w:r>
        <w:rPr>
          <w:rStyle w:val="48"/>
          <w:rFonts w:ascii="Times New Roman" w:hAnsi="Times New Roman" w:cs="Times New Roman"/>
          <w:i/>
        </w:rPr>
        <w:t xml:space="preserve">The Attorney Generals of Rivers, Bayelsa and Akwa Ibom States v The Attorney-General of </w:t>
      </w:r>
    </w:p>
    <w:p w14:paraId="1E82F01F">
      <w:pPr>
        <w:pStyle w:val="24"/>
        <w:ind w:firstLine="720"/>
        <w:jc w:val="both"/>
        <w:rPr>
          <w:rStyle w:val="48"/>
          <w:rFonts w:ascii="Times New Roman" w:hAnsi="Times New Roman" w:eastAsia="Times New Roman" w:cs="Times New Roman"/>
        </w:rPr>
      </w:pPr>
      <w:r>
        <w:rPr>
          <w:rStyle w:val="48"/>
          <w:rFonts w:ascii="Times New Roman" w:hAnsi="Times New Roman" w:cs="Times New Roman"/>
          <w:i/>
        </w:rPr>
        <w:t>The Federation.</w:t>
      </w:r>
      <w:r>
        <w:rPr>
          <w:rStyle w:val="48"/>
          <w:rFonts w:ascii="Times New Roman" w:hAnsi="Times New Roman" w:cs="Times New Roman"/>
        </w:rPr>
        <w:t xml:space="preserve"> - Suit No. SC/964/2016 &amp; The Deep Offshore and Inland Basin PSC (Amendment) </w:t>
      </w:r>
    </w:p>
    <w:p w14:paraId="2042A86F">
      <w:pPr>
        <w:pStyle w:val="24"/>
        <w:ind w:firstLine="720"/>
        <w:jc w:val="both"/>
        <w:rPr>
          <w:rFonts w:ascii="Times New Roman" w:hAnsi="Times New Roman" w:cs="Times New Roman"/>
        </w:rPr>
      </w:pPr>
      <w:r>
        <w:rPr>
          <w:rStyle w:val="48"/>
          <w:rFonts w:ascii="Times New Roman" w:hAnsi="Times New Roman" w:cs="Times New Roman"/>
        </w:rPr>
        <w:t>Act, 2019.</w:t>
      </w:r>
    </w:p>
  </w:footnote>
  <w:footnote w:id="44">
    <w:p w14:paraId="384475A1">
      <w:pPr>
        <w:pStyle w:val="24"/>
        <w:jc w:val="both"/>
        <w:rPr>
          <w:rStyle w:val="48"/>
          <w:rFonts w:ascii="Times New Roman" w:hAnsi="Times New Roman" w:eastAsia="Times New Roman" w:cs="Times New Roman"/>
          <w:color w:val="auto"/>
          <w:sz w:val="24"/>
          <w:szCs w:val="24"/>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Sections 11 PPTA &amp; s 39 CITA, legislating the special fiscal incentives granted for the accelerated </w:t>
      </w:r>
    </w:p>
    <w:p w14:paraId="35616A05">
      <w:pPr>
        <w:pStyle w:val="24"/>
        <w:ind w:firstLine="720"/>
        <w:jc w:val="both"/>
        <w:rPr>
          <w:rFonts w:ascii="Times New Roman" w:hAnsi="Times New Roman" w:cs="Times New Roman"/>
        </w:rPr>
      </w:pPr>
      <w:r>
        <w:rPr>
          <w:rStyle w:val="48"/>
          <w:rFonts w:ascii="Times New Roman" w:hAnsi="Times New Roman" w:cs="Times New Roman"/>
        </w:rPr>
        <w:t xml:space="preserve">Associated Gas (AG) and Non- Associated Gas (NAG). </w:t>
      </w:r>
    </w:p>
  </w:footnote>
  <w:footnote w:id="45">
    <w:p w14:paraId="25CDE58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Nigeria Agip company Limited v FIRS</w:t>
      </w:r>
      <w:r>
        <w:rPr>
          <w:rFonts w:ascii="Times New Roman" w:hAnsi="Times New Roman" w:cs="Times New Roman"/>
        </w:rPr>
        <w:t>, [2014] 16 TLRN 25,</w:t>
      </w:r>
    </w:p>
  </w:footnote>
  <w:footnote w:id="46">
    <w:p w14:paraId="66EC33C7">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1"/>
          <w:rFonts w:ascii="Times New Roman" w:hAnsi="Times New Roman" w:cs="Times New Roman"/>
        </w:rPr>
        <w:t xml:space="preserve"> </w:t>
      </w:r>
      <w:r>
        <w:rPr>
          <w:rStyle w:val="41"/>
          <w:rFonts w:ascii="Times New Roman" w:hAnsi="Times New Roman" w:cs="Times New Roman"/>
        </w:rPr>
        <w:tab/>
      </w:r>
      <w:r>
        <w:rPr>
          <w:rStyle w:val="48"/>
          <w:rFonts w:ascii="Times New Roman" w:hAnsi="Times New Roman" w:cs="Times New Roman"/>
        </w:rPr>
        <w:t xml:space="preserve">This was a common occurrence in the past in the Nigerian tax system, although its incidence has </w:t>
      </w:r>
    </w:p>
    <w:p w14:paraId="0E8B462B">
      <w:pPr>
        <w:pStyle w:val="24"/>
        <w:ind w:left="720"/>
        <w:jc w:val="both"/>
        <w:rPr>
          <w:rFonts w:ascii="Times New Roman" w:hAnsi="Times New Roman" w:cs="Times New Roman"/>
        </w:rPr>
      </w:pPr>
      <w:r>
        <w:rPr>
          <w:rStyle w:val="48"/>
          <w:rFonts w:ascii="Times New Roman" w:hAnsi="Times New Roman" w:cs="Times New Roman"/>
        </w:rPr>
        <w:t>presently substantially been eliminated. There are still issues of lack of clarity in the effective dates of new legislation, and how these affects upstream petroleum taxation.</w:t>
      </w:r>
    </w:p>
  </w:footnote>
  <w:footnote w:id="47">
    <w:p w14:paraId="100F902E">
      <w:pPr>
        <w:pStyle w:val="24"/>
        <w:jc w:val="both"/>
        <w:rPr>
          <w:rStyle w:val="48"/>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The latter concepts relating to government’s reneging on previous taxpayer-specific promises (such as tax </w:t>
      </w:r>
    </w:p>
    <w:p w14:paraId="401ADCCC">
      <w:pPr>
        <w:pStyle w:val="24"/>
        <w:ind w:left="720"/>
        <w:jc w:val="both"/>
        <w:rPr>
          <w:rFonts w:ascii="Times New Roman" w:hAnsi="Times New Roman" w:cs="Times New Roman"/>
        </w:rPr>
      </w:pPr>
      <w:r>
        <w:rPr>
          <w:rStyle w:val="48"/>
          <w:rFonts w:ascii="Times New Roman" w:hAnsi="Times New Roman" w:cs="Times New Roman"/>
        </w:rPr>
        <w:t>incentives granted to attract specific taxpayer investments). And it is equally critical to distinguish the impact of retroactive changes on incentives to invest, from general concepts of unfairness, and again, from adverse signals regarding the trustworthiness of specific governments going forward.</w:t>
      </w:r>
    </w:p>
  </w:footnote>
  <w:footnote w:id="48">
    <w:p w14:paraId="61955EC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Withholding Tax, Value Added Taxes etc. are some cases in point to be explored further in the </w:t>
      </w:r>
    </w:p>
    <w:p w14:paraId="3A616B2E">
      <w:pPr>
        <w:pStyle w:val="24"/>
        <w:ind w:firstLine="720"/>
        <w:jc w:val="both"/>
        <w:rPr>
          <w:rFonts w:ascii="Times New Roman" w:hAnsi="Times New Roman" w:cs="Times New Roman"/>
        </w:rPr>
      </w:pPr>
      <w:r>
        <w:rPr>
          <w:rFonts w:ascii="Times New Roman" w:hAnsi="Times New Roman" w:cs="Times New Roman"/>
        </w:rPr>
        <w:t xml:space="preserve">chapter 4 of the thesis </w:t>
      </w:r>
    </w:p>
  </w:footnote>
  <w:footnote w:id="49">
    <w:p w14:paraId="4659A5B8">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A change may, of course be fully anticipated. Moreover, if changes rationalize and simplify the </w:t>
      </w:r>
    </w:p>
    <w:p w14:paraId="78374DCB">
      <w:pPr>
        <w:pStyle w:val="24"/>
        <w:ind w:left="720"/>
        <w:jc w:val="both"/>
      </w:pPr>
      <w:r>
        <w:rPr>
          <w:rStyle w:val="48"/>
          <w:rFonts w:ascii="Times New Roman" w:hAnsi="Times New Roman" w:cs="Times New Roman"/>
        </w:rPr>
        <w:t>tax system, overall uncertainty may be reduced in the longer term, even if short-term uncertainty could temporarily affect business decisions.</w:t>
      </w:r>
      <w:r>
        <w:rPr>
          <w:rStyle w:val="48"/>
          <w:rFonts w:ascii="Times New Roman" w:hAnsi="Times New Roman"/>
        </w:rPr>
        <w:t xml:space="preserve"> </w:t>
      </w:r>
    </w:p>
  </w:footnote>
  <w:footnote w:id="50">
    <w:p w14:paraId="7CB06FA9">
      <w:pPr>
        <w:pStyle w:val="24"/>
        <w:jc w:val="both"/>
        <w:rPr>
          <w:rStyle w:val="48"/>
          <w:rFonts w:ascii="Times New Roman" w:hAnsi="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Section 251(1) of the Nigerian Constitution establishing the Federal High Court states: </w:t>
      </w:r>
    </w:p>
    <w:p w14:paraId="17B89D9C">
      <w:pPr>
        <w:pStyle w:val="24"/>
        <w:ind w:firstLine="720"/>
        <w:jc w:val="both"/>
        <w:rPr>
          <w:rStyle w:val="48"/>
          <w:rFonts w:ascii="Times New Roman" w:hAnsi="Times New Roman"/>
        </w:rPr>
      </w:pPr>
      <w:r>
        <w:rPr>
          <w:rStyle w:val="48"/>
          <w:rFonts w:ascii="Times New Roman" w:hAnsi="Times New Roman"/>
        </w:rPr>
        <w:t xml:space="preserve">“(1) Notwithstanding anything to the contained in this Constitution and in addition to such other </w:t>
      </w:r>
    </w:p>
    <w:p w14:paraId="20831CDA">
      <w:pPr>
        <w:pStyle w:val="24"/>
        <w:ind w:left="720"/>
        <w:jc w:val="both"/>
        <w:rPr>
          <w:rStyle w:val="48"/>
          <w:rFonts w:ascii="Times New Roman" w:hAnsi="Times New Roman" w:eastAsia="Times New Roman" w:cs="Times New Roman"/>
        </w:rPr>
      </w:pPr>
      <w:r>
        <w:rPr>
          <w:rStyle w:val="48"/>
          <w:rFonts w:ascii="Times New Roman" w:hAnsi="Times New Roman"/>
        </w:rPr>
        <w:t>jurisdiction as may be conferred upon it by an Act of the National Assembly, the Federal High Court shall have and exercise jurisdiction to the exclusion of any other court in civil causes and matters -</w:t>
      </w:r>
    </w:p>
    <w:p w14:paraId="60F68CFE">
      <w:pPr>
        <w:pStyle w:val="24"/>
        <w:ind w:left="1440"/>
        <w:jc w:val="both"/>
        <w:rPr>
          <w:rStyle w:val="48"/>
          <w:rFonts w:ascii="Times New Roman" w:hAnsi="Times New Roman" w:eastAsia="Times New Roman" w:cs="Times New Roman"/>
        </w:rPr>
      </w:pPr>
      <w:r>
        <w:rPr>
          <w:rStyle w:val="48"/>
          <w:rFonts w:ascii="Times New Roman" w:hAnsi="Times New Roman"/>
        </w:rPr>
        <w:t>(a) relating to the revenue of the Government of the Federation in which the said Government or any organ thereof or a person suing or being sued on behalf of the said Government is a party;</w:t>
      </w:r>
    </w:p>
    <w:p w14:paraId="6D8BD625">
      <w:pPr>
        <w:pStyle w:val="24"/>
        <w:ind w:left="1440"/>
        <w:jc w:val="both"/>
      </w:pPr>
      <w:r>
        <w:rPr>
          <w:rStyle w:val="48"/>
          <w:rFonts w:ascii="Times New Roman" w:hAnsi="Times New Roman"/>
        </w:rPr>
        <w:t>(b) connected with or pertaining to the taxation of companies and other bodies established or carrying on business in Nigeria and all other persons subject to Federal taxation;”</w:t>
      </w:r>
    </w:p>
  </w:footnote>
  <w:footnote w:id="51">
    <w:p w14:paraId="28A33C88">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[2013] 9 TLRN 28.</w:t>
      </w:r>
    </w:p>
  </w:footnote>
  <w:footnote w:id="52">
    <w:p w14:paraId="1956073F">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i/>
          <w:iCs/>
          <w:lang w:val="pt-PT"/>
        </w:rPr>
        <w:t>TSKJ II Construces v.FIRS</w:t>
      </w:r>
      <w:r>
        <w:rPr>
          <w:rStyle w:val="48"/>
          <w:rFonts w:ascii="Times New Roman" w:hAnsi="Times New Roman"/>
          <w:i/>
        </w:rPr>
        <w:t>,</w:t>
      </w:r>
      <w:r>
        <w:rPr>
          <w:rStyle w:val="48"/>
          <w:rFonts w:ascii="Times New Roman" w:hAnsi="Times New Roman"/>
        </w:rPr>
        <w:t xml:space="preserve"> Vol 9 All NTC,101 (FHC/Abj /TA/11/2012).</w:t>
      </w:r>
    </w:p>
  </w:footnote>
  <w:footnote w:id="53">
    <w:p w14:paraId="1460CD90">
      <w:pPr>
        <w:pStyle w:val="24"/>
        <w:jc w:val="both"/>
        <w:rPr>
          <w:rFonts w:ascii="Times New Roman" w:hAnsi="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Fonts w:ascii="Times New Roman" w:hAnsi="Times New Roman"/>
        </w:rPr>
        <w:t xml:space="preserve">See decision in </w:t>
      </w:r>
      <w:r>
        <w:rPr>
          <w:rFonts w:ascii="Times New Roman" w:hAnsi="Times New Roman"/>
          <w:i/>
          <w:iCs/>
        </w:rPr>
        <w:t>Nigerian</w:t>
      </w:r>
      <w:r>
        <w:rPr>
          <w:rFonts w:ascii="Times New Roman" w:hAnsi="Times New Roman"/>
          <w:i/>
        </w:rPr>
        <w:t xml:space="preserve"> National Petroleum Corporation v. Tax Appeal Tribunal,</w:t>
      </w:r>
      <w:r>
        <w:rPr>
          <w:rFonts w:ascii="Times New Roman" w:hAnsi="Times New Roman"/>
        </w:rPr>
        <w:t xml:space="preserve"> where the court </w:t>
      </w:r>
    </w:p>
    <w:p w14:paraId="60BAC056">
      <w:pPr>
        <w:pStyle w:val="24"/>
        <w:ind w:left="720"/>
        <w:jc w:val="both"/>
      </w:pPr>
      <w:r>
        <w:rPr>
          <w:rFonts w:ascii="Times New Roman" w:hAnsi="Times New Roman"/>
        </w:rPr>
        <w:t>upheld the creation and jurisdiction of the TAT, and later affirmed by the Court of Appeal (CA) in 2017 in</w:t>
      </w:r>
      <w:r>
        <w:rPr>
          <w:rFonts w:ascii="Times New Roman" w:hAnsi="Times New Roman"/>
          <w:i/>
        </w:rPr>
        <w:t xml:space="preserve"> CNOOC &amp; Sapetro v NNPC,</w:t>
      </w:r>
      <w:r>
        <w:rPr>
          <w:rFonts w:ascii="Times New Roman" w:hAnsi="Times New Roman"/>
        </w:rPr>
        <w:t xml:space="preserve"> when it held that the jurisdiction of the TAT, which is an administrative appellate body over tax disputes as set out in the Federal Inland Revenue Service (Establishment) Act, 2007, is not in conflict with the exclusive jurisdiction of the Federal High </w:t>
      </w:r>
      <w:r>
        <w:rPr>
          <w:rStyle w:val="48"/>
          <w:rFonts w:ascii="Times New Roman" w:hAnsi="Times New Roman"/>
        </w:rPr>
        <w:t>( CA/L/1144/2015 &amp; CA/L/1145/2015)</w:t>
      </w:r>
    </w:p>
  </w:footnote>
  <w:footnote w:id="54">
    <w:p w14:paraId="777197D4">
      <w:pPr>
        <w:pStyle w:val="24"/>
        <w:jc w:val="both"/>
        <w:rPr>
          <w:rStyle w:val="48"/>
          <w:rFonts w:ascii="Times New Roman" w:hAnsi="Times New Roman" w:eastAsia="Times New Roman" w:cs="Times New Roman"/>
          <w:color w:val="auto"/>
          <w:sz w:val="24"/>
          <w:szCs w:val="24"/>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bCs/>
        </w:rPr>
        <w:t>Niger</w:t>
      </w:r>
      <w:r>
        <w:rPr>
          <w:rStyle w:val="48"/>
          <w:rFonts w:ascii="Times New Roman" w:hAnsi="Times New Roman"/>
        </w:rPr>
        <w:t>-</w:t>
      </w:r>
      <w:r>
        <w:rPr>
          <w:rStyle w:val="48"/>
          <w:rFonts w:ascii="Times New Roman" w:hAnsi="Times New Roman"/>
          <w:bCs/>
        </w:rPr>
        <w:t>Delta Development Commission</w:t>
      </w:r>
      <w:r>
        <w:rPr>
          <w:rStyle w:val="48"/>
          <w:rFonts w:ascii="Times New Roman" w:hAnsi="Times New Roman"/>
        </w:rPr>
        <w:t xml:space="preserve"> (Establishment etc.) Act No 6, 2000, Laws of the </w:t>
      </w:r>
    </w:p>
    <w:p w14:paraId="5BDA9221">
      <w:pPr>
        <w:pStyle w:val="24"/>
        <w:ind w:left="720"/>
        <w:jc w:val="both"/>
        <w:rPr>
          <w:rStyle w:val="48"/>
          <w:rFonts w:ascii="Times New Roman" w:hAnsi="Times New Roman" w:eastAsia="Times New Roman" w:cs="Times New Roman"/>
        </w:rPr>
      </w:pPr>
      <w:r>
        <w:rPr>
          <w:rStyle w:val="48"/>
          <w:rFonts w:ascii="Times New Roman" w:hAnsi="Times New Roman"/>
        </w:rPr>
        <w:t>Federation of Nigeria (NDDC Act). Section 14(2) (b) levies 3 percent of the total annual budget of any oil producing company operating on shore and offshore, in the Niger-Delta Area; including gas processing companies; but what constitutes annual budget is not defined. The question has been whether this refers to capital or operating budget.</w:t>
      </w:r>
    </w:p>
    <w:p w14:paraId="6B24EE67">
      <w:pPr>
        <w:pStyle w:val="24"/>
        <w:ind w:firstLine="720"/>
        <w:jc w:val="both"/>
      </w:pPr>
      <w:r>
        <w:rPr>
          <w:rStyle w:val="48"/>
          <w:rFonts w:ascii="Times New Roman" w:hAnsi="Times New Roman"/>
        </w:rPr>
        <w:t> </w:t>
      </w:r>
    </w:p>
  </w:footnote>
  <w:footnote w:id="55">
    <w:p w14:paraId="02DACD46">
      <w:pPr>
        <w:pStyle w:val="24"/>
        <w:ind w:left="720" w:hanging="720"/>
        <w:jc w:val="both"/>
        <w:rPr>
          <w:rFonts w:ascii="Times New Roman" w:hAnsi="Times New Roman" w:cs="Times New Roman"/>
          <w:color w:val="auto"/>
        </w:rPr>
      </w:pPr>
      <w:r>
        <w:rPr>
          <w:rStyle w:val="48"/>
          <w:rFonts w:ascii="Times New Roman" w:hAnsi="Times New Roman" w:eastAsia="Times New Roman" w:cs="Times New Roman"/>
          <w:color w:val="auto"/>
          <w:vertAlign w:val="superscript"/>
        </w:rPr>
        <w:footnoteRef/>
      </w:r>
      <w:r>
        <w:rPr>
          <w:rStyle w:val="48"/>
          <w:rFonts w:ascii="Times New Roman" w:hAnsi="Times New Roman" w:cs="Times New Roman"/>
          <w:color w:val="auto"/>
          <w:vertAlign w:val="superscript"/>
        </w:rPr>
        <w:t xml:space="preserve"> </w:t>
      </w:r>
      <w:r>
        <w:rPr>
          <w:rStyle w:val="51"/>
          <w:rFonts w:ascii="Times New Roman" w:hAnsi="Times New Roman" w:cs="Times New Roman"/>
          <w:color w:val="auto"/>
          <w:sz w:val="20"/>
          <w:szCs w:val="20"/>
        </w:rPr>
        <w:tab/>
      </w:r>
      <w:r>
        <w:rPr>
          <w:rStyle w:val="48"/>
          <w:rFonts w:ascii="Times New Roman" w:hAnsi="Times New Roman" w:cs="Times New Roman"/>
          <w:color w:val="auto"/>
        </w:rPr>
        <w:t>OECD/IMF ‘Report on Tax Certainty – 2018 Update’ (Organisation for Economic Co-operation and Development (OECD), 22 July 2018) (online) &lt;</w:t>
      </w:r>
      <w:r>
        <w:fldChar w:fldCharType="begin"/>
      </w:r>
      <w:r>
        <w:instrText xml:space="preserve"> HYPERLINK "https://www.oecd.org/tax/tax-certainty-update-oecd-imf-report-g20-finance-ministers-july-2018.pdf" </w:instrText>
      </w:r>
      <w:r>
        <w:fldChar w:fldCharType="separate"/>
      </w:r>
      <w:r>
        <w:rPr>
          <w:rStyle w:val="49"/>
          <w:rFonts w:eastAsia="Calibri"/>
          <w:color w:val="auto"/>
        </w:rPr>
        <w:t>https://www.oecd.org/tax/tax-certainty-update-oecd-imf-report-g20-finance-ministers-july-2018.pdf</w:t>
      </w:r>
      <w:r>
        <w:rPr>
          <w:rStyle w:val="49"/>
          <w:rFonts w:eastAsia="Calibri"/>
          <w:color w:val="auto"/>
        </w:rPr>
        <w:fldChar w:fldCharType="end"/>
      </w:r>
      <w:r>
        <w:rPr>
          <w:rStyle w:val="48"/>
          <w:rFonts w:ascii="Times New Roman" w:hAnsi="Times New Roman" w:cs="Times New Roman"/>
          <w:color w:val="auto"/>
        </w:rPr>
        <w:t>&gt; accessed 20 March 2019; see also IMF/OECD Report for the G20 Finance Ministers and Central Bank Governors ‘Update on Tax Certainty’ (Organisation for Economic Co-operation and Development, International Monetary Fund, 2018) 5-47; see further IMF/OECD Report for the G20 Finance Ministers (2017) &lt;</w:t>
      </w:r>
      <w:r>
        <w:fldChar w:fldCharType="begin"/>
      </w:r>
      <w:r>
        <w:instrText xml:space="preserve"> HYPERLINK "http://www.oecd.org/tax/tax-policy/tax-certainty-report-oecd-imf-report-g20-finance-ministers-march-2017.pdf" </w:instrText>
      </w:r>
      <w:r>
        <w:fldChar w:fldCharType="separate"/>
      </w:r>
      <w:r>
        <w:rPr>
          <w:rStyle w:val="49"/>
          <w:rFonts w:eastAsia="Calibri"/>
          <w:color w:val="auto"/>
        </w:rPr>
        <w:t>http://www.oecd.org/tax/tax-policy/tax-certainty-report-oecd-imf-report-g20-finance-ministers-march-2017.pdf</w:t>
      </w:r>
      <w:r>
        <w:rPr>
          <w:rStyle w:val="49"/>
          <w:rFonts w:eastAsia="Calibri"/>
          <w:color w:val="auto"/>
        </w:rPr>
        <w:fldChar w:fldCharType="end"/>
      </w:r>
      <w:r>
        <w:rPr>
          <w:rStyle w:val="48"/>
          <w:rFonts w:ascii="Times New Roman" w:hAnsi="Times New Roman" w:cs="Times New Roman"/>
          <w:color w:val="auto"/>
        </w:rPr>
        <w:t>&gt; accessed 5 September 2018; EY ‘OECD Secretary General sends tax update to G20 Finance Ministers, including IMF/OECD report on Tax Certainty’ (EY Global Tax Alert, 21 March 2017) 1-4; EY ‘ OECD Secretary-General sends G20 finance ministers an annual progress report of the Inclusive Framework on BEPS and update on IMF/OECD Report on Tax certainty (EY Global Tax Alert, Global Edition, Washington DC, New York, Amsterdam, 25 July 2018) 1</w:t>
      </w:r>
    </w:p>
  </w:footnote>
  <w:footnote w:id="56">
    <w:p w14:paraId="1F01A09E">
      <w:pPr>
        <w:pStyle w:val="24"/>
        <w:ind w:left="720" w:hanging="720"/>
        <w:jc w:val="both"/>
        <w:rPr>
          <w:rFonts w:ascii="Times New Roman" w:hAnsi="Times New Roman" w:cs="Times New Roman"/>
          <w:color w:val="auto"/>
        </w:rPr>
      </w:pPr>
      <w:r>
        <w:rPr>
          <w:rStyle w:val="48"/>
          <w:rFonts w:ascii="Times New Roman" w:hAnsi="Times New Roman" w:eastAsia="Times New Roman" w:cs="Times New Roman"/>
          <w:color w:val="auto"/>
          <w:vertAlign w:val="superscript"/>
        </w:rPr>
        <w:footnoteRef/>
      </w:r>
      <w:r>
        <w:rPr>
          <w:rStyle w:val="48"/>
          <w:rFonts w:ascii="Times New Roman" w:hAnsi="Times New Roman" w:cs="Times New Roman"/>
          <w:color w:val="auto"/>
          <w:vertAlign w:val="superscript"/>
        </w:rPr>
        <w:t xml:space="preserve"> </w:t>
      </w:r>
      <w:r>
        <w:rPr>
          <w:rStyle w:val="48"/>
          <w:rFonts w:ascii="Times New Roman" w:hAnsi="Times New Roman" w:eastAsia="Times New Roman" w:cs="Times New Roman"/>
          <w:color w:val="auto"/>
        </w:rPr>
        <w:tab/>
      </w:r>
      <w:r>
        <w:rPr>
          <w:rStyle w:val="48"/>
          <w:rFonts w:ascii="Times New Roman" w:hAnsi="Times New Roman" w:eastAsia="Times New Roman" w:cs="Times New Roman"/>
          <w:color w:val="auto"/>
        </w:rPr>
        <w:t xml:space="preserve">Jonathan Schwarz </w:t>
      </w:r>
      <w:r>
        <w:rPr>
          <w:rStyle w:val="48"/>
          <w:rFonts w:ascii="Times New Roman" w:hAnsi="Times New Roman" w:cs="Times New Roman"/>
          <w:color w:val="auto"/>
        </w:rPr>
        <w:t>‘Tax Certainty: Cure the disease not the symptom’ (Kluwer International Tax Blog, The Netherlands, 28 August 2018) &lt;</w:t>
      </w:r>
      <w:r>
        <w:fldChar w:fldCharType="begin"/>
      </w:r>
      <w:r>
        <w:instrText xml:space="preserve"> HYPERLINK "http://kluwertaxblog.com/2018/08/28/tax-certainty-cure-disease-not-symptom/?print=pdf" </w:instrText>
      </w:r>
      <w:r>
        <w:fldChar w:fldCharType="separate"/>
      </w:r>
      <w:r>
        <w:rPr>
          <w:rStyle w:val="49"/>
          <w:rFonts w:eastAsia="Calibri"/>
          <w:color w:val="auto"/>
        </w:rPr>
        <w:t>http://kluwertaxblog.com/2018/08/28/tax-certainty-cure-disease-not-symptom/?print=pdf</w:t>
      </w:r>
      <w:r>
        <w:rPr>
          <w:rStyle w:val="49"/>
          <w:rFonts w:eastAsia="Calibri"/>
          <w:color w:val="auto"/>
        </w:rPr>
        <w:fldChar w:fldCharType="end"/>
      </w:r>
      <w:r>
        <w:rPr>
          <w:rStyle w:val="48"/>
          <w:rFonts w:ascii="Times New Roman" w:hAnsi="Times New Roman" w:cs="Times New Roman"/>
          <w:color w:val="auto"/>
        </w:rPr>
        <w:t>&gt; accessed 15 April 2024</w:t>
      </w:r>
    </w:p>
  </w:footnote>
  <w:footnote w:id="57">
    <w:p w14:paraId="1C7B8AFF">
      <w:pPr>
        <w:pStyle w:val="24"/>
        <w:ind w:left="720" w:hanging="720"/>
        <w:jc w:val="both"/>
        <w:rPr>
          <w:rFonts w:ascii="Times New Roman" w:hAnsi="Times New Roman" w:cs="Times New Roman"/>
          <w:color w:val="auto"/>
        </w:rPr>
      </w:pPr>
      <w:r>
        <w:rPr>
          <w:rStyle w:val="48"/>
          <w:rFonts w:ascii="Times New Roman" w:hAnsi="Times New Roman" w:eastAsia="Times New Roman" w:cs="Times New Roman"/>
          <w:color w:val="auto"/>
          <w:vertAlign w:val="superscript"/>
        </w:rPr>
        <w:footnoteRef/>
      </w:r>
      <w:r>
        <w:rPr>
          <w:rStyle w:val="48"/>
          <w:rFonts w:ascii="Times New Roman" w:hAnsi="Times New Roman" w:cs="Times New Roman"/>
          <w:color w:val="auto"/>
          <w:vertAlign w:val="superscript"/>
        </w:rPr>
        <w:t xml:space="preserve"> </w:t>
      </w:r>
      <w:r>
        <w:rPr>
          <w:rStyle w:val="48"/>
          <w:rFonts w:ascii="Times New Roman" w:hAnsi="Times New Roman" w:eastAsia="Times New Roman" w:cs="Times New Roman"/>
          <w:color w:val="auto"/>
        </w:rPr>
        <w:tab/>
      </w:r>
      <w:r>
        <w:rPr>
          <w:rStyle w:val="48"/>
          <w:rFonts w:ascii="Times New Roman" w:hAnsi="Times New Roman" w:eastAsia="Times New Roman" w:cs="Times New Roman"/>
          <w:color w:val="auto"/>
        </w:rPr>
        <w:t xml:space="preserve">Yehonnatan Givati </w:t>
      </w:r>
      <w:r>
        <w:rPr>
          <w:rStyle w:val="48"/>
          <w:rFonts w:ascii="Times New Roman" w:hAnsi="Times New Roman" w:cs="Times New Roman"/>
          <w:color w:val="auto"/>
        </w:rPr>
        <w:t xml:space="preserve">‘Resolving Legal Uncertainty: The Unfulfilled Promise of Advance Tax Rulings’ 2009), 29 </w:t>
      </w:r>
      <w:r>
        <w:rPr>
          <w:rStyle w:val="48"/>
          <w:rFonts w:ascii="Times New Roman" w:hAnsi="Times New Roman" w:cs="Times New Roman"/>
          <w:i/>
          <w:iCs/>
          <w:color w:val="auto"/>
        </w:rPr>
        <w:t>Virginia Tax Review</w:t>
      </w:r>
      <w:r>
        <w:rPr>
          <w:rStyle w:val="48"/>
          <w:rFonts w:ascii="Times New Roman" w:hAnsi="Times New Roman" w:cs="Times New Roman"/>
          <w:color w:val="auto"/>
        </w:rPr>
        <w:t xml:space="preserve"> 1-34; (Harvard John M. Olin Center for Law, Economics, and Business Fellows’ Discussion Paper Series, Discussion Paper No. 30, Harvard Law School, Cambridge, USA) 1-36; see also Susan Long and Judyth Swingen ‘Taxpayer Compliance: Setting New Agendas for Research’ (1991) 25 </w:t>
      </w:r>
      <w:r>
        <w:rPr>
          <w:rStyle w:val="48"/>
          <w:rFonts w:ascii="Times New Roman" w:hAnsi="Times New Roman" w:cs="Times New Roman"/>
          <w:i/>
          <w:iCs/>
          <w:color w:val="auto"/>
        </w:rPr>
        <w:t>Law and Society</w:t>
      </w:r>
      <w:r>
        <w:rPr>
          <w:rStyle w:val="48"/>
          <w:rFonts w:ascii="Times New Roman" w:hAnsi="Times New Roman" w:cs="Times New Roman"/>
          <w:color w:val="auto"/>
        </w:rPr>
        <w:t xml:space="preserve"> 637, 646-647</w:t>
      </w:r>
    </w:p>
  </w:footnote>
  <w:footnote w:id="58">
    <w:p w14:paraId="4A900897">
      <w:pPr>
        <w:pStyle w:val="24"/>
        <w:ind w:left="720" w:hanging="720"/>
        <w:jc w:val="both"/>
        <w:rPr>
          <w:rFonts w:ascii="Times New Roman" w:hAnsi="Times New Roman" w:cs="Times New Roman"/>
        </w:rPr>
      </w:pPr>
      <w:r>
        <w:rPr>
          <w:rStyle w:val="48"/>
          <w:rFonts w:ascii="Times New Roman" w:hAnsi="Times New Roman" w:eastAsia="Times New Roman" w:cs="Times New Roman"/>
          <w:color w:val="auto"/>
          <w:vertAlign w:val="superscript"/>
        </w:rPr>
        <w:footnoteRef/>
      </w:r>
      <w:r>
        <w:rPr>
          <w:rStyle w:val="48"/>
          <w:rFonts w:ascii="Times New Roman" w:hAnsi="Times New Roman" w:cs="Times New Roman"/>
          <w:color w:val="auto"/>
        </w:rPr>
        <w:t>.</w:t>
      </w:r>
      <w:r>
        <w:rPr>
          <w:rStyle w:val="51"/>
          <w:rFonts w:ascii="Times New Roman" w:hAnsi="Times New Roman" w:cs="Times New Roman"/>
          <w:color w:val="auto"/>
          <w:sz w:val="20"/>
          <w:szCs w:val="20"/>
        </w:rPr>
        <w:t xml:space="preserve"> </w:t>
      </w:r>
      <w:r>
        <w:rPr>
          <w:rStyle w:val="51"/>
          <w:rFonts w:ascii="Times New Roman" w:hAnsi="Times New Roman" w:cs="Times New Roman"/>
          <w:color w:val="auto"/>
          <w:sz w:val="20"/>
          <w:szCs w:val="20"/>
        </w:rPr>
        <w:tab/>
      </w:r>
      <w:r>
        <w:rPr>
          <w:rStyle w:val="48"/>
          <w:rFonts w:ascii="Times New Roman" w:hAnsi="Times New Roman" w:cs="Times New Roman"/>
          <w:color w:val="auto"/>
        </w:rPr>
        <w:t>IMF/OECD Report for the G20 Finance Ministers (2017) &lt;</w:t>
      </w:r>
      <w:r>
        <w:rPr>
          <w:rFonts w:ascii="Times New Roman" w:hAnsi="Times New Roman" w:cs="Times New Roman"/>
        </w:rPr>
        <w:t xml:space="preserve"> </w:t>
      </w:r>
      <w:r>
        <w:fldChar w:fldCharType="begin"/>
      </w:r>
      <w:r>
        <w:instrText xml:space="preserve"> HYPERLINK "https://www.imf.org/external/np/g20/pdf/2017/031817.pdf" </w:instrText>
      </w:r>
      <w:r>
        <w:fldChar w:fldCharType="separate"/>
      </w:r>
      <w:r>
        <w:rPr>
          <w:rStyle w:val="27"/>
          <w:rFonts w:ascii="Times New Roman" w:hAnsi="Times New Roman" w:cs="Times New Roman"/>
        </w:rPr>
        <w:t>https://www.imf.org/external/np/g20/pdf/2017/031817.pdf</w:t>
      </w:r>
      <w:r>
        <w:rPr>
          <w:rStyle w:val="27"/>
          <w:rFonts w:ascii="Times New Roman" w:hAnsi="Times New Roman" w:cs="Times New Roman"/>
        </w:rPr>
        <w:fldChar w:fldCharType="end"/>
      </w:r>
      <w:r>
        <w:rPr>
          <w:rStyle w:val="48"/>
          <w:rFonts w:ascii="Times New Roman" w:hAnsi="Times New Roman" w:cs="Times New Roman"/>
          <w:color w:val="auto"/>
        </w:rPr>
        <w:t xml:space="preserve">&gt;  accessed 15 April 2024; </w:t>
      </w:r>
    </w:p>
  </w:footnote>
  <w:footnote w:id="59">
    <w:p w14:paraId="12A66C4A">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w:t>
      </w:r>
      <w:r>
        <w:rPr>
          <w:rStyle w:val="48"/>
          <w:rFonts w:ascii="Times New Roman" w:hAnsi="Times New Roman" w:cs="Times New Roman"/>
        </w:rPr>
        <w:tab/>
      </w:r>
      <w:r>
        <w:rPr>
          <w:rStyle w:val="48"/>
          <w:rFonts w:ascii="Times New Roman" w:hAnsi="Times New Roman" w:cs="Times New Roman"/>
        </w:rPr>
        <w:t xml:space="preserve"> Sung-Soo Yoon, Seung-Weon Yoo and Jinbae Kim ‘Ambiguity, Audit Errors, and Tax Compliance’ (2011) 18 </w:t>
      </w:r>
      <w:r>
        <w:rPr>
          <w:rStyle w:val="48"/>
          <w:rFonts w:ascii="Times New Roman" w:hAnsi="Times New Roman" w:cs="Times New Roman"/>
          <w:i/>
          <w:iCs/>
        </w:rPr>
        <w:t>Asia-Pacific Journal of Accounting &amp; Economics</w:t>
      </w:r>
      <w:r>
        <w:rPr>
          <w:rStyle w:val="48"/>
          <w:rFonts w:ascii="Times New Roman" w:hAnsi="Times New Roman" w:cs="Times New Roman"/>
        </w:rPr>
        <w:t xml:space="preserve"> 11–26.</w:t>
      </w:r>
    </w:p>
  </w:footnote>
  <w:footnote w:id="60">
    <w:p w14:paraId="159507C9">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w:t>
      </w:r>
      <w:r>
        <w:rPr>
          <w:rStyle w:val="48"/>
          <w:rFonts w:ascii="Times New Roman" w:hAnsi="Times New Roman" w:cs="Times New Roman"/>
        </w:rPr>
        <w:tab/>
      </w:r>
      <w:r>
        <w:rPr>
          <w:rStyle w:val="48"/>
          <w:rFonts w:ascii="Times New Roman" w:hAnsi="Times New Roman" w:cs="Times New Roman"/>
        </w:rPr>
        <w:t xml:space="preserve">Gareth Myles ‘Taxation and Economic Growth’ (2000) 21(1) </w:t>
      </w:r>
      <w:r>
        <w:rPr>
          <w:rStyle w:val="48"/>
          <w:rFonts w:ascii="Times New Roman" w:hAnsi="Times New Roman" w:cs="Times New Roman"/>
          <w:i/>
          <w:iCs/>
        </w:rPr>
        <w:t>Fiscal Studies</w:t>
      </w:r>
      <w:r>
        <w:rPr>
          <w:rStyle w:val="48"/>
          <w:rFonts w:ascii="Times New Roman" w:hAnsi="Times New Roman" w:cs="Times New Roman"/>
        </w:rPr>
        <w:t xml:space="preserve"> 141-168; Seth Giertz and Jacob Feldman ‘The Economic Costs of Tax Policy Uncertainty: Implications for Fundamental Tax Reform’ (Mercatus Center at George Mason University, 27 November 2012) 1-32.</w:t>
      </w:r>
    </w:p>
  </w:footnote>
  <w:footnote w:id="61">
    <w:p w14:paraId="115866A4">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w:t>
      </w:r>
      <w:r>
        <w:rPr>
          <w:rStyle w:val="48"/>
          <w:rFonts w:ascii="Times New Roman" w:hAnsi="Times New Roman" w:cs="Times New Roman"/>
        </w:rPr>
        <w:tab/>
      </w:r>
      <w:r>
        <w:rPr>
          <w:rStyle w:val="48"/>
          <w:rFonts w:ascii="Times New Roman" w:hAnsi="Times New Roman" w:cs="Times New Roman"/>
        </w:rPr>
        <w:t xml:space="preserve"> Leigh Osofsky ‘The Case Against Strategic Tax Law Uncertainty’ (2011) 64 </w:t>
      </w:r>
      <w:r>
        <w:rPr>
          <w:rStyle w:val="48"/>
          <w:rFonts w:ascii="Times New Roman" w:hAnsi="Times New Roman" w:cs="Times New Roman"/>
          <w:i/>
          <w:iCs/>
        </w:rPr>
        <w:t>New York University Tax Law Review</w:t>
      </w:r>
      <w:r>
        <w:rPr>
          <w:rStyle w:val="48"/>
          <w:rFonts w:ascii="Times New Roman" w:hAnsi="Times New Roman" w:cs="Times New Roman"/>
        </w:rPr>
        <w:t xml:space="preserve"> 489-538.</w:t>
      </w:r>
    </w:p>
  </w:footnote>
  <w:footnote w:id="62">
    <w:p w14:paraId="07665309">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vertAlign w:val="superscript"/>
        </w:rPr>
        <w:t xml:space="preserve"> </w:t>
      </w:r>
      <w:r>
        <w:rPr>
          <w:rStyle w:val="48"/>
          <w:rFonts w:ascii="Times New Roman" w:hAnsi="Times New Roman" w:eastAsia="Times New Roman" w:cs="Times New Roman"/>
          <w:i/>
          <w:iCs/>
        </w:rPr>
        <w:tab/>
      </w:r>
      <w:r>
        <w:rPr>
          <w:rStyle w:val="48"/>
          <w:rFonts w:ascii="Times New Roman" w:hAnsi="Times New Roman" w:cs="Times New Roman"/>
        </w:rPr>
        <w:t xml:space="preserve">Rahim Moloo and Alex Khachaturian ‘The Compliance with the Law Requirement in International Investment Law’ (2011) 34(6) </w:t>
      </w:r>
      <w:r>
        <w:rPr>
          <w:rStyle w:val="48"/>
          <w:rFonts w:ascii="Times New Roman" w:hAnsi="Times New Roman" w:cs="Times New Roman"/>
          <w:i/>
          <w:iCs/>
        </w:rPr>
        <w:t>Fordham International Law Journal</w:t>
      </w:r>
      <w:r>
        <w:rPr>
          <w:rStyle w:val="48"/>
          <w:rFonts w:ascii="Times New Roman" w:hAnsi="Times New Roman" w:cs="Times New Roman"/>
        </w:rPr>
        <w:t xml:space="preserve"> 1473-1501; Thomas Schultz and Cedric Dupont ‘Investment Arbitration: Promoting the Rule of Law or Over-empowering Investors? A Quantitative Empirical Study’ (2015) 25(4) </w:t>
      </w:r>
      <w:r>
        <w:rPr>
          <w:rStyle w:val="48"/>
          <w:rFonts w:ascii="Times New Roman" w:hAnsi="Times New Roman" w:cs="Times New Roman"/>
          <w:i/>
          <w:iCs/>
        </w:rPr>
        <w:t>European Journal of International Law</w:t>
      </w:r>
      <w:r>
        <w:rPr>
          <w:rStyle w:val="48"/>
          <w:rFonts w:ascii="Times New Roman" w:hAnsi="Times New Roman" w:cs="Times New Roman"/>
        </w:rPr>
        <w:t xml:space="preserve"> 1147-1168; Jason Yackee ‘Political Risk and International Investment Law’ (2014)</w:t>
      </w:r>
      <w:r>
        <w:rPr>
          <w:rStyle w:val="48"/>
          <w:rFonts w:ascii="Times New Roman" w:hAnsi="Times New Roman" w:cs="Times New Roman"/>
          <w:i/>
        </w:rPr>
        <w:t xml:space="preserve"> 24 Duke Journal of Comparative &amp; International Law</w:t>
      </w:r>
      <w:r>
        <w:rPr>
          <w:rStyle w:val="48"/>
          <w:rFonts w:ascii="Times New Roman" w:hAnsi="Times New Roman" w:cs="Times New Roman"/>
        </w:rPr>
        <w:t xml:space="preserve"> 477-500; Christopher Ryan ‘Discerning the Compliance Calculus: Why States comply with International Investment Law’  (2009) 38 </w:t>
      </w:r>
      <w:r>
        <w:rPr>
          <w:rStyle w:val="48"/>
          <w:rFonts w:ascii="Times New Roman" w:hAnsi="Times New Roman" w:cs="Times New Roman"/>
          <w:i/>
          <w:iCs/>
        </w:rPr>
        <w:t>GA. Journal of International and Comparative Law</w:t>
      </w:r>
      <w:r>
        <w:rPr>
          <w:rStyle w:val="48"/>
          <w:rFonts w:ascii="Times New Roman" w:hAnsi="Times New Roman" w:cs="Times New Roman"/>
        </w:rPr>
        <w:t xml:space="preserve"> 63-95; Specific provisions have sometimes been introduced in legislation to address some forms of uncertainties, e.g. Nigeria LNG (Fiscal Incentives, Guarantees and Assurances Act) No. 39 of 1990, Second Schedule, Paragraph 6.</w:t>
      </w:r>
    </w:p>
  </w:footnote>
  <w:footnote w:id="63">
    <w:p w14:paraId="7B8C2F3F">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See Thesis, Chapter 5 on fiscal policy design and development in Nigeria, and chapters 7 &amp;8 on fiscal </w:t>
      </w:r>
    </w:p>
    <w:p w14:paraId="571D5F8C">
      <w:pPr>
        <w:pStyle w:val="24"/>
        <w:ind w:firstLine="720"/>
        <w:rPr>
          <w:rFonts w:ascii="Times New Roman" w:hAnsi="Times New Roman" w:cs="Times New Roman"/>
          <w:lang w:val="en-GB"/>
        </w:rPr>
      </w:pPr>
      <w:r>
        <w:rPr>
          <w:rFonts w:ascii="Times New Roman" w:hAnsi="Times New Roman" w:cs="Times New Roman"/>
          <w:lang w:val="en-GB"/>
        </w:rPr>
        <w:t>policy and budgetary procedures in the UK and Canada, respectively.</w:t>
      </w:r>
    </w:p>
  </w:footnote>
  <w:footnote w:id="64">
    <w:p w14:paraId="1CE769E9">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1"/>
          <w:rFonts w:ascii="Times New Roman" w:hAnsi="Times New Roman" w:cs="Times New Roman"/>
        </w:rPr>
        <w:t xml:space="preserve"> </w:t>
      </w:r>
      <w:r>
        <w:rPr>
          <w:rStyle w:val="41"/>
          <w:rFonts w:ascii="Times New Roman" w:hAnsi="Times New Roman" w:cs="Times New Roman"/>
        </w:rPr>
        <w:tab/>
      </w:r>
      <w:r>
        <w:rPr>
          <w:rStyle w:val="48"/>
          <w:rFonts w:ascii="Times New Roman" w:hAnsi="Times New Roman" w:cs="Times New Roman"/>
        </w:rPr>
        <w:t xml:space="preserve">Tax Law Rewrite Project, see also “The Complexity of Tax Simplification: The UK Experience”.  </w:t>
      </w:r>
    </w:p>
    <w:p w14:paraId="74D6C045">
      <w:pPr>
        <w:pStyle w:val="24"/>
        <w:ind w:left="720"/>
        <w:jc w:val="both"/>
        <w:rPr>
          <w:rFonts w:ascii="Times New Roman" w:hAnsi="Times New Roman" w:cs="Times New Roman"/>
        </w:rPr>
      </w:pPr>
      <w:r>
        <w:rPr>
          <w:rStyle w:val="48"/>
          <w:rFonts w:ascii="Times New Roman" w:hAnsi="Times New Roman" w:cs="Times New Roman"/>
        </w:rPr>
        <w:t>There have been many proposals for tax simplification in the UK, for example, the independent Tax Reform Commission concluded that the level of complexity in the system was becoming unsustainable, and reform was required (Tax Reform Commission 2006, p. 128). However, it has long been appreciated that tax simplification is a complex issue – see for example Cooper (1993). More recently, the Mirrlees Review (2011, p. 42) pointed out that, of course, a simple tax system is better than a more complex one if it achieves the same objectives. Among other things, a simple system is likely to be relatively transparent and cost less to operate. Nevertheless, the Review also pointed out that the world is sufficiently complex for it to be unlikely that any tax system could be truly simple.</w:t>
      </w:r>
    </w:p>
  </w:footnote>
  <w:footnote w:id="65">
    <w:p w14:paraId="6D9B12D8">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Natural Resource Governance Institute (NRGI) </w:t>
      </w:r>
      <w:r>
        <w:fldChar w:fldCharType="begin"/>
      </w:r>
      <w:r>
        <w:instrText xml:space="preserve"> HYPERLINK "http://www.resourcegovernance.org" </w:instrText>
      </w:r>
      <w:r>
        <w:fldChar w:fldCharType="separate"/>
      </w:r>
      <w:r>
        <w:rPr>
          <w:rStyle w:val="45"/>
          <w:rFonts w:eastAsia="Calibri"/>
          <w:color w:val="auto"/>
        </w:rPr>
        <w:t>www.resourcegovernance.org</w:t>
      </w:r>
      <w:r>
        <w:rPr>
          <w:rStyle w:val="45"/>
          <w:rFonts w:eastAsia="Calibri"/>
          <w:color w:val="auto"/>
        </w:rPr>
        <w:fldChar w:fldCharType="end"/>
      </w:r>
      <w:r>
        <w:rPr>
          <w:rStyle w:val="48"/>
          <w:rFonts w:ascii="Times New Roman" w:hAnsi="Times New Roman" w:cs="Times New Roman"/>
          <w:color w:val="auto"/>
        </w:rPr>
        <w:t xml:space="preserve"> </w:t>
      </w:r>
      <w:r>
        <w:rPr>
          <w:rStyle w:val="48"/>
          <w:rFonts w:ascii="Times New Roman" w:hAnsi="Times New Roman" w:cs="Times New Roman"/>
        </w:rPr>
        <w:t xml:space="preserve">- A fiscal regime is </w:t>
      </w:r>
    </w:p>
    <w:p w14:paraId="712EEB5E">
      <w:pPr>
        <w:pStyle w:val="24"/>
        <w:ind w:firstLine="720"/>
        <w:jc w:val="both"/>
        <w:rPr>
          <w:rStyle w:val="48"/>
          <w:rFonts w:ascii="Times New Roman" w:hAnsi="Times New Roman" w:eastAsia="Arial Unicode MS" w:cs="Times New Roman"/>
          <w:color w:val="auto"/>
        </w:rPr>
      </w:pPr>
      <w:r>
        <w:rPr>
          <w:rStyle w:val="48"/>
          <w:rFonts w:ascii="Times New Roman" w:hAnsi="Times New Roman" w:cs="Times New Roman"/>
        </w:rPr>
        <w:t xml:space="preserve">the set of instruments or tools (taxes, royalties, dividends, etc.) that determine how the revenues from </w:t>
      </w:r>
    </w:p>
    <w:p w14:paraId="30085B94">
      <w:pPr>
        <w:pStyle w:val="24"/>
        <w:ind w:left="720"/>
        <w:jc w:val="both"/>
        <w:rPr>
          <w:rFonts w:ascii="Times New Roman" w:hAnsi="Times New Roman" w:cs="Times New Roman"/>
        </w:rPr>
      </w:pPr>
      <w:r>
        <w:rPr>
          <w:rStyle w:val="48"/>
          <w:rFonts w:ascii="Times New Roman" w:hAnsi="Times New Roman" w:cs="Times New Roman"/>
        </w:rPr>
        <w:t>oil and mining projects are shared between the state and companies. The details of what fiscal tools are used and how they are applied to a particular mining or oil project are part of a country’s legal framework, which includes the laws, regulations, and contracts. There are many considerations a country makes in determining which fiscal tools to use and how to use them. While the government may have preferences, it must also respond to the needs of the companies if the State wants to attract investment.</w:t>
      </w:r>
    </w:p>
  </w:footnote>
  <w:footnote w:id="66">
    <w:p w14:paraId="4BADFBEE">
      <w:pPr>
        <w:pStyle w:val="4"/>
        <w:spacing w:after="0" w:line="240" w:lineRule="auto"/>
        <w:ind w:left="720" w:hanging="720"/>
        <w:jc w:val="both"/>
        <w:rPr>
          <w:rFonts w:ascii="Times New Roman" w:hAnsi="Times New Roman" w:cs="Times New Roman"/>
          <w:sz w:val="20"/>
          <w:szCs w:val="20"/>
        </w:rPr>
      </w:pPr>
      <w:r>
        <w:rPr>
          <w:rStyle w:val="48"/>
          <w:rFonts w:ascii="Times New Roman" w:hAnsi="Times New Roman" w:eastAsia="Times New Roman" w:cs="Times New Roman"/>
          <w:sz w:val="20"/>
          <w:szCs w:val="20"/>
          <w:vertAlign w:val="superscript"/>
        </w:rPr>
        <w:footnoteRef/>
      </w:r>
      <w:r>
        <w:rPr>
          <w:rStyle w:val="48"/>
          <w:rFonts w:ascii="Times New Roman" w:hAnsi="Times New Roman" w:cs="Times New Roman"/>
          <w:sz w:val="20"/>
          <w:szCs w:val="20"/>
          <w:lang w:val="it-IT"/>
        </w:rPr>
        <w:t xml:space="preserve"> </w:t>
      </w:r>
      <w:r>
        <w:rPr>
          <w:rStyle w:val="48"/>
          <w:rFonts w:ascii="Times New Roman" w:hAnsi="Times New Roman" w:cs="Times New Roman"/>
          <w:sz w:val="20"/>
          <w:szCs w:val="20"/>
          <w:lang w:val="it-IT"/>
        </w:rPr>
        <w:tab/>
      </w:r>
      <w:r>
        <w:rPr>
          <w:rStyle w:val="48"/>
          <w:rFonts w:ascii="Times New Roman" w:hAnsi="Times New Roman" w:cs="Times New Roman"/>
          <w:sz w:val="20"/>
          <w:szCs w:val="20"/>
          <w:lang w:val="it-IT"/>
        </w:rPr>
        <w:t xml:space="preserve">Jeffrey Davis, Rolando Ossowski &amp; Annalisa Fedelino, </w:t>
      </w:r>
      <w:r>
        <w:rPr>
          <w:rStyle w:val="48"/>
          <w:rFonts w:ascii="Times New Roman" w:hAnsi="Times New Roman" w:cs="Times New Roman"/>
          <w:sz w:val="20"/>
          <w:szCs w:val="20"/>
        </w:rPr>
        <w:t xml:space="preserve">‘Fiscal Challenges in Oil-Producing Countries: An Overview’ in JM Davis, R Ossowski &amp; A Fedelino (eds) </w:t>
      </w:r>
      <w:r>
        <w:rPr>
          <w:rStyle w:val="48"/>
          <w:rFonts w:ascii="Times New Roman" w:hAnsi="Times New Roman" w:cs="Times New Roman"/>
          <w:i/>
          <w:iCs/>
          <w:sz w:val="20"/>
          <w:szCs w:val="20"/>
        </w:rPr>
        <w:t>Fiscal Policy Formulation and Implementation in Oil Producing Countries</w:t>
      </w:r>
      <w:r>
        <w:rPr>
          <w:rStyle w:val="48"/>
          <w:rFonts w:ascii="Times New Roman" w:hAnsi="Times New Roman" w:cs="Times New Roman"/>
          <w:sz w:val="20"/>
          <w:szCs w:val="20"/>
        </w:rPr>
        <w:t xml:space="preserve"> (Washington, D.C.: International Monetary Fund, 2003) at 2 [Davis]; Charlotte J Lundgren, Alun H Thomas &amp; Robert C York, </w:t>
      </w:r>
      <w:r>
        <w:rPr>
          <w:rStyle w:val="48"/>
          <w:rFonts w:ascii="Times New Roman" w:hAnsi="Times New Roman" w:cs="Times New Roman"/>
          <w:i/>
          <w:iCs/>
          <w:sz w:val="20"/>
          <w:szCs w:val="20"/>
        </w:rPr>
        <w:t xml:space="preserve">Boom, Bust, or Prosperity? Managing Sub-Saharan Africa’s Natural Resource Wealth </w:t>
      </w:r>
      <w:r>
        <w:rPr>
          <w:rStyle w:val="48"/>
          <w:rFonts w:ascii="Times New Roman" w:hAnsi="Times New Roman" w:cs="Times New Roman"/>
          <w:sz w:val="20"/>
          <w:szCs w:val="20"/>
        </w:rPr>
        <w:t xml:space="preserve">(Washington, D.C.: International Monetary Fund, 2013) 52 </w:t>
      </w:r>
      <w:r>
        <w:rPr>
          <w:rStyle w:val="48"/>
          <w:rFonts w:ascii="Times New Roman" w:hAnsi="Times New Roman" w:cs="Times New Roman"/>
          <w:sz w:val="20"/>
          <w:szCs w:val="20"/>
          <w:lang w:val="da-DK"/>
        </w:rPr>
        <w:t>[Lundgren].</w:t>
      </w:r>
    </w:p>
  </w:footnote>
  <w:footnote w:id="67">
    <w:p w14:paraId="6CA6B805">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51"/>
          <w:rFonts w:ascii="Times New Roman" w:hAnsi="Times New Roman" w:cs="Times New Roman"/>
          <w:sz w:val="20"/>
          <w:szCs w:val="20"/>
        </w:rPr>
        <w:t>Kyari Adam Konto: PhD Thesis</w:t>
      </w:r>
      <w:r>
        <w:rPr>
          <w:rStyle w:val="48"/>
          <w:rFonts w:ascii="Times New Roman" w:hAnsi="Times New Roman" w:cs="Times New Roman"/>
          <w:b/>
          <w:bCs/>
          <w:color w:val="555555"/>
          <w:u w:color="555555"/>
        </w:rPr>
        <w:t>: ‘</w:t>
      </w:r>
      <w:r>
        <w:rPr>
          <w:rStyle w:val="51"/>
          <w:rFonts w:ascii="Times New Roman" w:hAnsi="Times New Roman" w:cs="Times New Roman"/>
          <w:sz w:val="20"/>
          <w:szCs w:val="20"/>
        </w:rPr>
        <w:t>A Theoretical and Empirical Investigation into the Design and Implementation of an Appropriate Tax Regime: An Evaluation of Nigeria’s Petroleum Taxation Arrangements’</w:t>
      </w:r>
      <w:r>
        <w:rPr>
          <w:rStyle w:val="48"/>
          <w:rFonts w:ascii="Times New Roman" w:hAnsi="Times New Roman" w:cs="Times New Roman"/>
          <w:b/>
          <w:bCs/>
        </w:rPr>
        <w:t xml:space="preserve"> </w:t>
      </w:r>
      <w:r>
        <w:rPr>
          <w:rStyle w:val="51"/>
          <w:rFonts w:ascii="Times New Roman" w:hAnsi="Times New Roman" w:cs="Times New Roman"/>
          <w:sz w:val="20"/>
          <w:szCs w:val="20"/>
        </w:rPr>
        <w:t>(DPhil Thesis, Robert Gordon University 2013).</w:t>
      </w:r>
      <w:r>
        <w:rPr>
          <w:rStyle w:val="48"/>
          <w:rFonts w:ascii="Times New Roman" w:hAnsi="Times New Roman" w:cs="Times New Roman"/>
          <w:b/>
          <w:bCs/>
        </w:rPr>
        <w:t xml:space="preserve"> </w:t>
      </w:r>
      <w:r>
        <w:rPr>
          <w:rStyle w:val="51"/>
          <w:rFonts w:ascii="Times New Roman" w:hAnsi="Times New Roman" w:cs="Times New Roman"/>
          <w:sz w:val="20"/>
          <w:szCs w:val="20"/>
        </w:rPr>
        <w:t>The study examined whether the Nigerian petroleum tax system is appropriately designed and effectively implemented to achieve the benefits the country desires from its petroleum taxation arrangements. The study indicated that the Nigerian petroleum taxation system was viewed as being well-designed, insofar as it protects the interests of both the government and the international oil companies operating within Nigeria. Furthermore, the "expert" respondents were of the view that a majority of the measures put in place to ensure compliance with the petroleum taxation system have been effective. However, the study revealed differences in views amongst the various groups of "experts" to some questions which suggests that some groups may have articulated views based on partisan values. Given the role these groups play in the petroleum fiscal system in Nigeria, it is argued that these vested interests may well have negatively affected the design and operation of the petroleum fiscal system. This finding were:  First, it is argued that it is very difficult to make a single petroleum tax system that serves the needs of different countries. Second, it is suggested Nigeria’s petroleum tax regime is predicated upon a desire to capture as much revenue as possible for the government. Third, the thesis concludes that the implementation processes of the Nigerian petroleum tax system are fundamentally weak and require further improvement. Fourth, it is also the conclusion of this thesis that the Nigerian petroleum tax system lacks the capacity for timely review. Finally, it is shown that the Nigerian petroleum tax system is sensitive to changes in tax regulations across oil producing countries.</w:t>
      </w:r>
      <w:r>
        <w:rPr>
          <w:rStyle w:val="48"/>
          <w:rFonts w:ascii="Times New Roman" w:hAnsi="Times New Roman" w:cs="Times New Roman"/>
          <w:b/>
          <w:bCs/>
        </w:rPr>
        <w:t xml:space="preserve"> </w:t>
      </w:r>
    </w:p>
  </w:footnote>
  <w:footnote w:id="68">
    <w:p w14:paraId="21DE3C85">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The National Petroleum Fiscal Policy – Old Wine in a New Bottle?</w:t>
      </w:r>
      <w:r>
        <w:rPr>
          <w:rFonts w:ascii="Times New Roman" w:hAnsi="Times New Roman"/>
          <w:i/>
        </w:rPr>
        <w:t xml:space="preserve"> PWC Nigeria, Lagos, Nigeria, March </w:t>
      </w:r>
    </w:p>
    <w:p w14:paraId="65C480BF">
      <w:pPr>
        <w:pStyle w:val="24"/>
        <w:ind w:firstLine="720"/>
        <w:jc w:val="both"/>
        <w:rPr>
          <w:rFonts w:ascii="Times New Roman" w:hAnsi="Times New Roman" w:cs="Times New Roman"/>
          <w:i/>
          <w:iCs/>
        </w:rPr>
      </w:pPr>
      <w:r>
        <w:rPr>
          <w:rFonts w:ascii="Times New Roman" w:hAnsi="Times New Roman"/>
          <w:i/>
        </w:rPr>
        <w:t>2017,1-3,</w:t>
      </w:r>
    </w:p>
  </w:footnote>
  <w:footnote w:id="69">
    <w:p w14:paraId="3E8C15B3">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Enacted in the Petroleum Industry Act (PIA) 2021.</w:t>
      </w:r>
    </w:p>
  </w:footnote>
  <w:footnote w:id="70">
    <w:p w14:paraId="1F29469A">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Afolabi Elebiju, Nigeria’s Finance Act 2020 Tax Amendment, Should the Oil and Gas Industry be </w:t>
      </w:r>
    </w:p>
    <w:p w14:paraId="0D863BDE">
      <w:pPr>
        <w:pStyle w:val="24"/>
        <w:ind w:firstLine="720"/>
        <w:rPr>
          <w:rFonts w:ascii="Times New Roman" w:hAnsi="Times New Roman" w:cs="Times New Roman"/>
        </w:rPr>
      </w:pPr>
      <w:r>
        <w:rPr>
          <w:rFonts w:ascii="Times New Roman" w:hAnsi="Times New Roman" w:cs="Times New Roman"/>
        </w:rPr>
        <w:t>Nervous? (March 2020)</w:t>
      </w:r>
    </w:p>
  </w:footnote>
  <w:footnote w:id="71">
    <w:p w14:paraId="71B376C8">
      <w:pPr>
        <w:pStyle w:val="4"/>
        <w:spacing w:after="0" w:line="240" w:lineRule="auto"/>
        <w:ind w:left="720" w:hanging="720"/>
        <w:jc w:val="both"/>
      </w:pPr>
      <w:r>
        <w:rPr>
          <w:rStyle w:val="48"/>
          <w:rFonts w:ascii="Times New Roman" w:hAnsi="Times New Roman" w:eastAsia="Times New Roman" w:cs="Times New Roman"/>
          <w:sz w:val="20"/>
          <w:szCs w:val="20"/>
          <w:vertAlign w:val="superscript"/>
        </w:rPr>
        <w:footnoteRef/>
      </w:r>
      <w:r>
        <w:rPr>
          <w:rStyle w:val="48"/>
          <w:rFonts w:ascii="Times New Roman" w:hAnsi="Times New Roman" w:cs="Times New Roman"/>
          <w:sz w:val="20"/>
          <w:szCs w:val="20"/>
          <w:lang w:val="it-IT"/>
        </w:rPr>
        <w:t xml:space="preserve"> </w:t>
      </w:r>
      <w:r>
        <w:rPr>
          <w:rStyle w:val="48"/>
          <w:rFonts w:ascii="Times New Roman" w:hAnsi="Times New Roman" w:cs="Times New Roman"/>
          <w:sz w:val="20"/>
          <w:szCs w:val="20"/>
          <w:lang w:val="it-IT"/>
        </w:rPr>
        <w:tab/>
      </w:r>
      <w:r>
        <w:rPr>
          <w:rStyle w:val="48"/>
          <w:rFonts w:ascii="Times New Roman" w:hAnsi="Times New Roman" w:cs="Times New Roman"/>
          <w:sz w:val="20"/>
          <w:szCs w:val="20"/>
          <w:lang w:val="it-IT"/>
        </w:rPr>
        <w:t xml:space="preserve">Carole Nakhle, </w:t>
      </w:r>
      <w:r>
        <w:rPr>
          <w:rStyle w:val="48"/>
          <w:rFonts w:ascii="Times New Roman" w:hAnsi="Times New Roman" w:cs="Times New Roman"/>
          <w:iCs/>
          <w:sz w:val="20"/>
          <w:szCs w:val="20"/>
        </w:rPr>
        <w:t>Petroleum Taxation: Sharing the oil wealth – A study of petroleum taxation yesterday, today and tomorrow</w:t>
      </w:r>
      <w:r>
        <w:rPr>
          <w:rStyle w:val="54"/>
          <w:rFonts w:ascii="Times New Roman" w:hAnsi="Times New Roman" w:cs="Times New Roman"/>
          <w:sz w:val="20"/>
          <w:szCs w:val="20"/>
        </w:rPr>
        <w:t xml:space="preserve"> (New York: Routledge, 2008) and Joe Amoako-Tuffour and Joyce Owusu- Ayim, ‘An Evaluation of Ghana’s Petroleum Fiscal Regime’ (2010) 4 </w:t>
      </w:r>
      <w:r>
        <w:rPr>
          <w:rStyle w:val="48"/>
          <w:rFonts w:ascii="Times New Roman" w:hAnsi="Times New Roman" w:cs="Times New Roman"/>
          <w:i/>
          <w:iCs/>
          <w:sz w:val="20"/>
          <w:szCs w:val="20"/>
        </w:rPr>
        <w:t>Ghana Policy Journal</w:t>
      </w:r>
      <w:r>
        <w:rPr>
          <w:rStyle w:val="54"/>
          <w:rFonts w:ascii="Times New Roman" w:hAnsi="Times New Roman" w:cs="Times New Roman"/>
          <w:sz w:val="20"/>
          <w:szCs w:val="20"/>
        </w:rPr>
        <w:t xml:space="preserve"> 7.</w:t>
      </w:r>
    </w:p>
  </w:footnote>
  <w:footnote w:id="72">
    <w:p w14:paraId="0CE0CD45">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sz w:val="20"/>
          <w:szCs w:val="20"/>
        </w:rPr>
        <w:t xml:space="preserve"> </w:t>
      </w:r>
      <w:r>
        <w:rPr>
          <w:rStyle w:val="51"/>
          <w:sz w:val="20"/>
          <w:szCs w:val="20"/>
        </w:rPr>
        <w:tab/>
      </w:r>
      <w:r>
        <w:rPr>
          <w:rStyle w:val="51"/>
          <w:rFonts w:ascii="Times New Roman" w:hAnsi="Times New Roman" w:cs="Times New Roman"/>
          <w:sz w:val="20"/>
          <w:szCs w:val="20"/>
        </w:rPr>
        <w:t xml:space="preserve">Large Taxpayers Section of the Federal Inland Revenue Service (FIRS), Nigeria National Petroleum Corporation (NNPC) the International Oil Companies (IOC’s), the Nigerian Indigenous Oil Companies (NIOC’s), academics and institutes for Petroleum studies. I rely on literature from academic research from professional Institutes and government departments, including the Federal Inland Revenue Service (FIRS); Federal Ministry of Petroleum Resources, Federal Ministry of Justice; the Nigeria National Petroleum Company (NNPC), the Central Bank of Nigeria (CBN), the Nigeria Federal Bureau of Statistics and the Department of Petroleum Resources (DPR). I also rely on data from development banks, international financial institutions, such as the International Monetary Fund (IMF), the World Bank (WB), the Organization for Economic Co-operation and Development (OECD); other regional organizations. </w:t>
      </w:r>
    </w:p>
  </w:footnote>
  <w:footnote w:id="73">
    <w:p w14:paraId="272F9839">
      <w:pPr>
        <w:pStyle w:val="24"/>
        <w:ind w:left="720" w:hanging="720"/>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51"/>
          <w:sz w:val="20"/>
          <w:szCs w:val="20"/>
        </w:rPr>
        <w:t xml:space="preserve"> </w:t>
      </w:r>
      <w:r>
        <w:rPr>
          <w:rStyle w:val="51"/>
          <w:sz w:val="20"/>
          <w:szCs w:val="20"/>
        </w:rPr>
        <w:tab/>
      </w:r>
      <w:r>
        <w:rPr>
          <w:rStyle w:val="48"/>
          <w:rFonts w:ascii="Times New Roman" w:hAnsi="Times New Roman"/>
        </w:rPr>
        <w:t xml:space="preserve">Since the UK Office of Tax Simplification was set up in 2010, it has been carrying out an intermittent but ongoing project looking at the reasons why tax is complex. In its first five years, the office published a number of papers on the subject. During this study, it was expedient and timely to review these papers and see what may be beneficial to this thesis. Some of the papers are as follows: </w:t>
      </w:r>
    </w:p>
    <w:p w14:paraId="67EF9979">
      <w:pPr>
        <w:pStyle w:val="24"/>
        <w:ind w:left="720" w:hanging="720"/>
        <w:jc w:val="both"/>
        <w:rPr>
          <w:rStyle w:val="48"/>
          <w:rFonts w:ascii="Times New Roman" w:hAnsi="Times New Roman" w:eastAsia="Times New Roman" w:cs="Times New Roman"/>
        </w:rPr>
      </w:pP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Length of legislation: how long is the UK’s tax code really? (First published April 2012) </w:t>
      </w:r>
    </w:p>
    <w:p w14:paraId="6DDF9DD5">
      <w:pPr>
        <w:pStyle w:val="24"/>
        <w:ind w:left="720" w:hanging="720"/>
        <w:jc w:val="both"/>
        <w:rPr>
          <w:rStyle w:val="48"/>
          <w:rFonts w:ascii="Times New Roman" w:hAnsi="Times New Roman" w:eastAsia="Times New Roman" w:cs="Times New Roman"/>
        </w:rPr>
      </w:pP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Tax thresholds: how many are there and how are they operating? (First published February 2013) </w:t>
      </w:r>
    </w:p>
    <w:p w14:paraId="36B6DD48">
      <w:pPr>
        <w:pStyle w:val="24"/>
        <w:ind w:left="720" w:hanging="720"/>
        <w:jc w:val="both"/>
        <w:rPr>
          <w:rStyle w:val="48"/>
          <w:rFonts w:ascii="Times New Roman" w:hAnsi="Times New Roman" w:eastAsia="Times New Roman" w:cs="Times New Roman"/>
        </w:rPr>
      </w:pP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Layered legislation: could legislation be written differently? (First published September 2013) </w:t>
      </w:r>
    </w:p>
    <w:p w14:paraId="2053D206">
      <w:pPr>
        <w:pStyle w:val="24"/>
        <w:ind w:left="720" w:hanging="720"/>
        <w:jc w:val="both"/>
        <w:rPr>
          <w:rStyle w:val="48"/>
          <w:rFonts w:ascii="Times New Roman" w:hAnsi="Times New Roman" w:eastAsia="Times New Roman" w:cs="Times New Roman"/>
        </w:rPr>
      </w:pP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Definitions in tax legislation: do they simplify, or do they add to complexity? (First published October 2013 with a response document published April 2014) </w:t>
      </w:r>
    </w:p>
    <w:p w14:paraId="4AACF2DE">
      <w:pPr>
        <w:pStyle w:val="24"/>
        <w:ind w:left="720" w:hanging="720"/>
        <w:jc w:val="both"/>
      </w:pPr>
      <w:r>
        <w:rPr>
          <w:rStyle w:val="48"/>
          <w:rFonts w:ascii="Times New Roman" w:hAnsi="Times New Roman"/>
        </w:rPr>
        <w:t xml:space="preserve">· </w:t>
      </w:r>
      <w:r>
        <w:rPr>
          <w:rStyle w:val="48"/>
          <w:rFonts w:ascii="Times New Roman" w:hAnsi="Times New Roman"/>
        </w:rPr>
        <w:tab/>
      </w:r>
      <w:r>
        <w:rPr>
          <w:rStyle w:val="48"/>
          <w:rFonts w:ascii="Times New Roman" w:hAnsi="Times New Roman"/>
        </w:rPr>
        <w:t>How to avoid complexity in the tax system: some principles (first published June 2015).</w:t>
      </w:r>
    </w:p>
  </w:footnote>
  <w:footnote w:id="74">
    <w:p w14:paraId="67EDFB73">
      <w:pPr>
        <w:pStyle w:val="24"/>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G20 Leaders’ Communique, Hangzhou Summit, China, 4-5 September 2016.  </w:t>
      </w:r>
    </w:p>
  </w:footnote>
  <w:footnote w:id="75">
    <w:p w14:paraId="2FD44B96">
      <w:pPr>
        <w:pStyle w:val="24"/>
        <w:jc w:val="both"/>
        <w:rPr>
          <w:rFonts w:ascii="Times New Roman" w:hAnsi="Times New Roman" w:eastAsia="Arial Unicode MS" w:cs="Times New Roman"/>
          <w:i/>
        </w:rPr>
      </w:pPr>
      <w:r>
        <w:rPr>
          <w:rStyle w:val="48"/>
          <w:rFonts w:ascii="Times New Roman" w:hAnsi="Times New Roman" w:eastAsia="Times New Roman" w:cs="Times New Roman"/>
          <w:vertAlign w:val="superscript"/>
        </w:rPr>
        <w:footnoteRef/>
      </w:r>
      <w:r>
        <w:rPr>
          <w:rStyle w:val="41"/>
          <w:rFonts w:eastAsia="Arial Unicode MS" w:cs="Arial Unicode MS"/>
        </w:rPr>
        <w:t xml:space="preserve"> </w:t>
      </w:r>
      <w:r>
        <w:rPr>
          <w:rStyle w:val="41"/>
          <w:rFonts w:eastAsia="Arial Unicode MS" w:cs="Arial Unicode MS"/>
        </w:rPr>
        <w:tab/>
      </w:r>
      <w:r>
        <w:rPr>
          <w:rStyle w:val="41"/>
          <w:rFonts w:ascii="Times New Roman" w:hAnsi="Times New Roman" w:eastAsia="Arial Unicode MS" w:cs="Times New Roman"/>
        </w:rPr>
        <w:t xml:space="preserve">Mark Fenwick, Mathias Siems, Stefan Wrbka, </w:t>
      </w:r>
      <w:r>
        <w:rPr>
          <w:rStyle w:val="41"/>
          <w:rFonts w:ascii="Times New Roman" w:hAnsi="Times New Roman" w:eastAsia="Arial Unicode MS" w:cs="Times New Roman"/>
          <w:i/>
        </w:rPr>
        <w:t>Editors:</w:t>
      </w:r>
      <w:r>
        <w:rPr>
          <w:rFonts w:ascii="Times New Roman" w:hAnsi="Times New Roman" w:eastAsia="Arial Unicode MS" w:cs="Times New Roman"/>
          <w:i/>
        </w:rPr>
        <w:t xml:space="preserve"> The Shifting Meaning of Legal Certainty in </w:t>
      </w:r>
    </w:p>
    <w:p w14:paraId="7E64870A">
      <w:pPr>
        <w:pStyle w:val="24"/>
        <w:ind w:left="720"/>
        <w:jc w:val="both"/>
        <w:rPr>
          <w:rFonts w:ascii="Times New Roman" w:hAnsi="Times New Roman" w:cs="Times New Roman"/>
        </w:rPr>
      </w:pPr>
      <w:r>
        <w:rPr>
          <w:rFonts w:ascii="Times New Roman" w:hAnsi="Times New Roman" w:eastAsia="Arial Unicode MS" w:cs="Times New Roman"/>
          <w:i/>
        </w:rPr>
        <w:t>Comparative and Transnational Law</w:t>
      </w:r>
      <w:r>
        <w:rPr>
          <w:rFonts w:ascii="Times New Roman" w:hAnsi="Times New Roman" w:eastAsia="Arial Unicode MS" w:cs="Times New Roman"/>
        </w:rPr>
        <w:t xml:space="preserve">: The principle of legal certainty is of fundamental importance for law and society: it has been vital in stabilising normative expectations and in providing a framework for social interaction, as well as defining the scope of individual freedom and political power. Even though it has not always been fully realised, legal certainty has also functioned as a normative ideal that has structured legal debates, both at the national and transnational level. </w:t>
      </w:r>
    </w:p>
  </w:footnote>
  <w:footnote w:id="76">
    <w:p w14:paraId="719D8AC2">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4"/>
          <w:rFonts w:ascii="Times New Roman" w:hAnsi="Times New Roman" w:cs="Times New Roman"/>
          <w:sz w:val="20"/>
          <w:szCs w:val="20"/>
        </w:rPr>
        <w:t xml:space="preserve"> </w:t>
      </w:r>
      <w:r>
        <w:rPr>
          <w:rStyle w:val="54"/>
          <w:rFonts w:ascii="Times New Roman" w:hAnsi="Times New Roman" w:cs="Times New Roman"/>
          <w:sz w:val="20"/>
          <w:szCs w:val="20"/>
        </w:rPr>
        <w:tab/>
      </w:r>
      <w:r>
        <w:rPr>
          <w:rStyle w:val="48"/>
          <w:rFonts w:ascii="Times New Roman" w:hAnsi="Times New Roman" w:cs="Times New Roman"/>
        </w:rPr>
        <w:t xml:space="preserve">Paul Collier, The Plundered Planet: Why We Must – and How We Can – Manage Nature for Global </w:t>
      </w:r>
      <w:r>
        <w:rPr>
          <w:rStyle w:val="48"/>
          <w:rFonts w:ascii="Times New Roman" w:hAnsi="Times New Roman" w:cs="Times New Roman"/>
          <w:lang w:val="it-IT"/>
        </w:rPr>
        <w:t>Prosperity (London: Allen Lane 2010) 60; Ferreira (n 12) 53; Klaver (n 14) 205.</w:t>
      </w:r>
    </w:p>
  </w:footnote>
  <w:footnote w:id="77">
    <w:p w14:paraId="43E125B1">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G20/OECD 2017 report (p.41-60):</w:t>
      </w:r>
    </w:p>
  </w:footnote>
  <w:footnote w:id="78">
    <w:p w14:paraId="2F6FE2D3">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i/>
          <w:iCs/>
        </w:rPr>
        <w:t xml:space="preserve"> </w:t>
      </w:r>
      <w:r>
        <w:rPr>
          <w:rStyle w:val="48"/>
          <w:rFonts w:ascii="Times New Roman" w:hAnsi="Times New Roman" w:cs="Times New Roman"/>
          <w:i/>
          <w:iCs/>
        </w:rPr>
        <w:tab/>
      </w:r>
      <w:r>
        <w:rPr>
          <w:rStyle w:val="48"/>
          <w:rFonts w:ascii="Times New Roman" w:hAnsi="Times New Roman" w:cs="Times New Roman"/>
        </w:rPr>
        <w:t xml:space="preserve">PriceWaterhouse, ‘Nigeria’s New National Tax Policy: A new dawn or another false start?’ </w:t>
      </w:r>
      <w:r>
        <w:rPr>
          <w:rStyle w:val="48"/>
          <w:rFonts w:ascii="Times New Roman" w:hAnsi="Times New Roman" w:cs="Times New Roman"/>
          <w:color w:val="auto"/>
        </w:rPr>
        <w:t>&lt;</w:t>
      </w:r>
      <w:r>
        <w:fldChar w:fldCharType="begin"/>
      </w:r>
      <w:r>
        <w:instrText xml:space="preserve"> HYPERLINK "https://www.pwc.com/ng/en/assets/pdf/new-national-tax-policy.pdf" </w:instrText>
      </w:r>
      <w:r>
        <w:fldChar w:fldCharType="separate"/>
      </w:r>
      <w:r>
        <w:rPr>
          <w:rStyle w:val="49"/>
          <w:rFonts w:eastAsia="Calibri"/>
          <w:color w:val="auto"/>
        </w:rPr>
        <w:t>https://www.pwc.com/ng/en/assets/pdf/new-national-tax-policy.pdf</w:t>
      </w:r>
      <w:r>
        <w:rPr>
          <w:rStyle w:val="49"/>
          <w:rFonts w:eastAsia="Calibri"/>
          <w:color w:val="auto"/>
        </w:rPr>
        <w:fldChar w:fldCharType="end"/>
      </w:r>
      <w:r>
        <w:rPr>
          <w:rStyle w:val="48"/>
          <w:rFonts w:ascii="Times New Roman" w:hAnsi="Times New Roman" w:cs="Times New Roman"/>
        </w:rPr>
        <w:t>&gt; accessed 20 April 2024.</w:t>
      </w:r>
    </w:p>
  </w:footnote>
  <w:footnote w:id="79">
    <w:p w14:paraId="725D853A">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Laura Wahrig and Gancedo Vallina (2011); Emmanuel Modica, Sabine Laudage and Michelle Harding (2018) ‘Domestic Revenue Mobilisation: A new database on tax levels and structures in 80 countries’ OECD Taxation Working Papers No. 36 (Paris: OECD Publishing) http://dx.doi.org/10.1787/a87feae8-en.</w:t>
      </w:r>
    </w:p>
  </w:footnote>
  <w:footnote w:id="80">
    <w:p w14:paraId="08CCF457">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48"/>
          <w:rFonts w:ascii="Times New Roman" w:hAnsi="Times New Roman" w:cs="Times New Roman"/>
        </w:rPr>
        <w:t xml:space="preserve">Vladimir Nazarov ‘Tax System: The Concept and its Legal Content’ (2016) 11(7) </w:t>
      </w:r>
      <w:r>
        <w:rPr>
          <w:rStyle w:val="48"/>
          <w:rFonts w:ascii="Times New Roman" w:hAnsi="Times New Roman" w:cs="Times New Roman"/>
          <w:i/>
          <w:iCs/>
        </w:rPr>
        <w:t>EEJME – Mathematics Education</w:t>
      </w:r>
      <w:r>
        <w:rPr>
          <w:rStyle w:val="48"/>
          <w:rFonts w:ascii="Times New Roman" w:hAnsi="Times New Roman" w:cs="Times New Roman"/>
        </w:rPr>
        <w:t xml:space="preserve"> 2195-2201; Nicholas Kaldor, ‘Taxation for Economic Development,’ (1963) </w:t>
      </w:r>
      <w:r>
        <w:rPr>
          <w:rStyle w:val="48"/>
          <w:rFonts w:ascii="Times New Roman" w:hAnsi="Times New Roman" w:cs="Times New Roman"/>
          <w:i/>
          <w:iCs/>
        </w:rPr>
        <w:t xml:space="preserve">Journal of Modern African Studies </w:t>
      </w:r>
      <w:r>
        <w:rPr>
          <w:rStyle w:val="48"/>
          <w:rFonts w:ascii="Times New Roman" w:hAnsi="Times New Roman" w:cs="Times New Roman"/>
        </w:rPr>
        <w:t xml:space="preserve">7; Timothy Besley and Tortsen Persson ‘Taxation and Development’ in Alan Auerbac, Raj Chetty, Martin Feldstein, and Emmanuel Saez. (eds.) </w:t>
      </w:r>
      <w:r>
        <w:rPr>
          <w:rStyle w:val="48"/>
          <w:rFonts w:ascii="Times New Roman" w:hAnsi="Times New Roman" w:cs="Times New Roman"/>
          <w:i/>
          <w:iCs/>
        </w:rPr>
        <w:t xml:space="preserve">Handbook of Public Economics </w:t>
      </w:r>
      <w:r>
        <w:rPr>
          <w:rStyle w:val="48"/>
          <w:rFonts w:ascii="Times New Roman" w:hAnsi="Times New Roman" w:cs="Times New Roman"/>
        </w:rPr>
        <w:t xml:space="preserve">(North Holland, June 2013) 1-496. </w:t>
      </w:r>
    </w:p>
  </w:footnote>
  <w:footnote w:id="81">
    <w:p w14:paraId="39C6613B">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eastAsia="Times New Roman" w:cs="Times New Roman"/>
          <w:i/>
          <w:iCs/>
        </w:rPr>
        <w:tab/>
      </w:r>
      <w:r>
        <w:rPr>
          <w:rStyle w:val="48"/>
          <w:rFonts w:ascii="Times New Roman" w:hAnsi="Times New Roman" w:cs="Times New Roman"/>
        </w:rPr>
        <w:t xml:space="preserve">Hanneke Du Preez ‘A construction of the fundamental principles of taxation’ (Doctor of Philosophy in Taxation submitted to the University of Pretoria, November 2015) 1-258; Joseph Minarik ‘Taxation’ (The Library of Economics and Liberty, Economic History, Government Policy, Taxes) </w:t>
      </w:r>
      <w:r>
        <w:rPr>
          <w:rStyle w:val="48"/>
          <w:rFonts w:ascii="Times New Roman" w:hAnsi="Times New Roman" w:cs="Times New Roman"/>
          <w:color w:val="auto"/>
        </w:rPr>
        <w:t>&lt;</w:t>
      </w:r>
      <w:r>
        <w:fldChar w:fldCharType="begin"/>
      </w:r>
      <w:r>
        <w:instrText xml:space="preserve"> HYPERLINK "https://www.econlib.org/library/Enc/Taxation.html" </w:instrText>
      </w:r>
      <w:r>
        <w:fldChar w:fldCharType="separate"/>
      </w:r>
      <w:r>
        <w:rPr>
          <w:rStyle w:val="49"/>
          <w:rFonts w:eastAsia="Calibri"/>
          <w:color w:val="auto"/>
        </w:rPr>
        <w:t>https://www.econlib.org/library/Enc/Taxation.html</w:t>
      </w:r>
      <w:r>
        <w:rPr>
          <w:rStyle w:val="49"/>
          <w:rFonts w:eastAsia="Calibri"/>
          <w:color w:val="auto"/>
        </w:rPr>
        <w:fldChar w:fldCharType="end"/>
      </w:r>
      <w:r>
        <w:rPr>
          <w:rStyle w:val="48"/>
          <w:rFonts w:ascii="Times New Roman" w:hAnsi="Times New Roman" w:cs="Times New Roman"/>
        </w:rPr>
        <w:t xml:space="preserve">&gt; accessed 16 April 2024.  </w:t>
      </w:r>
    </w:p>
  </w:footnote>
  <w:footnote w:id="82">
    <w:p w14:paraId="0A8CF40C">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 xml:space="preserve">Jorge Martinez-Vazquez and Robert McNab ‘Tax Systems in Transition Economies’ (Georgia </w:t>
      </w:r>
    </w:p>
    <w:p w14:paraId="5C7B1B24">
      <w:pPr>
        <w:pStyle w:val="24"/>
        <w:ind w:left="720"/>
        <w:jc w:val="both"/>
        <w:rPr>
          <w:rFonts w:ascii="Times New Roman" w:hAnsi="Times New Roman" w:cs="Times New Roman"/>
        </w:rPr>
      </w:pPr>
      <w:r>
        <w:rPr>
          <w:rStyle w:val="48"/>
          <w:rFonts w:ascii="Times New Roman" w:hAnsi="Times New Roman" w:cs="Times New Roman"/>
        </w:rPr>
        <w:t xml:space="preserve">State University Andrew Young School of Policy Studies, International Studies Program, Working Paper 97-1, Atlanta, USA, March 1997) 1-84; Oklahoma Policy Institute ‘Characteristics of an Effective Tax System’ (Oklahoma Policy Institute, USA) </w:t>
      </w:r>
      <w:r>
        <w:rPr>
          <w:rStyle w:val="48"/>
          <w:rFonts w:ascii="Times New Roman" w:hAnsi="Times New Roman" w:cs="Times New Roman"/>
          <w:color w:val="auto"/>
        </w:rPr>
        <w:t>&lt;</w:t>
      </w:r>
      <w:r>
        <w:fldChar w:fldCharType="begin"/>
      </w:r>
      <w:r>
        <w:instrText xml:space="preserve"> HYPERLINK "https://okpolicy.org/resources/online-budget-guide/revenues/an-overview-of-our-tax-system/characteristics-of-an-effective-tax-system/" </w:instrText>
      </w:r>
      <w:r>
        <w:fldChar w:fldCharType="separate"/>
      </w:r>
      <w:r>
        <w:rPr>
          <w:rStyle w:val="49"/>
          <w:rFonts w:eastAsia="Calibri"/>
          <w:color w:val="auto"/>
        </w:rPr>
        <w:t>https://okpolicy.org/resources/online-budget-guide/revenues/an-overview-of-our-tax-system/characteristics-of-an-effective-tax-system/</w:t>
      </w:r>
      <w:r>
        <w:rPr>
          <w:rStyle w:val="49"/>
          <w:rFonts w:eastAsia="Calibri"/>
          <w:color w:val="auto"/>
        </w:rPr>
        <w:fldChar w:fldCharType="end"/>
      </w:r>
      <w:r>
        <w:rPr>
          <w:rStyle w:val="48"/>
          <w:rFonts w:ascii="Times New Roman" w:hAnsi="Times New Roman" w:cs="Times New Roman"/>
          <w:color w:val="auto"/>
        </w:rPr>
        <w:t>&gt;</w:t>
      </w:r>
      <w:r>
        <w:rPr>
          <w:rStyle w:val="48"/>
          <w:rFonts w:ascii="Times New Roman" w:hAnsi="Times New Roman" w:cs="Times New Roman"/>
        </w:rPr>
        <w:t xml:space="preserve"> accessed 15 April 2024.</w:t>
      </w:r>
    </w:p>
  </w:footnote>
  <w:footnote w:id="83">
    <w:p w14:paraId="79CD296A">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cs="Times New Roman"/>
        </w:rPr>
        <w:t xml:space="preserve"> </w:t>
      </w:r>
      <w:r>
        <w:rPr>
          <w:rStyle w:val="48"/>
          <w:rFonts w:ascii="Times New Roman" w:hAnsi="Times New Roman" w:cs="Times New Roman"/>
        </w:rPr>
        <w:tab/>
      </w:r>
      <w:r>
        <w:rPr>
          <w:rStyle w:val="48"/>
          <w:rFonts w:ascii="Times New Roman" w:hAnsi="Times New Roman" w:cs="Times New Roman"/>
        </w:rPr>
        <w:t>The fact is that taxes are imposed under the authority of the legislature. Secondly, it is levied by a public body and is intended for public purposes; See Major J</w:t>
      </w:r>
      <w:r>
        <w:rPr>
          <w:rStyle w:val="48"/>
          <w:rFonts w:ascii="Times New Roman" w:hAnsi="Times New Roman" w:cs="Times New Roman"/>
          <w:i/>
        </w:rPr>
        <w:t xml:space="preserve">, in </w:t>
      </w:r>
      <w:r>
        <w:rPr>
          <w:rStyle w:val="48"/>
          <w:rFonts w:ascii="Times New Roman" w:hAnsi="Times New Roman" w:cs="Times New Roman"/>
          <w:i/>
          <w:iCs/>
          <w:lang w:val="en-GB"/>
        </w:rPr>
        <w:t>Re Eurig</w:t>
      </w:r>
      <w:r>
        <w:rPr>
          <w:rStyle w:val="48"/>
          <w:rFonts w:ascii="Times New Roman" w:hAnsi="Times New Roman" w:cs="Times New Roman"/>
          <w:i/>
          <w:iCs/>
        </w:rPr>
        <w:t>’</w:t>
      </w:r>
      <w:r>
        <w:rPr>
          <w:rStyle w:val="48"/>
          <w:rFonts w:ascii="Times New Roman" w:hAnsi="Times New Roman" w:cs="Times New Roman"/>
          <w:i/>
          <w:iCs/>
          <w:lang w:val="pt-PT"/>
        </w:rPr>
        <w:t>s Estate</w:t>
      </w:r>
      <w:r>
        <w:rPr>
          <w:rStyle w:val="48"/>
          <w:rFonts w:ascii="Times New Roman" w:hAnsi="Times New Roman" w:cs="Times New Roman"/>
          <w:i/>
        </w:rPr>
        <w:t xml:space="preserve"> (1998) </w:t>
      </w:r>
      <w:r>
        <w:rPr>
          <w:rStyle w:val="48"/>
          <w:rFonts w:ascii="Times New Roman" w:hAnsi="Times New Roman" w:cs="Times New Roman"/>
          <w:iCs/>
        </w:rPr>
        <w:t>165 DLR(4th) 1, 10</w:t>
      </w:r>
      <w:r>
        <w:rPr>
          <w:rStyle w:val="48"/>
          <w:rFonts w:ascii="Times New Roman" w:hAnsi="Times New Roman" w:cs="Times New Roman"/>
          <w:i/>
        </w:rPr>
        <w:t xml:space="preserve">, </w:t>
      </w:r>
      <w:r>
        <w:rPr>
          <w:rStyle w:val="48"/>
          <w:rFonts w:ascii="Times New Roman" w:hAnsi="Times New Roman" w:cs="Times New Roman"/>
          <w:iCs/>
        </w:rPr>
        <w:t>citing Duff J in</w:t>
      </w:r>
      <w:r>
        <w:rPr>
          <w:rStyle w:val="48"/>
          <w:rFonts w:ascii="Times New Roman" w:hAnsi="Times New Roman" w:cs="Times New Roman"/>
          <w:i/>
        </w:rPr>
        <w:t xml:space="preserve"> Lawson v Interior Tree, Fruit and Vegetable Committee of Direction</w:t>
      </w:r>
      <w:r>
        <w:rPr>
          <w:rStyle w:val="48"/>
          <w:rFonts w:ascii="Times New Roman" w:hAnsi="Times New Roman" w:cs="Times New Roman"/>
        </w:rPr>
        <w:t xml:space="preserve"> [1931] SCR 357 (Can). See also </w:t>
      </w:r>
      <w:r>
        <w:rPr>
          <w:rStyle w:val="48"/>
          <w:rFonts w:ascii="Times New Roman" w:hAnsi="Times New Roman" w:cs="Times New Roman"/>
          <w:i/>
          <w:iCs/>
        </w:rPr>
        <w:t>Latham CJ in Mathews v Chicory Marketing Board</w:t>
      </w:r>
      <w:r>
        <w:rPr>
          <w:rStyle w:val="48"/>
          <w:rFonts w:ascii="Times New Roman" w:hAnsi="Times New Roman" w:cs="Times New Roman"/>
        </w:rPr>
        <w:t xml:space="preserve"> (1938) 60 CLR 263, 276 (Vic). A tax (from the Latin ‘taxo’) is a mandatory financial charge, or some other type of levy imposed upon a taxpayer (an individual or other legal entity) by a governmental organization in order to fund various public expenditure - Charles E. McLure, Jrs-Taxation, Encyclopedia Britannica, 2015.  The distinction between taxes and fines is often blurred and HLA Hart in ‘The Concept of Law’ commented that: ‘Taxes may be imposed not for revenue purposes but to discourage the activities taxed, though the law gives no express indications that these are to be abandoned as it does when it “makes them criminal”. Conversely the fines payable for some criminal offence may, because of the depreciation of money, become so small that they are cheerfully paid. They are then perhaps felt to be “mere taxes”, and “offences” are frequent, precisely because in these circumstances the sense is lost that the rule is like the bulk of the criminal law, meant to be taken seriously as a standard of behavior’. </w:t>
      </w:r>
    </w:p>
  </w:footnote>
  <w:footnote w:id="84">
    <w:p w14:paraId="4EBAB294">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eastAsia="Times New Roman" w:cs="Times New Roman"/>
          <w:i/>
          <w:iCs/>
        </w:rPr>
        <w:tab/>
      </w:r>
      <w:r>
        <w:rPr>
          <w:rStyle w:val="48"/>
          <w:rFonts w:ascii="Times New Roman" w:hAnsi="Times New Roman" w:eastAsia="Times New Roman" w:cs="Times New Roman"/>
        </w:rPr>
        <w:t>Geoffrey</w:t>
      </w:r>
      <w:r>
        <w:rPr>
          <w:rStyle w:val="48"/>
          <w:rFonts w:ascii="Times New Roman" w:hAnsi="Times New Roman" w:eastAsia="Times New Roman" w:cs="Times New Roman"/>
          <w:i/>
          <w:iCs/>
        </w:rPr>
        <w:t xml:space="preserve"> </w:t>
      </w:r>
      <w:r>
        <w:rPr>
          <w:rStyle w:val="48"/>
          <w:rFonts w:ascii="Times New Roman" w:hAnsi="Times New Roman"/>
        </w:rPr>
        <w:t>Morse and David Williams (n 5) 4; Musonda Kabinga et al ‘</w:t>
      </w:r>
      <w:r>
        <w:rPr>
          <w:rStyle w:val="48"/>
          <w:rFonts w:ascii="Times New Roman" w:hAnsi="Times New Roman"/>
          <w:i/>
        </w:rPr>
        <w:t>Principles of Taxation’ (Jesuit Hakimimi Centre for Social Concern in Eastern Africa, 2016) 1-12</w:t>
      </w:r>
    </w:p>
  </w:footnote>
  <w:footnote w:id="85">
    <w:p w14:paraId="6B61C755">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Geoffrey Morse and David </w:t>
      </w:r>
      <w:r>
        <w:rPr>
          <w:rStyle w:val="48"/>
          <w:rFonts w:ascii="Times New Roman" w:hAnsi="Times New Roman"/>
          <w:iCs/>
        </w:rPr>
        <w:t xml:space="preserve">Williams: </w:t>
      </w:r>
      <w:r>
        <w:rPr>
          <w:rStyle w:val="48"/>
          <w:rFonts w:ascii="Times New Roman" w:hAnsi="Times New Roman"/>
          <w:i/>
          <w:iCs/>
        </w:rPr>
        <w:t>Principles of Tax Law</w:t>
      </w:r>
      <w:r>
        <w:rPr>
          <w:rStyle w:val="48"/>
          <w:rFonts w:ascii="Times New Roman" w:hAnsi="Times New Roman"/>
          <w:i/>
        </w:rPr>
        <w:t xml:space="preserve"> (5th edn, Sweet and Maxwell 2004),4</w:t>
      </w:r>
      <w:r>
        <w:rPr>
          <w:rStyle w:val="48"/>
          <w:rFonts w:ascii="Times New Roman" w:hAnsi="Times New Roman"/>
        </w:rPr>
        <w:t>.</w:t>
      </w:r>
    </w:p>
  </w:footnote>
  <w:footnote w:id="86">
    <w:p w14:paraId="2128F37A">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Ifueko Omoigui Okauru, FIRS publication titled: ‘</w:t>
      </w:r>
      <w:r>
        <w:rPr>
          <w:rStyle w:val="48"/>
          <w:rFonts w:ascii="Times New Roman" w:hAnsi="Times New Roman"/>
          <w:i/>
          <w:iCs/>
        </w:rPr>
        <w:t>A Comprehensive Tax History of Nigeria’</w:t>
      </w:r>
      <w:r>
        <w:rPr>
          <w:rStyle w:val="48"/>
          <w:rFonts w:ascii="Times New Roman" w:hAnsi="Times New Roman"/>
        </w:rPr>
        <w:t xml:space="preserve"> (1st edn, Safari Books Ltd 2012) 67. </w:t>
      </w:r>
      <w:r>
        <w:rPr>
          <w:rFonts w:ascii="Times New Roman" w:hAnsi="Times New Roman"/>
        </w:rPr>
        <w:t>www.africanbookscollective.com/books/a-comprehensive-tax-history-of-Nigeria.</w:t>
      </w:r>
      <w:r>
        <w:rPr>
          <w:rStyle w:val="48"/>
          <w:rFonts w:ascii="Times New Roman" w:hAnsi="Times New Roman"/>
        </w:rPr>
        <w:t>Taxation and Fiscal Policy Management Board ‘The Nigerian Tax System’ (Institute of Chartered Accountants of Nigeria, Lagos, 26 June 2018) 1-9; Christian Ndukaire Onyegbule ‘The Challenges of Tax Revenue Maximization in Nigeria through Voluntary Tax Compliance: The Role of Self-Assessment’, (Doctor of Philosophy Programme at St. Clements University, Turks &amp; Caicos Islands, British West Indies, May 2016) 1-445.</w:t>
      </w:r>
    </w:p>
  </w:footnote>
  <w:footnote w:id="87">
    <w:p w14:paraId="3B1162D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Ibid -The FIRS Publication: A Comprehensive Tax History of Nigeria; discusses the evolution of taxation in Nigeria within the framework of eight (8) broad themes: (i) the Origin and Practice of Fiscal Federalism in Nigeria, (ii) the Constitutional Context for Taxation, (iii) the three eras of taxation in Nigeria (iv) the Structure and Jurisdiction of Nigerian Tax Authorities, (v) the instruments of Tax Policy, (vi) Statutory Developments, (vii)  Beyond Oil Revenue and the Case for Tax Reform, and (viii) Making the Nigerian Tax System Globally Competitive.</w:t>
      </w:r>
    </w:p>
  </w:footnote>
  <w:footnote w:id="88">
    <w:p w14:paraId="250AA66F">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Mark Anthony Dike, ‘An Overview of the Nigerian Tax System: Implications for Foreign Investors.’ (President and Chairman of Council of The Chartered Institute of Taxation of Nigeria, at the Nigerians in Diaspora Organisation, UK South Investment Conference, 17-18 March 2014) 1-25; Eze Judith Chinwendu ‘Effectiveness of Taxation for Control of Money in Circulation’ (Department of Accountancy, University of Nigeria, September 2012) 1-103. </w:t>
      </w:r>
    </w:p>
  </w:footnote>
  <w:footnote w:id="89">
    <w:p w14:paraId="249FA440">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Abayomi-Alli Mayowa ‘Pre-Colonial Nigeria and the European’s Fallacy’ (2014) 2(2) </w:t>
      </w:r>
      <w:r>
        <w:rPr>
          <w:rStyle w:val="48"/>
          <w:rFonts w:ascii="Times New Roman" w:hAnsi="Times New Roman"/>
          <w:i/>
          <w:iCs/>
        </w:rPr>
        <w:t>Review of History and Political Science</w:t>
      </w:r>
      <w:r>
        <w:rPr>
          <w:rStyle w:val="48"/>
          <w:rFonts w:ascii="Times New Roman" w:hAnsi="Times New Roman"/>
        </w:rPr>
        <w:t xml:space="preserve"> 17-27; see also K.O. Osakede, and S.O. Ijimakinwa, ‘Traditional institution and the modern day administration of Nigeria: Issues and prospects (2015) 2(9) </w:t>
      </w:r>
      <w:r>
        <w:rPr>
          <w:rStyle w:val="48"/>
          <w:rFonts w:ascii="Times New Roman" w:hAnsi="Times New Roman"/>
          <w:i/>
          <w:iCs/>
        </w:rPr>
        <w:t>Journal of Research and Development</w:t>
      </w:r>
      <w:r>
        <w:rPr>
          <w:rStyle w:val="48"/>
          <w:rFonts w:ascii="Times New Roman" w:hAnsi="Times New Roman"/>
        </w:rPr>
        <w:t xml:space="preserve"> 32-40.</w:t>
      </w:r>
    </w:p>
  </w:footnote>
  <w:footnote w:id="90">
    <w:p w14:paraId="1B6D005F">
      <w:pPr>
        <w:pStyle w:val="24"/>
        <w:jc w:val="both"/>
        <w:rPr>
          <w:rStyle w:val="48"/>
          <w:rFonts w:ascii="Times New Roman" w:hAnsi="Times New Roman" w:eastAsia="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Obas, Emirs, Obongs, Attahs, and Amayanyanabo, being titles for the heads of the traditional </w:t>
      </w:r>
    </w:p>
    <w:p w14:paraId="3FB3FD2D">
      <w:pPr>
        <w:pStyle w:val="24"/>
        <w:ind w:firstLine="720"/>
        <w:jc w:val="both"/>
      </w:pPr>
      <w:r>
        <w:rPr>
          <w:rStyle w:val="48"/>
          <w:rFonts w:ascii="Times New Roman" w:hAnsi="Times New Roman"/>
        </w:rPr>
        <w:t>institutions and rulers.</w:t>
      </w:r>
    </w:p>
  </w:footnote>
  <w:footnote w:id="91">
    <w:p w14:paraId="770477D1">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M.I. Anyakora, O.B.A. Idowu and J.U. Osagie ‘Tax Regimes in Indigenous Nigerian Societies’ (Department of Estate Management, University of Lagos, Lagos, Nigeria) pp.1-11; B.E.A. Oghojafor, G.C. Alaneme, and O.L.Kuye, ‘Indigenous management thoughts, concepts and practices: The case study of the Igbos of Nigeria (2013) 3(1) </w:t>
      </w:r>
      <w:r>
        <w:rPr>
          <w:rStyle w:val="48"/>
          <w:rFonts w:ascii="Times New Roman" w:hAnsi="Times New Roman"/>
          <w:i/>
          <w:iCs/>
        </w:rPr>
        <w:t>Australian Journal of Business and Management Research</w:t>
      </w:r>
      <w:r>
        <w:rPr>
          <w:rStyle w:val="48"/>
          <w:rFonts w:ascii="Times New Roman" w:hAnsi="Times New Roman"/>
        </w:rPr>
        <w:t xml:space="preserve"> 8-15.</w:t>
      </w:r>
    </w:p>
  </w:footnote>
  <w:footnote w:id="92">
    <w:p w14:paraId="162CB74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Fonts w:ascii="Times New Roman" w:hAnsi="Times New Roman"/>
        </w:rPr>
        <w:t xml:space="preserve">Loretta N. </w:t>
      </w:r>
      <w:r>
        <w:t xml:space="preserve">Baryeh, </w:t>
      </w:r>
      <w:r>
        <w:rPr>
          <w:rFonts w:ascii="Times New Roman" w:hAnsi="Times New Roman"/>
        </w:rPr>
        <w:t>Coppin, Hyacinth</w:t>
      </w:r>
      <w:r>
        <w:t xml:space="preserve"> Ezeka</w:t>
      </w:r>
      <w:r>
        <w:rPr>
          <w:rFonts w:ascii="Times New Roman" w:hAnsi="Times New Roman"/>
        </w:rPr>
        <w:t> </w:t>
      </w:r>
      <w:r>
        <w:rPr>
          <w:rStyle w:val="48"/>
          <w:rFonts w:ascii="Times New Roman" w:hAnsi="Times New Roman"/>
        </w:rPr>
        <w:t xml:space="preserve">‘A comparative analysis of taxation on revenue generation in West Africa economies’ (2016) 11 </w:t>
      </w:r>
      <w:r>
        <w:rPr>
          <w:rStyle w:val="48"/>
          <w:rFonts w:ascii="Times New Roman" w:hAnsi="Times New Roman"/>
          <w:i/>
          <w:iCs/>
        </w:rPr>
        <w:t>Business and Economics Journal</w:t>
      </w:r>
      <w:r>
        <w:rPr>
          <w:rStyle w:val="48"/>
          <w:rFonts w:ascii="Times New Roman" w:hAnsi="Times New Roman"/>
        </w:rPr>
        <w:t xml:space="preserve"> 1-12.</w:t>
      </w:r>
    </w:p>
  </w:footnote>
  <w:footnote w:id="93">
    <w:p w14:paraId="4C80F810">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A.M.O. Atolagbe ‘An evaluation of the adaptability of Nigerian indigenous building tools in modern house construction’ (2010) 32(1) </w:t>
      </w:r>
      <w:r>
        <w:rPr>
          <w:rStyle w:val="48"/>
          <w:rFonts w:ascii="Times New Roman" w:hAnsi="Times New Roman"/>
          <w:i/>
          <w:iCs/>
        </w:rPr>
        <w:t>Journal of Human Ecology</w:t>
      </w:r>
      <w:r>
        <w:rPr>
          <w:rStyle w:val="48"/>
          <w:rFonts w:ascii="Times New Roman" w:hAnsi="Times New Roman"/>
        </w:rPr>
        <w:t xml:space="preserve"> 63-68,</w:t>
      </w:r>
    </w:p>
  </w:footnote>
  <w:footnote w:id="94">
    <w:p w14:paraId="0AB96328">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Fonts w:ascii="Times New Roman" w:hAnsi="Times New Roman"/>
        </w:rPr>
        <w:t xml:space="preserve">Benon C. Basheka ‘Indigenous Africa’s governance architecture: a need for African public administration theory?’ (2015) 50(3) </w:t>
      </w:r>
      <w:r>
        <w:rPr>
          <w:rFonts w:ascii="Times New Roman" w:hAnsi="Times New Roman"/>
          <w:i/>
          <w:iCs/>
        </w:rPr>
        <w:t>Journal of Public Administration 466-484.</w:t>
      </w:r>
    </w:p>
  </w:footnote>
  <w:footnote w:id="95">
    <w:p w14:paraId="051DAF88">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Ordinance No. 3 of 1863: See A. O. Philip, ‘The Nigerian Tax System at Crossroads’ (1987), Selected Papers, Nigerian Institute of Taxation, 39.</w:t>
      </w:r>
    </w:p>
  </w:footnote>
  <w:footnote w:id="96">
    <w:p w14:paraId="5EE39825">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This was re-enacted for the Northern Protectorate of Nigeria as the Native Revenue Proclamation and extended to the Southern protectorate as the Native Revenue Ordinance 1917.</w:t>
      </w:r>
    </w:p>
  </w:footnote>
  <w:footnote w:id="97">
    <w:p w14:paraId="5C50B5E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Lord Lugard, ‘The Dual Mandate in British Tropical Africa (Taylor and Francis 2013). See also J F Due, ‘Income Taxation in Tropical Africa’ (1962) British Tax Review (BTR) July – August, 226.</w:t>
      </w:r>
    </w:p>
  </w:footnote>
  <w:footnote w:id="98">
    <w:p w14:paraId="1F605A48">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No 14 of 1939.</w:t>
      </w:r>
    </w:p>
  </w:footnote>
  <w:footnote w:id="99">
    <w:p w14:paraId="4E74486F">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Ibid. s 2.</w:t>
      </w:r>
    </w:p>
  </w:footnote>
  <w:footnote w:id="100">
    <w:p w14:paraId="5E0BA0B7">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The Direct Taxation Ordinance No. 4 of 1940.</w:t>
      </w:r>
    </w:p>
  </w:footnote>
  <w:footnote w:id="101">
    <w:p w14:paraId="7F2176E0">
      <w:pPr>
        <w:pStyle w:val="28"/>
        <w:shd w:val="clear" w:color="auto" w:fill="FFFFFF"/>
        <w:spacing w:after="0" w:line="240" w:lineRule="auto"/>
        <w:ind w:left="720" w:hanging="720"/>
        <w:jc w:val="both"/>
        <w:rPr>
          <w:sz w:val="20"/>
          <w:szCs w:val="20"/>
        </w:rPr>
      </w:pPr>
      <w:r>
        <w:rPr>
          <w:rStyle w:val="48"/>
          <w:sz w:val="20"/>
          <w:szCs w:val="20"/>
          <w:vertAlign w:val="superscript"/>
        </w:rPr>
        <w:footnoteRef/>
      </w:r>
      <w:r>
        <w:rPr>
          <w:rStyle w:val="48"/>
          <w:sz w:val="20"/>
          <w:szCs w:val="20"/>
          <w:shd w:val="clear" w:color="auto" w:fill="FFFFFF"/>
        </w:rPr>
        <w:t xml:space="preserve">      </w:t>
      </w:r>
      <w:r>
        <w:rPr>
          <w:rStyle w:val="48"/>
          <w:sz w:val="20"/>
          <w:szCs w:val="20"/>
          <w:shd w:val="clear" w:color="auto" w:fill="FFFFFF"/>
        </w:rPr>
        <w:tab/>
      </w:r>
      <w:r>
        <w:rPr>
          <w:rStyle w:val="48"/>
          <w:sz w:val="20"/>
          <w:szCs w:val="20"/>
          <w:shd w:val="clear" w:color="auto" w:fill="FFFFFF"/>
        </w:rPr>
        <w:t xml:space="preserve">The four (4) regions were later replaced by 12 States by a military decree no 8 of May 1967. Only the former Mid-Western Region remained as a single state following the restructuring.  In 1976, seven additional States were created. In 1987 two (2) additional States were created followed by an additional nine (9) States and </w:t>
      </w:r>
      <w:r>
        <w:fldChar w:fldCharType="begin"/>
      </w:r>
      <w:r>
        <w:instrText xml:space="preserve"> HYPERLINK "https://en.wikipedia.org/wiki/Federal_Capital_Territory,_Nigeria" </w:instrText>
      </w:r>
      <w:r>
        <w:fldChar w:fldCharType="separate"/>
      </w:r>
      <w:r>
        <w:rPr>
          <w:rStyle w:val="57"/>
        </w:rPr>
        <w:t>Federal Capital Territory</w:t>
      </w:r>
      <w:r>
        <w:rPr>
          <w:rStyle w:val="57"/>
        </w:rPr>
        <w:fldChar w:fldCharType="end"/>
      </w:r>
      <w:r>
        <w:rPr>
          <w:rStyle w:val="57"/>
        </w:rPr>
        <w:t xml:space="preserve">, in 1991, bringing the total to thirty (30). In 1996, additional states were created bringing it to the present number of thirty-six (36) States. </w:t>
      </w:r>
    </w:p>
  </w:footnote>
  <w:footnote w:id="102">
    <w:p w14:paraId="41DA6CE1">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cs="Times New Roman"/>
        </w:rPr>
        <w:t xml:space="preserve">Christopher Sunday Ola, </w:t>
      </w:r>
      <w:r>
        <w:rPr>
          <w:rStyle w:val="48"/>
          <w:rFonts w:ascii="Times New Roman" w:hAnsi="Times New Roman" w:cs="Times New Roman"/>
          <w:iCs/>
        </w:rPr>
        <w:t>Income Tax Law for Corporate and Unincorporated Bodies in Nigeria</w:t>
      </w:r>
      <w:r>
        <w:rPr>
          <w:rStyle w:val="48"/>
          <w:rFonts w:ascii="Times New Roman" w:hAnsi="Times New Roman" w:cs="Times New Roman"/>
        </w:rPr>
        <w:t xml:space="preserve"> (Ibadan: Heinemann Educational Books 1981) 1-9.</w:t>
      </w:r>
    </w:p>
  </w:footnote>
  <w:footnote w:id="103">
    <w:p w14:paraId="738FD72A">
      <w:pPr>
        <w:pStyle w:val="24"/>
        <w:ind w:firstLine="720"/>
        <w:rPr>
          <w:rFonts w:ascii="Times New Roman" w:hAnsi="Times New Roman" w:cs="Times New Roman"/>
          <w:lang w:val="en-GB"/>
        </w:rPr>
      </w:pPr>
      <w:r>
        <w:rPr>
          <w:rStyle w:val="23"/>
          <w:rFonts w:ascii="Times New Roman" w:hAnsi="Times New Roman" w:cs="Times New Roman"/>
        </w:rPr>
        <w:footnoteRef/>
      </w:r>
      <w:r>
        <w:t xml:space="preserve"> </w:t>
      </w:r>
      <w:r>
        <w:rPr>
          <w:rFonts w:ascii="Times New Roman" w:hAnsi="Times New Roman" w:cs="Times New Roman"/>
          <w:lang w:val="en-GB"/>
        </w:rPr>
        <w:t>the taxation of petroleum operations in Nigeria.</w:t>
      </w:r>
    </w:p>
  </w:footnote>
  <w:footnote w:id="104">
    <w:p w14:paraId="703E67E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[1959 No. 15. 1991 No. 21. 1996 No. 30. 1996 No. 31. 1996 No. 32. 1998 No. 18. 1999 No. 30.] </w:t>
      </w:r>
    </w:p>
    <w:p w14:paraId="25242C3C">
      <w:pPr>
        <w:pStyle w:val="24"/>
        <w:ind w:firstLine="720"/>
        <w:jc w:val="both"/>
        <w:rPr>
          <w:rFonts w:ascii="Times New Roman" w:hAnsi="Times New Roman" w:cs="Times New Roman"/>
        </w:rPr>
      </w:pPr>
      <w:r>
        <w:rPr>
          <w:rFonts w:ascii="Times New Roman" w:hAnsi="Times New Roman" w:cs="Times New Roman"/>
        </w:rPr>
        <w:t>[1st January 1958] [Commencement].</w:t>
      </w:r>
    </w:p>
  </w:footnote>
  <w:footnote w:id="105">
    <w:p w14:paraId="5DED1368">
      <w:pPr>
        <w:pStyle w:val="24"/>
        <w:jc w:val="both"/>
        <w:rPr>
          <w:rFonts w:ascii="Times New Roman" w:hAnsi="Times New Roman" w:cs="Times New Roman"/>
        </w:rPr>
      </w:pPr>
      <w:r>
        <w:rPr>
          <w:rStyle w:val="23"/>
        </w:rPr>
        <w:footnoteRef/>
      </w:r>
      <w:r>
        <w:rPr>
          <w:rFonts w:ascii="Times New Roman" w:hAnsi="Times New Roman" w:cs="Times New Roman"/>
        </w:rPr>
        <w:t xml:space="preserve"> </w:t>
      </w:r>
      <w:r>
        <w:rPr>
          <w:rFonts w:ascii="Times New Roman" w:hAnsi="Times New Roman" w:cs="Times New Roman"/>
          <w:color w:val="FF0000"/>
        </w:rPr>
        <w:tab/>
      </w:r>
      <w:r>
        <w:rPr>
          <w:rFonts w:ascii="Times New Roman" w:hAnsi="Times New Roman" w:cs="Times New Roman"/>
        </w:rPr>
        <w:t xml:space="preserve">Ibid - s. 2 PPTA </w:t>
      </w:r>
    </w:p>
  </w:footnote>
  <w:footnote w:id="106">
    <w:p w14:paraId="6B0E757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section 24 PPTA.</w:t>
      </w:r>
    </w:p>
  </w:footnote>
  <w:footnote w:id="107">
    <w:p w14:paraId="24BE2E2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section 15 PPTA.</w:t>
      </w:r>
    </w:p>
  </w:footnote>
  <w:footnote w:id="108">
    <w:p w14:paraId="2EFD5DD1">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These amendments include the Income Tax (Amendment) Act, No. 65 of 1966, the Petroleum Profits </w:t>
      </w:r>
    </w:p>
    <w:p w14:paraId="4904F7FD">
      <w:pPr>
        <w:pStyle w:val="24"/>
        <w:ind w:left="720"/>
      </w:pPr>
      <w:r>
        <w:rPr>
          <w:rFonts w:ascii="Times New Roman" w:hAnsi="Times New Roman" w:cs="Times New Roman"/>
        </w:rPr>
        <w:t xml:space="preserve">Tax (Amendment) Act, No. 1 of 1967; the Oil Terminal Dues Act, No. 9 of 1969; the Petroleum Profits Tax (Amendment) Act, No. 15 of 1973; No. 55 of1973; No. 14 of 1979; and Act No. 22 of 1990. The most recent is the 2020 Finance Act, which reviews and amends several tax legislations. The Finance Act deletes section 60 of the PPTA. This is the section that gives </w:t>
      </w:r>
      <w:r>
        <w:rPr>
          <w:rFonts w:ascii="Times New Roman" w:hAnsi="Times New Roman" w:cs="Times New Roman"/>
          <w:bCs/>
        </w:rPr>
        <w:t>tax exemption</w:t>
      </w:r>
      <w:r>
        <w:rPr>
          <w:rFonts w:ascii="Times New Roman" w:hAnsi="Times New Roman" w:cs="Times New Roman"/>
        </w:rPr>
        <w:t xml:space="preserve"> from dividends on incomes paid out of </w:t>
      </w:r>
      <w:r>
        <w:rPr>
          <w:rFonts w:ascii="Times New Roman" w:hAnsi="Times New Roman" w:cs="Times New Roman"/>
          <w:bCs/>
        </w:rPr>
        <w:t>profits</w:t>
      </w:r>
      <w:r>
        <w:rPr>
          <w:rFonts w:ascii="Times New Roman" w:hAnsi="Times New Roman" w:cs="Times New Roman"/>
        </w:rPr>
        <w:t xml:space="preserve"> made after </w:t>
      </w:r>
      <w:r>
        <w:rPr>
          <w:rFonts w:ascii="Times New Roman" w:hAnsi="Times New Roman" w:cs="Times New Roman"/>
          <w:bCs/>
        </w:rPr>
        <w:t>tax deductions</w:t>
      </w:r>
      <w:r>
        <w:rPr>
          <w:rFonts w:ascii="Times New Roman" w:hAnsi="Times New Roman" w:cs="Times New Roman"/>
        </w:rPr>
        <w:t xml:space="preserve"> made under the </w:t>
      </w:r>
      <w:r>
        <w:rPr>
          <w:rFonts w:ascii="Times New Roman" w:hAnsi="Times New Roman" w:cs="Times New Roman"/>
          <w:bCs/>
        </w:rPr>
        <w:t>PPTA.</w:t>
      </w:r>
    </w:p>
  </w:footnote>
  <w:footnote w:id="109">
    <w:p w14:paraId="5EAA6F50">
      <w:pPr>
        <w:pStyle w:val="24"/>
        <w:ind w:left="720" w:hanging="720"/>
        <w:jc w:val="both"/>
      </w:pPr>
      <w:r>
        <w:rPr>
          <w:rStyle w:val="48"/>
          <w:rFonts w:ascii="Times New Roman" w:hAnsi="Times New Roman" w:eastAsia="Times New Roman" w:cs="Times New Roman"/>
          <w:vertAlign w:val="superscript"/>
        </w:rPr>
        <w:footnoteRef/>
      </w:r>
      <w:r>
        <w:rPr>
          <w:rStyle w:val="51"/>
          <w:sz w:val="20"/>
          <w:szCs w:val="20"/>
        </w:rPr>
        <w:t xml:space="preserve"> </w:t>
      </w:r>
      <w:r>
        <w:rPr>
          <w:rStyle w:val="51"/>
          <w:sz w:val="20"/>
          <w:szCs w:val="20"/>
        </w:rPr>
        <w:tab/>
      </w:r>
      <w:r>
        <w:rPr>
          <w:rStyle w:val="48"/>
          <w:rFonts w:ascii="Times New Roman" w:hAnsi="Times New Roman"/>
        </w:rPr>
        <w:t>The Lyttleton constitution delineated governmental powers, which were hitherto concentrated on the central government to the regional governments. The subsequent constitutions in Nigeria up to the Constitution of the Federal Republic of Nigeria 1999 (“the 1999 Constitution”), adopted a similar federal structure especially as regards the uneven distribution of governmental powers in favor of the central government. In recognition of Nigeria as a Federation, section 2(2) of the 1999 Constitution provides that “Nigeria shall be a Federation consisting of states and Federal Capital Territory”.</w:t>
      </w:r>
    </w:p>
  </w:footnote>
  <w:footnote w:id="110">
    <w:p w14:paraId="4B7D3810">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Constitution of the Federal Republic of Nigeria 1999.</w:t>
      </w:r>
    </w:p>
  </w:footnote>
  <w:footnote w:id="111">
    <w:p w14:paraId="1DDC9C26">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i/>
        </w:rPr>
        <w:t>Njikonye v MTN Nigeria Communication</w:t>
      </w:r>
      <w:r>
        <w:rPr>
          <w:rStyle w:val="48"/>
          <w:rFonts w:ascii="Times New Roman" w:hAnsi="Times New Roman"/>
        </w:rPr>
        <w:t xml:space="preserve">, 9 NWLR (Pt 1092) 339, [2008]. </w:t>
      </w:r>
      <w:r>
        <w:rPr>
          <w:rStyle w:val="48"/>
          <w:rFonts w:ascii="Times New Roman" w:hAnsi="Times New Roman"/>
        </w:rPr>
        <w:tab/>
      </w:r>
    </w:p>
  </w:footnote>
  <w:footnote w:id="112">
    <w:p w14:paraId="335F2B95">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S. 1(3) of the Nigerian Constitution.</w:t>
      </w:r>
    </w:p>
  </w:footnote>
  <w:footnote w:id="113">
    <w:p w14:paraId="6517BB6F">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1999 Constitution (as Amended) s 44.</w:t>
      </w:r>
    </w:p>
  </w:footnote>
  <w:footnote w:id="114">
    <w:p w14:paraId="5A7E7607">
      <w:pPr>
        <w:pStyle w:val="24"/>
        <w:ind w:left="720" w:hanging="720"/>
        <w:jc w:val="both"/>
      </w:pPr>
      <w:r>
        <w:rPr>
          <w:rStyle w:val="48"/>
          <w:rFonts w:ascii="Times New Roman" w:hAnsi="Times New Roman" w:eastAsia="Times New Roman" w:cs="Times New Roman"/>
          <w:vertAlign w:val="superscript"/>
        </w:rPr>
        <w:footnoteRef/>
      </w:r>
      <w:r>
        <w:rPr>
          <w:rStyle w:val="51"/>
        </w:rPr>
        <w:tab/>
      </w:r>
      <w:r>
        <w:rPr>
          <w:rStyle w:val="48"/>
          <w:rFonts w:ascii="Times New Roman" w:hAnsi="Times New Roman"/>
        </w:rPr>
        <w:t xml:space="preserve">The Exclusive Legislative List itemized 68 matters that are reserved for the National Assembly to legislate upon. </w:t>
      </w:r>
    </w:p>
  </w:footnote>
  <w:footnote w:id="115">
    <w:p w14:paraId="4082C92D">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 xml:space="preserve">Constitution of the Federal Republic of Nigeria 1999, Item 16 Exclusive Legislative List, 2nd Schedule. </w:t>
      </w:r>
    </w:p>
  </w:footnote>
  <w:footnote w:id="116">
    <w:p w14:paraId="746CACF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Constitution of the Federal Republic of Nigeria 1999, Item 25 Exclusive Legislative List, 2nd Schedule.</w:t>
      </w:r>
    </w:p>
  </w:footnote>
  <w:footnote w:id="117">
    <w:p w14:paraId="083590D3">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Constitution of the Federal Republic of Nigeria 1999, Item 58 Exclusive Legislative List, 2nd Schedule.</w:t>
      </w:r>
    </w:p>
  </w:footnote>
  <w:footnote w:id="118">
    <w:p w14:paraId="0A01AE92">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Item 59 Exclusive Legislative List, 2nd Schedule, the 1999 Constitution</w:t>
      </w:r>
    </w:p>
  </w:footnote>
  <w:footnote w:id="119">
    <w:p w14:paraId="7D92C830">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Constitution of the Federal Republic of Nigeria 1999, Item 7 D of Part II, Second Schedule.</w:t>
      </w:r>
    </w:p>
  </w:footnote>
  <w:footnote w:id="120">
    <w:p w14:paraId="0316DFA3">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ab/>
      </w:r>
      <w:r>
        <w:rPr>
          <w:rStyle w:val="48"/>
          <w:rFonts w:ascii="Times New Roman" w:hAnsi="Times New Roman"/>
        </w:rPr>
        <w:t>Personal Income Tax Act 2004 and amendment thereto (PITA).</w:t>
      </w:r>
    </w:p>
  </w:footnote>
  <w:footnote w:id="121">
    <w:p w14:paraId="1F8E2FFB">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ab/>
      </w:r>
      <w:r>
        <w:rPr>
          <w:rStyle w:val="48"/>
          <w:rFonts w:ascii="Times New Roman" w:hAnsi="Times New Roman"/>
        </w:rPr>
        <w:t>Stamp Duties Act 2004.</w:t>
      </w:r>
    </w:p>
  </w:footnote>
  <w:footnote w:id="122">
    <w:p w14:paraId="2CD379C4">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ab/>
      </w:r>
      <w:r>
        <w:rPr>
          <w:rStyle w:val="48"/>
          <w:rFonts w:ascii="Times New Roman" w:hAnsi="Times New Roman"/>
        </w:rPr>
        <w:t>Capital Gains Tax Act 2004.</w:t>
      </w:r>
    </w:p>
  </w:footnote>
  <w:footnote w:id="123">
    <w:p w14:paraId="47F32CEB">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With respect to personal income tax, the authority of the Federal Government is restricted to the persons employed in the Nigeria Army, Navy, Air Force, Police other than in a civilian capacity; officers of the Nigerian Foreign Service; any other non-resident who derives income or profit from Nigeria.</w:t>
      </w:r>
    </w:p>
  </w:footnote>
  <w:footnote w:id="124">
    <w:p w14:paraId="570F0F9B">
      <w:pPr>
        <w:pStyle w:val="24"/>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PPTA as amended by DIOBPSA or the PSC Act.</w:t>
      </w:r>
    </w:p>
  </w:footnote>
  <w:footnote w:id="125">
    <w:p w14:paraId="77D69E26">
      <w:pPr>
        <w:pStyle w:val="24"/>
        <w:tabs>
          <w:tab w:val="left" w:pos="1440"/>
          <w:tab w:val="left" w:pos="2160"/>
          <w:tab w:val="left" w:pos="2880"/>
          <w:tab w:val="left" w:pos="3600"/>
          <w:tab w:val="left" w:pos="6525"/>
        </w:tabs>
        <w:ind w:left="720" w:hanging="720"/>
        <w:jc w:val="both"/>
      </w:pPr>
      <w:r>
        <w:rPr>
          <w:rStyle w:val="48"/>
          <w:rFonts w:ascii="Times New Roman" w:hAnsi="Times New Roman" w:eastAsia="Times New Roman" w:cs="Times New Roman"/>
          <w:vertAlign w:val="superscript"/>
        </w:rPr>
        <w:footnoteRef/>
      </w:r>
      <w:r>
        <w:rPr>
          <w:rStyle w:val="51"/>
        </w:rPr>
        <w:tab/>
      </w:r>
      <w:r>
        <w:rPr>
          <w:rStyle w:val="48"/>
          <w:rFonts w:ascii="Times New Roman" w:hAnsi="Times New Roman"/>
        </w:rPr>
        <w:t>Constitution of the Federal Republic of Nigeria 1999, S 4(5).</w:t>
      </w:r>
      <w:r>
        <w:rPr>
          <w:rStyle w:val="48"/>
          <w:rFonts w:ascii="Times New Roman" w:hAnsi="Times New Roman"/>
        </w:rPr>
        <w:tab/>
      </w:r>
    </w:p>
  </w:footnote>
  <w:footnote w:id="126">
    <w:p w14:paraId="7F7E06C5">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 xml:space="preserve">That is capital gains, incomes or profits of companies and documents or transactions by way of stamp duties. </w:t>
      </w:r>
    </w:p>
  </w:footnote>
  <w:footnote w:id="127">
    <w:p w14:paraId="20D6B438">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i/>
        </w:rPr>
        <w:t>Attorney General of the Federation v Attorney General of Abia State</w:t>
      </w:r>
      <w:r>
        <w:rPr>
          <w:rStyle w:val="48"/>
          <w:rFonts w:ascii="Times New Roman" w:hAnsi="Times New Roman" w:eastAsia="Times New Roman" w:cs="Times New Roman"/>
        </w:rPr>
        <w:t xml:space="preserve"> (No.2) 617.</w:t>
      </w:r>
    </w:p>
  </w:footnote>
  <w:footnote w:id="128">
    <w:p w14:paraId="67CC9D89">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i/>
        </w:rPr>
        <w:t>Oyeniran v Egbetola</w:t>
      </w:r>
      <w:r>
        <w:rPr>
          <w:rStyle w:val="48"/>
          <w:rFonts w:ascii="Times New Roman" w:hAnsi="Times New Roman" w:eastAsia="Times New Roman" w:cs="Times New Roman"/>
        </w:rPr>
        <w:t xml:space="preserve"> [1997] 5 NWLR (Pt 504) 122 at 131.</w:t>
      </w:r>
    </w:p>
  </w:footnote>
  <w:footnote w:id="129">
    <w:p w14:paraId="2FC47EC4">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Section 2, PITA.</w:t>
      </w:r>
    </w:p>
  </w:footnote>
  <w:footnote w:id="130">
    <w:p w14:paraId="203FF18F">
      <w:pPr>
        <w:pStyle w:val="4"/>
        <w:spacing w:after="0" w:line="240" w:lineRule="auto"/>
        <w:ind w:left="720" w:hanging="720"/>
        <w:jc w:val="both"/>
        <w:rPr>
          <w:sz w:val="20"/>
          <w:szCs w:val="20"/>
        </w:rPr>
      </w:pPr>
      <w:r>
        <w:rPr>
          <w:rStyle w:val="48"/>
          <w:rFonts w:ascii="Times New Roman" w:hAnsi="Times New Roman" w:eastAsia="Times New Roman" w:cs="Times New Roman"/>
          <w:sz w:val="20"/>
          <w:szCs w:val="20"/>
          <w:vertAlign w:val="superscript"/>
        </w:rPr>
        <w:footnoteRef/>
      </w:r>
      <w:r>
        <w:rPr>
          <w:rStyle w:val="56"/>
          <w:rFonts w:eastAsia="Arial Unicode MS"/>
        </w:rPr>
        <w:t xml:space="preserve"> </w:t>
      </w:r>
      <w:r>
        <w:rPr>
          <w:rStyle w:val="56"/>
          <w:rFonts w:eastAsia="Arial Unicode MS"/>
        </w:rPr>
        <w:tab/>
      </w:r>
      <w:r>
        <w:rPr>
          <w:rStyle w:val="56"/>
          <w:rFonts w:eastAsia="Arial Unicode MS"/>
          <w:i/>
        </w:rPr>
        <w:t>Bamidele v Commissioner for Local Government</w:t>
      </w:r>
      <w:r>
        <w:rPr>
          <w:rStyle w:val="56"/>
          <w:rFonts w:eastAsia="Arial Unicode MS"/>
        </w:rPr>
        <w:t xml:space="preserve"> [1994]</w:t>
      </w:r>
      <w:r>
        <w:rPr>
          <w:rStyle w:val="48"/>
          <w:rFonts w:ascii="Times New Roman" w:hAnsi="Times New Roman"/>
          <w:b/>
          <w:bCs/>
          <w:sz w:val="20"/>
          <w:szCs w:val="20"/>
        </w:rPr>
        <w:t xml:space="preserve"> </w:t>
      </w:r>
      <w:r>
        <w:rPr>
          <w:rStyle w:val="56"/>
          <w:rFonts w:eastAsia="Arial Unicode MS"/>
        </w:rPr>
        <w:t>2 NWLR PT. 328 at 585: Local government cannot be deprived of its functions, nor can it surrender these functions.</w:t>
      </w:r>
    </w:p>
  </w:footnote>
  <w:footnote w:id="131">
    <w:p w14:paraId="5022B1F2">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w:t>
      </w:r>
      <w:r>
        <w:rPr>
          <w:rStyle w:val="48"/>
          <w:rFonts w:ascii="Times New Roman" w:hAnsi="Times New Roman"/>
        </w:rPr>
        <w:tab/>
      </w:r>
      <w:r>
        <w:rPr>
          <w:rStyle w:val="48"/>
          <w:rFonts w:ascii="Times New Roman" w:hAnsi="Times New Roman"/>
        </w:rPr>
        <w:t>See for instance, the Local Government Levies (Approved List for Collection) Law, signed into law on April 10, 2010, fashioned after the Federal Act, that is, The Taxes and Levies (Approved List for Collection) Act, Cap T2 LFN 2004.</w:t>
      </w:r>
    </w:p>
  </w:footnote>
  <w:footnote w:id="132">
    <w:p w14:paraId="5E117731">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Tax and Levies (Collection) list as amended.</w:t>
      </w:r>
    </w:p>
  </w:footnote>
  <w:footnote w:id="133">
    <w:p w14:paraId="5F166A51">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Thesis chapters 3, 4 &amp; 9.</w:t>
      </w:r>
    </w:p>
  </w:footnote>
  <w:footnote w:id="134">
    <w:p w14:paraId="79F9854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Valued Added Tax Act (VATA) is one of the seven (7) principal tax statutes amended by the </w:t>
      </w:r>
    </w:p>
    <w:p w14:paraId="747A1B07">
      <w:pPr>
        <w:pStyle w:val="24"/>
        <w:ind w:left="720"/>
        <w:jc w:val="both"/>
        <w:rPr>
          <w:rFonts w:ascii="Times New Roman" w:hAnsi="Times New Roman" w:cs="Times New Roman"/>
        </w:rPr>
      </w:pPr>
      <w:r>
        <w:rPr>
          <w:rFonts w:ascii="Times New Roman" w:hAnsi="Times New Roman" w:cs="Times New Roman"/>
        </w:rPr>
        <w:t xml:space="preserve">Finance Act, 2020. The VAT rate has changed from 5% to 7.5%, effective January 2020. The scope of the amendment to VATA is unclear, thus leading the Federal Inland Revenue Service (FIRS) to issue an Information Circular, dated April 29, 2020, The Circular provides clarifications and guidance on the procedure for the implementation of the provisions of the Finance Act dealing with VAT. The Circular also amends, updates and replaces conflicting contents of all other VAT related circulars, notices and publications previously issued by the FIRS. This process highlights an aspect of the confusion sometimes introduced by the statutory amendment procedure adopted by the executive arm of government.   </w:t>
      </w:r>
    </w:p>
  </w:footnote>
  <w:footnote w:id="135">
    <w:p w14:paraId="0B6BC4AC">
      <w:pPr>
        <w:pStyle w:val="2"/>
        <w:rPr>
          <w:rFonts w:ascii="Times New Roman" w:hAnsi="Times New Roman" w:eastAsia="Times New Roman"/>
          <w:sz w:val="20"/>
          <w:szCs w:val="20"/>
          <w:lang w:val="en-GB" w:eastAsia="en-GB"/>
        </w:rPr>
      </w:pPr>
      <w:r>
        <w:rPr>
          <w:rStyle w:val="48"/>
          <w:rFonts w:ascii="Times New Roman" w:hAnsi="Times New Roman" w:eastAsia="Times New Roman"/>
          <w:sz w:val="20"/>
          <w:szCs w:val="20"/>
          <w:vertAlign w:val="superscript"/>
        </w:rPr>
        <w:footnoteRef/>
      </w:r>
      <w:r>
        <w:rPr>
          <w:rStyle w:val="51"/>
          <w:rFonts w:ascii="Times New Roman" w:hAnsi="Times New Roman"/>
          <w:sz w:val="20"/>
          <w:szCs w:val="20"/>
        </w:rPr>
        <w:t xml:space="preserve"> </w:t>
      </w:r>
      <w:r>
        <w:rPr>
          <w:rStyle w:val="51"/>
          <w:rFonts w:ascii="Times New Roman" w:hAnsi="Times New Roman"/>
          <w:sz w:val="20"/>
          <w:szCs w:val="20"/>
        </w:rPr>
        <w:tab/>
      </w:r>
      <w:r>
        <w:rPr>
          <w:rStyle w:val="51"/>
          <w:rFonts w:ascii="Times New Roman" w:hAnsi="Times New Roman"/>
          <w:smallCaps w:val="0"/>
          <w:color w:val="44546A"/>
          <w:sz w:val="20"/>
          <w:szCs w:val="20"/>
        </w:rPr>
        <w:t xml:space="preserve"> </w:t>
      </w:r>
      <w:r>
        <w:fldChar w:fldCharType="begin"/>
      </w:r>
      <w:r>
        <w:instrText xml:space="preserve"> HYPERLINK "https://www.banwo-ighodalo.com/grey-matter/the-last-days-of-vaids" </w:instrText>
      </w:r>
      <w:r>
        <w:fldChar w:fldCharType="separate"/>
      </w:r>
      <w:r>
        <w:rPr>
          <w:rStyle w:val="27"/>
          <w:rFonts w:ascii="Times New Roman" w:hAnsi="Times New Roman"/>
          <w:smallCaps w:val="0"/>
          <w:color w:val="44546A"/>
          <w:sz w:val="20"/>
          <w:szCs w:val="20"/>
        </w:rPr>
        <w:t>Https://Www.Banwo-Ighodalo.Com/Grey-Matter/The-Last-Days-Of-Vaids</w:t>
      </w:r>
      <w:r>
        <w:rPr>
          <w:rStyle w:val="27"/>
          <w:rFonts w:ascii="Times New Roman" w:hAnsi="Times New Roman"/>
          <w:smallCaps w:val="0"/>
          <w:color w:val="44546A"/>
          <w:sz w:val="20"/>
          <w:szCs w:val="20"/>
        </w:rPr>
        <w:fldChar w:fldCharType="end"/>
      </w:r>
      <w:r>
        <w:rPr>
          <w:rFonts w:ascii="Times New Roman" w:hAnsi="Times New Roman"/>
          <w:smallCaps w:val="0"/>
          <w:sz w:val="20"/>
          <w:szCs w:val="20"/>
          <w:lang w:val="en-GB"/>
        </w:rPr>
        <w:t xml:space="preserve"> </w:t>
      </w:r>
    </w:p>
  </w:footnote>
  <w:footnote w:id="136">
    <w:p w14:paraId="4064A7F7">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S 4(2), (3), (4), (5)&amp;(7) of the 1999 Constitution.</w:t>
      </w:r>
    </w:p>
  </w:footnote>
  <w:footnote w:id="137">
    <w:p w14:paraId="708C9262">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The Taxes and Levies (Approved List for Collection) Act, LFN 2004 CAP T2.</w:t>
      </w:r>
    </w:p>
  </w:footnote>
  <w:footnote w:id="138">
    <w:p w14:paraId="5BD8A9C5">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 xml:space="preserve">The Exclusive List is set up under Part 1 of the Second (2nd) Schedule to the Constitution, which empowers the federal legislature to enact laws to the exclusion of states. In turn, the Concurrent List refers to the </w:t>
      </w:r>
      <w:r>
        <w:rPr>
          <w:rStyle w:val="48"/>
          <w:rFonts w:ascii="Times New Roman" w:hAnsi="Times New Roman"/>
        </w:rPr>
        <w:t xml:space="preserve">“List” of matters set out in the First Column in Part II of the Second Schedule to the Constitution with respect to which both the Federal and State legislative houses have overlapping authority and may make laws to the extent prescribed. </w:t>
      </w:r>
      <w:r>
        <w:rPr>
          <w:rStyle w:val="48"/>
          <w:rFonts w:ascii="Times New Roman" w:hAnsi="Times New Roman"/>
          <w:u w:val="single"/>
        </w:rPr>
        <w:t xml:space="preserve">See </w:t>
      </w:r>
      <w:r>
        <w:rPr>
          <w:rStyle w:val="48"/>
          <w:rFonts w:ascii="Times New Roman" w:hAnsi="Times New Roman"/>
          <w:i/>
        </w:rPr>
        <w:t>Oyeniran v Egbetola</w:t>
      </w:r>
      <w:r>
        <w:rPr>
          <w:rStyle w:val="48"/>
          <w:rFonts w:ascii="Times New Roman" w:hAnsi="Times New Roman"/>
          <w:u w:val="single"/>
        </w:rPr>
        <w:t xml:space="preserve"> </w:t>
      </w:r>
      <w:r>
        <w:rPr>
          <w:rStyle w:val="48"/>
          <w:rFonts w:ascii="Times New Roman" w:hAnsi="Times New Roman"/>
        </w:rPr>
        <w:t>[1997] 5 NWLR (Pt 504) 122 at 131.</w:t>
      </w:r>
    </w:p>
  </w:footnote>
  <w:footnote w:id="139">
    <w:p w14:paraId="21F5C143">
      <w:pPr>
        <w:pStyle w:val="24"/>
        <w:tabs>
          <w:tab w:val="left" w:pos="1440"/>
          <w:tab w:val="left" w:pos="2160"/>
          <w:tab w:val="left" w:pos="2880"/>
          <w:tab w:val="left" w:pos="3600"/>
          <w:tab w:val="left" w:pos="4320"/>
          <w:tab w:val="left" w:pos="5040"/>
          <w:tab w:val="left" w:pos="5895"/>
        </w:tabs>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i/>
        </w:rPr>
        <w:t xml:space="preserve">AG. Ogun State v Aberuagba </w:t>
      </w:r>
      <w:r>
        <w:rPr>
          <w:rStyle w:val="48"/>
          <w:rFonts w:ascii="Times New Roman" w:hAnsi="Times New Roman" w:eastAsia="Times New Roman" w:cs="Times New Roman"/>
        </w:rPr>
        <w:t>[1985] 1, NSCC 187.</w:t>
      </w:r>
      <w:r>
        <w:rPr>
          <w:rStyle w:val="48"/>
          <w:rFonts w:ascii="Times New Roman" w:hAnsi="Times New Roman" w:eastAsia="Times New Roman" w:cs="Times New Roman"/>
        </w:rPr>
        <w:tab/>
      </w:r>
    </w:p>
  </w:footnote>
  <w:footnote w:id="140">
    <w:p w14:paraId="6C03E0E2">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 xml:space="preserve">Cap P13 Vol 13 LFN 2004.This Act regulates the taxation of companies engaged in upstream petroleum operations. </w:t>
      </w:r>
    </w:p>
  </w:footnote>
  <w:footnote w:id="141">
    <w:p w14:paraId="6BD72B1F">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2011. This Act imposes tax on the assessable profit of all Nigerian companies at the rate of 2%.</w:t>
      </w:r>
    </w:p>
  </w:footnote>
  <w:footnote w:id="142">
    <w:p w14:paraId="389E2931">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Cap C1 Vol. 2 LFN 2004. This Act imposes tax on gains made from the disposition of chargeable assets at the rate of 10%.</w:t>
      </w:r>
    </w:p>
  </w:footnote>
  <w:footnote w:id="143">
    <w:p w14:paraId="269F0A0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vertAlign w:val="superscript"/>
        </w:rPr>
        <w:t xml:space="preserve"> </w:t>
      </w:r>
      <w:r>
        <w:rPr>
          <w:rStyle w:val="48"/>
          <w:rFonts w:ascii="Times New Roman" w:hAnsi="Times New Roman" w:eastAsia="Times New Roman" w:cs="Times New Roman"/>
        </w:rPr>
        <w:tab/>
      </w:r>
      <w:r>
        <w:rPr>
          <w:rStyle w:val="48"/>
          <w:rFonts w:ascii="Times New Roman" w:hAnsi="Times New Roman" w:eastAsia="Times New Roman" w:cs="Times New Roman"/>
        </w:rPr>
        <w:t>Cap V1 Vol. 15 LFN 2004. This Act imposes tax on the supply of goods and services at the rate of 7.5%.</w:t>
      </w:r>
    </w:p>
  </w:footnote>
  <w:footnote w:id="144">
    <w:p w14:paraId="3E5178FA">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Cap P8 Vol. 13 LFN 2004.This Act imposes tax on all income of individuals at the graduated rates specified therein.</w:t>
      </w:r>
    </w:p>
  </w:footnote>
  <w:footnote w:id="145">
    <w:p w14:paraId="569AEA02">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 xml:space="preserve">2007. This Act imposes 1% tax on the companies specified therein having a minimum turnover of N100 million. </w:t>
      </w:r>
    </w:p>
  </w:footnote>
  <w:footnote w:id="146">
    <w:p w14:paraId="10102AB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 xml:space="preserve">Cap S8 Vol.14 LFN 2004. This Act imposes duties on any instrument relating to any property situate in Nigeria or an act to be performed in Nigeria. </w:t>
      </w:r>
    </w:p>
  </w:footnote>
  <w:footnote w:id="147">
    <w:p w14:paraId="57447099">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eastAsia="Times New Roman" w:cs="Times New Roman"/>
        </w:rPr>
        <w:tab/>
      </w:r>
      <w:r>
        <w:rPr>
          <w:rStyle w:val="48"/>
          <w:rFonts w:ascii="Times New Roman" w:hAnsi="Times New Roman" w:eastAsia="Times New Roman" w:cs="Times New Roman"/>
        </w:rPr>
        <w:t>Cap 45 Vol 4 LFN 2004. This Act imposes duties on imported and locally manufactured goods.</w:t>
      </w:r>
    </w:p>
  </w:footnote>
  <w:footnote w:id="148">
    <w:p w14:paraId="77A0728C">
      <w:pPr>
        <w:pStyle w:val="24"/>
      </w:pPr>
      <w:r>
        <w:rPr>
          <w:rStyle w:val="48"/>
          <w:rFonts w:ascii="Times New Roman" w:hAnsi="Times New Roman" w:eastAsia="Times New Roman" w:cs="Times New Roman"/>
          <w:vertAlign w:val="superscript"/>
        </w:rPr>
        <w:footnoteRef/>
      </w:r>
      <w:r>
        <w:rPr>
          <w:rStyle w:val="41"/>
          <w:rFonts w:eastAsia="Arial Unicode MS" w:cs="Arial Unicode MS"/>
        </w:rPr>
        <w:t xml:space="preserve"> </w:t>
      </w:r>
      <w:r>
        <w:rPr>
          <w:rStyle w:val="41"/>
          <w:rFonts w:eastAsia="Arial Unicode MS" w:cs="Arial Unicode MS"/>
        </w:rPr>
        <w:tab/>
      </w:r>
      <w:r>
        <w:rPr>
          <w:rStyle w:val="48"/>
          <w:rFonts w:ascii="Times New Roman" w:hAnsi="Times New Roman"/>
        </w:rPr>
        <w:t xml:space="preserve">Deep Offshore and Inland Basis PSC Amendment Act 2019.  </w:t>
      </w:r>
    </w:p>
  </w:footnote>
  <w:footnote w:id="149">
    <w:p w14:paraId="61576450">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cs="Times New Roman"/>
        </w:rPr>
        <w:t>Companies Income Tax Act (CITA) as amended.</w:t>
      </w:r>
    </w:p>
  </w:footnote>
  <w:footnote w:id="150">
    <w:p w14:paraId="70B029D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Gas produced along with oil field exploration and development.</w:t>
      </w:r>
    </w:p>
  </w:footnote>
  <w:footnote w:id="151">
    <w:p w14:paraId="31427367">
      <w:pPr>
        <w:pStyle w:val="24"/>
        <w:jc w:val="both"/>
        <w:rPr>
          <w:rFonts w:ascii="Times New Roman" w:hAnsi="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14(2)(b) </w:t>
      </w:r>
      <w:r>
        <w:rPr>
          <w:rFonts w:ascii="Times New Roman" w:hAnsi="Times New Roman" w:cs="Times New Roman"/>
          <w:lang w:val="en-GB"/>
        </w:rPr>
        <w:t>Niger-Delta Development Commission (Establishment etc) Act 2000 Act N</w:t>
      </w:r>
      <w:r>
        <w:rPr>
          <w:rFonts w:ascii="Times New Roman" w:hAnsi="Times New Roman" w:cs="Times New Roman"/>
          <w:u w:val="single"/>
          <w:lang w:val="en-GB"/>
        </w:rPr>
        <w:t>o</w:t>
      </w:r>
      <w:r>
        <w:rPr>
          <w:rFonts w:ascii="Times New Roman" w:hAnsi="Times New Roman" w:cs="Times New Roman"/>
          <w:lang w:val="en-GB"/>
        </w:rPr>
        <w:t> 6</w:t>
      </w:r>
      <w:r>
        <w:rPr>
          <w:rFonts w:ascii="Times New Roman" w:hAnsi="Times New Roman" w:cs="Times New Roman"/>
        </w:rPr>
        <w:t xml:space="preserve">. </w:t>
      </w:r>
    </w:p>
  </w:footnote>
  <w:footnote w:id="152">
    <w:p w14:paraId="5D51FCC6">
      <w:pPr>
        <w:pStyle w:val="24"/>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See Value Added Tax (Amendment) Act 2007 &amp; 2012 </w:t>
      </w:r>
    </w:p>
  </w:footnote>
  <w:footnote w:id="153">
    <w:p w14:paraId="2D5B2746">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i/>
          <w:iCs/>
        </w:rPr>
        <w:t xml:space="preserve"> </w:t>
      </w:r>
      <w:r>
        <w:rPr>
          <w:rStyle w:val="48"/>
          <w:rFonts w:ascii="Times New Roman" w:hAnsi="Times New Roman"/>
          <w:i/>
          <w:iCs/>
        </w:rPr>
        <w:tab/>
      </w:r>
      <w:r>
        <w:rPr>
          <w:rStyle w:val="48"/>
          <w:rFonts w:ascii="Times New Roman" w:hAnsi="Times New Roman"/>
        </w:rPr>
        <w:t>Federal Inland Revenue Service (Establishment) Act 2007</w:t>
      </w:r>
    </w:p>
  </w:footnote>
  <w:footnote w:id="154">
    <w:p w14:paraId="1CFE7F20">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Broadly, there are three tax authorities, namely (a) Federal Inland Revenue Board, (b) State Internal Revenue Service Board, and (c) The Local Government Authorities. </w:t>
      </w:r>
    </w:p>
  </w:footnote>
  <w:footnote w:id="155">
    <w:p w14:paraId="6A5FA82B">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FIRS Establishment Act, S 8(1) s (a) - (t) and S 8(2) which states that “The Service may from time to time, specify the form of returns, claims, statements and notices necessary for the due administration of the power conferred on it by the Act.”   </w:t>
      </w:r>
    </w:p>
  </w:footnote>
  <w:footnote w:id="156">
    <w:p w14:paraId="72C366A4">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eastAsia="Times New Roman" w:cs="Times New Roman"/>
          <w:i/>
          <w:iCs/>
        </w:rPr>
        <w:tab/>
      </w:r>
      <w:r>
        <w:rPr>
          <w:rStyle w:val="48"/>
          <w:rFonts w:ascii="Times New Roman" w:hAnsi="Times New Roman"/>
        </w:rPr>
        <w:t xml:space="preserve">Petroleum Profits Tax Act, Cap. P13 LFN, S 3 – The due administration of the Petroleum Profits Tax Act and the tax shall be under the care and management of the FIRS. The FIRS may do all such acts as may be deemed necessary and expedient for the assessment and collection of the tax and shall account for all amounts so collected in a manner to be prescribed by the Minister of Finance. </w:t>
      </w:r>
    </w:p>
  </w:footnote>
  <w:footnote w:id="157">
    <w:p w14:paraId="4D45866E">
      <w:pPr>
        <w:pStyle w:val="24"/>
        <w:ind w:left="720" w:hanging="720"/>
        <w:jc w:val="both"/>
        <w:rPr>
          <w:rStyle w:val="48"/>
          <w:rFonts w:ascii="Times New Roman" w:hAnsi="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FIRS Establishment Act, s 25-29; lists the following laws: (i) Companies Income Tax Act Cap 60 LFN, 1990 (ii) Petroleum Profits Tax Act Cap 354 LFN 1990, (iii) Personal Income Tax Act No 104, 1993, (iv) Capital Gains Tax Act Cap 42 LFN, 1990, (v) Value Added Tax Act  No 102, 1993,(vi) Stamp Duty Act Cap 411 LFN, 1990, (vii) Taxes and Levies (Approved List for Collection) Act 1998 No 2, 1998.</w:t>
      </w:r>
    </w:p>
    <w:p w14:paraId="7F4316AE">
      <w:pPr>
        <w:pStyle w:val="24"/>
        <w:ind w:left="720"/>
        <w:jc w:val="both"/>
        <w:rPr>
          <w:rStyle w:val="48"/>
          <w:rFonts w:ascii="Times New Roman" w:hAnsi="Times New Roman" w:eastAsia="Times New Roman" w:cs="Times New Roman"/>
        </w:rPr>
      </w:pPr>
      <w:r>
        <w:rPr>
          <w:rStyle w:val="48"/>
          <w:rFonts w:ascii="Times New Roman" w:hAnsi="Times New Roman"/>
        </w:rPr>
        <w:t>All Regulations, Proclamation, government notices or rules issued in terms of these regulations etc.</w:t>
      </w:r>
    </w:p>
    <w:p w14:paraId="4BCA008E">
      <w:pPr>
        <w:pStyle w:val="24"/>
        <w:ind w:left="720" w:hanging="720"/>
        <w:jc w:val="both"/>
      </w:pPr>
      <w:r>
        <w:rPr>
          <w:rStyle w:val="48"/>
          <w:rFonts w:ascii="Times New Roman" w:hAnsi="Times New Roman"/>
        </w:rPr>
        <w:t xml:space="preserve"> </w:t>
      </w:r>
      <w:r>
        <w:rPr>
          <w:rStyle w:val="48"/>
          <w:rFonts w:ascii="Times New Roman" w:hAnsi="Times New Roman"/>
        </w:rPr>
        <w:tab/>
      </w:r>
      <w:r>
        <w:rPr>
          <w:rStyle w:val="48"/>
          <w:rFonts w:ascii="Times New Roman" w:hAnsi="Times New Roman"/>
        </w:rPr>
        <w:t>The FIRS may with the approval of the Minister for Finance, by Instrument published in the Federal Gazette, appoint any Government Agency to collect revenues pursuant to the powers of the FIRS under the FIRS Establishment Act.</w:t>
      </w:r>
    </w:p>
  </w:footnote>
  <w:footnote w:id="158">
    <w:p w14:paraId="1F841E6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i/>
        </w:rPr>
        <w:t>Saipem Contracting Nigeria Ltd v FIRS</w:t>
      </w:r>
      <w:r>
        <w:rPr>
          <w:rStyle w:val="48"/>
          <w:rFonts w:ascii="Times New Roman" w:hAnsi="Times New Roman"/>
        </w:rPr>
        <w:t xml:space="preserve"> [2014] 15 TLRN 76, where the court held that Tax Circulars and/or Opinions cannot supersede tax statutes.</w:t>
      </w:r>
    </w:p>
  </w:footnote>
  <w:footnote w:id="159">
    <w:p w14:paraId="2A902972">
      <w:pPr>
        <w:pStyle w:val="4"/>
        <w:spacing w:after="0" w:line="240" w:lineRule="auto"/>
        <w:ind w:left="720" w:hanging="720"/>
        <w:jc w:val="both"/>
        <w:rPr>
          <w:sz w:val="20"/>
          <w:szCs w:val="20"/>
        </w:rPr>
      </w:pPr>
      <w:r>
        <w:rPr>
          <w:rStyle w:val="48"/>
          <w:rFonts w:ascii="Times New Roman" w:hAnsi="Times New Roman" w:eastAsia="Times New Roman" w:cs="Times New Roman"/>
          <w:sz w:val="20"/>
          <w:szCs w:val="20"/>
          <w:vertAlign w:val="superscript"/>
        </w:rPr>
        <w:footnoteRef/>
      </w:r>
      <w:r>
        <w:rPr>
          <w:rStyle w:val="56"/>
          <w:rFonts w:eastAsia="Arial Unicode MS"/>
        </w:rPr>
        <w:t xml:space="preserve"> </w:t>
      </w:r>
      <w:r>
        <w:rPr>
          <w:rStyle w:val="56"/>
          <w:rFonts w:eastAsia="Arial Unicode MS"/>
        </w:rPr>
        <w:tab/>
      </w:r>
      <w:r>
        <w:rPr>
          <w:rStyle w:val="56"/>
          <w:rFonts w:eastAsia="Arial Unicode MS"/>
        </w:rPr>
        <w:t>Olumide Obayemi, ‘Legal Validity of Tax Opinions/Advance Tax Rulings in Nigeria: Revisiting Saipem Contracting Nigeria Ltd vs Federal Inland Revenue Service, Suit No: FHC/L/CS/1081/09’ This-Day Lawyer (30 September 2014) 12.</w:t>
      </w:r>
    </w:p>
  </w:footnote>
  <w:footnote w:id="160">
    <w:p w14:paraId="7792B8D4">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Since Nigerian tax laws had their origin from English tax laws, it would not be out of place to state that the principles of English common law pronounced upon by the judges in England and interpreted by them, also form another source of Nigerian tax laws.</w:t>
      </w:r>
    </w:p>
  </w:footnote>
  <w:footnote w:id="161">
    <w:p w14:paraId="52C9829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These are Native laws and Customs, governing the taxation of incomes, goods and properties of persons or communities within an ethnic group. Included under this heading, is the Islamic law which is the basis of Moslem laws, that are usually applicable in the Northern part of Nigeria.  </w:t>
      </w:r>
    </w:p>
  </w:footnote>
  <w:footnote w:id="162">
    <w:p w14:paraId="17A4CCEE">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i/>
        </w:rPr>
        <w:t>Adesina v Federal Board of Inland Revenue</w:t>
      </w:r>
      <w:r>
        <w:rPr>
          <w:rStyle w:val="48"/>
          <w:rFonts w:ascii="Times New Roman" w:hAnsi="Times New Roman"/>
        </w:rPr>
        <w:t xml:space="preserve"> [1992] 1 NTC 360 at 364; </w:t>
      </w:r>
      <w:r>
        <w:rPr>
          <w:rStyle w:val="48"/>
          <w:rFonts w:ascii="Times New Roman" w:hAnsi="Times New Roman"/>
          <w:i/>
          <w:iCs/>
        </w:rPr>
        <w:t>Aboud</w:t>
      </w:r>
      <w:r>
        <w:rPr>
          <w:rStyle w:val="48"/>
          <w:rFonts w:ascii="Times New Roman" w:hAnsi="Times New Roman"/>
          <w:i/>
        </w:rPr>
        <w:t xml:space="preserve"> v Regional Tax Board</w:t>
      </w:r>
      <w:r>
        <w:rPr>
          <w:rStyle w:val="48"/>
          <w:rFonts w:ascii="Times New Roman" w:hAnsi="Times New Roman"/>
        </w:rPr>
        <w:t xml:space="preserve"> [1 NTC 124], [1 NTC 141], </w:t>
      </w:r>
      <w:r>
        <w:rPr>
          <w:rStyle w:val="48"/>
          <w:rFonts w:ascii="Times New Roman" w:hAnsi="Times New Roman"/>
          <w:i/>
        </w:rPr>
        <w:t>Reverend Shodipo v Federal Board of Inland Revenue</w:t>
      </w:r>
      <w:r>
        <w:rPr>
          <w:rStyle w:val="48"/>
          <w:rFonts w:ascii="Times New Roman" w:hAnsi="Times New Roman"/>
          <w:u w:val="single"/>
        </w:rPr>
        <w:t xml:space="preserve"> </w:t>
      </w:r>
      <w:r>
        <w:rPr>
          <w:rStyle w:val="48"/>
          <w:rFonts w:ascii="Times New Roman" w:hAnsi="Times New Roman"/>
        </w:rPr>
        <w:t xml:space="preserve">[1 NTC 273]; </w:t>
      </w:r>
      <w:r>
        <w:rPr>
          <w:rStyle w:val="48"/>
          <w:rFonts w:ascii="Times New Roman" w:hAnsi="Times New Roman"/>
          <w:i/>
        </w:rPr>
        <w:t>Offshore International v FBIR</w:t>
      </w:r>
      <w:r>
        <w:rPr>
          <w:rStyle w:val="48"/>
          <w:rFonts w:ascii="Times New Roman" w:hAnsi="Times New Roman"/>
        </w:rPr>
        <w:t xml:space="preserve"> [1 NTC 384];</w:t>
      </w:r>
      <w:r>
        <w:rPr>
          <w:rStyle w:val="48"/>
          <w:rFonts w:ascii="Times New Roman" w:hAnsi="Times New Roman"/>
          <w:u w:val="single"/>
        </w:rPr>
        <w:t xml:space="preserve"> </w:t>
      </w:r>
      <w:r>
        <w:rPr>
          <w:rStyle w:val="48"/>
          <w:rFonts w:ascii="Times New Roman" w:hAnsi="Times New Roman"/>
          <w:iCs/>
        </w:rPr>
        <w:t>Alitalia Airlines Ltd v FBIR,</w:t>
      </w:r>
      <w:r>
        <w:rPr>
          <w:rStyle w:val="48"/>
          <w:rFonts w:ascii="Times New Roman" w:hAnsi="Times New Roman"/>
          <w:u w:val="single"/>
        </w:rPr>
        <w:t xml:space="preserve"> 1 NTC 222; </w:t>
      </w:r>
      <w:r>
        <w:rPr>
          <w:rStyle w:val="48"/>
          <w:rFonts w:ascii="Times New Roman" w:hAnsi="Times New Roman"/>
          <w:i/>
        </w:rPr>
        <w:t>Okupe v FBIR</w:t>
      </w:r>
      <w:r>
        <w:rPr>
          <w:rStyle w:val="48"/>
          <w:rFonts w:ascii="Times New Roman" w:hAnsi="Times New Roman"/>
        </w:rPr>
        <w:t xml:space="preserve">, 1 NTC 321; and </w:t>
      </w:r>
      <w:r>
        <w:rPr>
          <w:rStyle w:val="48"/>
          <w:rFonts w:ascii="Times New Roman" w:hAnsi="Times New Roman"/>
          <w:i/>
        </w:rPr>
        <w:t xml:space="preserve">The Queen v Urhobo Rating Authority </w:t>
      </w:r>
      <w:r>
        <w:rPr>
          <w:rStyle w:val="48"/>
          <w:rFonts w:ascii="Times New Roman" w:hAnsi="Times New Roman"/>
        </w:rPr>
        <w:t xml:space="preserve">[1 NTC 76].  In the case of </w:t>
      </w:r>
      <w:r>
        <w:rPr>
          <w:rStyle w:val="48"/>
          <w:rFonts w:ascii="Times New Roman" w:hAnsi="Times New Roman"/>
          <w:i/>
        </w:rPr>
        <w:t>Aderawos Timber Trading Co Ltd v. Federal Inland Revenue Service</w:t>
      </w:r>
      <w:r>
        <w:rPr>
          <w:rStyle w:val="48"/>
          <w:rFonts w:ascii="Times New Roman" w:hAnsi="Times New Roman"/>
        </w:rPr>
        <w:t xml:space="preserve"> [1969] LLR 195, 1969 All NLR 247, the court held that decisions of English courts can be invoked for the purpose of interpreting Nigerian tax statutes where the expression and terms used are similar and substantially the same as those used in English statutes.</w:t>
      </w:r>
    </w:p>
  </w:footnote>
  <w:footnote w:id="163">
    <w:p w14:paraId="28567EA9">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Appendix III.</w:t>
      </w:r>
    </w:p>
  </w:footnote>
  <w:footnote w:id="164">
    <w:p w14:paraId="1945D5B7">
      <w:pPr>
        <w:pStyle w:val="24"/>
        <w:ind w:left="720" w:hanging="720"/>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Notwithstanding the fact that a notice of appeal has been filed, the hearing may be discontinued at the instance of either the taxpayer or the tax authority at any time before the hearing of the appeal. Upon discontinuance of the appeal, the party at whose instance the appeal is dis-continued will give appropriate notice in writing to the Tax Tribunal.</w:t>
      </w:r>
    </w:p>
  </w:footnote>
  <w:footnote w:id="165">
    <w:p w14:paraId="2724896D">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rPr>
        <w:t xml:space="preserve"> </w:t>
      </w:r>
      <w:r>
        <w:rPr>
          <w:rStyle w:val="51"/>
          <w:rFonts w:ascii="Times New Roman" w:hAnsi="Times New Roman" w:cs="Times New Roman"/>
        </w:rPr>
        <w:tab/>
      </w:r>
      <w:r>
        <w:rPr>
          <w:rStyle w:val="51"/>
          <w:rFonts w:ascii="Times New Roman" w:hAnsi="Times New Roman" w:cs="Times New Roman"/>
          <w:sz w:val="20"/>
          <w:szCs w:val="20"/>
        </w:rPr>
        <w:t xml:space="preserve">FIRS Establishment Act, S 59. </w:t>
      </w:r>
    </w:p>
  </w:footnote>
  <w:footnote w:id="166">
    <w:p w14:paraId="3FB8DA10">
      <w:pPr>
        <w:pStyle w:val="24"/>
        <w:jc w:val="both"/>
        <w:rPr>
          <w:rStyle w:val="51"/>
          <w:rFonts w:ascii="Times New Roman" w:hAnsi="Times New Roman" w:cs="Times New Roman"/>
          <w:sz w:val="20"/>
          <w:szCs w:val="20"/>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51"/>
          <w:rFonts w:ascii="Times New Roman" w:hAnsi="Times New Roman" w:cs="Times New Roman"/>
          <w:sz w:val="20"/>
          <w:szCs w:val="20"/>
        </w:rPr>
        <w:t xml:space="preserve">The tax payable as determined by the TAT is payable within one month of the date of notice </w:t>
      </w:r>
    </w:p>
    <w:p w14:paraId="31926BE2">
      <w:pPr>
        <w:pStyle w:val="24"/>
        <w:ind w:left="720"/>
        <w:jc w:val="both"/>
      </w:pPr>
      <w:r>
        <w:rPr>
          <w:rStyle w:val="51"/>
          <w:rFonts w:ascii="Times New Roman" w:hAnsi="Times New Roman" w:cs="Times New Roman"/>
          <w:sz w:val="20"/>
          <w:szCs w:val="20"/>
        </w:rPr>
        <w:t>of assessment, notwithstanding that an appeal may be pending on the same before the Federal High Court (FHC). Appeals before the FHC must satisfy the following conditions namely; (a) the amount must not be less than N400; (b) the appeal must be on points of law; (c) notice of the appeal must be given to the TAT within 30 days after the date of the judgement of the TAT, and lastly (d) the ground of law on which the decision of the TAT is being challenged should be stated.</w:t>
      </w:r>
    </w:p>
  </w:footnote>
  <w:footnote w:id="167">
    <w:p w14:paraId="59418F4C">
      <w:pPr>
        <w:pStyle w:val="24"/>
        <w:ind w:left="720" w:hanging="720"/>
        <w:jc w:val="both"/>
      </w:pPr>
      <w:r>
        <w:rPr>
          <w:rStyle w:val="48"/>
          <w:rFonts w:ascii="Times New Roman" w:hAnsi="Times New Roman" w:eastAsia="Times New Roman" w:cs="Times New Roman"/>
          <w:vertAlign w:val="superscript"/>
        </w:rPr>
        <w:footnoteRef/>
      </w:r>
      <w:r>
        <w:rPr>
          <w:rStyle w:val="51"/>
          <w:sz w:val="20"/>
          <w:szCs w:val="20"/>
        </w:rPr>
        <w:t xml:space="preserve"> </w:t>
      </w:r>
      <w:r>
        <w:rPr>
          <w:rStyle w:val="51"/>
          <w:sz w:val="20"/>
          <w:szCs w:val="20"/>
        </w:rPr>
        <w:tab/>
      </w:r>
      <w:r>
        <w:rPr>
          <w:rStyle w:val="48"/>
          <w:rFonts w:ascii="Times New Roman" w:hAnsi="Times New Roman"/>
          <w:i/>
        </w:rPr>
        <w:t>TSKJ II Construces v Federal Inland Revenue Service</w:t>
      </w:r>
      <w:r>
        <w:rPr>
          <w:rStyle w:val="48"/>
          <w:rFonts w:ascii="Times New Roman" w:hAnsi="Times New Roman"/>
        </w:rPr>
        <w:t xml:space="preserve"> (Suit No. FHC/ABJ/TA/11/12).</w:t>
      </w:r>
    </w:p>
  </w:footnote>
  <w:footnote w:id="168">
    <w:p w14:paraId="43233A6A">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cs="Times New Roman"/>
          <w:i/>
        </w:rPr>
        <w:t>Nigerian National Petroleum Corporation v Tax Appeal Tribunal &amp; 3 Ors</w:t>
      </w:r>
      <w:r>
        <w:rPr>
          <w:rStyle w:val="48"/>
          <w:rFonts w:ascii="Times New Roman" w:hAnsi="Times New Roman" w:cs="Times New Roman"/>
        </w:rPr>
        <w:t xml:space="preserve"> (Suit No. FHC/L/CS/630/2013).</w:t>
      </w:r>
    </w:p>
  </w:footnote>
  <w:footnote w:id="169">
    <w:p w14:paraId="3984CC40">
      <w:pPr>
        <w:pStyle w:val="24"/>
        <w:ind w:left="720" w:hanging="720"/>
        <w:jc w:val="both"/>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48"/>
          <w:rFonts w:ascii="Times New Roman" w:hAnsi="Times New Roman" w:cs="Times New Roman"/>
          <w:i/>
          <w:iCs/>
        </w:rPr>
        <w:t>Nigerian National Petroleum Corporation v CNOOC Exploration &amp; Production Nigeria Limited &amp; 2 Ors</w:t>
      </w:r>
      <w:r>
        <w:rPr>
          <w:rStyle w:val="51"/>
          <w:rFonts w:ascii="Times New Roman" w:hAnsi="Times New Roman" w:cs="Times New Roman"/>
          <w:sz w:val="20"/>
          <w:szCs w:val="20"/>
          <w:u w:val="single"/>
        </w:rPr>
        <w:t xml:space="preserve"> </w:t>
      </w:r>
      <w:r>
        <w:rPr>
          <w:rStyle w:val="51"/>
          <w:rFonts w:ascii="Times New Roman" w:hAnsi="Times New Roman" w:cs="Times New Roman"/>
          <w:sz w:val="20"/>
          <w:szCs w:val="20"/>
        </w:rPr>
        <w:t>(Suit NO: FHC/L/6A/2013).</w:t>
      </w:r>
    </w:p>
  </w:footnote>
  <w:footnote w:id="170">
    <w:p w14:paraId="369C81A0">
      <w:pPr>
        <w:pStyle w:val="24"/>
        <w:jc w:val="both"/>
      </w:pPr>
      <w:r>
        <w:rPr>
          <w:rStyle w:val="48"/>
          <w:rFonts w:ascii="Times New Roman" w:hAnsi="Times New Roman" w:eastAsia="Times New Roman" w:cs="Times New Roman"/>
          <w:vertAlign w:val="superscript"/>
        </w:rPr>
        <w:footnoteRef/>
      </w:r>
      <w:r>
        <w:rPr>
          <w:rStyle w:val="51"/>
          <w:sz w:val="20"/>
          <w:szCs w:val="20"/>
        </w:rPr>
        <w:t xml:space="preserve"> </w:t>
      </w:r>
      <w:r>
        <w:rPr>
          <w:rStyle w:val="51"/>
          <w:sz w:val="20"/>
          <w:szCs w:val="20"/>
        </w:rPr>
        <w:tab/>
      </w:r>
      <w:r>
        <w:rPr>
          <w:rStyle w:val="51"/>
          <w:rFonts w:ascii="Times New Roman" w:hAnsi="Times New Roman" w:cs="Times New Roman"/>
          <w:sz w:val="20"/>
          <w:szCs w:val="20"/>
        </w:rPr>
        <w:t>[1949] 2 All ER 155.</w:t>
      </w:r>
    </w:p>
  </w:footnote>
  <w:footnote w:id="171">
    <w:p w14:paraId="2D25B0D1">
      <w:pPr>
        <w:pStyle w:val="24"/>
        <w:jc w:val="both"/>
      </w:pPr>
      <w:r>
        <w:rPr>
          <w:rStyle w:val="48"/>
          <w:rFonts w:ascii="Times New Roman" w:hAnsi="Times New Roman" w:eastAsia="Times New Roman" w:cs="Times New Roman"/>
          <w:vertAlign w:val="superscript"/>
        </w:rPr>
        <w:footnoteRef/>
      </w:r>
      <w:r>
        <w:rPr>
          <w:rStyle w:val="51"/>
          <w:sz w:val="20"/>
          <w:szCs w:val="20"/>
        </w:rPr>
        <w:t xml:space="preserve"> </w:t>
      </w:r>
      <w:r>
        <w:rPr>
          <w:rStyle w:val="51"/>
          <w:sz w:val="20"/>
          <w:szCs w:val="20"/>
        </w:rPr>
        <w:tab/>
      </w:r>
      <w:r>
        <w:rPr>
          <w:rStyle w:val="48"/>
          <w:rFonts w:ascii="Times New Roman" w:hAnsi="Times New Roman"/>
        </w:rPr>
        <w:t>[1921] 1 K 64</w:t>
      </w:r>
    </w:p>
  </w:footnote>
  <w:footnote w:id="172">
    <w:p w14:paraId="19FD05AA">
      <w:pPr>
        <w:pStyle w:val="24"/>
        <w:jc w:val="both"/>
      </w:pPr>
      <w:r>
        <w:rPr>
          <w:rStyle w:val="48"/>
          <w:rFonts w:ascii="Times New Roman" w:hAnsi="Times New Roman" w:eastAsia="Times New Roman" w:cs="Times New Roman"/>
          <w:vertAlign w:val="superscript"/>
        </w:rPr>
        <w:footnoteRef/>
      </w:r>
      <w:r>
        <w:rPr>
          <w:rStyle w:val="48"/>
          <w:rFonts w:ascii="Times New Roman" w:hAnsi="Times New Roman"/>
        </w:rPr>
        <w:t xml:space="preserve"> </w:t>
      </w:r>
      <w:r>
        <w:rPr>
          <w:rStyle w:val="48"/>
          <w:rFonts w:ascii="Times New Roman" w:hAnsi="Times New Roman"/>
        </w:rPr>
        <w:tab/>
      </w:r>
      <w:r>
        <w:rPr>
          <w:rStyle w:val="48"/>
          <w:rFonts w:ascii="Times New Roman" w:hAnsi="Times New Roman"/>
        </w:rPr>
        <w:t xml:space="preserve">[1965] 55ITR 741 (SC). </w:t>
      </w:r>
    </w:p>
  </w:footnote>
  <w:footnote w:id="173">
    <w:p w14:paraId="1ACF060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See chapter 5, OECD, Policy Framework. </w:t>
      </w:r>
    </w:p>
  </w:footnote>
  <w:footnote w:id="174">
    <w:p w14:paraId="13270806">
      <w:pPr>
        <w:pStyle w:val="24"/>
        <w:ind w:left="720" w:hanging="720"/>
        <w:jc w:val="both"/>
        <w:rPr>
          <w:rFonts w:ascii="Times New Roman" w:hAnsi="Times New Roman" w:cs="Times New Roman"/>
        </w:rPr>
      </w:pPr>
      <w:r>
        <w:rPr>
          <w:rStyle w:val="48"/>
          <w:rFonts w:ascii="Times New Roman" w:hAnsi="Times New Roman" w:eastAsia="Times New Roman" w:cs="Times New Roman"/>
          <w:vertAlign w:val="superscript"/>
        </w:rPr>
        <w:footnoteRef/>
      </w:r>
      <w:r>
        <w:rPr>
          <w:rStyle w:val="51"/>
          <w:rFonts w:ascii="Times New Roman" w:hAnsi="Times New Roman" w:cs="Times New Roman"/>
          <w:sz w:val="20"/>
          <w:szCs w:val="20"/>
        </w:rPr>
        <w:t xml:space="preserve"> </w:t>
      </w:r>
      <w:r>
        <w:rPr>
          <w:rStyle w:val="51"/>
          <w:rFonts w:ascii="Times New Roman" w:hAnsi="Times New Roman" w:cs="Times New Roman"/>
          <w:sz w:val="20"/>
          <w:szCs w:val="20"/>
        </w:rPr>
        <w:tab/>
      </w:r>
      <w:r>
        <w:rPr>
          <w:rStyle w:val="51"/>
          <w:rFonts w:ascii="Times New Roman" w:hAnsi="Times New Roman" w:cs="Times New Roman"/>
          <w:sz w:val="20"/>
          <w:szCs w:val="20"/>
        </w:rPr>
        <w:t>The Nigerian Tax Policy (NTP) 2012.- Appendix III</w:t>
      </w:r>
    </w:p>
  </w:footnote>
  <w:footnote w:id="175">
    <w:p w14:paraId="5B6B7A9C">
      <w:pPr>
        <w:pStyle w:val="24"/>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National Petroleum Industry Fiscal Policy (NPIFP) document 2017.</w:t>
      </w:r>
    </w:p>
  </w:footnote>
  <w:footnote w:id="176">
    <w:p w14:paraId="454BA7DC">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1.4, Revised National Tax Policy (RNTP) 2016, p. 2 </w:t>
      </w:r>
    </w:p>
  </w:footnote>
  <w:footnote w:id="177">
    <w:p w14:paraId="02738010">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Section 1. 5, RNTP, p 2</w:t>
      </w:r>
    </w:p>
  </w:footnote>
  <w:footnote w:id="178">
    <w:p w14:paraId="240490D3">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Chapters 3 &amp; 4 of the RNTP document, pp 3-10. </w:t>
      </w:r>
    </w:p>
  </w:footnote>
  <w:footnote w:id="179">
    <w:p w14:paraId="5E34AC2B">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Compared to India’s of 16%, Ghana’s of 15.9%, and South Africa’s of 27%.; OECD</w:t>
      </w:r>
      <w:r>
        <w:rPr>
          <w:rFonts w:ascii="Times New Roman" w:hAnsi="Times New Roman" w:eastAsia="Arial Unicode MS" w:cs="Times New Roman"/>
          <w:color w:val="666666"/>
        </w:rPr>
        <w:t xml:space="preserve"> Data - </w:t>
      </w:r>
      <w:r>
        <w:rPr>
          <w:rFonts w:ascii="Times New Roman" w:hAnsi="Times New Roman" w:cs="Times New Roman"/>
          <w:bCs/>
        </w:rPr>
        <w:t xml:space="preserve">Total </w:t>
      </w:r>
    </w:p>
    <w:p w14:paraId="25BDE356">
      <w:pPr>
        <w:pStyle w:val="24"/>
        <w:ind w:left="720"/>
        <w:jc w:val="both"/>
      </w:pPr>
      <w:r>
        <w:rPr>
          <w:rFonts w:ascii="Times New Roman" w:hAnsi="Times New Roman" w:cs="Times New Roman"/>
        </w:rPr>
        <w:t xml:space="preserve">tax revenue as a percentage of GDP indicates the share of a country's output that is collected by the government through taxes. It can be regarded as one measure of the degree to which the government controls the economy's resources. For OECD countries, the average tax to GDP ratio for 2018 was 34.8%. </w:t>
      </w:r>
      <w:r>
        <w:rPr>
          <w:rFonts w:ascii="Times New Roman" w:hAnsi="Times New Roman" w:eastAsia="Arial Unicode MS" w:cs="Times New Roman"/>
          <w:color w:val="006621"/>
          <w:sz w:val="24"/>
          <w:szCs w:val="24"/>
        </w:rPr>
        <w:t xml:space="preserve"> </w:t>
      </w:r>
      <w:r>
        <w:rPr>
          <w:rFonts w:ascii="Times New Roman" w:hAnsi="Times New Roman" w:cs="Times New Roman"/>
        </w:rPr>
        <w:t>https://data.oecd.org/tax/tax-revenue.html.</w:t>
      </w:r>
    </w:p>
  </w:footnote>
  <w:footnote w:id="180">
    <w:p w14:paraId="00C71B6F">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Petroleum Act, No 51 of 1969 and the Petroleum Regulations 1969.</w:t>
      </w:r>
    </w:p>
  </w:footnote>
  <w:footnote w:id="181">
    <w:p w14:paraId="717425D9">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It is important to note that grants of licenses to explore for petroleum may have been given earlier, under </w:t>
      </w:r>
    </w:p>
    <w:p w14:paraId="0FDCDC57">
      <w:pPr>
        <w:pStyle w:val="24"/>
        <w:ind w:left="720"/>
        <w:rPr>
          <w:rFonts w:ascii="Times New Roman" w:hAnsi="Times New Roman" w:cs="Times New Roman"/>
        </w:rPr>
      </w:pPr>
      <w:r>
        <w:rPr>
          <w:rFonts w:ascii="Times New Roman" w:hAnsi="Times New Roman" w:cs="Times New Roman"/>
        </w:rPr>
        <w:t>the provisions of Order No.19 of 1909, of the Laws of Southern Nigeria, as the amalgamation of Northern and Southern Nigeria was effected in 1914.</w:t>
      </w:r>
    </w:p>
  </w:footnote>
  <w:footnote w:id="182">
    <w:p w14:paraId="26FDA0D7">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S.15 (1) Cap. 120 of the 1958 Edition of the Laws of Nigeria. Mineral oil is therein defined (under Section</w:t>
      </w:r>
    </w:p>
    <w:p w14:paraId="6B102A86">
      <w:pPr>
        <w:pStyle w:val="24"/>
        <w:ind w:left="720" w:firstLine="45"/>
      </w:pPr>
      <w:r>
        <w:rPr>
          <w:rFonts w:ascii="Times New Roman" w:hAnsi="Times New Roman" w:cs="Times New Roman"/>
        </w:rPr>
        <w:t>2), to include bitumen, asphalt, and all other bituminous substances except for coal. The Mineral Oils Act (Cap 120) was repealed by the Petroleum Act (Cap 350).</w:t>
      </w:r>
    </w:p>
  </w:footnote>
  <w:footnote w:id="183">
    <w:p w14:paraId="32BE7AC8">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Source: Nigerian National Petroleum Corporation (NNPC) Report 2024</w:t>
      </w:r>
    </w:p>
  </w:footnote>
  <w:footnote w:id="184">
    <w:p w14:paraId="5079211F">
      <w:pPr>
        <w:pStyle w:val="24"/>
        <w:ind w:left="720" w:hanging="720"/>
        <w:jc w:val="both"/>
        <w:rPr>
          <w:rStyle w:val="23"/>
          <w:rFonts w:ascii="Times New Roman" w:hAnsi="Times New Roman" w:cs="Times New Roman"/>
        </w:rPr>
      </w:pPr>
      <w:r>
        <w:rPr>
          <w:rStyle w:val="23"/>
          <w:rFonts w:ascii="Times New Roman" w:hAnsi="Times New Roman" w:cs="Times New Roman"/>
        </w:rPr>
        <w:footnoteRef/>
      </w:r>
      <w:r>
        <w:rPr>
          <w:rStyle w:val="23"/>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Source: Nigerian National Petroleum Corporation (NNPC) Report 2024. </w:t>
      </w:r>
    </w:p>
  </w:footnote>
  <w:footnote w:id="185">
    <w:p w14:paraId="51F893A1">
      <w:pPr>
        <w:pStyle w:val="24"/>
        <w:ind w:left="720" w:hanging="720"/>
        <w:jc w:val="both"/>
        <w:rPr>
          <w:rStyle w:val="23"/>
          <w:rFonts w:ascii="Times New Roman" w:hAnsi="Times New Roman"/>
          <w:color w:val="auto"/>
        </w:rPr>
      </w:pPr>
      <w:r>
        <w:rPr>
          <w:rStyle w:val="23"/>
          <w:rFonts w:ascii="Times New Roman" w:hAnsi="Times New Roman" w:cs="Times New Roman"/>
        </w:rPr>
        <w:footnoteRef/>
      </w:r>
      <w:r>
        <w:rPr>
          <w:rStyle w:val="23"/>
          <w:rFonts w:ascii="Times New Roman" w:hAnsi="Times New Roman" w:cs="Times New Roman"/>
        </w:rPr>
        <w:t xml:space="preserve"> </w:t>
      </w:r>
      <w:r>
        <w:rPr>
          <w:rFonts w:ascii="Times New Roman" w:hAnsi="Times New Roman"/>
          <w:color w:val="FF0000"/>
        </w:rPr>
        <w:tab/>
      </w:r>
      <w:bookmarkStart w:id="38" w:name="_Hlk183870076"/>
      <w:r>
        <w:rPr>
          <w:rFonts w:ascii="Times New Roman" w:hAnsi="Times New Roman"/>
          <w:color w:val="auto"/>
        </w:rPr>
        <w:t xml:space="preserve">Operations in the oil and gas industry consist of upstream activities, midstream activities, and downstream activities. The upstream sector of the oil and gas industry in Nigeria encompasses activities in the exploration, development, and production of crude oil </w:t>
      </w:r>
      <w:r>
        <w:rPr>
          <w:rFonts w:ascii="Times New Roman" w:hAnsi="Times New Roman" w:cs="Times New Roman"/>
          <w:color w:val="auto"/>
        </w:rPr>
        <w:t>and gas from the natural state.</w:t>
      </w:r>
      <w:r>
        <w:rPr>
          <w:rFonts w:ascii="Times New Roman" w:hAnsi="Times New Roman"/>
          <w:color w:val="auto"/>
        </w:rPr>
        <w:t xml:space="preserve"> The midstream sector in the Nigerian oil and gas industry includes transportation and refining activities in the country, while downstream activities encompass operations involving storage, marketing, and sales of petrochemical products. </w:t>
      </w:r>
    </w:p>
    <w:bookmarkEnd w:id="38"/>
  </w:footnote>
  <w:footnote w:id="186">
    <w:p w14:paraId="48445A82">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BP Statistical Review of World Energy, ‘Analysis: MPR Petroleum Policy Team’ (2016).</w:t>
      </w:r>
    </w:p>
  </w:footnote>
  <w:footnote w:id="187">
    <w:p w14:paraId="015110F6">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Oil in commercial quantities was first found in Oloibiri village, Bayelsa State, in the Southeastern coastal belt of Nigeria. Despite intensive exploratory and prospecting efforts in various parts of the country, particularly in the Chad Basin and Bauchi State, virtually all the oil presently found and produced in commercial quantity in Nigeria is restricted to the Niger Delta, including Ondo, Imo, and recently Lagos States.</w:t>
      </w:r>
    </w:p>
  </w:footnote>
  <w:footnote w:id="188">
    <w:p w14:paraId="27A83FC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Nigeria is regarded as a gas region, with significant oil reserves, although due to policy failure, gas </w:t>
      </w:r>
    </w:p>
    <w:p w14:paraId="7CA40D32">
      <w:pPr>
        <w:pStyle w:val="24"/>
        <w:ind w:firstLine="720"/>
        <w:jc w:val="both"/>
        <w:rPr>
          <w:rFonts w:ascii="Times New Roman" w:hAnsi="Times New Roman" w:cs="Times New Roman"/>
        </w:rPr>
      </w:pPr>
      <w:r>
        <w:rPr>
          <w:rFonts w:ascii="Times New Roman" w:hAnsi="Times New Roman" w:cs="Times New Roman"/>
        </w:rPr>
        <w:t>production has remained underdeveloped with minimal revenue earnings and massive gas flaring.</w:t>
      </w:r>
    </w:p>
  </w:footnote>
  <w:footnote w:id="189">
    <w:p w14:paraId="0B33ECA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Michael Asagunla and Oyeyemi Agbede ‘Oil Revenue and Output Growth in Nigeria’ (2018) </w:t>
      </w:r>
    </w:p>
    <w:p w14:paraId="6209A1DF">
      <w:pPr>
        <w:pStyle w:val="24"/>
        <w:ind w:left="720"/>
        <w:jc w:val="both"/>
        <w:rPr>
          <w:rFonts w:ascii="Times New Roman" w:hAnsi="Times New Roman" w:cs="Times New Roman"/>
        </w:rPr>
      </w:pPr>
      <w:r>
        <w:rPr>
          <w:rFonts w:ascii="Times New Roman" w:hAnsi="Times New Roman" w:cs="Times New Roman"/>
        </w:rPr>
        <w:t xml:space="preserve">4(6)  </w:t>
      </w:r>
      <w:r>
        <w:rPr>
          <w:rFonts w:ascii="Times New Roman" w:hAnsi="Times New Roman" w:cs="Times New Roman"/>
          <w:i/>
        </w:rPr>
        <w:t>International Journal of Economics and Business Management</w:t>
      </w:r>
      <w:r>
        <w:rPr>
          <w:rFonts w:ascii="Times New Roman" w:hAnsi="Times New Roman" w:cs="Times New Roman"/>
        </w:rPr>
        <w:t xml:space="preserve"> 65-74; Ojide Gabriel, Salami Kareem, Fatimah Kari, Gazi Alam and Oke Matuin,‘Impact of Gas Industry on Sustainable Economy in Nigeria, (2012) 12 </w:t>
      </w:r>
      <w:r>
        <w:rPr>
          <w:rFonts w:ascii="Times New Roman" w:hAnsi="Times New Roman" w:cs="Times New Roman"/>
          <w:i/>
        </w:rPr>
        <w:t>Journal of Applied Sciences</w:t>
      </w:r>
      <w:r>
        <w:rPr>
          <w:rFonts w:ascii="Times New Roman" w:hAnsi="Times New Roman" w:cs="Times New Roman"/>
        </w:rPr>
        <w:t xml:space="preserve"> 2244-2251; Alexander Malden ‘Nigeria’s Oil and Gas Revenues: Insights From New Company Disclosures’ (Natural Resource Governance Institute, December 2017); Chukwueyem Rapu et al ‘Analysis of Energy Market Conditions in Nigeria’(Central Bank of Nigeria, Federal Capital Territory, Abuja, October 2015).</w:t>
      </w:r>
    </w:p>
  </w:footnote>
  <w:footnote w:id="190">
    <w:p w14:paraId="09A9E3E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Nigeria Liquefied Natural Gas (Fiscal Incentives Guaranties and Assurances etc) Act. Chapter N87, </w:t>
      </w:r>
    </w:p>
    <w:p w14:paraId="5598498A">
      <w:pPr>
        <w:pStyle w:val="24"/>
        <w:ind w:left="720"/>
        <w:jc w:val="both"/>
        <w:rPr>
          <w:rFonts w:ascii="Times New Roman" w:hAnsi="Times New Roman" w:cs="Times New Roman"/>
        </w:rPr>
      </w:pPr>
      <w:r>
        <w:rPr>
          <w:rFonts w:ascii="Times New Roman" w:hAnsi="Times New Roman" w:cs="Times New Roman"/>
        </w:rPr>
        <w:t>Laws of Federation of Nigeria 2004 which, amongst other things, provides for the guarantees and assurances by the Federal Government of Nigeria to the Company and its Shareholders.</w:t>
      </w:r>
    </w:p>
  </w:footnote>
  <w:footnote w:id="191">
    <w:p w14:paraId="4E4A1750">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w:t>
      </w:r>
      <w:r>
        <w:rPr>
          <w:rFonts w:ascii="Times New Roman" w:hAnsi="Times New Roman" w:cs="Times New Roman"/>
        </w:rPr>
        <w:tab/>
      </w:r>
      <w:r>
        <w:rPr>
          <w:rFonts w:ascii="Times New Roman" w:hAnsi="Times New Roman" w:cs="Times New Roman"/>
        </w:rPr>
        <w:t xml:space="preserve">David Ricardo, </w:t>
      </w:r>
      <w:r>
        <w:rPr>
          <w:rFonts w:ascii="Times New Roman" w:hAnsi="Times New Roman" w:cs="Times New Roman"/>
          <w:i/>
        </w:rPr>
        <w:t>Principles of Political Economy and Taxation</w:t>
      </w:r>
      <w:r>
        <w:rPr>
          <w:rFonts w:ascii="Times New Roman" w:hAnsi="Times New Roman" w:cs="Times New Roman"/>
        </w:rPr>
        <w:t xml:space="preserve"> (Third Edition, Batoche Books, Ontario, Canada, 1821); Marc Blaug, </w:t>
      </w:r>
      <w:r>
        <w:rPr>
          <w:rFonts w:ascii="Times New Roman" w:hAnsi="Times New Roman" w:cs="Times New Roman"/>
          <w:i/>
        </w:rPr>
        <w:t>Economic Theory in Retrospect</w:t>
      </w:r>
      <w:r>
        <w:rPr>
          <w:rFonts w:ascii="Times New Roman" w:hAnsi="Times New Roman" w:cs="Times New Roman"/>
        </w:rPr>
        <w:t xml:space="preserve"> (Third Edition, Cambridge University Press, Cambridge, United Kingdom, 1978); Christian Biddard ‘The Ricardian rent theory: an overview’ (Centro Sraffa Working Papers No. 8, November 2014); Csaba Deak ‘Rent Theory and the Price of Urban Land: Spatial Organization in a capitalist economy’ (PhD Thesis submitted to the University of Cambridge, King’s College, University of Cambridge, Cambridge, United Kingdom, March 1985) :</w:t>
      </w:r>
    </w:p>
  </w:footnote>
  <w:footnote w:id="192">
    <w:p w14:paraId="0B6D2C49">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i/>
        </w:rPr>
        <w:t xml:space="preserve"> </w:t>
      </w:r>
      <w:r>
        <w:rPr>
          <w:rFonts w:ascii="Times New Roman" w:hAnsi="Times New Roman" w:cs="Times New Roman"/>
        </w:rPr>
        <w:tab/>
      </w:r>
      <w:r>
        <w:rPr>
          <w:rFonts w:ascii="Times New Roman" w:hAnsi="Times New Roman" w:cs="Times New Roman"/>
        </w:rPr>
        <w:t xml:space="preserve">Jason Brown, Timothy Fitzgerald and Jeremy Weber ‘Does Resource Ownership Matter? Oil and Gas Royalties and the Income Effect of Extraction’(2019) </w:t>
      </w:r>
      <w:r>
        <w:rPr>
          <w:rFonts w:ascii="Times New Roman" w:hAnsi="Times New Roman" w:cs="Times New Roman"/>
          <w:i/>
        </w:rPr>
        <w:t>Journal of the Association of Environmental and Resource Economists</w:t>
      </w:r>
      <w:r>
        <w:rPr>
          <w:rFonts w:ascii="Times New Roman" w:hAnsi="Times New Roman" w:cs="Times New Roman"/>
        </w:rPr>
        <w:t xml:space="preserve"> (forthcoming); Siham Matallah and Amal Matallah ‘Oil Rents and Economic Growth in Oil-Abundant MENA Countries: Governance is the Trump Card to Escape the Resource Trap’ (Department of Economics, University of Tlemcen, Algeria, 2016); Jack Mintz and Duanjie Chen ‘Capturing Economic Rents from Resources through Royalties and Taxes’ (The University of Calgary School of Public Policy, Volume 5, Issue 30, October 2012).</w:t>
      </w:r>
    </w:p>
  </w:footnote>
  <w:footnote w:id="193">
    <w:p w14:paraId="7648A64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Silvana Tordo ‘Fiscal Systems for Hydrocarbons’ (The International Bank for Reconstruction </w:t>
      </w:r>
    </w:p>
    <w:p w14:paraId="5C204072">
      <w:pPr>
        <w:pStyle w:val="24"/>
        <w:ind w:left="720"/>
        <w:jc w:val="both"/>
        <w:rPr>
          <w:rFonts w:ascii="Times New Roman" w:hAnsi="Times New Roman" w:cs="Times New Roman"/>
        </w:rPr>
      </w:pPr>
      <w:r>
        <w:rPr>
          <w:rFonts w:ascii="Times New Roman" w:hAnsi="Times New Roman" w:cs="Times New Roman"/>
        </w:rPr>
        <w:t>and Development / The World Bank, World Bank Working Paper No. 123, Washington DC, USA); Kirsten Bindermann ‘Production-Sharing Agreements: An Economic Analysis’ (Oxford Institute for Energy Studies, WPM 25, October 2019).</w:t>
      </w:r>
    </w:p>
  </w:footnote>
  <w:footnote w:id="194">
    <w:p w14:paraId="5C552E0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S44(3) 1999 Federal Constitution of Nigeria</w:t>
      </w:r>
    </w:p>
  </w:footnote>
  <w:footnote w:id="195">
    <w:p w14:paraId="4AD4A45B">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(2002) 6 NWLR (Pt 764) 542</w:t>
      </w:r>
    </w:p>
  </w:footnote>
  <w:footnote w:id="196">
    <w:p w14:paraId="5AB205A8">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Section 162(1) of the 1999 Constitution of the Federal Republic of Nigeria, requires the maintenance by</w:t>
      </w:r>
    </w:p>
    <w:p w14:paraId="7A8FEC9F">
      <w:pPr>
        <w:pStyle w:val="24"/>
        <w:ind w:firstLine="720"/>
        <w:jc w:val="both"/>
        <w:rPr>
          <w:rFonts w:ascii="Times New Roman" w:hAnsi="Times New Roman" w:cs="Times New Roman"/>
        </w:rPr>
      </w:pPr>
      <w:r>
        <w:rPr>
          <w:rFonts w:ascii="Times New Roman" w:hAnsi="Times New Roman" w:cs="Times New Roman"/>
          <w:bCs/>
          <w:iCs/>
        </w:rPr>
        <w:t xml:space="preserve"> the Federation of a special account (the Federation Account), into which all revenue must be paid.</w:t>
      </w:r>
    </w:p>
  </w:footnote>
  <w:footnote w:id="197">
    <w:p w14:paraId="7E7593D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S.162 (2).1999 Constitution which defines the derivation principle and the revenue allocation formula for </w:t>
      </w:r>
    </w:p>
    <w:p w14:paraId="7FB641C0">
      <w:pPr>
        <w:pStyle w:val="24"/>
        <w:ind w:firstLine="720"/>
        <w:jc w:val="both"/>
        <w:rPr>
          <w:rFonts w:ascii="Times New Roman" w:hAnsi="Times New Roman" w:cs="Times New Roman"/>
        </w:rPr>
      </w:pPr>
      <w:r>
        <w:rPr>
          <w:rFonts w:ascii="Times New Roman" w:hAnsi="Times New Roman" w:cs="Times New Roman"/>
        </w:rPr>
        <w:t>the FG, the federating states and local governments of the Federation.</w:t>
      </w:r>
    </w:p>
  </w:footnote>
  <w:footnote w:id="198">
    <w:p w14:paraId="0E05531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United Nations Convention on the Law of the Sea -1982</w:t>
      </w:r>
    </w:p>
  </w:footnote>
  <w:footnote w:id="199">
    <w:p w14:paraId="7D5097C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(2002) 6 NWLR 542, at pp 728-729, paras H-C. </w:t>
      </w:r>
    </w:p>
  </w:footnote>
  <w:footnote w:id="200">
    <w:p w14:paraId="17DC9181">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Cs/>
          <w:iCs/>
        </w:rPr>
        <w:tab/>
      </w:r>
      <w:r>
        <w:rPr>
          <w:rFonts w:ascii="Times New Roman" w:hAnsi="Times New Roman" w:cs="Times New Roman"/>
          <w:bCs/>
          <w:iCs/>
        </w:rPr>
        <w:t>Section 162(2) of the Constitution of the Federal Republic of Nigeria, 1999.</w:t>
      </w:r>
    </w:p>
  </w:footnote>
  <w:footnote w:id="201">
    <w:p w14:paraId="03C6C96C">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Exclusive Economic Zone (EEZ) is defined in Art. 55 of the United Nations Conventions on the Law of the Sea, 1982 as an area beyond and adjacent to the territorial sea subject to the specific legal regime established in this Part, under which the rights and jurisdiction of the coastal state and the rights and freedom of other states are governed by relevant provisions of this Convention. The zone shall not extend beyond 200 nautical miles from the baselines from which the breadth of the territorial sea is measured.</w:t>
      </w:r>
    </w:p>
  </w:footnote>
  <w:footnote w:id="202">
    <w:p w14:paraId="7C29F99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Exclusive and Concurrent Legislative Lists –on which matters over which only the Federal Government </w:t>
      </w:r>
    </w:p>
    <w:p w14:paraId="715A03E1">
      <w:pPr>
        <w:pStyle w:val="24"/>
        <w:ind w:firstLine="720"/>
        <w:jc w:val="both"/>
        <w:rPr>
          <w:rFonts w:ascii="Times New Roman" w:hAnsi="Times New Roman" w:cs="Times New Roman"/>
        </w:rPr>
      </w:pPr>
      <w:r>
        <w:rPr>
          <w:rFonts w:ascii="Times New Roman" w:hAnsi="Times New Roman" w:cs="Times New Roman"/>
        </w:rPr>
        <w:t xml:space="preserve"> can legislate are enumerated. This is contained in Part I of the Second Schedule of the 1999 Constitution.  </w:t>
      </w:r>
    </w:p>
  </w:footnote>
  <w:footnote w:id="203">
    <w:p w14:paraId="2553B4B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There are 68 such matters, ranging from arms and ammunition, currency matters, States creation, </w:t>
      </w:r>
    </w:p>
    <w:p w14:paraId="1748B290">
      <w:pPr>
        <w:pStyle w:val="24"/>
        <w:ind w:left="720"/>
        <w:jc w:val="both"/>
        <w:rPr>
          <w:rFonts w:ascii="Times New Roman" w:hAnsi="Times New Roman" w:cs="Times New Roman"/>
        </w:rPr>
      </w:pPr>
      <w:r>
        <w:rPr>
          <w:rFonts w:ascii="Times New Roman" w:hAnsi="Times New Roman" w:cs="Times New Roman"/>
        </w:rPr>
        <w:t xml:space="preserve">Exports and Exchange control, labor matters to taxation of incomes, profits and capital gains (item 59) and trade and commerce (item 68) </w:t>
      </w:r>
    </w:p>
  </w:footnote>
  <w:footnote w:id="204">
    <w:p w14:paraId="5AF70F3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(1961)2 NSCC 248 at 252</w:t>
      </w:r>
    </w:p>
  </w:footnote>
  <w:footnote w:id="205">
    <w:p w14:paraId="5310513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(2001)16 NWLR (pt. 740) page 597 at 644</w:t>
      </w:r>
    </w:p>
  </w:footnote>
  <w:footnote w:id="206">
    <w:p w14:paraId="3409158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(2013) 16 NWLR (Part 1380)</w:t>
      </w:r>
      <w:r>
        <w:rPr>
          <w:rFonts w:ascii="Times New Roman" w:hAnsi="Times New Roman" w:cs="Times New Roman"/>
          <w:b/>
          <w:bCs/>
          <w:i/>
          <w:iCs/>
        </w:rPr>
        <w:t xml:space="preserve"> </w:t>
      </w:r>
      <w:r>
        <w:rPr>
          <w:rFonts w:ascii="Times New Roman" w:hAnsi="Times New Roman" w:cs="Times New Roman"/>
        </w:rPr>
        <w:t>249 SC.</w:t>
      </w:r>
    </w:p>
  </w:footnote>
  <w:footnote w:id="207">
    <w:p w14:paraId="5B8AE43B">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The Taxes and Levies Act was amended by the Taxes &amp; Levies (Amendment) Order 2015. Section 1(2),</w:t>
      </w:r>
    </w:p>
    <w:p w14:paraId="7A629AA0">
      <w:pPr>
        <w:pStyle w:val="24"/>
        <w:ind w:left="720" w:firstLine="45"/>
        <w:jc w:val="both"/>
        <w:rPr>
          <w:rFonts w:ascii="Times New Roman" w:hAnsi="Times New Roman" w:cs="Times New Roman"/>
          <w:bCs/>
        </w:rPr>
      </w:pPr>
      <w:r>
        <w:rPr>
          <w:rFonts w:ascii="Times New Roman" w:hAnsi="Times New Roman" w:cs="Times New Roman"/>
          <w:bCs/>
        </w:rPr>
        <w:t>confers on the Minister of Finance (the Minister) the power to amend the schedule to the Act based on the advice of the Joint Tax Board and by order published in the Gazette. Relying on section 1(2) Taxes &amp; Levies Act, the Minister expanded the list of taxes and levies.</w:t>
      </w:r>
    </w:p>
  </w:footnote>
  <w:footnote w:id="208">
    <w:p w14:paraId="33D2DB3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Taxes and Levies (approved list for collection) Act 1998, alt</w:t>
      </w:r>
      <w:r>
        <w:rPr>
          <w:rFonts w:ascii="Times New Roman" w:hAnsi="Times New Roman"/>
          <w:lang w:val="en-GB"/>
        </w:rPr>
        <w:t>hough</w:t>
      </w:r>
      <w:r>
        <w:rPr>
          <w:rFonts w:ascii="Times New Roman" w:hAnsi="Times New Roman" w:cs="Times New Roman"/>
        </w:rPr>
        <w:t xml:space="preserve"> a </w:t>
      </w:r>
      <w:r>
        <w:rPr>
          <w:rFonts w:ascii="Times New Roman" w:hAnsi="Times New Roman" w:cs="Times New Roman"/>
          <w:i/>
          <w:iCs/>
        </w:rPr>
        <w:t>Decree</w:t>
      </w:r>
      <w:r>
        <w:rPr>
          <w:rFonts w:ascii="Times New Roman" w:hAnsi="Times New Roman" w:cs="Times New Roman"/>
        </w:rPr>
        <w:t xml:space="preserve"> enacted by the military </w:t>
      </w:r>
    </w:p>
    <w:p w14:paraId="3B31C1C0">
      <w:pPr>
        <w:pStyle w:val="24"/>
        <w:ind w:left="720"/>
        <w:jc w:val="both"/>
        <w:rPr>
          <w:rFonts w:ascii="Times New Roman" w:hAnsi="Times New Roman" w:cs="Times New Roman"/>
          <w:lang w:val="en-GB"/>
        </w:rPr>
      </w:pPr>
      <w:r>
        <w:rPr>
          <w:rFonts w:ascii="Times New Roman" w:hAnsi="Times New Roman" w:cs="Times New Roman"/>
        </w:rPr>
        <w:t>Government, it was deemed a law in force (an Act of the National Assembly) by </w:t>
      </w:r>
      <w:r>
        <w:rPr>
          <w:rFonts w:ascii="Times New Roman" w:hAnsi="Times New Roman" w:cs="Times New Roman"/>
          <w:i/>
          <w:iCs/>
        </w:rPr>
        <w:t>section 315, 1999 Constitution of the Federal Republic of Nigeria (1999 Constitution)</w:t>
      </w:r>
      <w:r>
        <w:rPr>
          <w:rFonts w:ascii="Times New Roman" w:hAnsi="Times New Roman" w:cs="Times New Roman"/>
        </w:rPr>
        <w:t>.</w:t>
      </w:r>
    </w:p>
  </w:footnote>
  <w:footnote w:id="209">
    <w:p w14:paraId="597874E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i/>
        </w:rPr>
        <w:t xml:space="preserve">Uyo </w:t>
      </w:r>
      <w:r>
        <w:rPr>
          <w:rFonts w:ascii="Times New Roman" w:hAnsi="Times New Roman" w:cs="Times New Roman"/>
          <w:i/>
          <w:iCs/>
        </w:rPr>
        <w:t>Local Government</w:t>
      </w:r>
      <w:r>
        <w:rPr>
          <w:i/>
        </w:rPr>
        <w:t xml:space="preserve"> Council v. Akwa Ibom SG &amp; Anor,</w:t>
      </w:r>
      <w:r>
        <w:rPr>
          <w:rFonts w:ascii="Times New Roman" w:hAnsi="Times New Roman" w:cs="Times New Roman"/>
        </w:rPr>
        <w:t xml:space="preserve"> (2020) LPELR-49691 (CA), The CA ruled that </w:t>
      </w:r>
    </w:p>
    <w:p w14:paraId="7D298B6B">
      <w:pPr>
        <w:pStyle w:val="24"/>
        <w:ind w:left="720"/>
        <w:jc w:val="both"/>
        <w:rPr>
          <w:rFonts w:ascii="Times New Roman" w:hAnsi="Times New Roman"/>
        </w:rPr>
      </w:pPr>
      <w:r>
        <w:rPr>
          <w:rFonts w:ascii="Times New Roman" w:hAnsi="Times New Roman" w:cs="Times New Roman"/>
        </w:rPr>
        <w:t>the Taxes and levies (approved list for collection) Act offended the supremacy clause of the 1999 Constitution. The CA unanimously held that “</w:t>
      </w:r>
      <w:r>
        <w:rPr>
          <w:rFonts w:ascii="Times New Roman" w:hAnsi="Times New Roman" w:cs="Times New Roman"/>
          <w:i/>
          <w:iCs/>
        </w:rPr>
        <w:t>nothing can operate to save any part of the Act</w:t>
      </w:r>
      <w:r>
        <w:rPr>
          <w:rFonts w:ascii="Times New Roman" w:hAnsi="Times New Roman" w:cs="Times New Roman"/>
        </w:rPr>
        <w:t>”, as it begins “</w:t>
      </w:r>
      <w:r>
        <w:rPr>
          <w:rFonts w:ascii="Times New Roman" w:hAnsi="Times New Roman" w:cs="Times New Roman"/>
          <w:i/>
          <w:iCs/>
        </w:rPr>
        <w:t>with a clause that undermines the supremacy of the Constitution.</w:t>
      </w:r>
      <w:r>
        <w:rPr>
          <w:rFonts w:ascii="Times New Roman" w:hAnsi="Times New Roman" w:cs="Times New Roman"/>
        </w:rPr>
        <w:t>” “... </w:t>
      </w:r>
      <w:r>
        <w:rPr>
          <w:rFonts w:ascii="Times New Roman" w:hAnsi="Times New Roman" w:cs="Times New Roman"/>
          <w:i/>
          <w:iCs/>
        </w:rPr>
        <w:t>The virus in the introductory clause of the Act has infested the entire Act and thereby rendering it unconstitutional”.</w:t>
      </w:r>
    </w:p>
  </w:footnote>
  <w:footnote w:id="210">
    <w:p w14:paraId="3DD68F5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[2006] 16 NWLR (Pt. 1005) 265 at 381, para-E.</w:t>
      </w:r>
    </w:p>
  </w:footnote>
  <w:footnote w:id="211">
    <w:p w14:paraId="6B45E607">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 xml:space="preserve">Customs duties, Excise duties, Export duties and Stamp duties. These 4, in addition to Companies’ </w:t>
      </w:r>
    </w:p>
    <w:p w14:paraId="73968A2F">
      <w:pPr>
        <w:pStyle w:val="24"/>
        <w:ind w:firstLine="720"/>
        <w:jc w:val="both"/>
        <w:rPr>
          <w:rFonts w:ascii="Times New Roman" w:hAnsi="Times New Roman" w:cs="Times New Roman"/>
        </w:rPr>
      </w:pPr>
      <w:r>
        <w:rPr>
          <w:rFonts w:ascii="Times New Roman" w:hAnsi="Times New Roman" w:cs="Times New Roman"/>
          <w:bCs/>
          <w:iCs/>
        </w:rPr>
        <w:t>Income Tax and Petroleum Profits Tax are administered by the FG through its revenue agencies.</w:t>
      </w:r>
    </w:p>
  </w:footnote>
  <w:footnote w:id="212">
    <w:p w14:paraId="71401FC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1984 S.C.20; (1985) 1 NWLR (PT. 3) 395. The principle of the division of legislative powers of </w:t>
      </w:r>
    </w:p>
    <w:p w14:paraId="441065D2">
      <w:pPr>
        <w:pStyle w:val="24"/>
        <w:ind w:left="720"/>
        <w:jc w:val="both"/>
        <w:rPr>
          <w:rFonts w:ascii="Times New Roman" w:hAnsi="Times New Roman" w:cs="Times New Roman"/>
        </w:rPr>
      </w:pPr>
      <w:r>
        <w:rPr>
          <w:rFonts w:ascii="Times New Roman" w:hAnsi="Times New Roman" w:cs="Times New Roman"/>
        </w:rPr>
        <w:t>Government enshrined in “the Constitution” of the Federal Republic of Nigeria 1979, as the basis of the dispute. It is pertinent to observe that this case was decided before the Constitution was amended and modified by Constitution (Suspension and Modification) Decree 1984 No. 1.</w:t>
      </w:r>
    </w:p>
  </w:footnote>
  <w:footnote w:id="213">
    <w:p w14:paraId="441EF03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Local Government Councils also contribute to the confusion as they seek to legislate on activities and </w:t>
      </w:r>
    </w:p>
    <w:p w14:paraId="71F37B3F">
      <w:pPr>
        <w:pStyle w:val="24"/>
        <w:ind w:firstLine="720"/>
        <w:jc w:val="both"/>
        <w:rPr>
          <w:rFonts w:ascii="Times New Roman" w:hAnsi="Times New Roman" w:cs="Times New Roman"/>
        </w:rPr>
      </w:pPr>
      <w:r>
        <w:rPr>
          <w:rFonts w:ascii="Times New Roman" w:hAnsi="Times New Roman" w:cs="Times New Roman"/>
        </w:rPr>
        <w:t>functions provided under the 1999 Constitution.</w:t>
      </w:r>
    </w:p>
  </w:footnote>
  <w:footnote w:id="214">
    <w:p w14:paraId="24CC2257">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vertAlign w:val="superscript"/>
        </w:rPr>
        <w:t xml:space="preserve"> </w:t>
      </w:r>
      <w:r>
        <w:rPr>
          <w:rFonts w:ascii="Times New Roman" w:hAnsi="Times New Roman" w:cs="Times New Roman"/>
        </w:rPr>
        <w:tab/>
      </w:r>
      <w:r>
        <w:rPr>
          <w:rFonts w:ascii="Times New Roman" w:hAnsi="Times New Roman" w:cs="Times New Roman"/>
        </w:rPr>
        <w:t>Olumuyiwa Adeyemo, A Guide to the Taxation of Oil Companies in Nigeria’ (1st edition, Routledge 2007).</w:t>
      </w:r>
    </w:p>
  </w:footnote>
  <w:footnote w:id="215">
    <w:p w14:paraId="464E2039">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midstream oil and gas operations or activities include the processing, storing, transporting, and marketing of </w:t>
      </w:r>
      <w:r>
        <w:rPr>
          <w:rFonts w:ascii="Times New Roman" w:hAnsi="Times New Roman" w:cs="Times New Roman"/>
          <w:bCs/>
        </w:rPr>
        <w:t>oil</w:t>
      </w:r>
      <w:r>
        <w:rPr>
          <w:rFonts w:ascii="Times New Roman" w:hAnsi="Times New Roman" w:cs="Times New Roman"/>
        </w:rPr>
        <w:t xml:space="preserve">, natural </w:t>
      </w:r>
      <w:r>
        <w:rPr>
          <w:rFonts w:ascii="Times New Roman" w:hAnsi="Times New Roman" w:cs="Times New Roman"/>
          <w:bCs/>
        </w:rPr>
        <w:t>gas</w:t>
      </w:r>
      <w:r>
        <w:rPr>
          <w:rFonts w:ascii="Times New Roman" w:hAnsi="Times New Roman" w:cs="Times New Roman"/>
        </w:rPr>
        <w:t xml:space="preserve"> and natural </w:t>
      </w:r>
      <w:r>
        <w:rPr>
          <w:rFonts w:ascii="Times New Roman" w:hAnsi="Times New Roman" w:cs="Times New Roman"/>
          <w:bCs/>
        </w:rPr>
        <w:t>gas</w:t>
      </w:r>
      <w:r>
        <w:rPr>
          <w:rFonts w:ascii="Times New Roman" w:hAnsi="Times New Roman" w:cs="Times New Roman"/>
        </w:rPr>
        <w:t xml:space="preserve"> liquids.</w:t>
      </w:r>
    </w:p>
  </w:footnote>
  <w:footnote w:id="216">
    <w:p w14:paraId="3E370286">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Section 2 of the PPTA defines petroleum operations for the purposes of upstream petroleum operations</w:t>
      </w:r>
    </w:p>
    <w:p w14:paraId="5F68A405">
      <w:pPr>
        <w:pStyle w:val="24"/>
        <w:ind w:firstLine="720"/>
        <w:jc w:val="both"/>
        <w:rPr>
          <w:rFonts w:ascii="Times New Roman" w:hAnsi="Times New Roman" w:cs="Times New Roman"/>
        </w:rPr>
      </w:pPr>
      <w:r>
        <w:rPr>
          <w:rFonts w:ascii="Times New Roman" w:hAnsi="Times New Roman" w:cs="Times New Roman"/>
          <w:bCs/>
          <w:iCs/>
        </w:rPr>
        <w:t xml:space="preserve">as consisting of exploration, development and production of oil and gas hydrocarbon. </w:t>
      </w:r>
    </w:p>
  </w:footnote>
  <w:footnote w:id="217">
    <w:p w14:paraId="4C694FBF">
      <w:pPr>
        <w:pStyle w:val="24"/>
        <w:ind w:left="720" w:hanging="720"/>
        <w:jc w:val="both"/>
        <w:rPr>
          <w:rFonts w:ascii="Times New Roman" w:hAnsi="Times New Roman" w:cs="Times New Roman"/>
          <w: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Southern Atlantic Petroleum Limited v Minister of Petroleum Resources</w:t>
      </w:r>
      <w:r>
        <w:rPr>
          <w:rFonts w:ascii="Times New Roman" w:hAnsi="Times New Roman" w:cs="Times New Roman"/>
        </w:rPr>
        <w:t xml:space="preserve"> NOGC 6 [2007-2008] 245 CA</w:t>
      </w:r>
      <w:r>
        <w:rPr>
          <w:rFonts w:ascii="Times New Roman" w:hAnsi="Times New Roman" w:cs="Times New Roman"/>
          <w:b/>
        </w:rPr>
        <w:t>.</w:t>
      </w:r>
    </w:p>
  </w:footnote>
  <w:footnote w:id="218">
    <w:p w14:paraId="7F253CDB">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NOGC 1 [1961 -1995] 205 CA</w:t>
      </w:r>
      <w:r>
        <w:rPr>
          <w:rFonts w:ascii="Times New Roman" w:hAnsi="Times New Roman" w:cs="Times New Roman"/>
          <w:b/>
        </w:rPr>
        <w:t>.</w:t>
      </w:r>
    </w:p>
  </w:footnote>
  <w:footnote w:id="219">
    <w:p w14:paraId="529CA20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 citizen may well be an individual, whereas the PPTA provides that only incorporated companies may be</w:t>
      </w:r>
    </w:p>
    <w:p w14:paraId="5E00EC23">
      <w:pPr>
        <w:pStyle w:val="24"/>
        <w:ind w:firstLine="720"/>
        <w:jc w:val="both"/>
        <w:rPr>
          <w:rFonts w:ascii="Times New Roman" w:hAnsi="Times New Roman" w:cs="Times New Roman"/>
        </w:rPr>
      </w:pPr>
      <w:r>
        <w:rPr>
          <w:rFonts w:ascii="Times New Roman" w:hAnsi="Times New Roman" w:cs="Times New Roman"/>
        </w:rPr>
        <w:t xml:space="preserve"> granted licenses to carry out petroleum operations.</w:t>
      </w:r>
    </w:p>
  </w:footnote>
  <w:footnote w:id="220">
    <w:p w14:paraId="646FF5B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PPTA / PA licensing framework which focused on oil created a gap especially with respect to title to </w:t>
      </w:r>
    </w:p>
    <w:p w14:paraId="4878ABE4">
      <w:pPr>
        <w:pStyle w:val="24"/>
        <w:jc w:val="both"/>
        <w:rPr>
          <w:rFonts w:ascii="Times New Roman" w:hAnsi="Times New Roman" w:cs="Times New Roman"/>
          <w:bCs/>
        </w:rPr>
      </w:pPr>
      <w:r>
        <w:rPr>
          <w:rFonts w:ascii="Times New Roman" w:hAnsi="Times New Roman" w:cs="Times New Roman"/>
          <w:lang w:val="en-GB"/>
        </w:rPr>
        <w:tab/>
      </w:r>
      <w:r>
        <w:rPr>
          <w:rFonts w:ascii="Times New Roman" w:hAnsi="Times New Roman" w:cs="Times New Roman"/>
        </w:rPr>
        <w:t xml:space="preserve">the gas discovered, contributed to the uncertainty of petroleum operations generally, which the framework </w:t>
      </w:r>
      <w:r>
        <w:rPr>
          <w:rFonts w:ascii="Times New Roman" w:hAnsi="Times New Roman" w:cs="Times New Roman"/>
          <w:lang w:val="en-GB"/>
        </w:rPr>
        <w:tab/>
      </w:r>
      <w:r>
        <w:rPr>
          <w:rFonts w:ascii="Times New Roman" w:hAnsi="Times New Roman" w:cs="Times New Roman"/>
        </w:rPr>
        <w:t xml:space="preserve">under the PIA, 2021 has attempted to address. </w:t>
      </w:r>
    </w:p>
    <w:p w14:paraId="5867186D">
      <w:pPr>
        <w:pStyle w:val="24"/>
        <w:ind w:left="720" w:firstLine="48"/>
        <w:jc w:val="both"/>
        <w:rPr>
          <w:rFonts w:ascii="Times New Roman" w:hAnsi="Times New Roman" w:cs="Times New Roman"/>
          <w:bCs/>
        </w:rPr>
      </w:pPr>
      <w:r>
        <w:rPr>
          <w:rFonts w:ascii="Times New Roman" w:hAnsi="Times New Roman" w:cs="Times New Roman"/>
          <w:bCs/>
        </w:rPr>
        <w:t xml:space="preserve"> </w:t>
      </w:r>
    </w:p>
  </w:footnote>
  <w:footnote w:id="221">
    <w:p w14:paraId="0620FC32">
      <w:pPr>
        <w:pStyle w:val="24"/>
        <w:ind w:left="720" w:hanging="720"/>
        <w:jc w:val="both"/>
        <w:rPr>
          <w:rFonts w:ascii="Times New Roman" w:hAnsi="Times New Roman" w:cs="Times New Roman"/>
          <w:b/>
        </w:rPr>
      </w:pPr>
      <w:r>
        <w:rPr>
          <w:rStyle w:val="23"/>
          <w:rFonts w:ascii="Times New Roman" w:hAnsi="Times New Roman" w:cs="Times New Roman"/>
          <w:bCs/>
        </w:rPr>
        <w:footnoteRef/>
      </w:r>
      <w:r>
        <w:rPr>
          <w:rFonts w:ascii="Times New Roman" w:hAnsi="Times New Roman" w:cs="Times New Roman"/>
          <w:bCs/>
        </w:rPr>
        <w:t xml:space="preserve"> </w:t>
      </w:r>
      <w:r>
        <w:rPr>
          <w:rFonts w:ascii="Times New Roman" w:hAnsi="Times New Roman" w:cs="Times New Roman"/>
          <w:b/>
        </w:rPr>
        <w:t xml:space="preserve">       </w:t>
      </w:r>
      <w:r>
        <w:rPr>
          <w:rFonts w:ascii="Times New Roman" w:hAnsi="Times New Roman" w:cs="Times New Roman"/>
        </w:rPr>
        <w:tab/>
      </w:r>
      <w:r>
        <w:rPr>
          <w:rFonts w:ascii="Times New Roman" w:hAnsi="Times New Roman" w:cs="Times New Roman"/>
        </w:rPr>
        <w:t>Section 15(1) PA and PPTA s 2.</w:t>
      </w:r>
    </w:p>
  </w:footnote>
  <w:footnote w:id="222">
    <w:p w14:paraId="3A77C18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licensing regime, grants the licensee the right to operate and the title to hydrocarbons discovered in line </w:t>
      </w:r>
    </w:p>
    <w:p w14:paraId="3C8408F4">
      <w:pPr>
        <w:pStyle w:val="24"/>
        <w:ind w:left="720"/>
        <w:jc w:val="both"/>
        <w:rPr>
          <w:rFonts w:ascii="Times New Roman" w:hAnsi="Times New Roman" w:cs="Times New Roman"/>
        </w:rPr>
      </w:pPr>
      <w:r>
        <w:rPr>
          <w:rFonts w:ascii="Times New Roman" w:hAnsi="Times New Roman" w:cs="Times New Roman"/>
        </w:rPr>
        <w:t xml:space="preserve">with the terms of the license and extant law, whilst the FG receives royalties and taxes in compensation for the use of the resource by the investor and retains </w:t>
      </w:r>
      <w:r>
        <w:rPr>
          <w:rFonts w:ascii="Times New Roman" w:hAnsi="Times New Roman" w:cs="Times New Roman"/>
          <w:bCs/>
          <w:iCs/>
          <w:lang w:val="en-GB"/>
        </w:rPr>
        <w:t xml:space="preserve">the reversionary rights in the Licence. </w:t>
      </w:r>
    </w:p>
  </w:footnote>
  <w:footnote w:id="223">
    <w:p w14:paraId="30585A59">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Oladele Oladunjoye ‘Incorporated Joint Ventures in the Nigerian Petroleum Industry: Examining the Legal Implications &amp; Regulatory Risks’ (2013) 11(2) </w:t>
      </w:r>
      <w:r>
        <w:rPr>
          <w:rFonts w:ascii="Times New Roman" w:hAnsi="Times New Roman" w:cs="Times New Roman"/>
          <w:i/>
        </w:rPr>
        <w:t>Oil, Gas &amp; Energy Law Intelligence</w:t>
      </w:r>
      <w:r>
        <w:rPr>
          <w:rFonts w:ascii="Times New Roman" w:hAnsi="Times New Roman" w:cs="Times New Roman"/>
        </w:rPr>
        <w:t xml:space="preserve"> 1-12; Sani Saidu and Hamidu Sadiq ‘Production Sharing or Joint Venturing: What Is the Optimum Petroleum Contractual Arrangement for the Exploitation of Nigeria Oil and Gas?’ (2014) 2(2) </w:t>
      </w:r>
      <w:r>
        <w:rPr>
          <w:rFonts w:ascii="Times New Roman" w:hAnsi="Times New Roman" w:cs="Times New Roman"/>
          <w:i/>
        </w:rPr>
        <w:t xml:space="preserve">Journal of Business and Management Sciences </w:t>
      </w:r>
      <w:r>
        <w:rPr>
          <w:rFonts w:ascii="Times New Roman" w:hAnsi="Times New Roman" w:cs="Times New Roman"/>
        </w:rPr>
        <w:t>35-44</w:t>
      </w:r>
    </w:p>
  </w:footnote>
  <w:footnote w:id="224">
    <w:p w14:paraId="488EDCC7">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ab/>
      </w:r>
      <w:r>
        <w:rPr>
          <w:rFonts w:ascii="Times New Roman" w:hAnsi="Times New Roman" w:cs="Times New Roman"/>
        </w:rPr>
        <w:t xml:space="preserve">Ernest Smith ‘From Concessions to Service Contracts’ (1992) 27 (4) </w:t>
      </w:r>
      <w:r>
        <w:rPr>
          <w:rFonts w:ascii="Times New Roman" w:hAnsi="Times New Roman" w:cs="Times New Roman"/>
          <w:i/>
        </w:rPr>
        <w:t>Tulsa Law Journal</w:t>
      </w:r>
      <w:r>
        <w:rPr>
          <w:rFonts w:ascii="Times New Roman" w:hAnsi="Times New Roman" w:cs="Times New Roman"/>
        </w:rPr>
        <w:t xml:space="preserve"> 493; Taiwo Ogunleye ‘A Legal Analysis of Production Sharing Contract Arrangements in the Nigerian Petroleum Industry’ (2015) 5(8) </w:t>
      </w:r>
      <w:r>
        <w:rPr>
          <w:rFonts w:ascii="Times New Roman" w:hAnsi="Times New Roman" w:cs="Times New Roman"/>
          <w:i/>
        </w:rPr>
        <w:t>Journal of Energy Technologies and Policy</w:t>
      </w:r>
      <w:r>
        <w:rPr>
          <w:rFonts w:ascii="Times New Roman" w:hAnsi="Times New Roman" w:cs="Times New Roman"/>
        </w:rPr>
        <w:t xml:space="preserve"> 1-10; Rob Pitman and Anne Chinweze ‘The Case for Publishing Petroleum Contracts in Nigeria’ (Natural Resource Governance Institute, New York, USA, March 2018) </w:t>
      </w:r>
    </w:p>
  </w:footnote>
  <w:footnote w:id="225">
    <w:p w14:paraId="2BB88CF8">
      <w:pPr>
        <w:pStyle w:val="24"/>
        <w:ind w:left="720" w:hanging="72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rPr>
        <w:t xml:space="preserve">Joseph Aigboduwa and Michael Oisamoje ‘Promoting Small and Medium Enterprises in the Nigerian Oil and Gas Industry’ (2013) 9(1) </w:t>
      </w:r>
      <w:r>
        <w:rPr>
          <w:rFonts w:ascii="Times New Roman" w:hAnsi="Times New Roman" w:cs="Times New Roman"/>
          <w:i/>
          <w:iCs/>
        </w:rPr>
        <w:t>European Scientific Journal</w:t>
      </w:r>
      <w:r>
        <w:rPr>
          <w:rFonts w:ascii="Times New Roman" w:hAnsi="Times New Roman" w:cs="Times New Roman"/>
        </w:rPr>
        <w:t xml:space="preserve"> 244-261; Taiwo Ogunleye ‘A Legal Analysis of Production Sharing Contract Arrangements in the Nigerian Petroleum Industry’ (2015) 5(8) </w:t>
      </w:r>
      <w:r>
        <w:rPr>
          <w:rFonts w:ascii="Times New Roman" w:hAnsi="Times New Roman" w:cs="Times New Roman"/>
          <w:i/>
        </w:rPr>
        <w:t>Journal of Energy Technologies and Policy</w:t>
      </w:r>
      <w:r>
        <w:rPr>
          <w:rFonts w:ascii="Times New Roman" w:hAnsi="Times New Roman" w:cs="Times New Roman"/>
        </w:rPr>
        <w:t xml:space="preserve"> 1-11; Abbas Ghandi and Cynthia Lin ‘Oil and Gas Service Contracts around the World: A Review” (University of California, United States, 2013) 1-17; Helen Obioma and Onyi-Gelle ‘National Participation in the Nigeria Oil and Gas Industry: Prospects and Challenges’ (2016) 7(2) </w:t>
      </w:r>
      <w:r>
        <w:rPr>
          <w:rFonts w:ascii="Times New Roman" w:hAnsi="Times New Roman" w:cs="Times New Roman"/>
          <w:i/>
        </w:rPr>
        <w:t>Journal of Emerging Trends in Educational Research and Policy Studies</w:t>
      </w:r>
      <w:r>
        <w:rPr>
          <w:rFonts w:ascii="Times New Roman" w:hAnsi="Times New Roman" w:cs="Times New Roman"/>
        </w:rPr>
        <w:t xml:space="preserve"> (JETERAPS) 134-144</w:t>
      </w:r>
    </w:p>
  </w:footnote>
  <w:footnote w:id="226">
    <w:p w14:paraId="6204D54B">
      <w:pPr>
        <w:pStyle w:val="24"/>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NNPC was established in 1977, with the vision of </w:t>
      </w:r>
      <w:r>
        <w:rPr>
          <w:rFonts w:ascii="Times New Roman" w:hAnsi="Times New Roman" w:cs="Times New Roman"/>
          <w:bCs/>
          <w:iCs/>
        </w:rPr>
        <w:t xml:space="preserve">“being a world class oil and gas company driven by </w:t>
      </w:r>
    </w:p>
    <w:p w14:paraId="6E7777DC">
      <w:pPr>
        <w:pStyle w:val="24"/>
        <w:ind w:firstLine="720"/>
        <w:rPr>
          <w:rFonts w:ascii="Times New Roman" w:hAnsi="Times New Roman" w:cs="Times New Roman"/>
          <w:iCs/>
        </w:rPr>
      </w:pPr>
      <w:r>
        <w:rPr>
          <w:rFonts w:ascii="Times New Roman" w:hAnsi="Times New Roman" w:cs="Times New Roman"/>
          <w:bCs/>
          <w:iCs/>
        </w:rPr>
        <w:t>shared commitment”.</w:t>
      </w:r>
    </w:p>
  </w:footnote>
  <w:footnote w:id="227">
    <w:p w14:paraId="783E160D">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Royal Dutch Shell (British/Dutch)- later to transform to Shell Petroleum Development Company of Nigeria Limited (SPDC), usually known simply as Shell. Shell operates in Nigeria principally through Shell Petroleum Development Company (SPDC) and Shell Nigeria Exploration and Production Company (SNEPCO), Shell Nigeria Gas (SNG), Shell holds a major stake in Nigeria Liquified Natural Gas (NLNG). Shell’s offshore productions sharing contract operations are operated through Shell Nigeria Exploration and Production Company (SNEPCO).   </w:t>
      </w:r>
    </w:p>
    <w:p w14:paraId="00E0D68E">
      <w:pPr>
        <w:pStyle w:val="24"/>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Chevron Nigeria Limited (CNL): A joint venture between NNPC (60%) and Chevron (40%) has in the past been the second largest producer (approximately 400,000 barrels per day (64,000 cubic metres per day)), with fields located in the Warri region west of the Niger river and offshore in shallow water, and both Shell and Chevron have been overtaken in size of production with the merger of  Esso and Mobil, now referred to  as </w:t>
      </w:r>
      <w:r>
        <w:fldChar w:fldCharType="begin"/>
      </w:r>
      <w:r>
        <w:instrText xml:space="preserve"> HYPERLINK "https://en.wikipedia.org/wiki/Exxon-Mobil" \o "Exxon-Mobil" </w:instrText>
      </w:r>
      <w:r>
        <w:fldChar w:fldCharType="separate"/>
      </w:r>
      <w:r>
        <w:rPr>
          <w:rStyle w:val="27"/>
          <w:rFonts w:ascii="Times New Roman" w:hAnsi="Times New Roman" w:cs="Times New Roman"/>
          <w:u w:val="none"/>
        </w:rPr>
        <w:t>ExxonMobil</w:t>
      </w:r>
      <w:r>
        <w:rPr>
          <w:rStyle w:val="27"/>
          <w:rFonts w:ascii="Times New Roman" w:hAnsi="Times New Roman" w:cs="Times New Roman"/>
          <w:u w:val="none"/>
        </w:rPr>
        <w:fldChar w:fldCharType="end"/>
      </w:r>
      <w:r>
        <w:rPr>
          <w:rStyle w:val="27"/>
          <w:rFonts w:ascii="Times New Roman" w:hAnsi="Times New Roman" w:cs="Times New Roman"/>
          <w:u w:val="none"/>
        </w:rPr>
        <w:t>.</w:t>
      </w:r>
      <w:r>
        <w:rPr>
          <w:rFonts w:ascii="Times New Roman" w:hAnsi="Times New Roman" w:cs="Times New Roman"/>
        </w:rPr>
        <w:t xml:space="preserve"> A joint venture between the NNPC (60%) and ExxonMobil (40%) operates in shallow water off Akwa-Ibom State in the Southeastern delta and averaged production of 632,000 barrels per day (100,500 cubic metres per day) in 1997. There are also the NNPC/</w:t>
      </w:r>
      <w:r>
        <w:fldChar w:fldCharType="begin"/>
      </w:r>
      <w:r>
        <w:instrText xml:space="preserve"> HYPERLINK "https://en.wikipedia.org/wiki/Agip" \o "Agip" </w:instrText>
      </w:r>
      <w:r>
        <w:fldChar w:fldCharType="separate"/>
      </w:r>
      <w:r>
        <w:rPr>
          <w:rStyle w:val="27"/>
          <w:rFonts w:ascii="Times New Roman" w:hAnsi="Times New Roman" w:cs="Times New Roman"/>
          <w:u w:val="none"/>
        </w:rPr>
        <w:t>Agip</w:t>
      </w:r>
      <w:r>
        <w:rPr>
          <w:rStyle w:val="27"/>
          <w:rFonts w:ascii="Times New Roman" w:hAnsi="Times New Roman" w:cs="Times New Roman"/>
          <w:u w:val="none"/>
        </w:rPr>
        <w:fldChar w:fldCharType="end"/>
      </w:r>
      <w:r>
        <w:rPr>
          <w:rFonts w:ascii="Times New Roman" w:hAnsi="Times New Roman" w:cs="Times New Roman"/>
        </w:rPr>
        <w:t xml:space="preserve"> (Italian) Nigerian Agip Oil Company Limited (NAOC) joint venture operated by Agip and the NNPC/Total (French),Total Petroleum Nigeria Limited (TPNL) joint venture. </w:t>
      </w:r>
    </w:p>
  </w:footnote>
  <w:footnote w:id="228">
    <w:p w14:paraId="4C93B35E">
      <w:pPr>
        <w:pStyle w:val="24"/>
        <w:ind w:left="720" w:hanging="720"/>
        <w:jc w:val="both"/>
        <w:rPr>
          <w:rStyle w:val="23"/>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 Petroleum Act 2004.</w:t>
      </w:r>
    </w:p>
  </w:footnote>
  <w:footnote w:id="229">
    <w:p w14:paraId="2B7A4636">
      <w:pPr>
        <w:pStyle w:val="24"/>
        <w:ind w:left="720" w:hanging="720"/>
        <w:jc w:val="both"/>
        <w:rPr>
          <w:rFonts w:ascii="Times New Roman" w:hAnsi="Times New Roman" w:cs="Times New Roman"/>
          <w:lang w:val="e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lang w:val="en"/>
        </w:rPr>
        <w:t xml:space="preserve">The number of PSC arrangements has increased since then as the FG, through its agency the NNPC, has signed PSCs with several other oil companies like Shell, BP-Statoil, Esso, Elf and Conoco. PSCs came into being due to government funding constraints, high geologic risk in Deep Water and Inland Basins, redirection of scarce resources, retention of title to concessions and drive to increase reserve base. These led to the introduction of the post-1993 variant of the PSC arrangement for all new acreages and in the deep offshore.. </w:t>
      </w:r>
    </w:p>
  </w:footnote>
  <w:footnote w:id="230">
    <w:p w14:paraId="0CE455B8">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201 – 500 meters water depth ……………………………………….12% </w:t>
      </w:r>
    </w:p>
    <w:p w14:paraId="2EB92DFD">
      <w:pPr>
        <w:pStyle w:val="24"/>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501 – 800 meters water depth ……………………………………….. 8% </w:t>
      </w:r>
    </w:p>
    <w:p w14:paraId="11261AF4">
      <w:pPr>
        <w:pStyle w:val="24"/>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801 – 1000 meters water depth ……………………………………… 4% </w:t>
      </w:r>
    </w:p>
    <w:p w14:paraId="7DE4C686">
      <w:pPr>
        <w:pStyle w:val="24"/>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Beyond 1000 meters water depth …………………………………… 0% </w:t>
      </w:r>
    </w:p>
    <w:p w14:paraId="4CA0F23F">
      <w:pPr>
        <w:pStyle w:val="24"/>
        <w:ind w:left="720" w:hanging="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Inland basin water depth ……………………………………………   10% </w:t>
      </w:r>
    </w:p>
    <w:p w14:paraId="557A468F">
      <w:pPr>
        <w:pStyle w:val="24"/>
        <w:ind w:left="720"/>
        <w:jc w:val="both"/>
        <w:rPr>
          <w:rFonts w:ascii="Times New Roman" w:hAnsi="Times New Roman" w:cs="Times New Roman"/>
        </w:rPr>
      </w:pPr>
      <w:r>
        <w:rPr>
          <w:rFonts w:ascii="Times New Roman" w:hAnsi="Times New Roman" w:cs="Times New Roman"/>
        </w:rPr>
        <w:t xml:space="preserve">Note change to Royalty rates introduced by the Finance Act Amending s.16 of the PSC Act, </w:t>
      </w:r>
    </w:p>
  </w:footnote>
  <w:footnote w:id="231">
    <w:p w14:paraId="4EF1B676">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With respect to Marginal Fields, which are fields discovered by the multinational IOC’s but left unattended</w:t>
      </w:r>
    </w:p>
    <w:p w14:paraId="29F1B6E4">
      <w:pPr>
        <w:pStyle w:val="24"/>
        <w:ind w:left="720" w:firstLine="48"/>
        <w:jc w:val="both"/>
        <w:rPr>
          <w:rFonts w:ascii="Times New Roman" w:hAnsi="Times New Roman" w:cs="Times New Roman"/>
        </w:rPr>
      </w:pPr>
      <w:r>
        <w:rPr>
          <w:rFonts w:ascii="Times New Roman" w:hAnsi="Times New Roman" w:cs="Times New Roman"/>
          <w:bCs/>
        </w:rPr>
        <w:t>for a period not less than 10 years, this is compulsorily acquired and reallocated to indigenous concession holders to boost local participation in the industry.</w:t>
      </w:r>
    </w:p>
  </w:footnote>
  <w:footnote w:id="232">
    <w:p w14:paraId="3902237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 - s. 2, PPTA</w:t>
      </w:r>
    </w:p>
  </w:footnote>
  <w:footnote w:id="233">
    <w:p w14:paraId="22186A5F">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 xml:space="preserve">The Nigeria Sales Tax had a narrower base and was restricted to nine categories of goods, and services, </w:t>
      </w:r>
    </w:p>
    <w:p w14:paraId="1DB590EF">
      <w:pPr>
        <w:pStyle w:val="24"/>
        <w:ind w:left="720"/>
        <w:jc w:val="both"/>
        <w:rPr>
          <w:rFonts w:ascii="Times New Roman" w:hAnsi="Times New Roman" w:cs="Times New Roman"/>
        </w:rPr>
      </w:pPr>
      <w:r>
        <w:rPr>
          <w:rFonts w:ascii="Times New Roman" w:hAnsi="Times New Roman" w:cs="Times New Roman"/>
          <w:bCs/>
          <w:iCs/>
        </w:rPr>
        <w:t>whereas the VAT base is broader and includes most professional services and banking transactions, manufactured goods and services, and targets general consumption.</w:t>
      </w:r>
    </w:p>
  </w:footnote>
  <w:footnote w:id="234">
    <w:p w14:paraId="5985F32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VATA First Schedule </w:t>
      </w:r>
    </w:p>
  </w:footnote>
  <w:footnote w:id="235">
    <w:p w14:paraId="02CEAA5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VAT on intangibles etc. in section 4.4 of Chapter 4</w:t>
      </w:r>
    </w:p>
  </w:footnote>
  <w:footnote w:id="236">
    <w:p w14:paraId="4D6A8149">
      <w:pPr>
        <w:pStyle w:val="24"/>
        <w:jc w:val="both"/>
        <w:rPr>
          <w:rFonts w:ascii="Times New Roman" w:hAnsi="Times New Roman" w:cs="Times New Roman"/>
          <w:bCs/>
          <w:i/>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CGTA, </w:t>
      </w:r>
      <w:r>
        <w:rPr>
          <w:rFonts w:ascii="Times New Roman" w:hAnsi="Times New Roman" w:cs="Times New Roman"/>
          <w:bCs/>
          <w:iCs/>
        </w:rPr>
        <w:t xml:space="preserve">CAP C1 2004, Laws of the Federation (LFN), see also </w:t>
      </w:r>
      <w:r>
        <w:rPr>
          <w:rFonts w:ascii="Times New Roman" w:hAnsi="Times New Roman" w:cs="Times New Roman"/>
          <w:bCs/>
          <w:i/>
        </w:rPr>
        <w:t xml:space="preserve">Sahara Energy Exploration and Production </w:t>
      </w:r>
    </w:p>
    <w:p w14:paraId="09EE9CA6">
      <w:pPr>
        <w:pStyle w:val="24"/>
        <w:ind w:left="720"/>
        <w:jc w:val="both"/>
        <w:rPr>
          <w:rFonts w:ascii="Times New Roman" w:hAnsi="Times New Roman" w:cs="Times New Roman"/>
        </w:rPr>
      </w:pPr>
      <w:r>
        <w:rPr>
          <w:rFonts w:ascii="Times New Roman" w:hAnsi="Times New Roman" w:cs="Times New Roman"/>
          <w:bCs/>
          <w:i/>
        </w:rPr>
        <w:t>Limited v Federal Inland Revenue Service</w:t>
      </w:r>
      <w:r>
        <w:rPr>
          <w:rFonts w:ascii="Times New Roman" w:hAnsi="Times New Roman" w:cs="Times New Roman"/>
          <w:bCs/>
          <w:iCs/>
        </w:rPr>
        <w:t xml:space="preserve"> (Bloomberg Tax 2022) where the TAT ruled that for paragraph 1(2)(b) of the PPTA to apply, an asset must be tangible and intended for petroleum operations. The asset in question is intangible and not meant for petroleum operations and is therefore not covered by PPTA but by CGTA - which imposes CGT on capital gains on the sale of all forms of property, including incorporeal property.</w:t>
      </w:r>
    </w:p>
  </w:footnote>
  <w:footnote w:id="237">
    <w:p w14:paraId="21FC4F9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FIRS v Total E&amp;P Nigeria Limited, (FHC 2020</w:t>
      </w:r>
      <w:r>
        <w:rPr>
          <w:rFonts w:ascii="Times New Roman" w:hAnsi="Times New Roman" w:cs="Times New Roman"/>
        </w:rPr>
        <w:t xml:space="preserve">), TAT/LZ/010/2013 (unreported) delivered by the Tax </w:t>
      </w:r>
    </w:p>
    <w:p w14:paraId="223A8FD6">
      <w:pPr>
        <w:pStyle w:val="24"/>
        <w:ind w:firstLine="720"/>
        <w:jc w:val="both"/>
        <w:rPr>
          <w:rFonts w:ascii="Times New Roman" w:hAnsi="Times New Roman" w:cs="Times New Roman"/>
        </w:rPr>
      </w:pPr>
      <w:r>
        <w:rPr>
          <w:rFonts w:ascii="Times New Roman" w:hAnsi="Times New Roman" w:cs="Times New Roman"/>
        </w:rPr>
        <w:t>Appeal Tribunal sitting in Lagos on 20 March 2015.</w:t>
      </w:r>
    </w:p>
  </w:footnote>
  <w:footnote w:id="238">
    <w:p w14:paraId="3BACD54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Education Tax and the Tertiary Education Trust Fund are regulated by the Education Tax Act, CAP E4,</w:t>
      </w:r>
    </w:p>
    <w:p w14:paraId="707F5BD6">
      <w:pPr>
        <w:pStyle w:val="24"/>
        <w:ind w:left="720" w:firstLine="45"/>
        <w:jc w:val="both"/>
        <w:rPr>
          <w:rFonts w:ascii="Times New Roman" w:hAnsi="Times New Roman" w:cs="Times New Roman"/>
        </w:rPr>
      </w:pPr>
      <w:r>
        <w:rPr>
          <w:rFonts w:ascii="Times New Roman" w:hAnsi="Times New Roman" w:cs="Times New Roman"/>
        </w:rPr>
        <w:t>Laws of the Federation of Nigeria, 2004 and by the Tertiary Education Trust Fund (Establishment, Etc.) Act 2011.</w:t>
      </w:r>
    </w:p>
  </w:footnote>
  <w:footnote w:id="239">
    <w:p w14:paraId="60F3066B">
      <w:pPr>
        <w:pStyle w:val="24"/>
        <w:jc w:val="both"/>
        <w:rPr>
          <w:rFonts w:ascii="Times New Roman" w:hAnsi="Times New Roman" w:cs="Times New Roman"/>
          <w:bCs/>
          <w:sz w:val="24"/>
          <w:szCs w:val="24"/>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Niger Delta Development Commission (Establishment etc.) Act 2000, CAP N</w:t>
      </w:r>
      <w:r>
        <w:rPr>
          <w:rFonts w:ascii="Times New Roman" w:hAnsi="Times New Roman" w:cs="Times New Roman"/>
          <w:bCs/>
          <w:u w:val="single"/>
        </w:rPr>
        <w:t>o</w:t>
      </w:r>
      <w:r>
        <w:rPr>
          <w:rFonts w:ascii="Times New Roman" w:hAnsi="Times New Roman" w:cs="Times New Roman"/>
          <w:bCs/>
        </w:rPr>
        <w:t xml:space="preserve"> 6, Laws of the Federation.</w:t>
      </w:r>
      <w:r>
        <w:rPr>
          <w:rFonts w:ascii="Times New Roman" w:hAnsi="Times New Roman" w:cs="Times New Roman"/>
          <w:bCs/>
          <w:sz w:val="24"/>
          <w:szCs w:val="24"/>
        </w:rPr>
        <w:t xml:space="preserve"> </w:t>
      </w:r>
    </w:p>
    <w:p w14:paraId="664A2371">
      <w:pPr>
        <w:pStyle w:val="24"/>
        <w:ind w:left="720"/>
        <w:jc w:val="both"/>
        <w:rPr>
          <w:rFonts w:ascii="Times New Roman" w:hAnsi="Times New Roman" w:cs="Times New Roman"/>
        </w:rPr>
      </w:pPr>
      <w:r>
        <w:rPr>
          <w:rFonts w:ascii="Times New Roman" w:hAnsi="Times New Roman" w:cs="Times New Roman"/>
          <w:bCs/>
        </w:rPr>
        <w:t>It was established with the primary purpose of using the sums received from the allocation of the Federation Account (FA) to tackle ecological problems arising from oil exploration in the Niger-Delta region.</w:t>
      </w:r>
    </w:p>
  </w:footnote>
  <w:footnote w:id="240">
    <w:p w14:paraId="453E8775">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The NLCD Act establishes the Nigerian Content Monitoring Board, and the NLCD Act seeks to address the </w:t>
      </w:r>
    </w:p>
    <w:p w14:paraId="0ADF7271">
      <w:pPr>
        <w:pStyle w:val="24"/>
        <w:ind w:left="720" w:firstLine="48"/>
        <w:jc w:val="both"/>
        <w:rPr>
          <w:rFonts w:ascii="Times New Roman" w:hAnsi="Times New Roman" w:cs="Times New Roman"/>
        </w:rPr>
      </w:pPr>
      <w:r>
        <w:rPr>
          <w:rFonts w:ascii="Times New Roman" w:hAnsi="Times New Roman" w:cs="Times New Roman"/>
          <w:bCs/>
        </w:rPr>
        <w:t>absence of indigenous players involved in transactions in the petroleum industry, where about 90 percent of goods and services used are imported from overseas.</w:t>
      </w:r>
      <w:r>
        <w:rPr>
          <w:rFonts w:ascii="Times New Roman" w:hAnsi="Times New Roman" w:cs="Times New Roman"/>
          <w:bCs/>
          <w:sz w:val="24"/>
          <w:szCs w:val="24"/>
        </w:rPr>
        <w:t xml:space="preserve"> </w:t>
      </w:r>
      <w:r>
        <w:rPr>
          <w:rFonts w:ascii="Times New Roman" w:hAnsi="Times New Roman" w:cs="Times New Roman"/>
          <w:bCs/>
        </w:rPr>
        <w:t>The Act seeks to increase indigenous participation by prescribing minimum thresholds for the use of local services.</w:t>
      </w:r>
    </w:p>
  </w:footnote>
  <w:footnote w:id="241">
    <w:p w14:paraId="393611D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Wumi Iledare ‘Oil and the Future of Nigeria: Perspectives on Challenges and Strategic Actions </w:t>
      </w:r>
    </w:p>
    <w:p w14:paraId="6A577F88">
      <w:pPr>
        <w:pStyle w:val="24"/>
        <w:ind w:left="720"/>
        <w:jc w:val="both"/>
        <w:rPr>
          <w:rFonts w:ascii="Times New Roman" w:hAnsi="Times New Roman" w:cs="Times New Roman"/>
        </w:rPr>
      </w:pPr>
      <w:r>
        <w:rPr>
          <w:rFonts w:ascii="Times New Roman" w:hAnsi="Times New Roman" w:cs="Times New Roman"/>
        </w:rPr>
        <w:t xml:space="preserve">for Sustainable Economic Growth and Development’ (2007) </w:t>
      </w:r>
      <w:r>
        <w:rPr>
          <w:rFonts w:ascii="Times New Roman" w:hAnsi="Times New Roman" w:cs="Times New Roman"/>
          <w:i/>
        </w:rPr>
        <w:t>International Association for Energy Economics</w:t>
      </w:r>
      <w:r>
        <w:rPr>
          <w:rFonts w:ascii="Times New Roman" w:hAnsi="Times New Roman" w:cs="Times New Roman"/>
        </w:rPr>
        <w:t xml:space="preserve"> 21-25; Oyinpreye Apere ‘Impact of Crude Oil on Nigeria’s Fiscal Policy Formulation’ (2017) 5(3) </w:t>
      </w:r>
      <w:r>
        <w:rPr>
          <w:rFonts w:ascii="Times New Roman" w:hAnsi="Times New Roman" w:cs="Times New Roman"/>
          <w:i/>
          <w:iCs/>
        </w:rPr>
        <w:t>European Journal of Research in Social Sciences</w:t>
      </w:r>
      <w:r>
        <w:rPr>
          <w:rFonts w:ascii="Times New Roman" w:hAnsi="Times New Roman" w:cs="Times New Roman"/>
        </w:rPr>
        <w:t xml:space="preserve"> 74-83; Yinka Omorogbe ‘Fiscal Regimes’ (Nigerian Extractive Industries Transparency Initiative Civil Society Capacity Building Workshop, Presidential Hotel, Port Harcourt, Rivers State, July 2005) 1-10; Ugo Nwokeji ‘The Nigerian National Petroleum Corporation and the Development of the Nigerian Oil and Gas Industry: History, Strategies and Current Directions’ (The James A. Baker III Institute for Public Policy, Japan Petroleum Energy Center, Rice University, March 2007). 1-146; Deloitte ‘Implications of Nigeria’s Draft Petroleum Fiscal Policy’ (Deloitte Tax &amp; Regulatory Services, Akintola Williams Deloitte, Lagos, Nigeria, 29 March 2017) 1-5; PwC ‘The National Petroleum Fiscal Policy – Old Wine in a New Bottle?’ (PwC Nigeria, Lagos, Nigeria, March 2017) 1-3</w:t>
      </w:r>
    </w:p>
  </w:footnote>
  <w:footnote w:id="242">
    <w:p w14:paraId="39C46C1C">
      <w:pPr>
        <w:pStyle w:val="24"/>
        <w:ind w:left="720" w:hanging="72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ab/>
      </w:r>
      <w:r>
        <w:rPr>
          <w:rFonts w:ascii="Times New Roman" w:hAnsi="Times New Roman" w:cs="Times New Roman"/>
        </w:rPr>
        <w:t>Adam Smith, The Wealth of Nations (Thrifty Books) pp 593-594: “</w:t>
      </w:r>
      <w:r>
        <w:rPr>
          <w:rFonts w:ascii="Times New Roman" w:hAnsi="Times New Roman" w:cs="Times New Roman"/>
          <w:bCs/>
        </w:rPr>
        <w:t>The subjects of every State ought to contribute towards the support of the government, as nearly as possible, in proportion to their respective abilities; that is in proportion to the revenue which they respectively enjoy under the protection of the State”</w:t>
      </w:r>
      <w:r>
        <w:rPr>
          <w:rFonts w:ascii="Times New Roman" w:hAnsi="Times New Roman" w:cs="Times New Roman"/>
        </w:rPr>
        <w:t>.</w:t>
      </w:r>
    </w:p>
  </w:footnote>
  <w:footnote w:id="243">
    <w:p w14:paraId="3F7430A2">
      <w:pPr>
        <w:pStyle w:val="24"/>
        <w:ind w:left="720" w:hanging="72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Richard Bird and Scott Wilkie ‘Designing Tax Policy: Constraints and Objectives in an Open Economy’ (International Center for Public Policy Working Paper 12-24, International Center for Public Policy, Andrew Young School of Policy Studies, Georgia State University Atlanta, Georgia, United States of America, 2012) 1- 44.</w:t>
      </w:r>
    </w:p>
  </w:footnote>
  <w:footnote w:id="244">
    <w:p w14:paraId="677A951C">
      <w:pPr>
        <w:pStyle w:val="24"/>
        <w:ind w:left="720" w:hanging="720"/>
        <w:jc w:val="both"/>
        <w:rPr>
          <w:rFonts w:ascii="Times New Roman" w:hAnsi="Times New Roman"/>
          <w:color w:val="FF0000"/>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ab/>
      </w:r>
      <w:r>
        <w:rPr>
          <w:rFonts w:ascii="Times New Roman" w:hAnsi="Times New Roman" w:cs="Times New Roman"/>
        </w:rPr>
        <w:t xml:space="preserve">Ibid. 37, </w:t>
      </w:r>
      <w:r>
        <w:rPr>
          <w:rFonts w:ascii="Times New Roman" w:hAnsi="Times New Roman"/>
        </w:rPr>
        <w:t xml:space="preserve">Jeffrey Owens </w:t>
      </w:r>
      <w:r>
        <w:rPr>
          <w:rFonts w:ascii="Times New Roman" w:hAnsi="Times New Roman" w:cs="Times New Roman"/>
        </w:rPr>
        <w:t>(‘</w:t>
      </w:r>
      <w:r>
        <w:rPr>
          <w:rFonts w:ascii="Times New Roman" w:hAnsi="Times New Roman"/>
        </w:rPr>
        <w:t>The Role of Tax Certainty in Promoting Sustainable and Inclusive Growth’ UNCTAD, Geneva, 26 October 2018) 1-10</w:t>
      </w:r>
      <w:r>
        <w:rPr>
          <w:rFonts w:ascii="Times New Roman" w:hAnsi="Times New Roman" w:cs="Times New Roman"/>
        </w:rPr>
        <w:t>)</w:t>
      </w:r>
    </w:p>
  </w:footnote>
  <w:footnote w:id="245">
    <w:p w14:paraId="64B74057">
      <w:pPr>
        <w:pStyle w:val="24"/>
        <w:ind w:left="720" w:hanging="72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ab/>
      </w:r>
      <w:r>
        <w:rPr>
          <w:rFonts w:ascii="Times New Roman" w:hAnsi="Times New Roman" w:cs="Times New Roman"/>
        </w:rPr>
        <w:t>The Association of Chartered Certified Accountants (ACCA) ‘Foundations for a sound tax system: simplicity, certainty and stability’ (The Association of Chartered Certified Accountants, Think Ahead, June 2015) 1-12.</w:t>
      </w:r>
    </w:p>
  </w:footnote>
  <w:footnote w:id="246">
    <w:p w14:paraId="652C3C65">
      <w:pPr>
        <w:pStyle w:val="24"/>
        <w:ind w:left="720" w:hanging="72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ab/>
      </w:r>
      <w:r>
        <w:rPr>
          <w:rFonts w:ascii="Times New Roman" w:hAnsi="Times New Roman" w:cs="Times New Roman"/>
        </w:rPr>
        <w:t xml:space="preserve">Sarah B. Lawsky, ‘Probably - Understanding Tax Law's Uncertainty’ (2009) 157(4) </w:t>
      </w:r>
      <w:r>
        <w:rPr>
          <w:rFonts w:ascii="Times New Roman" w:hAnsi="Times New Roman" w:cs="Times New Roman"/>
          <w:i/>
        </w:rPr>
        <w:t>University of Pennsylvania Law Review</w:t>
      </w:r>
      <w:r>
        <w:rPr>
          <w:rFonts w:ascii="Times New Roman" w:hAnsi="Times New Roman" w:cs="Times New Roman"/>
        </w:rPr>
        <w:t xml:space="preserve"> 1017-1074; Anthony D'Amato ‘Legal Uncertainty’ (1983) 71 </w:t>
      </w:r>
      <w:r>
        <w:rPr>
          <w:rFonts w:ascii="Times New Roman" w:hAnsi="Times New Roman" w:cs="Times New Roman"/>
          <w:i/>
        </w:rPr>
        <w:t>California Law Review</w:t>
      </w:r>
      <w:r>
        <w:rPr>
          <w:rFonts w:ascii="Times New Roman" w:hAnsi="Times New Roman" w:cs="Times New Roman"/>
        </w:rPr>
        <w:t xml:space="preserve"> 1-55; Kyle Logue ‘Optimal Tax Compliance and Penalties When the Law is Uncertain’ (2007) 27 </w:t>
      </w:r>
      <w:r>
        <w:rPr>
          <w:rFonts w:ascii="Times New Roman" w:hAnsi="Times New Roman" w:cs="Times New Roman"/>
          <w:i/>
        </w:rPr>
        <w:t>Virginia Tax Review</w:t>
      </w:r>
      <w:r>
        <w:rPr>
          <w:rFonts w:ascii="Times New Roman" w:hAnsi="Times New Roman" w:cs="Times New Roman"/>
        </w:rPr>
        <w:t xml:space="preserve"> 241-296.</w:t>
      </w:r>
    </w:p>
  </w:footnote>
  <w:footnote w:id="247">
    <w:p w14:paraId="6D15D30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With respect to tax, it entails the capacity to make an </w:t>
      </w:r>
      <w:r>
        <w:rPr>
          <w:rFonts w:ascii="Times New Roman" w:hAnsi="Times New Roman" w:cs="Times New Roman"/>
          <w:bCs/>
        </w:rPr>
        <w:t>accurate assessment</w:t>
      </w:r>
      <w:r>
        <w:rPr>
          <w:rFonts w:ascii="Times New Roman" w:hAnsi="Times New Roman" w:cs="Times New Roman"/>
          <w:b/>
          <w:bCs/>
        </w:rPr>
        <w:t xml:space="preserve"> </w:t>
      </w:r>
      <w:r>
        <w:rPr>
          <w:rFonts w:ascii="Times New Roman" w:hAnsi="Times New Roman" w:cs="Times New Roman"/>
        </w:rPr>
        <w:t>of the tax and compliance</w:t>
      </w:r>
      <w:r>
        <w:rPr>
          <w:rFonts w:ascii="Times New Roman" w:hAnsi="Times New Roman" w:cs="Times New Roman"/>
          <w:bCs/>
        </w:rPr>
        <w:t xml:space="preserve"> co</w:t>
      </w:r>
      <w:r>
        <w:rPr>
          <w:rFonts w:ascii="Times New Roman" w:hAnsi="Times New Roman" w:cs="Times New Roman"/>
        </w:rPr>
        <w:t xml:space="preserve">sts, </w:t>
      </w:r>
    </w:p>
    <w:p w14:paraId="794D48F8">
      <w:pPr>
        <w:pStyle w:val="24"/>
        <w:ind w:left="720"/>
        <w:jc w:val="both"/>
        <w:rPr>
          <w:rFonts w:ascii="Times New Roman" w:hAnsi="Times New Roman" w:cs="Times New Roman"/>
        </w:rPr>
      </w:pPr>
      <w:r>
        <w:rPr>
          <w:rFonts w:ascii="Times New Roman" w:hAnsi="Times New Roman" w:cs="Times New Roman"/>
        </w:rPr>
        <w:t xml:space="preserve">associated with an investment or a continuation of an investment in a country over the lifecycle of the investment/company. Related to this is also the need to enhance tax compliance in line with the law, whilst discouraging aggressive tax planning by taxpayers. </w:t>
      </w:r>
    </w:p>
  </w:footnote>
  <w:footnote w:id="248">
    <w:p w14:paraId="24F5508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Fiscal policy refers to the use of government spending and tax policies to influence</w:t>
      </w:r>
      <w:r>
        <w:fldChar w:fldCharType="begin"/>
      </w:r>
      <w:r>
        <w:instrText xml:space="preserve"> HYPERLINK "https://www.investopedia.com/terms/e/economic-conditions.asp" </w:instrText>
      </w:r>
      <w:r>
        <w:fldChar w:fldCharType="separate"/>
      </w:r>
      <w:r>
        <w:rPr>
          <w:rStyle w:val="27"/>
          <w:rFonts w:ascii="Times New Roman" w:hAnsi="Times New Roman" w:cs="Times New Roman"/>
          <w:u w:val="none"/>
        </w:rPr>
        <w:t xml:space="preserve"> economic conditions</w:t>
      </w:r>
      <w:r>
        <w:rPr>
          <w:rStyle w:val="27"/>
          <w:rFonts w:ascii="Times New Roman" w:hAnsi="Times New Roman" w:cs="Times New Roman"/>
          <w:u w:val="none"/>
        </w:rPr>
        <w:fldChar w:fldCharType="end"/>
      </w:r>
      <w:r>
        <w:rPr>
          <w:rFonts w:ascii="Times New Roman" w:hAnsi="Times New Roman" w:cs="Times New Roman"/>
        </w:rPr>
        <w:t>,</w:t>
      </w:r>
    </w:p>
    <w:p w14:paraId="721E0275">
      <w:pPr>
        <w:pStyle w:val="24"/>
        <w:ind w:left="720" w:firstLine="45"/>
        <w:jc w:val="both"/>
        <w:rPr>
          <w:rFonts w:ascii="Times New Roman" w:hAnsi="Times New Roman" w:cs="Times New Roman"/>
        </w:rPr>
      </w:pPr>
      <w:r>
        <w:rPr>
          <w:rFonts w:ascii="Times New Roman" w:hAnsi="Times New Roman" w:cs="Times New Roman"/>
        </w:rPr>
        <w:t xml:space="preserve">especially </w:t>
      </w:r>
      <w:r>
        <w:fldChar w:fldCharType="begin"/>
      </w:r>
      <w:r>
        <w:instrText xml:space="preserve"> HYPERLINK "https://www.investopedia.com/terms/m/macroeconomics.asp" </w:instrText>
      </w:r>
      <w:r>
        <w:fldChar w:fldCharType="separate"/>
      </w:r>
      <w:r>
        <w:rPr>
          <w:rStyle w:val="27"/>
          <w:rFonts w:ascii="Times New Roman" w:hAnsi="Times New Roman" w:cs="Times New Roman"/>
          <w:u w:val="none"/>
        </w:rPr>
        <w:t>macroeconomic</w:t>
      </w:r>
      <w:r>
        <w:rPr>
          <w:rStyle w:val="27"/>
          <w:rFonts w:ascii="Times New Roman" w:hAnsi="Times New Roman" w:cs="Times New Roman"/>
          <w:u w:val="none"/>
        </w:rPr>
        <w:fldChar w:fldCharType="end"/>
      </w:r>
      <w:r>
        <w:rPr>
          <w:rFonts w:ascii="Times New Roman" w:hAnsi="Times New Roman" w:cs="Times New Roman"/>
        </w:rPr>
        <w:t xml:space="preserve"> conditions, including aggregate demand for goods and services, employment, inflation, and economic growth.</w:t>
      </w:r>
    </w:p>
  </w:footnote>
  <w:footnote w:id="249">
    <w:p w14:paraId="0451390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Tax policy must strike a balance between securing the revenues needed by governments to finance their</w:t>
      </w:r>
    </w:p>
    <w:p w14:paraId="3B061C42">
      <w:pPr>
        <w:pStyle w:val="24"/>
        <w:ind w:left="720" w:firstLine="45"/>
        <w:jc w:val="both"/>
        <w:rPr>
          <w:rFonts w:ascii="Times New Roman" w:hAnsi="Times New Roman" w:cs="Times New Roman"/>
        </w:rPr>
      </w:pPr>
      <w:r>
        <w:rPr>
          <w:rFonts w:ascii="Times New Roman" w:hAnsi="Times New Roman" w:cs="Times New Roman"/>
        </w:rPr>
        <w:t>social and economic programmes and the need for a tax system that promotes innovation, productivity, and inclusive economic growth.</w:t>
      </w:r>
    </w:p>
  </w:footnote>
  <w:footnote w:id="250">
    <w:p w14:paraId="7476F1D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Noting the difficulties in identifying the content of the concept “legal certainty”, Vanessa Mak defines this</w:t>
      </w:r>
    </w:p>
    <w:p w14:paraId="12285AC3">
      <w:pPr>
        <w:pStyle w:val="24"/>
        <w:ind w:firstLine="720"/>
        <w:jc w:val="both"/>
        <w:rPr>
          <w:rFonts w:ascii="Times New Roman" w:hAnsi="Times New Roman"/>
          <w:i/>
        </w:rPr>
      </w:pPr>
      <w:r>
        <w:rPr>
          <w:rFonts w:ascii="Times New Roman" w:hAnsi="Times New Roman" w:cs="Times New Roman"/>
        </w:rPr>
        <w:t xml:space="preserve"> concept as “the predictability of outcomes in legal disputes”; </w:t>
      </w:r>
      <w:r>
        <w:rPr>
          <w:rFonts w:ascii="Times New Roman" w:hAnsi="Times New Roman"/>
          <w:i/>
        </w:rPr>
        <w:t>The Principle of Legal Certainty in EC</w:t>
      </w:r>
    </w:p>
    <w:p w14:paraId="312EB159">
      <w:pPr>
        <w:pStyle w:val="24"/>
        <w:ind w:left="720"/>
        <w:jc w:val="both"/>
        <w:rPr>
          <w:rFonts w:ascii="Times New Roman" w:hAnsi="Times New Roman" w:cs="Times New Roman"/>
          <w:lang w:val="nl-BE"/>
        </w:rPr>
      </w:pPr>
      <w:r>
        <w:rPr>
          <w:rFonts w:ascii="Times New Roman" w:hAnsi="Times New Roman"/>
          <w:i/>
        </w:rPr>
        <w:t xml:space="preserve"> Law.</w:t>
      </w:r>
      <w:r>
        <w:rPr>
          <w:rFonts w:ascii="Times New Roman" w:hAnsi="Times New Roman" w:cs="Times New Roman"/>
        </w:rPr>
        <w:t xml:space="preserve"> Law and Philosophy Library, vol 64. </w:t>
      </w:r>
      <w:r>
        <w:rPr>
          <w:rFonts w:ascii="Times New Roman" w:hAnsi="Times New Roman" w:cs="Times New Roman"/>
          <w:lang w:val="nl-BE"/>
        </w:rPr>
        <w:t xml:space="preserve">Springer, Dordrecht. </w:t>
      </w:r>
      <w:r>
        <w:fldChar w:fldCharType="begin"/>
      </w:r>
      <w:r>
        <w:instrText xml:space="preserve"> HYPERLINK "https://doi.org/10.1007/978-94-017-0353-" </w:instrText>
      </w:r>
      <w:r>
        <w:fldChar w:fldCharType="separate"/>
      </w:r>
      <w:r>
        <w:rPr>
          <w:rStyle w:val="27"/>
          <w:rFonts w:ascii="Times New Roman" w:hAnsi="Times New Roman" w:cs="Times New Roman"/>
          <w:u w:val="none"/>
          <w:lang w:val="nl-BE"/>
        </w:rPr>
        <w:t>https://doi.org/10.1007/978-94-017-0353-</w:t>
      </w:r>
      <w:r>
        <w:rPr>
          <w:rStyle w:val="27"/>
          <w:rFonts w:ascii="Times New Roman" w:hAnsi="Times New Roman" w:cs="Times New Roman"/>
          <w:u w:val="none"/>
          <w:lang w:val="nl-BE"/>
        </w:rPr>
        <w:fldChar w:fldCharType="end"/>
      </w:r>
      <w:r>
        <w:rPr>
          <w:rFonts w:ascii="Times New Roman" w:hAnsi="Times New Roman" w:cs="Times New Roman"/>
          <w:lang w:val="nl-BE"/>
        </w:rPr>
        <w:t>6_6 (2013).</w:t>
      </w:r>
    </w:p>
  </w:footnote>
  <w:footnote w:id="251">
    <w:p w14:paraId="67567A3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See chapter 6 of the Thesis - The research survey and questionnaires will seek to engage with petroleum </w:t>
      </w:r>
    </w:p>
    <w:p w14:paraId="46402EAF">
      <w:pPr>
        <w:pStyle w:val="24"/>
        <w:ind w:left="720"/>
        <w:jc w:val="both"/>
        <w:rPr>
          <w:rFonts w:ascii="Times New Roman" w:hAnsi="Times New Roman" w:cs="Times New Roman"/>
        </w:rPr>
      </w:pPr>
      <w:r>
        <w:rPr>
          <w:rFonts w:ascii="Times New Roman" w:hAnsi="Times New Roman" w:cs="Times New Roman"/>
        </w:rPr>
        <w:t xml:space="preserve">industry critical stakeholders in our effort to articulate the primary reasons for some of the ambiguities and lapses observed in upstream petroleum taxation in Nigeria, and how these may be addressed or mitigated. </w:t>
      </w:r>
    </w:p>
    <w:p w14:paraId="274BD5B4">
      <w:pPr>
        <w:pStyle w:val="24"/>
        <w:ind w:left="720"/>
        <w:jc w:val="both"/>
        <w:rPr>
          <w:rFonts w:ascii="Times New Roman" w:hAnsi="Times New Roman" w:cs="Times New Roman"/>
        </w:rPr>
      </w:pPr>
    </w:p>
  </w:footnote>
  <w:footnote w:id="252">
    <w:p w14:paraId="44875CC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Hans Gribnau,</w:t>
      </w:r>
      <w:r>
        <w:rPr>
          <w:rFonts w:ascii="Times New Roman" w:hAnsi="Times New Roman"/>
          <w:i/>
        </w:rPr>
        <w:t xml:space="preserve"> ‘Legal Certainty: A Matter of Principle’</w:t>
      </w:r>
      <w:r>
        <w:rPr>
          <w:rFonts w:ascii="Times New Roman" w:hAnsi="Times New Roman" w:eastAsia="Times New Roman" w:cs="Times New Roman"/>
          <w:i/>
          <w:iCs/>
          <w:color w:val="505050"/>
          <w:sz w:val="24"/>
          <w:szCs w:val="24"/>
          <w:lang w:eastAsia="en-GB"/>
        </w:rPr>
        <w:t xml:space="preserve"> </w:t>
      </w:r>
      <w:r>
        <w:rPr>
          <w:rFonts w:ascii="Times New Roman" w:hAnsi="Times New Roman"/>
          <w:i/>
        </w:rPr>
        <w:t>Retroactivity of Tax Legislation</w:t>
      </w:r>
      <w:r>
        <w:rPr>
          <w:rFonts w:ascii="Times New Roman" w:hAnsi="Times New Roman" w:cs="Times New Roman"/>
        </w:rPr>
        <w:t xml:space="preserve">, May, </w:t>
      </w:r>
    </w:p>
    <w:p w14:paraId="17FE20CC">
      <w:pPr>
        <w:pStyle w:val="24"/>
        <w:ind w:firstLine="720"/>
        <w:jc w:val="both"/>
        <w:rPr>
          <w:rFonts w:ascii="Times New Roman" w:hAnsi="Times New Roman" w:cs="Times New Roman"/>
        </w:rPr>
      </w:pPr>
      <w:r>
        <w:rPr>
          <w:rFonts w:ascii="Times New Roman" w:hAnsi="Times New Roman" w:cs="Times New Roman"/>
        </w:rPr>
        <w:t xml:space="preserve">2013 </w:t>
      </w:r>
      <w:r>
        <w:fldChar w:fldCharType="begin"/>
      </w:r>
      <w:r>
        <w:instrText xml:space="preserve"> HYPERLINK "https://papers.ssrn.com/sol3/papers.cfm?abstract_id=2447386" </w:instrText>
      </w:r>
      <w:r>
        <w:fldChar w:fldCharType="separate"/>
      </w:r>
      <w:r>
        <w:rPr>
          <w:rStyle w:val="27"/>
          <w:rFonts w:ascii="Times New Roman" w:hAnsi="Times New Roman" w:cs="Times New Roman"/>
          <w:u w:val="none"/>
        </w:rPr>
        <w:t>Tilburg Law School Research Paper No. 12/2014</w:t>
      </w:r>
      <w:r>
        <w:rPr>
          <w:rStyle w:val="27"/>
          <w:rFonts w:ascii="Times New Roman" w:hAnsi="Times New Roman" w:cs="Times New Roman"/>
          <w:u w:val="none"/>
        </w:rPr>
        <w:fldChar w:fldCharType="end"/>
      </w:r>
      <w:r>
        <w:rPr>
          <w:rFonts w:ascii="Times New Roman" w:hAnsi="Times New Roman" w:cs="Times New Roman"/>
        </w:rPr>
        <w:t xml:space="preserve"> p. 69 “Predictability of law protects those subject </w:t>
      </w:r>
    </w:p>
    <w:p w14:paraId="0B3CECEE">
      <w:pPr>
        <w:pStyle w:val="24"/>
        <w:ind w:left="720"/>
        <w:jc w:val="both"/>
        <w:rPr>
          <w:rFonts w:ascii="Times New Roman" w:hAnsi="Times New Roman" w:cs="Times New Roman"/>
        </w:rPr>
      </w:pPr>
      <w:r>
        <w:rPr>
          <w:rFonts w:ascii="Times New Roman" w:hAnsi="Times New Roman" w:cs="Times New Roman"/>
        </w:rPr>
        <w:t>to the law from arbitrary State interference with their lives. Legal certainty enables people to plan their future”.</w:t>
      </w:r>
    </w:p>
  </w:footnote>
  <w:footnote w:id="253">
    <w:p w14:paraId="3B5A307E">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Friedrich A. Hayek,</w:t>
      </w:r>
      <w:r>
        <w:rPr>
          <w:rFonts w:ascii="Times New Roman" w:hAnsi="Times New Roman"/>
          <w:color w:val="2A2A2A"/>
          <w:sz w:val="23"/>
          <w:shd w:val="clear" w:color="auto" w:fill="EFF2F7"/>
        </w:rPr>
        <w:t xml:space="preserve"> </w:t>
      </w:r>
      <w:r>
        <w:rPr>
          <w:rFonts w:ascii="Times New Roman" w:hAnsi="Times New Roman" w:eastAsia="Times New Roman" w:cs="Times New Roman"/>
          <w:i/>
          <w:iCs/>
          <w:lang w:eastAsia="en-GB"/>
        </w:rPr>
        <w:t>H</w:t>
      </w:r>
      <w:r>
        <w:fldChar w:fldCharType="begin"/>
      </w:r>
      <w:r>
        <w:instrText xml:space="preserve"> HYPERLINK "https://academic.oup.com/book/4034/chapter/145690157?itm_content=Oxford_Academic_Books_0&amp;itm_campaign=Oxford_Academic_Books&amp;itm_source=trendmd-widget&amp;itm_medium=sidebar" \t "_self" </w:instrText>
      </w:r>
      <w:r>
        <w:fldChar w:fldCharType="separate"/>
      </w:r>
      <w:r>
        <w:rPr>
          <w:rStyle w:val="27"/>
          <w:rFonts w:ascii="Times New Roman" w:hAnsi="Times New Roman" w:cs="Times New Roman"/>
          <w:i/>
          <w:iCs/>
          <w:color w:val="auto"/>
          <w:u w:val="none"/>
        </w:rPr>
        <w:t>ayek's Project: The Instrumental Justification of the Liberal Market Society</w:t>
      </w:r>
      <w:r>
        <w:rPr>
          <w:rStyle w:val="27"/>
          <w:rFonts w:ascii="Times New Roman" w:hAnsi="Times New Roman" w:cs="Times New Roman"/>
          <w:i/>
          <w:iCs/>
          <w:color w:val="auto"/>
          <w:u w:val="none"/>
        </w:rPr>
        <w:fldChar w:fldCharType="end"/>
      </w:r>
    </w:p>
    <w:p w14:paraId="0E0316F0">
      <w:pPr>
        <w:pStyle w:val="24"/>
        <w:ind w:left="720"/>
        <w:jc w:val="both"/>
        <w:rPr>
          <w:rFonts w:ascii="Times New Roman" w:hAnsi="Times New Roman" w:cs="Times New Roman"/>
        </w:rPr>
      </w:pPr>
      <w:r>
        <w:rPr>
          <w:rFonts w:ascii="Times New Roman" w:hAnsi="Times New Roman" w:cs="Times New Roman"/>
        </w:rPr>
        <w:t>Roland Kley, Oxford Academic Books, 1994- According to Hayek, clear and definite legal norms are imminently necessary for a free society based on the ideas of Liberalism and a market economy. Also, according to both A Scalia and Ofer Raban in ‘The Fallacy of Legal Certainty: Why Vague Legal Standards may be Better for Capitalism; (</w:t>
      </w:r>
      <w:r>
        <w:rPr>
          <w:rFonts w:ascii="Times New Roman" w:hAnsi="Times New Roman" w:cs="Times New Roman"/>
          <w:i/>
          <w:iCs/>
        </w:rPr>
        <w:t>NYU Journal of legislation and Public Policy, 2019/11</w:t>
      </w:r>
      <w:r>
        <w:rPr>
          <w:rFonts w:ascii="Times New Roman" w:hAnsi="Times New Roman" w:cs="Times New Roman"/>
        </w:rPr>
        <w:t>), “clear and determinate legal rules allow people to know where they stand (and where they should not stand) and therefore allow them to maximize their freedom”. Uncertainty of tax norms as Thorsten Jobs also makes point of the constitutional principles of legality and certainty of the legal norms for tax and criminal law. In </w:t>
      </w:r>
      <w:r>
        <w:rPr>
          <w:rFonts w:ascii="Times New Roman" w:hAnsi="Times New Roman" w:cs="Times New Roman"/>
          <w:i/>
          <w:iCs/>
        </w:rPr>
        <w:t>Tax law, the decisions of the Constitutional Court of the Russian Federation in 2004</w:t>
      </w:r>
      <w:r>
        <w:rPr>
          <w:rFonts w:ascii="Times New Roman" w:hAnsi="Times New Roman" w:cs="Times New Roman"/>
        </w:rPr>
        <w:t>. Moscow: Wolters Kluwer. [</w:t>
      </w:r>
      <w:r>
        <w:fldChar w:fldCharType="begin"/>
      </w:r>
      <w:r>
        <w:instrText xml:space="preserve"> HYPERLINK "https://scholar.google.com/scholar_lookup?title=Constitutional+principles+of+legality+and+certainty+of+the+legal+norms+of+tax+and+criminal+law&amp;author=Jobs,+Thorsten&amp;publication_year=2006" \t "_blank" </w:instrText>
      </w:r>
      <w:r>
        <w:fldChar w:fldCharType="separate"/>
      </w:r>
      <w:r>
        <w:rPr>
          <w:rStyle w:val="27"/>
          <w:rFonts w:ascii="Times New Roman" w:hAnsi="Times New Roman" w:cs="Times New Roman"/>
        </w:rPr>
        <w:t>Google Scholar</w:t>
      </w:r>
      <w:r>
        <w:rPr>
          <w:rStyle w:val="27"/>
          <w:rFonts w:ascii="Times New Roman" w:hAnsi="Times New Roman" w:cs="Times New Roman"/>
        </w:rPr>
        <w:fldChar w:fldCharType="end"/>
      </w:r>
      <w:r>
        <w:rPr>
          <w:rFonts w:ascii="Times New Roman" w:hAnsi="Times New Roman" w:cs="Times New Roman"/>
        </w:rPr>
        <w:t>]), highlights the fact that citizens as taxpayers cannot, without the help of laws, foresee and predict the consequences.</w:t>
      </w:r>
    </w:p>
  </w:footnote>
  <w:footnote w:id="254">
    <w:p w14:paraId="1DC87F2D">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[I892] 1 A.C. 150, 154</w:t>
      </w:r>
    </w:p>
  </w:footnote>
  <w:footnote w:id="255">
    <w:p w14:paraId="2FC3AFF3">
      <w:pPr>
        <w:pStyle w:val="24"/>
        <w:jc w:val="both"/>
        <w:rPr>
          <w:rFonts w:ascii="Times New Roman" w:hAnsi="Times New Roman" w:cs="Times New Roman"/>
          <w:i/>
          <w:iCs/>
          <w:u w:val="single"/>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[1921] 1 K.B. 64, 71. This has been cited and approved by many judges including Lord Simon in </w:t>
      </w:r>
      <w:r>
        <w:rPr>
          <w:rFonts w:ascii="Times New Roman" w:hAnsi="Times New Roman" w:cs="Times New Roman"/>
          <w:i/>
          <w:iCs/>
        </w:rPr>
        <w:t xml:space="preserve">Camdim </w:t>
      </w:r>
    </w:p>
    <w:p w14:paraId="0141C583">
      <w:pPr>
        <w:pStyle w:val="24"/>
        <w:ind w:left="720"/>
        <w:jc w:val="both"/>
        <w:rPr>
          <w:rFonts w:ascii="Times New Roman" w:hAnsi="Times New Roman" w:cs="Times New Roman"/>
        </w:rPr>
      </w:pPr>
      <w:r>
        <w:rPr>
          <w:rFonts w:ascii="Times New Roman" w:hAnsi="Times New Roman" w:cs="Times New Roman"/>
          <w:i/>
          <w:iCs/>
        </w:rPr>
        <w:t>Eagle Oil Co. v. R.</w:t>
      </w:r>
      <w:r>
        <w:rPr>
          <w:rFonts w:ascii="Times New Roman" w:hAnsi="Times New Roman" w:cs="Times New Roman"/>
        </w:rPr>
        <w:t xml:space="preserve"> [1946]1 A.C. 119, Lord Upjohn in </w:t>
      </w:r>
      <w:r>
        <w:rPr>
          <w:rFonts w:ascii="Times New Roman" w:hAnsi="Times New Roman" w:cs="Times New Roman"/>
          <w:i/>
          <w:iCs/>
        </w:rPr>
        <w:t>Mapp v. Oram</w:t>
      </w:r>
      <w:r>
        <w:rPr>
          <w:rFonts w:ascii="Times New Roman" w:hAnsi="Times New Roman" w:cs="Times New Roman"/>
        </w:rPr>
        <w:t xml:space="preserve"> [1970] 1 A.C. 362, and Lord Donovan </w:t>
      </w:r>
      <w:r>
        <w:rPr>
          <w:rFonts w:ascii="Times New Roman" w:hAnsi="Times New Roman" w:cs="Times New Roman"/>
          <w:i/>
          <w:iCs/>
        </w:rPr>
        <w:t>in Mangin v. I.R.C</w:t>
      </w:r>
      <w:r>
        <w:rPr>
          <w:rFonts w:ascii="Times New Roman" w:hAnsi="Times New Roman" w:cs="Times New Roman"/>
        </w:rPr>
        <w:t>. [1971]1 A.C. 739. 47</w:t>
      </w:r>
    </w:p>
  </w:footnote>
  <w:footnote w:id="256">
    <w:p w14:paraId="5342E9F6">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The PPTA was first enacted in 1958 and has been subjected to various piecemeal amendments.  The</w:t>
      </w:r>
    </w:p>
    <w:p w14:paraId="49166520">
      <w:pPr>
        <w:pStyle w:val="24"/>
        <w:ind w:left="720" w:firstLine="48"/>
        <w:jc w:val="both"/>
      </w:pPr>
      <w:r>
        <w:rPr>
          <w:rFonts w:ascii="Times New Roman" w:hAnsi="Times New Roman" w:cs="Times New Roman"/>
          <w:bCs/>
          <w:iCs/>
        </w:rPr>
        <w:t xml:space="preserve">recent enactment of the Petroleum Industry Act (PIA) is the product of a long-drawn-out effort to carry out a comprehensive review of the taxation and commercial arrangements in the Petroleum sector in Nigeria. </w:t>
      </w:r>
    </w:p>
  </w:footnote>
  <w:footnote w:id="257">
    <w:p w14:paraId="7B324AF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1986 and 1991 MOUs, between NNPC as an Agency of Government and the International Oil</w:t>
      </w:r>
    </w:p>
    <w:p w14:paraId="537418B0">
      <w:pPr>
        <w:pStyle w:val="24"/>
        <w:ind w:left="720"/>
        <w:jc w:val="both"/>
        <w:rPr>
          <w:rFonts w:ascii="Times New Roman" w:hAnsi="Times New Roman" w:cs="Times New Roman"/>
        </w:rPr>
      </w:pPr>
      <w:r>
        <w:rPr>
          <w:rFonts w:ascii="Times New Roman" w:hAnsi="Times New Roman" w:cs="Times New Roman"/>
        </w:rPr>
        <w:t xml:space="preserve">Company’s (IOC’s). The terms and fiscal incentives granted by the MOUs to the companies were duly recognized and enforced, although never enacted into the PPTA legislative framework. </w:t>
      </w:r>
    </w:p>
  </w:footnote>
  <w:footnote w:id="258">
    <w:p w14:paraId="27E4021D">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PPTA, Cap 354, LFN 1990, S.10(1)(a) -(b); S.20.</w:t>
      </w:r>
    </w:p>
  </w:footnote>
  <w:footnote w:id="259">
    <w:p w14:paraId="7131D4C5">
      <w:pPr>
        <w:pStyle w:val="24"/>
        <w:rPr>
          <w:rFonts w:ascii="Times New Roman" w:hAnsi="Times New Roman" w:cs="Times New Roman"/>
          <w:color w:val="FF0000"/>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olor w:val="auto"/>
          <w:lang w:val="en-GB"/>
        </w:rPr>
        <w:t>PPTA, Cap 354, LFN 1996 No. 31;</w:t>
      </w:r>
      <w:r>
        <w:rPr>
          <w:rFonts w:ascii="Times New Roman" w:hAnsi="Times New Roman"/>
          <w:color w:val="auto"/>
          <w:sz w:val="24"/>
          <w:lang w:val="en-GB"/>
          <w14:ligatures w14:val="none"/>
        </w:rPr>
        <w:t xml:space="preserve"> </w:t>
      </w:r>
      <w:r>
        <w:rPr>
          <w:rFonts w:ascii="Times New Roman" w:hAnsi="Times New Roman"/>
          <w:color w:val="auto"/>
          <w:lang w:val="en-GB"/>
        </w:rPr>
        <w:t>1999 No. 30</w:t>
      </w:r>
    </w:p>
  </w:footnote>
  <w:footnote w:id="260">
    <w:p w14:paraId="1C85B8C4">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Cap 350 LFN 1990.</w:t>
      </w:r>
    </w:p>
  </w:footnote>
  <w:footnote w:id="261">
    <w:p w14:paraId="510E0979">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Statutory Instrument No.3 of 1996.</w:t>
      </w:r>
    </w:p>
  </w:footnote>
  <w:footnote w:id="262">
    <w:p w14:paraId="228E51BB">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No.39 of 1990</w:t>
      </w:r>
    </w:p>
  </w:footnote>
  <w:footnote w:id="263">
    <w:p w14:paraId="48E2468E">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No.8 of 1996</w:t>
      </w:r>
    </w:p>
  </w:footnote>
  <w:footnote w:id="264">
    <w:p w14:paraId="2BB98456">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No.7 of 1993</w:t>
      </w:r>
    </w:p>
  </w:footnote>
  <w:footnote w:id="265">
    <w:p w14:paraId="0716AD6A">
      <w:pPr>
        <w:pStyle w:val="24"/>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No.102 of 1993</w:t>
      </w:r>
    </w:p>
  </w:footnote>
  <w:footnote w:id="266">
    <w:p w14:paraId="0C076AA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PSC arrangement highlights this conflict particularly with respect to the determination of tax liability,</w:t>
      </w:r>
    </w:p>
    <w:p w14:paraId="1392D2B9">
      <w:pPr>
        <w:pStyle w:val="24"/>
        <w:ind w:firstLine="720"/>
        <w:jc w:val="both"/>
        <w:rPr>
          <w:rFonts w:ascii="Times New Roman" w:hAnsi="Times New Roman" w:cs="Times New Roman"/>
        </w:rPr>
      </w:pPr>
      <w:r>
        <w:rPr>
          <w:rFonts w:ascii="Times New Roman" w:hAnsi="Times New Roman" w:cs="Times New Roman"/>
        </w:rPr>
        <w:t xml:space="preserve"> tax reliefs and allowances for chargeable entities under the JV’s and PSC’s </w:t>
      </w:r>
    </w:p>
  </w:footnote>
  <w:footnote w:id="267">
    <w:p w14:paraId="02AABF1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w:t>
      </w:r>
      <w:r>
        <w:rPr>
          <w:rFonts w:ascii="Times New Roman" w:hAnsi="Times New Roman"/>
        </w:rPr>
        <w:t xml:space="preserve"> </w:t>
      </w:r>
      <w:r>
        <w:rPr>
          <w:rFonts w:ascii="Times New Roman" w:hAnsi="Times New Roman" w:cs="Times New Roman"/>
        </w:rPr>
        <w:t xml:space="preserve">Annex to the PSC’s </w:t>
      </w:r>
    </w:p>
    <w:p w14:paraId="6B711AC2">
      <w:pPr>
        <w:pStyle w:val="24"/>
        <w:ind w:left="720"/>
        <w:jc w:val="both"/>
        <w:rPr>
          <w:rFonts w:ascii="Times New Roman" w:hAnsi="Times New Roman" w:cs="Times New Roman"/>
        </w:rPr>
      </w:pPr>
    </w:p>
  </w:footnote>
  <w:footnote w:id="268">
    <w:p w14:paraId="6D1C8308">
      <w:pPr>
        <w:pStyle w:val="24"/>
        <w:ind w:left="720" w:hanging="720"/>
        <w:jc w:val="both"/>
        <w:rPr>
          <w:rFonts w:ascii="Times New Roman" w:hAnsi="Times New Roman" w:cs="Times New Roman"/>
          <w:i/>
        </w:rPr>
      </w:pPr>
      <w:r>
        <w:rPr>
          <w:rStyle w:val="23"/>
          <w:rFonts w:ascii="Times New Roman" w:hAnsi="Times New Roman" w:cs="Times New Roman"/>
        </w:rPr>
        <w:footnoteRef/>
      </w:r>
      <w:r>
        <w:rPr>
          <w:rFonts w:ascii="Times New Roman" w:hAnsi="Times New Roman" w:cs="Times New Roman"/>
          <w:vertAlign w:val="superscript"/>
        </w:rPr>
        <w:t xml:space="preserve"> </w:t>
      </w:r>
      <w:r>
        <w:rPr>
          <w:rFonts w:ascii="Times New Roman" w:hAnsi="Times New Roman" w:cs="Times New Roman"/>
        </w:rPr>
        <w:tab/>
      </w:r>
      <w:r>
        <w:rPr>
          <w:rFonts w:ascii="Times New Roman" w:hAnsi="Times New Roman" w:cs="Times New Roman"/>
        </w:rPr>
        <w:t xml:space="preserve">See </w:t>
      </w:r>
      <w:r>
        <w:rPr>
          <w:rFonts w:ascii="Times New Roman" w:hAnsi="Times New Roman" w:cs="Times New Roman"/>
          <w:i/>
        </w:rPr>
        <w:t>Shell Petroleum Development Company Nigeria Ltd v Federal Board of Inland Revenue (supra); Gulf Oil Company (Nig) Ltd v FBIR (1997) NWLR (Pt 514).</w:t>
      </w:r>
    </w:p>
  </w:footnote>
  <w:footnote w:id="269">
    <w:p w14:paraId="79DBB2BA">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vertAlign w:val="superscript"/>
        </w:rPr>
        <w:t xml:space="preserve"> </w:t>
      </w:r>
      <w:r>
        <w:rPr>
          <w:rFonts w:ascii="Times New Roman" w:hAnsi="Times New Roman" w:cs="Times New Roman"/>
        </w:rPr>
        <w:tab/>
      </w:r>
      <w:r>
        <w:rPr>
          <w:rFonts w:ascii="Times New Roman" w:hAnsi="Times New Roman" w:cs="Times New Roman"/>
        </w:rPr>
        <w:t xml:space="preserve">Ibid - </w:t>
      </w:r>
      <w:r>
        <w:rPr>
          <w:rFonts w:ascii="Times New Roman" w:hAnsi="Times New Roman" w:cs="Times New Roman"/>
          <w:i/>
          <w:iCs/>
        </w:rPr>
        <w:t>(1997), NWLR (Pt 514)</w:t>
      </w:r>
    </w:p>
  </w:footnote>
  <w:footnote w:id="270">
    <w:p w14:paraId="38B2BAEB">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Ibid - s. 2 PPTA. </w:t>
      </w:r>
      <w:r>
        <w:rPr>
          <w:rFonts w:ascii="Times New Roman" w:hAnsi="Times New Roman" w:cs="Times New Roman"/>
          <w:bCs/>
        </w:rPr>
        <w:t xml:space="preserve">…and all operations incidental thereto and any sale of or any disposal of chargeable oil by </w:t>
      </w:r>
    </w:p>
    <w:p w14:paraId="3BB998B9">
      <w:pPr>
        <w:pStyle w:val="24"/>
        <w:ind w:firstLine="720"/>
        <w:jc w:val="both"/>
        <w:rPr>
          <w:rFonts w:ascii="Times New Roman" w:hAnsi="Times New Roman" w:cs="Times New Roman"/>
          <w:bCs/>
        </w:rPr>
      </w:pPr>
      <w:r>
        <w:rPr>
          <w:rFonts w:ascii="Times New Roman" w:hAnsi="Times New Roman" w:cs="Times New Roman"/>
          <w:bCs/>
        </w:rPr>
        <w:t>or on behalf of the company’.</w:t>
      </w:r>
    </w:p>
  </w:footnote>
  <w:footnote w:id="271">
    <w:p w14:paraId="5A24B265">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NOGC 2 [1996-2000] 80 SC. Also reported in 1996 8 NWLR (Pt. 466) 256.</w:t>
      </w:r>
    </w:p>
  </w:footnote>
  <w:footnote w:id="272">
    <w:p w14:paraId="4CDCA794">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It was held in the then Federal Revenue Court in the case of </w:t>
      </w:r>
      <w:r>
        <w:rPr>
          <w:rFonts w:ascii="Times New Roman" w:hAnsi="Times New Roman" w:cs="Times New Roman"/>
          <w:i/>
          <w:iCs/>
        </w:rPr>
        <w:t xml:space="preserve">Shell BP Petroleum Development Company v Federal Board of Inland Revenue </w:t>
      </w:r>
      <w:r>
        <w:rPr>
          <w:rFonts w:ascii="Times New Roman" w:hAnsi="Times New Roman" w:cs="Times New Roman"/>
        </w:rPr>
        <w:t>NOGC 1 [1961-1965] 90 FRC that the word “disposal” in PPTA 1959 s 10 is not the same thing as sale.</w:t>
      </w:r>
    </w:p>
  </w:footnote>
  <w:footnote w:id="273">
    <w:p w14:paraId="4815BF44">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aggregate of what constitutes chargeable oil sold for the purposes of item “b” above, is defined in s. 9 (2) PPTA</w:t>
      </w:r>
      <w:r>
        <w:rPr>
          <w:rFonts w:ascii="Times New Roman" w:hAnsi="Times New Roman" w:cs="Times New Roman"/>
          <w:i/>
        </w:rPr>
        <w:t xml:space="preserve">, </w:t>
      </w:r>
      <w:r>
        <w:rPr>
          <w:rFonts w:ascii="Times New Roman" w:hAnsi="Times New Roman" w:cs="Times New Roman"/>
        </w:rPr>
        <w:t>to include value of oil as determined; the cost of extraction of that oil; as well as any cost incurred by the company in the transportation and storage of that oil between the field of production and the place of its disposal. In relation to chargeable oil owned by a company, disposed of connotes delivery, without sale, of chargeable oil to a refinery or to an adjacent tank for refining by the company. See Advance Taxation, ICAN professional study pack- icanig.org</w:t>
      </w:r>
    </w:p>
  </w:footnote>
  <w:footnote w:id="274">
    <w:p w14:paraId="05578021">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S.9(1), PPTA. </w:t>
      </w:r>
      <w:r>
        <w:rPr>
          <w:rFonts w:ascii="Times New Roman" w:hAnsi="Times New Roman" w:cs="Times New Roman"/>
        </w:rPr>
        <w:tab/>
      </w:r>
    </w:p>
  </w:footnote>
  <w:footnote w:id="275">
    <w:p w14:paraId="5944C2E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MOU between the FGN and the companies referred to realizable Price (RP). </w:t>
      </w:r>
    </w:p>
  </w:footnote>
  <w:footnote w:id="276">
    <w:p w14:paraId="6649437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bookmarkStart w:id="39" w:name="_Hlk115468695"/>
      <w:r>
        <w:rPr>
          <w:rFonts w:ascii="Times New Roman" w:hAnsi="Times New Roman" w:cs="Times New Roman"/>
        </w:rPr>
        <w:t xml:space="preserve">S.9(2) (a) PPTA requires the value of oil to be determined “in accordance with the provisions of any </w:t>
      </w:r>
    </w:p>
    <w:p w14:paraId="23AED121">
      <w:pPr>
        <w:pStyle w:val="24"/>
        <w:ind w:left="720"/>
        <w:jc w:val="both"/>
        <w:rPr>
          <w:rFonts w:ascii="Times New Roman" w:hAnsi="Times New Roman" w:cs="Times New Roman"/>
        </w:rPr>
      </w:pPr>
      <w:r>
        <w:rPr>
          <w:rFonts w:ascii="Times New Roman" w:hAnsi="Times New Roman" w:cs="Times New Roman"/>
        </w:rPr>
        <w:t xml:space="preserve">enactment applicable thereto and any financial agreement …between the FG of Nigeria and the company”. Additionally, s.23(5) defines posted price in relation to crude oil valuation, as the price (of crude oil) at the Nigerian port of export…established by the company, after agreement with the government of Nigeria. </w:t>
      </w:r>
      <w:bookmarkEnd w:id="39"/>
    </w:p>
  </w:footnote>
  <w:footnote w:id="277">
    <w:p w14:paraId="049993BE">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i/>
        </w:rPr>
        <w:t>Total E &amp;P Nigeria limited v Federal Inland Revenue Service</w:t>
      </w:r>
      <w:r>
        <w:rPr>
          <w:rFonts w:ascii="Times New Roman" w:hAnsi="Times New Roman" w:cs="Times New Roman"/>
          <w:bCs/>
        </w:rPr>
        <w:t xml:space="preserve">, consolidated appeals TAT/LZ/034/2013 and </w:t>
      </w:r>
    </w:p>
    <w:p w14:paraId="12C58EB5">
      <w:pPr>
        <w:pStyle w:val="24"/>
        <w:ind w:left="720"/>
        <w:jc w:val="both"/>
        <w:rPr>
          <w:lang w:val="en-GB"/>
        </w:rPr>
      </w:pPr>
      <w:r>
        <w:rPr>
          <w:rFonts w:ascii="Times New Roman" w:hAnsi="Times New Roman" w:cs="Times New Roman"/>
          <w:bCs/>
        </w:rPr>
        <w:t xml:space="preserve">TAT/LZ/036/2013. The ruling as per Saidu J in Mobil Producing Nigeria Unlimited v FIRS which confirmed the position in </w:t>
      </w:r>
      <w:r>
        <w:rPr>
          <w:rFonts w:ascii="Times New Roman" w:hAnsi="Times New Roman"/>
          <w:i/>
        </w:rPr>
        <w:t>Menakaya v Menakaya</w:t>
      </w:r>
      <w:r>
        <w:rPr>
          <w:rFonts w:ascii="Times New Roman" w:hAnsi="Times New Roman" w:cs="Times New Roman"/>
          <w:bCs/>
        </w:rPr>
        <w:t xml:space="preserve"> (2001) 9-10 SC1, that an agreement cannot be substituted for a legislative pronouncement is settled law.</w:t>
      </w:r>
      <w:r>
        <w:rPr>
          <w:bCs/>
        </w:rPr>
        <w:t xml:space="preserve">   </w:t>
      </w:r>
    </w:p>
  </w:footnote>
  <w:footnote w:id="278">
    <w:p w14:paraId="6BC0635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2000 MOU is now moribund; however, this has not brought closure to the matter. Although the 2019 </w:t>
      </w:r>
    </w:p>
    <w:p w14:paraId="4EB1101F">
      <w:pPr>
        <w:pStyle w:val="24"/>
        <w:ind w:left="720"/>
        <w:jc w:val="both"/>
        <w:rPr>
          <w:rFonts w:ascii="Times New Roman" w:hAnsi="Times New Roman" w:cs="Times New Roman"/>
        </w:rPr>
      </w:pPr>
      <w:r>
        <w:rPr>
          <w:rFonts w:ascii="Times New Roman" w:hAnsi="Times New Roman" w:cs="Times New Roman"/>
        </w:rPr>
        <w:t>FA has attempted to address the matter, it is important to note that most PSCs provide that the RP shall be based on the FOB sales price for each lifting for a maximum period of nine (9) months.</w:t>
      </w:r>
    </w:p>
  </w:footnote>
  <w:footnote w:id="279">
    <w:p w14:paraId="79C46294">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 [1996] 8 NWLR (pt. 466) 256, also addressed the issue of winning and obtaining petroleum in the context</w:t>
      </w:r>
    </w:p>
    <w:p w14:paraId="7E06C87D">
      <w:pPr>
        <w:pStyle w:val="24"/>
        <w:ind w:left="720" w:firstLine="45"/>
        <w:jc w:val="both"/>
      </w:pPr>
      <w:r>
        <w:rPr>
          <w:rFonts w:ascii="Times New Roman" w:hAnsi="Times New Roman" w:cs="Times New Roman"/>
          <w:bCs/>
        </w:rPr>
        <w:t xml:space="preserve">of s 2 PA &amp; PPTA definition of petroleum operations. This position is also adopted in </w:t>
      </w:r>
      <w:r>
        <w:rPr>
          <w:rFonts w:ascii="Times New Roman" w:hAnsi="Times New Roman" w:cs="Times New Roman"/>
          <w:bCs/>
          <w:i/>
        </w:rPr>
        <w:t>South Atlantic Petroleum Ltd v. Minister of Petroleum Resources (2019) LCN/12662(CA)</w:t>
      </w:r>
      <w:r>
        <w:rPr>
          <w:rFonts w:ascii="Times New Roman" w:hAnsi="Times New Roman" w:cs="Times New Roman"/>
          <w:bCs/>
        </w:rPr>
        <w:t>, the Court of Appeal specifically held that ownership of petroleum resources in Nigeria is vested in the FGN. The Court of Appeal of Nigeria, Per Salami, J.C.A (as then was) held quite instructively by reaffirming the provision of the Nigerian Petroleum Act by further stating that Section 1(1) of the Petroleum Act, 1969 vests all the petroleum resources in the FGN.</w:t>
      </w:r>
      <w:r>
        <w:rPr>
          <w:bCs/>
        </w:rPr>
        <w:t xml:space="preserve"> </w:t>
      </w:r>
    </w:p>
  </w:footnote>
  <w:footnote w:id="280">
    <w:p w14:paraId="65466602">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 105, para h.</w:t>
      </w:r>
    </w:p>
  </w:footnote>
  <w:footnote w:id="281">
    <w:p w14:paraId="58C44BA4">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 104, paras c-e.</w:t>
      </w:r>
      <w:r>
        <w:rPr>
          <w:rFonts w:ascii="Times New Roman" w:hAnsi="Times New Roman" w:cs="Times New Roman"/>
        </w:rPr>
        <w:tab/>
      </w:r>
    </w:p>
  </w:footnote>
  <w:footnote w:id="282">
    <w:p w14:paraId="7D96C883">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Shell Petroleum Development Company Ltd v FBIR</w:t>
      </w:r>
      <w:r>
        <w:rPr>
          <w:rFonts w:ascii="Times New Roman" w:hAnsi="Times New Roman" w:cs="Times New Roman"/>
        </w:rPr>
        <w:t xml:space="preserve"> (n 81) 109, para f.</w:t>
      </w:r>
    </w:p>
  </w:footnote>
  <w:footnote w:id="283">
    <w:p w14:paraId="1C97460C">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PPTA s 13, - The following expenses are not allowed for the purpose of calculating adjusted profit:</w:t>
      </w:r>
    </w:p>
    <w:p w14:paraId="726708F5">
      <w:pPr>
        <w:pStyle w:val="24"/>
        <w:ind w:left="1080" w:hanging="360"/>
        <w:jc w:val="both"/>
        <w:rPr>
          <w:rFonts w:ascii="Times New Roman" w:hAnsi="Times New Roman" w:cs="Times New Roman"/>
        </w:rPr>
      </w:pPr>
      <w:r>
        <w:rPr>
          <w:rFonts w:ascii="Times New Roman" w:hAnsi="Times New Roman" w:cs="Times New Roman"/>
        </w:rPr>
        <w:t xml:space="preserve">i. </w:t>
      </w:r>
      <w:r>
        <w:rPr>
          <w:rFonts w:ascii="Times New Roman" w:hAnsi="Times New Roman" w:cs="Times New Roman"/>
        </w:rPr>
        <w:tab/>
      </w:r>
      <w:r>
        <w:rPr>
          <w:rFonts w:ascii="Times New Roman" w:hAnsi="Times New Roman" w:cs="Times New Roman"/>
        </w:rPr>
        <w:t>Any disbursement or expenses not being money wholly and exclusively laid out or expended, or any liability not being a liability wholly or exclusively incurred, for the purpose of those operations;</w:t>
      </w:r>
    </w:p>
    <w:p w14:paraId="75CF8D98">
      <w:pPr>
        <w:pStyle w:val="24"/>
        <w:ind w:left="1080" w:hanging="360"/>
        <w:jc w:val="both"/>
        <w:rPr>
          <w:rFonts w:ascii="Times New Roman" w:hAnsi="Times New Roman" w:cs="Times New Roman"/>
        </w:rPr>
      </w:pPr>
      <w:r>
        <w:rPr>
          <w:rFonts w:ascii="Times New Roman" w:hAnsi="Times New Roman" w:cs="Times New Roman"/>
        </w:rPr>
        <w:t xml:space="preserve">ii. </w:t>
      </w:r>
      <w:r>
        <w:rPr>
          <w:rFonts w:ascii="Times New Roman" w:hAnsi="Times New Roman" w:cs="Times New Roman"/>
        </w:rPr>
        <w:tab/>
      </w:r>
      <w:r>
        <w:rPr>
          <w:rFonts w:ascii="Times New Roman" w:hAnsi="Times New Roman" w:cs="Times New Roman"/>
        </w:rPr>
        <w:t>Any capital withdrawn, or any sum employed or intended to be employed as capital;</w:t>
      </w:r>
    </w:p>
    <w:p w14:paraId="36780451">
      <w:pPr>
        <w:pStyle w:val="24"/>
        <w:ind w:left="1080" w:hanging="360"/>
        <w:jc w:val="both"/>
        <w:rPr>
          <w:rFonts w:ascii="Times New Roman" w:hAnsi="Times New Roman" w:cs="Times New Roman"/>
        </w:rPr>
      </w:pPr>
      <w:r>
        <w:rPr>
          <w:rFonts w:ascii="Times New Roman" w:hAnsi="Times New Roman" w:cs="Times New Roman"/>
        </w:rPr>
        <w:t xml:space="preserve">iii. </w:t>
      </w:r>
      <w:r>
        <w:rPr>
          <w:rFonts w:ascii="Times New Roman" w:hAnsi="Times New Roman" w:cs="Times New Roman"/>
        </w:rPr>
        <w:tab/>
      </w:r>
      <w:r>
        <w:rPr>
          <w:rFonts w:ascii="Times New Roman" w:hAnsi="Times New Roman" w:cs="Times New Roman"/>
        </w:rPr>
        <w:t>Any capital employed in improvement as distinct from repairs;</w:t>
      </w:r>
    </w:p>
    <w:p w14:paraId="354A7A42">
      <w:pPr>
        <w:pStyle w:val="24"/>
        <w:ind w:left="1080" w:hanging="360"/>
        <w:jc w:val="both"/>
        <w:rPr>
          <w:rFonts w:ascii="Times New Roman" w:hAnsi="Times New Roman" w:cs="Times New Roman"/>
        </w:rPr>
      </w:pPr>
      <w:r>
        <w:rPr>
          <w:rFonts w:ascii="Times New Roman" w:hAnsi="Times New Roman" w:cs="Times New Roman"/>
        </w:rPr>
        <w:t xml:space="preserve">iv. </w:t>
      </w:r>
      <w:r>
        <w:rPr>
          <w:rFonts w:ascii="Times New Roman" w:hAnsi="Times New Roman" w:cs="Times New Roman"/>
        </w:rPr>
        <w:tab/>
      </w:r>
      <w:r>
        <w:rPr>
          <w:rFonts w:ascii="Times New Roman" w:hAnsi="Times New Roman" w:cs="Times New Roman"/>
        </w:rPr>
        <w:t>Any sum recoverable under an insurance or contract of indemnity;</w:t>
      </w:r>
    </w:p>
    <w:p w14:paraId="0540FFDC">
      <w:pPr>
        <w:pStyle w:val="24"/>
        <w:ind w:left="1080" w:hanging="360"/>
        <w:jc w:val="both"/>
        <w:rPr>
          <w:rFonts w:ascii="Times New Roman" w:hAnsi="Times New Roman" w:cs="Times New Roman"/>
        </w:rPr>
      </w:pPr>
      <w:r>
        <w:rPr>
          <w:rFonts w:ascii="Times New Roman" w:hAnsi="Times New Roman" w:cs="Times New Roman"/>
        </w:rPr>
        <w:t xml:space="preserve">v. </w:t>
      </w:r>
      <w:r>
        <w:rPr>
          <w:rFonts w:ascii="Times New Roman" w:hAnsi="Times New Roman" w:cs="Times New Roman"/>
        </w:rPr>
        <w:tab/>
      </w:r>
      <w:r>
        <w:rPr>
          <w:rFonts w:ascii="Times New Roman" w:hAnsi="Times New Roman" w:cs="Times New Roman"/>
        </w:rPr>
        <w:t>Rental of or cost of repairs to any premises or part of premises not incurred for the purpose of those operations; etc.</w:t>
      </w:r>
    </w:p>
    <w:p w14:paraId="29A45225">
      <w:pPr>
        <w:pStyle w:val="24"/>
        <w:ind w:left="720" w:hanging="720"/>
        <w:jc w:val="both"/>
        <w:rPr>
          <w:rFonts w:ascii="Times New Roman" w:hAnsi="Times New Roman" w:cs="Times New Roman"/>
        </w:rPr>
      </w:pPr>
    </w:p>
  </w:footnote>
  <w:footnote w:id="284">
    <w:p w14:paraId="1FF02A4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11, PPTA- non-deductible expenses.</w:t>
      </w:r>
    </w:p>
  </w:footnote>
  <w:footnote w:id="285">
    <w:p w14:paraId="5B92177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[1997] 7 NWLR (pt.514) 698; see also L. Atsegbua, “Tax Deduction Under the Petroleum Profits Tax Act: </w:t>
      </w:r>
    </w:p>
    <w:p w14:paraId="0E9C1DBC">
      <w:pPr>
        <w:pStyle w:val="24"/>
        <w:ind w:firstLine="720"/>
        <w:jc w:val="both"/>
        <w:rPr>
          <w:rFonts w:ascii="Times New Roman" w:hAnsi="Times New Roman" w:cs="Times New Roman"/>
        </w:rPr>
      </w:pPr>
      <w:r>
        <w:rPr>
          <w:rFonts w:ascii="Times New Roman" w:hAnsi="Times New Roman" w:cs="Times New Roman"/>
          <w:i/>
          <w:iCs/>
        </w:rPr>
        <w:t xml:space="preserve">Gulf Oil Co. (Nig.) Ltd. v FBIR” </w:t>
      </w:r>
      <w:r>
        <w:rPr>
          <w:rFonts w:ascii="Times New Roman" w:hAnsi="Times New Roman" w:cs="Times New Roman"/>
        </w:rPr>
        <w:t>[1998] 3 M.I.L.B.Q, 122.</w:t>
      </w:r>
    </w:p>
  </w:footnote>
  <w:footnote w:id="286">
    <w:p w14:paraId="162D6A6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Sections 10(1) (g) &amp; S.II PPTA </w:t>
      </w:r>
    </w:p>
  </w:footnote>
  <w:footnote w:id="287">
    <w:p w14:paraId="675882C1">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10(1) (f) PPTA allows for interest deductibility on sums on affiliate loans, </w:t>
      </w:r>
      <w:r>
        <w:rPr>
          <w:rFonts w:ascii="Times New Roman" w:hAnsi="Times New Roman" w:cs="Times New Roman"/>
          <w:bCs/>
        </w:rPr>
        <w:t>where the Board is</w:t>
      </w:r>
    </w:p>
    <w:p w14:paraId="499D17EE">
      <w:pPr>
        <w:pStyle w:val="24"/>
        <w:ind w:firstLine="720"/>
        <w:jc w:val="both"/>
        <w:rPr>
          <w:rFonts w:ascii="Times New Roman" w:hAnsi="Times New Roman" w:cs="Times New Roman"/>
        </w:rPr>
      </w:pPr>
      <w:r>
        <w:rPr>
          <w:rFonts w:ascii="Times New Roman" w:hAnsi="Times New Roman" w:cs="Times New Roman"/>
          <w:bCs/>
        </w:rPr>
        <w:t xml:space="preserve"> satisfied that the interest was payable on capital employed in carrying on its petroleum operations.</w:t>
      </w:r>
      <w:r>
        <w:rPr>
          <w:rFonts w:ascii="Times New Roman" w:hAnsi="Times New Roman" w:cs="Times New Roman"/>
        </w:rPr>
        <w:tab/>
      </w:r>
    </w:p>
  </w:footnote>
  <w:footnote w:id="288">
    <w:p w14:paraId="2AABDBEE">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[2014] 16 TLRN 25.</w:t>
      </w:r>
    </w:p>
  </w:footnote>
  <w:footnote w:id="289">
    <w:p w14:paraId="1E210477">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Petroleum Profits Tax Act, Cap P13, LFN (2004.</w:t>
      </w:r>
    </w:p>
  </w:footnote>
  <w:footnote w:id="290">
    <w:p w14:paraId="73B51C40">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loan satisfied the “expense deductibility test.”</w:t>
      </w:r>
    </w:p>
  </w:footnote>
  <w:footnote w:id="291">
    <w:p w14:paraId="0609A6FC">
      <w:pPr>
        <w:pStyle w:val="24"/>
        <w:ind w:left="720" w:hanging="720"/>
        <w:jc w:val="both"/>
        <w:rPr>
          <w:rFonts w:ascii="Times New Roman" w:hAnsi="Times New Roman" w:cs="Times New Roman"/>
          <w:lang w:val="da-DK"/>
        </w:rPr>
      </w:pPr>
      <w:r>
        <w:rPr>
          <w:rStyle w:val="23"/>
          <w:rFonts w:ascii="Times New Roman" w:hAnsi="Times New Roman" w:cs="Times New Roman"/>
        </w:rPr>
        <w:footnoteRef/>
      </w:r>
      <w:r>
        <w:rPr>
          <w:rFonts w:ascii="Times New Roman" w:hAnsi="Times New Roman" w:cs="Times New Roman"/>
          <w:lang w:val="da-DK"/>
        </w:rPr>
        <w:t xml:space="preserve">. </w:t>
      </w:r>
      <w:r>
        <w:rPr>
          <w:rFonts w:ascii="Times New Roman" w:hAnsi="Times New Roman" w:cs="Times New Roman"/>
          <w:lang w:val="da-DK"/>
        </w:rPr>
        <w:tab/>
      </w:r>
      <w:r>
        <w:rPr>
          <w:rFonts w:ascii="Times New Roman" w:hAnsi="Times New Roman" w:cs="Times New Roman"/>
          <w:lang w:val="da-DK"/>
        </w:rPr>
        <w:t>[1993] 7 NWLR (Pt 303) page 49 at page 102.</w:t>
      </w:r>
    </w:p>
  </w:footnote>
  <w:footnote w:id="292">
    <w:p w14:paraId="2FD5585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w:t>
      </w:r>
      <w:r>
        <w:rPr>
          <w:rFonts w:ascii="Times New Roman" w:hAnsi="Times New Roman" w:cs="Times New Roman"/>
          <w:bCs/>
        </w:rPr>
        <w:t xml:space="preserve">Associated Gas Re-Injection </w:t>
      </w:r>
      <w:r>
        <w:rPr>
          <w:rFonts w:ascii="Times New Roman" w:hAnsi="Times New Roman" w:cs="Times New Roman"/>
        </w:rPr>
        <w:t xml:space="preserve">Act further provides that no company engaged in the production of oil and </w:t>
      </w:r>
    </w:p>
    <w:p w14:paraId="26AC09B5">
      <w:pPr>
        <w:pStyle w:val="24"/>
        <w:ind w:left="720"/>
        <w:jc w:val="both"/>
        <w:rPr>
          <w:rFonts w:ascii="Times New Roman" w:hAnsi="Times New Roman" w:cs="Times New Roman"/>
        </w:rPr>
      </w:pPr>
      <w:r>
        <w:rPr>
          <w:rFonts w:ascii="Times New Roman" w:hAnsi="Times New Roman" w:cs="Times New Roman"/>
        </w:rPr>
        <w:t xml:space="preserve">gas shall, after the 1st of January 1984, flare gas produced in association with oil without the written permission of the Minister for Petroleum. Under this Act, the Minister has the power to issue a certificate of exemption from the provision of Section 3 to any company upon such terms as he may impose if he is satisfied that utilization or re-injection of the gas produced in a particular field/s is not appropriate. The Act was amended in 1985 to permit a company engaged in the production of oil and gas to continue to flare gas in any field in relation to which the Minister issues a certificate of exemption. </w:t>
      </w:r>
    </w:p>
  </w:footnote>
  <w:footnote w:id="293">
    <w:p w14:paraId="30FD2C63">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w:t>
      </w:r>
      <w:r>
        <w:rPr>
          <w:rFonts w:ascii="Times New Roman" w:hAnsi="Times New Roman" w:cs="Times New Roman"/>
          <w:b/>
          <w:bCs/>
        </w:rPr>
        <w:t>.</w:t>
      </w:r>
      <w:r>
        <w:rPr>
          <w:rFonts w:ascii="Times New Roman" w:hAnsi="Times New Roman" w:cs="Times New Roman"/>
          <w:bCs/>
        </w:rPr>
        <w:t xml:space="preserve"> 11 PPTA provides for incentives for associated gas produced during upstream petroleum operations.</w:t>
      </w:r>
    </w:p>
  </w:footnote>
  <w:footnote w:id="294">
    <w:p w14:paraId="7B9C9E50">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As earlier stated, the MOU executed by NNPC on behalf of the FG with the IOC’s were not enacted as </w:t>
      </w:r>
    </w:p>
    <w:p w14:paraId="427266C9">
      <w:pPr>
        <w:pStyle w:val="24"/>
        <w:ind w:firstLine="720"/>
        <w:rPr>
          <w:rFonts w:ascii="Times New Roman" w:hAnsi="Times New Roman" w:cs="Times New Roman"/>
        </w:rPr>
      </w:pPr>
      <w:r>
        <w:rPr>
          <w:rFonts w:ascii="Times New Roman" w:hAnsi="Times New Roman" w:cs="Times New Roman"/>
        </w:rPr>
        <w:t>legislation and became moribund, upon their non-renewal as required by each MOU.</w:t>
      </w:r>
    </w:p>
  </w:footnote>
  <w:footnote w:id="295">
    <w:p w14:paraId="179CE1D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11(1) PPTA and section 39 of the CITA.</w:t>
      </w:r>
    </w:p>
  </w:footnote>
  <w:footnote w:id="296">
    <w:p w14:paraId="7891D93D">
      <w:pPr>
        <w:pStyle w:val="24"/>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S.39 CITA deals with fiscal incentives granted for non-associated gas for downstream petroleum  </w:t>
      </w:r>
    </w:p>
    <w:p w14:paraId="0E47DFF7">
      <w:pPr>
        <w:pStyle w:val="24"/>
        <w:ind w:firstLine="720"/>
        <w:rPr>
          <w:rFonts w:ascii="Times New Roman" w:hAnsi="Times New Roman" w:cs="Times New Roman"/>
        </w:rPr>
      </w:pPr>
      <w:r>
        <w:rPr>
          <w:rFonts w:ascii="Times New Roman" w:hAnsi="Times New Roman" w:cs="Times New Roman"/>
          <w:bCs/>
        </w:rPr>
        <w:t>operations.</w:t>
      </w:r>
    </w:p>
  </w:footnote>
  <w:footnote w:id="297">
    <w:p w14:paraId="7667C24C">
      <w:pPr>
        <w:pStyle w:val="24"/>
        <w:jc w:val="both"/>
        <w:rPr>
          <w:rFonts w:ascii="Times New Roman" w:hAnsi="Times New Roman" w:cs="Times New Roman"/>
          <w:bCs/>
          <w:lang w:val="e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w:t>
      </w:r>
      <w:r>
        <w:rPr>
          <w:rFonts w:ascii="Times New Roman" w:hAnsi="Times New Roman" w:cs="Times New Roman"/>
          <w:bCs/>
        </w:rPr>
        <w:t>.17 of the PSC Act defines a Production Sharing Contract (PSC) as; ‘</w:t>
      </w:r>
      <w:r>
        <w:rPr>
          <w:rFonts w:ascii="Times New Roman" w:hAnsi="Times New Roman" w:cs="Times New Roman"/>
          <w:bCs/>
          <w:lang w:val="en"/>
        </w:rPr>
        <w:t>any agreement or arrangement</w:t>
      </w:r>
    </w:p>
    <w:p w14:paraId="0595C6F6">
      <w:pPr>
        <w:pStyle w:val="24"/>
        <w:ind w:left="720"/>
        <w:jc w:val="both"/>
        <w:rPr>
          <w:rFonts w:ascii="Times New Roman" w:hAnsi="Times New Roman" w:cs="Times New Roman"/>
        </w:rPr>
      </w:pPr>
      <w:r>
        <w:rPr>
          <w:rFonts w:ascii="Times New Roman" w:hAnsi="Times New Roman" w:cs="Times New Roman"/>
          <w:bCs/>
          <w:lang w:val="en"/>
        </w:rPr>
        <w:t>made between the Corporation or the holder and any other petroleum exploration and production company or companies for the purpose of exploration and production of oil in the Deep Offshore and Inland Basins’.</w:t>
      </w:r>
    </w:p>
  </w:footnote>
  <w:footnote w:id="298">
    <w:p w14:paraId="5DFE8DD4">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The PPTA provides that CA and annual allowances under the Second Schedule are to be computed on the </w:t>
      </w:r>
    </w:p>
    <w:p w14:paraId="0993DC47">
      <w:pPr>
        <w:pStyle w:val="24"/>
        <w:ind w:left="720"/>
        <w:jc w:val="both"/>
        <w:rPr>
          <w:rFonts w:ascii="Times New Roman" w:hAnsi="Times New Roman" w:cs="Times New Roman"/>
        </w:rPr>
      </w:pPr>
      <w:r>
        <w:rPr>
          <w:rFonts w:ascii="Times New Roman" w:hAnsi="Times New Roman" w:cs="Times New Roman"/>
          <w:bCs/>
        </w:rPr>
        <w:t>basis of the total accrued qualifying capital expenditure (QCE), and section 20 (1) on chargeable profits and s.20 (2), s</w:t>
      </w:r>
      <w:r>
        <w:rPr>
          <w:rFonts w:ascii="Times New Roman" w:hAnsi="Times New Roman" w:cs="Times New Roman"/>
        </w:rPr>
        <w:t xml:space="preserve">ubject to the restrictions of s. 20(3) &amp; (4) PPTA. </w:t>
      </w:r>
    </w:p>
  </w:footnote>
  <w:footnote w:id="299">
    <w:p w14:paraId="0876569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Second Schedule on CA computation as amended by s,22 (1) of the PPTA, which the Corporation. </w:t>
      </w:r>
    </w:p>
    <w:p w14:paraId="3EE51E5F">
      <w:pPr>
        <w:pStyle w:val="24"/>
        <w:ind w:left="720"/>
        <w:jc w:val="both"/>
        <w:rPr>
          <w:rFonts w:ascii="Times New Roman" w:hAnsi="Times New Roman" w:cs="Times New Roman"/>
        </w:rPr>
      </w:pPr>
      <w:r>
        <w:rPr>
          <w:rFonts w:ascii="Times New Roman" w:hAnsi="Times New Roman" w:cs="Times New Roman"/>
        </w:rPr>
        <w:t xml:space="preserve">contests states that the Contractor which executed a PSC with the Corporation in 1993 shall, throughout the duration of the PSC, be entitled to claim an investment tax credit allowance as an offset against tax in accordance with the provision of the PSC.  </w:t>
      </w:r>
    </w:p>
  </w:footnote>
  <w:footnote w:id="300">
    <w:p w14:paraId="76CB06D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Chargeable tax is tax ascertained under the provisions of s 22 of the PPTA, and levied upon the profits of </w:t>
      </w:r>
    </w:p>
    <w:p w14:paraId="65D24842">
      <w:pPr>
        <w:pStyle w:val="24"/>
        <w:ind w:left="720"/>
        <w:jc w:val="both"/>
        <w:rPr>
          <w:rFonts w:ascii="Times New Roman" w:hAnsi="Times New Roman" w:cs="Times New Roman"/>
        </w:rPr>
      </w:pPr>
      <w:r>
        <w:rPr>
          <w:rFonts w:ascii="Times New Roman" w:hAnsi="Times New Roman" w:cs="Times New Roman"/>
        </w:rPr>
        <w:t>each accounting period of any company engaged in petroleum operation during that period, a tax to be charged, assessed and payable in accordance with the provisions of this Act.</w:t>
      </w:r>
    </w:p>
  </w:footnote>
  <w:footnote w:id="301">
    <w:p w14:paraId="4F2B0A6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 22(3) PPTA</w:t>
      </w:r>
    </w:p>
  </w:footnote>
  <w:footnote w:id="302">
    <w:p w14:paraId="413A157D">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S. 22(4) refers to the proportion of the percentage of profit of oil split whilst s.22 (5) refers to ‘Contract </w:t>
      </w:r>
    </w:p>
    <w:p w14:paraId="6C57259D">
      <w:pPr>
        <w:pStyle w:val="24"/>
        <w:ind w:firstLine="720"/>
        <w:jc w:val="both"/>
        <w:rPr>
          <w:rFonts w:ascii="Times New Roman" w:hAnsi="Times New Roman" w:cs="Times New Roman"/>
        </w:rPr>
      </w:pPr>
      <w:r>
        <w:rPr>
          <w:rFonts w:ascii="Times New Roman" w:hAnsi="Times New Roman" w:cs="Times New Roman"/>
          <w:bCs/>
        </w:rPr>
        <w:t>area’ as defined in the PSC.</w:t>
      </w:r>
    </w:p>
  </w:footnote>
  <w:footnote w:id="303">
    <w:p w14:paraId="664AE3A1">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The PSC Act expressly states and requires the Corporation or the Holder to make payments on behalf of</w:t>
      </w:r>
    </w:p>
    <w:p w14:paraId="620B9165">
      <w:pPr>
        <w:pStyle w:val="24"/>
        <w:ind w:left="720" w:firstLine="48"/>
        <w:jc w:val="both"/>
        <w:rPr>
          <w:rFonts w:ascii="Times New Roman" w:hAnsi="Times New Roman" w:cs="Times New Roman"/>
        </w:rPr>
      </w:pPr>
      <w:r>
        <w:rPr>
          <w:rFonts w:ascii="Times New Roman" w:hAnsi="Times New Roman" w:cs="Times New Roman"/>
          <w:bCs/>
        </w:rPr>
        <w:t>both parties, whilst separate tax receipts are to be issued to NNPC or Holder and the Contractor, respectively. The question that has arisen from this provision is whether the Corporation is required to compute the PPT liability on the Contract Area or and file the returns as prepared by the Contractor. Statutorily, a party liable to PPT is responsible for computing and determining its PPT liability and is entitled to the CA.</w:t>
      </w:r>
    </w:p>
  </w:footnote>
  <w:footnote w:id="304">
    <w:p w14:paraId="70D5BDD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16 PSC Act. LFN </w:t>
      </w:r>
    </w:p>
  </w:footnote>
  <w:footnote w:id="305">
    <w:p w14:paraId="52E09508">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Ifueko Omogui-Okauro, 'The Challenges of Effective Tax Legislation and Revenue Administration for Funding of Public Services In Nigeria: The Role Of Tax Professionals' (Abuja, 2015) 4.</w:t>
      </w:r>
    </w:p>
  </w:footnote>
  <w:footnote w:id="306">
    <w:p w14:paraId="0CC2291A">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These were Shell’s Bonga, ExxonMobil’s Erha, Chevron’s Agbami, and Total’s Akpo and Usan fields, in</w:t>
      </w:r>
    </w:p>
    <w:p w14:paraId="0FAF9214">
      <w:pPr>
        <w:pStyle w:val="24"/>
        <w:ind w:left="720" w:firstLine="45"/>
        <w:jc w:val="both"/>
        <w:rPr>
          <w:rFonts w:ascii="Times New Roman" w:hAnsi="Times New Roman" w:cs="Times New Roman"/>
        </w:rPr>
      </w:pPr>
      <w:r>
        <w:rPr>
          <w:rFonts w:ascii="Times New Roman" w:hAnsi="Times New Roman" w:cs="Times New Roman"/>
          <w:bCs/>
          <w:iCs/>
        </w:rPr>
        <w:t xml:space="preserve">water depths above 1000 metres. Consequently, the Contractors paid zero royalties to the FG in these prolific fields. </w:t>
      </w:r>
    </w:p>
  </w:footnote>
  <w:footnote w:id="307">
    <w:p w14:paraId="5D83D59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16(1) PSC Act - what is economically beneficial to the Government of the Federation is not defined </w:t>
      </w:r>
    </w:p>
    <w:p w14:paraId="25A6EBC3">
      <w:pPr>
        <w:pStyle w:val="24"/>
        <w:ind w:left="720"/>
        <w:jc w:val="both"/>
        <w:rPr>
          <w:rFonts w:ascii="Times New Roman" w:hAnsi="Times New Roman" w:cs="Times New Roman"/>
        </w:rPr>
      </w:pPr>
      <w:r>
        <w:rPr>
          <w:rFonts w:ascii="Times New Roman" w:hAnsi="Times New Roman" w:cs="Times New Roman"/>
        </w:rPr>
        <w:t>in the provision and no parameters are set for determining, thus may have added to the ambiguity, or non-enforcement of the provision.</w:t>
      </w:r>
    </w:p>
  </w:footnote>
  <w:footnote w:id="308">
    <w:p w14:paraId="0FAF57C2">
      <w:pPr>
        <w:pStyle w:val="24"/>
        <w:jc w:val="both"/>
        <w:rPr>
          <w:rFonts w:ascii="Times New Roman" w:hAnsi="Times New Roman" w:cs="Times New Roman"/>
          <w:bCs/>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bookmarkStart w:id="40" w:name="_Hlk138849564"/>
      <w:r>
        <w:rPr>
          <w:rFonts w:ascii="Times New Roman" w:hAnsi="Times New Roman" w:cs="Times New Roman"/>
          <w:i/>
          <w:iCs/>
        </w:rPr>
        <w:t>Attorney Generals of Rivers, Bayelsa &amp; Akwa Ibom States</w:t>
      </w:r>
      <w:r>
        <w:rPr>
          <w:rFonts w:ascii="Times New Roman" w:hAnsi="Times New Roman" w:cs="Times New Roman"/>
        </w:rPr>
        <w:t xml:space="preserve"> </w:t>
      </w:r>
      <w:r>
        <w:rPr>
          <w:rFonts w:ascii="Times New Roman" w:hAnsi="Times New Roman" w:cs="Times New Roman"/>
          <w:bCs/>
          <w:i/>
          <w:iCs/>
        </w:rPr>
        <w:t>vs Attorney General of the Federation</w:t>
      </w:r>
    </w:p>
    <w:p w14:paraId="54C65EA1">
      <w:pPr>
        <w:pStyle w:val="24"/>
        <w:ind w:firstLine="720"/>
        <w:jc w:val="both"/>
        <w:rPr>
          <w:rFonts w:ascii="Times New Roman" w:hAnsi="Times New Roman" w:cs="Times New Roman"/>
        </w:rPr>
      </w:pPr>
      <w:r>
        <w:rPr>
          <w:rFonts w:ascii="Times New Roman" w:hAnsi="Times New Roman" w:cs="Times New Roman"/>
          <w:bCs/>
          <w:i/>
          <w:iCs/>
        </w:rPr>
        <w:t xml:space="preserve"> (Respondent)</w:t>
      </w:r>
      <w:r>
        <w:rPr>
          <w:rFonts w:ascii="Times New Roman" w:hAnsi="Times New Roman" w:cs="Times New Roman"/>
        </w:rPr>
        <w:t>Suit No. SC964/2016 / Supreme Court of Nigeria judgment of October 17, 2018.</w:t>
      </w:r>
    </w:p>
    <w:bookmarkEnd w:id="40"/>
  </w:footnote>
  <w:footnote w:id="309">
    <w:p w14:paraId="5929265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S.16(2) PSC Act.</w:t>
      </w:r>
    </w:p>
  </w:footnote>
  <w:footnote w:id="310">
    <w:p w14:paraId="1AAFFDD8">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S</w:t>
      </w:r>
      <w:r>
        <w:rPr>
          <w:rFonts w:ascii="Times New Roman" w:hAnsi="Times New Roman" w:cs="Times New Roman"/>
          <w:bCs/>
        </w:rPr>
        <w:t xml:space="preserve">ection 16 (2), which addresses the </w:t>
      </w:r>
      <w:r>
        <w:rPr>
          <w:rFonts w:ascii="Times New Roman" w:hAnsi="Times New Roman" w:cs="Times New Roman"/>
          <w:bCs/>
          <w:iCs/>
        </w:rPr>
        <w:t>periodic review of the PSC Act was not brought before the apex Court</w:t>
      </w:r>
    </w:p>
    <w:p w14:paraId="6CAA0A14">
      <w:pPr>
        <w:pStyle w:val="24"/>
        <w:ind w:left="720" w:firstLine="48"/>
        <w:jc w:val="both"/>
        <w:rPr>
          <w:rFonts w:ascii="Times New Roman" w:hAnsi="Times New Roman" w:cs="Times New Roman"/>
        </w:rPr>
      </w:pPr>
      <w:r>
        <w:rPr>
          <w:rFonts w:ascii="Times New Roman" w:hAnsi="Times New Roman" w:cs="Times New Roman"/>
          <w:bCs/>
          <w:iCs/>
        </w:rPr>
        <w:t>for determination, so this was a missed opportunity for the court to rule on it.</w:t>
      </w:r>
      <w:r>
        <w:rPr>
          <w:rFonts w:ascii="Times New Roman" w:hAnsi="Times New Roman" w:cs="Times New Roman"/>
          <w:bCs/>
          <w:iCs/>
          <w:sz w:val="24"/>
          <w:szCs w:val="24"/>
        </w:rPr>
        <w:t xml:space="preserve"> </w:t>
      </w:r>
      <w:r>
        <w:rPr>
          <w:rFonts w:ascii="Times New Roman" w:hAnsi="Times New Roman" w:cs="Times New Roman"/>
          <w:bCs/>
          <w:iCs/>
        </w:rPr>
        <w:t>The declaratory relief therefore required the calculation retrospectively of the lost revenue for crude oil sales more than the threshold crude price per barrel of $20 in real terms, in line with s. 16 of the PSC Act.</w:t>
      </w:r>
    </w:p>
  </w:footnote>
  <w:footnote w:id="311">
    <w:p w14:paraId="52518D76">
      <w:pPr>
        <w:pStyle w:val="24"/>
        <w:jc w:val="both"/>
        <w:rPr>
          <w:rFonts w:ascii="Times New Roman" w:hAnsi="Times New Roman" w:cs="Times New Roman"/>
          <w:bCs/>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
          <w:iCs/>
        </w:rPr>
        <w:t>A-G Abia &amp; Ors. v. A-G Federation 2003 4 NWLR (Pt.809), 124</w:t>
      </w:r>
      <w:r>
        <w:rPr>
          <w:rFonts w:ascii="Times New Roman" w:hAnsi="Times New Roman" w:cs="Times New Roman"/>
        </w:rPr>
        <w:t xml:space="preserve"> and </w:t>
      </w:r>
      <w:r>
        <w:rPr>
          <w:rFonts w:ascii="Times New Roman" w:hAnsi="Times New Roman" w:cs="Times New Roman"/>
          <w:bCs/>
          <w:i/>
          <w:iCs/>
        </w:rPr>
        <w:t>A-G Federation v. A-G Abia &amp; Ors.</w:t>
      </w:r>
    </w:p>
    <w:p w14:paraId="1DACCCCC">
      <w:pPr>
        <w:pStyle w:val="24"/>
        <w:ind w:left="720" w:firstLine="45"/>
        <w:jc w:val="both"/>
        <w:rPr>
          <w:rFonts w:ascii="Times New Roman" w:hAnsi="Times New Roman" w:cs="Times New Roman"/>
        </w:rPr>
      </w:pPr>
      <w:r>
        <w:rPr>
          <w:rFonts w:ascii="Times New Roman" w:hAnsi="Times New Roman" w:cs="Times New Roman"/>
          <w:bCs/>
          <w:i/>
          <w:iCs/>
        </w:rPr>
        <w:t>(2001) LPELR 24862 (SC)</w:t>
      </w:r>
      <w:r>
        <w:rPr>
          <w:rFonts w:ascii="Times New Roman" w:hAnsi="Times New Roman" w:cs="Times New Roman"/>
        </w:rPr>
        <w:t xml:space="preserve"> also on issues relating to accruals to the Federation Account and manner of its distribution pursuant to </w:t>
      </w:r>
      <w:r>
        <w:rPr>
          <w:rFonts w:ascii="Times New Roman" w:hAnsi="Times New Roman" w:cs="Times New Roman"/>
          <w:bCs/>
          <w:i/>
          <w:iCs/>
        </w:rPr>
        <w:t>section 162, of the 1999 Constitution</w:t>
      </w:r>
      <w:r>
        <w:rPr>
          <w:rFonts w:ascii="Times New Roman" w:hAnsi="Times New Roman" w:cs="Times New Roman"/>
        </w:rPr>
        <w:t xml:space="preserve"> where all the States were parties. The general rule is that </w:t>
      </w:r>
      <w:r>
        <w:rPr>
          <w:rFonts w:ascii="Times New Roman" w:hAnsi="Times New Roman" w:cs="Times New Roman"/>
          <w:bCs/>
          <w:i/>
          <w:iCs/>
        </w:rPr>
        <w:t>once the issues affect all States</w:t>
      </w:r>
      <w:r>
        <w:rPr>
          <w:rFonts w:ascii="Times New Roman" w:hAnsi="Times New Roman" w:cs="Times New Roman"/>
        </w:rPr>
        <w:t xml:space="preserve">, the A-Gs of all the States will be joint Plaintiffs or if A-G of the Federation is the Plaintiff, he must join all States as Respondents. For example, in </w:t>
      </w:r>
      <w:r>
        <w:rPr>
          <w:rFonts w:ascii="Times New Roman" w:hAnsi="Times New Roman" w:cs="Times New Roman"/>
          <w:bCs/>
          <w:i/>
          <w:iCs/>
        </w:rPr>
        <w:t>A-G Abia &amp; v. A-G Federation &amp; Ors. SC73/2006 of 23/12/2007,</w:t>
      </w:r>
      <w:r>
        <w:rPr>
          <w:rFonts w:ascii="Times New Roman" w:hAnsi="Times New Roman" w:cs="Times New Roman"/>
        </w:rPr>
        <w:t xml:space="preserve"> the Plaintiff joined all other A-Gs in the suit challenging the ability of the Economic and Financial Crimes Commission (EFCC)'s ability to access State Government accounts during their investigations, given the constitutional underpinnings of Nigeria's federal system.</w:t>
      </w:r>
    </w:p>
  </w:footnote>
  <w:footnote w:id="312">
    <w:p w14:paraId="09397B4A">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 xml:space="preserve">Other pertinent questions that the consent judgement and the approach adopted by the parties, and which </w:t>
      </w:r>
    </w:p>
    <w:p w14:paraId="7D3B7CCD">
      <w:pPr>
        <w:pStyle w:val="24"/>
        <w:ind w:left="720"/>
        <w:jc w:val="both"/>
        <w:rPr>
          <w:rFonts w:ascii="Times New Roman" w:hAnsi="Times New Roman" w:cs="Times New Roman"/>
          <w:bCs/>
          <w:iCs/>
        </w:rPr>
      </w:pPr>
      <w:r>
        <w:rPr>
          <w:rFonts w:ascii="Times New Roman" w:hAnsi="Times New Roman" w:cs="Times New Roman"/>
          <w:bCs/>
          <w:iCs/>
        </w:rPr>
        <w:t xml:space="preserve">require further interrogation include whether the doctrine of legitimate expectation can be extended to include good faith on the part of the Contractors, and </w:t>
      </w:r>
      <w:r>
        <w:rPr>
          <w:rFonts w:ascii="Times New Roman" w:hAnsi="Times New Roman" w:cs="Times New Roman"/>
          <w:bCs/>
        </w:rPr>
        <w:t>the fact that the PSC Contractors were not, and could not have been 'parties' to the case before the SC, given that the matter was instituted pursuant to the original jurisdiction of the SC.</w:t>
      </w:r>
    </w:p>
  </w:footnote>
  <w:footnote w:id="313">
    <w:p w14:paraId="3A6AC91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Clause 19 of t</w:t>
      </w:r>
      <w:r>
        <w:rPr>
          <w:rFonts w:ascii="Times New Roman" w:hAnsi="Times New Roman" w:cs="Times New Roman"/>
        </w:rPr>
        <w:t>he typical 1993 PSC"</w:t>
      </w:r>
    </w:p>
  </w:footnote>
  <w:footnote w:id="314">
    <w:p w14:paraId="2DB0E3C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When is liability expected to crystallise under the section? It is not enough to see this court process as </w:t>
      </w:r>
    </w:p>
    <w:p w14:paraId="761FF9A6">
      <w:pPr>
        <w:pStyle w:val="24"/>
        <w:ind w:left="720" w:firstLine="48"/>
        <w:jc w:val="both"/>
        <w:rPr>
          <w:rFonts w:ascii="Times New Roman" w:hAnsi="Times New Roman" w:cs="Times New Roman"/>
        </w:rPr>
      </w:pPr>
      <w:r>
        <w:rPr>
          <w:rFonts w:ascii="Times New Roman" w:hAnsi="Times New Roman" w:cs="Times New Roman"/>
        </w:rPr>
        <w:t>an uncontested case. The history of NNPC and Government effort at invalidating its accrued liabilities perhaps informed the Government approach under the legal process.</w:t>
      </w:r>
    </w:p>
  </w:footnote>
  <w:footnote w:id="315">
    <w:p w14:paraId="43B94EC3">
      <w:pPr>
        <w:pStyle w:val="24"/>
        <w:jc w:val="both"/>
        <w:rPr>
          <w:rFonts w:ascii="Times New Roman" w:hAnsi="Times New Roman" w:cs="Times New Roman"/>
          <w:bCs/>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As a rule of taxation, tax laws cannot be retroactive, as reiterated by the SC in </w:t>
      </w:r>
      <w:r>
        <w:rPr>
          <w:rFonts w:ascii="Times New Roman" w:hAnsi="Times New Roman" w:cs="Times New Roman"/>
          <w:bCs/>
          <w:i/>
          <w:iCs/>
        </w:rPr>
        <w:t>Peenok Investments</w:t>
      </w:r>
    </w:p>
    <w:p w14:paraId="370F799D">
      <w:pPr>
        <w:pStyle w:val="24"/>
        <w:ind w:left="720" w:firstLine="45"/>
        <w:jc w:val="both"/>
        <w:rPr>
          <w:rFonts w:ascii="Times New Roman" w:hAnsi="Times New Roman" w:cs="Times New Roman"/>
        </w:rPr>
      </w:pPr>
      <w:r>
        <w:rPr>
          <w:rFonts w:ascii="Times New Roman" w:hAnsi="Times New Roman" w:cs="Times New Roman"/>
          <w:bCs/>
          <w:i/>
          <w:iCs/>
        </w:rPr>
        <w:t>Ltd v. Hotel Presidential (1982) 12 SC 1</w:t>
      </w:r>
      <w:r>
        <w:rPr>
          <w:rFonts w:ascii="Times New Roman" w:hAnsi="Times New Roman" w:cs="Times New Roman"/>
          <w:b/>
          <w:bCs/>
          <w:i/>
          <w:iCs/>
        </w:rPr>
        <w:t>.</w:t>
      </w:r>
      <w:r>
        <w:rPr>
          <w:rFonts w:ascii="Times New Roman" w:hAnsi="Times New Roman" w:cs="Times New Roman"/>
        </w:rPr>
        <w:t xml:space="preserve"> See also </w:t>
      </w:r>
      <w:r>
        <w:rPr>
          <w:rFonts w:ascii="Times New Roman" w:hAnsi="Times New Roman" w:cs="Times New Roman"/>
          <w:bCs/>
          <w:i/>
          <w:iCs/>
        </w:rPr>
        <w:t>SPDCN Ltd v. Amaro 2015 12 NWLR (Pt. 1472), 122 at 140</w:t>
      </w:r>
      <w:r>
        <w:rPr>
          <w:rFonts w:ascii="Times New Roman" w:hAnsi="Times New Roman" w:cs="Times New Roman"/>
        </w:rPr>
        <w:t xml:space="preserve"> where the SC held that "</w:t>
      </w:r>
      <w:r>
        <w:rPr>
          <w:rFonts w:ascii="Times New Roman" w:hAnsi="Times New Roman" w:cs="Times New Roman"/>
          <w:i/>
          <w:iCs/>
        </w:rPr>
        <w:t>And, unless it affects purely procedural matters, a statute cannot apply retrospectively unless it is made to do so by clear and express terms</w:t>
      </w:r>
      <w:r>
        <w:rPr>
          <w:rFonts w:ascii="Times New Roman" w:hAnsi="Times New Roman" w:cs="Times New Roman"/>
        </w:rPr>
        <w:t xml:space="preserve">." It is also trite that tax laws, being 'coercive' by nature are always strictly construed: </w:t>
      </w:r>
      <w:r>
        <w:rPr>
          <w:rFonts w:ascii="Times New Roman" w:hAnsi="Times New Roman" w:cs="Times New Roman"/>
          <w:bCs/>
          <w:i/>
          <w:iCs/>
        </w:rPr>
        <w:t>FBIR v. Halliburton (WA) Ltd</w:t>
      </w:r>
      <w:r>
        <w:rPr>
          <w:rFonts w:ascii="Times New Roman" w:hAnsi="Times New Roman" w:cs="Times New Roman"/>
        </w:rPr>
        <w:t xml:space="preserve"> </w:t>
      </w:r>
      <w:r>
        <w:rPr>
          <w:rFonts w:ascii="Times New Roman" w:hAnsi="Times New Roman" w:cs="Times New Roman"/>
          <w:bCs/>
          <w:i/>
          <w:iCs/>
        </w:rPr>
        <w:t>2016 4 NWLR (Pt. 1501) 53 at 89F -90B.</w:t>
      </w:r>
    </w:p>
  </w:footnote>
  <w:footnote w:id="316">
    <w:p w14:paraId="67B94FA7">
      <w:pPr>
        <w:pStyle w:val="24"/>
        <w:jc w:val="both"/>
        <w:rPr>
          <w:rFonts w:ascii="Times New Roman" w:hAnsi="Times New Roman" w:cs="Times New Roman"/>
        </w:rPr>
      </w:pPr>
      <w:r>
        <w:rPr>
          <w:rStyle w:val="23"/>
          <w:rFonts w:ascii="Times New Roman" w:hAnsi="Times New Roman" w:cs="Times New Roman"/>
          <w:i/>
        </w:rPr>
        <w:footnoteRef/>
      </w: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rPr>
        <w:t xml:space="preserve">See </w:t>
      </w:r>
      <w:r>
        <w:rPr>
          <w:rFonts w:ascii="Times New Roman" w:hAnsi="Times New Roman" w:cs="Times New Roman"/>
          <w:bCs/>
          <w:iCs/>
        </w:rPr>
        <w:t xml:space="preserve">NEITI; Brief states at p.1, that </w:t>
      </w:r>
      <w:r>
        <w:rPr>
          <w:rFonts w:ascii="Times New Roman" w:hAnsi="Times New Roman" w:cs="Times New Roman"/>
          <w:iCs/>
        </w:rPr>
        <w:t>t</w:t>
      </w:r>
      <w:r>
        <w:rPr>
          <w:rFonts w:ascii="Times New Roman" w:hAnsi="Times New Roman" w:cs="Times New Roman"/>
        </w:rPr>
        <w:t xml:space="preserve">he results reveal that if the PSC contracts had been reviewed in 2008, </w:t>
      </w:r>
    </w:p>
    <w:p w14:paraId="4B31AEC8">
      <w:pPr>
        <w:pStyle w:val="24"/>
        <w:ind w:left="720"/>
        <w:jc w:val="both"/>
        <w:rPr>
          <w:rFonts w:ascii="Times New Roman" w:hAnsi="Times New Roman" w:cs="Times New Roman"/>
        </w:rPr>
      </w:pPr>
      <w:r>
        <w:rPr>
          <w:rFonts w:ascii="Times New Roman" w:hAnsi="Times New Roman" w:cs="Times New Roman"/>
        </w:rPr>
        <w:t xml:space="preserve">and the fiscal regime from the 2005 PSC licensing round had been applied, additional revenue to the Federation between 2008 and 2017 would have been higher by between $16.03 billion and $28.61 billion. See also Chineme Okafor, </w:t>
      </w:r>
      <w:r>
        <w:rPr>
          <w:rFonts w:ascii="Times New Roman" w:hAnsi="Times New Roman" w:cs="Times New Roman"/>
          <w:i/>
          <w:iCs/>
        </w:rPr>
        <w:t>'</w:t>
      </w:r>
      <w:r>
        <w:rPr>
          <w:rFonts w:ascii="Times New Roman" w:hAnsi="Times New Roman" w:cs="Times New Roman"/>
          <w:bCs/>
          <w:i/>
          <w:iCs/>
        </w:rPr>
        <w:t>NEITI: Nigeria Lost $28bn to Outdated Crude Oil PSCs'</w:t>
      </w:r>
      <w:r>
        <w:rPr>
          <w:rFonts w:ascii="Times New Roman" w:hAnsi="Times New Roman" w:cs="Times New Roman"/>
          <w:b/>
          <w:bCs/>
        </w:rPr>
        <w:t>,</w:t>
      </w:r>
      <w:r>
        <w:rPr>
          <w:rFonts w:ascii="Times New Roman" w:hAnsi="Times New Roman" w:cs="Times New Roman"/>
        </w:rPr>
        <w:t xml:space="preserve"> </w:t>
      </w:r>
      <w:r>
        <w:rPr>
          <w:rFonts w:ascii="Times New Roman" w:hAnsi="Times New Roman" w:cs="Times New Roman"/>
          <w:iCs/>
        </w:rPr>
        <w:t>ThisDay, 04.03.2019</w:t>
      </w:r>
      <w:r>
        <w:rPr>
          <w:rFonts w:ascii="Times New Roman" w:hAnsi="Times New Roman" w:cs="Times New Roman"/>
        </w:rPr>
        <w:t xml:space="preserve">: </w:t>
      </w:r>
      <w:r>
        <w:fldChar w:fldCharType="begin"/>
      </w:r>
      <w:r>
        <w:instrText xml:space="preserve"> HYPERLINK "https://www.thisdaylive.com/index.php/2019/03/04/neiti-nigeria-lost-28bn-to-outdated-crude-oil-pscs/" \t "_blank" </w:instrText>
      </w:r>
      <w:r>
        <w:fldChar w:fldCharType="separate"/>
      </w:r>
      <w:r>
        <w:rPr>
          <w:rStyle w:val="27"/>
          <w:rFonts w:ascii="Times New Roman" w:hAnsi="Times New Roman" w:cs="Times New Roman"/>
          <w:u w:val="none"/>
        </w:rPr>
        <w:t>https://www.thisdaylive.com/index.php/2019/03/04/neiti-nigeria-lost-28bn-to-outdated-crude-oil-pscs/</w:t>
      </w:r>
      <w:r>
        <w:rPr>
          <w:rStyle w:val="27"/>
          <w:rFonts w:ascii="Times New Roman" w:hAnsi="Times New Roman" w:cs="Times New Roman"/>
          <w:u w:val="none"/>
        </w:rPr>
        <w:fldChar w:fldCharType="end"/>
      </w:r>
      <w:r>
        <w:rPr>
          <w:rFonts w:ascii="Times New Roman" w:hAnsi="Times New Roman" w:cs="Times New Roman"/>
        </w:rPr>
        <w:t xml:space="preserve"> (accessed 06.03.2019). </w:t>
      </w:r>
      <w:r>
        <w:rPr>
          <w:rFonts w:ascii="Times New Roman" w:hAnsi="Times New Roman" w:cs="Times New Roman"/>
          <w:bCs/>
        </w:rPr>
        <w:t xml:space="preserve">NEITI's analysis </w:t>
      </w:r>
      <w:r>
        <w:rPr>
          <w:rFonts w:ascii="Times New Roman" w:hAnsi="Times New Roman" w:cs="Times New Roman"/>
          <w:bCs/>
          <w:iCs/>
        </w:rPr>
        <w:t xml:space="preserve">"was conducted by changing the fiscal regime of the 1993 PSCs to the fiscal regime of the 2005 PSCs." </w:t>
      </w:r>
    </w:p>
  </w:footnote>
  <w:footnote w:id="317">
    <w:p w14:paraId="4C0B04D3">
      <w:pPr>
        <w:pStyle w:val="24"/>
        <w:jc w:val="both"/>
        <w:rPr>
          <w:rFonts w:ascii="Times New Roman" w:hAnsi="Times New Roman" w:cs="Times New Roman"/>
          <w:bCs/>
        </w:rPr>
      </w:pPr>
      <w:r>
        <w:rPr>
          <w:rStyle w:val="23"/>
          <w:rFonts w:ascii="Times New Roman" w:hAnsi="Times New Roman" w:cs="Times New Roman"/>
          <w:i/>
        </w:rPr>
        <w:footnoteRef/>
      </w:r>
      <w:r>
        <w:rPr>
          <w:rFonts w:ascii="Times New Roman" w:hAnsi="Times New Roman" w:cs="Times New Roman"/>
          <w:i/>
        </w:rPr>
        <w:t xml:space="preserve"> </w:t>
      </w:r>
      <w:r>
        <w:rPr>
          <w:rFonts w:ascii="Times New Roman" w:hAnsi="Times New Roman" w:cs="Times New Roman"/>
          <w:bCs/>
        </w:rPr>
        <w:tab/>
      </w:r>
      <w:r>
        <w:rPr>
          <w:rFonts w:ascii="Times New Roman" w:hAnsi="Times New Roman" w:cs="Times New Roman"/>
          <w:bCs/>
        </w:rPr>
        <w:t xml:space="preserve">The amended royalty regime with a baseline royalty of 10% for crude oil and condensates produced in </w:t>
      </w:r>
    </w:p>
    <w:p w14:paraId="5DC4E825">
      <w:pPr>
        <w:pStyle w:val="24"/>
        <w:ind w:left="720"/>
        <w:jc w:val="both"/>
        <w:rPr>
          <w:rFonts w:ascii="Times New Roman" w:hAnsi="Times New Roman" w:cs="Times New Roman"/>
          <w:bCs/>
        </w:rPr>
      </w:pPr>
      <w:r>
        <w:rPr>
          <w:rFonts w:ascii="Times New Roman" w:hAnsi="Times New Roman" w:cs="Times New Roman"/>
          <w:bCs/>
        </w:rPr>
        <w:t xml:space="preserve">the deep offshore (greater than 200-meter water depth) and 7.5% for the Frontier and Inland Basin when the price exceeds $20 per barrel.  The graduated royalty rates are as follows: </w:t>
      </w:r>
    </w:p>
    <w:p w14:paraId="660AB6F2">
      <w:pPr>
        <w:pStyle w:val="24"/>
        <w:numPr>
          <w:ilvl w:val="0"/>
          <w:numId w:val="2"/>
        </w:numPr>
        <w:jc w:val="both"/>
        <w:rPr>
          <w:rFonts w:ascii="Times New Roman" w:hAnsi="Times New Roman" w:cs="Times New Roman"/>
          <w:bCs/>
        </w:rPr>
      </w:pPr>
      <w:r>
        <w:rPr>
          <w:rFonts w:ascii="Times New Roman" w:hAnsi="Times New Roman" w:cs="Times New Roman"/>
          <w:bCs/>
        </w:rPr>
        <w:t>From $0 up to $20 per barrel 0%,</w:t>
      </w:r>
    </w:p>
    <w:p w14:paraId="44194425">
      <w:pPr>
        <w:pStyle w:val="24"/>
        <w:numPr>
          <w:ilvl w:val="0"/>
          <w:numId w:val="2"/>
        </w:numPr>
        <w:jc w:val="both"/>
        <w:rPr>
          <w:rFonts w:ascii="Times New Roman" w:hAnsi="Times New Roman" w:cs="Times New Roman"/>
          <w:bCs/>
        </w:rPr>
      </w:pPr>
      <w:r>
        <w:rPr>
          <w:rFonts w:ascii="Times New Roman" w:hAnsi="Times New Roman" w:cs="Times New Roman"/>
          <w:bCs/>
        </w:rPr>
        <w:t>above $20 and up to US $60 - 2.5%.</w:t>
      </w:r>
    </w:p>
    <w:p w14:paraId="18581E4E">
      <w:pPr>
        <w:pStyle w:val="24"/>
        <w:numPr>
          <w:ilvl w:val="0"/>
          <w:numId w:val="2"/>
        </w:numPr>
        <w:jc w:val="both"/>
        <w:rPr>
          <w:rFonts w:ascii="Times New Roman" w:hAnsi="Times New Roman" w:cs="Times New Roman"/>
          <w:bCs/>
        </w:rPr>
      </w:pPr>
      <w:r>
        <w:rPr>
          <w:rFonts w:ascii="Times New Roman" w:hAnsi="Times New Roman" w:cs="Times New Roman"/>
          <w:bCs/>
        </w:rPr>
        <w:t>above $60 and up to US $100 - 4.0%,</w:t>
      </w:r>
    </w:p>
    <w:p w14:paraId="078F482B">
      <w:pPr>
        <w:pStyle w:val="24"/>
        <w:numPr>
          <w:ilvl w:val="0"/>
          <w:numId w:val="2"/>
        </w:numPr>
        <w:jc w:val="both"/>
        <w:rPr>
          <w:rFonts w:ascii="Times New Roman" w:hAnsi="Times New Roman" w:cs="Times New Roman"/>
          <w:bCs/>
        </w:rPr>
      </w:pPr>
      <w:r>
        <w:rPr>
          <w:rFonts w:ascii="Times New Roman" w:hAnsi="Times New Roman" w:cs="Times New Roman"/>
          <w:bCs/>
        </w:rPr>
        <w:t>above $100 and up to US $150 - 8.0%,</w:t>
      </w:r>
    </w:p>
    <w:p w14:paraId="1ED04515">
      <w:pPr>
        <w:pStyle w:val="24"/>
        <w:numPr>
          <w:ilvl w:val="0"/>
          <w:numId w:val="2"/>
        </w:numPr>
        <w:jc w:val="both"/>
        <w:rPr>
          <w:rFonts w:ascii="Times New Roman" w:hAnsi="Times New Roman" w:cs="Times New Roman"/>
        </w:rPr>
      </w:pPr>
      <w:r>
        <w:rPr>
          <w:rFonts w:ascii="Times New Roman" w:hAnsi="Times New Roman" w:cs="Times New Roman"/>
          <w:bCs/>
        </w:rPr>
        <w:t>above $150 - 10.0%.</w:t>
      </w:r>
    </w:p>
  </w:footnote>
  <w:footnote w:id="318">
    <w:p w14:paraId="36F6F798">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16A PSC Act: </w:t>
      </w:r>
      <w:r>
        <w:rPr>
          <w:rFonts w:ascii="Times New Roman" w:hAnsi="Times New Roman" w:cs="Times New Roman"/>
          <w:bCs/>
        </w:rPr>
        <w:t xml:space="preserve">The mandatory review every 8 years should, therefore, not apply to such PSCs; </w:t>
      </w:r>
    </w:p>
    <w:p w14:paraId="3B854834">
      <w:pPr>
        <w:pStyle w:val="24"/>
        <w:ind w:left="720"/>
        <w:jc w:val="both"/>
        <w:rPr>
          <w:rFonts w:ascii="Times New Roman" w:hAnsi="Times New Roman" w:cs="Times New Roman"/>
        </w:rPr>
      </w:pPr>
      <w:r>
        <w:rPr>
          <w:rFonts w:ascii="Times New Roman" w:hAnsi="Times New Roman" w:cs="Times New Roman"/>
          <w:bCs/>
        </w:rPr>
        <w:t>though it is more likely that government will exercise its back-in right in such mining leases in the event of a significant commercial discovery.</w:t>
      </w:r>
    </w:p>
  </w:footnote>
  <w:footnote w:id="319">
    <w:p w14:paraId="032FBF6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Section 16 (B), PSC Act. </w:t>
      </w:r>
    </w:p>
  </w:footnote>
  <w:footnote w:id="320">
    <w:p w14:paraId="59CE4AA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Petroleum Industry Act (PIA) which has repealed the PPTA, and other Acts attempts to address some </w:t>
      </w:r>
    </w:p>
    <w:p w14:paraId="5A11BA29">
      <w:pPr>
        <w:pStyle w:val="24"/>
        <w:ind w:left="720" w:firstLine="48"/>
        <w:jc w:val="both"/>
        <w:rPr>
          <w:rFonts w:ascii="Times New Roman" w:hAnsi="Times New Roman" w:cs="Times New Roman"/>
        </w:rPr>
      </w:pPr>
      <w:r>
        <w:rPr>
          <w:rFonts w:ascii="Times New Roman" w:hAnsi="Times New Roman" w:cs="Times New Roman"/>
        </w:rPr>
        <w:t xml:space="preserve">of these fiscal policy inconsistencies and structured tax policy and law review. These are identified and examined in Chapter 9 of this Thesis. </w:t>
      </w:r>
    </w:p>
  </w:footnote>
  <w:footnote w:id="321">
    <w:p w14:paraId="751FA629">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Shell International Petroleum Mattschappij BV v FBIR</w:t>
      </w:r>
      <w:r>
        <w:rPr>
          <w:rFonts w:ascii="Times New Roman" w:hAnsi="Times New Roman" w:cs="Times New Roman"/>
        </w:rPr>
        <w:t xml:space="preserve"> (2011) 4 TLRN 97. </w:t>
      </w:r>
    </w:p>
  </w:footnote>
  <w:footnote w:id="322">
    <w:p w14:paraId="5A3668FB">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Lon L. Fuller, </w:t>
      </w:r>
      <w:r>
        <w:rPr>
          <w:rFonts w:ascii="Times New Roman" w:hAnsi="Times New Roman" w:cs="Times New Roman"/>
          <w:i/>
          <w:iCs/>
        </w:rPr>
        <w:t xml:space="preserve">The Morality of Law </w:t>
      </w:r>
      <w:r>
        <w:rPr>
          <w:rFonts w:ascii="Times New Roman" w:hAnsi="Times New Roman" w:cs="Times New Roman"/>
        </w:rPr>
        <w:t>(New Haven, Yale University Press, revised edition, 1973), 262.</w:t>
      </w:r>
      <w:r>
        <w:rPr>
          <w:rFonts w:ascii="Times New Roman" w:hAnsi="Times New Roman" w:cs="Times New Roman"/>
          <w:bCs/>
          <w:iCs/>
        </w:rPr>
        <w:t xml:space="preserve"> Fuller’s </w:t>
      </w:r>
    </w:p>
    <w:p w14:paraId="74664936">
      <w:pPr>
        <w:pStyle w:val="24"/>
        <w:ind w:left="720"/>
        <w:jc w:val="both"/>
        <w:rPr>
          <w:rFonts w:ascii="Times New Roman" w:hAnsi="Times New Roman" w:cs="Times New Roman"/>
        </w:rPr>
      </w:pPr>
      <w:r>
        <w:rPr>
          <w:rFonts w:ascii="Times New Roman" w:hAnsi="Times New Roman" w:cs="Times New Roman"/>
          <w:bCs/>
          <w:iCs/>
        </w:rPr>
        <w:t xml:space="preserve">definition of a legal system is based on eight ‘principles of internal morality and reflects some key requirements of the principle of certainty of law, as accepted in most common and civil law legal systems.  </w:t>
      </w:r>
    </w:p>
  </w:footnote>
  <w:footnote w:id="323">
    <w:p w14:paraId="13138944">
      <w:pPr>
        <w:pStyle w:val="24"/>
        <w:ind w:left="720" w:hanging="720"/>
        <w:jc w:val="both"/>
        <w:rPr>
          <w:rStyle w:val="23"/>
          <w:rFonts w:ascii="Times New Roman" w:hAnsi="Times New Roman" w:cs="Times New Roman"/>
        </w:rPr>
      </w:pPr>
      <w:r>
        <w:rPr>
          <w:rStyle w:val="23"/>
          <w:rFonts w:ascii="Times New Roman" w:hAnsi="Times New Roman" w:cs="Times New Roman"/>
        </w:rPr>
        <w:footnoteRef/>
      </w:r>
      <w:r>
        <w:rPr>
          <w:rStyle w:val="23"/>
          <w:rFonts w:ascii="Times New Roman" w:hAnsi="Times New Roman" w:cs="Times New Roman"/>
        </w:rPr>
        <w:t xml:space="preserve">   </w:t>
      </w:r>
      <w:r>
        <w:rPr>
          <w:rStyle w:val="23"/>
          <w:rFonts w:ascii="Times New Roman" w:hAnsi="Times New Roman" w:cs="Times New Roman"/>
        </w:rPr>
        <w:tab/>
      </w:r>
      <w:r>
        <w:rPr>
          <w:rFonts w:ascii="Times New Roman" w:hAnsi="Times New Roman" w:cs="Times New Roman"/>
        </w:rPr>
        <w:t xml:space="preserve">See also the case of </w:t>
      </w:r>
      <w:r>
        <w:rPr>
          <w:rFonts w:ascii="Times New Roman" w:hAnsi="Times New Roman" w:cs="Times New Roman"/>
          <w:i/>
          <w:iCs/>
        </w:rPr>
        <w:t>United States v Sanchez -Gomez</w:t>
      </w:r>
      <w:r>
        <w:rPr>
          <w:rFonts w:ascii="Times New Roman" w:hAnsi="Times New Roman" w:cs="Times New Roman"/>
        </w:rPr>
        <w:t>, No. 13-50561, [1965] (9</w:t>
      </w:r>
      <w:r>
        <w:rPr>
          <w:rFonts w:ascii="Times New Roman" w:hAnsi="Times New Roman" w:cs="Times New Roman"/>
          <w:vertAlign w:val="superscript"/>
        </w:rPr>
        <w:t>th</w:t>
      </w:r>
      <w:r>
        <w:rPr>
          <w:rFonts w:ascii="Times New Roman" w:hAnsi="Times New Roman" w:cs="Times New Roman"/>
        </w:rPr>
        <w:t xml:space="preserve"> Cir. 2007)</w:t>
      </w:r>
    </w:p>
  </w:footnote>
  <w:footnote w:id="324">
    <w:p w14:paraId="6F85B7D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51 of the Constitution of Australia enumerates the legislative powers granted to the Parliament of </w:t>
      </w:r>
    </w:p>
    <w:p w14:paraId="77EB8208">
      <w:pPr>
        <w:pStyle w:val="24"/>
        <w:ind w:left="720"/>
        <w:jc w:val="both"/>
        <w:rPr>
          <w:rFonts w:ascii="Times New Roman" w:hAnsi="Times New Roman" w:cs="Times New Roman"/>
        </w:rPr>
      </w:pPr>
      <w:r>
        <w:rPr>
          <w:rFonts w:ascii="Times New Roman" w:hAnsi="Times New Roman" w:cs="Times New Roman"/>
        </w:rPr>
        <w:t>Australia by the Australian States at Federation. Each subsection, or 'head of power', provides a topic under which the parliament is empowered to make laws.</w:t>
      </w:r>
    </w:p>
  </w:footnote>
  <w:footnote w:id="325">
    <w:p w14:paraId="20E86AB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11 of the Act exempted certain </w:t>
      </w:r>
      <w:r>
        <w:fldChar w:fldCharType="begin"/>
      </w:r>
      <w:r>
        <w:instrText xml:space="preserve"> HYPERLINK "https://en.wikipedia.org/wiki/Superannuation_fund" \o "Superannuation fund" </w:instrText>
      </w:r>
      <w:r>
        <w:fldChar w:fldCharType="separate"/>
      </w:r>
      <w:r>
        <w:rPr>
          <w:rStyle w:val="27"/>
          <w:rFonts w:ascii="Times New Roman" w:hAnsi="Times New Roman" w:cs="Times New Roman"/>
          <w:u w:val="none"/>
        </w:rPr>
        <w:t>superannuation funds</w:t>
      </w:r>
      <w:r>
        <w:rPr>
          <w:rStyle w:val="27"/>
          <w:rFonts w:ascii="Times New Roman" w:hAnsi="Times New Roman" w:cs="Times New Roman"/>
          <w:u w:val="none"/>
        </w:rPr>
        <w:fldChar w:fldCharType="end"/>
      </w:r>
      <w:r>
        <w:rPr>
          <w:rFonts w:ascii="Times New Roman" w:hAnsi="Times New Roman" w:cs="Times New Roman"/>
        </w:rPr>
        <w:t xml:space="preserve"> from income tax if they invested in </w:t>
      </w:r>
    </w:p>
    <w:p w14:paraId="0F52A10F">
      <w:pPr>
        <w:pStyle w:val="24"/>
        <w:ind w:firstLine="720"/>
        <w:jc w:val="both"/>
        <w:rPr>
          <w:rFonts w:ascii="Times New Roman" w:hAnsi="Times New Roman" w:cs="Times New Roman"/>
        </w:rPr>
      </w:pPr>
      <w:r>
        <w:rPr>
          <w:rFonts w:ascii="Times New Roman" w:hAnsi="Times New Roman" w:cs="Times New Roman"/>
        </w:rPr>
        <w:t xml:space="preserve">government securities.  </w:t>
      </w:r>
    </w:p>
  </w:footnote>
  <w:footnote w:id="326">
    <w:p w14:paraId="02AD0B08">
      <w:pPr>
        <w:pStyle w:val="24"/>
        <w:ind w:left="720" w:hanging="720"/>
        <w:jc w:val="both"/>
        <w:rPr>
          <w:rFonts w:ascii="Times New Roman" w:hAnsi="Times New Roman" w:cs="Times New Roman"/>
        </w:rPr>
      </w:pPr>
      <w:r>
        <w:rPr>
          <w:rStyle w:val="23"/>
          <w:rFonts w:ascii="Times New Roman" w:hAnsi="Times New Roman" w:cs="Times New Roman"/>
        </w:rPr>
        <w:footnoteRef/>
      </w:r>
      <w:r>
        <w:rPr>
          <w:rStyle w:val="23"/>
          <w:rFonts w:ascii="Times New Roman" w:hAnsi="Times New Roman" w:cs="Times New Roman"/>
        </w:rPr>
        <w:t xml:space="preserve"> </w:t>
      </w:r>
      <w:r>
        <w:rPr>
          <w:rStyle w:val="23"/>
          <w:rFonts w:ascii="Times New Roman" w:hAnsi="Times New Roman" w:cs="Times New Roman"/>
        </w:rPr>
        <w:tab/>
      </w:r>
      <w:r>
        <w:rPr>
          <w:rFonts w:ascii="Times New Roman" w:hAnsi="Times New Roman" w:cs="Times New Roman"/>
        </w:rPr>
        <w:t xml:space="preserve">TAT/LZ/010/2013 delivered by the Tax Appeal Tribunal sitting in Lagos on 20 March 2015 (Unreported). </w:t>
      </w:r>
    </w:p>
  </w:footnote>
  <w:footnote w:id="327">
    <w:p w14:paraId="438CE22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PPTA, section 39(1) states: </w:t>
      </w:r>
    </w:p>
    <w:p w14:paraId="0ECD17D7">
      <w:pPr>
        <w:pStyle w:val="24"/>
        <w:ind w:left="720"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Errors and defects in assessment and notice</w:t>
      </w:r>
      <w:r>
        <w:rPr>
          <w:rFonts w:ascii="Times New Roman" w:hAnsi="Times New Roman" w:cs="Times New Roman"/>
          <w:b/>
          <w:bCs/>
        </w:rPr>
        <w:t>:</w:t>
      </w:r>
      <w:r>
        <w:rPr>
          <w:rFonts w:ascii="Times New Roman" w:hAnsi="Times New Roman" w:cs="Times New Roman"/>
        </w:rPr>
        <w:t xml:space="preserve"> No assessment, warrant or other proceeding </w:t>
      </w:r>
    </w:p>
    <w:p w14:paraId="6D184E85">
      <w:pPr>
        <w:pStyle w:val="24"/>
        <w:ind w:left="1440"/>
        <w:jc w:val="both"/>
        <w:rPr>
          <w:rFonts w:ascii="Times New Roman" w:hAnsi="Times New Roman" w:cs="Times New Roman"/>
        </w:rPr>
      </w:pPr>
      <w:r>
        <w:rPr>
          <w:rFonts w:ascii="Times New Roman" w:hAnsi="Times New Roman" w:cs="Times New Roman"/>
        </w:rPr>
        <w:t>purporting to be made in accordance with the provisions of this Act, shall be quashed, or deemed to be void or voidable, for want of form, or be affected by reason of a mistake, defect or omission therein, if the same is in substance and effect in conformity with or according to the intent and meaning of this Act or any Act amending the same, and if the company assessed or intended to be assessed or affected thereby is designated therein according to common intent and understanding”.</w:t>
      </w:r>
    </w:p>
  </w:footnote>
  <w:footnote w:id="328">
    <w:p w14:paraId="5889461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37(1) states: </w:t>
      </w:r>
    </w:p>
    <w:p w14:paraId="2552D146">
      <w:pPr>
        <w:pStyle w:val="24"/>
        <w:ind w:left="720"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Making of assessments, etc</w:t>
      </w:r>
      <w:r>
        <w:rPr>
          <w:rFonts w:ascii="Times New Roman" w:hAnsi="Times New Roman" w:cs="Times New Roman"/>
          <w:b/>
          <w:bCs/>
        </w:rPr>
        <w:t xml:space="preserve">. </w:t>
      </w:r>
      <w:r>
        <w:rPr>
          <w:rFonts w:ascii="Times New Roman" w:hAnsi="Times New Roman" w:cs="Times New Roman"/>
        </w:rPr>
        <w:t>(1) Assessments of tax shall be made in such form and in</w:t>
      </w:r>
    </w:p>
    <w:p w14:paraId="75333A00">
      <w:pPr>
        <w:pStyle w:val="24"/>
        <w:ind w:left="1440"/>
        <w:jc w:val="both"/>
        <w:rPr>
          <w:rFonts w:ascii="Times New Roman" w:hAnsi="Times New Roman" w:cs="Times New Roman"/>
        </w:rPr>
      </w:pPr>
      <w:r>
        <w:rPr>
          <w:rFonts w:ascii="Times New Roman" w:hAnsi="Times New Roman" w:cs="Times New Roman"/>
        </w:rPr>
        <w:t>such manner as the Board shall authorize and shall contain the names and addresses of the companies assessed to tax or of the persons in whose names any companies (with the names of such companies) have been assessed to tax, and in the case of each company for each of its accounting periods, the particular accounting period and the amount of the chargeable profits of and assessable tax and chargeable tax for that period”.</w:t>
      </w:r>
    </w:p>
  </w:footnote>
  <w:footnote w:id="329">
    <w:p w14:paraId="49450E75">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Section 15(1) states that:</w:t>
      </w:r>
    </w:p>
    <w:p w14:paraId="79486D1A">
      <w:pPr>
        <w:pStyle w:val="24"/>
        <w:ind w:left="720" w:firstLine="720"/>
        <w:jc w:val="both"/>
        <w:rPr>
          <w:rFonts w:ascii="Times New Roman" w:hAnsi="Times New Roman" w:cs="Times New Roman"/>
          <w:bCs/>
          <w:iCs/>
        </w:rPr>
      </w:pPr>
      <w:r>
        <w:rPr>
          <w:rFonts w:ascii="Times New Roman" w:hAnsi="Times New Roman" w:cs="Times New Roman"/>
          <w:bCs/>
          <w:iCs/>
        </w:rPr>
        <w:t xml:space="preserve"> the relevant provisions of all existing enactments or laws, including but not limited to the </w:t>
      </w:r>
    </w:p>
    <w:p w14:paraId="6A8E6D0A">
      <w:pPr>
        <w:pStyle w:val="24"/>
        <w:ind w:left="1440"/>
        <w:jc w:val="both"/>
        <w:rPr>
          <w:rFonts w:ascii="Times New Roman" w:hAnsi="Times New Roman" w:cs="Times New Roman"/>
          <w:bCs/>
          <w:iCs/>
        </w:rPr>
      </w:pPr>
      <w:r>
        <w:rPr>
          <w:rFonts w:ascii="Times New Roman" w:hAnsi="Times New Roman" w:cs="Times New Roman"/>
          <w:bCs/>
          <w:iCs/>
        </w:rPr>
        <w:t xml:space="preserve">Petroleum Act, and the Petroleum Profit Tax Act, shall be read with such modifications as to bring them into conformity with the provisions of this Act, and, </w:t>
      </w:r>
    </w:p>
    <w:p w14:paraId="74F9F65D">
      <w:pPr>
        <w:pStyle w:val="24"/>
        <w:ind w:firstLine="720"/>
        <w:jc w:val="both"/>
        <w:rPr>
          <w:rFonts w:ascii="Times New Roman" w:hAnsi="Times New Roman" w:cs="Times New Roman"/>
        </w:rPr>
      </w:pPr>
      <w:r>
        <w:rPr>
          <w:rFonts w:ascii="Times New Roman" w:hAnsi="Times New Roman" w:cs="Times New Roman"/>
          <w:bCs/>
          <w:iCs/>
        </w:rPr>
        <w:t xml:space="preserve">Section </w:t>
      </w:r>
      <w:r>
        <w:rPr>
          <w:rFonts w:ascii="Times New Roman" w:hAnsi="Times New Roman" w:cs="Times New Roman"/>
        </w:rPr>
        <w:t xml:space="preserve">15 (2) states that </w:t>
      </w:r>
    </w:p>
    <w:p w14:paraId="346D56E8">
      <w:pPr>
        <w:pStyle w:val="24"/>
        <w:ind w:left="1440"/>
        <w:jc w:val="both"/>
        <w:rPr>
          <w:rFonts w:ascii="Times New Roman" w:hAnsi="Times New Roman" w:cs="Times New Roman"/>
        </w:rPr>
      </w:pPr>
      <w:r>
        <w:rPr>
          <w:rFonts w:ascii="Times New Roman" w:hAnsi="Times New Roman" w:cs="Times New Roman"/>
        </w:rPr>
        <w:t>“If the provisions of any other enactment or law, including but not limited to the enactments specified in subsection (1) of this section, are inconsistent with the provisions of this Act, the provisions of this Act shall prevail and the provisions of that other enactment or law shall, to the extent of that inconsistency, be void”.</w:t>
      </w:r>
    </w:p>
  </w:footnote>
  <w:footnote w:id="330">
    <w:p w14:paraId="15BE8A4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Stabilization clauses in contracts are used to mitigate political risks in a host country. A major example</w:t>
      </w:r>
    </w:p>
    <w:p w14:paraId="49CA8574">
      <w:pPr>
        <w:pStyle w:val="24"/>
        <w:ind w:left="720"/>
        <w:jc w:val="both"/>
        <w:rPr>
          <w:rFonts w:ascii="Times New Roman" w:hAnsi="Times New Roman" w:cs="Times New Roman"/>
          <w:i/>
          <w:iCs/>
        </w:rPr>
      </w:pPr>
      <w:r>
        <w:rPr>
          <w:rFonts w:ascii="Times New Roman" w:hAnsi="Times New Roman" w:cs="Times New Roman"/>
        </w:rPr>
        <w:t xml:space="preserve">of the use of legislation to provide stability to Oil and Gas investments is the Nigeria LNG (Fiscal Incentives, Guarantees and Assurances Act). This has been subject to decisions of the court. Nigerian courts have upheld the provisions of the Act to the effect that the NLNG operations be affected by any other law except as amended in terms of the Act; </w:t>
      </w:r>
      <w:r>
        <w:rPr>
          <w:rFonts w:ascii="Times New Roman" w:hAnsi="Times New Roman" w:cs="Times New Roman"/>
          <w:i/>
          <w:iCs/>
        </w:rPr>
        <w:t>Niger Delta Development Commission v Nigeria Liquefied National Gas Limited (NDDC v NLNG) (2010) LPELR-CA/PH/520/2007.</w:t>
      </w:r>
    </w:p>
  </w:footnote>
  <w:footnote w:id="331">
    <w:p w14:paraId="796E8290">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Cs/>
        </w:rPr>
        <w:t xml:space="preserve">Section 17, which is the interpretation section, defines production sharing contracts as any agreement or </w:t>
      </w:r>
    </w:p>
    <w:p w14:paraId="1F93BCD6">
      <w:pPr>
        <w:pStyle w:val="24"/>
        <w:ind w:left="720"/>
        <w:jc w:val="both"/>
        <w:rPr>
          <w:rFonts w:ascii="Times New Roman" w:hAnsi="Times New Roman" w:cs="Times New Roman"/>
        </w:rPr>
      </w:pPr>
      <w:r>
        <w:rPr>
          <w:rFonts w:ascii="Times New Roman" w:hAnsi="Times New Roman" w:cs="Times New Roman"/>
          <w:bCs/>
          <w:iCs/>
        </w:rPr>
        <w:t xml:space="preserve">arrangements made between the Corporation or the holder and any other petroleum exploration and production company or companies for the purpose of exploration and production of oil in the Deep Offshore and Inland Basins. </w:t>
      </w:r>
    </w:p>
  </w:footnote>
  <w:footnote w:id="332">
    <w:p w14:paraId="01C00E3A">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16 </w:t>
      </w:r>
      <w:r>
        <w:rPr>
          <w:rFonts w:ascii="Times New Roman" w:hAnsi="Times New Roman" w:cs="Times New Roman"/>
          <w:bCs/>
          <w:iCs/>
        </w:rPr>
        <w:t xml:space="preserve">(1)- ‘The provisions of this Act shall be subject to review to ensure that if the price of crude oil </w:t>
      </w:r>
    </w:p>
    <w:p w14:paraId="3FEE6830">
      <w:pPr>
        <w:pStyle w:val="24"/>
        <w:ind w:left="720"/>
        <w:jc w:val="both"/>
        <w:rPr>
          <w:rFonts w:ascii="Times New Roman" w:hAnsi="Times New Roman" w:cs="Times New Roman"/>
        </w:rPr>
      </w:pPr>
      <w:r>
        <w:rPr>
          <w:rFonts w:ascii="Times New Roman" w:hAnsi="Times New Roman" w:cs="Times New Roman"/>
          <w:bCs/>
          <w:iCs/>
        </w:rPr>
        <w:t>at any time exceeds $20 per barrel, real terms, the share of the government of the Federation in the additional revenue shall be adjusted under the production sharing contracts to such extent ‘, and (2) ‘Notwithstanding the provisions of subsection (1) of this section, the provisions of this Act shall be liable to review after a period of fifteen years from the date of commencement and every five years thereafter.’</w:t>
      </w:r>
    </w:p>
  </w:footnote>
  <w:footnote w:id="333">
    <w:p w14:paraId="381FDE38">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JV Concession, Gas fiscal regime, PSC regime and the indirect / transaction taxes.</w:t>
      </w:r>
    </w:p>
  </w:footnote>
  <w:footnote w:id="334">
    <w:p w14:paraId="399CE096">
      <w:pPr>
        <w:pStyle w:val="24"/>
        <w:ind w:left="720" w:hanging="720"/>
        <w:jc w:val="both"/>
        <w:rPr>
          <w:rFonts w:ascii="Times New Roman" w:hAnsi="Times New Roman" w:cs="Times New Roman"/>
          <w:i/>
        </w:rPr>
      </w:pPr>
      <w:r>
        <w:rPr>
          <w:rStyle w:val="23"/>
          <w:rFonts w:ascii="Times New Roman" w:hAnsi="Times New Roman" w:cs="Times New Roman"/>
          <w:i/>
        </w:rPr>
        <w:footnoteRef/>
      </w: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i/>
        </w:rPr>
        <w:t xml:space="preserve">Schlumberger Nigeria Limited v. Obio -Akpor Local Government Council, </w:t>
      </w:r>
      <w:r>
        <w:rPr>
          <w:rFonts w:ascii="Times New Roman" w:hAnsi="Times New Roman" w:cs="Times New Roman"/>
        </w:rPr>
        <w:t>Suit PHC/1206/2007.</w:t>
      </w:r>
    </w:p>
  </w:footnote>
  <w:footnote w:id="335">
    <w:p w14:paraId="5260B6F4">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w:t>
      </w:r>
    </w:p>
  </w:footnote>
  <w:footnote w:id="336">
    <w:p w14:paraId="63578E06">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rPr>
        <w:t>7 All NTC vol. 7.</w:t>
      </w:r>
      <w:r>
        <w:rPr>
          <w:rFonts w:ascii="Times New Roman" w:hAnsi="Times New Roman" w:cs="Times New Roman"/>
        </w:rPr>
        <w:tab/>
      </w:r>
    </w:p>
  </w:footnote>
  <w:footnote w:id="337">
    <w:p w14:paraId="30F05EC9">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Part 11- Taxes and Levies (Approved List for Collection) Act by States. These include Personal Income taxes, Withholding taxes, Capital Gains taxes and Stamp Duties, Road taxes, Business premises taxes etc.</w:t>
      </w:r>
    </w:p>
  </w:footnote>
  <w:footnote w:id="338">
    <w:p w14:paraId="1071205C">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w:t>
      </w:r>
    </w:p>
  </w:footnote>
  <w:footnote w:id="339">
    <w:p w14:paraId="5EF32D01">
      <w:pPr>
        <w:pStyle w:val="24"/>
        <w:ind w:left="720" w:hanging="720"/>
        <w:jc w:val="both"/>
        <w:rPr>
          <w:rFonts w:ascii="Times New Roman" w:hAnsi="Times New Roman" w:cs="Times New Roman"/>
          <w:i/>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(2003) 5 All NTC.</w:t>
      </w:r>
    </w:p>
  </w:footnote>
  <w:footnote w:id="340">
    <w:p w14:paraId="3212796C">
      <w:pPr>
        <w:pStyle w:val="24"/>
        <w:ind w:left="720" w:hanging="720"/>
        <w:jc w:val="both"/>
        <w:rPr>
          <w:rFonts w:ascii="Times New Roman" w:hAnsi="Times New Roman" w:cs="Times New Roman"/>
          <w:i/>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6 ALL NTC P356 Line 2, 5-6). A similar decision was reached in </w:t>
      </w:r>
      <w:r>
        <w:rPr>
          <w:rFonts w:ascii="Times New Roman" w:hAnsi="Times New Roman" w:cs="Times New Roman"/>
          <w:i/>
        </w:rPr>
        <w:t>Mama Cass Restaurant v. FBIR</w:t>
      </w:r>
      <w:r>
        <w:rPr>
          <w:rFonts w:ascii="Times New Roman" w:hAnsi="Times New Roman" w:cs="Times New Roman"/>
        </w:rPr>
        <w:t xml:space="preserve"> 6 ALL NTC 97, and </w:t>
      </w:r>
      <w:r>
        <w:rPr>
          <w:rFonts w:ascii="Times New Roman" w:hAnsi="Times New Roman" w:cs="Times New Roman"/>
          <w:i/>
        </w:rPr>
        <w:t>Sweet Sensation Confectionaries v. FBIR</w:t>
      </w:r>
      <w:r>
        <w:rPr>
          <w:rFonts w:ascii="Times New Roman" w:hAnsi="Times New Roman" w:cs="Times New Roman"/>
        </w:rPr>
        <w:t xml:space="preserve"> FHC/UCS/826/04</w:t>
      </w:r>
      <w:r>
        <w:rPr>
          <w:rFonts w:ascii="Times New Roman" w:hAnsi="Times New Roman" w:cs="Times New Roman"/>
          <w:i/>
        </w:rPr>
        <w:t>.</w:t>
      </w:r>
    </w:p>
  </w:footnote>
  <w:footnote w:id="341">
    <w:p w14:paraId="09C8F9F5">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Ibid.-note that the Lagos State government succeeded on appeal to upturn the decision, although on a rather technical ground.</w:t>
      </w:r>
    </w:p>
  </w:footnote>
  <w:footnote w:id="342">
    <w:p w14:paraId="7E29D7AF">
      <w:pPr>
        <w:pStyle w:val="24"/>
        <w:jc w:val="both"/>
        <w:rPr>
          <w:rFonts w:ascii="Times New Roman" w:hAnsi="Times New Roman" w:cs="Times New Roman"/>
          <w:i/>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Attorney General Rivers State v FIRS &amp; Attorney General of the Federation (suit no FHC/PH/CS/149/2020)</w:t>
      </w:r>
    </w:p>
    <w:p w14:paraId="264450CF">
      <w:pPr>
        <w:pStyle w:val="24"/>
        <w:ind w:firstLine="720"/>
        <w:jc w:val="both"/>
        <w:rPr>
          <w:rFonts w:ascii="Times New Roman" w:hAnsi="Times New Roman" w:cs="Times New Roman"/>
        </w:rPr>
      </w:pPr>
      <w:r>
        <w:rPr>
          <w:rFonts w:ascii="Times New Roman" w:hAnsi="Times New Roman" w:cs="Times New Roman"/>
          <w:i/>
        </w:rPr>
        <w:t xml:space="preserve">and Emmanuel C. Ukala SAN v FIRS &amp; Attorney General of Federation, (Suit no: FHC/PHC/CS/30/2020. </w:t>
      </w:r>
    </w:p>
  </w:footnote>
  <w:footnote w:id="343">
    <w:p w14:paraId="25DCCEF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Item 59 of Exclusive Legislative List – Taxation of Incomes, profits and capital gains, except as otherwise </w:t>
      </w:r>
    </w:p>
    <w:p w14:paraId="22FCDBA9">
      <w:pPr>
        <w:pStyle w:val="24"/>
        <w:ind w:firstLine="720"/>
        <w:jc w:val="both"/>
        <w:rPr>
          <w:rFonts w:ascii="Times New Roman" w:hAnsi="Times New Roman" w:cs="Times New Roman"/>
        </w:rPr>
      </w:pPr>
      <w:r>
        <w:rPr>
          <w:rFonts w:ascii="Times New Roman" w:hAnsi="Times New Roman" w:cs="Times New Roman"/>
        </w:rPr>
        <w:t>prescribed by this Constitution.</w:t>
      </w:r>
    </w:p>
  </w:footnote>
  <w:footnote w:id="344">
    <w:p w14:paraId="5983948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FIRS is appealing both decisions, and we eagerly await the appellate decision, as this could have</w:t>
      </w:r>
    </w:p>
    <w:p w14:paraId="27E5A003">
      <w:pPr>
        <w:pStyle w:val="24"/>
        <w:ind w:left="720" w:firstLine="45"/>
        <w:jc w:val="both"/>
        <w:rPr>
          <w:rFonts w:ascii="Times New Roman" w:hAnsi="Times New Roman" w:cs="Times New Roman"/>
        </w:rPr>
      </w:pPr>
      <w:r>
        <w:rPr>
          <w:rFonts w:ascii="Times New Roman" w:hAnsi="Times New Roman" w:cs="Times New Roman"/>
        </w:rPr>
        <w:t>profound Constitutional implications for the FG and the federating states, and could go beyond the subject matter of VAT.</w:t>
      </w:r>
    </w:p>
  </w:footnote>
  <w:footnote w:id="345">
    <w:p w14:paraId="2F3869E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Items 7&amp;8 Part II of the Second Schedule to the 1999 Constitution.</w:t>
      </w:r>
    </w:p>
  </w:footnote>
  <w:footnote w:id="346">
    <w:p w14:paraId="2244BD4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OECD </w:t>
      </w:r>
      <w:r>
        <w:fldChar w:fldCharType="begin"/>
      </w:r>
      <w:r>
        <w:instrText xml:space="preserve"> HYPERLINK "https://www.oecd.org/tax/beps/brochure-addressing-the-tax-challenges-arising-from-the-digitalisation-of-the-economy-july-2021.pdf" \t "_blank" </w:instrText>
      </w:r>
      <w:r>
        <w:fldChar w:fldCharType="separate"/>
      </w:r>
      <w:r>
        <w:rPr>
          <w:rStyle w:val="27"/>
          <w:rFonts w:ascii="Times New Roman" w:hAnsi="Times New Roman" w:cs="Times New Roman"/>
          <w:u w:val="none"/>
        </w:rPr>
        <w:t>Two-Pillar Solution</w:t>
      </w:r>
      <w:r>
        <w:rPr>
          <w:rStyle w:val="27"/>
          <w:rFonts w:ascii="Times New Roman" w:hAnsi="Times New Roman" w:cs="Times New Roman"/>
          <w:u w:val="none"/>
        </w:rPr>
        <w:fldChar w:fldCharType="end"/>
      </w:r>
      <w:r>
        <w:rPr>
          <w:rFonts w:ascii="Times New Roman" w:hAnsi="Times New Roman" w:cs="Times New Roman"/>
        </w:rPr>
        <w:t xml:space="preserve">  addresses the tax challenges arising from the digitalisation of the economy. </w:t>
      </w:r>
    </w:p>
    <w:p w14:paraId="421F3E1D">
      <w:pPr>
        <w:pStyle w:val="24"/>
        <w:ind w:left="720"/>
        <w:jc w:val="both"/>
        <w:rPr>
          <w:rFonts w:ascii="Times New Roman" w:hAnsi="Times New Roman" w:cs="Times New Roman"/>
        </w:rPr>
      </w:pPr>
      <w:r>
        <w:rPr>
          <w:rFonts w:ascii="Times New Roman" w:hAnsi="Times New Roman" w:cs="Times New Roman"/>
        </w:rPr>
        <w:t>Pillar One would re-allocate some taxing rights over multinational enterprises (MNEs) from their home countries to the markets where they have business activities and earn profits, regardless of whether firms have a physical presence. Pillar Two seeks to put a floor on competition over corporate income tax, through the introduction of a global minimum corporate tax rate that countries can use to protect their tax bases.   </w:t>
      </w:r>
    </w:p>
  </w:footnote>
  <w:footnote w:id="347">
    <w:p w14:paraId="439EC42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13(2) (c), (e) and (4) of the Companies Income Tax Act (CITA) as amended by Section 4 of the</w:t>
      </w:r>
    </w:p>
    <w:p w14:paraId="3CD7583E">
      <w:pPr>
        <w:pStyle w:val="24"/>
        <w:ind w:firstLine="720"/>
        <w:jc w:val="both"/>
        <w:rPr>
          <w:rFonts w:ascii="Times New Roman" w:hAnsi="Times New Roman" w:cs="Times New Roman"/>
        </w:rPr>
      </w:pPr>
      <w:r>
        <w:rPr>
          <w:rFonts w:ascii="Times New Roman" w:hAnsi="Times New Roman" w:cs="Times New Roman"/>
        </w:rPr>
        <w:t xml:space="preserve"> Finance Act provides as follows: </w:t>
      </w:r>
    </w:p>
    <w:p w14:paraId="2C612116">
      <w:pPr>
        <w:pStyle w:val="24"/>
        <w:ind w:left="1440"/>
        <w:jc w:val="both"/>
        <w:rPr>
          <w:rFonts w:ascii="Times New Roman" w:hAnsi="Times New Roman" w:cs="Times New Roman"/>
        </w:rPr>
      </w:pPr>
      <w:r>
        <w:rPr>
          <w:rFonts w:ascii="Times New Roman" w:hAnsi="Times New Roman" w:cs="Times New Roman"/>
          <w:iCs/>
        </w:rPr>
        <w:t>“The profits of a company other than a Nigerian company from any trade or business shall be deemed to be derived from or taxable in Nigeria:</w:t>
      </w:r>
    </w:p>
    <w:p w14:paraId="253F0550">
      <w:pPr>
        <w:pStyle w:val="24"/>
        <w:ind w:left="1440"/>
        <w:jc w:val="both"/>
        <w:rPr>
          <w:rFonts w:ascii="Times New Roman" w:hAnsi="Times New Roman" w:cs="Times New Roman"/>
        </w:rPr>
      </w:pPr>
      <w:r>
        <w:rPr>
          <w:rFonts w:ascii="Times New Roman" w:hAnsi="Times New Roman" w:cs="Times New Roman"/>
          <w:iCs/>
        </w:rPr>
        <w:t>(c) if it transmits, emits or receives signals, sounds, messages, images or data of any kind by cable, radio, electromagnetic systems or any other electronic or wireless apparatus to Nigeria in respect of any activity, including electronic commerce, application store, high-frequency trading, electronic data storage, online adverts, participative network platform, online payments and so on, to the extent that the company has a significant economic presence in Nigeria and profit can be attributable to such activity;</w:t>
      </w:r>
    </w:p>
    <w:p w14:paraId="7DBB8A00">
      <w:pPr>
        <w:pStyle w:val="24"/>
        <w:ind w:left="1440"/>
        <w:jc w:val="both"/>
        <w:rPr>
          <w:rFonts w:ascii="Times New Roman" w:hAnsi="Times New Roman" w:cs="Times New Roman"/>
        </w:rPr>
      </w:pPr>
      <w:r>
        <w:rPr>
          <w:rFonts w:ascii="Times New Roman" w:hAnsi="Times New Roman" w:cs="Times New Roman"/>
          <w:iCs/>
        </w:rPr>
        <w:t>(e) if the trade or business comprises of furnishing of technical, management, consultancy or professional services outside of Nigeria to a person resident in Nigeria to the extent that the company has a significant economic presence in Nigeria; provided that the withholding tax income under this paragraph shall be the final tax on the income of a non-resident recipient who does not otherwise fall within the scope of subsection (2) (a)–(e).</w:t>
      </w:r>
    </w:p>
    <w:p w14:paraId="1EAA2E31">
      <w:pPr>
        <w:pStyle w:val="24"/>
        <w:ind w:left="1440"/>
        <w:jc w:val="both"/>
        <w:rPr>
          <w:rFonts w:ascii="Times New Roman" w:hAnsi="Times New Roman" w:cs="Times New Roman"/>
          <w:iCs/>
        </w:rPr>
      </w:pPr>
      <w:r>
        <w:rPr>
          <w:rFonts w:ascii="Times New Roman" w:hAnsi="Times New Roman" w:cs="Times New Roman"/>
          <w:iCs/>
        </w:rPr>
        <w:t>(4) For the purpose of subsection (2) (c) and (e), the Minister may by order, determine what constitutes the significant economic presence of a company other than a Nigerian company.”</w:t>
      </w:r>
    </w:p>
    <w:p w14:paraId="01BAE1F3">
      <w:pPr>
        <w:pStyle w:val="24"/>
        <w:ind w:left="720"/>
        <w:jc w:val="both"/>
        <w:rPr>
          <w:rFonts w:ascii="Times New Roman" w:hAnsi="Times New Roman" w:cs="Times New Roman"/>
        </w:rPr>
      </w:pPr>
      <w:r>
        <w:rPr>
          <w:rFonts w:ascii="Times New Roman" w:hAnsi="Times New Roman" w:cs="Times New Roman"/>
        </w:rPr>
        <w:t>In the light of the foregoing, the Companies Income Tax (Significant Economic Presence) Order, 2020 (“the Order”) provides that for the purpose of the above provisions of CITA, a non-Nigerian company shall have a significant economic presence in Nigeria where it derives gross turnover or income of more than ₦25 million or its equivalent in other countries, in that year, from any or combination of the following – </w:t>
      </w:r>
    </w:p>
    <w:p w14:paraId="797ADA13">
      <w:pPr>
        <w:pStyle w:val="24"/>
        <w:ind w:left="720"/>
        <w:jc w:val="both"/>
        <w:rPr>
          <w:rFonts w:ascii="Times New Roman" w:hAnsi="Times New Roman" w:cs="Times New Roman"/>
        </w:rPr>
      </w:pPr>
      <w:r>
        <w:rPr>
          <w:rFonts w:ascii="Times New Roman" w:hAnsi="Times New Roman" w:cs="Times New Roman"/>
          <w:iCs/>
        </w:rPr>
        <w:t>“(i) streaming or downloading services of digital contents, including but not limited to movies, videos, music, ,,, in Nigeria,</w:t>
      </w:r>
    </w:p>
    <w:p w14:paraId="790D10F3">
      <w:pPr>
        <w:pStyle w:val="24"/>
        <w:ind w:left="720"/>
        <w:jc w:val="both"/>
        <w:rPr>
          <w:rFonts w:ascii="Times New Roman" w:hAnsi="Times New Roman" w:cs="Times New Roman"/>
        </w:rPr>
      </w:pPr>
      <w:r>
        <w:rPr>
          <w:rFonts w:ascii="Times New Roman" w:hAnsi="Times New Roman" w:cs="Times New Roman"/>
          <w:iCs/>
        </w:rPr>
        <w:t>(ii) transmission of data collected about Nigerian users which have been generated from such users’ activities on a digital interface …,</w:t>
      </w:r>
    </w:p>
    <w:p w14:paraId="05502966">
      <w:pPr>
        <w:pStyle w:val="24"/>
        <w:ind w:firstLine="720"/>
        <w:jc w:val="both"/>
        <w:rPr>
          <w:rFonts w:ascii="Times New Roman" w:hAnsi="Times New Roman" w:cs="Times New Roman"/>
        </w:rPr>
      </w:pPr>
      <w:r>
        <w:rPr>
          <w:rFonts w:ascii="Times New Roman" w:hAnsi="Times New Roman" w:cs="Times New Roman"/>
          <w:iCs/>
        </w:rPr>
        <w:t>(iii) provisions of goods or services… directly or indirectly through a digital platform to Nigeria, or</w:t>
      </w:r>
    </w:p>
    <w:p w14:paraId="6F50EFEA">
      <w:pPr>
        <w:pStyle w:val="24"/>
        <w:ind w:left="720"/>
        <w:jc w:val="both"/>
        <w:rPr>
          <w:rFonts w:ascii="Times New Roman" w:hAnsi="Times New Roman" w:cs="Times New Roman"/>
        </w:rPr>
      </w:pPr>
      <w:r>
        <w:rPr>
          <w:rFonts w:ascii="Times New Roman" w:hAnsi="Times New Roman" w:cs="Times New Roman"/>
          <w:iCs/>
        </w:rPr>
        <w:t>(iv) provision of intermediation services through a digital platform, website or other online applications.</w:t>
      </w:r>
    </w:p>
  </w:footnote>
  <w:footnote w:id="348">
    <w:p w14:paraId="0F10D740">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Saipem Contractors vs FIRS</w:t>
      </w:r>
      <w:r>
        <w:rPr>
          <w:rFonts w:ascii="Times New Roman" w:hAnsi="Times New Roman" w:cs="Times New Roman"/>
        </w:rPr>
        <w:t>, [2014] 15 TLRN 76,</w:t>
      </w:r>
    </w:p>
  </w:footnote>
  <w:footnote w:id="349">
    <w:p w14:paraId="141E73D1">
      <w:pPr>
        <w:pStyle w:val="24"/>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(2018) LPELR-45118(CA).</w:t>
      </w:r>
      <w:r>
        <w:rPr>
          <w:rFonts w:ascii="Times New Roman" w:hAnsi="Times New Roman" w:cs="Times New Roman"/>
          <w:i/>
          <w:iCs/>
        </w:rPr>
        <w:t xml:space="preserve"> see also article in The Gravitas Review of Business &amp; Property Law, </w:t>
      </w:r>
    </w:p>
    <w:p w14:paraId="6F4DC9ED">
      <w:pPr>
        <w:pStyle w:val="24"/>
        <w:ind w:firstLine="720"/>
        <w:rPr>
          <w:rFonts w:ascii="Times New Roman" w:hAnsi="Times New Roman" w:cs="Times New Roman"/>
          <w:i/>
          <w:iCs/>
        </w:rPr>
      </w:pPr>
      <w:r>
        <w:rPr>
          <w:rFonts w:ascii="Times New Roman" w:hAnsi="Times New Roman" w:cs="Times New Roman"/>
          <w:i/>
          <w:iCs/>
        </w:rPr>
        <w:t>December 2018, Vol. 9, No. 4</w:t>
      </w:r>
    </w:p>
  </w:footnote>
  <w:footnote w:id="350">
    <w:p w14:paraId="1648815C">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(2011) 4 TLRN (Tax Law Reports of Nigeria)</w:t>
      </w:r>
    </w:p>
  </w:footnote>
  <w:footnote w:id="351">
    <w:p w14:paraId="76976E6D">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(2013) 12 TLRN 1</w:t>
      </w:r>
    </w:p>
  </w:footnote>
  <w:footnote w:id="352">
    <w:p w14:paraId="2A743ACB">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chapter 3.2 of thesis</w:t>
      </w:r>
      <w:r>
        <w:rPr>
          <w:rFonts w:ascii="Times New Roman" w:hAnsi="Times New Roman"/>
          <w:color w:val="ED7D31"/>
        </w:rPr>
        <w:t xml:space="preserve">, </w:t>
      </w:r>
      <w:r>
        <w:rPr>
          <w:rFonts w:ascii="Times New Roman" w:hAnsi="Times New Roman"/>
        </w:rPr>
        <w:t>pp</w:t>
      </w:r>
      <w:r>
        <w:rPr>
          <w:rFonts w:ascii="Times New Roman" w:hAnsi="Times New Roman" w:cs="Times New Roman"/>
        </w:rPr>
        <w:t xml:space="preserve">.87-90, where </w:t>
      </w:r>
      <w:r>
        <w:rPr>
          <w:rFonts w:ascii="Times New Roman" w:hAnsi="Times New Roman" w:cs="Times New Roman"/>
          <w:bCs/>
        </w:rPr>
        <w:t xml:space="preserve">the multi–tier tax administration under the Federal Constitution of </w:t>
      </w:r>
    </w:p>
    <w:p w14:paraId="48004680">
      <w:pPr>
        <w:pStyle w:val="24"/>
        <w:ind w:left="720"/>
        <w:jc w:val="both"/>
        <w:rPr>
          <w:rFonts w:ascii="Times New Roman" w:hAnsi="Times New Roman" w:cs="Times New Roman"/>
        </w:rPr>
      </w:pPr>
      <w:r>
        <w:rPr>
          <w:rFonts w:ascii="Times New Roman" w:hAnsi="Times New Roman" w:cs="Times New Roman"/>
          <w:bCs/>
        </w:rPr>
        <w:t xml:space="preserve">Nigeria is discussed. This has implications for the FG, and the State governments as well as the Local government councils. The FIRS administer and enforce the various tax laws in Nigeria at the Federal level, whilst the States administer, assess, and collect taxes through the States Internal Revenue Services (SIRS), and the Local Government Revenue Committees (LGRC) administer and collect taxes at the local council levels. </w:t>
      </w:r>
    </w:p>
  </w:footnote>
  <w:footnote w:id="353">
    <w:p w14:paraId="4D9D84A6">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Establish clear tax obligation, time of payment, the manner of payment, as well as the amount or quantity,</w:t>
      </w:r>
    </w:p>
    <w:p w14:paraId="2EF6C094">
      <w:pPr>
        <w:pStyle w:val="24"/>
        <w:ind w:firstLine="720"/>
        <w:jc w:val="both"/>
        <w:rPr>
          <w:rFonts w:ascii="Times New Roman" w:hAnsi="Times New Roman" w:cs="Times New Roman"/>
        </w:rPr>
      </w:pPr>
      <w:r>
        <w:rPr>
          <w:rFonts w:ascii="Times New Roman" w:hAnsi="Times New Roman" w:cs="Times New Roman"/>
          <w:bCs/>
        </w:rPr>
        <w:t>of tax to be paid by the taxpayer. The tax dispute resolution process should be transparent and timely.</w:t>
      </w:r>
    </w:p>
  </w:footnote>
  <w:footnote w:id="354">
    <w:p w14:paraId="4B46B34C">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In addition to tax litigation, other tools available to achieve tax certainty include tax arbitration, cooperative</w:t>
      </w:r>
    </w:p>
    <w:p w14:paraId="72595A06">
      <w:pPr>
        <w:pStyle w:val="24"/>
        <w:ind w:left="720"/>
        <w:jc w:val="both"/>
        <w:rPr>
          <w:rFonts w:ascii="Times New Roman" w:hAnsi="Times New Roman" w:cs="Times New Roman"/>
        </w:rPr>
      </w:pPr>
      <w:r>
        <w:rPr>
          <w:rFonts w:ascii="Times New Roman" w:hAnsi="Times New Roman" w:cs="Times New Roman"/>
          <w:bCs/>
        </w:rPr>
        <w:t>compliance programs, advance pricing agreements, the International Compliance Assurance Program (</w:t>
      </w:r>
      <w:r>
        <w:fldChar w:fldCharType="begin"/>
      </w:r>
      <w:r>
        <w:instrText xml:space="preserve"> HYPERLINK "https://www.oecd.org/tax/administration/international-compliance-assurance-programme.htm" </w:instrText>
      </w:r>
      <w:r>
        <w:fldChar w:fldCharType="separate"/>
      </w:r>
      <w:r>
        <w:rPr>
          <w:rStyle w:val="27"/>
          <w:rFonts w:ascii="Times New Roman" w:hAnsi="Times New Roman" w:cs="Times New Roman"/>
          <w:bCs/>
          <w:u w:val="none"/>
        </w:rPr>
        <w:t>ICAP</w:t>
      </w:r>
      <w:r>
        <w:rPr>
          <w:rStyle w:val="27"/>
          <w:rFonts w:ascii="Times New Roman" w:hAnsi="Times New Roman" w:cs="Times New Roman"/>
          <w:bCs/>
          <w:u w:val="none"/>
        </w:rPr>
        <w:fldChar w:fldCharType="end"/>
      </w:r>
      <w:r>
        <w:rPr>
          <w:rFonts w:ascii="Times New Roman" w:hAnsi="Times New Roman" w:cs="Times New Roman"/>
          <w:bCs/>
        </w:rPr>
        <w:t xml:space="preserve">), joint audit and the mutual agreement procedure (MAP). </w:t>
      </w:r>
    </w:p>
  </w:footnote>
  <w:footnote w:id="355">
    <w:p w14:paraId="68DF9C3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Corporate Income tax (CIT) reform has proceeded relatively better compared to PPTA. The PIB and Nigeria </w:t>
      </w:r>
    </w:p>
    <w:p w14:paraId="657852D3">
      <w:pPr>
        <w:pStyle w:val="24"/>
        <w:ind w:left="720"/>
        <w:jc w:val="both"/>
        <w:rPr>
          <w:rFonts w:ascii="Times New Roman" w:hAnsi="Times New Roman" w:cs="Times New Roman"/>
        </w:rPr>
      </w:pPr>
      <w:r>
        <w:rPr>
          <w:rFonts w:ascii="Times New Roman" w:hAnsi="Times New Roman" w:cs="Times New Roman"/>
        </w:rPr>
        <w:t xml:space="preserve">Petroleum Fiscal Policy (NPFP) review which resulted in the enactment of the PIA was a clear attempt to address the problem of lack of policy consistency and certainty and clarity in petroleum fiscal and tax legislation. </w:t>
      </w:r>
    </w:p>
  </w:footnote>
  <w:footnote w:id="356">
    <w:p w14:paraId="540E63FC">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In </w:t>
      </w:r>
      <w:r>
        <w:rPr>
          <w:rFonts w:ascii="Times New Roman" w:hAnsi="Times New Roman" w:cs="Times New Roman"/>
          <w:bCs/>
          <w:i/>
          <w:iCs/>
        </w:rPr>
        <w:t xml:space="preserve">Oando Supply &amp; Trading Ltd v FIRS </w:t>
      </w:r>
      <w:r>
        <w:rPr>
          <w:rFonts w:ascii="Times New Roman" w:hAnsi="Times New Roman" w:cs="Times New Roman"/>
          <w:bCs/>
        </w:rPr>
        <w:t>(Oando)</w:t>
      </w:r>
      <w:r>
        <w:rPr>
          <w:rFonts w:ascii="Times New Roman" w:hAnsi="Times New Roman" w:cs="Times New Roman"/>
          <w:color w:val="4D5156"/>
          <w:sz w:val="21"/>
          <w:szCs w:val="21"/>
          <w:shd w:val="clear" w:color="auto" w:fill="FFFFFF"/>
        </w:rPr>
        <w:t xml:space="preserve"> </w:t>
      </w:r>
      <w:r>
        <w:rPr>
          <w:rFonts w:ascii="Times New Roman" w:hAnsi="Times New Roman" w:cs="Times New Roman"/>
          <w:bCs/>
        </w:rPr>
        <w:t xml:space="preserve">(2001) 4 TLRN 113, The TAT held that a taxpayer does </w:t>
      </w:r>
    </w:p>
    <w:p w14:paraId="471E93A3">
      <w:pPr>
        <w:pStyle w:val="24"/>
        <w:ind w:left="720"/>
        <w:jc w:val="both"/>
        <w:rPr>
          <w:rFonts w:ascii="Times New Roman" w:hAnsi="Times New Roman" w:cs="Times New Roman"/>
          <w:bCs/>
        </w:rPr>
      </w:pPr>
      <w:r>
        <w:rPr>
          <w:rFonts w:ascii="Times New Roman" w:hAnsi="Times New Roman" w:cs="Times New Roman"/>
          <w:bCs/>
        </w:rPr>
        <w:t>not have to wait for a formal resolution of an objection, since there is no provision in FIRSEA requiring a notice of refusal to amend (NORA), as a condition precedent for instituting a case with TAT.  The effect of this ruling is that it gives an aggrieved taxpayer four options when faced with an assessment from the tax authorities. These options are:</w:t>
      </w:r>
    </w:p>
    <w:p w14:paraId="7B12ACED">
      <w:pPr>
        <w:pStyle w:val="24"/>
        <w:ind w:firstLine="720"/>
        <w:jc w:val="both"/>
        <w:rPr>
          <w:rFonts w:ascii="Times New Roman" w:hAnsi="Times New Roman" w:cs="Times New Roman"/>
          <w:bCs/>
        </w:rPr>
      </w:pPr>
      <w:r>
        <w:rPr>
          <w:rFonts w:ascii="Times New Roman" w:hAnsi="Times New Roman" w:cs="Times New Roman"/>
          <w:bCs/>
        </w:rPr>
        <w:t>a)</w:t>
      </w:r>
      <w:r>
        <w:rPr>
          <w:rFonts w:ascii="Times New Roman" w:hAnsi="Times New Roman" w:cs="Times New Roman"/>
          <w:bCs/>
        </w:rPr>
        <w:tab/>
      </w:r>
      <w:r>
        <w:rPr>
          <w:rFonts w:ascii="Times New Roman" w:hAnsi="Times New Roman" w:cs="Times New Roman"/>
          <w:bCs/>
        </w:rPr>
        <w:t>to pay up the assessment as required in the notice;</w:t>
      </w:r>
    </w:p>
    <w:p w14:paraId="168102B3">
      <w:pPr>
        <w:pStyle w:val="24"/>
        <w:ind w:left="720"/>
        <w:jc w:val="both"/>
        <w:rPr>
          <w:rFonts w:ascii="Times New Roman" w:hAnsi="Times New Roman" w:cs="Times New Roman"/>
          <w:bCs/>
        </w:rPr>
      </w:pPr>
      <w:r>
        <w:rPr>
          <w:rFonts w:ascii="Times New Roman" w:hAnsi="Times New Roman" w:cs="Times New Roman"/>
          <w:bCs/>
        </w:rPr>
        <w:t>b)</w:t>
      </w:r>
      <w:r>
        <w:rPr>
          <w:rFonts w:ascii="Times New Roman" w:hAnsi="Times New Roman" w:cs="Times New Roman"/>
          <w:bCs/>
        </w:rPr>
        <w:tab/>
      </w:r>
      <w:r>
        <w:rPr>
          <w:rFonts w:ascii="Times New Roman" w:hAnsi="Times New Roman" w:cs="Times New Roman"/>
          <w:bCs/>
        </w:rPr>
        <w:t xml:space="preserve">to object to the assessment by sending a notice of such objection in writing to the FIRS within 30 days of the receipt; </w:t>
      </w:r>
    </w:p>
    <w:p w14:paraId="6E515794">
      <w:pPr>
        <w:pStyle w:val="24"/>
        <w:ind w:firstLine="720"/>
        <w:jc w:val="both"/>
        <w:rPr>
          <w:rFonts w:ascii="Times New Roman" w:hAnsi="Times New Roman" w:cs="Times New Roman"/>
          <w:bCs/>
        </w:rPr>
      </w:pPr>
      <w:r>
        <w:rPr>
          <w:rFonts w:ascii="Times New Roman" w:hAnsi="Times New Roman" w:cs="Times New Roman"/>
          <w:bCs/>
        </w:rPr>
        <w:t>c)</w:t>
      </w:r>
      <w:r>
        <w:rPr>
          <w:rFonts w:ascii="Times New Roman" w:hAnsi="Times New Roman" w:cs="Times New Roman"/>
          <w:bCs/>
        </w:rPr>
        <w:tab/>
      </w:r>
      <w:r>
        <w:rPr>
          <w:rFonts w:ascii="Times New Roman" w:hAnsi="Times New Roman" w:cs="Times New Roman"/>
          <w:bCs/>
        </w:rPr>
        <w:t>to appeal against such assessment to the TAT; and</w:t>
      </w:r>
    </w:p>
    <w:p w14:paraId="4199BEB4">
      <w:pPr>
        <w:pStyle w:val="24"/>
        <w:ind w:firstLine="720"/>
        <w:jc w:val="both"/>
        <w:rPr>
          <w:rFonts w:ascii="Times New Roman" w:hAnsi="Times New Roman" w:cs="Times New Roman"/>
        </w:rPr>
      </w:pPr>
      <w:r>
        <w:rPr>
          <w:rFonts w:ascii="Times New Roman" w:hAnsi="Times New Roman" w:cs="Times New Roman"/>
          <w:bCs/>
        </w:rPr>
        <w:t>d)</w:t>
      </w:r>
      <w:r>
        <w:rPr>
          <w:rFonts w:ascii="Times New Roman" w:hAnsi="Times New Roman" w:cs="Times New Roman"/>
          <w:bCs/>
        </w:rPr>
        <w:tab/>
      </w:r>
      <w:r>
        <w:rPr>
          <w:rFonts w:ascii="Times New Roman" w:hAnsi="Times New Roman" w:cs="Times New Roman"/>
          <w:bCs/>
        </w:rPr>
        <w:t xml:space="preserve">to pursue options b and c above.  </w:t>
      </w:r>
    </w:p>
  </w:footnote>
  <w:footnote w:id="357">
    <w:p w14:paraId="4235D5A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literal rule which requires that a provision be interpreted in accordance with the intention of Parliament </w:t>
      </w:r>
    </w:p>
    <w:p w14:paraId="26518451">
      <w:pPr>
        <w:pStyle w:val="24"/>
        <w:ind w:left="720"/>
        <w:jc w:val="both"/>
        <w:rPr>
          <w:rFonts w:ascii="Times New Roman" w:hAnsi="Times New Roman" w:cs="Times New Roman"/>
        </w:rPr>
      </w:pPr>
      <w:r>
        <w:rPr>
          <w:rFonts w:ascii="Times New Roman" w:hAnsi="Times New Roman" w:cs="Times New Roman"/>
        </w:rPr>
        <w:t xml:space="preserve">and provides that words are to be given their ordinary and natural meaning. The golden rule which allows the Court to consider the consequences of a particular interpretation and accordingly, if the literal meaning of the words results in an absurdity, then the Court will modify the ordinary meaning of the words to overcome this. This approach contemplates an error in the wording of the provisions so that the a literal meaning may not result in the intention of Parliament being realised as Lord Wensleydale outlined in </w:t>
      </w:r>
      <w:r>
        <w:rPr>
          <w:rFonts w:ascii="Times New Roman" w:hAnsi="Times New Roman" w:cs="Times New Roman"/>
          <w:i/>
          <w:iCs/>
        </w:rPr>
        <w:t>Grey v Pearson</w:t>
      </w:r>
      <w:r>
        <w:rPr>
          <w:rFonts w:ascii="Times New Roman" w:hAnsi="Times New Roman" w:cs="Times New Roman"/>
        </w:rPr>
        <w:t xml:space="preserve"> ( 1857) 6 HLC 61 at 106); and lastly the mischief rule which is applied where there is ambiguity in the legislation and allows the Court to determine the reasons or purpose for the passing of the Act by parliament, (the mischief to which the Act is directed), and provides for an interpretation to be preferred that advances the purposes of the Act to one that does not.</w:t>
      </w:r>
    </w:p>
  </w:footnote>
  <w:footnote w:id="358">
    <w:p w14:paraId="2F58279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Total held 10% interest in Oil Mining Leases (OMLs) 4, 26, 38, 41 and 42.</w:t>
      </w:r>
    </w:p>
  </w:footnote>
  <w:footnote w:id="359">
    <w:p w14:paraId="63F3C7E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In line with Para 1- Second Schedule of PPTA, ‘qualifying capital expenditure’ means expenditure incurred</w:t>
      </w:r>
    </w:p>
    <w:p w14:paraId="1A4A143D">
      <w:pPr>
        <w:pStyle w:val="24"/>
        <w:ind w:left="720"/>
        <w:jc w:val="both"/>
        <w:rPr>
          <w:rFonts w:ascii="Times New Roman" w:hAnsi="Times New Roman" w:cs="Times New Roman"/>
        </w:rPr>
      </w:pPr>
      <w:r>
        <w:rPr>
          <w:rFonts w:ascii="Times New Roman" w:hAnsi="Times New Roman" w:cs="Times New Roman"/>
        </w:rPr>
        <w:t>in an accounting period, except expenditure specifically excluded such as sums which may be deducted under section 10 of the PPTA etc.</w:t>
      </w:r>
    </w:p>
  </w:footnote>
  <w:footnote w:id="360">
    <w:p w14:paraId="26F717AB">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 60 PPTA</w:t>
      </w:r>
    </w:p>
  </w:footnote>
  <w:footnote w:id="361">
    <w:p w14:paraId="7053B4BD">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Finance Act 2021 increased the TET from 2% to 2.5%.</w:t>
      </w:r>
    </w:p>
  </w:footnote>
  <w:footnote w:id="362">
    <w:p w14:paraId="5649AAA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Cap P13, Laws of the Federation of Nigeria (LFN), 2004 (as amended).</w:t>
      </w:r>
    </w:p>
  </w:footnote>
  <w:footnote w:id="363">
    <w:p w14:paraId="04CC62F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rPr>
        <w:t xml:space="preserve">The FHC however, upheld the TAT's decision that tertiary education tax (TET) is not chargeable on the </w:t>
      </w:r>
    </w:p>
    <w:p w14:paraId="2FFDF1DB">
      <w:pPr>
        <w:pStyle w:val="24"/>
        <w:ind w:left="720"/>
        <w:jc w:val="both"/>
        <w:rPr>
          <w:rFonts w:ascii="Times New Roman" w:hAnsi="Times New Roman" w:cs="Times New Roman"/>
        </w:rPr>
      </w:pPr>
      <w:r>
        <w:rPr>
          <w:rFonts w:ascii="Times New Roman" w:hAnsi="Times New Roman" w:cs="Times New Roman"/>
        </w:rPr>
        <w:t>balancing charge. It also upheld the Tribunal's decision that interest paid on intercompany loans qualifies as a tax deductible expense for petroleum profit tax (PPT) purposes, provided that the interest rate is at arm's length under terms prevailing in the open market.</w:t>
      </w:r>
    </w:p>
    <w:p w14:paraId="3C341AA7">
      <w:pPr>
        <w:pStyle w:val="24"/>
        <w:rPr>
          <w:lang w:val="en-GB"/>
        </w:rPr>
      </w:pPr>
    </w:p>
  </w:footnote>
  <w:footnote w:id="364">
    <w:p w14:paraId="35EF4612">
      <w:pPr>
        <w:pStyle w:val="24"/>
        <w:ind w:left="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The treatment of petroleum investment allowance (PIA) is like the reconstruction investment allowance under CITA, which is a one-off uplift granted to companies for incurring qualifying capital expenditure (QCE) in the first year of acquisition of an asset and does not form part of the cost of the QCE, to be amortized through annual allowances. Also, although the PIA is included in determining the capital allowance claimed by a company on a QCE in the first year the asset is put to use by the company, it is not considered in computing the residue of the QCE carried forward to subsequent tax years.</w:t>
      </w:r>
    </w:p>
  </w:footnote>
  <w:footnote w:id="365">
    <w:p w14:paraId="375FEC5E">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 1(i) – (iii) TETA </w:t>
      </w:r>
    </w:p>
  </w:footnote>
  <w:footnote w:id="366">
    <w:p w14:paraId="75FBA51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As per section 9 (1) (a) PPTA – "the balancing charge to be treated as part of the profits of the company</w:t>
      </w:r>
    </w:p>
    <w:p w14:paraId="51F9667B">
      <w:pPr>
        <w:pStyle w:val="24"/>
        <w:ind w:left="720"/>
        <w:jc w:val="both"/>
        <w:rPr>
          <w:rFonts w:ascii="Times New Roman" w:hAnsi="Times New Roman" w:cs="Times New Roman"/>
        </w:rPr>
      </w:pPr>
      <w:r>
        <w:rPr>
          <w:rFonts w:ascii="Times New Roman" w:hAnsi="Times New Roman" w:cs="Times New Roman"/>
        </w:rPr>
        <w:t xml:space="preserve">is included in the computation of its adjusted profits as well as the assessable profits on which TET is to be assessed”.  </w:t>
      </w:r>
    </w:p>
  </w:footnote>
  <w:footnote w:id="367">
    <w:p w14:paraId="67DD51BA">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Unreported Appeal No CA/A/208/2012; Judgment of the Court of Appeal, Abuja delivered on 31 August 2016.</w:t>
      </w:r>
    </w:p>
  </w:footnote>
  <w:footnote w:id="368">
    <w:p w14:paraId="30952CA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the Federal High Court shall have and exercise jurisdiction to the exclusion of any other court in civil</w:t>
      </w:r>
    </w:p>
    <w:p w14:paraId="65DDF115">
      <w:pPr>
        <w:pStyle w:val="24"/>
        <w:ind w:firstLine="720"/>
        <w:jc w:val="both"/>
        <w:rPr>
          <w:rFonts w:ascii="Times New Roman" w:hAnsi="Times New Roman" w:cs="Times New Roman"/>
        </w:rPr>
      </w:pPr>
      <w:r>
        <w:rPr>
          <w:rFonts w:ascii="Times New Roman" w:hAnsi="Times New Roman" w:cs="Times New Roman"/>
        </w:rPr>
        <w:t xml:space="preserve"> causes and matters –</w:t>
      </w:r>
    </w:p>
    <w:p w14:paraId="0E768F3E">
      <w:pPr>
        <w:pStyle w:val="24"/>
        <w:numPr>
          <w:ilvl w:val="1"/>
          <w:numId w:val="3"/>
        </w:numPr>
        <w:jc w:val="both"/>
        <w:rPr>
          <w:rFonts w:ascii="Times New Roman" w:hAnsi="Times New Roman" w:cs="Times New Roman"/>
        </w:rPr>
      </w:pPr>
      <w:r>
        <w:rPr>
          <w:rFonts w:ascii="Times New Roman" w:hAnsi="Times New Roman" w:cs="Times New Roman"/>
        </w:rPr>
        <w:t xml:space="preserve">relating to the revenue of the Government of the Federation in which the said Government or </w:t>
      </w:r>
    </w:p>
    <w:p w14:paraId="7562047A">
      <w:pPr>
        <w:pStyle w:val="24"/>
        <w:numPr>
          <w:ilvl w:val="1"/>
          <w:numId w:val="3"/>
        </w:numPr>
        <w:jc w:val="both"/>
        <w:rPr>
          <w:rFonts w:ascii="Times New Roman" w:hAnsi="Times New Roman" w:cs="Times New Roman"/>
        </w:rPr>
      </w:pPr>
      <w:r>
        <w:rPr>
          <w:rFonts w:ascii="Times New Roman" w:hAnsi="Times New Roman" w:cs="Times New Roman"/>
        </w:rPr>
        <w:t xml:space="preserve">any organ thereof or a person suing or being sued on behalf of the said government is a party; </w:t>
      </w:r>
    </w:p>
    <w:p w14:paraId="4C52BD0C">
      <w:pPr>
        <w:pStyle w:val="24"/>
        <w:ind w:left="720"/>
        <w:jc w:val="both"/>
        <w:rPr>
          <w:rFonts w:ascii="Times New Roman" w:hAnsi="Times New Roman" w:cs="Times New Roman"/>
        </w:rPr>
      </w:pPr>
      <w:r>
        <w:rPr>
          <w:rFonts w:ascii="Times New Roman" w:hAnsi="Times New Roman" w:cs="Times New Roman"/>
        </w:rPr>
        <w:t>connected with or pertaining to the taxation of companies and other bodies established or carrying on business in Nigeria and all other persons subject to Federal taxation…”</w:t>
      </w:r>
    </w:p>
  </w:footnote>
  <w:footnote w:id="369">
    <w:p w14:paraId="1D2B5199">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Arbitration and Conciliation Act, Cap A18 Laws of the Federation of Nigeria, 2004.</w:t>
      </w:r>
    </w:p>
  </w:footnote>
  <w:footnote w:id="370">
    <w:p w14:paraId="21E62510">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1999 Constitution s 6(1) ‘The judicial powers of the Federation shall be vested in the courts to which this section relates, being courts established for the Federation. </w:t>
      </w:r>
    </w:p>
    <w:p w14:paraId="15289F6C">
      <w:pPr>
        <w:pStyle w:val="24"/>
        <w:ind w:left="72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r>
      <w:r>
        <w:rPr>
          <w:rFonts w:ascii="Times New Roman" w:hAnsi="Times New Roman" w:cs="Times New Roman"/>
        </w:rPr>
        <w:t xml:space="preserve">The judicial powers of a State shall be vested in the courts to which this section relates, being courts established, subject as provided by this Constitution, for a State. </w:t>
      </w:r>
    </w:p>
    <w:p w14:paraId="5278A615">
      <w:pPr>
        <w:pStyle w:val="24"/>
        <w:ind w:left="720"/>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r>
      <w:r>
        <w:rPr>
          <w:rFonts w:ascii="Times New Roman" w:hAnsi="Times New Roman" w:cs="Times New Roman"/>
        </w:rPr>
        <w:t xml:space="preserve">The courts to which this section relates, established by this Constitution for the Federation and for the    States, specified in subsection (5) (a) to (1) of this section, shall be the only superior courts of record in Nigeria; and save as otherwise prescribed by the National Assembly or by the House of Assembly of a State, each court shall have all the powers of a superior court of record. </w:t>
      </w:r>
    </w:p>
    <w:p w14:paraId="79886824">
      <w:pPr>
        <w:pStyle w:val="24"/>
        <w:ind w:left="720"/>
        <w:jc w:val="both"/>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r>
      <w:r>
        <w:rPr>
          <w:rFonts w:ascii="Times New Roman" w:hAnsi="Times New Roman" w:cs="Times New Roman"/>
        </w:rPr>
        <w:t xml:space="preserve">Nothing in the foregoing provisions of this section shall be construed as precluding: - </w:t>
      </w:r>
    </w:p>
    <w:p w14:paraId="0110183B">
      <w:pPr>
        <w:pStyle w:val="24"/>
        <w:numPr>
          <w:ilvl w:val="0"/>
          <w:numId w:val="4"/>
        </w:numPr>
        <w:jc w:val="both"/>
        <w:rPr>
          <w:rFonts w:ascii="Times New Roman" w:hAnsi="Times New Roman" w:cs="Times New Roman"/>
        </w:rPr>
      </w:pPr>
      <w:r>
        <w:rPr>
          <w:rFonts w:ascii="Times New Roman" w:hAnsi="Times New Roman" w:cs="Times New Roman"/>
        </w:rPr>
        <w:t>the National Assembly or any House of Assembly from establishing courts, other than those to which this section relates, with subordinate jurisdiction to that of a High Court;</w:t>
      </w:r>
      <w:r>
        <w:rPr>
          <w:rFonts w:ascii="Times New Roman" w:hAnsi="Times New Roman" w:cs="Times New Roman"/>
          <w:color w:val="800080"/>
        </w:rPr>
        <w:t xml:space="preserve"> </w:t>
      </w:r>
      <w:r>
        <w:rPr>
          <w:rFonts w:ascii="Times New Roman" w:hAnsi="Times New Roman" w:cs="Times New Roman"/>
        </w:rPr>
        <w:t>(b) the National Assembly or any House of Assembly, which does not require it, from abolishing any court which it has power to establish or which it has brought into being.</w:t>
      </w:r>
    </w:p>
    <w:p w14:paraId="617E3951">
      <w:pPr>
        <w:pStyle w:val="24"/>
        <w:ind w:left="720"/>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r>
      <w:r>
        <w:rPr>
          <w:rFonts w:ascii="Times New Roman" w:hAnsi="Times New Roman" w:cs="Times New Roman"/>
        </w:rPr>
        <w:t>This section relates to: - (a) the Supreme Court of Nigeria; (b) the Court of Appeal; (c) the Federal High Court; (d) the High Court of the Federal Capital Territory, Abuja; (e) a High Court of a State, sharia courts of appeal, etc.</w:t>
      </w:r>
    </w:p>
  </w:footnote>
  <w:footnote w:id="371">
    <w:p w14:paraId="4269C6D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Jack Calder, Chapter 1 – What’s Special about Natural Resource Revenue Administration? </w:t>
      </w:r>
    </w:p>
    <w:p w14:paraId="4F854469">
      <w:pPr>
        <w:pStyle w:val="24"/>
        <w:ind w:left="720"/>
        <w:jc w:val="both"/>
        <w:rPr>
          <w:rFonts w:ascii="Times New Roman" w:hAnsi="Times New Roman" w:cs="Times New Roman"/>
        </w:rPr>
      </w:pPr>
      <w:r>
        <w:fldChar w:fldCharType="begin"/>
      </w:r>
      <w:r>
        <w:instrText xml:space="preserve"> HYPERLINK "https://www.elibrary.imf.org/" </w:instrText>
      </w:r>
      <w:r>
        <w:fldChar w:fldCharType="separate"/>
      </w:r>
      <w:r>
        <w:rPr>
          <w:rStyle w:val="27"/>
          <w:rFonts w:ascii="Times New Roman" w:hAnsi="Times New Roman" w:cs="Times New Roman"/>
        </w:rPr>
        <w:t>https://www.elibrary.imf.org/</w:t>
      </w:r>
      <w:r>
        <w:rPr>
          <w:rStyle w:val="27"/>
          <w:rFonts w:ascii="Times New Roman" w:hAnsi="Times New Roman" w:cs="Times New Roman"/>
        </w:rPr>
        <w:fldChar w:fldCharType="end"/>
      </w:r>
      <w:r>
        <w:rPr>
          <w:rFonts w:ascii="Times New Roman" w:hAnsi="Times New Roman" w:cs="Times New Roman"/>
        </w:rPr>
        <w:t xml:space="preserve"> &gt;, contributory factors include the geology, resource availability, technology, finance, price, political risk, international considerations, and environmental and climate change present their own uncertainties, etc.18 July 2014</w:t>
      </w:r>
    </w:p>
  </w:footnote>
  <w:footnote w:id="372">
    <w:p w14:paraId="469E4809">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Philip Daniel, Michael Keen and Charles McPherson (ed), </w:t>
      </w:r>
      <w:r>
        <w:rPr>
          <w:rFonts w:ascii="Times New Roman" w:hAnsi="Times New Roman" w:cs="Times New Roman"/>
          <w:i/>
          <w:iCs/>
        </w:rPr>
        <w:t>The Taxation of Petroleum and Minerals:</w:t>
      </w:r>
    </w:p>
    <w:p w14:paraId="56056840">
      <w:pPr>
        <w:pStyle w:val="24"/>
        <w:ind w:left="720"/>
        <w:jc w:val="both"/>
        <w:rPr>
          <w:rFonts w:ascii="Times New Roman" w:hAnsi="Times New Roman" w:cs="Times New Roman"/>
        </w:rPr>
      </w:pPr>
      <w:r>
        <w:rPr>
          <w:rFonts w:ascii="Times New Roman" w:hAnsi="Times New Roman" w:cs="Times New Roman"/>
          <w:i/>
          <w:iCs/>
        </w:rPr>
        <w:t xml:space="preserve">Principles, Problems and Practice, </w:t>
      </w:r>
      <w:r>
        <w:rPr>
          <w:rFonts w:ascii="Times New Roman" w:hAnsi="Times New Roman" w:cs="Times New Roman"/>
        </w:rPr>
        <w:t xml:space="preserve">Chapter 4 by Carole Nakhle, Minerals, Chapter 4: Petroleum Fiscal Regimes: Evolution and Challenges, (Routledge Publishers 2010). </w:t>
      </w:r>
    </w:p>
  </w:footnote>
  <w:footnote w:id="373">
    <w:p w14:paraId="287D39D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Petroleum Act 1969 and Petroleum Regulations, 1967. Laws of the Federation, Cap 350, 1990.</w:t>
      </w:r>
    </w:p>
  </w:footnote>
  <w:footnote w:id="374">
    <w:p w14:paraId="6720B7B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Nigeria’s Crude oil exploration resulted in the commercial production of crude oil in 1958, with up to </w:t>
      </w:r>
    </w:p>
    <w:p w14:paraId="6D357DD6">
      <w:pPr>
        <w:pStyle w:val="24"/>
        <w:ind w:firstLine="720"/>
        <w:jc w:val="both"/>
        <w:rPr>
          <w:rFonts w:ascii="Times New Roman" w:hAnsi="Times New Roman" w:cs="Times New Roman"/>
        </w:rPr>
      </w:pPr>
      <w:r>
        <w:rPr>
          <w:rFonts w:ascii="Times New Roman" w:hAnsi="Times New Roman" w:cs="Times New Roman"/>
        </w:rPr>
        <w:t>5100 barrels exported.</w:t>
      </w:r>
    </w:p>
  </w:footnote>
  <w:footnote w:id="375">
    <w:p w14:paraId="47DD101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Source: </w:t>
      </w:r>
      <w:r>
        <w:rPr>
          <w:rFonts w:ascii="Times New Roman" w:hAnsi="Times New Roman" w:cs="Times New Roman"/>
        </w:rPr>
        <w:t xml:space="preserve">The United Nations University World Institute for Development Economics Research (UNU- </w:t>
      </w:r>
    </w:p>
    <w:p w14:paraId="06BFA0D2">
      <w:pPr>
        <w:pStyle w:val="24"/>
        <w:ind w:firstLine="720"/>
        <w:jc w:val="both"/>
        <w:rPr>
          <w:rFonts w:ascii="Times New Roman" w:hAnsi="Times New Roman" w:cs="Times New Roman"/>
        </w:rPr>
      </w:pPr>
      <w:r>
        <w:rPr>
          <w:rFonts w:ascii="Times New Roman" w:hAnsi="Times New Roman" w:cs="Times New Roman"/>
        </w:rPr>
        <w:t>WIDER), Helsinki.</w:t>
      </w:r>
    </w:p>
  </w:footnote>
  <w:footnote w:id="376">
    <w:p w14:paraId="28C85F7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Victor E. Eromosele (edited), Energy Insight Nigeria, (2020 special edition), Chapter 1-Raising industry </w:t>
      </w:r>
    </w:p>
    <w:p w14:paraId="65BD9BD7">
      <w:pPr>
        <w:pStyle w:val="24"/>
        <w:ind w:left="720"/>
        <w:jc w:val="both"/>
        <w:rPr>
          <w:rFonts w:ascii="Times New Roman" w:hAnsi="Times New Roman" w:cs="Times New Roman"/>
        </w:rPr>
      </w:pPr>
      <w:r>
        <w:rPr>
          <w:rFonts w:ascii="Times New Roman" w:hAnsi="Times New Roman" w:cs="Times New Roman"/>
        </w:rPr>
        <w:t xml:space="preserve">performance: some global lessons, pp.23-25, Dapo Okubadejo, partner and head of Deals Advisory, KPMG Nigeria. - The strategy should include clear definition of government economic and fiscal objectives, maximising. revenues for the State, maintaining security of supply of national control of resources, capacity building and proper regulatory framework, the development of oil and gas knowledge center, the definition of NOC roles and objectives, ensuring the presence of enablers such as financing, accountability and transparency and effective operations performance management and monitoring. </w:t>
      </w:r>
    </w:p>
  </w:footnote>
  <w:footnote w:id="377">
    <w:p w14:paraId="361078B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Ayodele Odusola, Tax Policy Reforms in Nigeria, Research Paper No. 2006/03. (UNU World Institute </w:t>
      </w:r>
    </w:p>
    <w:p w14:paraId="30F49C90">
      <w:pPr>
        <w:pStyle w:val="24"/>
        <w:ind w:firstLine="720"/>
        <w:jc w:val="both"/>
        <w:rPr>
          <w:rFonts w:ascii="Times New Roman" w:hAnsi="Times New Roman" w:cs="Times New Roman"/>
        </w:rPr>
      </w:pPr>
      <w:r>
        <w:rPr>
          <w:rFonts w:ascii="Times New Roman" w:hAnsi="Times New Roman" w:cs="Times New Roman"/>
        </w:rPr>
        <w:t>for Development Economics Research (UNU-WIDER) Katajanokanlaituri 6 B, 00160 Helsinki, Finland)</w:t>
      </w:r>
    </w:p>
  </w:footnote>
  <w:footnote w:id="378">
    <w:p w14:paraId="3327191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MOU, first signed in 1986, was revised in 1991 and again in 2000. The aim of the MOU was to</w:t>
      </w:r>
    </w:p>
    <w:p w14:paraId="7DFADDA6">
      <w:pPr>
        <w:pStyle w:val="24"/>
        <w:ind w:left="720"/>
        <w:jc w:val="both"/>
        <w:rPr>
          <w:rFonts w:ascii="Times New Roman" w:hAnsi="Times New Roman" w:cs="Times New Roman"/>
        </w:rPr>
      </w:pPr>
      <w:r>
        <w:rPr>
          <w:rFonts w:ascii="Times New Roman" w:hAnsi="Times New Roman" w:cs="Times New Roman"/>
        </w:rPr>
        <w:t>secure a profit margin for the oil companies during difficult oil market conditions and achieve increased reserves for the country with the award of the Reserve addition bonus (RAB) incentives to investing companies.</w:t>
      </w:r>
    </w:p>
  </w:footnote>
  <w:footnote w:id="379">
    <w:p w14:paraId="1C16160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"https://www.imf.org/en/Home" </w:instrText>
      </w:r>
      <w:r>
        <w:fldChar w:fldCharType="separate"/>
      </w:r>
      <w:r>
        <w:rPr>
          <w:rStyle w:val="27"/>
          <w:rFonts w:ascii="Times New Roman" w:hAnsi="Times New Roman" w:cs="Times New Roman"/>
          <w:u w:val="none"/>
        </w:rPr>
        <w:t>International Monetary Fund (IMF)</w:t>
      </w:r>
      <w:r>
        <w:rPr>
          <w:rStyle w:val="27"/>
          <w:rFonts w:ascii="Times New Roman" w:hAnsi="Times New Roman" w:cs="Times New Roman"/>
          <w:u w:val="none"/>
        </w:rPr>
        <w:fldChar w:fldCharType="end"/>
      </w:r>
      <w:r>
        <w:rPr>
          <w:rFonts w:ascii="Times New Roman" w:hAnsi="Times New Roman" w:cs="Times New Roman"/>
        </w:rPr>
        <w:t xml:space="preserve">: Fiscal policy describes two actions by the government. The first is </w:t>
      </w:r>
    </w:p>
    <w:p w14:paraId="1657D39A">
      <w:pPr>
        <w:pStyle w:val="24"/>
        <w:ind w:left="720"/>
        <w:jc w:val="both"/>
        <w:rPr>
          <w:rFonts w:ascii="Times New Roman" w:hAnsi="Times New Roman" w:cs="Times New Roman"/>
        </w:rPr>
      </w:pPr>
      <w:r>
        <w:rPr>
          <w:rFonts w:ascii="Times New Roman" w:hAnsi="Times New Roman" w:cs="Times New Roman"/>
        </w:rPr>
        <w:t>taxation. By levying taxes, the government receives revenue from the populace. Taxes come in many varieties and serve different specific purposes, but the key concept is that taxation is a transfer of assets from the people to the government. The second action is government spending. This may take the form of wages to government employees, social security benefits, smooth roads, or fancy weapons. When the government spends, it transfers assets from itself to the public. Since taxation and government spending represent reversed asset flows, we can think of them as opposite policies.</w:t>
      </w:r>
    </w:p>
  </w:footnote>
  <w:footnote w:id="380">
    <w:p w14:paraId="425D723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Oil and Natural Gas Fiscal Best Practices: Lessons for State and Local Governments. (Headwaters</w:t>
      </w:r>
    </w:p>
    <w:p w14:paraId="15F49050">
      <w:pPr>
        <w:pStyle w:val="24"/>
        <w:ind w:firstLine="720"/>
        <w:jc w:val="both"/>
        <w:rPr>
          <w:rFonts w:ascii="Times New Roman" w:hAnsi="Times New Roman" w:cs="Times New Roman"/>
        </w:rPr>
      </w:pPr>
      <w:r>
        <w:rPr>
          <w:rFonts w:ascii="Times New Roman" w:hAnsi="Times New Roman" w:cs="Times New Roman"/>
        </w:rPr>
        <w:t xml:space="preserve"> Economics) November 2012.</w:t>
      </w:r>
    </w:p>
  </w:footnote>
  <w:footnote w:id="381">
    <w:p w14:paraId="6251141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Silvana Tordo, Fiscal Systems for Hydrocarbons -Design Issues, (World Bank Working Paper No 123), </w:t>
      </w:r>
    </w:p>
    <w:p w14:paraId="5B7CBE0D">
      <w:pPr>
        <w:pStyle w:val="24"/>
        <w:ind w:left="720"/>
        <w:jc w:val="both"/>
        <w:rPr>
          <w:rFonts w:ascii="Times New Roman" w:hAnsi="Times New Roman" w:cs="Times New Roman"/>
        </w:rPr>
      </w:pPr>
      <w:r>
        <w:rPr>
          <w:rFonts w:ascii="Times New Roman" w:hAnsi="Times New Roman" w:cs="Times New Roman"/>
        </w:rPr>
        <w:t>chapter 1, p.1. Many fiscal systems around the world make use of sliding scales for the determination of at least one of the following parameters: royalty, bonuses, profit oil/gas split, cost recovery, and taxes.</w:t>
      </w:r>
    </w:p>
  </w:footnote>
  <w:footnote w:id="382">
    <w:p w14:paraId="50B9D33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See others such as the Nigeria LNG Act, and the Production Sharing Contract (PSC). </w:t>
      </w:r>
    </w:p>
  </w:footnote>
  <w:footnote w:id="383">
    <w:p w14:paraId="03E8D8AC">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Philip Daniel, Michael Keen and Charles McPherson</w:t>
      </w:r>
      <w:r>
        <w:rPr>
          <w:rFonts w:ascii="Times New Roman" w:hAnsi="Times New Roman" w:cs="Times New Roman"/>
          <w:i/>
          <w:iCs/>
        </w:rPr>
        <w:t xml:space="preserve">: The Taxation of Petroleum Mineral and Principles, </w:t>
      </w:r>
    </w:p>
    <w:p w14:paraId="16CD0359">
      <w:pPr>
        <w:pStyle w:val="24"/>
        <w:ind w:firstLine="720"/>
        <w:jc w:val="both"/>
        <w:rPr>
          <w:rFonts w:ascii="Times New Roman" w:hAnsi="Times New Roman" w:cs="Times New Roman"/>
        </w:rPr>
      </w:pPr>
      <w:r>
        <w:rPr>
          <w:rFonts w:ascii="Times New Roman" w:hAnsi="Times New Roman" w:cs="Times New Roman"/>
          <w:i/>
          <w:iCs/>
        </w:rPr>
        <w:t>Problems and Practice.</w:t>
      </w:r>
      <w:r>
        <w:rPr>
          <w:rFonts w:ascii="Times New Roman" w:hAnsi="Times New Roman" w:cs="Times New Roman"/>
        </w:rPr>
        <w:t xml:space="preserve"> Chapter 15, Time Consistency in Petroleum Operations, pp. 425-444</w:t>
      </w:r>
    </w:p>
  </w:footnote>
  <w:footnote w:id="384">
    <w:p w14:paraId="52061E0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"https://www.imf.org/en/Home" </w:instrText>
      </w:r>
      <w:r>
        <w:fldChar w:fldCharType="separate"/>
      </w:r>
      <w:r>
        <w:rPr>
          <w:rStyle w:val="27"/>
          <w:rFonts w:ascii="Times New Roman" w:hAnsi="Times New Roman" w:cs="Times New Roman"/>
          <w:u w:val="none"/>
        </w:rPr>
        <w:t>International Monetary Fund (IMF)</w:t>
      </w:r>
      <w:r>
        <w:rPr>
          <w:rStyle w:val="27"/>
          <w:rFonts w:ascii="Times New Roman" w:hAnsi="Times New Roman" w:cs="Times New Roman"/>
          <w:u w:val="none"/>
        </w:rPr>
        <w:fldChar w:fldCharType="end"/>
      </w:r>
      <w:r>
        <w:rPr>
          <w:rFonts w:ascii="Times New Roman" w:hAnsi="Times New Roman" w:cs="Times New Roman"/>
        </w:rPr>
        <w:t xml:space="preserve"> (2003), Fiscal Policy Formulation and Implementation in Oil-Producing</w:t>
      </w:r>
    </w:p>
    <w:p w14:paraId="4FBB1BA8">
      <w:pPr>
        <w:pStyle w:val="24"/>
        <w:ind w:left="720" w:firstLine="48"/>
        <w:jc w:val="both"/>
        <w:rPr>
          <w:rFonts w:ascii="Times New Roman" w:hAnsi="Times New Roman" w:cs="Times New Roman"/>
        </w:rPr>
      </w:pPr>
      <w:r>
        <w:rPr>
          <w:rFonts w:ascii="Times New Roman" w:hAnsi="Times New Roman" w:cs="Times New Roman"/>
        </w:rPr>
        <w:t xml:space="preserve">Countries, Editors: J.M Davis, R. Ossowski, and A. Fedelino. Moreover, studies also have shown that resource-dependent economies tend to grow more slowly than non-resource-dependent ones at comparable levels of development. </w:t>
      </w:r>
    </w:p>
  </w:footnote>
  <w:footnote w:id="385">
    <w:p w14:paraId="7E83002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Ayodele F. Odusola, 2006. "</w:t>
      </w:r>
      <w:r>
        <w:fldChar w:fldCharType="begin"/>
      </w:r>
      <w:r>
        <w:instrText xml:space="preserve"> HYPERLINK "https://ideas.repec.org/p/unu/wpaper/rp2006-03.html" </w:instrText>
      </w:r>
      <w:r>
        <w:fldChar w:fldCharType="separate"/>
      </w:r>
      <w:r>
        <w:rPr>
          <w:rStyle w:val="27"/>
          <w:rFonts w:ascii="Times New Roman" w:hAnsi="Times New Roman" w:cs="Times New Roman"/>
          <w:u w:val="none"/>
        </w:rPr>
        <w:t>Tax Policy Reforms in Nigeria</w:t>
      </w:r>
      <w:r>
        <w:rPr>
          <w:rStyle w:val="27"/>
          <w:rFonts w:ascii="Times New Roman" w:hAnsi="Times New Roman" w:cs="Times New Roman"/>
          <w:u w:val="none"/>
        </w:rPr>
        <w:fldChar w:fldCharType="end"/>
      </w:r>
      <w:r>
        <w:rPr>
          <w:rFonts w:ascii="Times New Roman" w:hAnsi="Times New Roman" w:cs="Times New Roman"/>
        </w:rPr>
        <w:t>," </w:t>
      </w:r>
      <w:r>
        <w:fldChar w:fldCharType="begin"/>
      </w:r>
      <w:r>
        <w:instrText xml:space="preserve"> HYPERLINK "https://ideas.repec.org/s/unu/wpaper.html" </w:instrText>
      </w:r>
      <w:r>
        <w:fldChar w:fldCharType="separate"/>
      </w:r>
      <w:r>
        <w:rPr>
          <w:rStyle w:val="27"/>
          <w:rFonts w:ascii="Times New Roman" w:hAnsi="Times New Roman" w:cs="Times New Roman"/>
          <w:u w:val="none"/>
        </w:rPr>
        <w:t>WIDER Working Paper Series</w:t>
      </w:r>
      <w:r>
        <w:rPr>
          <w:rStyle w:val="27"/>
          <w:rFonts w:ascii="Times New Roman" w:hAnsi="Times New Roman" w:cs="Times New Roman"/>
          <w:u w:val="none"/>
        </w:rPr>
        <w:fldChar w:fldCharType="end"/>
      </w:r>
      <w:r>
        <w:rPr>
          <w:rFonts w:ascii="Times New Roman" w:hAnsi="Times New Roman" w:cs="Times New Roman"/>
        </w:rPr>
        <w:t xml:space="preserve"> RP2006-03, </w:t>
      </w:r>
    </w:p>
    <w:p w14:paraId="02A9400C">
      <w:pPr>
        <w:pStyle w:val="24"/>
        <w:ind w:firstLine="720"/>
        <w:jc w:val="both"/>
        <w:rPr>
          <w:rFonts w:ascii="Times New Roman" w:hAnsi="Times New Roman" w:cs="Times New Roman"/>
        </w:rPr>
      </w:pPr>
      <w:r>
        <w:rPr>
          <w:rFonts w:ascii="Times New Roman" w:hAnsi="Times New Roman" w:cs="Times New Roman"/>
        </w:rPr>
        <w:t>World Institute for Development Economic Research (UNU-WIDER).</w:t>
      </w:r>
    </w:p>
  </w:footnote>
  <w:footnote w:id="386">
    <w:p w14:paraId="320AAD4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Nigeria National Tax Policy (NTP), 2012 outlines the key provisions under Chapter 2 of the </w:t>
      </w:r>
    </w:p>
    <w:p w14:paraId="5EA5667D">
      <w:pPr>
        <w:pStyle w:val="24"/>
        <w:ind w:left="720"/>
        <w:jc w:val="both"/>
        <w:rPr>
          <w:rFonts w:ascii="Times New Roman" w:hAnsi="Times New Roman" w:cs="Times New Roman"/>
        </w:rPr>
      </w:pPr>
      <w:r>
        <w:rPr>
          <w:rFonts w:ascii="Times New Roman" w:hAnsi="Times New Roman" w:cs="Times New Roman"/>
        </w:rPr>
        <w:t>Constitution of the Federal Republic of Nigeria 1999. The 1999 Constitution articulates the fundamental objectives and directive principles of State policy relevant to tax policy design and development. These include honest declaration of income and payment of tax; fiscal responsibility and accountability; promoting a planned and balanced economic development; securing maximum welfare, justice, and equity; etc.</w:t>
      </w:r>
    </w:p>
  </w:footnote>
  <w:footnote w:id="387">
    <w:p w14:paraId="0A59AC05">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NTP 2012, pp 41- 42</w:t>
      </w:r>
    </w:p>
  </w:footnote>
  <w:footnote w:id="388">
    <w:p w14:paraId="2D28F0C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44 (3) of the Constitution of the Federal Republic of Nigeria 1999; the DPR, MOPR, Nigerian</w:t>
      </w:r>
    </w:p>
    <w:p w14:paraId="16AA5F56">
      <w:pPr>
        <w:pStyle w:val="24"/>
        <w:ind w:left="720" w:firstLine="48"/>
        <w:jc w:val="both"/>
        <w:rPr>
          <w:rFonts w:ascii="Times New Roman" w:hAnsi="Times New Roman" w:cs="Times New Roman"/>
        </w:rPr>
      </w:pPr>
      <w:r>
        <w:rPr>
          <w:rFonts w:ascii="Times New Roman" w:hAnsi="Times New Roman" w:cs="Times New Roman"/>
        </w:rPr>
        <w:t>National Petroleum Corporation Act; the Deep Offshore and Inland Basin Production Sharing Contract Decree (1999); the Petroleum Profits Tax Act (PPTA) as amended; the Petroleum Act, and the Petroleum (Drilling and Production) Regulations and Petroleum Refining Regulations.</w:t>
      </w:r>
    </w:p>
  </w:footnote>
  <w:footnote w:id="389">
    <w:p w14:paraId="2118139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DPR, NNPC, MPR etc.</w:t>
      </w:r>
    </w:p>
  </w:footnote>
  <w:footnote w:id="390">
    <w:p w14:paraId="33B3C41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Silvana Tordo, </w:t>
      </w:r>
      <w:r>
        <w:rPr>
          <w:rFonts w:ascii="Times New Roman" w:hAnsi="Times New Roman"/>
          <w:i/>
        </w:rPr>
        <w:t>Fiscal Systems for Hydrocarbons: Design Issues</w:t>
      </w:r>
      <w:r>
        <w:rPr>
          <w:rFonts w:ascii="Times New Roman" w:hAnsi="Times New Roman" w:cs="Times New Roman"/>
        </w:rPr>
        <w:t xml:space="preserve">. World Bank Working Paper No. 123 </w:t>
      </w:r>
    </w:p>
    <w:p w14:paraId="1277AB50">
      <w:pPr>
        <w:pStyle w:val="24"/>
        <w:ind w:firstLine="720"/>
        <w:jc w:val="both"/>
        <w:rPr>
          <w:rFonts w:ascii="Times New Roman" w:hAnsi="Times New Roman" w:cs="Times New Roman"/>
        </w:rPr>
      </w:pPr>
      <w:r>
        <w:rPr>
          <w:rFonts w:ascii="Times New Roman" w:hAnsi="Times New Roman" w:cs="Times New Roman"/>
        </w:rPr>
        <w:t>(2007).</w:t>
      </w:r>
    </w:p>
  </w:footnote>
  <w:footnote w:id="391">
    <w:p w14:paraId="49D4ADC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 very important element of profitability of a project is the oil price level. The variability and</w:t>
      </w:r>
    </w:p>
    <w:p w14:paraId="7F1C95B8">
      <w:pPr>
        <w:pStyle w:val="24"/>
        <w:ind w:left="720"/>
        <w:jc w:val="both"/>
        <w:rPr>
          <w:rFonts w:ascii="Times New Roman" w:hAnsi="Times New Roman" w:cs="Times New Roman"/>
        </w:rPr>
      </w:pPr>
      <w:r>
        <w:rPr>
          <w:rFonts w:ascii="Times New Roman" w:hAnsi="Times New Roman" w:cs="Times New Roman"/>
        </w:rPr>
        <w:t>volatility of oil prices provides for the possibility that even projects with normal profits can experience periods where excess profits are generated.</w:t>
      </w:r>
    </w:p>
  </w:footnote>
  <w:footnote w:id="392">
    <w:p w14:paraId="06A8A48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With respect to the investing company, a tax is neutral when it leaves the pre-tax ranking of possible </w:t>
      </w:r>
    </w:p>
    <w:p w14:paraId="0EBCFCCE">
      <w:pPr>
        <w:pStyle w:val="24"/>
        <w:ind w:firstLine="720"/>
        <w:jc w:val="both"/>
        <w:rPr>
          <w:rFonts w:ascii="Times New Roman" w:hAnsi="Times New Roman" w:cs="Times New Roman"/>
        </w:rPr>
      </w:pPr>
      <w:r>
        <w:rPr>
          <w:rFonts w:ascii="Times New Roman" w:hAnsi="Times New Roman" w:cs="Times New Roman"/>
        </w:rPr>
        <w:t>investment outcomes equal to the post-tax ranking.</w:t>
      </w:r>
    </w:p>
  </w:footnote>
  <w:footnote w:id="393">
    <w:p w14:paraId="0F5145D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Nigeria LNG Fiscal Guarantees and Assurance regime is a typical example of a stable regime with </w:t>
      </w:r>
    </w:p>
    <w:p w14:paraId="3BF1FB1E">
      <w:pPr>
        <w:pStyle w:val="24"/>
        <w:ind w:left="720"/>
        <w:jc w:val="both"/>
        <w:rPr>
          <w:rFonts w:ascii="Times New Roman" w:hAnsi="Times New Roman" w:cs="Times New Roman"/>
        </w:rPr>
      </w:pPr>
      <w:r>
        <w:rPr>
          <w:rFonts w:ascii="Times New Roman" w:hAnsi="Times New Roman" w:cs="Times New Roman"/>
        </w:rPr>
        <w:t>guarantees and freezing clauses. Also, the Nigeria Local Content Law for the Oil Industry is yet another attempt at using legislation to address a specific need to build local capacity in the sector.</w:t>
      </w:r>
    </w:p>
  </w:footnote>
  <w:footnote w:id="394">
    <w:p w14:paraId="7C7D75BD">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Abba Kolo &amp; Thomas W. Walde, </w:t>
      </w:r>
      <w:r>
        <w:rPr>
          <w:rFonts w:ascii="Times New Roman" w:hAnsi="Times New Roman"/>
          <w:i/>
        </w:rPr>
        <w:t xml:space="preserve">Renegotiation and Contract adaptation in the international investment </w:t>
      </w:r>
    </w:p>
    <w:p w14:paraId="741ACFBD">
      <w:pPr>
        <w:pStyle w:val="24"/>
        <w:ind w:left="720"/>
        <w:jc w:val="both"/>
        <w:rPr>
          <w:rFonts w:ascii="Times New Roman" w:hAnsi="Times New Roman" w:cs="Times New Roman"/>
        </w:rPr>
      </w:pPr>
      <w:r>
        <w:rPr>
          <w:rFonts w:ascii="Times New Roman" w:hAnsi="Times New Roman"/>
          <w:i/>
        </w:rPr>
        <w:t>projects: Applicable Legal Principles &amp; Industry practices</w:t>
      </w:r>
      <w:r>
        <w:rPr>
          <w:rFonts w:ascii="Times New Roman" w:hAnsi="Times New Roman" w:cs="Times New Roman"/>
        </w:rPr>
        <w:t>, Transnational Dispute Management, Volume 1, Issue 01, February 2004.</w:t>
      </w:r>
    </w:p>
  </w:footnote>
  <w:footnote w:id="395">
    <w:p w14:paraId="43A07E1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the Aberdeen and Grampian Chamber Oil and Gas Survey, 2004–05, on the importance of fiscal</w:t>
      </w:r>
    </w:p>
    <w:p w14:paraId="7F114E7A">
      <w:pPr>
        <w:pStyle w:val="24"/>
        <w:ind w:left="720" w:firstLine="48"/>
        <w:jc w:val="both"/>
        <w:rPr>
          <w:rFonts w:ascii="Times New Roman" w:hAnsi="Times New Roman" w:cs="Times New Roman"/>
        </w:rPr>
      </w:pPr>
      <w:r>
        <w:rPr>
          <w:rFonts w:ascii="Times New Roman" w:hAnsi="Times New Roman" w:cs="Times New Roman"/>
        </w:rPr>
        <w:t>Stability, the report concludes: “The last two years have witnessed an upturn in North Sea activity along with increased capital investment and drilling activity. Our first three surveys charted this rise in activity and the parallel rise in business confidence. A recurrent theme throughout previous surveys has been the critical importance of a stable tax regime if this rise in North Sea activity is to continue. The Government’s decision to increase the supplementary North Sea oil charge from 10% to 20% jeopardizes the fiscal stability essential to sustain activity, encourage investment and maintain the North Sea’s longevity. As we predicted, we can now see the first signs of the impact the Chancellor’s pre-budget report has had on investment plans for the UK continental shelf.”</w:t>
      </w:r>
    </w:p>
  </w:footnote>
  <w:footnote w:id="396">
    <w:p w14:paraId="205814B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Source- http://www.norskpetroleum.no/en/economy/petroleum-tax/.</w:t>
      </w:r>
    </w:p>
  </w:footnote>
  <w:footnote w:id="397">
    <w:p w14:paraId="4CE28A6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 - Silvana Tordo, Fiscal Systems for Hydrocarbons: Design Issues.</w:t>
      </w:r>
    </w:p>
  </w:footnote>
  <w:footnote w:id="398">
    <w:p w14:paraId="29E5442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government take is the host government’s share of the revenue streams associated with a particular</w:t>
      </w:r>
    </w:p>
    <w:p w14:paraId="5B753E40">
      <w:pPr>
        <w:pStyle w:val="24"/>
        <w:ind w:firstLine="720"/>
        <w:jc w:val="both"/>
        <w:rPr>
          <w:rFonts w:ascii="Times New Roman" w:hAnsi="Times New Roman" w:cs="Times New Roman"/>
        </w:rPr>
      </w:pPr>
      <w:r>
        <w:rPr>
          <w:rFonts w:ascii="Times New Roman" w:hAnsi="Times New Roman" w:cs="Times New Roman"/>
        </w:rPr>
        <w:t xml:space="preserve"> project. It is normally expressed in percentage terms.</w:t>
      </w:r>
    </w:p>
  </w:footnote>
  <w:footnote w:id="399">
    <w:p w14:paraId="3BE1F72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Petroleum Industry Bill (PIB) 2008, National Oil and Gas Policy documents and the National Petroleum </w:t>
      </w:r>
    </w:p>
    <w:p w14:paraId="66D3DEE5">
      <w:pPr>
        <w:pStyle w:val="24"/>
        <w:ind w:firstLine="720"/>
        <w:jc w:val="both"/>
        <w:rPr>
          <w:rFonts w:ascii="Times New Roman" w:hAnsi="Times New Roman" w:cs="Times New Roman"/>
        </w:rPr>
      </w:pPr>
      <w:r>
        <w:rPr>
          <w:rFonts w:ascii="Times New Roman" w:hAnsi="Times New Roman" w:cs="Times New Roman"/>
        </w:rPr>
        <w:t xml:space="preserve">Fiscal Policy documents of 2016/2017, </w:t>
      </w:r>
    </w:p>
  </w:footnote>
  <w:footnote w:id="400">
    <w:p w14:paraId="691AF2D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rPr>
        <w:t xml:space="preserve">The command-and-control approach enables the monitoring and compliance agencies with a considerable </w:t>
      </w:r>
    </w:p>
    <w:p w14:paraId="49E25740">
      <w:pPr>
        <w:pStyle w:val="24"/>
        <w:ind w:firstLine="720"/>
        <w:jc w:val="both"/>
        <w:rPr>
          <w:rFonts w:ascii="Times New Roman" w:hAnsi="Times New Roman" w:cs="Times New Roman"/>
          <w:lang w:val="en-GB"/>
        </w:rPr>
      </w:pPr>
      <w:r>
        <w:rPr>
          <w:rFonts w:ascii="Times New Roman" w:hAnsi="Times New Roman" w:cs="Times New Roman"/>
        </w:rPr>
        <w:t>power towards issuance of detailed regulations and enforcing sanctions.</w:t>
      </w:r>
    </w:p>
  </w:footnote>
  <w:footnote w:id="401">
    <w:p w14:paraId="0B3A20D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Ten Commandments refer to a policy outlook of the main principles for national oil policy in Norway. </w:t>
      </w:r>
    </w:p>
    <w:p w14:paraId="4BAE99A5">
      <w:pPr>
        <w:pStyle w:val="24"/>
        <w:ind w:left="720"/>
        <w:jc w:val="both"/>
        <w:rPr>
          <w:rFonts w:ascii="Times New Roman" w:hAnsi="Times New Roman" w:cs="Times New Roman"/>
        </w:rPr>
      </w:pPr>
      <w:r>
        <w:rPr>
          <w:rFonts w:ascii="Times New Roman" w:hAnsi="Times New Roman" w:cs="Times New Roman"/>
        </w:rPr>
        <w:t xml:space="preserve">It provides a comprehensive foundation for managing the Norwegian petroleum industry. The Norwegian legislative framework is mainly the Petroleum Activities Act 1996 (PAA) and associated with the Act, 1997 Petroleum Regulations (PRs), reflecting an objective-based system. </w:t>
      </w:r>
    </w:p>
  </w:footnote>
  <w:footnote w:id="402">
    <w:p w14:paraId="0449383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chapters 3 and 4 of thesis.</w:t>
      </w:r>
    </w:p>
  </w:footnote>
  <w:footnote w:id="403">
    <w:p w14:paraId="07FE77B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introduction of the PSC fiscal regime and the subsequent enactment of the PSC Act was a major </w:t>
      </w:r>
    </w:p>
    <w:p w14:paraId="48426F62">
      <w:pPr>
        <w:pStyle w:val="24"/>
        <w:ind w:left="720"/>
        <w:jc w:val="both"/>
        <w:rPr>
          <w:rFonts w:ascii="Times New Roman" w:hAnsi="Times New Roman" w:cs="Times New Roman"/>
        </w:rPr>
      </w:pPr>
      <w:r>
        <w:rPr>
          <w:rFonts w:ascii="Times New Roman" w:hAnsi="Times New Roman" w:cs="Times New Roman"/>
        </w:rPr>
        <w:t>fiscal and law intervention, which raised several contentious issues. The Nigeria Liquefied Natural Gas Guaranty and Assurances Act was a clear attempt at the introduction of fiscal incentives to address downstream gas development.</w:t>
      </w:r>
    </w:p>
  </w:footnote>
  <w:footnote w:id="404">
    <w:p w14:paraId="51436CE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Victor E. Eromosele (Ed),</w:t>
      </w:r>
      <w:r>
        <w:rPr>
          <w:rFonts w:ascii="Times New Roman" w:hAnsi="Times New Roman" w:cs="Times New Roman"/>
          <w:i/>
          <w:iCs/>
        </w:rPr>
        <w:t xml:space="preserve"> Energy Insight Nigeria: Evolutionary two decades in retrospect,</w:t>
      </w:r>
      <w:r>
        <w:rPr>
          <w:rFonts w:ascii="Times New Roman" w:hAnsi="Times New Roman" w:cs="Times New Roman"/>
        </w:rPr>
        <w:t xml:space="preserve">chapter 5 </w:t>
      </w:r>
    </w:p>
    <w:p w14:paraId="22B52399">
      <w:pPr>
        <w:pStyle w:val="24"/>
        <w:ind w:firstLine="720"/>
        <w:jc w:val="both"/>
        <w:rPr>
          <w:rFonts w:ascii="Times New Roman" w:hAnsi="Times New Roman" w:cs="Times New Roman"/>
        </w:rPr>
      </w:pPr>
      <w:r>
        <w:rPr>
          <w:rFonts w:ascii="Times New Roman" w:hAnsi="Times New Roman" w:cs="Times New Roman"/>
        </w:rPr>
        <w:t>on Petroleum Industry Regulatory Lessons in Retrospect, by Godwin Ukpiama Billy-Agha.</w:t>
      </w:r>
    </w:p>
  </w:footnote>
  <w:footnote w:id="405">
    <w:p w14:paraId="6F848844">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Nigerian Liquified Natural Gas Fiscal Incentives, Guarantees and Assurance Act 1989. The framework for this development is the unincorporated joint venture arrangements, with NNPC.</w:t>
      </w:r>
    </w:p>
  </w:footnote>
  <w:footnote w:id="406">
    <w:p w14:paraId="4A6C7C2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National Energy Policy (2003) preceded the National Oil and Gas Policy of 2007.</w:t>
      </w:r>
    </w:p>
  </w:footnote>
  <w:footnote w:id="407">
    <w:p w14:paraId="3EE2FFB1">
      <w:pPr>
        <w:pStyle w:val="24"/>
        <w:jc w:val="both"/>
        <w:rPr>
          <w:rFonts w:ascii="Times New Roman" w:hAnsi="Times New Roman"/>
          <w:i/>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Oziri M.H, and M.C. Achinike,</w:t>
      </w:r>
      <w:r>
        <w:rPr>
          <w:rFonts w:ascii="Times New Roman" w:hAnsi="Times New Roman"/>
          <w:i/>
        </w:rPr>
        <w:t xml:space="preserve"> ‘Reforms in the Oil and Gas Sector in Nigeria from 1999 – Critical </w:t>
      </w:r>
    </w:p>
    <w:p w14:paraId="2577ECE3">
      <w:pPr>
        <w:pStyle w:val="24"/>
        <w:ind w:firstLine="720"/>
        <w:jc w:val="both"/>
        <w:rPr>
          <w:rFonts w:ascii="Times New Roman" w:hAnsi="Times New Roman" w:cs="Times New Roman"/>
        </w:rPr>
      </w:pPr>
      <w:r>
        <w:rPr>
          <w:rFonts w:ascii="Times New Roman" w:hAnsi="Times New Roman"/>
          <w:i/>
        </w:rPr>
        <w:t xml:space="preserve"> Appraisal’</w:t>
      </w:r>
      <w:r>
        <w:rPr>
          <w:rFonts w:ascii="Times New Roman" w:hAnsi="Times New Roman" w:cs="Times New Roman"/>
        </w:rPr>
        <w:t xml:space="preserve"> &lt; </w:t>
      </w:r>
      <w:r>
        <w:fldChar w:fldCharType="begin"/>
      </w:r>
      <w:r>
        <w:instrText xml:space="preserve"> HYPERLINK "https://sarpublication.com/media/articles/SARJHSS_41_26-33.pdf" </w:instrText>
      </w:r>
      <w:r>
        <w:fldChar w:fldCharType="separate"/>
      </w:r>
      <w:r>
        <w:rPr>
          <w:rStyle w:val="27"/>
          <w:rFonts w:ascii="Times New Roman" w:hAnsi="Times New Roman" w:cs="Times New Roman"/>
        </w:rPr>
        <w:t>https://sarpublication.com/media/articles/SARJHSS_41_26-33.pdf</w:t>
      </w:r>
      <w:r>
        <w:rPr>
          <w:rStyle w:val="27"/>
          <w:rFonts w:ascii="Times New Roman" w:hAnsi="Times New Roman" w:cs="Times New Roman"/>
        </w:rPr>
        <w:fldChar w:fldCharType="end"/>
      </w:r>
      <w:r>
        <w:rPr>
          <w:rFonts w:ascii="Times New Roman" w:hAnsi="Times New Roman" w:cs="Times New Roman"/>
        </w:rPr>
        <w:t>&gt; accessed 20 April 2024</w:t>
      </w:r>
    </w:p>
  </w:footnote>
  <w:footnote w:id="408">
    <w:p w14:paraId="04C7942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NOGP was based on the work of the 1</w:t>
      </w:r>
      <w:r>
        <w:rPr>
          <w:rFonts w:ascii="Times New Roman" w:hAnsi="Times New Roman" w:cs="Times New Roman"/>
          <w:vertAlign w:val="superscript"/>
        </w:rPr>
        <w:t>st</w:t>
      </w:r>
      <w:r>
        <w:rPr>
          <w:rFonts w:ascii="Times New Roman" w:hAnsi="Times New Roman" w:cs="Times New Roman"/>
        </w:rPr>
        <w:t xml:space="preserve"> OGIC committee led by Dr. Rilwan Lukman in 2000. </w:t>
      </w:r>
    </w:p>
    <w:p w14:paraId="778BBE9C">
      <w:pPr>
        <w:pStyle w:val="24"/>
        <w:ind w:left="720"/>
        <w:jc w:val="both"/>
        <w:rPr>
          <w:rFonts w:ascii="Times New Roman" w:hAnsi="Times New Roman" w:cs="Times New Roman"/>
        </w:rPr>
      </w:pPr>
      <w:r>
        <w:rPr>
          <w:rFonts w:ascii="Times New Roman" w:hAnsi="Times New Roman" w:cs="Times New Roman"/>
        </w:rPr>
        <w:t>Members of 2</w:t>
      </w:r>
      <w:r>
        <w:rPr>
          <w:rFonts w:ascii="Times New Roman" w:hAnsi="Times New Roman" w:cs="Times New Roman"/>
          <w:vertAlign w:val="superscript"/>
        </w:rPr>
        <w:t>nd</w:t>
      </w:r>
      <w:r>
        <w:rPr>
          <w:rFonts w:ascii="Times New Roman" w:hAnsi="Times New Roman" w:cs="Times New Roman"/>
        </w:rPr>
        <w:t xml:space="preserve"> OGIC included Dr. Rilwanu Lukman as chairman, Dr. Emmanuel Egbogah, the then Permanent Secretary of the Ministry of Energy, the Group Managing Director, NNPC Member, the Director of DPR, the Executive Secretary, the Director (Oil and Gas) of the Bureau of Public Enterprise (BPE), and PENGASAN (the oil workers union). </w:t>
      </w:r>
    </w:p>
  </w:footnote>
  <w:footnote w:id="409">
    <w:p w14:paraId="471C5F15">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appendix V</w:t>
      </w:r>
    </w:p>
  </w:footnote>
  <w:footnote w:id="410">
    <w:p w14:paraId="26787E93">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The PIB was not passed in the 6</w:t>
      </w:r>
      <w:r>
        <w:rPr>
          <w:rFonts w:ascii="Times New Roman" w:hAnsi="Times New Roman" w:cs="Times New Roman"/>
          <w:bCs/>
          <w:vertAlign w:val="superscript"/>
        </w:rPr>
        <w:t>th</w:t>
      </w:r>
      <w:r>
        <w:rPr>
          <w:rFonts w:ascii="Times New Roman" w:hAnsi="Times New Roman" w:cs="Times New Roman"/>
          <w:bCs/>
        </w:rPr>
        <w:t xml:space="preserve"> and 7th NA. The 8th NA in an effort to enact parts of the bill </w:t>
      </w:r>
    </w:p>
    <w:p w14:paraId="779C8DFD">
      <w:pPr>
        <w:pStyle w:val="24"/>
        <w:ind w:firstLine="720"/>
        <w:jc w:val="both"/>
        <w:rPr>
          <w:rFonts w:ascii="Times New Roman" w:hAnsi="Times New Roman" w:cs="Times New Roman"/>
          <w:bCs/>
        </w:rPr>
      </w:pPr>
      <w:r>
        <w:rPr>
          <w:rFonts w:ascii="Times New Roman" w:hAnsi="Times New Roman" w:cs="Times New Roman"/>
          <w:bCs/>
        </w:rPr>
        <w:t xml:space="preserve">unbundled and divided the bill into three pieces, to wit: Petroleum Industry Governance Bill, Host </w:t>
      </w:r>
    </w:p>
    <w:p w14:paraId="4C0012C7">
      <w:pPr>
        <w:pStyle w:val="24"/>
        <w:ind w:firstLine="720"/>
        <w:jc w:val="both"/>
      </w:pPr>
      <w:r>
        <w:rPr>
          <w:rFonts w:ascii="Times New Roman" w:hAnsi="Times New Roman" w:cs="Times New Roman"/>
          <w:bCs/>
        </w:rPr>
        <w:t>Communities and Fund Bill, and the Petroleum Fiscal Framework Bill.</w:t>
      </w:r>
      <w:r>
        <w:rPr>
          <w:bCs/>
        </w:rPr>
        <w:t xml:space="preserve"> </w:t>
      </w:r>
    </w:p>
  </w:footnote>
  <w:footnote w:id="411">
    <w:p w14:paraId="778C3B5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National Oil Policy (NOP) (2016), identified reasons why Nigeria needs a new Petroleum Fiscal Policy </w:t>
      </w:r>
    </w:p>
    <w:p w14:paraId="59CDB0DA">
      <w:pPr>
        <w:pStyle w:val="24"/>
        <w:ind w:firstLine="720"/>
        <w:jc w:val="both"/>
        <w:rPr>
          <w:rFonts w:ascii="Times New Roman" w:hAnsi="Times New Roman"/>
        </w:rPr>
      </w:pPr>
      <w:r>
        <w:rPr>
          <w:rFonts w:ascii="Times New Roman" w:hAnsi="Times New Roman" w:cs="Times New Roman"/>
        </w:rPr>
        <w:t>as discussed in section 5.2.5 below.</w:t>
      </w:r>
    </w:p>
  </w:footnote>
  <w:footnote w:id="412">
    <w:p w14:paraId="43068E3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To complement the NOP, the National Gas Policy (NGP) articulates Government’s vision and sets policy  </w:t>
      </w:r>
    </w:p>
    <w:p w14:paraId="6D8A807C">
      <w:pPr>
        <w:pStyle w:val="24"/>
        <w:ind w:left="720"/>
        <w:jc w:val="both"/>
        <w:rPr>
          <w:rFonts w:ascii="Times New Roman" w:hAnsi="Times New Roman" w:cs="Times New Roman"/>
        </w:rPr>
      </w:pPr>
      <w:r>
        <w:rPr>
          <w:rFonts w:ascii="Times New Roman" w:hAnsi="Times New Roman" w:cs="Times New Roman"/>
        </w:rPr>
        <w:t xml:space="preserve">goals, strategies, and an implementation plan for the introduction of an appropriate institutional, legal, regulatory and commercial framework to resolve the barriers currently affecting investment in gas. Based on the vision to convert Nigeria into an attractive gas-based industrial nation, with significant presence in national and international markets, the Policy has the following key aspirations or goals: </w:t>
      </w:r>
    </w:p>
    <w:p w14:paraId="75701133">
      <w:pPr>
        <w:pStyle w:val="24"/>
        <w:numPr>
          <w:ilvl w:val="0"/>
          <w:numId w:val="5"/>
        </w:numPr>
        <w:jc w:val="both"/>
        <w:rPr>
          <w:rFonts w:ascii="Times New Roman" w:hAnsi="Times New Roman" w:cs="Times New Roman"/>
        </w:rPr>
      </w:pPr>
      <w:r>
        <w:rPr>
          <w:rFonts w:ascii="Times New Roman" w:hAnsi="Times New Roman" w:cs="Times New Roman"/>
        </w:rPr>
        <w:t xml:space="preserve">transiting the economy from oil to gas; </w:t>
      </w:r>
    </w:p>
    <w:p w14:paraId="6750D0FA">
      <w:pPr>
        <w:pStyle w:val="24"/>
        <w:numPr>
          <w:ilvl w:val="0"/>
          <w:numId w:val="5"/>
        </w:numPr>
        <w:jc w:val="both"/>
        <w:rPr>
          <w:rFonts w:ascii="Times New Roman" w:hAnsi="Times New Roman" w:cs="Times New Roman"/>
        </w:rPr>
      </w:pPr>
      <w:r>
        <w:rPr>
          <w:rFonts w:ascii="Times New Roman" w:hAnsi="Times New Roman" w:cs="Times New Roman"/>
        </w:rPr>
        <w:t xml:space="preserve">deepening utilization of gas in the domestic market in order to facilitate the growth of strategic sectors as well as gaining a presence in international markets; </w:t>
      </w:r>
    </w:p>
    <w:p w14:paraId="226E05FA">
      <w:pPr>
        <w:pStyle w:val="24"/>
        <w:numPr>
          <w:ilvl w:val="0"/>
          <w:numId w:val="5"/>
        </w:numPr>
        <w:jc w:val="both"/>
        <w:rPr>
          <w:rFonts w:ascii="Times New Roman" w:hAnsi="Times New Roman" w:cs="Times New Roman"/>
        </w:rPr>
      </w:pPr>
      <w:r>
        <w:rPr>
          <w:rFonts w:ascii="Times New Roman" w:hAnsi="Times New Roman" w:cs="Times New Roman"/>
        </w:rPr>
        <w:t>clear division of roles between private and public sectors;</w:t>
      </w:r>
    </w:p>
    <w:p w14:paraId="71E804A9">
      <w:pPr>
        <w:pStyle w:val="24"/>
        <w:numPr>
          <w:ilvl w:val="0"/>
          <w:numId w:val="5"/>
        </w:numPr>
        <w:jc w:val="both"/>
        <w:rPr>
          <w:rFonts w:ascii="Times New Roman" w:hAnsi="Times New Roman" w:cs="Times New Roman"/>
        </w:rPr>
      </w:pPr>
      <w:r>
        <w:rPr>
          <w:rFonts w:ascii="Times New Roman" w:hAnsi="Times New Roman" w:cs="Times New Roman"/>
        </w:rPr>
        <w:t xml:space="preserve">creating an enabling environment for increased private sector participation; </w:t>
      </w:r>
    </w:p>
    <w:p w14:paraId="6D07B41D">
      <w:pPr>
        <w:pStyle w:val="24"/>
        <w:numPr>
          <w:ilvl w:val="0"/>
          <w:numId w:val="5"/>
        </w:numPr>
        <w:jc w:val="both"/>
        <w:rPr>
          <w:rFonts w:ascii="Times New Roman" w:hAnsi="Times New Roman" w:cs="Times New Roman"/>
        </w:rPr>
      </w:pPr>
      <w:r>
        <w:rPr>
          <w:rFonts w:ascii="Times New Roman" w:hAnsi="Times New Roman" w:cs="Times New Roman"/>
        </w:rPr>
        <w:t xml:space="preserve">addressing environmental issues, including gas flaring; and </w:t>
      </w:r>
    </w:p>
    <w:p w14:paraId="5B95ABF4">
      <w:pPr>
        <w:pStyle w:val="24"/>
        <w:numPr>
          <w:ilvl w:val="0"/>
          <w:numId w:val="5"/>
        </w:numPr>
        <w:jc w:val="both"/>
        <w:rPr>
          <w:rFonts w:ascii="Times New Roman" w:hAnsi="Times New Roman" w:cs="Times New Roman"/>
        </w:rPr>
      </w:pPr>
      <w:r>
        <w:rPr>
          <w:rFonts w:ascii="Times New Roman" w:hAnsi="Times New Roman" w:cs="Times New Roman"/>
        </w:rPr>
        <w:t xml:space="preserve">clarifying the rules guiding investment in the gas sector. </w:t>
      </w:r>
    </w:p>
  </w:footnote>
  <w:footnote w:id="413">
    <w:p w14:paraId="17F28D61">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
          <w:bCs/>
        </w:rPr>
        <w:tab/>
      </w:r>
      <w:r>
        <w:rPr>
          <w:rFonts w:ascii="Times New Roman" w:hAnsi="Times New Roman" w:cs="Times New Roman"/>
        </w:rPr>
        <w:t>The oil world has now changed significantly. O</w:t>
      </w:r>
      <w:r>
        <w:rPr>
          <w:rFonts w:ascii="Times New Roman" w:hAnsi="Times New Roman" w:cs="Times New Roman"/>
          <w:bCs/>
        </w:rPr>
        <w:t xml:space="preserve">il price has continued to fluctuate after its crash. Its forecast </w:t>
      </w:r>
    </w:p>
    <w:p w14:paraId="4F267EA1">
      <w:pPr>
        <w:pStyle w:val="24"/>
        <w:ind w:left="720"/>
        <w:jc w:val="both"/>
        <w:rPr>
          <w:rFonts w:ascii="Times New Roman" w:hAnsi="Times New Roman" w:cs="Times New Roman"/>
        </w:rPr>
      </w:pPr>
      <w:r>
        <w:rPr>
          <w:rFonts w:ascii="Times New Roman" w:hAnsi="Times New Roman" w:cs="Times New Roman"/>
          <w:bCs/>
        </w:rPr>
        <w:t>may continue to remain at a median of $45/bbl, for the foreseeable future</w:t>
      </w:r>
      <w:r>
        <w:rPr>
          <w:rFonts w:ascii="Times New Roman" w:hAnsi="Times New Roman" w:cs="Times New Roman"/>
        </w:rPr>
        <w:t xml:space="preserve">. Production around the world remains high, combined with large inventories in storage and even in tankers around the world. </w:t>
      </w:r>
    </w:p>
  </w:footnote>
  <w:footnote w:id="414">
    <w:p w14:paraId="12D4CFC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Draft National Oil Policy-2016 </w:t>
      </w:r>
    </w:p>
  </w:footnote>
  <w:footnote w:id="415">
    <w:p w14:paraId="09334D8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Appendix for the National Oil Policy and National Gas Policy documents.</w:t>
      </w:r>
    </w:p>
  </w:footnote>
  <w:footnote w:id="416">
    <w:p w14:paraId="1032C84F">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appendix IV</w:t>
      </w:r>
    </w:p>
  </w:footnote>
  <w:footnote w:id="417">
    <w:p w14:paraId="073B2704">
      <w:pPr>
        <w:pStyle w:val="24"/>
        <w:jc w:val="both"/>
        <w:rPr>
          <w:rFonts w:ascii="Times New Roman" w:hAnsi="Times New Roman" w:cs="Times New Roman"/>
        </w:rPr>
      </w:pPr>
      <w:r>
        <w:rPr>
          <w:rFonts w:ascii="Times New Roman" w:hAnsi="Times New Roman"/>
        </w:rPr>
        <w:footnoteRef/>
      </w:r>
      <w:r>
        <w:rPr>
          <w:rFonts w:ascii="Times New Roman" w:hAnsi="Times New Roman" w:cs="Times New Roman"/>
        </w:rPr>
        <w:t xml:space="preserve"> </w:t>
      </w:r>
      <w:r>
        <w:rPr>
          <w:rFonts w:ascii="Times New Roman" w:hAnsi="Times New Roman" w:cs="Times New Roman"/>
          <w:color w:val="2B3990"/>
        </w:rPr>
        <w:tab/>
      </w:r>
      <w:r>
        <w:rPr>
          <w:rFonts w:ascii="Times New Roman" w:hAnsi="Times New Roman" w:cs="Times New Roman"/>
        </w:rPr>
        <w:t>Such as LNG Liquefaction, gas processing, gas storage, transportation, and distribution.</w:t>
      </w:r>
    </w:p>
  </w:footnote>
  <w:footnote w:id="418">
    <w:p w14:paraId="03546D4B">
      <w:pPr>
        <w:pStyle w:val="24"/>
        <w:jc w:val="both"/>
        <w:rPr>
          <w:rFonts w:ascii="Times New Roman" w:hAnsi="Times New Roman" w:cs="Times New Roman"/>
        </w:rPr>
      </w:pPr>
      <w:r>
        <w:rPr>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gas pricing framework will be embedded in a revised National Domestic Gas Supply &amp; Pricing</w:t>
      </w:r>
    </w:p>
    <w:p w14:paraId="58F1897F">
      <w:pPr>
        <w:pStyle w:val="24"/>
        <w:ind w:firstLine="720"/>
        <w:jc w:val="both"/>
        <w:rPr>
          <w:rFonts w:ascii="Times New Roman" w:hAnsi="Times New Roman" w:cs="Times New Roman"/>
        </w:rPr>
      </w:pPr>
      <w:r>
        <w:rPr>
          <w:rFonts w:ascii="Times New Roman" w:hAnsi="Times New Roman" w:cs="Times New Roman"/>
        </w:rPr>
        <w:t>Regulation.</w:t>
      </w:r>
    </w:p>
  </w:footnote>
  <w:footnote w:id="419">
    <w:p w14:paraId="4534B045">
      <w:pPr>
        <w:ind w:left="720" w:hanging="720"/>
        <w:contextualSpacing/>
        <w:jc w:val="both"/>
        <w:rPr>
          <w:rFonts w:eastAsia="Calibri"/>
          <w:color w:val="000000"/>
          <w:sz w:val="20"/>
          <w:szCs w:val="20"/>
        </w:rPr>
      </w:pPr>
      <w:r>
        <w:rPr>
          <w:rFonts w:eastAsia="Calibri"/>
          <w:color w:val="000000"/>
          <w:sz w:val="20"/>
          <w:szCs w:val="20"/>
        </w:rPr>
        <w:footnoteRef/>
      </w:r>
      <w:r>
        <w:rPr>
          <w:rFonts w:eastAsia="Calibri"/>
          <w:color w:val="000000"/>
          <w:sz w:val="20"/>
          <w:szCs w:val="20"/>
        </w:rPr>
        <w:t xml:space="preserve"> </w:t>
      </w:r>
      <w:r>
        <w:rPr>
          <w:rFonts w:eastAsia="Calibri"/>
          <w:color w:val="000000"/>
          <w:sz w:val="20"/>
          <w:szCs w:val="20"/>
        </w:rPr>
        <w:tab/>
      </w:r>
      <w:r>
        <w:rPr>
          <w:rFonts w:eastAsia="Calibri"/>
          <w:color w:val="000000"/>
          <w:sz w:val="20"/>
          <w:szCs w:val="20"/>
        </w:rPr>
        <w:t xml:space="preserve">The GRMP will identify gas resources in different geological areas, identify current and potential gas markets, identify infrastructure needs, and analyze how best to access low-cost gas for delivery to domestic markets. The GRMP will also classify gas resources along the following lines: low-cost assets dedicated for domestic gas supply (National Preferential Assets), Assets dedicated for export, National Strategic Gas Reserve (reserved for future development), and optional assets (sole risk assets). </w:t>
      </w:r>
    </w:p>
  </w:footnote>
  <w:footnote w:id="420">
    <w:p w14:paraId="115B1D76">
      <w:pPr>
        <w:pStyle w:val="24"/>
        <w:jc w:val="both"/>
        <w:rPr>
          <w:rFonts w:ascii="Times New Roman" w:hAnsi="Times New Roman" w:cs="Times New Roman"/>
          <w:color w:val="2B3990"/>
        </w:rPr>
      </w:pPr>
      <w:r>
        <w:rPr>
          <w:rFonts w:ascii="Times New Roman" w:hAnsi="Times New Roman"/>
          <w:color w:val="2B3990"/>
        </w:rPr>
        <w:footnoteRef/>
      </w:r>
      <w:r>
        <w:rPr>
          <w:rFonts w:ascii="Times New Roman" w:hAnsi="Times New Roman"/>
          <w:color w:val="2B3990"/>
        </w:rPr>
        <w:t xml:space="preserve"> </w:t>
      </w:r>
      <w:r>
        <w:rPr>
          <w:rFonts w:ascii="Times New Roman" w:hAnsi="Times New Roman" w:cs="Times New Roman"/>
          <w:color w:val="2B3990"/>
        </w:rPr>
        <w:tab/>
      </w:r>
      <w:r>
        <w:rPr>
          <w:rFonts w:ascii="Times New Roman" w:hAnsi="Times New Roman" w:cs="Times New Roman"/>
        </w:rPr>
        <w:t>This would maximize availability of associated gas supply for power generation</w:t>
      </w:r>
      <w:r>
        <w:rPr>
          <w:rFonts w:ascii="Times New Roman" w:hAnsi="Times New Roman" w:cs="Times New Roman"/>
          <w:color w:val="2B3990"/>
        </w:rPr>
        <w:t>.</w:t>
      </w:r>
    </w:p>
  </w:footnote>
  <w:footnote w:id="421">
    <w:p w14:paraId="6F85FBE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NPFP was approved by the FG in 2017, being a product of the industry reform effort, commenced with </w:t>
      </w:r>
    </w:p>
    <w:p w14:paraId="021DA410">
      <w:pPr>
        <w:pStyle w:val="24"/>
        <w:ind w:left="720"/>
        <w:jc w:val="both"/>
        <w:rPr>
          <w:rFonts w:ascii="Times New Roman" w:hAnsi="Times New Roman" w:cs="Times New Roman"/>
        </w:rPr>
      </w:pPr>
      <w:r>
        <w:rPr>
          <w:rFonts w:ascii="Times New Roman" w:hAnsi="Times New Roman" w:cs="Times New Roman"/>
        </w:rPr>
        <w:t>the PIB. This was conceived to address three central themes which coexist in a delicate equilibrium: increase economic rent to government, resolve long standing socio-environmental issues and encourage a stable investment climate. However, due to a lack of traction in passing the PIB in its all-encompassing form, in 2016 the PIB was split into four Bills to expedite assent to law. One of such was the Petroleum Fiscal Framework Bill (PFFB). This Bill presented the National Petroleum Fiscal Policy (NPFP) as the way forward on the fiscal framework for the Nigerian Petroleum Industry. </w:t>
      </w:r>
    </w:p>
  </w:footnote>
  <w:footnote w:id="422">
    <w:p w14:paraId="462BB6E1">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Section 10(1) of the PPTA, specifically states, that ‘in computing the</w:t>
      </w:r>
      <w:r>
        <w:rPr>
          <w:rFonts w:ascii="Times New Roman" w:hAnsi="Times New Roman" w:cs="Times New Roman"/>
          <w:b/>
          <w:bCs/>
        </w:rPr>
        <w:t> </w:t>
      </w:r>
      <w:r>
        <w:rPr>
          <w:rFonts w:ascii="Times New Roman" w:hAnsi="Times New Roman" w:cs="Times New Roman"/>
          <w:bCs/>
        </w:rPr>
        <w:t xml:space="preserve">adjusted profits of any company </w:t>
      </w:r>
    </w:p>
    <w:p w14:paraId="1613B102">
      <w:pPr>
        <w:pStyle w:val="24"/>
        <w:ind w:left="720"/>
        <w:jc w:val="both"/>
        <w:rPr>
          <w:rFonts w:ascii="Times New Roman" w:hAnsi="Times New Roman" w:cs="Times New Roman"/>
        </w:rPr>
      </w:pPr>
      <w:r>
        <w:rPr>
          <w:rFonts w:ascii="Times New Roman" w:hAnsi="Times New Roman" w:cs="Times New Roman"/>
          <w:bCs/>
        </w:rPr>
        <w:t>of any accounting period from its</w:t>
      </w:r>
      <w:r>
        <w:rPr>
          <w:rFonts w:ascii="Times New Roman" w:hAnsi="Times New Roman" w:cs="Times New Roman"/>
          <w:b/>
          <w:bCs/>
        </w:rPr>
        <w:t> </w:t>
      </w:r>
      <w:r>
        <w:rPr>
          <w:rFonts w:ascii="Times New Roman" w:hAnsi="Times New Roman" w:cs="Times New Roman"/>
          <w:bCs/>
        </w:rPr>
        <w:t>petroleum operations, there</w:t>
      </w:r>
      <w:r>
        <w:rPr>
          <w:rFonts w:ascii="Times New Roman" w:hAnsi="Times New Roman" w:cs="Times New Roman"/>
          <w:b/>
          <w:bCs/>
        </w:rPr>
        <w:t> </w:t>
      </w:r>
      <w:r>
        <w:rPr>
          <w:rFonts w:ascii="Times New Roman" w:hAnsi="Times New Roman" w:cs="Times New Roman"/>
          <w:bCs/>
        </w:rPr>
        <w:t>shall be deducted expenditure or costs incurred. Accrued estimated amounts for decommissioning or cost of abandonment, are by virtue of the provision of s.10(1) not allowed tax expense or deductible for PPT.</w:t>
      </w:r>
    </w:p>
  </w:footnote>
  <w:footnote w:id="423">
    <w:p w14:paraId="0C7A46FD">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chapter 4 of thesis, where these are examined.</w:t>
      </w:r>
    </w:p>
  </w:footnote>
  <w:footnote w:id="424">
    <w:p w14:paraId="4A02004C">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w:t>
      </w:r>
      <w:r>
        <w:rPr>
          <w:rFonts w:ascii="Times New Roman" w:hAnsi="Times New Roman" w:cs="Times New Roman"/>
        </w:rPr>
        <w:tab/>
      </w:r>
      <w:r>
        <w:rPr>
          <w:rFonts w:ascii="Times New Roman" w:hAnsi="Times New Roman" w:cs="Times New Roman"/>
        </w:rPr>
        <w:t>Wumi Iledare, L. Wahab and CJ Diji ‘</w:t>
      </w:r>
      <w:r>
        <w:rPr>
          <w:rFonts w:ascii="Times New Roman" w:hAnsi="Times New Roman"/>
          <w:i/>
        </w:rPr>
        <w:t>Comparative Analysis of Nigeria Petroleum Fiscal Systems Using Royalty and Tax Optimization Models to Drive Investments</w:t>
      </w:r>
      <w:r>
        <w:rPr>
          <w:rFonts w:ascii="Times New Roman" w:hAnsi="Times New Roman" w:cs="Times New Roman"/>
        </w:rPr>
        <w:t xml:space="preserve">’ (2017) 3(3) Oil and Gas Research 1-14;  Sani Saidu and Abdel Mohammed ‘The Nigerian Petroleum Industry Bill: An Evaluation of the Effect of the Proposed Fiscal Terms on Investment in the Upstream Sector’ (2014) 2(2) </w:t>
      </w:r>
      <w:r>
        <w:rPr>
          <w:rFonts w:ascii="Times New Roman" w:hAnsi="Times New Roman" w:cs="Times New Roman"/>
          <w:i/>
        </w:rPr>
        <w:t>Journal of Business and Management Sciences</w:t>
      </w:r>
      <w:r>
        <w:rPr>
          <w:rFonts w:ascii="Times New Roman" w:hAnsi="Times New Roman" w:cs="Times New Roman"/>
        </w:rPr>
        <w:t xml:space="preserve"> 45-57; Silvana Tordo ‘Fiscal; Systems for Hydrocarbons: Design Issues’ (World Bank Working Paper No. 123, The World Bank, Washington, D.C., United States of America) 1-86</w:t>
      </w:r>
    </w:p>
    <w:p w14:paraId="49D239C7">
      <w:pPr>
        <w:pStyle w:val="24"/>
        <w:ind w:left="720" w:firstLine="45"/>
        <w:jc w:val="both"/>
        <w:rPr>
          <w:rFonts w:ascii="Times New Roman" w:hAnsi="Times New Roman" w:cs="Times New Roman"/>
        </w:rPr>
      </w:pPr>
      <w:r>
        <w:rPr>
          <w:rFonts w:ascii="Times New Roman" w:hAnsi="Times New Roman" w:cs="Times New Roman"/>
        </w:rPr>
        <w:t xml:space="preserve">Ahmed Isau ‘Transfer Pricing: The Nigerian Perspective’ (2014) 2(2) </w:t>
      </w:r>
      <w:r>
        <w:rPr>
          <w:rFonts w:ascii="Times New Roman" w:hAnsi="Times New Roman" w:cs="Times New Roman"/>
          <w:i/>
        </w:rPr>
        <w:t>International Journal of Accounting and Taxation</w:t>
      </w:r>
      <w:r>
        <w:rPr>
          <w:rFonts w:ascii="Times New Roman" w:hAnsi="Times New Roman" w:cs="Times New Roman"/>
        </w:rPr>
        <w:t xml:space="preserve"> 23-28; Andersen Tax ‘Uncertainty in the Nigerian Fiscal Regime: The Case of Royalty Payment in the Oil and Gas Industry’ (Andersen Tax Nigeria, Lagos, Nigeria, 14 August 2018) 1; KPMG ‘Transfer Pricing Awareness Survey’ (KPMG Nigeria, Lagos, Nigeria, June 2017) 1-28; Vanguard ‘Fiscal policy to quell uncertainty in petroleum industry – Country Chair, SPE’ (Vanguard, Lagos, Nigeria, 1 August 2017) &lt;</w:t>
      </w:r>
      <w:r>
        <w:fldChar w:fldCharType="begin"/>
      </w:r>
      <w:r>
        <w:instrText xml:space="preserve"> HYPERLINK "https://www.vanguardngr.com/2017/08/fiscal-policy-bill-to-quell-uncertainty-in-petroleum-industry-country-chairspe/" </w:instrText>
      </w:r>
      <w:r>
        <w:fldChar w:fldCharType="separate"/>
      </w:r>
      <w:r>
        <w:rPr>
          <w:rStyle w:val="27"/>
          <w:rFonts w:ascii="Times New Roman" w:hAnsi="Times New Roman" w:cs="Times New Roman"/>
        </w:rPr>
        <w:t>https://www.vanguardngr.com/2017/08/fiscal-policy-bill-to-quell-uncertainty-in-petroleum-industry-country-chairspe/</w:t>
      </w:r>
      <w:r>
        <w:rPr>
          <w:rStyle w:val="27"/>
          <w:rFonts w:ascii="Times New Roman" w:hAnsi="Times New Roman" w:cs="Times New Roman"/>
        </w:rPr>
        <w:fldChar w:fldCharType="end"/>
      </w:r>
      <w:r>
        <w:rPr>
          <w:rFonts w:ascii="Times New Roman" w:hAnsi="Times New Roman" w:cs="Times New Roman"/>
        </w:rPr>
        <w:t>&gt; accessed 20 April 2024</w:t>
      </w:r>
    </w:p>
  </w:footnote>
  <w:footnote w:id="425">
    <w:p w14:paraId="20FF5CC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 progressive regime can better stand the test of time and cope with volatile oil and gas prices, unlike a </w:t>
      </w:r>
    </w:p>
    <w:p w14:paraId="7F976E85">
      <w:pPr>
        <w:pStyle w:val="24"/>
        <w:ind w:left="720"/>
        <w:jc w:val="both"/>
        <w:rPr>
          <w:rFonts w:ascii="Times New Roman" w:hAnsi="Times New Roman" w:cs="Times New Roman"/>
          <w:i/>
          <w:iCs/>
        </w:rPr>
      </w:pPr>
      <w:r>
        <w:rPr>
          <w:rFonts w:ascii="Times New Roman" w:hAnsi="Times New Roman" w:cs="Times New Roman"/>
        </w:rPr>
        <w:t xml:space="preserve">regressive regime, and many less developed resource owning countries are slow to respond to changes in the oil and gas market – see article in Tax Notes 2020 by Carole Nakhle and Acheampong in </w:t>
      </w:r>
      <w:r>
        <w:rPr>
          <w:rFonts w:ascii="Times New Roman" w:hAnsi="Times New Roman" w:cs="Times New Roman"/>
          <w:i/>
          <w:iCs/>
        </w:rPr>
        <w:t>Oil and Gas Fiscal Policies: The Impact of Oil Price, Investment, and Production Trend.</w:t>
      </w:r>
    </w:p>
  </w:footnote>
  <w:footnote w:id="426">
    <w:p w14:paraId="6F77ECE8">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Private sector operators will operate on an equal basis with the Government-owned operators. Preference</w:t>
      </w:r>
    </w:p>
    <w:p w14:paraId="66C88594">
      <w:pPr>
        <w:pStyle w:val="24"/>
        <w:ind w:left="720" w:firstLine="48"/>
        <w:jc w:val="both"/>
        <w:rPr>
          <w:rFonts w:ascii="Times New Roman" w:hAnsi="Times New Roman" w:cs="Times New Roman"/>
        </w:rPr>
      </w:pPr>
      <w:r>
        <w:rPr>
          <w:rFonts w:ascii="Times New Roman" w:hAnsi="Times New Roman" w:cs="Times New Roman"/>
          <w:bCs/>
        </w:rPr>
        <w:t xml:space="preserve">will be given to the most competent operators. If Government-owned companies fail to succeed in a competitive marketplace, they will be divested or closed, and the private sector will be encouraged to take that place in the market. This approach will create a market-based economy with equal opportunity of access that will help move the economy forward and attract private sector investment, based on clear regulations and legislation. </w:t>
      </w:r>
    </w:p>
  </w:footnote>
  <w:footnote w:id="427">
    <w:p w14:paraId="35B95E0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House of Representative and the Senate.</w:t>
      </w:r>
    </w:p>
  </w:footnote>
  <w:footnote w:id="428">
    <w:p w14:paraId="2357FAA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Petroleum Industry Bill (PIB) was enacted in August 2021, as the Petroleum Industry Act (PIA). It </w:t>
      </w:r>
    </w:p>
    <w:p w14:paraId="013855B4">
      <w:pPr>
        <w:pStyle w:val="24"/>
        <w:ind w:left="720"/>
        <w:jc w:val="both"/>
        <w:rPr>
          <w:rFonts w:ascii="Times New Roman" w:hAnsi="Times New Roman" w:cs="Times New Roman"/>
        </w:rPr>
      </w:pPr>
      <w:r>
        <w:rPr>
          <w:rFonts w:ascii="Times New Roman" w:hAnsi="Times New Roman" w:cs="Times New Roman"/>
        </w:rPr>
        <w:t>has taken close to two decades to design the appropriate fiscal and tax policy, as well as create the necessary regulatory framework and agencies to manage the industry. Translating these policy objectives and provisions into a competitive, stable, clear and enforceable tax statutes for the industry. The changes introduced by the PIA is examined in detail in Chapter 9 of the Thesis.</w:t>
      </w:r>
    </w:p>
  </w:footnote>
  <w:footnote w:id="429">
    <w:p w14:paraId="693C9D3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S.58(1), 1999 Constitution</w:t>
      </w:r>
    </w:p>
  </w:footnote>
  <w:footnote w:id="430">
    <w:p w14:paraId="556894CF">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The PIB went through several readings by different NA sessions, from 2008 when it was first presented as </w:t>
      </w:r>
    </w:p>
    <w:p w14:paraId="2821AD3B">
      <w:pPr>
        <w:pStyle w:val="24"/>
        <w:ind w:left="720"/>
        <w:jc w:val="both"/>
        <w:rPr>
          <w:rFonts w:ascii="Times New Roman" w:hAnsi="Times New Roman" w:cs="Times New Roman"/>
          <w:lang w:val="en-GB"/>
        </w:rPr>
      </w:pPr>
      <w:r>
        <w:rPr>
          <w:rFonts w:ascii="Times New Roman" w:hAnsi="Times New Roman" w:cs="Times New Roman"/>
          <w:lang w:val="en-GB"/>
        </w:rPr>
        <w:t xml:space="preserve">an Executive Bill, before its final enactment following the Presidents consent in 2021, and after several reviews and unbundling of the PIB </w:t>
      </w:r>
    </w:p>
  </w:footnote>
  <w:footnote w:id="431">
    <w:p w14:paraId="2EFF76B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According to section 58(4) of the 1999 Constitution of Nigeria (as amended), where a bill is presented</w:t>
      </w:r>
    </w:p>
    <w:p w14:paraId="197A32DC">
      <w:pPr>
        <w:pStyle w:val="24"/>
        <w:ind w:firstLine="720"/>
        <w:jc w:val="both"/>
        <w:rPr>
          <w:rFonts w:ascii="Times New Roman" w:hAnsi="Times New Roman" w:cs="Times New Roman"/>
        </w:rPr>
      </w:pPr>
      <w:r>
        <w:rPr>
          <w:rFonts w:ascii="Times New Roman" w:hAnsi="Times New Roman" w:cs="Times New Roman"/>
        </w:rPr>
        <w:t xml:space="preserve">to the President for assent, he has thirty days to signify whether he assents or withholds assent. </w:t>
      </w:r>
    </w:p>
  </w:footnote>
  <w:footnote w:id="432">
    <w:p w14:paraId="7FFDD65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first option is for the National Assembly to review the matter on which the President has based his </w:t>
      </w:r>
    </w:p>
    <w:p w14:paraId="4815DA0C">
      <w:pPr>
        <w:pStyle w:val="24"/>
        <w:ind w:left="720"/>
        <w:jc w:val="both"/>
        <w:rPr>
          <w:rFonts w:ascii="Times New Roman" w:hAnsi="Times New Roman" w:cs="Times New Roman"/>
        </w:rPr>
      </w:pPr>
      <w:r>
        <w:rPr>
          <w:rFonts w:ascii="Times New Roman" w:hAnsi="Times New Roman" w:cs="Times New Roman"/>
        </w:rPr>
        <w:t xml:space="preserve">refusal of assent and would have to pass the Bill and transmit it again to the President for assent. The second option is for the National Assembly to override presidential assent and simply pass the Bill with a two-thirds majority in each chamber. According to section 58(5) of the Constitution, if the National Assembly does this, the Bill shall become law, and the assent of the President will not be required. </w:t>
      </w:r>
    </w:p>
  </w:footnote>
  <w:footnote w:id="433">
    <w:p w14:paraId="095AC89E">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See Chapter 9 of Thesis for the analysis of the PIA. </w:t>
      </w:r>
    </w:p>
  </w:footnote>
  <w:footnote w:id="434">
    <w:p w14:paraId="7ACF0918">
      <w:pPr>
        <w:pStyle w:val="24"/>
        <w:rPr>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Appendices I &amp; II</w:t>
      </w:r>
    </w:p>
  </w:footnote>
  <w:footnote w:id="435">
    <w:p w14:paraId="739CEAA8">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Appendix I-Survey Questionnaire.</w:t>
      </w:r>
    </w:p>
  </w:footnote>
  <w:footnote w:id="436">
    <w:p w14:paraId="65E3227E">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One judicial officer and some tax authority officials completed the questionnaire. A few others however </w:t>
      </w:r>
    </w:p>
    <w:p w14:paraId="55AF3887">
      <w:pPr>
        <w:pStyle w:val="24"/>
        <w:ind w:firstLine="720"/>
      </w:pPr>
      <w:r>
        <w:rPr>
          <w:rFonts w:ascii="Times New Roman" w:hAnsi="Times New Roman" w:cs="Times New Roman"/>
        </w:rPr>
        <w:t>informally offered thoughts and perspectives on the subject matter of survey during follow up calls.</w:t>
      </w:r>
    </w:p>
  </w:footnote>
  <w:footnote w:id="437">
    <w:p w14:paraId="3E187D71">
      <w:pPr>
        <w:pStyle w:val="24"/>
      </w:pPr>
      <w:r>
        <w:rPr>
          <w:rStyle w:val="23"/>
        </w:rPr>
        <w:footnoteRef/>
      </w:r>
      <w:r>
        <w:t xml:space="preserve"> </w:t>
      </w:r>
      <w:r>
        <w:tab/>
      </w:r>
      <w:r>
        <w:rPr>
          <w:rFonts w:ascii="Times New Roman" w:hAnsi="Times New Roman" w:cs="Times New Roman"/>
        </w:rPr>
        <w:t>See Appendix I &amp; II – Survey Questionnaire and Survey Responses received</w:t>
      </w:r>
      <w:r>
        <w:t>.</w:t>
      </w:r>
    </w:p>
  </w:footnote>
  <w:footnote w:id="438">
    <w:p w14:paraId="4C912F31">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Clarity is obviously an important factor for achieving understanding and certainty, as much as mutual </w:t>
      </w:r>
    </w:p>
    <w:p w14:paraId="78CC4E27">
      <w:pPr>
        <w:pStyle w:val="24"/>
        <w:ind w:firstLine="720"/>
        <w:rPr>
          <w:rFonts w:ascii="Times New Roman" w:hAnsi="Times New Roman" w:cs="Times New Roman"/>
        </w:rPr>
      </w:pPr>
      <w:r>
        <w:rPr>
          <w:rFonts w:ascii="Times New Roman" w:hAnsi="Times New Roman" w:cs="Times New Roman"/>
        </w:rPr>
        <w:t>trust is enhanced by open, transparent, and principle-based engagement.</w:t>
      </w:r>
    </w:p>
  </w:footnote>
  <w:footnote w:id="439">
    <w:p w14:paraId="50DF28D3">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Ministries of Finance (MoF), Petroleum Resources (MPR), Justice (MoJ), Budget and Planning (MBP), </w:t>
      </w:r>
    </w:p>
    <w:p w14:paraId="1C2E0DD5">
      <w:pPr>
        <w:pStyle w:val="24"/>
        <w:ind w:firstLine="720"/>
        <w:rPr>
          <w:rFonts w:ascii="Times New Roman" w:hAnsi="Times New Roman" w:cs="Times New Roman"/>
        </w:rPr>
      </w:pPr>
      <w:r>
        <w:rPr>
          <w:rFonts w:ascii="Times New Roman" w:hAnsi="Times New Roman" w:cs="Times New Roman"/>
        </w:rPr>
        <w:t>National Assembly (NA) and NNPC.</w:t>
      </w:r>
    </w:p>
  </w:footnote>
  <w:footnote w:id="440">
    <w:p w14:paraId="2DD55C6D">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Clarity, Certainty and Consistency of Understanding of Tax Legislation.</w:t>
      </w:r>
    </w:p>
  </w:footnote>
  <w:footnote w:id="441">
    <w:p w14:paraId="6D479657">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Taxes and Levies (Approved List for Collection) no 2, 1998, as amended by the Taxes and Levies </w:t>
      </w:r>
    </w:p>
    <w:p w14:paraId="6E5F7227">
      <w:pPr>
        <w:pStyle w:val="24"/>
        <w:ind w:firstLine="720"/>
      </w:pPr>
      <w:r>
        <w:rPr>
          <w:rFonts w:ascii="Times New Roman" w:hAnsi="Times New Roman" w:cs="Times New Roman"/>
        </w:rPr>
        <w:t>(Approved List for Collection) Order 2015.</w:t>
      </w:r>
      <w:r>
        <w:t xml:space="preserve"> </w:t>
      </w:r>
      <w:r>
        <w:br w:type="textWrapping"/>
      </w:r>
      <w:r>
        <w:t xml:space="preserve">  </w:t>
      </w:r>
    </w:p>
  </w:footnote>
  <w:footnote w:id="442">
    <w:p w14:paraId="5EAB276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PPT rates of 65.75%, 85% under the PPTA and 50% under the PSC and 30% for downstream </w:t>
      </w:r>
    </w:p>
    <w:p w14:paraId="671336D0">
      <w:pPr>
        <w:pStyle w:val="24"/>
        <w:ind w:firstLine="720"/>
        <w:jc w:val="both"/>
        <w:rPr>
          <w:rFonts w:ascii="Times New Roman" w:hAnsi="Times New Roman" w:cs="Times New Roman"/>
        </w:rPr>
      </w:pPr>
      <w:r>
        <w:rPr>
          <w:rFonts w:ascii="Times New Roman" w:hAnsi="Times New Roman" w:cs="Times New Roman"/>
        </w:rPr>
        <w:t xml:space="preserve">petroleum operations under the CITA.  </w:t>
      </w:r>
    </w:p>
  </w:footnote>
  <w:footnote w:id="443">
    <w:p w14:paraId="672AC3B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This may be achieved through frequent training and enlightenment engagement sessions with the </w:t>
      </w:r>
    </w:p>
    <w:p w14:paraId="6EA26059">
      <w:pPr>
        <w:pStyle w:val="24"/>
        <w:ind w:left="720"/>
        <w:jc w:val="both"/>
        <w:rPr>
          <w:rFonts w:ascii="Times New Roman" w:hAnsi="Times New Roman" w:cs="Times New Roman"/>
        </w:rPr>
      </w:pPr>
      <w:r>
        <w:rPr>
          <w:rFonts w:ascii="Times New Roman" w:hAnsi="Times New Roman" w:cs="Times New Roman"/>
        </w:rPr>
        <w:t>industry operators, to bridge the gaps. Interaction with other tax administrators, particularly the exposure and lessons from the UK petroleum tax system in the UK Oil and Gas Tax Office may have informed the proposal for the dual fiscal regime introduced recently in the Petroleum Industry Act.</w:t>
      </w:r>
    </w:p>
  </w:footnote>
  <w:footnote w:id="444">
    <w:p w14:paraId="66572A9E">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rPr>
        <w:t>PPTA rates of 65.75%, 85%, and 50% for petroleum, and CITA rate of 30% for gas income,</w:t>
      </w:r>
    </w:p>
  </w:footnote>
  <w:footnote w:id="445">
    <w:p w14:paraId="390AEC0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PPTA and PSC Act rates 66.75/85%/50%, and 30% Gas income rates, whilst cost is expensed at 85%. </w:t>
      </w:r>
    </w:p>
  </w:footnote>
  <w:footnote w:id="446">
    <w:p w14:paraId="730CBED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PIA has now been enacted and is effective, August 16</w:t>
      </w:r>
      <w:r>
        <w:rPr>
          <w:rFonts w:ascii="Times New Roman" w:hAnsi="Times New Roman" w:cs="Times New Roman"/>
          <w:vertAlign w:val="superscript"/>
        </w:rPr>
        <w:t>th</w:t>
      </w:r>
      <w:r>
        <w:rPr>
          <w:rFonts w:ascii="Times New Roman" w:hAnsi="Times New Roman" w:cs="Times New Roman"/>
        </w:rPr>
        <w:t>, 2021.</w:t>
      </w:r>
    </w:p>
  </w:footnote>
  <w:footnote w:id="447">
    <w:p w14:paraId="4B01840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HMRC Oil Taxation Manual: Over the last 40 years the UK has developed into one of the world’s major oil </w:t>
      </w:r>
    </w:p>
    <w:p w14:paraId="14332FF4">
      <w:pPr>
        <w:pStyle w:val="24"/>
        <w:ind w:left="720"/>
        <w:jc w:val="both"/>
        <w:rPr>
          <w:rFonts w:ascii="Times New Roman" w:hAnsi="Times New Roman" w:cs="Times New Roman"/>
        </w:rPr>
      </w:pPr>
      <w:r>
        <w:rPr>
          <w:rFonts w:ascii="Times New Roman" w:hAnsi="Times New Roman" w:cs="Times New Roman"/>
        </w:rPr>
        <w:t>production countries. The development of the North Sea has coincided with a range of substantial technological developments within the oil industry, including 3D and 4D seismic, deep water and horizontal drilling, and the more sophisticated use of IT to process and interpret data. The structure of the oil industry in the North Sea is also changing. Once dominated by the oil majors, there has in recent years been a steady divestment of North Sea assets by these groups and the increasing involvement of comparatively smaller oil companies. – Source:</w:t>
      </w:r>
      <w:r>
        <w:rPr>
          <w:rFonts w:ascii="Times New Roman" w:hAnsi="Times New Roman" w:eastAsia="Times New Roman" w:cs="Times New Roman"/>
          <w:b/>
          <w:bCs/>
          <w:color w:val="0B0C0C"/>
          <w:kern w:val="36"/>
          <w:sz w:val="48"/>
          <w:szCs w:val="48"/>
          <w:lang w:eastAsia="en-GB"/>
        </w:rPr>
        <w:t xml:space="preserve"> </w:t>
      </w:r>
      <w:r>
        <w:rPr>
          <w:rFonts w:ascii="Times New Roman" w:hAnsi="Times New Roman" w:cs="Times New Roman"/>
        </w:rPr>
        <w:t xml:space="preserve">OT00010 - The taxation of the UK oil industry: an overview. </w:t>
      </w:r>
    </w:p>
  </w:footnote>
  <w:footnote w:id="448">
    <w:p w14:paraId="42FBD713">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Gas was first found in quantity in the Groningen area of the Netherlands in 1959. This was followed by</w:t>
      </w:r>
    </w:p>
    <w:p w14:paraId="5276C619">
      <w:pPr>
        <w:pStyle w:val="24"/>
        <w:ind w:left="720"/>
        <w:jc w:val="both"/>
        <w:rPr>
          <w:rFonts w:ascii="Times New Roman" w:hAnsi="Times New Roman" w:cs="Times New Roman"/>
        </w:rPr>
      </w:pPr>
      <w:r>
        <w:rPr>
          <w:rFonts w:ascii="Times New Roman" w:hAnsi="Times New Roman" w:cs="Times New Roman"/>
          <w:bCs/>
        </w:rPr>
        <w:t>the first British discovery of gas in the West Sole field, off the coast of East Anglia, by the BP jack-up drilling rig Sea Gem, late in 1965.</w:t>
      </w:r>
    </w:p>
  </w:footnote>
  <w:footnote w:id="449">
    <w:p w14:paraId="319A90E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Petroleum Economist, Statistical Annual. London, The Petroleum Economist Ltd., CHASE Oil &amp; Gas </w:t>
      </w:r>
    </w:p>
    <w:p w14:paraId="11B52C36">
      <w:pPr>
        <w:pStyle w:val="24"/>
        <w:ind w:firstLine="720"/>
        <w:jc w:val="both"/>
        <w:rPr>
          <w:rFonts w:ascii="Times New Roman" w:hAnsi="Times New Roman" w:cs="Times New Roman"/>
        </w:rPr>
      </w:pPr>
      <w:r>
        <w:rPr>
          <w:rFonts w:ascii="Times New Roman" w:hAnsi="Times New Roman" w:cs="Times New Roman"/>
        </w:rPr>
        <w:t>Group (1995).</w:t>
      </w:r>
    </w:p>
  </w:footnote>
  <w:footnote w:id="450">
    <w:p w14:paraId="6E6DBBA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According to Stuart McWilliam, these statistics make a mockery of claims that the UK is a leader in the fight </w:t>
      </w:r>
    </w:p>
    <w:p w14:paraId="02C3E92E">
      <w:pPr>
        <w:pStyle w:val="24"/>
        <w:ind w:firstLine="720"/>
        <w:jc w:val="both"/>
        <w:rPr>
          <w:rFonts w:ascii="Times New Roman" w:hAnsi="Times New Roman" w:cs="Times New Roman"/>
        </w:rPr>
      </w:pPr>
      <w:r>
        <w:rPr>
          <w:rFonts w:ascii="Times New Roman" w:hAnsi="Times New Roman" w:cs="Times New Roman"/>
        </w:rPr>
        <w:t xml:space="preserve">against climate change. </w:t>
      </w:r>
      <w:r>
        <w:fldChar w:fldCharType="begin"/>
      </w:r>
      <w:r>
        <w:instrText xml:space="preserve"> HYPERLINK "https://www.gov.uk/government/ministers/minister-of-state-minister-for-climate" </w:instrText>
      </w:r>
      <w:r>
        <w:fldChar w:fldCharType="separate"/>
      </w:r>
      <w:r>
        <w:rPr>
          <w:rStyle w:val="27"/>
          <w:rFonts w:ascii="Times New Roman" w:hAnsi="Times New Roman" w:cs="Times New Roman"/>
          <w:u w:val="none"/>
        </w:rPr>
        <w:t>Minister of State (Minister for Energy and Climate) - GOV.UK (www.gov.uk)</w:t>
      </w:r>
      <w:r>
        <w:rPr>
          <w:rStyle w:val="27"/>
          <w:rFonts w:ascii="Times New Roman" w:hAnsi="Times New Roman" w:cs="Times New Roman"/>
          <w:u w:val="none"/>
        </w:rPr>
        <w:fldChar w:fldCharType="end"/>
      </w:r>
      <w:r>
        <w:rPr>
          <w:rFonts w:ascii="Times New Roman" w:hAnsi="Times New Roman" w:cs="Times New Roman"/>
        </w:rPr>
        <w:t>.</w:t>
      </w:r>
    </w:p>
  </w:footnote>
  <w:footnote w:id="451">
    <w:p w14:paraId="30D54D86">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Source: </w:t>
      </w:r>
      <w:r>
        <w:rPr>
          <w:rFonts w:ascii="Times New Roman" w:hAnsi="Times New Roman" w:cs="Times New Roman"/>
          <w:bCs/>
        </w:rPr>
        <w:t>Transport, heating, and electricity each account for about one-third of the UK's primary energy</w:t>
      </w:r>
    </w:p>
    <w:p w14:paraId="020BCFEC">
      <w:pPr>
        <w:pStyle w:val="24"/>
        <w:ind w:firstLine="720"/>
        <w:jc w:val="both"/>
        <w:rPr>
          <w:rFonts w:ascii="Times New Roman" w:hAnsi="Times New Roman" w:cs="Times New Roman"/>
          <w:bCs/>
        </w:rPr>
      </w:pPr>
      <w:r>
        <w:rPr>
          <w:rFonts w:ascii="Times New Roman" w:hAnsi="Times New Roman" w:cs="Times New Roman"/>
          <w:bCs/>
        </w:rPr>
        <w:t xml:space="preserve"> needs.  O&amp;G are also major feedstocks for the petrochemicals industries producing pharmaceuticals, </w:t>
      </w:r>
    </w:p>
    <w:p w14:paraId="1A344ABB">
      <w:pPr>
        <w:pStyle w:val="24"/>
        <w:ind w:firstLine="720"/>
        <w:jc w:val="both"/>
        <w:rPr>
          <w:rFonts w:ascii="Times New Roman" w:hAnsi="Times New Roman" w:cs="Times New Roman"/>
        </w:rPr>
      </w:pPr>
      <w:r>
        <w:rPr>
          <w:rFonts w:ascii="Times New Roman" w:hAnsi="Times New Roman" w:cs="Times New Roman"/>
          <w:bCs/>
        </w:rPr>
        <w:t>plastics, cosmetics, and domestic appliances.</w:t>
      </w:r>
    </w:p>
  </w:footnote>
  <w:footnote w:id="452">
    <w:p w14:paraId="6323B20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Mabro R, Bacon, R. Chadwick M. Halliwell, D. Long. </w:t>
      </w:r>
      <w:r>
        <w:rPr>
          <w:rFonts w:ascii="Times New Roman" w:hAnsi="Times New Roman" w:cs="Times New Roman"/>
          <w:i/>
          <w:iCs/>
        </w:rPr>
        <w:t>The Market for North Sea Crude Oil</w:t>
      </w:r>
      <w:r>
        <w:rPr>
          <w:rFonts w:ascii="Times New Roman" w:hAnsi="Times New Roman" w:cs="Times New Roman"/>
        </w:rPr>
        <w:t xml:space="preserve">. </w:t>
      </w:r>
    </w:p>
    <w:p w14:paraId="6B720CC3">
      <w:pPr>
        <w:pStyle w:val="24"/>
        <w:ind w:left="720"/>
        <w:jc w:val="both"/>
        <w:rPr>
          <w:rFonts w:ascii="Times New Roman" w:hAnsi="Times New Roman" w:cs="Times New Roman"/>
          <w:bCs/>
        </w:rPr>
      </w:pPr>
      <w:r>
        <w:rPr>
          <w:rFonts w:ascii="Times New Roman" w:hAnsi="Times New Roman" w:cs="Times New Roman"/>
        </w:rPr>
        <w:t xml:space="preserve">Oxford University Press (1986). </w:t>
      </w:r>
      <w:r>
        <w:rPr>
          <w:rFonts w:ascii="Times New Roman" w:hAnsi="Times New Roman" w:cs="Times New Roman"/>
          <w:bCs/>
        </w:rPr>
        <w:t>UK oil and gas supply chain services domestic activities and exports</w:t>
      </w:r>
    </w:p>
    <w:p w14:paraId="11607A98">
      <w:pPr>
        <w:pStyle w:val="24"/>
        <w:ind w:firstLine="720"/>
        <w:jc w:val="both"/>
        <w:rPr>
          <w:rFonts w:ascii="Times New Roman" w:hAnsi="Times New Roman" w:cs="Times New Roman"/>
          <w:bCs/>
        </w:rPr>
      </w:pPr>
      <w:r>
        <w:rPr>
          <w:rFonts w:ascii="Times New Roman" w:hAnsi="Times New Roman" w:cs="Times New Roman"/>
          <w:bCs/>
        </w:rPr>
        <w:t xml:space="preserve"> about £12 billion of goods and services to the rest of the world.</w:t>
      </w:r>
    </w:p>
  </w:footnote>
  <w:footnote w:id="453">
    <w:p w14:paraId="3D4BE678">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UK energy security: www.gov.uk.</w:t>
      </w:r>
    </w:p>
  </w:footnote>
  <w:footnote w:id="454">
    <w:p w14:paraId="4DE3F90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Adam Seymour, The Oil Price and Non-OPEC Supplies, Oxford Institute for Energy Studies Papers on the </w:t>
      </w:r>
    </w:p>
    <w:p w14:paraId="3DD510D4">
      <w:pPr>
        <w:pStyle w:val="24"/>
        <w:ind w:firstLine="720"/>
        <w:jc w:val="both"/>
        <w:rPr>
          <w:rFonts w:ascii="Times New Roman" w:hAnsi="Times New Roman" w:cs="Times New Roman"/>
        </w:rPr>
      </w:pPr>
      <w:r>
        <w:rPr>
          <w:rFonts w:ascii="Times New Roman" w:hAnsi="Times New Roman" w:cs="Times New Roman"/>
        </w:rPr>
        <w:t>World Petroleum Market, (Aldgate Press,1990).</w:t>
      </w:r>
    </w:p>
  </w:footnote>
  <w:footnote w:id="455">
    <w:p w14:paraId="31F370F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"https://www.worldometers.info/oil/uk-oil/" </w:instrText>
      </w:r>
      <w:r>
        <w:fldChar w:fldCharType="separate"/>
      </w:r>
      <w:r>
        <w:rPr>
          <w:rStyle w:val="27"/>
          <w:rFonts w:ascii="Times New Roman" w:hAnsi="Times New Roman" w:cs="Times New Roman"/>
          <w:u w:val="none"/>
        </w:rPr>
        <w:t>United Kingdom Oil Reserves, Production and Consumption Statistics - Worldometer</w:t>
      </w:r>
      <w:r>
        <w:rPr>
          <w:rStyle w:val="27"/>
          <w:rFonts w:ascii="Times New Roman" w:hAnsi="Times New Roman" w:cs="Times New Roman"/>
          <w:u w:val="none"/>
        </w:rPr>
        <w:fldChar w:fldCharType="end"/>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 </w:t>
      </w:r>
    </w:p>
  </w:footnote>
  <w:footnote w:id="456">
    <w:p w14:paraId="6341159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"https://oeuk.org.uk/net-zero/" </w:instrText>
      </w:r>
      <w:r>
        <w:fldChar w:fldCharType="separate"/>
      </w:r>
      <w:r>
        <w:rPr>
          <w:rStyle w:val="27"/>
          <w:rFonts w:ascii="Times New Roman" w:hAnsi="Times New Roman" w:cs="Times New Roman"/>
        </w:rPr>
        <w:t>Net Zero (oeuk.org.uk)</w:t>
      </w:r>
      <w:r>
        <w:rPr>
          <w:rStyle w:val="27"/>
          <w:rFonts w:ascii="Times New Roman" w:hAnsi="Times New Roman" w:cs="Times New Roman"/>
        </w:rPr>
        <w:fldChar w:fldCharType="end"/>
      </w:r>
      <w:r>
        <w:rPr>
          <w:rFonts w:ascii="Times New Roman" w:hAnsi="Times New Roman" w:cs="Times New Roman"/>
        </w:rPr>
        <w:t xml:space="preserve">, In March 2021, the UK government and UK oil and gas industry agreed a deal to </w:t>
      </w:r>
    </w:p>
    <w:p w14:paraId="52E6DAC3">
      <w:pPr>
        <w:pStyle w:val="24"/>
        <w:ind w:left="720"/>
        <w:jc w:val="both"/>
        <w:rPr>
          <w:rFonts w:ascii="Times New Roman" w:hAnsi="Times New Roman" w:cs="Times New Roman"/>
        </w:rPr>
      </w:pPr>
      <w:r>
        <w:rPr>
          <w:rFonts w:ascii="Times New Roman" w:hAnsi="Times New Roman" w:cs="Times New Roman"/>
        </w:rPr>
        <w:t>harness the sector’s 50 years of energy expertise. The first of its kind by any G7 nation, the North Sea Transition Deal will accelerate the green energy transition and create a new generation of exciting jobs in communities across the country’s heartlands.</w:t>
      </w:r>
    </w:p>
  </w:footnote>
  <w:footnote w:id="457">
    <w:p w14:paraId="7D63438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Petroleum Revenue Tax is a tax on the profits from oil and gas production in the UK or on the UK </w:t>
      </w:r>
    </w:p>
    <w:p w14:paraId="64237AD2">
      <w:pPr>
        <w:pStyle w:val="24"/>
        <w:ind w:left="720"/>
        <w:jc w:val="both"/>
        <w:rPr>
          <w:rFonts w:ascii="Times New Roman" w:hAnsi="Times New Roman" w:cs="Times New Roman"/>
        </w:rPr>
      </w:pPr>
      <w:r>
        <w:rPr>
          <w:rFonts w:ascii="Times New Roman" w:hAnsi="Times New Roman" w:cs="Times New Roman"/>
        </w:rPr>
        <w:t>continental shelf. The tax only applies to fields that were approved before 16 March 1993, known as ‘taxable fields’.</w:t>
      </w:r>
    </w:p>
  </w:footnote>
  <w:footnote w:id="458">
    <w:p w14:paraId="402BBB3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"https://en.wikipedia.org/wiki/Oil_Taxation_Act_1975" \o "Oil Taxation Act 1975" </w:instrText>
      </w:r>
      <w:r>
        <w:fldChar w:fldCharType="separate"/>
      </w:r>
      <w:r>
        <w:rPr>
          <w:rStyle w:val="27"/>
          <w:rFonts w:ascii="Times New Roman" w:hAnsi="Times New Roman" w:cs="Times New Roman"/>
          <w:color w:val="auto"/>
          <w:u w:val="none"/>
        </w:rPr>
        <w:t>Oil Taxation Act 1975 (1975 c. 22)</w:t>
      </w:r>
      <w:r>
        <w:rPr>
          <w:rStyle w:val="27"/>
          <w:rFonts w:ascii="Times New Roman" w:hAnsi="Times New Roman" w:cs="Times New Roman"/>
          <w:color w:val="auto"/>
          <w:u w:val="none"/>
        </w:rPr>
        <w:fldChar w:fldCharType="end"/>
      </w:r>
      <w:r>
        <w:rPr>
          <w:rFonts w:ascii="Times New Roman" w:hAnsi="Times New Roman" w:cs="Times New Roman"/>
        </w:rPr>
        <w:t xml:space="preserve">, </w:t>
      </w:r>
      <w:r>
        <w:fldChar w:fldCharType="begin"/>
      </w:r>
      <w:r>
        <w:instrText xml:space="preserve"> HYPERLINK "https://en.wikipedia.org/wiki/Petroleum_Revenue_Tax_Act_1980" \o "Petroleum Revenue Tax Act 1980" </w:instrText>
      </w:r>
      <w:r>
        <w:fldChar w:fldCharType="separate"/>
      </w:r>
      <w:r>
        <w:rPr>
          <w:rStyle w:val="27"/>
          <w:rFonts w:ascii="Times New Roman" w:hAnsi="Times New Roman" w:cs="Times New Roman"/>
          <w:color w:val="auto"/>
          <w:u w:val="none"/>
        </w:rPr>
        <w:t>Petroleum Revenue Tax Act 1980</w:t>
      </w:r>
      <w:r>
        <w:rPr>
          <w:rStyle w:val="27"/>
          <w:rFonts w:ascii="Times New Roman" w:hAnsi="Times New Roman" w:cs="Times New Roman"/>
          <w:color w:val="auto"/>
          <w:u w:val="none"/>
        </w:rPr>
        <w:fldChar w:fldCharType="end"/>
      </w:r>
      <w:r>
        <w:rPr>
          <w:rFonts w:ascii="Times New Roman" w:hAnsi="Times New Roman" w:cs="Times New Roman"/>
        </w:rPr>
        <w:t xml:space="preserve"> (1980 c. 1), Oil Taxation Act 1983, </w:t>
      </w:r>
    </w:p>
    <w:p w14:paraId="68B9AFD3">
      <w:pPr>
        <w:pStyle w:val="24"/>
        <w:ind w:left="720"/>
        <w:jc w:val="both"/>
        <w:rPr>
          <w:rFonts w:ascii="Times New Roman" w:hAnsi="Times New Roman" w:cs="Times New Roman"/>
        </w:rPr>
      </w:pPr>
      <w:r>
        <w:rPr>
          <w:rFonts w:ascii="Times New Roman" w:hAnsi="Times New Roman" w:cs="Times New Roman"/>
        </w:rPr>
        <w:t xml:space="preserve">(1983 c. 56), </w:t>
      </w:r>
      <w:r>
        <w:fldChar w:fldCharType="begin"/>
      </w:r>
      <w:r>
        <w:instrText xml:space="preserve"> HYPERLINK "https://www.legislation.gov.uk/ukpga/1983/59/contents/enacted" </w:instrText>
      </w:r>
      <w:r>
        <w:fldChar w:fldCharType="separate"/>
      </w:r>
      <w:r>
        <w:rPr>
          <w:rStyle w:val="27"/>
          <w:rFonts w:ascii="Times New Roman" w:hAnsi="Times New Roman" w:cs="Times New Roman"/>
          <w:color w:val="auto"/>
          <w:u w:val="none"/>
        </w:rPr>
        <w:t>Petroleum Royalties (Relief) Act 1983</w:t>
      </w:r>
      <w:r>
        <w:rPr>
          <w:rStyle w:val="27"/>
          <w:rFonts w:ascii="Times New Roman" w:hAnsi="Times New Roman" w:cs="Times New Roman"/>
          <w:color w:val="auto"/>
          <w:u w:val="none"/>
        </w:rPr>
        <w:fldChar w:fldCharType="end"/>
      </w:r>
      <w:r>
        <w:rPr>
          <w:rFonts w:ascii="Times New Roman" w:hAnsi="Times New Roman" w:cs="Times New Roman"/>
        </w:rPr>
        <w:t xml:space="preserve"> (1983 c. 59), </w:t>
      </w:r>
      <w:r>
        <w:fldChar w:fldCharType="begin"/>
      </w:r>
      <w:r>
        <w:instrText xml:space="preserve"> HYPERLINK "https://www.legislation.gov.uk/ukpga/1986/68/contents" </w:instrText>
      </w:r>
      <w:r>
        <w:fldChar w:fldCharType="separate"/>
      </w:r>
      <w:r>
        <w:rPr>
          <w:rStyle w:val="27"/>
          <w:rFonts w:ascii="Times New Roman" w:hAnsi="Times New Roman" w:cs="Times New Roman"/>
          <w:color w:val="auto"/>
          <w:u w:val="none"/>
        </w:rPr>
        <w:t>Advance Petroleum Revenue Tax Act 1986</w:t>
      </w:r>
      <w:r>
        <w:rPr>
          <w:rStyle w:val="27"/>
          <w:rFonts w:ascii="Times New Roman" w:hAnsi="Times New Roman" w:cs="Times New Roman"/>
          <w:color w:val="auto"/>
          <w:u w:val="none"/>
        </w:rPr>
        <w:fldChar w:fldCharType="end"/>
      </w:r>
      <w:r>
        <w:rPr>
          <w:rFonts w:ascii="Times New Roman" w:hAnsi="Times New Roman" w:cs="Times New Roman"/>
        </w:rPr>
        <w:t xml:space="preserve"> (1986  c. 68), </w:t>
      </w:r>
      <w:r>
        <w:fldChar w:fldCharType="begin"/>
      </w:r>
      <w:r>
        <w:instrText xml:space="preserve"> HYPERLINK "https://www.legislation.gov.uk/ukpga/1989/1/contents/enacted" </w:instrText>
      </w:r>
      <w:r>
        <w:fldChar w:fldCharType="separate"/>
      </w:r>
      <w:r>
        <w:rPr>
          <w:rStyle w:val="27"/>
          <w:rFonts w:ascii="Times New Roman" w:hAnsi="Times New Roman" w:cs="Times New Roman"/>
          <w:color w:val="auto"/>
          <w:u w:val="none"/>
        </w:rPr>
        <w:t>Petroleum Royalties (Relief) and Continental Shelf Act 1989</w:t>
      </w:r>
      <w:r>
        <w:rPr>
          <w:rStyle w:val="27"/>
          <w:rFonts w:ascii="Times New Roman" w:hAnsi="Times New Roman" w:cs="Times New Roman"/>
          <w:color w:val="auto"/>
          <w:u w:val="none"/>
        </w:rPr>
        <w:fldChar w:fldCharType="end"/>
      </w:r>
      <w:r>
        <w:rPr>
          <w:rFonts w:ascii="Times New Roman" w:hAnsi="Times New Roman" w:cs="Times New Roman"/>
        </w:rPr>
        <w:t xml:space="preserve"> (1989 c. 1). </w:t>
      </w:r>
    </w:p>
  </w:footnote>
  <w:footnote w:id="459">
    <w:p w14:paraId="369B2E1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bookmarkStart w:id="41" w:name="_Hlk156246710"/>
      <w:r>
        <w:rPr>
          <w:rFonts w:ascii="Times New Roman" w:hAnsi="Times New Roman" w:cs="Times New Roman"/>
        </w:rPr>
        <w:t xml:space="preserve">Tracey Bowler, </w:t>
      </w:r>
      <w:r>
        <w:rPr>
          <w:rFonts w:ascii="Times New Roman" w:hAnsi="Times New Roman" w:cs="Times New Roman"/>
          <w:i/>
          <w:iCs/>
        </w:rPr>
        <w:t>Tax policy making in the UK</w:t>
      </w:r>
      <w:r>
        <w:rPr>
          <w:rFonts w:ascii="Times New Roman" w:hAnsi="Times New Roman" w:cs="Times New Roman"/>
        </w:rPr>
        <w:t>. London: IFS.</w:t>
      </w:r>
      <w:r>
        <w:rPr>
          <w:rFonts w:ascii="Times New Roman" w:hAnsi="Times New Roman"/>
          <w:color w:val="auto"/>
          <w:sz w:val="24"/>
        </w:rPr>
        <w:t xml:space="preserve"> </w:t>
      </w:r>
      <w:r>
        <w:rPr>
          <w:rFonts w:ascii="Times New Roman" w:hAnsi="Times New Roman" w:cs="Times New Roman"/>
        </w:rPr>
        <w:t xml:space="preserve">(2010). Available </w:t>
      </w:r>
    </w:p>
    <w:p w14:paraId="7A44B6B2">
      <w:pPr>
        <w:pStyle w:val="24"/>
        <w:ind w:firstLine="720"/>
        <w:jc w:val="both"/>
        <w:rPr>
          <w:rFonts w:ascii="Times New Roman" w:hAnsi="Times New Roman" w:cs="Times New Roman"/>
        </w:rPr>
      </w:pPr>
      <w:r>
        <w:rPr>
          <w:rFonts w:ascii="Times New Roman" w:hAnsi="Times New Roman" w:cs="Times New Roman"/>
        </w:rPr>
        <w:t>at: </w:t>
      </w:r>
      <w:r>
        <w:fldChar w:fldCharType="begin"/>
      </w:r>
      <w:r>
        <w:instrText xml:space="preserve"> HYPERLINK "https://ifs.org.uk/publications/tax-policy-making-uk" </w:instrText>
      </w:r>
      <w:r>
        <w:fldChar w:fldCharType="separate"/>
      </w:r>
      <w:r>
        <w:rPr>
          <w:rStyle w:val="27"/>
          <w:rFonts w:ascii="Times New Roman" w:hAnsi="Times New Roman" w:cs="Times New Roman"/>
        </w:rPr>
        <w:t>https://ifs.org.uk/publications/tax-policy-making-uk</w:t>
      </w:r>
      <w:r>
        <w:rPr>
          <w:rStyle w:val="27"/>
          <w:rFonts w:ascii="Times New Roman" w:hAnsi="Times New Roman" w:cs="Times New Roman"/>
        </w:rPr>
        <w:fldChar w:fldCharType="end"/>
      </w:r>
      <w:r>
        <w:rPr>
          <w:rFonts w:ascii="Times New Roman" w:hAnsi="Times New Roman" w:cs="Times New Roman"/>
        </w:rPr>
        <w:t> (accessed: 20 April 2024).</w:t>
      </w:r>
    </w:p>
    <w:bookmarkEnd w:id="41"/>
  </w:footnote>
  <w:footnote w:id="460">
    <w:p w14:paraId="3921B24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rPr>
        <w:t xml:space="preserve">Since the O'Donnell reforms of 2004 lead responsibility and accountability have rested with HM Treasury </w:t>
      </w:r>
    </w:p>
    <w:p w14:paraId="5CC1A2D0">
      <w:pPr>
        <w:pStyle w:val="24"/>
        <w:ind w:firstLine="720"/>
        <w:jc w:val="both"/>
        <w:rPr>
          <w:rFonts w:ascii="Times New Roman" w:hAnsi="Times New Roman" w:cs="Times New Roman"/>
          <w:lang w:val="en-GB"/>
        </w:rPr>
      </w:pPr>
      <w:r>
        <w:rPr>
          <w:rFonts w:ascii="Times New Roman" w:hAnsi="Times New Roman" w:cs="Times New Roman"/>
        </w:rPr>
        <w:t>and HMRC have been responsible for policy maintenance. </w:t>
      </w:r>
    </w:p>
  </w:footnote>
  <w:footnote w:id="461">
    <w:p w14:paraId="0B8FEEE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Thomas Pope, Gemma Tetlow, Arun Advani, How is evidence used in tax policy making, Report, Institute </w:t>
      </w:r>
    </w:p>
    <w:p w14:paraId="2BCD4952">
      <w:pPr>
        <w:pStyle w:val="24"/>
        <w:ind w:firstLine="720"/>
        <w:jc w:val="both"/>
        <w:rPr>
          <w:rFonts w:ascii="Times New Roman" w:hAnsi="Times New Roman" w:cs="Times New Roman"/>
          <w:lang w:val="en-GB"/>
        </w:rPr>
      </w:pPr>
      <w:r>
        <w:rPr>
          <w:rFonts w:ascii="Times New Roman" w:hAnsi="Times New Roman" w:cs="Times New Roman"/>
        </w:rPr>
        <w:t xml:space="preserve">for Government, </w:t>
      </w:r>
      <w:r>
        <w:fldChar w:fldCharType="begin"/>
      </w:r>
      <w:r>
        <w:instrText xml:space="preserve"> HYPERLINK "http://www.instituteforgovernment.org.uk" </w:instrText>
      </w:r>
      <w:r>
        <w:fldChar w:fldCharType="separate"/>
      </w:r>
      <w:r>
        <w:rPr>
          <w:rStyle w:val="27"/>
          <w:rFonts w:ascii="Times New Roman" w:hAnsi="Times New Roman" w:cs="Times New Roman"/>
        </w:rPr>
        <w:t>www.instituteforgovernment.org.uk</w:t>
      </w:r>
      <w:r>
        <w:rPr>
          <w:rStyle w:val="27"/>
          <w:rFonts w:ascii="Times New Roman" w:hAnsi="Times New Roman" w:cs="Times New Roman"/>
        </w:rPr>
        <w:fldChar w:fldCharType="end"/>
      </w:r>
      <w:r>
        <w:rPr>
          <w:rFonts w:ascii="Times New Roman" w:hAnsi="Times New Roman" w:cs="Times New Roman"/>
        </w:rPr>
        <w:t xml:space="preserve"> .</w:t>
      </w:r>
    </w:p>
  </w:footnote>
  <w:footnote w:id="462">
    <w:p w14:paraId="7D829F1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 Guide to UK Taxation, May 2019, since 2010, the Government has undertaken a comprehensive review</w:t>
      </w:r>
    </w:p>
    <w:p w14:paraId="171EEA96">
      <w:pPr>
        <w:pStyle w:val="24"/>
        <w:ind w:left="720"/>
        <w:jc w:val="both"/>
        <w:rPr>
          <w:rFonts w:ascii="Times New Roman" w:hAnsi="Times New Roman" w:cs="Times New Roman"/>
        </w:rPr>
      </w:pPr>
      <w:r>
        <w:rPr>
          <w:rFonts w:ascii="Times New Roman" w:hAnsi="Times New Roman" w:cs="Times New Roman"/>
        </w:rPr>
        <w:t>of the UK tax system, consulting with business on the direction and design of reforms. UK Tax policy has been made simpler, more transparent, and therefore better suited to a globalized trading world and to modern business practice.</w:t>
      </w:r>
    </w:p>
  </w:footnote>
  <w:footnote w:id="463">
    <w:p w14:paraId="181A483F">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United Kingdom, HM Treasury and HM Revenue &amp; Customs, </w:t>
      </w:r>
      <w:r>
        <w:rPr>
          <w:rFonts w:ascii="Times New Roman" w:hAnsi="Times New Roman" w:cs="Times New Roman"/>
          <w:i/>
          <w:iCs/>
        </w:rPr>
        <w:t>Tax Policy Making: A New Approach</w:t>
      </w:r>
    </w:p>
    <w:p w14:paraId="435264DD">
      <w:pPr>
        <w:pStyle w:val="24"/>
        <w:ind w:left="720" w:firstLine="48"/>
        <w:jc w:val="both"/>
        <w:rPr>
          <w:rFonts w:ascii="Times New Roman" w:hAnsi="Times New Roman" w:cs="Times New Roman"/>
        </w:rPr>
      </w:pPr>
      <w:r>
        <w:rPr>
          <w:rFonts w:ascii="Times New Roman" w:hAnsi="Times New Roman" w:cs="Times New Roman"/>
        </w:rPr>
        <w:t xml:space="preserve">(London: HM Treasury, June 2010), together with </w:t>
      </w:r>
      <w:r>
        <w:rPr>
          <w:rFonts w:ascii="Times New Roman" w:hAnsi="Times New Roman" w:cs="Times New Roman"/>
          <w:i/>
          <w:iCs/>
        </w:rPr>
        <w:t xml:space="preserve">The New Approach to Tax Policy Making: A Response to the Consultation </w:t>
      </w:r>
      <w:r>
        <w:rPr>
          <w:rFonts w:ascii="Times New Roman" w:hAnsi="Times New Roman" w:cs="Times New Roman"/>
        </w:rPr>
        <w:t>(London: HM Treasury, December 2010).</w:t>
      </w:r>
    </w:p>
  </w:footnote>
  <w:footnote w:id="464">
    <w:p w14:paraId="1A276D2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John Whiting and Malcolm Gammie, Tax Policy Making in the United Kingdom, The Process of Making </w:t>
      </w:r>
    </w:p>
    <w:p w14:paraId="1CD12B4A">
      <w:pPr>
        <w:pStyle w:val="24"/>
        <w:ind w:left="720"/>
        <w:jc w:val="both"/>
        <w:rPr>
          <w:rFonts w:ascii="Times New Roman" w:hAnsi="Times New Roman" w:cs="Times New Roman"/>
        </w:rPr>
      </w:pPr>
      <w:r>
        <w:rPr>
          <w:rFonts w:ascii="Times New Roman" w:hAnsi="Times New Roman" w:cs="Times New Roman"/>
        </w:rPr>
        <w:t>Tax Policy: An International Comparison - The Proceedings of a Round Table on the Tax Policy Process), p.8.</w:t>
      </w:r>
      <w:bookmarkStart w:id="42" w:name="_Hlk156246967"/>
      <w:r>
        <w:rPr>
          <w:rFonts w:ascii="Times New Roman" w:hAnsi="Times New Roman" w:cs="Times New Roman"/>
        </w:rPr>
        <w:t xml:space="preserve"> Published by the Institute of Fiscal Studies. The authors delve into the intricacies of tax policy development. https://ifs.org.uk/sites/default/files/output_url_files/dp8.pdf</w:t>
      </w:r>
    </w:p>
    <w:bookmarkEnd w:id="42"/>
  </w:footnote>
  <w:footnote w:id="465">
    <w:p w14:paraId="1F7669A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http://www.gov.uk/government/consultations/review-of-the-oil-and-gas-fiscal-regime-a-call-for-evidence.</w:t>
      </w:r>
    </w:p>
  </w:footnote>
  <w:footnote w:id="466">
    <w:p w14:paraId="1CC03F9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Sir Ian Wood’s Report recommended maximising economic recovery and set out the size of the prize, with </w:t>
      </w:r>
    </w:p>
    <w:p w14:paraId="1653D9AC">
      <w:pPr>
        <w:pStyle w:val="24"/>
        <w:ind w:left="720"/>
        <w:jc w:val="both"/>
        <w:rPr>
          <w:rFonts w:ascii="Times New Roman" w:hAnsi="Times New Roman" w:cs="Times New Roman"/>
        </w:rPr>
      </w:pPr>
      <w:r>
        <w:rPr>
          <w:rFonts w:ascii="Times New Roman" w:hAnsi="Times New Roman" w:cs="Times New Roman"/>
        </w:rPr>
        <w:t xml:space="preserve">around a quarter of the UK’s offshore oil and gas still to be exploited. That is why at Budget 2014 the Chancellor announced a review of the oil and gas fiscal regime to ensure it is consistent with the principles of Sir Ian’s report and to enable the UK Continental Shelf (UKCS) to compete in the global race for investment. The government’s response sets out the conclusions of that review: a radical plan to reward investment in the UKCS at all stages of the industry life cycle. It recognises that to maximise investment we need to reduce the overall tax burden facing the industry and sets out long-term principles for the future that we believe the government and industry can both buy into as well as specific actions to </w:t>
      </w:r>
      <w:bookmarkStart w:id="43" w:name="_Hlk125217849"/>
      <w:r>
        <w:rPr>
          <w:rFonts w:ascii="Times New Roman" w:hAnsi="Times New Roman" w:cs="Times New Roman"/>
        </w:rPr>
        <w:t xml:space="preserve">ensure a more competitive, simple, and predictable fiscal regime. </w:t>
      </w:r>
      <w:bookmarkEnd w:id="43"/>
    </w:p>
  </w:footnote>
  <w:footnote w:id="467">
    <w:p w14:paraId="29D26B3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ring fence prevents taxable profits from oil and gas extraction being reduced by losses from other</w:t>
      </w:r>
    </w:p>
    <w:p w14:paraId="0867B449">
      <w:pPr>
        <w:pStyle w:val="24"/>
        <w:ind w:left="720"/>
        <w:jc w:val="both"/>
        <w:rPr>
          <w:rFonts w:ascii="Times New Roman" w:hAnsi="Times New Roman" w:cs="Times New Roman"/>
        </w:rPr>
      </w:pPr>
      <w:r>
        <w:rPr>
          <w:rFonts w:ascii="Times New Roman" w:hAnsi="Times New Roman" w:cs="Times New Roman"/>
        </w:rPr>
        <w:t>activities or by excessive interest payments. The rates of RFCT differ from those of Corporation Tax. The main rate of RFCT is 30%.</w:t>
      </w:r>
    </w:p>
  </w:footnote>
  <w:footnote w:id="468">
    <w:p w14:paraId="0D7C1AC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Basic UK taxes include income taxes, capital gains tax, UK inheritance tax, and Value Added </w:t>
      </w:r>
    </w:p>
    <w:p w14:paraId="6D1D12D8">
      <w:pPr>
        <w:pStyle w:val="24"/>
        <w:ind w:left="720"/>
        <w:jc w:val="both"/>
        <w:rPr>
          <w:rFonts w:ascii="Times New Roman" w:hAnsi="Times New Roman" w:cs="Times New Roman"/>
        </w:rPr>
      </w:pPr>
      <w:r>
        <w:rPr>
          <w:rFonts w:ascii="Times New Roman" w:hAnsi="Times New Roman" w:cs="Times New Roman"/>
        </w:rPr>
        <w:t>Tax (VAT</w:t>
      </w:r>
      <w:r>
        <w:rPr>
          <w:rFonts w:ascii="Times New Roman" w:hAnsi="Times New Roman" w:cs="Times New Roman"/>
          <w:b/>
          <w:bCs/>
        </w:rPr>
        <w:t>)</w:t>
      </w:r>
      <w:r>
        <w:rPr>
          <w:rFonts w:ascii="Times New Roman" w:hAnsi="Times New Roman" w:cs="Times New Roman"/>
        </w:rPr>
        <w:t>. Many of these are progressive taxes, meaning that those with higher incomes pay a higher rate.</w:t>
      </w:r>
      <w:r>
        <w:rPr>
          <w:rFonts w:ascii="Times New Roman" w:hAnsi="Times New Roman" w:cs="Times New Roman"/>
          <w:b/>
          <w:bCs/>
          <w:color w:val="202124"/>
          <w:sz w:val="21"/>
          <w:szCs w:val="21"/>
          <w:shd w:val="clear" w:color="auto" w:fill="FFFFFF"/>
        </w:rPr>
        <w:t xml:space="preserve"> </w:t>
      </w:r>
      <w:r>
        <w:rPr>
          <w:rFonts w:ascii="Times New Roman" w:hAnsi="Times New Roman" w:cs="Times New Roman"/>
        </w:rPr>
        <w:t>Income tax is charged at graduated rates, with higher rates of income tax applying to higher bands of income. Tax is charged on total income (from all earned and investment sources) less certain deductions and allowances. </w:t>
      </w:r>
    </w:p>
  </w:footnote>
  <w:footnote w:id="469">
    <w:p w14:paraId="70E1987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G20 Leader at the 2016 Summit stated: “We emphasize the effectiveness of tax policy tools in supply- </w:t>
      </w:r>
    </w:p>
    <w:p w14:paraId="19A43999">
      <w:pPr>
        <w:pStyle w:val="24"/>
        <w:ind w:left="720"/>
        <w:jc w:val="both"/>
        <w:rPr>
          <w:rFonts w:ascii="Times New Roman" w:hAnsi="Times New Roman" w:cs="Times New Roman"/>
        </w:rPr>
      </w:pPr>
      <w:r>
        <w:rPr>
          <w:rFonts w:ascii="Times New Roman" w:hAnsi="Times New Roman" w:cs="Times New Roman"/>
        </w:rPr>
        <w:t>side structural reform for promoting the benefits of tax certainty to promote investment and trade and ask the OECD and IMF to continue working on tax certainty”.</w:t>
      </w:r>
      <w:r>
        <w:rPr>
          <w:rFonts w:ascii="Times New Roman" w:hAnsi="Times New Roman" w:eastAsia="Arial Unicode MS" w:cs="Times New Roman"/>
          <w:color w:val="auto"/>
          <w:sz w:val="24"/>
          <w:szCs w:val="24"/>
        </w:rPr>
        <w:t xml:space="preserve"> </w:t>
      </w:r>
      <w:r>
        <w:fldChar w:fldCharType="begin"/>
      </w:r>
      <w:r>
        <w:instrText xml:space="preserve"> HYPERLINK "http://www.g20chn.org/English/Dynamic/201609/t20160906_3396.html" </w:instrText>
      </w:r>
      <w:r>
        <w:fldChar w:fldCharType="separate"/>
      </w:r>
      <w:r>
        <w:rPr>
          <w:rStyle w:val="27"/>
          <w:rFonts w:ascii="Times New Roman" w:hAnsi="Times New Roman" w:cs="Times New Roman"/>
        </w:rPr>
        <w:t>G20 Leaders' Communique Hangzhou Summit - G20 - China 2016</w:t>
      </w:r>
      <w:r>
        <w:rPr>
          <w:rStyle w:val="27"/>
          <w:rFonts w:ascii="Times New Roman" w:hAnsi="Times New Roman" w:cs="Times New Roman"/>
        </w:rPr>
        <w:fldChar w:fldCharType="end"/>
      </w:r>
    </w:p>
  </w:footnote>
  <w:footnote w:id="470">
    <w:p w14:paraId="32706FB8">
      <w:pPr>
        <w:pStyle w:val="24"/>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 </w:t>
      </w:r>
    </w:p>
  </w:footnote>
  <w:footnote w:id="471">
    <w:p w14:paraId="1E7ABB5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Eighth report: principles of tax policy, HC 753, (PDF) 15 March 2011 para 84.</w:t>
      </w:r>
    </w:p>
  </w:footnote>
  <w:footnote w:id="472">
    <w:p w14:paraId="6571B5B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absence of a structured tax and fiscal policy design process as is the case in the United Kingdom has </w:t>
      </w:r>
    </w:p>
    <w:p w14:paraId="5656429E">
      <w:pPr>
        <w:pStyle w:val="24"/>
        <w:ind w:left="720"/>
        <w:jc w:val="both"/>
        <w:rPr>
          <w:rFonts w:ascii="Times New Roman" w:hAnsi="Times New Roman" w:cs="Times New Roman"/>
        </w:rPr>
      </w:pPr>
      <w:r>
        <w:rPr>
          <w:rFonts w:ascii="Times New Roman" w:hAnsi="Times New Roman" w:cs="Times New Roman"/>
        </w:rPr>
        <w:t xml:space="preserve">contributed to the lack of fiscal and tax policy reform and sustained petroleum and tax law development and certainty in the Nigeria petroleum industry. </w:t>
      </w:r>
    </w:p>
  </w:footnote>
  <w:footnote w:id="473">
    <w:p w14:paraId="4646864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In the case of Nigeria, these are Federal allocations to States and local government.  </w:t>
      </w:r>
    </w:p>
  </w:footnote>
  <w:footnote w:id="474">
    <w:p w14:paraId="1A996A2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Andy Lymer, Lynne Oats, Taxation Policy and Practice (26</w:t>
      </w:r>
      <w:r>
        <w:rPr>
          <w:rFonts w:ascii="Times New Roman" w:hAnsi="Times New Roman" w:cs="Times New Roman"/>
          <w:vertAlign w:val="superscript"/>
        </w:rPr>
        <w:t>th</w:t>
      </w:r>
      <w:r>
        <w:rPr>
          <w:rFonts w:ascii="Times New Roman" w:hAnsi="Times New Roman" w:cs="Times New Roman"/>
        </w:rPr>
        <w:t xml:space="preserve"> edition 2019/2020). These reviews have been </w:t>
      </w:r>
    </w:p>
    <w:p w14:paraId="0A8AC572">
      <w:pPr>
        <w:pStyle w:val="24"/>
        <w:ind w:left="720"/>
        <w:jc w:val="both"/>
        <w:rPr>
          <w:rFonts w:ascii="Times New Roman" w:hAnsi="Times New Roman" w:cs="Times New Roman"/>
        </w:rPr>
      </w:pPr>
      <w:r>
        <w:rPr>
          <w:rFonts w:ascii="Times New Roman" w:hAnsi="Times New Roman" w:cs="Times New Roman"/>
        </w:rPr>
        <w:t xml:space="preserve">critical in addressing fiscal imbalance in the tax system, unlike the case in Nigeria, where the Presidential review and directive has failed to address the Constitutional origins and basis of the Nigerian fiscal imbalance between the FG and the federating States and local governments. </w:t>
      </w:r>
    </w:p>
  </w:footnote>
  <w:footnote w:id="475">
    <w:p w14:paraId="08C56761">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Budget Review explains the policy considerations underlying the numbers presented in the budget.</w:t>
      </w:r>
    </w:p>
  </w:footnote>
  <w:footnote w:id="476">
    <w:p w14:paraId="181BBA3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OTS was </w:t>
      </w:r>
      <w:r>
        <w:fldChar w:fldCharType="begin"/>
      </w:r>
      <w:r>
        <w:instrText xml:space="preserve"> HYPERLINK "https://www.gov.uk/government/news/office-of-tax-simplification" </w:instrText>
      </w:r>
      <w:r>
        <w:fldChar w:fldCharType="separate"/>
      </w:r>
      <w:r>
        <w:rPr>
          <w:rStyle w:val="27"/>
          <w:rFonts w:ascii="Times New Roman" w:hAnsi="Times New Roman" w:cs="Times New Roman"/>
          <w:u w:val="none"/>
        </w:rPr>
        <w:t>set up on 20 July 2010</w:t>
      </w:r>
      <w:r>
        <w:rPr>
          <w:rStyle w:val="27"/>
          <w:rFonts w:ascii="Times New Roman" w:hAnsi="Times New Roman" w:cs="Times New Roman"/>
          <w:u w:val="none"/>
        </w:rPr>
        <w:fldChar w:fldCharType="end"/>
      </w:r>
      <w:r>
        <w:rPr>
          <w:rFonts w:ascii="Times New Roman" w:hAnsi="Times New Roman" w:cs="Times New Roman"/>
        </w:rPr>
        <w:t xml:space="preserve"> and made a permanent independent Office of HM Treasury on 21 July </w:t>
      </w:r>
    </w:p>
    <w:p w14:paraId="7AC3E935">
      <w:pPr>
        <w:pStyle w:val="24"/>
        <w:ind w:left="720"/>
        <w:jc w:val="both"/>
        <w:rPr>
          <w:rFonts w:ascii="Times New Roman" w:hAnsi="Times New Roman" w:cs="Times New Roman"/>
        </w:rPr>
      </w:pPr>
      <w:r>
        <w:rPr>
          <w:rFonts w:ascii="Times New Roman" w:hAnsi="Times New Roman" w:cs="Times New Roman"/>
        </w:rPr>
        <w:t>2015. It was then placed on a </w:t>
      </w:r>
      <w:r>
        <w:fldChar w:fldCharType="begin"/>
      </w:r>
      <w:r>
        <w:instrText xml:space="preserve"> HYPERLINK "https://www.gov.uk/government/news/ots-legislation" </w:instrText>
      </w:r>
      <w:r>
        <w:fldChar w:fldCharType="separate"/>
      </w:r>
      <w:r>
        <w:rPr>
          <w:rStyle w:val="27"/>
          <w:rFonts w:ascii="Times New Roman" w:hAnsi="Times New Roman" w:cs="Times New Roman"/>
          <w:u w:val="none"/>
        </w:rPr>
        <w:t>statutory basis</w:t>
      </w:r>
      <w:r>
        <w:rPr>
          <w:rStyle w:val="27"/>
          <w:rFonts w:ascii="Times New Roman" w:hAnsi="Times New Roman" w:cs="Times New Roman"/>
          <w:u w:val="none"/>
        </w:rPr>
        <w:fldChar w:fldCharType="end"/>
      </w:r>
      <w:r>
        <w:rPr>
          <w:rFonts w:ascii="Times New Roman" w:hAnsi="Times New Roman" w:cs="Times New Roman"/>
        </w:rPr>
        <w:t> in sections 184 to 189 of, and Schedule 25 to, Finance Act 2016, which </w:t>
      </w:r>
      <w:r>
        <w:fldChar w:fldCharType="begin"/>
      </w:r>
      <w:r>
        <w:instrText xml:space="preserve"> HYPERLINK "https://www.gov.uk/government/news/ots-legislation-goes-live" </w:instrText>
      </w:r>
      <w:r>
        <w:fldChar w:fldCharType="separate"/>
      </w:r>
      <w:r>
        <w:rPr>
          <w:rStyle w:val="27"/>
          <w:rFonts w:ascii="Times New Roman" w:hAnsi="Times New Roman" w:cs="Times New Roman"/>
          <w:u w:val="none"/>
        </w:rPr>
        <w:t>came into effect</w:t>
      </w:r>
      <w:r>
        <w:rPr>
          <w:rStyle w:val="27"/>
          <w:rFonts w:ascii="Times New Roman" w:hAnsi="Times New Roman" w:cs="Times New Roman"/>
          <w:u w:val="none"/>
        </w:rPr>
        <w:fldChar w:fldCharType="end"/>
      </w:r>
      <w:r>
        <w:rPr>
          <w:rFonts w:ascii="Times New Roman" w:hAnsi="Times New Roman" w:cs="Times New Roman"/>
        </w:rPr>
        <w:t xml:space="preserve"> as from 28 November 2016 by virtue of Statutory Instrument 2016/113. The OTS has now been abolished. It had a board led by an independent Chair and Tax Director, and had up to eight further members, supported by a team drawn from the civil service and the private sector. </w:t>
      </w:r>
    </w:p>
  </w:footnote>
  <w:footnote w:id="477">
    <w:p w14:paraId="48D6818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Office for Budget Responsibility (OBR) is a </w:t>
      </w:r>
      <w:r>
        <w:fldChar w:fldCharType="begin"/>
      </w:r>
      <w:r>
        <w:instrText xml:space="preserve"> HYPERLINK "https://en.wikipedia.org/wiki/Non-departmental_public_body" \o "Non-departmental public body" </w:instrText>
      </w:r>
      <w:r>
        <w:fldChar w:fldCharType="separate"/>
      </w:r>
      <w:r>
        <w:rPr>
          <w:rStyle w:val="27"/>
          <w:rFonts w:ascii="Times New Roman" w:hAnsi="Times New Roman" w:cs="Times New Roman"/>
          <w:u w:val="none"/>
        </w:rPr>
        <w:t>non-departmental public body</w:t>
      </w:r>
      <w:r>
        <w:rPr>
          <w:rStyle w:val="27"/>
          <w:rFonts w:ascii="Times New Roman" w:hAnsi="Times New Roman" w:cs="Times New Roman"/>
          <w:u w:val="none"/>
        </w:rPr>
        <w:fldChar w:fldCharType="end"/>
      </w:r>
      <w:r>
        <w:rPr>
          <w:rFonts w:ascii="Times New Roman" w:hAnsi="Times New Roman" w:cs="Times New Roman"/>
        </w:rPr>
        <w:t> funded by the </w:t>
      </w:r>
      <w:r>
        <w:fldChar w:fldCharType="begin"/>
      </w:r>
      <w:r>
        <w:instrText xml:space="preserve"> HYPERLINK "https://en.wikipedia.org/wiki/UK_Treasury" \o "UK Treasury" </w:instrText>
      </w:r>
      <w:r>
        <w:fldChar w:fldCharType="separate"/>
      </w:r>
      <w:r>
        <w:rPr>
          <w:rStyle w:val="27"/>
          <w:rFonts w:ascii="Times New Roman" w:hAnsi="Times New Roman" w:cs="Times New Roman"/>
          <w:u w:val="none"/>
        </w:rPr>
        <w:t>UK Treasury</w:t>
      </w:r>
      <w:r>
        <w:rPr>
          <w:rStyle w:val="27"/>
          <w:rFonts w:ascii="Times New Roman" w:hAnsi="Times New Roman" w:cs="Times New Roman"/>
          <w:u w:val="none"/>
        </w:rPr>
        <w:fldChar w:fldCharType="end"/>
      </w:r>
      <w:r>
        <w:rPr>
          <w:rFonts w:ascii="Times New Roman" w:hAnsi="Times New Roman" w:cs="Times New Roman"/>
        </w:rPr>
        <w:t xml:space="preserve">, </w:t>
      </w:r>
    </w:p>
    <w:p w14:paraId="6834DC41">
      <w:pPr>
        <w:pStyle w:val="24"/>
        <w:ind w:left="720"/>
        <w:jc w:val="both"/>
        <w:rPr>
          <w:rFonts w:ascii="Times New Roman" w:hAnsi="Times New Roman" w:cs="Times New Roman"/>
        </w:rPr>
      </w:pPr>
      <w:r>
        <w:rPr>
          <w:rFonts w:ascii="Times New Roman" w:hAnsi="Times New Roman" w:cs="Times New Roman"/>
        </w:rPr>
        <w:t>that the UK government established to provide independent </w:t>
      </w:r>
      <w:r>
        <w:fldChar w:fldCharType="begin"/>
      </w:r>
      <w:r>
        <w:instrText xml:space="preserve"> HYPERLINK "https://en.wikipedia.org/wiki/Economic_forecast" \o "Economic forecast" </w:instrText>
      </w:r>
      <w:r>
        <w:fldChar w:fldCharType="separate"/>
      </w:r>
      <w:r>
        <w:rPr>
          <w:rStyle w:val="27"/>
          <w:rFonts w:ascii="Times New Roman" w:hAnsi="Times New Roman" w:cs="Times New Roman"/>
          <w:u w:val="none"/>
        </w:rPr>
        <w:t>economic forecasts</w:t>
      </w:r>
      <w:r>
        <w:rPr>
          <w:rStyle w:val="27"/>
          <w:rFonts w:ascii="Times New Roman" w:hAnsi="Times New Roman" w:cs="Times New Roman"/>
          <w:u w:val="none"/>
        </w:rPr>
        <w:fldChar w:fldCharType="end"/>
      </w:r>
      <w:r>
        <w:rPr>
          <w:rFonts w:ascii="Times New Roman" w:hAnsi="Times New Roman" w:cs="Times New Roman"/>
        </w:rPr>
        <w:t> and independent analysis of the public finances. It was formally created in May 2010 following the </w:t>
      </w:r>
      <w:r>
        <w:fldChar w:fldCharType="begin"/>
      </w:r>
      <w:r>
        <w:instrText xml:space="preserve"> HYPERLINK "https://en.wikipedia.org/wiki/2010_United_Kingdom_general_election" \o "2010 United Kingdom general election" </w:instrText>
      </w:r>
      <w:r>
        <w:fldChar w:fldCharType="separate"/>
      </w:r>
      <w:r>
        <w:rPr>
          <w:rStyle w:val="27"/>
          <w:rFonts w:ascii="Times New Roman" w:hAnsi="Times New Roman" w:cs="Times New Roman"/>
          <w:u w:val="none"/>
        </w:rPr>
        <w:t>general election</w:t>
      </w:r>
      <w:r>
        <w:rPr>
          <w:rStyle w:val="27"/>
          <w:rFonts w:ascii="Times New Roman" w:hAnsi="Times New Roman" w:cs="Times New Roman"/>
          <w:u w:val="none"/>
        </w:rPr>
        <w:fldChar w:fldCharType="end"/>
      </w:r>
      <w:r>
        <w:rPr>
          <w:rFonts w:ascii="Times New Roman" w:hAnsi="Times New Roman" w:cs="Times New Roman"/>
        </w:rPr>
        <w:t> (although it had previously been constituted in shadow form by the Conservative party opposition in December 2009)</w:t>
      </w:r>
      <w:r>
        <w:rPr>
          <w:rFonts w:ascii="Times New Roman" w:hAnsi="Times New Roman" w:cs="Times New Roman"/>
          <w:vertAlign w:val="superscript"/>
        </w:rPr>
        <w:t xml:space="preserve"> </w:t>
      </w:r>
      <w:r>
        <w:rPr>
          <w:rFonts w:ascii="Times New Roman" w:hAnsi="Times New Roman" w:cs="Times New Roman"/>
        </w:rPr>
        <w:t>and was placed on a statutory footing by the </w:t>
      </w:r>
      <w:r>
        <w:fldChar w:fldCharType="begin"/>
      </w:r>
      <w:r>
        <w:instrText xml:space="preserve"> HYPERLINK "https://en.wikipedia.org/wiki/Budget_Responsibility_and_National_Audit_Act_2011" \o "Budget Responsibility and National Audit Act 2011" </w:instrText>
      </w:r>
      <w:r>
        <w:fldChar w:fldCharType="separate"/>
      </w:r>
      <w:r>
        <w:rPr>
          <w:rStyle w:val="27"/>
          <w:rFonts w:ascii="Times New Roman" w:hAnsi="Times New Roman" w:cs="Times New Roman"/>
          <w:u w:val="none"/>
        </w:rPr>
        <w:t>Budget Responsibility and National Audit Act 2011</w:t>
      </w:r>
      <w:r>
        <w:rPr>
          <w:rStyle w:val="27"/>
          <w:rFonts w:ascii="Times New Roman" w:hAnsi="Times New Roman" w:cs="Times New Roman"/>
          <w:u w:val="none"/>
        </w:rPr>
        <w:fldChar w:fldCharType="end"/>
      </w:r>
      <w:r>
        <w:rPr>
          <w:rFonts w:ascii="Times New Roman" w:hAnsi="Times New Roman" w:cs="Times New Roman"/>
        </w:rPr>
        <w:t>. It is one of a growing number of official independent </w:t>
      </w:r>
      <w:r>
        <w:fldChar w:fldCharType="begin"/>
      </w:r>
      <w:r>
        <w:instrText xml:space="preserve"> HYPERLINK "https://en.wikipedia.org/wiki/Fiscal_council" \o "Fiscal council" </w:instrText>
      </w:r>
      <w:r>
        <w:fldChar w:fldCharType="separate"/>
      </w:r>
      <w:r>
        <w:rPr>
          <w:rStyle w:val="27"/>
          <w:rFonts w:ascii="Times New Roman" w:hAnsi="Times New Roman" w:cs="Times New Roman"/>
          <w:u w:val="none"/>
        </w:rPr>
        <w:t>fiscal watchdogs</w:t>
      </w:r>
      <w:r>
        <w:rPr>
          <w:rStyle w:val="27"/>
          <w:rFonts w:ascii="Times New Roman" w:hAnsi="Times New Roman" w:cs="Times New Roman"/>
          <w:u w:val="none"/>
        </w:rPr>
        <w:fldChar w:fldCharType="end"/>
      </w:r>
      <w:r>
        <w:rPr>
          <w:rFonts w:ascii="Times New Roman" w:hAnsi="Times New Roman" w:cs="Times New Roman"/>
        </w:rPr>
        <w:t> around the world.</w:t>
      </w:r>
      <w:r>
        <w:rPr>
          <w:rFonts w:ascii="Times New Roman" w:hAnsi="Times New Roman" w:cs="Times New Roman"/>
        </w:rPr>
        <w:tab/>
      </w:r>
    </w:p>
  </w:footnote>
  <w:footnote w:id="478">
    <w:p w14:paraId="4EF2A83E">
      <w:pPr>
        <w:pStyle w:val="24"/>
        <w:jc w:val="both"/>
        <w:rPr>
          <w:rFonts w:ascii="Times New Roman" w:hAnsi="Times New Roman" w:cs="Times New Roman"/>
          <w:b/>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 The 2011 United Kingdom budget, officially called 2011 Budget – A strong and stable economy, growth,</w:t>
      </w:r>
      <w:r>
        <w:rPr>
          <w:rFonts w:ascii="Times New Roman" w:hAnsi="Times New Roman" w:cs="Times New Roman"/>
          <w:b/>
          <w:bCs/>
        </w:rPr>
        <w:t xml:space="preserve"> </w:t>
      </w:r>
    </w:p>
    <w:p w14:paraId="4E2D2B50">
      <w:pPr>
        <w:pStyle w:val="24"/>
        <w:ind w:left="720"/>
        <w:jc w:val="both"/>
        <w:rPr>
          <w:rFonts w:ascii="Times New Roman" w:hAnsi="Times New Roman" w:cs="Times New Roman"/>
        </w:rPr>
      </w:pPr>
      <w:r>
        <w:rPr>
          <w:rFonts w:ascii="Times New Roman" w:hAnsi="Times New Roman" w:cs="Times New Roman"/>
        </w:rPr>
        <w:t>and fairness, was delivered by </w:t>
      </w:r>
      <w:r>
        <w:fldChar w:fldCharType="begin"/>
      </w:r>
      <w:r>
        <w:instrText xml:space="preserve"> HYPERLINK "https://en.wikipedia.org/wiki/George_Osborne" \o "George Osborne" </w:instrText>
      </w:r>
      <w:r>
        <w:fldChar w:fldCharType="separate"/>
      </w:r>
      <w:r>
        <w:rPr>
          <w:rStyle w:val="27"/>
          <w:rFonts w:ascii="Times New Roman" w:hAnsi="Times New Roman" w:cs="Times New Roman"/>
          <w:u w:val="none"/>
        </w:rPr>
        <w:t>George Osborne</w:t>
      </w:r>
      <w:r>
        <w:rPr>
          <w:rStyle w:val="27"/>
          <w:rFonts w:ascii="Times New Roman" w:hAnsi="Times New Roman" w:cs="Times New Roman"/>
          <w:u w:val="none"/>
        </w:rPr>
        <w:fldChar w:fldCharType="end"/>
      </w:r>
      <w:r>
        <w:rPr>
          <w:rFonts w:ascii="Times New Roman" w:hAnsi="Times New Roman" w:cs="Times New Roman"/>
        </w:rPr>
        <w:t>, the </w:t>
      </w:r>
      <w:r>
        <w:fldChar w:fldCharType="begin"/>
      </w:r>
      <w:r>
        <w:instrText xml:space="preserve"> HYPERLINK "https://en.wikipedia.org/wiki/Chancellor_of_the_Exchequer" \o "Chancellor of the Exchequer" </w:instrText>
      </w:r>
      <w:r>
        <w:fldChar w:fldCharType="separate"/>
      </w:r>
      <w:r>
        <w:rPr>
          <w:rStyle w:val="27"/>
          <w:rFonts w:ascii="Times New Roman" w:hAnsi="Times New Roman" w:cs="Times New Roman"/>
          <w:u w:val="none"/>
        </w:rPr>
        <w:t>Chancellor of the Exchequer</w:t>
      </w:r>
      <w:r>
        <w:rPr>
          <w:rStyle w:val="27"/>
          <w:rFonts w:ascii="Times New Roman" w:hAnsi="Times New Roman" w:cs="Times New Roman"/>
          <w:u w:val="none"/>
        </w:rPr>
        <w:fldChar w:fldCharType="end"/>
      </w:r>
      <w:r>
        <w:rPr>
          <w:rFonts w:ascii="Times New Roman" w:hAnsi="Times New Roman" w:cs="Times New Roman"/>
        </w:rPr>
        <w:t>, to the </w:t>
      </w:r>
      <w:r>
        <w:fldChar w:fldCharType="begin"/>
      </w:r>
      <w:r>
        <w:instrText xml:space="preserve"> HYPERLINK "https://en.wikipedia.org/wiki/House_of_Commons_of_the_United_Kingdom" \o "House of Commons of the United Kingdom" </w:instrText>
      </w:r>
      <w:r>
        <w:fldChar w:fldCharType="separate"/>
      </w:r>
      <w:r>
        <w:rPr>
          <w:rStyle w:val="27"/>
          <w:rFonts w:ascii="Times New Roman" w:hAnsi="Times New Roman" w:cs="Times New Roman"/>
          <w:u w:val="none"/>
        </w:rPr>
        <w:t>House of Commons</w:t>
      </w:r>
      <w:r>
        <w:rPr>
          <w:rStyle w:val="27"/>
          <w:rFonts w:ascii="Times New Roman" w:hAnsi="Times New Roman" w:cs="Times New Roman"/>
          <w:u w:val="none"/>
        </w:rPr>
        <w:fldChar w:fldCharType="end"/>
      </w:r>
      <w:r>
        <w:rPr>
          <w:rFonts w:ascii="Times New Roman" w:hAnsi="Times New Roman" w:cs="Times New Roman"/>
        </w:rPr>
        <w:t> on 23 March 2011.</w:t>
      </w:r>
    </w:p>
  </w:footnote>
  <w:footnote w:id="479">
    <w:p w14:paraId="35E37F4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Institute for Fiscal Studies, in its 2011 Green Budget was generally supportive of these developments,</w:t>
      </w:r>
    </w:p>
    <w:p w14:paraId="7396406C">
      <w:pPr>
        <w:pStyle w:val="24"/>
        <w:ind w:left="720" w:firstLine="48"/>
        <w:jc w:val="both"/>
        <w:rPr>
          <w:rFonts w:ascii="Times New Roman" w:hAnsi="Times New Roman" w:cs="Times New Roman"/>
        </w:rPr>
      </w:pPr>
      <w:r>
        <w:rPr>
          <w:rFonts w:ascii="Times New Roman" w:hAnsi="Times New Roman" w:cs="Times New Roman"/>
        </w:rPr>
        <w:t>but also noted that tax policy is subject to less scrutiny in Parliament than other areas of public policy and that the split of policy making responsibility between HM Treasury and HMRC is not ideal.</w:t>
      </w:r>
    </w:p>
  </w:footnote>
  <w:footnote w:id="480">
    <w:p w14:paraId="66325E9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petroleum fiscal regime of a country is a set of laws, regulations and agreements which governs the</w:t>
      </w:r>
    </w:p>
    <w:p w14:paraId="35632A9C">
      <w:pPr>
        <w:pStyle w:val="24"/>
        <w:ind w:left="720" w:firstLine="48"/>
        <w:jc w:val="both"/>
        <w:rPr>
          <w:rFonts w:ascii="Times New Roman" w:hAnsi="Times New Roman" w:cs="Times New Roman"/>
        </w:rPr>
      </w:pPr>
      <w:r>
        <w:rPr>
          <w:rFonts w:ascii="Times New Roman" w:hAnsi="Times New Roman" w:cs="Times New Roman"/>
        </w:rPr>
        <w:t>economic benefits derived from petroleum exploration and production. The regime regulates transactions between the political entity and the legal entities involved. A commercial or legal entity in this context is commonly an oil company, and two or more companies may establish partnerships to share economic risks and investment capital as is the case in Nigeria and many resource rich and finance and technology deficient countries.</w:t>
      </w:r>
    </w:p>
  </w:footnote>
  <w:footnote w:id="481">
    <w:p w14:paraId="38666A2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This has informed the recommendation for a comprehensive reform of the Nigerian Petroleum Industry, </w:t>
      </w:r>
    </w:p>
    <w:p w14:paraId="4C033EF2">
      <w:pPr>
        <w:pStyle w:val="24"/>
        <w:ind w:firstLine="720"/>
        <w:jc w:val="both"/>
        <w:rPr>
          <w:rFonts w:ascii="Times New Roman" w:hAnsi="Times New Roman" w:cs="Times New Roman"/>
        </w:rPr>
      </w:pPr>
      <w:r>
        <w:rPr>
          <w:rFonts w:ascii="Times New Roman" w:hAnsi="Times New Roman" w:cs="Times New Roman"/>
        </w:rPr>
        <w:t>which resulted in the Nigeria Petroleum Industry Bill (NPIB), 2008.</w:t>
      </w:r>
    </w:p>
  </w:footnote>
  <w:footnote w:id="482">
    <w:p w14:paraId="3392AF8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From inception in the early 1960’s, to the year 2010, and beyond, the UK petroleum fiscal and tax regime </w:t>
      </w:r>
    </w:p>
    <w:p w14:paraId="1D64407C">
      <w:pPr>
        <w:pStyle w:val="24"/>
        <w:ind w:left="720"/>
        <w:jc w:val="both"/>
        <w:rPr>
          <w:rFonts w:ascii="Times New Roman" w:hAnsi="Times New Roman" w:cs="Times New Roman"/>
          <w:bCs/>
        </w:rPr>
      </w:pPr>
      <w:r>
        <w:rPr>
          <w:rFonts w:ascii="Times New Roman" w:hAnsi="Times New Roman" w:cs="Times New Roman"/>
        </w:rPr>
        <w:t>witnessed significant developments. The noticeable phases of the development may be divided into the periods: up to 1964, from 1964 to 1974, from 1975 to 1982, from 1983 to 1992, from 1993 to 2001, 2002 to 2010 and to date.</w:t>
      </w:r>
      <w:r>
        <w:rPr>
          <w:rFonts w:ascii="Times New Roman" w:hAnsi="Times New Roman" w:cs="Times New Roman"/>
          <w:bCs/>
        </w:rPr>
        <w:t xml:space="preserve"> In 1964, the UK Government approved the international legal framework regarding the division of the sub-seabed resources, and thereafter significant tax changes were witnessed in the periods.</w:t>
      </w:r>
      <w:r>
        <w:rPr>
          <w:rFonts w:ascii="Times New Roman" w:hAnsi="Times New Roman" w:cs="Times New Roman"/>
        </w:rPr>
        <w:t xml:space="preserve"> </w:t>
      </w:r>
    </w:p>
  </w:footnote>
  <w:footnote w:id="483">
    <w:p w14:paraId="2A0A8D3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UK fiscal regime is different from Nigeria’s petroleum fiscal system, in that Nigeria operates a </w:t>
      </w:r>
    </w:p>
    <w:p w14:paraId="71D96634">
      <w:pPr>
        <w:pStyle w:val="24"/>
        <w:ind w:left="720"/>
        <w:jc w:val="both"/>
        <w:rPr>
          <w:rFonts w:ascii="Times New Roman" w:hAnsi="Times New Roman" w:cs="Times New Roman"/>
        </w:rPr>
      </w:pPr>
      <w:r>
        <w:rPr>
          <w:rFonts w:ascii="Times New Roman" w:hAnsi="Times New Roman" w:cs="Times New Roman"/>
        </w:rPr>
        <w:t>combination of the concession and PSC regimes, alongside the risk service arrangements, whilst the UK fiscal regime consists of concessions and agreements which apply to companies engaged in petroleum extraction in the UK continental shelf.</w:t>
      </w:r>
    </w:p>
  </w:footnote>
  <w:footnote w:id="484">
    <w:p w14:paraId="3C32BB32">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Recent developments show that this is changing as discussed in chapter 5 of the thesis.</w:t>
      </w:r>
    </w:p>
  </w:footnote>
  <w:footnote w:id="485">
    <w:p w14:paraId="014452F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Api.parliament.uk-The Report drew attention to the contribution of the United Kingdom industry to </w:t>
      </w:r>
    </w:p>
    <w:p w14:paraId="3530AE58">
      <w:pPr>
        <w:pStyle w:val="24"/>
        <w:ind w:left="720"/>
        <w:jc w:val="both"/>
        <w:rPr>
          <w:rFonts w:ascii="Times New Roman" w:hAnsi="Times New Roman" w:cs="Times New Roman"/>
        </w:rPr>
      </w:pPr>
      <w:r>
        <w:rPr>
          <w:rFonts w:ascii="Times New Roman" w:hAnsi="Times New Roman" w:cs="Times New Roman"/>
        </w:rPr>
        <w:t xml:space="preserve">meeting the requirements of companies operating on the United Kingdom continental Shelf, and the concern at the governments’ failure to adequately respond to the international management and engineering groups report or to appreciate the environmental impact of the North Sea oil; and requests the publication of a White Paper on all aspects of the subject. </w:t>
      </w:r>
    </w:p>
  </w:footnote>
  <w:footnote w:id="486">
    <w:p w14:paraId="279D382B">
      <w:pPr>
        <w:pStyle w:val="24"/>
        <w:jc w:val="both"/>
        <w:rPr>
          <w:rFonts w:ascii="Times New Roman" w:hAnsi="Times New Roman" w:cs="Times New Roman"/>
          <w:b/>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HRMC Oil Taxation Manual -</w:t>
      </w:r>
      <w:r>
        <w:rPr>
          <w:rFonts w:ascii="Times New Roman" w:hAnsi="Times New Roman" w:eastAsia="Times New Roman" w:cs="Times New Roman"/>
          <w:b/>
          <w:bCs/>
          <w:color w:val="0B0C0C"/>
          <w:kern w:val="36"/>
          <w:sz w:val="48"/>
          <w:szCs w:val="48"/>
          <w:lang w:eastAsia="en-GB"/>
        </w:rPr>
        <w:t xml:space="preserve"> </w:t>
      </w:r>
      <w:r>
        <w:rPr>
          <w:rFonts w:ascii="Times New Roman" w:hAnsi="Times New Roman" w:cs="Times New Roman"/>
        </w:rPr>
        <w:t>OT00150 - The taxation of the UK oil industry: an overview: Oil Taxation</w:t>
      </w:r>
      <w:r>
        <w:rPr>
          <w:rFonts w:ascii="Times New Roman" w:hAnsi="Times New Roman" w:cs="Times New Roman"/>
          <w:b/>
          <w:bCs/>
        </w:rPr>
        <w:t xml:space="preserve"> </w:t>
      </w:r>
    </w:p>
    <w:p w14:paraId="55809290">
      <w:pPr>
        <w:pStyle w:val="24"/>
        <w:ind w:firstLine="720"/>
        <w:jc w:val="both"/>
      </w:pPr>
      <w:r>
        <w:rPr>
          <w:rFonts w:ascii="Times New Roman" w:hAnsi="Times New Roman" w:cs="Times New Roman"/>
        </w:rPr>
        <w:t>Act 1975.</w:t>
      </w:r>
    </w:p>
  </w:footnote>
  <w:footnote w:id="487">
    <w:p w14:paraId="408384B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Hansard, parliament.uk, Vol 876.  This White Paper contains the Government’s proposals for achieving the </w:t>
      </w:r>
    </w:p>
    <w:p w14:paraId="1086BC38">
      <w:pPr>
        <w:pStyle w:val="24"/>
        <w:ind w:left="720"/>
        <w:jc w:val="both"/>
      </w:pPr>
      <w:r>
        <w:rPr>
          <w:rFonts w:ascii="Times New Roman" w:hAnsi="Times New Roman" w:cs="Times New Roman"/>
        </w:rPr>
        <w:t>oil and gas policy objectives of full UK ownership of the resources, maximum benefits of exploiting the resources is conferred on the community, and particularly Scotland and the regions, as well as propose additional taxes, and with respect to licences, grant majority participation to the State, invite the companies to enter into discussions with government about majority State participation in existing licences for commercial fields, and the setting up of a British national oil corporation etc.</w:t>
      </w:r>
    </w:p>
  </w:footnote>
  <w:footnote w:id="488">
    <w:p w14:paraId="094429F3">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By the mid-1980s there were over one hundred installations. Through extraordinary technological </w:t>
      </w:r>
    </w:p>
    <w:p w14:paraId="170A07A0">
      <w:pPr>
        <w:pStyle w:val="24"/>
        <w:ind w:firstLine="720"/>
        <w:jc w:val="both"/>
        <w:rPr>
          <w:rFonts w:ascii="Times New Roman" w:hAnsi="Times New Roman" w:cs="Times New Roman"/>
          <w:bCs/>
        </w:rPr>
      </w:pPr>
      <w:r>
        <w:rPr>
          <w:rFonts w:ascii="Times New Roman" w:hAnsi="Times New Roman" w:cs="Times New Roman"/>
          <w:bCs/>
        </w:rPr>
        <w:t>innovation and human effort and sacrifice, millions of barrels were being produced every day. For the oil</w:t>
      </w:r>
    </w:p>
    <w:p w14:paraId="76D34F60">
      <w:pPr>
        <w:pStyle w:val="24"/>
        <w:ind w:left="720" w:firstLine="48"/>
        <w:jc w:val="both"/>
        <w:rPr>
          <w:rFonts w:ascii="Times New Roman" w:hAnsi="Times New Roman" w:cs="Times New Roman"/>
        </w:rPr>
      </w:pPr>
      <w:r>
        <w:rPr>
          <w:rFonts w:ascii="Times New Roman" w:hAnsi="Times New Roman" w:cs="Times New Roman"/>
          <w:bCs/>
        </w:rPr>
        <w:t>and gas producers, there were great profits to be made. British self-sufficiency in oil and gas, hitherto an impossible dream, was becoming a possibility. Indeed, as exploration and investment moved further North, it became clear that there was oil to be found in great quantities. A brief history of the UK North sea oil and gas industry &lt; https://www.abdn.ac.uk&gt;</w:t>
      </w:r>
    </w:p>
  </w:footnote>
  <w:footnote w:id="489">
    <w:p w14:paraId="2399164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Budget 2014, HC 1104, March 2014 para 1.114.</w:t>
      </w:r>
    </w:p>
  </w:footnote>
  <w:footnote w:id="490">
    <w:p w14:paraId="42F96EB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HM Treasury, Review of the oil and gas fiscal regime: call for evidence, (PDF) July 2014 p 6. P12-14.</w:t>
      </w:r>
    </w:p>
  </w:footnote>
  <w:footnote w:id="491">
    <w:p w14:paraId="7618A3F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This is the tax the government imposes on fuel each year, which generates tens of billions for the Treasury.</w:t>
      </w:r>
    </w:p>
    <w:p w14:paraId="2A580E62">
      <w:pPr>
        <w:pStyle w:val="24"/>
        <w:ind w:left="720"/>
        <w:jc w:val="both"/>
        <w:rPr>
          <w:rFonts w:ascii="Times New Roman" w:hAnsi="Times New Roman" w:cs="Times New Roman"/>
        </w:rPr>
      </w:pPr>
      <w:r>
        <w:rPr>
          <w:rFonts w:ascii="Times New Roman" w:hAnsi="Times New Roman" w:cs="Times New Roman"/>
        </w:rPr>
        <w:t>Roughly 60% of the price we pay at the pumps is tax, or 59p in duty on unleaded, plus 20% VAT taking it to 73p. Fuel duty has been raised above the rate of inflation over the past 20 years by successive governments via the fuel duty escalator.</w:t>
      </w:r>
    </w:p>
  </w:footnote>
  <w:footnote w:id="492">
    <w:p w14:paraId="0F2C879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HM Treasury press notice, Radical reforms for oil and gas industry, 4 December 2014. See also, “Analysis: </w:t>
      </w:r>
    </w:p>
    <w:p w14:paraId="3A5B6CD9">
      <w:pPr>
        <w:pStyle w:val="24"/>
        <w:ind w:firstLine="720"/>
        <w:jc w:val="both"/>
        <w:rPr>
          <w:rFonts w:ascii="Times New Roman" w:hAnsi="Times New Roman" w:cs="Times New Roman"/>
        </w:rPr>
      </w:pPr>
      <w:r>
        <w:rPr>
          <w:rFonts w:ascii="Times New Roman" w:hAnsi="Times New Roman" w:cs="Times New Roman"/>
        </w:rPr>
        <w:t>oil and gas fiscal regime – the plan for reform”, Tax Journal, 12 December 2014.</w:t>
      </w:r>
    </w:p>
  </w:footnote>
  <w:footnote w:id="493">
    <w:p w14:paraId="606BA05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HM Treasury: Driving Investment: a plan to reform the oil and gas fiscal regime, December 2014 pp15-16.</w:t>
      </w:r>
    </w:p>
  </w:footnote>
  <w:footnote w:id="494">
    <w:p w14:paraId="1BF4005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government announced a package of measures on oil and gas taxation to support investment. This </w:t>
      </w:r>
    </w:p>
    <w:p w14:paraId="7ABD699C">
      <w:pPr>
        <w:pStyle w:val="24"/>
        <w:ind w:left="720"/>
        <w:jc w:val="both"/>
        <w:rPr>
          <w:rFonts w:ascii="Times New Roman" w:hAnsi="Times New Roman" w:cs="Times New Roman"/>
        </w:rPr>
      </w:pPr>
      <w:r>
        <w:rPr>
          <w:rFonts w:ascii="Times New Roman" w:hAnsi="Times New Roman" w:cs="Times New Roman"/>
        </w:rPr>
        <w:t xml:space="preserve">package includes the introduction of legislation in 2013 giving the government statutory authority to sign contracts with companies operating in the UK and UK Continental Shelf (UKCS), to provide assurance on the tax relief they will receive when decommissioning assets. These Deeds will provide companies and investors with the certainty they need so they take account of decommissioning liabilities on a post-tax basis. HM Treasury, (2012). Also, see study titled Decommissioning Relief Deeds and their impact on the UK oil and gas industry, by Arleta Osmann, University of Aberdeen. </w:t>
      </w:r>
      <w:r>
        <w:fldChar w:fldCharType="begin"/>
      </w:r>
      <w:r>
        <w:instrText xml:space="preserve"> HYPERLINK "https://www.abdn.ac.uk/business/documents/osmann.pdf" </w:instrText>
      </w:r>
      <w:r>
        <w:fldChar w:fldCharType="separate"/>
      </w:r>
      <w:r>
        <w:rPr>
          <w:rStyle w:val="27"/>
          <w:rFonts w:ascii="Times New Roman" w:hAnsi="Times New Roman" w:cs="Times New Roman"/>
          <w:u w:val="none"/>
        </w:rPr>
        <w:t>abdn.ac.uk/business/documents/osmann.pdf</w:t>
      </w:r>
      <w:r>
        <w:rPr>
          <w:rStyle w:val="27"/>
          <w:rFonts w:ascii="Times New Roman" w:hAnsi="Times New Roman" w:cs="Times New Roman"/>
          <w:u w:val="none"/>
        </w:rPr>
        <w:fldChar w:fldCharType="end"/>
      </w:r>
      <w:r>
        <w:rPr>
          <w:rStyle w:val="27"/>
          <w:rFonts w:ascii="Times New Roman" w:hAnsi="Times New Roman" w:cs="Times New Roman"/>
          <w:u w:val="none"/>
        </w:rPr>
        <w:t xml:space="preserve">. (2013 Finance Act dealing with the problem of uncertainty on tax relief for decommissioning expenditure) </w:t>
      </w:r>
    </w:p>
  </w:footnote>
  <w:footnote w:id="495">
    <w:p w14:paraId="66A8B92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Field allowances were introduced in 2009 to provide an incentive for development of commercially</w:t>
      </w:r>
      <w:r>
        <w:rPr>
          <w:rFonts w:ascii="Times New Roman" w:hAnsi="Times New Roman" w:cs="Times New Roman"/>
          <w:lang w:val="en-GB"/>
        </w:rPr>
        <w:t xml:space="preserve"> </w:t>
      </w:r>
      <w:r>
        <w:rPr>
          <w:rFonts w:ascii="Times New Roman" w:hAnsi="Times New Roman" w:cs="Times New Roman"/>
          <w:lang w:val="en-GB"/>
        </w:rPr>
        <w:tab/>
      </w:r>
      <w:r>
        <w:rPr>
          <w:rFonts w:ascii="Times New Roman" w:hAnsi="Times New Roman" w:cs="Times New Roman"/>
        </w:rPr>
        <w:t>marginal</w:t>
      </w:r>
      <w:r>
        <w:rPr>
          <w:rFonts w:ascii="Times New Roman" w:hAnsi="Times New Roman" w:cs="Times New Roman"/>
          <w:lang w:val="en-GB"/>
        </w:rPr>
        <w:t xml:space="preserve"> </w:t>
      </w:r>
      <w:r>
        <w:rPr>
          <w:rFonts w:ascii="Times New Roman" w:hAnsi="Times New Roman" w:cs="Times New Roman"/>
        </w:rPr>
        <w:t xml:space="preserve">oil and gas fields. The field allowance reduces the amount of adjusted ring fence profits on which </w:t>
      </w:r>
      <w:r>
        <w:rPr>
          <w:rFonts w:ascii="Times New Roman" w:hAnsi="Times New Roman" w:cs="Times New Roman"/>
          <w:lang w:val="en-GB"/>
        </w:rPr>
        <w:tab/>
      </w:r>
      <w:r>
        <w:rPr>
          <w:rFonts w:ascii="Times New Roman" w:hAnsi="Times New Roman" w:cs="Times New Roman"/>
        </w:rPr>
        <w:t xml:space="preserve">SCT is charged. The allowance is mandatory, and no claim is required. Deloitte – Oil and Gas taxation in the </w:t>
      </w:r>
      <w:r>
        <w:rPr>
          <w:rFonts w:ascii="Times New Roman" w:hAnsi="Times New Roman" w:cs="Times New Roman"/>
          <w:lang w:val="en-GB"/>
        </w:rPr>
        <w:tab/>
      </w:r>
      <w:r>
        <w:rPr>
          <w:rFonts w:ascii="Times New Roman" w:hAnsi="Times New Roman" w:cs="Times New Roman"/>
        </w:rPr>
        <w:t>UK. &lt;https://www2deloitte.com&gt;</w:t>
      </w:r>
    </w:p>
  </w:footnote>
  <w:footnote w:id="496">
    <w:p w14:paraId="71D4532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There is however a case for making changes to the current field allowance model. Commentators have </w:t>
      </w:r>
    </w:p>
    <w:p w14:paraId="7985EEC7">
      <w:pPr>
        <w:pStyle w:val="24"/>
        <w:ind w:left="720"/>
        <w:jc w:val="both"/>
        <w:rPr>
          <w:rFonts w:ascii="Times New Roman" w:hAnsi="Times New Roman" w:cs="Times New Roman"/>
        </w:rPr>
      </w:pPr>
      <w:r>
        <w:rPr>
          <w:rFonts w:ascii="Times New Roman" w:hAnsi="Times New Roman" w:cs="Times New Roman"/>
        </w:rPr>
        <w:t>stated that, although the oil industry is used to dealing with uncertainty in the policy environment, in price and in the political environment, it still likes certainty where possible. Source: commonslibrary.parliament.uk</w:t>
      </w:r>
    </w:p>
  </w:footnote>
  <w:footnote w:id="497">
    <w:p w14:paraId="222647C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Finance Act 2015.</w:t>
      </w:r>
    </w:p>
  </w:footnote>
  <w:footnote w:id="498">
    <w:p w14:paraId="319B432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Finance Act 2015- Budget 2015, HC 1093, March 2015 p85, p64 (Table 2.1 – items 11 &amp; 12). See also, </w:t>
      </w:r>
    </w:p>
    <w:p w14:paraId="2C6CF88E">
      <w:pPr>
        <w:pStyle w:val="24"/>
        <w:ind w:left="720"/>
        <w:jc w:val="both"/>
        <w:rPr>
          <w:rFonts w:ascii="Times New Roman" w:hAnsi="Times New Roman" w:cs="Times New Roman"/>
        </w:rPr>
      </w:pPr>
      <w:r>
        <w:rPr>
          <w:rFonts w:ascii="Times New Roman" w:hAnsi="Times New Roman" w:cs="Times New Roman"/>
        </w:rPr>
        <w:t>HMRC, Corporation tax: oil and gas companies: investment allowance and reduction in supplementary charge – tax information note, 18 March 2015.</w:t>
      </w:r>
    </w:p>
  </w:footnote>
  <w:footnote w:id="499">
    <w:p w14:paraId="6B8825F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While no company will ever pay Petroleum Revenue Tax again, the tax will not be abolished in legislation. </w:t>
      </w:r>
    </w:p>
    <w:p w14:paraId="61247DE4">
      <w:pPr>
        <w:pStyle w:val="24"/>
        <w:ind w:left="720"/>
        <w:jc w:val="both"/>
        <w:rPr>
          <w:rFonts w:ascii="Times New Roman" w:hAnsi="Times New Roman" w:cs="Times New Roman"/>
        </w:rPr>
      </w:pPr>
      <w:r>
        <w:rPr>
          <w:rFonts w:ascii="Times New Roman" w:hAnsi="Times New Roman" w:cs="Times New Roman"/>
        </w:rPr>
        <w:t>This is to ensure that companies which decommission fields that have paid Petroleum Revenue Tax will be able to benefit from the decommissioning relief to which they are entitled.</w:t>
      </w:r>
    </w:p>
  </w:footnote>
  <w:footnote w:id="500">
    <w:p w14:paraId="4FFE910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For PRT charged on profits that operators make on fields that were commissioned before 1993, in March</w:t>
      </w:r>
    </w:p>
    <w:p w14:paraId="740ECDC0">
      <w:pPr>
        <w:pStyle w:val="24"/>
        <w:ind w:left="720"/>
        <w:jc w:val="both"/>
        <w:rPr>
          <w:rFonts w:ascii="Times New Roman" w:hAnsi="Times New Roman" w:cs="Times New Roman"/>
        </w:rPr>
      </w:pPr>
      <w:r>
        <w:rPr>
          <w:rFonts w:ascii="Times New Roman" w:hAnsi="Times New Roman" w:cs="Times New Roman"/>
        </w:rPr>
        <w:t>2016, the government reduced PRT from 50% to 0%, effective January that year. Operators can offset allowable expenditure, including decommissioning costs, against profits made from the field being decommissioned chargeable to PRT in any previous year.</w:t>
      </w:r>
    </w:p>
  </w:footnote>
  <w:footnote w:id="501">
    <w:p w14:paraId="76F8238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Budget 2016, HC 901, (PDF) March 2016 p.54. See also, HMRC, Oil and gas taxation: reduction in </w:t>
      </w:r>
    </w:p>
    <w:p w14:paraId="2877D7B9">
      <w:pPr>
        <w:pStyle w:val="24"/>
        <w:ind w:firstLine="720"/>
        <w:jc w:val="both"/>
        <w:rPr>
          <w:rFonts w:ascii="Times New Roman" w:hAnsi="Times New Roman" w:cs="Times New Roman"/>
        </w:rPr>
      </w:pPr>
      <w:r>
        <w:rPr>
          <w:rFonts w:ascii="Times New Roman" w:hAnsi="Times New Roman" w:cs="Times New Roman"/>
        </w:rPr>
        <w:t>Petroleum Revenue Tax and supplementary charge, 16 March 2016.</w:t>
      </w:r>
    </w:p>
  </w:footnote>
  <w:footnote w:id="502">
    <w:p w14:paraId="189B9A6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NAO, oil and gas in the UK: offshore decommissioning, HC 1870, 25 January 2019 pp.25-26. For more </w:t>
      </w:r>
    </w:p>
    <w:p w14:paraId="247FB5EB">
      <w:pPr>
        <w:pStyle w:val="24"/>
        <w:ind w:left="720"/>
        <w:jc w:val="both"/>
        <w:rPr>
          <w:rFonts w:ascii="Times New Roman" w:hAnsi="Times New Roman" w:cs="Times New Roman"/>
        </w:rPr>
      </w:pPr>
      <w:r>
        <w:rPr>
          <w:rFonts w:ascii="Times New Roman" w:hAnsi="Times New Roman" w:cs="Times New Roman"/>
        </w:rPr>
        <w:t>details see, HMRC, Oil and gas taxation: transferable tax history and retention of decommissioning expenditure, 31 October 2018.</w:t>
      </w:r>
    </w:p>
  </w:footnote>
  <w:footnote w:id="503">
    <w:p w14:paraId="5272B0F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two types of reliefs for decommissioning costs introduced to achieve more certainty in UK petroleum </w:t>
      </w:r>
    </w:p>
    <w:p w14:paraId="14FAECB6">
      <w:pPr>
        <w:pStyle w:val="24"/>
        <w:ind w:left="720"/>
        <w:jc w:val="both"/>
        <w:rPr>
          <w:rFonts w:ascii="Times New Roman" w:hAnsi="Times New Roman" w:cs="Times New Roman"/>
        </w:rPr>
      </w:pPr>
      <w:r>
        <w:rPr>
          <w:rFonts w:ascii="Times New Roman" w:hAnsi="Times New Roman" w:cs="Times New Roman"/>
        </w:rPr>
        <w:t>tax system are Ring Fence Corporation Tax (RFCT) and Supplementary Charge (SC). Oil and gas operators therefore pay a modified corporation tax consisting of ring-fenced corporation tax at 30% of profits, with a supplementary charge of 10%. Operators can use decommissioning costs to offset corporation tax paid since 2002.</w:t>
      </w:r>
    </w:p>
  </w:footnote>
  <w:footnote w:id="504">
    <w:p w14:paraId="7957CFD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HM Treasury, Energy Profits Levy Factsheet, 26 May 2022.</w:t>
      </w:r>
    </w:p>
  </w:footnote>
  <w:footnote w:id="505">
    <w:p w14:paraId="38CC6CA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Matthew Ray, Oil and Gas Fiscal Review, HM Treasury, 1 Horse Guards Road. London, see also Hafez</w:t>
      </w:r>
    </w:p>
    <w:p w14:paraId="15701EF4">
      <w:pPr>
        <w:pStyle w:val="24"/>
        <w:ind w:left="720"/>
        <w:jc w:val="both"/>
        <w:rPr>
          <w:rFonts w:ascii="Times New Roman" w:hAnsi="Times New Roman" w:cs="Times New Roman"/>
        </w:rPr>
      </w:pPr>
      <w:r>
        <w:rPr>
          <w:rFonts w:ascii="Times New Roman" w:hAnsi="Times New Roman" w:cs="Times New Roman"/>
        </w:rPr>
        <w:t xml:space="preserve">Abdo, Taxation of UK Oil and Gas Production: A Non-Proprietorial Regime? LAP - Lambert Academic Publishing, pp.53-54. </w:t>
      </w:r>
    </w:p>
  </w:footnote>
  <w:footnote w:id="506">
    <w:p w14:paraId="09602E8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From the introduction of the first duty (royalty) on UK petroleum production, up until 2010, four special </w:t>
      </w:r>
    </w:p>
    <w:p w14:paraId="49E62AF1">
      <w:pPr>
        <w:pStyle w:val="24"/>
        <w:ind w:left="720"/>
        <w:jc w:val="both"/>
        <w:rPr>
          <w:rFonts w:ascii="Times New Roman" w:hAnsi="Times New Roman" w:cs="Times New Roman"/>
        </w:rPr>
      </w:pPr>
      <w:r>
        <w:rPr>
          <w:rFonts w:ascii="Times New Roman" w:hAnsi="Times New Roman" w:cs="Times New Roman"/>
        </w:rPr>
        <w:t>taxes were used beside the standard ring-fenced Corporation Tax (RFCT). These taxes are PRT, Supplementary Petroleum Duty (SPD), Advance Petroleum Revenue Tax (APRT) and the Supplementary Charge (SC).</w:t>
      </w:r>
    </w:p>
  </w:footnote>
  <w:footnote w:id="507">
    <w:p w14:paraId="1E0A2BF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Finance Act 1993 (FA93) for all fields given development consent on or after 16 March 1993.</w:t>
      </w:r>
    </w:p>
  </w:footnote>
  <w:footnote w:id="508">
    <w:p w14:paraId="0745FA2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CTA10\S304(1) The usual reliefs for trading losses are available to petroliferous companies but there are</w:t>
      </w:r>
    </w:p>
    <w:p w14:paraId="229A65F6">
      <w:pPr>
        <w:pStyle w:val="24"/>
        <w:ind w:left="720"/>
        <w:jc w:val="both"/>
        <w:rPr>
          <w:rFonts w:ascii="Times New Roman" w:hAnsi="Times New Roman" w:cs="Times New Roman"/>
        </w:rPr>
      </w:pPr>
      <w:r>
        <w:rPr>
          <w:rFonts w:ascii="Times New Roman" w:hAnsi="Times New Roman" w:cs="Times New Roman"/>
        </w:rPr>
        <w:t>certain restrictions because of the ring fence. These restrictions ensure that non-ring fence losses are not allowed against ring fence profits. Additionally, from 1 April 2017, the quantum of the relief for carried forward losses is restricted in some circumstances (</w:t>
      </w:r>
      <w:r>
        <w:fldChar w:fldCharType="begin"/>
      </w:r>
      <w:r>
        <w:instrText xml:space="preserve"> HYPERLINK "https://www.gov.uk/hmrc-internal-manuals/company-taxation-manual/ctm04800" </w:instrText>
      </w:r>
      <w:r>
        <w:fldChar w:fldCharType="separate"/>
      </w:r>
      <w:r>
        <w:rPr>
          <w:rStyle w:val="27"/>
          <w:rFonts w:ascii="Times New Roman" w:hAnsi="Times New Roman" w:cs="Times New Roman"/>
          <w:u w:val="none"/>
        </w:rPr>
        <w:t>CTM04800</w:t>
      </w:r>
      <w:r>
        <w:rPr>
          <w:rStyle w:val="27"/>
          <w:rFonts w:ascii="Times New Roman" w:hAnsi="Times New Roman" w:cs="Times New Roman"/>
          <w:u w:val="none"/>
        </w:rPr>
        <w:fldChar w:fldCharType="end"/>
      </w:r>
      <w:r>
        <w:rPr>
          <w:rFonts w:ascii="Times New Roman" w:hAnsi="Times New Roman" w:cs="Times New Roman"/>
        </w:rPr>
        <w:t>).</w:t>
      </w:r>
    </w:p>
  </w:footnote>
  <w:footnote w:id="509">
    <w:p w14:paraId="1846664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aim of CTA10\S286 is to allow a deduction for interest against ring fence profits only if the money</w:t>
      </w:r>
    </w:p>
    <w:p w14:paraId="5FCDCE49">
      <w:pPr>
        <w:pStyle w:val="24"/>
        <w:ind w:left="720"/>
        <w:jc w:val="both"/>
        <w:rPr>
          <w:rFonts w:ascii="Times New Roman" w:hAnsi="Times New Roman" w:cs="Times New Roman"/>
        </w:rPr>
      </w:pPr>
      <w:r>
        <w:rPr>
          <w:rFonts w:ascii="Times New Roman" w:hAnsi="Times New Roman" w:cs="Times New Roman"/>
        </w:rPr>
        <w:t>borrowed is used to meet expenditure incurred in carrying on oil extraction activities or in acquiring oil rights other than from a connected person or is appropriated to meet such expenditure. These restrictions apply whether the borrowing is from an associate or not. The section is applicable only to a company with ring fence profits.</w:t>
      </w:r>
    </w:p>
  </w:footnote>
  <w:footnote w:id="510">
    <w:p w14:paraId="756FBE5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OT21200 - Corporation tax ring fence: the supplementary charge: With effect from 17 April 2002, Finance </w:t>
      </w:r>
    </w:p>
    <w:p w14:paraId="5AE5875D">
      <w:pPr>
        <w:pStyle w:val="24"/>
        <w:ind w:left="720"/>
        <w:jc w:val="both"/>
        <w:rPr>
          <w:rFonts w:ascii="Times New Roman" w:hAnsi="Times New Roman" w:cs="Times New Roman"/>
        </w:rPr>
      </w:pPr>
      <w:r>
        <w:rPr>
          <w:rFonts w:ascii="Times New Roman" w:hAnsi="Times New Roman" w:cs="Times New Roman"/>
        </w:rPr>
        <w:t xml:space="preserve">Act 2002 introduced a supplementary charge on companies producing oil or gas in the UK or on the UK Continental Shelf. This is levied on their ring fence profits with no deduction for financing costs. The rate set in FA 2002 was 10%, it was then increased to 20% in FA 2006 and to 32% in FA 2011. The rate was reduced to 20% in FA 2015 and to 10% in FA 2016. FA 2002 also introduced special 100% first-year capital allowances from 17 April 2002 in the ring fence in plant and machinery (24% for long-life assets) and mineral exploration and access. </w:t>
      </w:r>
    </w:p>
  </w:footnote>
  <w:footnote w:id="511">
    <w:p w14:paraId="3286D58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Royalty was payable on a license basis in exchange for the right, granted under license, to extract oil and </w:t>
      </w:r>
    </w:p>
    <w:p w14:paraId="79BA4E3E">
      <w:pPr>
        <w:pStyle w:val="24"/>
        <w:ind w:left="720"/>
        <w:jc w:val="both"/>
        <w:rPr>
          <w:rFonts w:ascii="Times New Roman" w:hAnsi="Times New Roman" w:cs="Times New Roman"/>
        </w:rPr>
      </w:pPr>
      <w:r>
        <w:rPr>
          <w:rFonts w:ascii="Times New Roman" w:hAnsi="Times New Roman" w:cs="Times New Roman"/>
        </w:rPr>
        <w:t>gas belonging to the Crown. It applied to onshore licenses from 1934 and was extended to offshore license’s when they were first issued in 1964.</w:t>
      </w:r>
    </w:p>
  </w:footnote>
  <w:footnote w:id="512">
    <w:p w14:paraId="7B58952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review of the PPTA, the PA, Gas development, the JV/PSC fiscal systems, and timely amendment to </w:t>
      </w:r>
    </w:p>
    <w:p w14:paraId="1060253D">
      <w:pPr>
        <w:pStyle w:val="24"/>
        <w:ind w:firstLine="720"/>
        <w:jc w:val="both"/>
        <w:rPr>
          <w:rFonts w:ascii="Times New Roman" w:hAnsi="Times New Roman" w:cs="Times New Roman"/>
        </w:rPr>
      </w:pPr>
      <w:r>
        <w:rPr>
          <w:rFonts w:ascii="Times New Roman" w:hAnsi="Times New Roman" w:cs="Times New Roman"/>
        </w:rPr>
        <w:t xml:space="preserve">relevant Acts was long delayed, unstructured, and ad hoc, at best.   </w:t>
      </w:r>
    </w:p>
  </w:footnote>
  <w:footnote w:id="513">
    <w:p w14:paraId="53813DB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"https://www.parliament.uk/" </w:instrText>
      </w:r>
      <w:r>
        <w:fldChar w:fldCharType="separate"/>
      </w:r>
      <w:r>
        <w:rPr>
          <w:rStyle w:val="27"/>
          <w:rFonts w:ascii="Times New Roman" w:hAnsi="Times New Roman" w:cs="Times New Roman"/>
          <w:color w:val="auto"/>
          <w:u w:val="none"/>
        </w:rPr>
        <w:t>UK Parliament</w:t>
      </w:r>
      <w:r>
        <w:rPr>
          <w:rStyle w:val="27"/>
          <w:rFonts w:ascii="Times New Roman" w:hAnsi="Times New Roman" w:cs="Times New Roman"/>
          <w:color w:val="auto"/>
          <w:u w:val="none"/>
        </w:rPr>
        <w:fldChar w:fldCharType="end"/>
      </w:r>
      <w:r>
        <w:rPr>
          <w:rFonts w:ascii="Times New Roman" w:hAnsi="Times New Roman" w:cs="Times New Roman"/>
        </w:rPr>
        <w:t xml:space="preserve"> - Lords Hansard is a transcript of everything that is said in the Lords Chamber.</w:t>
      </w:r>
      <w:r>
        <w:rPr>
          <w:rFonts w:ascii="Times New Roman" w:hAnsi="Times New Roman" w:cs="Times New Roman"/>
          <w:color w:val="4D4D4D"/>
          <w:sz w:val="27"/>
          <w:szCs w:val="27"/>
          <w:shd w:val="clear" w:color="auto" w:fill="FFFFFF"/>
        </w:rPr>
        <w:t xml:space="preserve"> </w:t>
      </w:r>
      <w:r>
        <w:rPr>
          <w:rFonts w:ascii="Times New Roman" w:hAnsi="Times New Roman" w:cs="Times New Roman"/>
        </w:rPr>
        <w:t xml:space="preserve">There is a </w:t>
      </w:r>
    </w:p>
    <w:p w14:paraId="2028B9C5">
      <w:pPr>
        <w:pStyle w:val="24"/>
        <w:ind w:firstLine="720"/>
        <w:jc w:val="both"/>
        <w:rPr>
          <w:rFonts w:ascii="Times New Roman" w:hAnsi="Times New Roman" w:cs="Times New Roman"/>
        </w:rPr>
      </w:pPr>
      <w:r>
        <w:rPr>
          <w:rFonts w:ascii="Times New Roman" w:hAnsi="Times New Roman" w:cs="Times New Roman"/>
        </w:rPr>
        <w:t>separate House of Commons Hansard. https://www.parliament.uk</w:t>
      </w:r>
    </w:p>
  </w:footnote>
  <w:footnote w:id="514">
    <w:p w14:paraId="556B87D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 Guide to the Legislative Process in the UK -https://publications.parliament.uk.</w:t>
      </w:r>
    </w:p>
  </w:footnote>
  <w:footnote w:id="515">
    <w:p w14:paraId="1946412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This system compares, for example, to the US system which has a parallel system of processing bills. In </w:t>
      </w:r>
    </w:p>
    <w:p w14:paraId="373F5CE6">
      <w:pPr>
        <w:pStyle w:val="24"/>
        <w:ind w:left="720"/>
        <w:jc w:val="both"/>
        <w:rPr>
          <w:rFonts w:ascii="Times New Roman" w:hAnsi="Times New Roman" w:cs="Times New Roman"/>
        </w:rPr>
      </w:pPr>
      <w:r>
        <w:rPr>
          <w:rFonts w:ascii="Times New Roman" w:hAnsi="Times New Roman" w:cs="Times New Roman"/>
        </w:rPr>
        <w:t>the US, a separate bill must be introduced into both the House of Representatives and the Senate before they are eventually amalgamated.</w:t>
      </w:r>
    </w:p>
  </w:footnote>
  <w:footnote w:id="516">
    <w:p w14:paraId="14DBBF9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Government published details of a revised annual Budget timetable for policy announcements, </w:t>
      </w:r>
    </w:p>
    <w:p w14:paraId="4D50F99D">
      <w:pPr>
        <w:pStyle w:val="24"/>
        <w:ind w:left="720"/>
        <w:jc w:val="both"/>
        <w:rPr>
          <w:rFonts w:ascii="Times New Roman" w:hAnsi="Times New Roman" w:cs="Times New Roman"/>
        </w:rPr>
      </w:pPr>
      <w:r>
        <w:rPr>
          <w:rFonts w:ascii="Times New Roman" w:hAnsi="Times New Roman" w:cs="Times New Roman"/>
        </w:rPr>
        <w:t>consultations, and the passage of legislation (HM Treasury, </w:t>
      </w:r>
      <w:r>
        <w:fldChar w:fldCharType="begin"/>
      </w:r>
      <w:r>
        <w:instrText xml:space="preserve"> HYPERLINK "https://www.gov.uk/government/publications/the-new-budget-timetable-and-the-tax-policy-making-process/the-new-budget-timetable-and-the-tax-policy-making-process" </w:instrText>
      </w:r>
      <w:r>
        <w:fldChar w:fldCharType="separate"/>
      </w:r>
      <w:r>
        <w:rPr>
          <w:rStyle w:val="27"/>
          <w:rFonts w:ascii="Times New Roman" w:hAnsi="Times New Roman" w:cs="Times New Roman"/>
          <w:u w:val="none"/>
        </w:rPr>
        <w:t>The new Budget timetable and the tax policy making process</w:t>
      </w:r>
      <w:r>
        <w:rPr>
          <w:rStyle w:val="27"/>
          <w:rFonts w:ascii="Times New Roman" w:hAnsi="Times New Roman" w:cs="Times New Roman"/>
          <w:u w:val="none"/>
        </w:rPr>
        <w:fldChar w:fldCharType="end"/>
      </w:r>
      <w:r>
        <w:rPr>
          <w:rFonts w:ascii="Times New Roman" w:hAnsi="Times New Roman" w:cs="Times New Roman"/>
        </w:rPr>
        <w:t>, 6 December 2017). At </w:t>
      </w:r>
      <w:r>
        <w:fldChar w:fldCharType="begin"/>
      </w:r>
      <w:r>
        <w:instrText xml:space="preserve"> HYPERLINK "https://www.gov.uk/government/topical-events/autumn-statement-2016" </w:instrText>
      </w:r>
      <w:r>
        <w:fldChar w:fldCharType="separate"/>
      </w:r>
      <w:r>
        <w:rPr>
          <w:rStyle w:val="27"/>
          <w:rFonts w:ascii="Times New Roman" w:hAnsi="Times New Roman" w:cs="Times New Roman"/>
          <w:u w:val="none"/>
        </w:rPr>
        <w:t>Autumn Statement 2016</w:t>
      </w:r>
      <w:r>
        <w:rPr>
          <w:rStyle w:val="27"/>
          <w:rFonts w:ascii="Times New Roman" w:hAnsi="Times New Roman" w:cs="Times New Roman"/>
          <w:u w:val="none"/>
        </w:rPr>
        <w:fldChar w:fldCharType="end"/>
      </w:r>
      <w:r>
        <w:rPr>
          <w:rFonts w:ascii="Times New Roman" w:hAnsi="Times New Roman" w:cs="Times New Roman"/>
        </w:rPr>
        <w:t> the Chancellor announced that in future he would hold a single fiscal event each year: a Budget to be held in the autumn. </w:t>
      </w:r>
      <w:r>
        <w:fldChar w:fldCharType="begin"/>
      </w:r>
      <w:r>
        <w:instrText xml:space="preserve"> HYPERLINK "https://www.gov.uk/government/topical-events/autumn-budget-2017" </w:instrText>
      </w:r>
      <w:r>
        <w:fldChar w:fldCharType="separate"/>
      </w:r>
      <w:r>
        <w:rPr>
          <w:rStyle w:val="27"/>
          <w:rFonts w:ascii="Times New Roman" w:hAnsi="Times New Roman" w:cs="Times New Roman"/>
          <w:u w:val="none"/>
        </w:rPr>
        <w:t>Autumn Budget 2017</w:t>
      </w:r>
      <w:r>
        <w:rPr>
          <w:rStyle w:val="27"/>
          <w:rFonts w:ascii="Times New Roman" w:hAnsi="Times New Roman" w:cs="Times New Roman"/>
          <w:u w:val="none"/>
        </w:rPr>
        <w:fldChar w:fldCharType="end"/>
      </w:r>
      <w:r>
        <w:rPr>
          <w:rFonts w:ascii="Times New Roman" w:hAnsi="Times New Roman" w:cs="Times New Roman"/>
        </w:rPr>
        <w:t> is the first Budget in this new cycle.</w:t>
      </w:r>
    </w:p>
  </w:footnote>
  <w:footnote w:id="517">
    <w:p w14:paraId="3684D101">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chapter 5 of this Thesis.</w:t>
      </w:r>
    </w:p>
  </w:footnote>
  <w:footnote w:id="518">
    <w:p w14:paraId="2052EC7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58(3), 1999 Nigerian Constitution. Also, under s.58(5) The legislature can override a veto by the </w:t>
      </w:r>
    </w:p>
    <w:p w14:paraId="2845F6DC">
      <w:pPr>
        <w:pStyle w:val="24"/>
        <w:ind w:firstLine="720"/>
        <w:jc w:val="both"/>
        <w:rPr>
          <w:rFonts w:ascii="Times New Roman" w:hAnsi="Times New Roman" w:cs="Times New Roman"/>
        </w:rPr>
      </w:pPr>
      <w:r>
        <w:rPr>
          <w:rFonts w:ascii="Times New Roman" w:hAnsi="Times New Roman" w:cs="Times New Roman"/>
        </w:rPr>
        <w:t>executive arm. </w:t>
      </w:r>
    </w:p>
    <w:p w14:paraId="1F1C0BCC">
      <w:pPr>
        <w:pStyle w:val="24"/>
        <w:jc w:val="both"/>
        <w:rPr>
          <w:rFonts w:ascii="Times New Roman" w:hAnsi="Times New Roman" w:cs="Times New Roman"/>
        </w:rPr>
      </w:pPr>
    </w:p>
  </w:footnote>
  <w:footnote w:id="519">
    <w:p w14:paraId="11FD5B9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Petroleum (Production) Act 1918 was enacted to confer on the Crown the right to control exploration </w:t>
      </w:r>
    </w:p>
    <w:p w14:paraId="3FAF7876">
      <w:pPr>
        <w:pStyle w:val="24"/>
        <w:ind w:firstLine="720"/>
        <w:jc w:val="both"/>
        <w:rPr>
          <w:rFonts w:ascii="Times New Roman" w:hAnsi="Times New Roman" w:cs="Times New Roman"/>
        </w:rPr>
      </w:pPr>
      <w:r>
        <w:rPr>
          <w:rFonts w:ascii="Times New Roman" w:hAnsi="Times New Roman" w:cs="Times New Roman"/>
        </w:rPr>
        <w:t>and production in the UK and to grant licenses for that purpose. Source: HRMC Oil Taxation Manual.</w:t>
      </w:r>
    </w:p>
  </w:footnote>
  <w:footnote w:id="520">
    <w:p w14:paraId="49AD2115">
      <w:pPr>
        <w:pStyle w:val="24"/>
        <w:rPr>
          <w:rFonts w:ascii="Times New Roman" w:hAnsi="Times New Roman" w:cs="Times New Roman"/>
          <w:b/>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Review of the oil and gas fiscal regime: call for evidenc</w:t>
      </w:r>
      <w:r>
        <w:rPr>
          <w:rFonts w:ascii="Times New Roman" w:hAnsi="Times New Roman" w:cs="Times New Roman"/>
          <w:b/>
          <w:bCs/>
        </w:rPr>
        <w:t xml:space="preserve">e, </w:t>
      </w:r>
      <w:r>
        <w:rPr>
          <w:rFonts w:ascii="Times New Roman" w:hAnsi="Times New Roman" w:cs="Times New Roman"/>
        </w:rPr>
        <w:t>UK.Gov:,https://www.gov.uk,</w:t>
      </w:r>
      <w:r>
        <w:rPr>
          <w:rFonts w:ascii="Times New Roman" w:hAnsi="Times New Roman"/>
        </w:rPr>
        <w:t xml:space="preserve"> </w:t>
      </w:r>
      <w:r>
        <w:rPr>
          <w:rFonts w:ascii="Times New Roman" w:hAnsi="Times New Roman" w:cs="Times New Roman"/>
        </w:rPr>
        <w:t>updated Dec.2014</w:t>
      </w:r>
    </w:p>
  </w:footnote>
  <w:footnote w:id="521">
    <w:p w14:paraId="11DAF0C8">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PRT was abolished on 16 March 1993 for all fields given development consent on or after that date, but  </w:t>
      </w:r>
    </w:p>
    <w:p w14:paraId="1753ED71">
      <w:pPr>
        <w:pStyle w:val="24"/>
        <w:ind w:left="720"/>
        <w:rPr>
          <w:rFonts w:ascii="Times New Roman" w:hAnsi="Times New Roman" w:cs="Times New Roman"/>
        </w:rPr>
      </w:pPr>
      <w:r>
        <w:rPr>
          <w:rFonts w:ascii="Times New Roman" w:hAnsi="Times New Roman" w:cs="Times New Roman"/>
        </w:rPr>
        <w:t>continues in existence for fields established before that date. Chancellor George Osborne has “effectively abolished” the Petroleum Revenue Tax in a bid to help the North Sea oil and gas industries in March 2016.</w:t>
      </w:r>
    </w:p>
  </w:footnote>
  <w:footnote w:id="522">
    <w:p w14:paraId="09C8D82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Hafez Abdo, Readings in the International Oil and Gas Agreements and the Economic Rent Concept: The</w:t>
      </w:r>
    </w:p>
    <w:p w14:paraId="79190A4F">
      <w:pPr>
        <w:pStyle w:val="24"/>
        <w:ind w:left="720" w:firstLine="48"/>
        <w:jc w:val="both"/>
        <w:rPr>
          <w:rFonts w:ascii="Times New Roman" w:hAnsi="Times New Roman" w:cs="Times New Roman"/>
        </w:rPr>
      </w:pPr>
      <w:r>
        <w:rPr>
          <w:rFonts w:ascii="Times New Roman" w:hAnsi="Times New Roman" w:cs="Times New Roman"/>
        </w:rPr>
        <w:t>Governance of Petroleum Resources, Vol. 9, Issue 3 International Energy Journal 163-173 (September 2008); D. P. Cameron, Property Rights and Sovereign Rights: The Case of North Sea Oil, New York, Academic Press Inc. (1983); HMRC, A Guide to UK and UK Continental Shelf, available at http://www.hmrc.gov.uk/international/ns-fiscal3.htm (2010). (Accessed 13</w:t>
      </w:r>
      <w:r>
        <w:rPr>
          <w:rFonts w:ascii="Times New Roman" w:hAnsi="Times New Roman" w:cs="Times New Roman"/>
          <w:vertAlign w:val="superscript"/>
        </w:rPr>
        <w:t>th</w:t>
      </w:r>
      <w:r>
        <w:rPr>
          <w:rFonts w:ascii="Times New Roman" w:hAnsi="Times New Roman" w:cs="Times New Roman"/>
        </w:rPr>
        <w:t xml:space="preserve"> June 2023)</w:t>
      </w:r>
    </w:p>
  </w:footnote>
  <w:footnote w:id="523">
    <w:p w14:paraId="50AD771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Office of Tax Simplification (OTS) is the independent adviser to the government on simplifying the </w:t>
      </w:r>
    </w:p>
    <w:p w14:paraId="29BF0AC5">
      <w:pPr>
        <w:pStyle w:val="24"/>
        <w:ind w:left="720"/>
        <w:jc w:val="both"/>
        <w:rPr>
          <w:rFonts w:ascii="Times New Roman" w:hAnsi="Times New Roman" w:cs="Times New Roman"/>
        </w:rPr>
      </w:pPr>
      <w:r>
        <w:rPr>
          <w:rFonts w:ascii="Times New Roman" w:hAnsi="Times New Roman" w:cs="Times New Roman"/>
        </w:rPr>
        <w:t>UK tax system. The OTS was set up on 20 July 2010 and made a permanent independent Office of HM Treasury on 21 July 2015.As the Office of Tax Simplification is a statutory body, the formal closure took effect when the Spring Finance Bill 2023 received Royal Assent.</w:t>
      </w:r>
    </w:p>
  </w:footnote>
  <w:footnote w:id="524">
    <w:p w14:paraId="210CF7BE">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HM Treasury Oil and Gas Fiscal Review </w:t>
      </w:r>
      <w:r>
        <w:fldChar w:fldCharType="begin"/>
      </w:r>
      <w:r>
        <w:instrText xml:space="preserve"> HYPERLINK </w:instrText>
      </w:r>
      <w:r>
        <w:fldChar w:fldCharType="separate"/>
      </w:r>
      <w:r>
        <w:rPr>
          <w:rStyle w:val="27"/>
          <w:rFonts w:ascii="Times New Roman" w:hAnsi="Times New Roman" w:cs="Times New Roman"/>
          <w:u w:val="none"/>
        </w:rPr>
        <w:t>Outcome ; 0fficial documents - GOV.UK (www.gov.uk)</w:t>
      </w:r>
      <w:r>
        <w:rPr>
          <w:rStyle w:val="27"/>
          <w:rFonts w:ascii="Times New Roman" w:hAnsi="Times New Roman" w:cs="Times New Roman"/>
          <w:u w:val="none"/>
        </w:rPr>
        <w:fldChar w:fldCharType="end"/>
      </w:r>
      <w:r>
        <w:rPr>
          <w:rFonts w:ascii="Times New Roman" w:hAnsi="Times New Roman" w:cs="Times New Roman"/>
          <w:lang w:val="en-GB"/>
        </w:rPr>
        <w:t xml:space="preserve">.(Nov. </w:t>
      </w:r>
    </w:p>
    <w:p w14:paraId="0988F524">
      <w:pPr>
        <w:pStyle w:val="24"/>
        <w:ind w:firstLine="720"/>
        <w:jc w:val="both"/>
        <w:rPr>
          <w:rFonts w:ascii="Times New Roman" w:hAnsi="Times New Roman" w:cs="Times New Roman"/>
          <w:lang w:val="en-GB"/>
        </w:rPr>
      </w:pPr>
      <w:r>
        <w:rPr>
          <w:rFonts w:ascii="Times New Roman" w:hAnsi="Times New Roman" w:cs="Times New Roman"/>
          <w:lang w:val="en-GB"/>
        </w:rPr>
        <w:t>2023).</w:t>
      </w:r>
    </w:p>
  </w:footnote>
  <w:footnote w:id="525">
    <w:p w14:paraId="663113A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Oil &amp; Gas Authority (OGA) is now responsible for issuing licences through competitive licensing rounds</w:t>
      </w:r>
    </w:p>
    <w:p w14:paraId="03CB187B">
      <w:pPr>
        <w:pStyle w:val="24"/>
        <w:ind w:left="720"/>
        <w:jc w:val="both"/>
        <w:rPr>
          <w:rFonts w:ascii="Times New Roman" w:hAnsi="Times New Roman" w:cs="Times New Roman"/>
        </w:rPr>
      </w:pPr>
      <w:r>
        <w:rPr>
          <w:rFonts w:ascii="Times New Roman" w:hAnsi="Times New Roman" w:cs="Times New Roman"/>
        </w:rPr>
        <w:t>that generally take place every year. The OGA's policy objective in a licensing round is to maximise the economic recovery of the UK's oil and gas reserves.</w:t>
      </w:r>
    </w:p>
  </w:footnote>
  <w:footnote w:id="526">
    <w:p w14:paraId="2176C60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US Court held that</w:t>
      </w:r>
      <w:r>
        <w:rPr>
          <w:rFonts w:ascii="Times New Roman" w:hAnsi="Times New Roman" w:cs="Times New Roman"/>
          <w:b/>
          <w:bCs/>
        </w:rPr>
        <w:t xml:space="preserve"> </w:t>
      </w:r>
      <w:r>
        <w:rPr>
          <w:rFonts w:ascii="Times New Roman" w:hAnsi="Times New Roman" w:cs="Times New Roman"/>
        </w:rPr>
        <w:t xml:space="preserve">Petroleum revenue tax paid by petitioners to the United Kingdom was not paid </w:t>
      </w:r>
    </w:p>
    <w:p w14:paraId="6496EB5A">
      <w:pPr>
        <w:pStyle w:val="24"/>
        <w:ind w:firstLine="720"/>
        <w:jc w:val="both"/>
        <w:rPr>
          <w:rFonts w:ascii="Times New Roman" w:hAnsi="Times New Roman" w:cs="Times New Roman"/>
        </w:rPr>
      </w:pPr>
      <w:r>
        <w:rPr>
          <w:rFonts w:ascii="Times New Roman" w:hAnsi="Times New Roman" w:cs="Times New Roman"/>
        </w:rPr>
        <w:t>in exchange for specific economic benefits and constitutes a creditable foreign tax under sec. 901, I.R.C.</w:t>
      </w:r>
    </w:p>
  </w:footnote>
  <w:footnote w:id="527">
    <w:p w14:paraId="0CCFD77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Ring Fence Tax was enacted under the U.K.'s sovereign taxing power, and constitutes a tax on income, </w:t>
      </w:r>
    </w:p>
    <w:p w14:paraId="1C8A3FDC">
      <w:pPr>
        <w:pStyle w:val="24"/>
        <w:ind w:firstLine="720"/>
        <w:jc w:val="both"/>
        <w:rPr>
          <w:rFonts w:ascii="Times New Roman" w:hAnsi="Times New Roman" w:cs="Times New Roman"/>
        </w:rPr>
      </w:pPr>
      <w:r>
        <w:rPr>
          <w:rFonts w:ascii="Times New Roman" w:hAnsi="Times New Roman" w:cs="Times New Roman"/>
        </w:rPr>
        <w:t>structured as a corporate income tax. It was therefore creditable tax in the US.</w:t>
      </w:r>
    </w:p>
  </w:footnote>
  <w:footnote w:id="528">
    <w:p w14:paraId="7EC09AE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There are around 100 such fields still producing in the UKCS, of which the majority (around 60) have never </w:t>
      </w:r>
    </w:p>
    <w:p w14:paraId="3E03BB21">
      <w:pPr>
        <w:pStyle w:val="24"/>
        <w:ind w:left="720"/>
        <w:jc w:val="both"/>
      </w:pPr>
      <w:r>
        <w:rPr>
          <w:rFonts w:ascii="Times New Roman" w:hAnsi="Times New Roman" w:cs="Times New Roman"/>
        </w:rPr>
        <w:t>been profitable enough to pay PRT. In Finance Act 2008, the government legislated to give HMRC the power to remove fields that are unlikely ever to pay PRT from the PRT regime if all companies party to the license in any such field so elect.</w:t>
      </w:r>
    </w:p>
  </w:footnote>
  <w:footnote w:id="529">
    <w:p w14:paraId="302EBCC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UKCS therefore potentially fall within two distinct fiscal regimes: Petroleum Revenue Tax (PRT) and </w:t>
      </w:r>
    </w:p>
    <w:p w14:paraId="0C0CE554">
      <w:pPr>
        <w:pStyle w:val="24"/>
        <w:ind w:firstLine="720"/>
        <w:jc w:val="both"/>
        <w:rPr>
          <w:rFonts w:ascii="Times New Roman" w:hAnsi="Times New Roman" w:cs="Times New Roman"/>
        </w:rPr>
      </w:pPr>
      <w:r>
        <w:rPr>
          <w:rFonts w:ascii="Times New Roman" w:hAnsi="Times New Roman" w:cs="Times New Roman"/>
        </w:rPr>
        <w:t>Ring Fence Corporation Tax (CT) which also incorporates a Supplementary Charge (SC).</w:t>
      </w:r>
    </w:p>
  </w:footnote>
  <w:footnote w:id="530">
    <w:p w14:paraId="65C6827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Ring Fence Corporation Tax (RFCT) – This is calculated in the same way as the mainstream corporation tax </w:t>
      </w:r>
    </w:p>
    <w:p w14:paraId="0B88A704">
      <w:pPr>
        <w:pStyle w:val="24"/>
        <w:ind w:left="720"/>
        <w:jc w:val="both"/>
        <w:rPr>
          <w:rFonts w:ascii="Times New Roman" w:hAnsi="Times New Roman" w:cs="Times New Roman"/>
        </w:rPr>
      </w:pPr>
      <w:r>
        <w:rPr>
          <w:rFonts w:ascii="Times New Roman" w:hAnsi="Times New Roman" w:cs="Times New Roman"/>
        </w:rPr>
        <w:t xml:space="preserve">applicable to all companies but with the addition of a "ring fence". The current rate of RFCT on ring fenced profit is 30%. The ring fence prevents taxable profits from oil and gas extraction in the UK and UKCS from being reduced by losses from other activities or by excessive interest payments. Supplementary Charge (SC) This is an additional charge, currently set at a rate of 32%, on a company's ring fence profits (but with no deduction for finance costs). With the zero rating of Petroleum Revenue Tax (PRT) for all new fields, effective January 2016, its relevance is reduced. </w:t>
      </w:r>
    </w:p>
  </w:footnote>
  <w:footnote w:id="531">
    <w:p w14:paraId="147C015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overall structure of the UK Petroleum Tax, Royalty charge and Corporation Tax regimes is such that </w:t>
      </w:r>
    </w:p>
    <w:p w14:paraId="744D66D6">
      <w:pPr>
        <w:pStyle w:val="24"/>
        <w:ind w:left="720"/>
        <w:jc w:val="both"/>
        <w:rPr>
          <w:rFonts w:ascii="Times New Roman" w:hAnsi="Times New Roman" w:cs="Times New Roman"/>
        </w:rPr>
      </w:pPr>
      <w:r>
        <w:rPr>
          <w:rFonts w:ascii="Times New Roman" w:hAnsi="Times New Roman" w:cs="Times New Roman"/>
        </w:rPr>
        <w:t>with the Royalty charge, the PRT and the CT, an operative ring fence arrangement as instituted delivers a marginal tax rate on PRT paying fields which is now 81% on income from PRT-paying fields and 62% for other fields.</w:t>
      </w:r>
      <w:r>
        <w:rPr>
          <w:rFonts w:ascii="Times New Roman" w:hAnsi="Times New Roman" w:cs="Times New Roman"/>
          <w:vertAlign w:val="superscript"/>
        </w:rPr>
        <w:footnoteRef/>
      </w:r>
      <w:r>
        <w:rPr>
          <w:rFonts w:ascii="Times New Roman" w:hAnsi="Times New Roman" w:cs="Times New Roman"/>
        </w:rPr>
        <w:t xml:space="preserve">The system produces a degree of certainty for both the Government in terms of revenue returns, and to the operators, in terms of clarity of framework and return on investments. </w:t>
      </w:r>
    </w:p>
  </w:footnote>
  <w:footnote w:id="532">
    <w:p w14:paraId="586F0AF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With effect from June 30</w:t>
      </w:r>
      <w:r>
        <w:rPr>
          <w:rFonts w:ascii="Times New Roman" w:hAnsi="Times New Roman" w:cs="Times New Roman"/>
          <w:vertAlign w:val="superscript"/>
        </w:rPr>
        <w:t>th</w:t>
      </w:r>
      <w:r>
        <w:rPr>
          <w:rFonts w:ascii="Times New Roman" w:hAnsi="Times New Roman" w:cs="Times New Roman"/>
        </w:rPr>
        <w:t>, 1993, PRT was abolished for oil fields which received development consent on</w:t>
      </w:r>
    </w:p>
    <w:p w14:paraId="37047CDF">
      <w:pPr>
        <w:pStyle w:val="24"/>
        <w:ind w:left="720" w:firstLine="48"/>
        <w:jc w:val="both"/>
        <w:rPr>
          <w:rFonts w:ascii="Times New Roman" w:hAnsi="Times New Roman" w:cs="Times New Roman"/>
        </w:rPr>
      </w:pPr>
      <w:r>
        <w:rPr>
          <w:rFonts w:ascii="Times New Roman" w:hAnsi="Times New Roman" w:cs="Times New Roman"/>
        </w:rPr>
        <w:t>or after 16</w:t>
      </w:r>
      <w:r>
        <w:rPr>
          <w:rFonts w:ascii="Times New Roman" w:hAnsi="Times New Roman" w:cs="Times New Roman"/>
          <w:vertAlign w:val="superscript"/>
        </w:rPr>
        <w:t>th</w:t>
      </w:r>
      <w:r>
        <w:rPr>
          <w:rFonts w:ascii="Times New Roman" w:hAnsi="Times New Roman" w:cs="Times New Roman"/>
        </w:rPr>
        <w:t xml:space="preserve"> March 1993. Also, effective June 30</w:t>
      </w:r>
      <w:r>
        <w:rPr>
          <w:rFonts w:ascii="Times New Roman" w:hAnsi="Times New Roman" w:cs="Times New Roman"/>
          <w:vertAlign w:val="superscript"/>
        </w:rPr>
        <w:t>th</w:t>
      </w:r>
      <w:r>
        <w:rPr>
          <w:rFonts w:ascii="Times New Roman" w:hAnsi="Times New Roman" w:cs="Times New Roman"/>
        </w:rPr>
        <w:t>, 1993, the PRT rate was reduced from 75 to 50 percent for paying oil fields which had obtained development consent before 16</w:t>
      </w:r>
      <w:r>
        <w:rPr>
          <w:rFonts w:ascii="Times New Roman" w:hAnsi="Times New Roman" w:cs="Times New Roman"/>
          <w:vertAlign w:val="superscript"/>
        </w:rPr>
        <w:t>th</w:t>
      </w:r>
      <w:r>
        <w:rPr>
          <w:rFonts w:ascii="Times New Roman" w:hAnsi="Times New Roman" w:cs="Times New Roman"/>
        </w:rPr>
        <w:t xml:space="preserve"> March 1993 and all PRT allowances (Oil allowance, Cross-Field exploration &amp; Appraisal allowance, Cross-Field Development allowance) were removed. Further, effective 1 January 2016, RT was zero rated.</w:t>
      </w:r>
    </w:p>
  </w:footnote>
  <w:footnote w:id="533">
    <w:p w14:paraId="42375A5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Nigeria Deep Offshore and Inland Basin Production Sharing Contract Act, 1993. </w:t>
      </w:r>
    </w:p>
  </w:footnote>
  <w:footnote w:id="534">
    <w:p w14:paraId="60929C7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 fiscal stimulus may refer to either greater public spending or tax cuts. In both cases, the government </w:t>
      </w:r>
    </w:p>
    <w:p w14:paraId="73888226">
      <w:pPr>
        <w:pStyle w:val="24"/>
        <w:ind w:left="720"/>
        <w:jc w:val="both"/>
        <w:rPr>
          <w:rFonts w:ascii="Times New Roman" w:hAnsi="Times New Roman" w:cs="Times New Roman"/>
        </w:rPr>
      </w:pPr>
      <w:r>
        <w:rPr>
          <w:rFonts w:ascii="Times New Roman" w:hAnsi="Times New Roman" w:cs="Times New Roman"/>
        </w:rPr>
        <w:t>wants to boost economic growth. In most cases, government bailout packages are also types of fiscal stimulus, whereas fiscal rules are restrictions on fiscal policy set by a government to constrain its own decisions on spending and taxes. For example, they might require that the deficit stays below a certain level. The first fiscal rules in the UK were adopted by the New Labour government in 1997. Those rules applied for over a decade, but since then the UK’s rules have changed more regularly. </w:t>
      </w:r>
      <w:r>
        <w:rPr>
          <w:rFonts w:ascii="Times New Roman" w:hAnsi="Times New Roman" w:cs="Times New Roman"/>
        </w:rPr>
        <w:tab/>
      </w:r>
    </w:p>
  </w:footnote>
  <w:footnote w:id="535">
    <w:p w14:paraId="56F5E99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Since 1990 almost all OECD countries have adopted some sort of fiscal rule.</w:t>
      </w:r>
      <w:r>
        <w:rPr>
          <w:rFonts w:ascii="Times New Roman" w:hAnsi="Times New Roman" w:eastAsia="Times New Roman" w:cs="Times New Roman"/>
          <w:color w:val="444444"/>
          <w:lang w:eastAsia="en-GB"/>
        </w:rPr>
        <w:t xml:space="preserve"> </w:t>
      </w:r>
      <w:r>
        <w:rPr>
          <w:rFonts w:ascii="Times New Roman" w:hAnsi="Times New Roman" w:cs="Times New Roman"/>
        </w:rPr>
        <w:t xml:space="preserve">International Monetary Fund, </w:t>
      </w:r>
    </w:p>
    <w:p w14:paraId="330FDE9D">
      <w:pPr>
        <w:pStyle w:val="24"/>
        <w:ind w:firstLine="720"/>
        <w:jc w:val="both"/>
        <w:rPr>
          <w:rFonts w:ascii="Times New Roman" w:hAnsi="Times New Roman" w:cs="Times New Roman"/>
        </w:rPr>
      </w:pPr>
      <w:r>
        <w:rPr>
          <w:rFonts w:ascii="Times New Roman" w:hAnsi="Times New Roman" w:cs="Times New Roman"/>
        </w:rPr>
        <w:t>Fiscal Rules Dataset 1985 -2021, </w:t>
      </w:r>
      <w:r>
        <w:fldChar w:fldCharType="begin"/>
      </w:r>
      <w:r>
        <w:instrText xml:space="preserve"> HYPERLINK "http://www.imf.org/external/datamapper/fiscalrules/map/map.htm" \t "_blank" </w:instrText>
      </w:r>
      <w:r>
        <w:fldChar w:fldCharType="separate"/>
      </w:r>
      <w:r>
        <w:rPr>
          <w:rStyle w:val="27"/>
          <w:rFonts w:ascii="Times New Roman" w:hAnsi="Times New Roman" w:cs="Times New Roman"/>
          <w:color w:val="auto"/>
          <w:u w:val="none"/>
        </w:rPr>
        <w:t>www.imf.org/external/datamapper/fiscalrules/map/map.htm</w:t>
      </w:r>
      <w:r>
        <w:rPr>
          <w:rStyle w:val="27"/>
          <w:rFonts w:ascii="Times New Roman" w:hAnsi="Times New Roman" w:cs="Times New Roman"/>
          <w:color w:val="auto"/>
          <w:u w:val="none"/>
        </w:rPr>
        <w:fldChar w:fldCharType="end"/>
      </w:r>
      <w:r>
        <w:rPr>
          <w:rStyle w:val="27"/>
          <w:rFonts w:ascii="Times New Roman" w:hAnsi="Times New Roman" w:cs="Times New Roman"/>
        </w:rPr>
        <w:t xml:space="preserve"> </w:t>
      </w:r>
      <w:r>
        <w:rPr>
          <w:rFonts w:ascii="Times New Roman" w:hAnsi="Times New Roman" w:cs="Times New Roman"/>
        </w:rPr>
        <w:tab/>
      </w:r>
    </w:p>
  </w:footnote>
  <w:footnote w:id="536">
    <w:p w14:paraId="02DBF7D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Ring Fence Expenditure Supplement (RFES) The RFES adds an annual supplement to the value of unused </w:t>
      </w:r>
    </w:p>
    <w:p w14:paraId="4BBECB0A">
      <w:pPr>
        <w:pStyle w:val="24"/>
        <w:ind w:left="720"/>
        <w:jc w:val="both"/>
        <w:rPr>
          <w:rFonts w:ascii="Times New Roman" w:hAnsi="Times New Roman" w:cs="Times New Roman"/>
        </w:rPr>
      </w:pPr>
      <w:r>
        <w:rPr>
          <w:rFonts w:ascii="Times New Roman" w:hAnsi="Times New Roman" w:cs="Times New Roman"/>
        </w:rPr>
        <w:t xml:space="preserve">expenditure carried forward from one period to another to maintain the time value of exploration, appraisal and development costs.  </w:t>
      </w:r>
      <w:r>
        <w:rPr>
          <w:rFonts w:ascii="Times New Roman" w:hAnsi="Times New Roman" w:cs="Times New Roman"/>
        </w:rPr>
        <w:tab/>
      </w:r>
    </w:p>
  </w:footnote>
  <w:footnote w:id="537">
    <w:p w14:paraId="71802EB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Treasury announced the annual uplift of 6 -10 % for the period 2010 – 2015.</w:t>
      </w:r>
      <w:r>
        <w:rPr>
          <w:rFonts w:ascii="Times New Roman" w:hAnsi="Times New Roman" w:cs="Times New Roman"/>
        </w:rPr>
        <w:tab/>
      </w:r>
    </w:p>
  </w:footnote>
  <w:footnote w:id="538">
    <w:p w14:paraId="5D8D7C3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General provisions: CTA2010\S330 and S331 onwards. </w:t>
      </w:r>
    </w:p>
  </w:footnote>
  <w:footnote w:id="539">
    <w:p w14:paraId="17E36AD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review of the entire process in Nigeria leading to the PIA, and the PIA terms will be assessed in </w:t>
      </w:r>
    </w:p>
    <w:p w14:paraId="0A87065D">
      <w:pPr>
        <w:pStyle w:val="24"/>
        <w:ind w:left="720"/>
        <w:jc w:val="both"/>
        <w:rPr>
          <w:rFonts w:ascii="Times New Roman" w:hAnsi="Times New Roman" w:cs="Times New Roman"/>
        </w:rPr>
      </w:pPr>
      <w:r>
        <w:rPr>
          <w:rFonts w:ascii="Times New Roman" w:hAnsi="Times New Roman" w:cs="Times New Roman"/>
        </w:rPr>
        <w:t xml:space="preserve">chapter 9 of this Thesis to see to what extent the above highlighted issues and objectives may have been achieved or addressed.  </w:t>
      </w:r>
    </w:p>
  </w:footnote>
  <w:footnote w:id="540">
    <w:p w14:paraId="790BD71A">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(2021) EWHC 128.</w:t>
      </w:r>
    </w:p>
  </w:footnote>
  <w:footnote w:id="541">
    <w:p w14:paraId="5647FEE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In determining whether the pre-existing s 29 notices were applicable to Additional Wells, the definition of </w:t>
      </w:r>
    </w:p>
    <w:p w14:paraId="230B94F4">
      <w:pPr>
        <w:pStyle w:val="24"/>
        <w:ind w:left="720"/>
        <w:jc w:val="both"/>
        <w:rPr>
          <w:rFonts w:ascii="Times New Roman" w:hAnsi="Times New Roman" w:cs="Times New Roman"/>
        </w:rPr>
      </w:pPr>
      <w:r>
        <w:rPr>
          <w:rFonts w:ascii="Times New Roman" w:hAnsi="Times New Roman" w:cs="Times New Roman"/>
        </w:rPr>
        <w:t>"Offshore installation" was relevant. s 44(1) defines "offshore installation" as "any installation which is or has been maintained or is intended to be established for the carrying on of any activity" falling within s.44(2) and (3). Further, s. 44 (5) defines "installation" as that which includes any "floating structure or devices maintained on a station by whatever means". Agreeing with Apache's construction, the High Court held that “offshore installation” would naturally refer to equipment or structures within the field or sub-field such as a rig, instead of the entire field. This was especially so considering the definition of "installation" as including a floating structure or device on a station.</w:t>
      </w:r>
      <w:r>
        <w:rPr>
          <w:rFonts w:ascii="Times New Roman" w:hAnsi="Times New Roman" w:cs="Times New Roman"/>
          <w:sz w:val="24"/>
          <w:szCs w:val="24"/>
        </w:rPr>
        <w:t xml:space="preserve"> </w:t>
      </w:r>
      <w:r>
        <w:rPr>
          <w:rFonts w:ascii="Times New Roman" w:hAnsi="Times New Roman" w:cs="Times New Roman"/>
        </w:rPr>
        <w:t xml:space="preserve">The High Court also recognized that the s29 notices were dated between 2000 and 2005, long before the SPA was executed in 2011 and many years before the construction and existence of the additional wells. There was also no suggestion of an intention to construct the additional wells at the time of the notices. Therefore, these additional wells did not fall within the limits of s44. Accordingly, the Secretary of State would not have the power to apply one of the pre-existing s29 notices to the additional wells and no security was required for them.  </w:t>
      </w:r>
    </w:p>
  </w:footnote>
  <w:footnote w:id="542">
    <w:p w14:paraId="0E5E19BA">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need to consider the scope of the Act was necessitated by the contractual indemnity. While in this </w:t>
      </w:r>
    </w:p>
    <w:p w14:paraId="4B0DBA2E">
      <w:pPr>
        <w:pStyle w:val="24"/>
        <w:ind w:left="720"/>
      </w:pPr>
      <w:r>
        <w:rPr>
          <w:rFonts w:ascii="Times New Roman" w:hAnsi="Times New Roman" w:cs="Times New Roman"/>
        </w:rPr>
        <w:t>matter a clear result was achieved, it may not have been the case had the regulations been less clear, Apache might have found itself having to provide much wider security than anticipated.</w:t>
      </w:r>
    </w:p>
  </w:footnote>
  <w:footnote w:id="543">
    <w:p w14:paraId="68AC46BB">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The 7</w:t>
      </w:r>
      <w:r>
        <w:rPr>
          <w:rFonts w:ascii="Times New Roman" w:hAnsi="Times New Roman" w:cs="Times New Roman"/>
          <w:vertAlign w:val="superscript"/>
          <w:lang w:val="en-GB"/>
        </w:rPr>
        <w:t>th</w:t>
      </w:r>
      <w:r>
        <w:rPr>
          <w:rFonts w:ascii="Times New Roman" w:hAnsi="Times New Roman" w:cs="Times New Roman"/>
          <w:lang w:val="en-GB"/>
        </w:rPr>
        <w:t xml:space="preserve"> &amp; 8</w:t>
      </w:r>
      <w:r>
        <w:rPr>
          <w:rFonts w:ascii="Times New Roman" w:hAnsi="Times New Roman" w:cs="Times New Roman"/>
          <w:vertAlign w:val="superscript"/>
          <w:lang w:val="en-GB"/>
        </w:rPr>
        <w:t>th</w:t>
      </w:r>
      <w:r>
        <w:rPr>
          <w:rFonts w:ascii="Times New Roman" w:hAnsi="Times New Roman" w:cs="Times New Roman"/>
          <w:lang w:val="en-GB"/>
        </w:rPr>
        <w:t xml:space="preserve"> NA failed to enact the PIB into law. </w:t>
      </w:r>
    </w:p>
  </w:footnote>
  <w:footnote w:id="544">
    <w:p w14:paraId="342273D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Right from the onset with the enactment of the Oil Taxation Act of 1975, which introduced the PRT, there</w:t>
      </w:r>
    </w:p>
    <w:p w14:paraId="28C2B4E8">
      <w:pPr>
        <w:pStyle w:val="24"/>
        <w:ind w:firstLine="720"/>
        <w:jc w:val="both"/>
        <w:rPr>
          <w:rFonts w:ascii="Times New Roman" w:hAnsi="Times New Roman" w:cs="Times New Roman"/>
        </w:rPr>
      </w:pPr>
      <w:r>
        <w:rPr>
          <w:rFonts w:ascii="Times New Roman" w:hAnsi="Times New Roman" w:cs="Times New Roman"/>
        </w:rPr>
        <w:t>is continuous review and updating of all relevant legislation.</w:t>
      </w:r>
    </w:p>
  </w:footnote>
  <w:footnote w:id="545">
    <w:p w14:paraId="50A2EBC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Capital Allowance Act (CAA) 2001, the Investment Tax Allowances (ITA) applicable to various classes of </w:t>
      </w:r>
    </w:p>
    <w:p w14:paraId="153C977A">
      <w:pPr>
        <w:pStyle w:val="24"/>
        <w:ind w:left="720"/>
        <w:jc w:val="both"/>
        <w:rPr>
          <w:rFonts w:ascii="Times New Roman" w:hAnsi="Times New Roman" w:cs="Times New Roman"/>
        </w:rPr>
      </w:pPr>
      <w:r>
        <w:rPr>
          <w:rFonts w:ascii="Times New Roman" w:hAnsi="Times New Roman" w:cs="Times New Roman"/>
        </w:rPr>
        <w:t>assets (ITEPA.2003, ITTOIA 2005, ITA 2007), and the CT and the SC interaction (CTA 2009, CTA 2010 and TIOPA 2010).</w:t>
      </w:r>
    </w:p>
  </w:footnote>
  <w:footnote w:id="546">
    <w:p w14:paraId="508BD6C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Elizabeth Bast, Alex Doukas, Sam Pickard, Laurie van der Burg, Shelagh Whitley, (November 2015).</w:t>
      </w:r>
    </w:p>
    <w:p w14:paraId="1FBC21C9">
      <w:pPr>
        <w:pStyle w:val="24"/>
        <w:ind w:left="720" w:firstLine="48"/>
        <w:jc w:val="both"/>
        <w:rPr>
          <w:rFonts w:ascii="Times New Roman" w:hAnsi="Times New Roman" w:cs="Times New Roman"/>
        </w:rPr>
      </w:pPr>
      <w:r>
        <w:rPr>
          <w:rFonts w:ascii="Times New Roman" w:hAnsi="Times New Roman" w:cs="Times New Roman"/>
        </w:rPr>
        <w:t>"Empty promises: G20 subsidies to oil, gas and coal production" (PDF). Overseas Development Institute (ODI). p. 103. Retrieved 19 July 2020.</w:t>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p>
  </w:footnote>
  <w:footnote w:id="547">
    <w:p w14:paraId="0F68CF0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Elmira Ali Akbari, Contributing Editor: Assessing Canada’s Energy Sector Competitiveness, Fraser </w:t>
      </w:r>
    </w:p>
    <w:p w14:paraId="42DBCD96">
      <w:pPr>
        <w:pStyle w:val="24"/>
        <w:ind w:firstLine="720"/>
        <w:jc w:val="both"/>
        <w:rPr>
          <w:rFonts w:ascii="Times New Roman" w:hAnsi="Times New Roman" w:cs="Times New Roman"/>
        </w:rPr>
      </w:pPr>
      <w:r>
        <w:rPr>
          <w:rFonts w:ascii="Times New Roman" w:hAnsi="Times New Roman" w:cs="Times New Roman"/>
        </w:rPr>
        <w:t xml:space="preserve">publishing, July 2019, </w:t>
      </w:r>
      <w:r>
        <w:fldChar w:fldCharType="begin"/>
      </w:r>
      <w:r>
        <w:instrText xml:space="preserve"> HYPERLINK "https://www.canadianenergynewsnetwork.com/" </w:instrText>
      </w:r>
      <w:r>
        <w:fldChar w:fldCharType="separate"/>
      </w:r>
      <w:r>
        <w:rPr>
          <w:rStyle w:val="27"/>
          <w:rFonts w:ascii="Times New Roman" w:hAnsi="Times New Roman" w:cs="Times New Roman"/>
          <w:u w:val="none"/>
        </w:rPr>
        <w:t>Canadian Energy News Network - Facts and Information Centre</w:t>
      </w:r>
      <w:r>
        <w:rPr>
          <w:rStyle w:val="27"/>
          <w:rFonts w:ascii="Times New Roman" w:hAnsi="Times New Roman" w:cs="Times New Roman"/>
          <w:u w:val="none"/>
        </w:rPr>
        <w:fldChar w:fldCharType="end"/>
      </w:r>
      <w:r>
        <w:rPr>
          <w:rStyle w:val="27"/>
          <w:rFonts w:ascii="Times New Roman" w:hAnsi="Times New Roman" w:cs="Times New Roman"/>
          <w:u w:val="none"/>
        </w:rPr>
        <w:t>.</w:t>
      </w:r>
    </w:p>
  </w:footnote>
  <w:footnote w:id="548">
    <w:p w14:paraId="056ABF4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lang w:val="en"/>
        </w:rPr>
        <w:t>Oil Museum of Canada, oilmuseum.ca.</w:t>
      </w:r>
    </w:p>
  </w:footnote>
  <w:footnote w:id="549">
    <w:p w14:paraId="6B379FDD">
      <w:pPr>
        <w:pStyle w:val="24"/>
        <w:jc w:val="both"/>
        <w:rPr>
          <w:rFonts w:ascii="Times New Roman" w:hAnsi="Times New Roman" w:cs="Times New Roman"/>
          <w:i/>
          <w:iCs/>
          <w:lang w:val="e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"http://www.petroleumhistory.ca/history/wells.html" </w:instrText>
      </w:r>
      <w:r>
        <w:fldChar w:fldCharType="separate"/>
      </w:r>
      <w:r>
        <w:rPr>
          <w:rStyle w:val="27"/>
          <w:rFonts w:ascii="Times New Roman" w:hAnsi="Times New Roman" w:cs="Times New Roman"/>
          <w:u w:val="none"/>
          <w:lang w:val="en"/>
        </w:rPr>
        <w:t>"Six Historical Events in the First 100 Years of Canada's Petroleum Industry"</w:t>
      </w:r>
      <w:r>
        <w:rPr>
          <w:rStyle w:val="27"/>
          <w:rFonts w:ascii="Times New Roman" w:hAnsi="Times New Roman" w:cs="Times New Roman"/>
          <w:u w:val="none"/>
          <w:lang w:val="en"/>
        </w:rPr>
        <w:fldChar w:fldCharType="end"/>
      </w:r>
      <w:r>
        <w:rPr>
          <w:rFonts w:ascii="Times New Roman" w:hAnsi="Times New Roman" w:cs="Times New Roman"/>
          <w:i/>
          <w:iCs/>
          <w:lang w:val="en"/>
        </w:rPr>
        <w:t xml:space="preserve">. Petroleum Historical </w:t>
      </w:r>
    </w:p>
    <w:p w14:paraId="4FFCC22B">
      <w:pPr>
        <w:pStyle w:val="24"/>
        <w:ind w:firstLine="720"/>
        <w:jc w:val="both"/>
        <w:rPr>
          <w:rFonts w:ascii="Times New Roman" w:hAnsi="Times New Roman" w:cs="Times New Roman"/>
        </w:rPr>
      </w:pPr>
      <w:r>
        <w:rPr>
          <w:rFonts w:ascii="Times New Roman" w:hAnsi="Times New Roman" w:cs="Times New Roman"/>
          <w:i/>
          <w:iCs/>
          <w:lang w:val="en"/>
        </w:rPr>
        <w:t xml:space="preserve">Society of Canada. 2009. </w:t>
      </w:r>
      <w:r>
        <w:rPr>
          <w:rFonts w:ascii="Times New Roman" w:hAnsi="Times New Roman" w:cs="Times New Roman"/>
          <w:i/>
          <w:iCs/>
        </w:rPr>
        <w:t>https://www.eia.gov/international/analysis/country/CAN.</w:t>
      </w:r>
    </w:p>
  </w:footnote>
  <w:footnote w:id="550">
    <w:p w14:paraId="7427DA97">
      <w:pPr>
        <w:pStyle w:val="24"/>
        <w:jc w:val="both"/>
        <w:rPr>
          <w:rFonts w:ascii="Times New Roman" w:hAnsi="Times New Roman" w:cs="Times New Roman"/>
          <w:lang w:val="e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"https://www.neb-one.gc.ca/nrg/sttstc/crdlndptrlmprdct/stt/stmtdprdctn-eng.html" </w:instrText>
      </w:r>
      <w:r>
        <w:fldChar w:fldCharType="separate"/>
      </w:r>
      <w:r>
        <w:rPr>
          <w:rStyle w:val="27"/>
          <w:rFonts w:ascii="Times New Roman" w:hAnsi="Times New Roman" w:cs="Times New Roman"/>
          <w:color w:val="auto"/>
          <w:lang w:val="en"/>
        </w:rPr>
        <w:t>"Estimated Production of Canadian Crude Oil and Equivalent</w:t>
      </w:r>
      <w:r>
        <w:rPr>
          <w:rStyle w:val="27"/>
          <w:rFonts w:ascii="Times New Roman" w:hAnsi="Times New Roman" w:cs="Times New Roman"/>
          <w:i/>
          <w:iCs/>
          <w:color w:val="auto"/>
          <w:lang w:val="en"/>
        </w:rPr>
        <w:t>"</w:t>
      </w:r>
      <w:r>
        <w:rPr>
          <w:rStyle w:val="27"/>
          <w:rFonts w:ascii="Times New Roman" w:hAnsi="Times New Roman" w:cs="Times New Roman"/>
          <w:i/>
          <w:iCs/>
          <w:color w:val="auto"/>
          <w:lang w:val="en"/>
        </w:rPr>
        <w:fldChar w:fldCharType="end"/>
      </w:r>
      <w:r>
        <w:rPr>
          <w:rFonts w:ascii="Times New Roman" w:hAnsi="Times New Roman" w:cs="Times New Roman"/>
          <w:color w:val="auto"/>
          <w:lang w:val="en"/>
        </w:rPr>
        <w:t>,</w:t>
      </w:r>
      <w:r>
        <w:rPr>
          <w:rFonts w:ascii="Times New Roman" w:hAnsi="Times New Roman" w:cs="Times New Roman"/>
          <w:lang w:val="en"/>
        </w:rPr>
        <w:t xml:space="preserve"> Source: National Energy Board (2015) &amp; </w:t>
      </w:r>
    </w:p>
    <w:p w14:paraId="37F9C02D">
      <w:pPr>
        <w:pStyle w:val="24"/>
        <w:ind w:firstLine="720"/>
        <w:jc w:val="both"/>
        <w:rPr>
          <w:rFonts w:ascii="Times New Roman" w:hAnsi="Times New Roman" w:cs="Times New Roman"/>
          <w:lang w:val="en-GB"/>
        </w:rPr>
      </w:pPr>
      <w:r>
        <w:rPr>
          <w:rFonts w:ascii="Times New Roman" w:hAnsi="Times New Roman" w:cs="Times New Roman"/>
          <w:lang w:val="en"/>
        </w:rPr>
        <w:t>Natural Resources Canada.</w:t>
      </w:r>
    </w:p>
  </w:footnote>
  <w:footnote w:id="551">
    <w:p w14:paraId="034E58CA">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Canada is by far the largest single source of oil imports to the United States, providing 43% of US crude oil</w:t>
      </w:r>
    </w:p>
    <w:p w14:paraId="6FB0FA12">
      <w:pPr>
        <w:pStyle w:val="24"/>
        <w:ind w:firstLine="720"/>
        <w:jc w:val="both"/>
        <w:rPr>
          <w:rFonts w:ascii="Times New Roman" w:hAnsi="Times New Roman" w:cs="Times New Roman"/>
        </w:rPr>
      </w:pPr>
      <w:r>
        <w:rPr>
          <w:rFonts w:ascii="Times New Roman" w:hAnsi="Times New Roman" w:cs="Times New Roman"/>
          <w:bCs/>
        </w:rPr>
        <w:t xml:space="preserve"> imports in 2015</w:t>
      </w:r>
      <w:r>
        <w:rPr>
          <w:rFonts w:ascii="Times New Roman" w:hAnsi="Times New Roman" w:cs="Times New Roman"/>
          <w:bCs/>
          <w:i/>
          <w:iCs/>
        </w:rPr>
        <w:t xml:space="preserve">. </w:t>
      </w:r>
      <w:r>
        <w:fldChar w:fldCharType="begin"/>
      </w:r>
      <w:r>
        <w:instrText xml:space="preserve"> HYPERLINK "https://www.capp.ca/energy/markets/" </w:instrText>
      </w:r>
      <w:r>
        <w:fldChar w:fldCharType="separate"/>
      </w:r>
      <w:r>
        <w:rPr>
          <w:rStyle w:val="27"/>
          <w:rFonts w:ascii="Times New Roman" w:hAnsi="Times New Roman" w:cs="Times New Roman"/>
          <w:bCs/>
          <w:i/>
          <w:iCs/>
          <w:color w:val="auto"/>
          <w:u w:val="none"/>
        </w:rPr>
        <w:t>Canadian Energy Markets | Oil and Gas Imports and Exports (capp.ca)</w:t>
      </w:r>
      <w:r>
        <w:rPr>
          <w:rStyle w:val="27"/>
          <w:rFonts w:ascii="Times New Roman" w:hAnsi="Times New Roman" w:cs="Times New Roman"/>
          <w:bCs/>
          <w:i/>
          <w:iCs/>
          <w:color w:val="auto"/>
          <w:u w:val="none"/>
        </w:rPr>
        <w:fldChar w:fldCharType="end"/>
      </w:r>
      <w:r>
        <w:rPr>
          <w:rFonts w:ascii="Times New Roman" w:hAnsi="Times New Roman" w:cs="Times New Roman"/>
          <w:bCs/>
          <w:i/>
          <w:iCs/>
        </w:rPr>
        <w:t>.</w:t>
      </w:r>
      <w:r>
        <w:rPr>
          <w:rFonts w:ascii="Times New Roman" w:hAnsi="Times New Roman" w:cs="Times New Roman"/>
          <w:bCs/>
        </w:rPr>
        <w:t xml:space="preserve"> </w:t>
      </w:r>
    </w:p>
  </w:footnote>
  <w:footnote w:id="552">
    <w:p w14:paraId="737689B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lang w:val="en"/>
        </w:rPr>
        <w:t>U.S. Imports by Country of Origin-ttps://www.eia.gov/dnav/pet/pet_move_impcus_d_NUS_Z00_mbbl_m.</w:t>
      </w:r>
    </w:p>
  </w:footnote>
  <w:footnote w:id="553">
    <w:p w14:paraId="17ECCD0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w:t>
      </w:r>
      <w:r>
        <w:fldChar w:fldCharType="begin"/>
      </w:r>
      <w:r>
        <w:instrText xml:space="preserve"> HYPERLINK "http://webarchive.bac-lac.gc.ca:8080/wayback/20061104144834/http:/www2.nrcan.gc.ca/es/es/NA-enrgpic2006/p07can-e.htm" </w:instrText>
      </w:r>
      <w:r>
        <w:fldChar w:fldCharType="separate"/>
      </w:r>
      <w:r>
        <w:rPr>
          <w:rStyle w:val="27"/>
          <w:rFonts w:ascii="Times New Roman" w:hAnsi="Times New Roman" w:cs="Times New Roman"/>
          <w:u w:val="none"/>
        </w:rPr>
        <w:t>Legal and Policy Frameworks - Canada"</w:t>
      </w:r>
      <w:r>
        <w:rPr>
          <w:rStyle w:val="27"/>
          <w:rFonts w:ascii="Times New Roman" w:hAnsi="Times New Roman" w:cs="Times New Roman"/>
          <w:u w:val="none"/>
        </w:rPr>
        <w:fldChar w:fldCharType="end"/>
      </w:r>
      <w:r>
        <w:rPr>
          <w:rFonts w:ascii="Times New Roman" w:hAnsi="Times New Roman" w:cs="Times New Roman"/>
        </w:rPr>
        <w:t>. </w:t>
      </w:r>
      <w:r>
        <w:rPr>
          <w:rFonts w:ascii="Times New Roman" w:hAnsi="Times New Roman" w:cs="Times New Roman"/>
          <w:i/>
          <w:iCs/>
        </w:rPr>
        <w:t>North America: The Energy Picture</w:t>
      </w:r>
      <w:r>
        <w:rPr>
          <w:rFonts w:ascii="Times New Roman" w:hAnsi="Times New Roman" w:cs="Times New Roman"/>
        </w:rPr>
        <w:t>. Natural Resources Canada.</w:t>
      </w:r>
    </w:p>
    <w:p w14:paraId="72813E4E">
      <w:pPr>
        <w:pStyle w:val="24"/>
        <w:ind w:firstLine="720"/>
        <w:jc w:val="both"/>
        <w:rPr>
          <w:rFonts w:ascii="Times New Roman" w:hAnsi="Times New Roman" w:cs="Times New Roman"/>
        </w:rPr>
      </w:pPr>
      <w:r>
        <w:rPr>
          <w:rFonts w:ascii="Times New Roman" w:hAnsi="Times New Roman" w:cs="Times New Roman"/>
        </w:rPr>
        <w:t xml:space="preserve"> January 2006. Archived from </w:t>
      </w:r>
      <w:r>
        <w:fldChar w:fldCharType="begin"/>
      </w:r>
      <w:r>
        <w:instrText xml:space="preserve"> HYPERLINK "http://www2.nrcan.gc.ca/es/es/NA-enrgpic2006/p07can-e.htm" </w:instrText>
      </w:r>
      <w:r>
        <w:fldChar w:fldCharType="separate"/>
      </w:r>
      <w:r>
        <w:rPr>
          <w:rStyle w:val="27"/>
          <w:rFonts w:ascii="Times New Roman" w:hAnsi="Times New Roman" w:cs="Times New Roman"/>
          <w:u w:val="none"/>
        </w:rPr>
        <w:t>the original</w:t>
      </w:r>
      <w:r>
        <w:rPr>
          <w:rStyle w:val="27"/>
          <w:rFonts w:ascii="Times New Roman" w:hAnsi="Times New Roman" w:cs="Times New Roman"/>
          <w:u w:val="none"/>
        </w:rPr>
        <w:fldChar w:fldCharType="end"/>
      </w:r>
      <w:r>
        <w:rPr>
          <w:rFonts w:ascii="Times New Roman" w:hAnsi="Times New Roman" w:cs="Times New Roman"/>
        </w:rPr>
        <w:t> on 4 November 2006. Retrieved 16 August 2008.</w:t>
      </w:r>
    </w:p>
  </w:footnote>
  <w:footnote w:id="554">
    <w:p w14:paraId="3192FCA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NNPC has now been incorporated into a limited liability company and will be run as a private commercial </w:t>
      </w:r>
    </w:p>
    <w:p w14:paraId="6EF2FA3D">
      <w:pPr>
        <w:pStyle w:val="24"/>
        <w:ind w:firstLine="720"/>
        <w:jc w:val="both"/>
        <w:rPr>
          <w:rFonts w:ascii="Times New Roman" w:hAnsi="Times New Roman" w:cs="Times New Roman"/>
        </w:rPr>
      </w:pPr>
      <w:r>
        <w:rPr>
          <w:rFonts w:ascii="Times New Roman" w:hAnsi="Times New Roman" w:cs="Times New Roman"/>
        </w:rPr>
        <w:t>entity engaged in petroleum operations under the PIA.</w:t>
      </w:r>
    </w:p>
  </w:footnote>
  <w:footnote w:id="555">
    <w:p w14:paraId="7A76EE1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Michal C. Moore, (October 2015). </w:t>
      </w:r>
      <w:r>
        <w:fldChar w:fldCharType="begin"/>
      </w:r>
      <w:r>
        <w:instrText xml:space="preserve"> HYPERLINK "https://d3n8a8pro7vhmx.cloudfront.net/cdfai/pages/657/attachments/original/1443836558/An_Energy_Strategy_for_Canada.pdf?1443836558" </w:instrText>
      </w:r>
      <w:r>
        <w:fldChar w:fldCharType="separate"/>
      </w:r>
      <w:r>
        <w:rPr>
          <w:rStyle w:val="27"/>
          <w:rFonts w:ascii="Times New Roman" w:hAnsi="Times New Roman" w:cs="Times New Roman"/>
          <w:u w:val="none"/>
        </w:rPr>
        <w:t>An Energy Strategy for Canada</w:t>
      </w:r>
      <w:r>
        <w:rPr>
          <w:rStyle w:val="27"/>
          <w:rFonts w:ascii="Times New Roman" w:hAnsi="Times New Roman" w:cs="Times New Roman"/>
          <w:u w:val="none"/>
        </w:rPr>
        <w:fldChar w:fldCharType="end"/>
      </w:r>
      <w:r>
        <w:rPr>
          <w:rFonts w:ascii="Times New Roman" w:hAnsi="Times New Roman" w:cs="Times New Roman"/>
        </w:rPr>
        <w:t xml:space="preserve"> (PDF). Canadian Global Affairs </w:t>
      </w:r>
    </w:p>
    <w:p w14:paraId="3F99EDC2">
      <w:pPr>
        <w:pStyle w:val="24"/>
        <w:ind w:firstLine="720"/>
        <w:jc w:val="both"/>
        <w:rPr>
          <w:rFonts w:ascii="Times New Roman" w:hAnsi="Times New Roman" w:cs="Times New Roman"/>
        </w:rPr>
      </w:pPr>
      <w:r>
        <w:rPr>
          <w:rFonts w:ascii="Times New Roman" w:hAnsi="Times New Roman" w:cs="Times New Roman"/>
        </w:rPr>
        <w:t>Institute</w:t>
      </w:r>
      <w:r>
        <w:rPr>
          <w:rFonts w:ascii="Times New Roman" w:hAnsi="Times New Roman" w:cs="Times New Roman"/>
          <w:i/>
          <w:iCs/>
        </w:rPr>
        <w:t> (CGAI)</w:t>
      </w:r>
      <w:r>
        <w:rPr>
          <w:rFonts w:ascii="Times New Roman" w:hAnsi="Times New Roman" w:cs="Times New Roman"/>
        </w:rPr>
        <w:t> (Report). Calgary, Alberta. p. 27. </w:t>
      </w:r>
      <w:r>
        <w:fldChar w:fldCharType="begin"/>
      </w:r>
      <w:r>
        <w:instrText xml:space="preserve"> HYPERLINK "https://en.wikipedia.org/wiki/ISBN_(identifier)" \o "ISBN (identifier)" </w:instrText>
      </w:r>
      <w:r>
        <w:fldChar w:fldCharType="separate"/>
      </w:r>
      <w:r>
        <w:rPr>
          <w:rStyle w:val="27"/>
          <w:rFonts w:ascii="Times New Roman" w:hAnsi="Times New Roman" w:cs="Times New Roman"/>
          <w:u w:val="none"/>
        </w:rPr>
        <w:t>ISBN</w:t>
      </w:r>
      <w:r>
        <w:rPr>
          <w:rStyle w:val="27"/>
          <w:rFonts w:ascii="Times New Roman" w:hAnsi="Times New Roman" w:cs="Times New Roman"/>
          <w:u w:val="none"/>
        </w:rPr>
        <w:fldChar w:fldCharType="end"/>
      </w:r>
      <w:r>
        <w:rPr>
          <w:rFonts w:ascii="Times New Roman" w:hAnsi="Times New Roman" w:cs="Times New Roman"/>
        </w:rPr>
        <w:t> </w:t>
      </w:r>
      <w:r>
        <w:fldChar w:fldCharType="begin"/>
      </w:r>
      <w:r>
        <w:instrText xml:space="preserve"> HYPERLINK "https://en.wikipedia.org/wiki/Special:BookSources/978-1-927573-49-5" \o "Special:BookSources/978-1-927573-49-5" </w:instrText>
      </w:r>
      <w:r>
        <w:fldChar w:fldCharType="separate"/>
      </w:r>
      <w:r>
        <w:rPr>
          <w:rStyle w:val="27"/>
          <w:rFonts w:ascii="Times New Roman" w:hAnsi="Times New Roman" w:cs="Times New Roman"/>
          <w:u w:val="none"/>
        </w:rPr>
        <w:t>978-1-927573-49-5</w:t>
      </w:r>
      <w:r>
        <w:rPr>
          <w:rStyle w:val="27"/>
          <w:rFonts w:ascii="Times New Roman" w:hAnsi="Times New Roman" w:cs="Times New Roman"/>
          <w:u w:val="none"/>
        </w:rPr>
        <w:fldChar w:fldCharType="end"/>
      </w:r>
      <w:r>
        <w:rPr>
          <w:rFonts w:ascii="Times New Roman" w:hAnsi="Times New Roman" w:cs="Times New Roman"/>
        </w:rPr>
        <w:t>. Retrieved 20 July 2020.</w:t>
      </w:r>
    </w:p>
  </w:footnote>
  <w:footnote w:id="556">
    <w:p w14:paraId="0F4304DF">
      <w:pPr>
        <w:pStyle w:val="24"/>
        <w:jc w:val="both"/>
        <w:rPr>
          <w:rFonts w:ascii="Times New Roman" w:hAnsi="Times New Roman" w:cs="Times New Roman"/>
          <w:bCs/>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Monica Gattinger, G. Bruce Doern</w:t>
      </w:r>
      <w:r>
        <w:rPr>
          <w:rFonts w:ascii="Times New Roman" w:hAnsi="Times New Roman" w:cs="Times New Roman"/>
          <w:bCs/>
        </w:rPr>
        <w:t xml:space="preserve"> (2003 publication), </w:t>
      </w:r>
      <w:r>
        <w:rPr>
          <w:rFonts w:ascii="Times New Roman" w:hAnsi="Times New Roman" w:cs="Times New Roman"/>
          <w:bCs/>
          <w:i/>
          <w:iCs/>
        </w:rPr>
        <w:t xml:space="preserve">Power Switch: Energy Regulatory Governance in the </w:t>
      </w:r>
    </w:p>
    <w:p w14:paraId="191E86E0">
      <w:pPr>
        <w:pStyle w:val="24"/>
        <w:ind w:left="720"/>
        <w:jc w:val="both"/>
        <w:rPr>
          <w:rFonts w:ascii="Times New Roman" w:hAnsi="Times New Roman" w:cs="Times New Roman"/>
        </w:rPr>
      </w:pPr>
      <w:r>
        <w:rPr>
          <w:rFonts w:ascii="Times New Roman" w:hAnsi="Times New Roman" w:cs="Times New Roman"/>
          <w:bCs/>
          <w:i/>
          <w:iCs/>
        </w:rPr>
        <w:t>21</w:t>
      </w:r>
      <w:r>
        <w:rPr>
          <w:rFonts w:ascii="Times New Roman" w:hAnsi="Times New Roman" w:cs="Times New Roman"/>
          <w:bCs/>
          <w:i/>
          <w:iCs/>
          <w:vertAlign w:val="superscript"/>
        </w:rPr>
        <w:t xml:space="preserve">st </w:t>
      </w:r>
      <w:r>
        <w:rPr>
          <w:rFonts w:ascii="Times New Roman" w:hAnsi="Times New Roman" w:cs="Times New Roman"/>
          <w:bCs/>
          <w:i/>
          <w:iCs/>
        </w:rPr>
        <w:t>Century</w:t>
      </w:r>
      <w:r>
        <w:rPr>
          <w:rFonts w:ascii="Times New Roman" w:hAnsi="Times New Roman" w:cs="Times New Roman"/>
          <w:bCs/>
        </w:rPr>
        <w:t xml:space="preserve">. See also, Monica </w:t>
      </w:r>
      <w:r>
        <w:rPr>
          <w:rFonts w:ascii="Times New Roman" w:hAnsi="Times New Roman" w:cs="Times New Roman"/>
        </w:rPr>
        <w:t>Gattinger, (June 2013). </w:t>
      </w:r>
      <w:r>
        <w:rPr>
          <w:rFonts w:ascii="Times New Roman" w:hAnsi="Times New Roman" w:cs="Times New Roman"/>
          <w:i/>
          <w:iCs/>
        </w:rPr>
        <w:t>A National Energy Strategy for Canada: Golden Age or Golden Cage of Energy Federalism?</w:t>
      </w:r>
      <w:r>
        <w:rPr>
          <w:rFonts w:ascii="Times New Roman" w:hAnsi="Times New Roman" w:cs="Times New Roman"/>
        </w:rPr>
        <w:t xml:space="preserve"> 2013 Annual Conference of the Canadian Political Science Association. Victoria, BC.</w:t>
      </w:r>
    </w:p>
  </w:footnote>
  <w:footnote w:id="557">
    <w:p w14:paraId="189CBCF8">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 -Michal C. Moore, op. cit, p.27: </w:t>
      </w:r>
      <w:bookmarkStart w:id="44" w:name="_Hlk156310551"/>
      <w:r>
        <w:rPr>
          <w:rFonts w:ascii="Times New Roman" w:hAnsi="Times New Roman" w:cs="Times New Roman"/>
          <w:bCs/>
        </w:rPr>
        <w:t xml:space="preserve">Section 92A of </w:t>
      </w:r>
      <w:r>
        <w:rPr>
          <w:rFonts w:ascii="Times New Roman" w:hAnsi="Times New Roman" w:cs="Times New Roman"/>
          <w:bCs/>
          <w:i/>
          <w:iCs/>
        </w:rPr>
        <w:t>the </w:t>
      </w:r>
      <w:r>
        <w:fldChar w:fldCharType="begin"/>
      </w:r>
      <w:r>
        <w:instrText xml:space="preserve"> HYPERLINK "https://en.wikipedia.org/wiki/Constitution_Act,_1867" \o "Constitution Act, 1867" </w:instrText>
      </w:r>
      <w:r>
        <w:fldChar w:fldCharType="separate"/>
      </w:r>
      <w:r>
        <w:rPr>
          <w:rStyle w:val="27"/>
          <w:rFonts w:ascii="Times New Roman" w:hAnsi="Times New Roman" w:cs="Times New Roman"/>
          <w:bCs/>
          <w:i/>
          <w:iCs/>
          <w:u w:val="none"/>
        </w:rPr>
        <w:t>Constitution Act, 1867</w:t>
      </w:r>
      <w:r>
        <w:rPr>
          <w:rStyle w:val="27"/>
          <w:rFonts w:ascii="Times New Roman" w:hAnsi="Times New Roman" w:cs="Times New Roman"/>
          <w:bCs/>
          <w:i/>
          <w:iCs/>
          <w:u w:val="none"/>
        </w:rPr>
        <w:fldChar w:fldCharType="end"/>
      </w:r>
      <w:r>
        <w:rPr>
          <w:rFonts w:ascii="Times New Roman" w:hAnsi="Times New Roman" w:cs="Times New Roman"/>
          <w:bCs/>
        </w:rPr>
        <w:t xml:space="preserve"> assigned to the provincial </w:t>
      </w:r>
    </w:p>
    <w:p w14:paraId="500A309D">
      <w:pPr>
        <w:pStyle w:val="24"/>
        <w:ind w:left="720"/>
        <w:jc w:val="both"/>
        <w:rPr>
          <w:rFonts w:ascii="Times New Roman" w:hAnsi="Times New Roman" w:cs="Times New Roman"/>
        </w:rPr>
      </w:pPr>
      <w:r>
        <w:rPr>
          <w:rFonts w:ascii="Times New Roman" w:hAnsi="Times New Roman" w:cs="Times New Roman"/>
          <w:bCs/>
        </w:rPr>
        <w:t xml:space="preserve">governments the exclusive authority to make laws in relation to non-renewable resources and electrical energy, while Section 125 prevented the CG from taxing any provincial government lands or property. Since 1867, the rules of Canadian federalism ensure that "individual provinces own, market and control energy exports" of energy resources contained within their own provincial borders. </w:t>
      </w:r>
    </w:p>
    <w:bookmarkEnd w:id="44"/>
  </w:footnote>
  <w:footnote w:id="558">
    <w:p w14:paraId="0A48DC3C">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The CG has the power to make treaties with foreign countries. This has important implications for treaties </w:t>
      </w:r>
    </w:p>
    <w:p w14:paraId="28358E83">
      <w:pPr>
        <w:pStyle w:val="24"/>
        <w:ind w:left="720"/>
        <w:jc w:val="both"/>
        <w:rPr>
          <w:rFonts w:ascii="Times New Roman" w:hAnsi="Times New Roman" w:cs="Times New Roman"/>
        </w:rPr>
      </w:pPr>
      <w:r>
        <w:rPr>
          <w:rFonts w:ascii="Times New Roman" w:hAnsi="Times New Roman" w:cs="Times New Roman"/>
          <w:bCs/>
        </w:rPr>
        <w:t>involving energy production, like the </w:t>
      </w:r>
      <w:r>
        <w:fldChar w:fldCharType="begin"/>
      </w:r>
      <w:r>
        <w:instrText xml:space="preserve"> HYPERLINK "https://en.wikipedia.org/wiki/Kyoto_Protocol" \o "Kyoto Protocol" </w:instrText>
      </w:r>
      <w:r>
        <w:fldChar w:fldCharType="separate"/>
      </w:r>
      <w:r>
        <w:rPr>
          <w:rStyle w:val="27"/>
          <w:rFonts w:ascii="Times New Roman" w:hAnsi="Times New Roman" w:cs="Times New Roman"/>
          <w:bCs/>
          <w:i/>
          <w:iCs/>
          <w:color w:val="auto"/>
          <w:u w:val="none"/>
        </w:rPr>
        <w:t>Kyoto Protocol</w:t>
      </w:r>
      <w:r>
        <w:rPr>
          <w:rStyle w:val="27"/>
          <w:rFonts w:ascii="Times New Roman" w:hAnsi="Times New Roman" w:cs="Times New Roman"/>
          <w:bCs/>
          <w:i/>
          <w:iCs/>
          <w:color w:val="auto"/>
          <w:u w:val="none"/>
        </w:rPr>
        <w:fldChar w:fldCharType="end"/>
      </w:r>
      <w:r>
        <w:rPr>
          <w:rFonts w:ascii="Times New Roman" w:hAnsi="Times New Roman" w:cs="Times New Roman"/>
          <w:bCs/>
        </w:rPr>
        <w:t xml:space="preserve">, signed in 2002. The CG, however requires the cooperation of the provincial governments to enforce Treaties. </w:t>
      </w:r>
    </w:p>
  </w:footnote>
  <w:footnote w:id="559">
    <w:p w14:paraId="29A91195">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Camille Fertel, (2013). "Canadian energy and climate policies: A SWOT analysis in search of </w:t>
      </w:r>
    </w:p>
    <w:p w14:paraId="56143A60">
      <w:pPr>
        <w:pStyle w:val="24"/>
        <w:ind w:firstLine="720"/>
        <w:rPr>
          <w:rFonts w:ascii="Times New Roman" w:hAnsi="Times New Roman" w:cs="Times New Roman"/>
        </w:rPr>
      </w:pPr>
      <w:r>
        <w:rPr>
          <w:rFonts w:ascii="Times New Roman" w:hAnsi="Times New Roman" w:cs="Times New Roman"/>
        </w:rPr>
        <w:t>federal/provincial coherence". </w:t>
      </w:r>
      <w:r>
        <w:rPr>
          <w:rFonts w:ascii="Times New Roman" w:hAnsi="Times New Roman" w:cs="Times New Roman"/>
          <w:i/>
          <w:iCs/>
        </w:rPr>
        <w:t>Energy Policy</w:t>
      </w:r>
      <w:r>
        <w:rPr>
          <w:rFonts w:ascii="Times New Roman" w:hAnsi="Times New Roman" w:cs="Times New Roman"/>
        </w:rPr>
        <w:t>. 63: 1139–1150.</w:t>
      </w:r>
      <w:r>
        <w:rPr>
          <w:rFonts w:ascii="Times New Roman" w:hAnsi="Times New Roman" w:cs="Times New Roman"/>
        </w:rPr>
        <w:tab/>
      </w:r>
    </w:p>
  </w:footnote>
  <w:footnote w:id="560">
    <w:p w14:paraId="485B232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Source: Energy.ca. See also; MakingEnergyPolicy_Canada.pdf (jenniferwinter.github.io</w:t>
      </w:r>
    </w:p>
  </w:footnote>
  <w:footnote w:id="561">
    <w:p w14:paraId="6B607A3D">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Laverty, Gene (20 July 2015). "Canada's Provincial leaders reach agreement on energy strategy". </w:t>
      </w:r>
      <w:r>
        <w:rPr>
          <w:rFonts w:ascii="Times New Roman" w:hAnsi="Times New Roman" w:cs="Times New Roman"/>
          <w:i/>
          <w:iCs/>
        </w:rPr>
        <w:t xml:space="preserve">SNL </w:t>
      </w:r>
    </w:p>
    <w:p w14:paraId="6F3E65A7">
      <w:pPr>
        <w:pStyle w:val="24"/>
        <w:ind w:firstLine="720"/>
        <w:jc w:val="both"/>
        <w:rPr>
          <w:rFonts w:ascii="Times New Roman" w:hAnsi="Times New Roman" w:cs="Times New Roman"/>
        </w:rPr>
      </w:pPr>
      <w:r>
        <w:rPr>
          <w:rFonts w:ascii="Times New Roman" w:hAnsi="Times New Roman" w:cs="Times New Roman"/>
          <w:i/>
          <w:iCs/>
        </w:rPr>
        <w:t>Energy Power Daily</w:t>
      </w:r>
      <w:r>
        <w:rPr>
          <w:rFonts w:ascii="Times New Roman" w:hAnsi="Times New Roman" w:cs="Times New Roman"/>
        </w:rPr>
        <w:t>: 1–3.</w:t>
      </w:r>
    </w:p>
  </w:footnote>
  <w:footnote w:id="562">
    <w:p w14:paraId="47CE9C4C">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 - Michal C. Moore, op. cit, p.27.</w:t>
      </w:r>
      <w:r>
        <w:rPr>
          <w:rFonts w:ascii="Times New Roman" w:hAnsi="Times New Roman" w:eastAsia="Times New Roman" w:cs="Times New Roman"/>
          <w:color w:val="auto"/>
          <w:sz w:val="24"/>
          <w:szCs w:val="24"/>
          <w:lang w:val="en-GB"/>
        </w:rPr>
        <w:t xml:space="preserve"> </w:t>
      </w:r>
      <w:r>
        <w:rPr>
          <w:rFonts w:ascii="Times New Roman" w:hAnsi="Times New Roman" w:cs="Times New Roman"/>
          <w:lang w:val="en-GB"/>
        </w:rPr>
        <w:t xml:space="preserve">In 2015, the CG worked with Canada's provincial leaders and reached </w:t>
      </w:r>
    </w:p>
    <w:p w14:paraId="5A0E3612">
      <w:pPr>
        <w:pStyle w:val="24"/>
        <w:ind w:left="720"/>
        <w:rPr>
          <w:rFonts w:ascii="Times New Roman" w:hAnsi="Times New Roman" w:cs="Times New Roman"/>
          <w:i/>
          <w:iCs/>
        </w:rPr>
      </w:pPr>
      <w:r>
        <w:rPr>
          <w:rFonts w:ascii="Times New Roman" w:hAnsi="Times New Roman" w:cs="Times New Roman"/>
          <w:lang w:val="en-GB"/>
        </w:rPr>
        <w:t>an agreement for cooperation in boosting the nation's industry while transitioning to a low-carbon economy.</w:t>
      </w:r>
      <w:r>
        <w:rPr>
          <w:rFonts w:ascii="Times New Roman" w:hAnsi="Times New Roman" w:cs="Times New Roman"/>
          <w:i/>
          <w:iCs/>
        </w:rPr>
        <w:t> </w:t>
      </w:r>
    </w:p>
  </w:footnote>
  <w:footnote w:id="563">
    <w:p w14:paraId="6E3D2A3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Brian Arnold, The Process of Making Tax Policy: An International Comparison- Proceedings of a Round </w:t>
      </w:r>
    </w:p>
    <w:p w14:paraId="3B89DD2B">
      <w:pPr>
        <w:pStyle w:val="24"/>
        <w:ind w:left="720"/>
        <w:jc w:val="both"/>
        <w:rPr>
          <w:rFonts w:ascii="Times New Roman" w:hAnsi="Times New Roman" w:cs="Times New Roman"/>
        </w:rPr>
      </w:pPr>
      <w:r>
        <w:rPr>
          <w:rFonts w:ascii="Times New Roman" w:hAnsi="Times New Roman" w:cs="Times New Roman"/>
        </w:rPr>
        <w:t>Table on the Tax Policy Process, June 2016 (Canada Tax Foundation). The other</w:t>
      </w:r>
      <w:r>
        <w:rPr>
          <w:rFonts w:ascii="Times New Roman" w:hAnsi="Times New Roman" w:cs="Times New Roman"/>
          <w:bCs/>
        </w:rPr>
        <w:t xml:space="preserve"> sources of policy initiatives in Canada include: </w:t>
      </w:r>
    </w:p>
    <w:p w14:paraId="32F69C41">
      <w:pPr>
        <w:pStyle w:val="24"/>
        <w:numPr>
          <w:ilvl w:val="1"/>
          <w:numId w:val="6"/>
        </w:numPr>
        <w:jc w:val="both"/>
        <w:rPr>
          <w:rFonts w:ascii="Times New Roman" w:hAnsi="Times New Roman" w:cs="Times New Roman"/>
        </w:rPr>
      </w:pPr>
      <w:r>
        <w:rPr>
          <w:rFonts w:ascii="Times New Roman" w:hAnsi="Times New Roman" w:cs="Times New Roman"/>
          <w:bCs/>
        </w:rPr>
        <w:t xml:space="preserve">non-elected officials (either individually or by way of recommendations of a parliamentary committee); </w:t>
      </w:r>
      <w:r>
        <w:rPr>
          <w:rFonts w:ascii="Times New Roman" w:hAnsi="Times New Roman" w:cs="Times New Roman"/>
        </w:rPr>
        <w:t>by virtue of 1 Constitution Act, 1867, 30 &amp; 31 Vict. c. 3, section 92. the process for making tax policy in Canada.</w:t>
      </w:r>
    </w:p>
    <w:p w14:paraId="39D53717">
      <w:pPr>
        <w:pStyle w:val="24"/>
        <w:numPr>
          <w:ilvl w:val="1"/>
          <w:numId w:val="6"/>
        </w:numPr>
        <w:jc w:val="both"/>
        <w:rPr>
          <w:rFonts w:ascii="Times New Roman" w:hAnsi="Times New Roman" w:cs="Times New Roman"/>
        </w:rPr>
      </w:pPr>
      <w:r>
        <w:rPr>
          <w:rFonts w:ascii="Times New Roman" w:hAnsi="Times New Roman" w:cs="Times New Roman"/>
        </w:rPr>
        <w:t xml:space="preserve">submissions from individual taxpayers, tax advisers, industry groups, and tax practitioner groups (for example, the Joint Committee on Taxation of the Canadian Bar Association and the Chartered Professional Accountants of Canada [“the CBA-CPA joint committee”] and the Tax Executives Institute); </w:t>
      </w:r>
    </w:p>
    <w:p w14:paraId="43AF4027">
      <w:pPr>
        <w:pStyle w:val="24"/>
        <w:numPr>
          <w:ilvl w:val="1"/>
          <w:numId w:val="6"/>
        </w:numPr>
        <w:jc w:val="both"/>
        <w:rPr>
          <w:rFonts w:ascii="Times New Roman" w:hAnsi="Times New Roman" w:cs="Times New Roman"/>
        </w:rPr>
      </w:pPr>
      <w:r>
        <w:rPr>
          <w:rFonts w:ascii="Times New Roman" w:hAnsi="Times New Roman" w:cs="Times New Roman"/>
        </w:rPr>
        <w:t xml:space="preserve">expert panels appointed by government (for example, the Expert Panel on Financial Security for Children with Severe Disabilities and the Independent Panel on Federal Support to Research and Development); </w:t>
      </w:r>
    </w:p>
    <w:p w14:paraId="353CE6FE">
      <w:pPr>
        <w:pStyle w:val="24"/>
        <w:numPr>
          <w:ilvl w:val="1"/>
          <w:numId w:val="6"/>
        </w:numPr>
        <w:jc w:val="both"/>
        <w:rPr>
          <w:rFonts w:ascii="Times New Roman" w:hAnsi="Times New Roman" w:cs="Times New Roman"/>
        </w:rPr>
      </w:pPr>
      <w:r>
        <w:rPr>
          <w:rFonts w:ascii="Times New Roman" w:hAnsi="Times New Roman" w:cs="Times New Roman"/>
        </w:rPr>
        <w:t xml:space="preserve">studies and research by private groups (for example, the C.D. Howe Institute and the Canadian Tax Foundation). </w:t>
      </w:r>
    </w:p>
    <w:p w14:paraId="7C767B68">
      <w:pPr>
        <w:pStyle w:val="24"/>
        <w:numPr>
          <w:ilvl w:val="1"/>
          <w:numId w:val="6"/>
        </w:numPr>
        <w:jc w:val="both"/>
        <w:rPr>
          <w:rFonts w:ascii="Times New Roman" w:hAnsi="Times New Roman" w:cs="Times New Roman"/>
        </w:rPr>
      </w:pPr>
      <w:r>
        <w:rPr>
          <w:rFonts w:ascii="Times New Roman" w:hAnsi="Times New Roman" w:cs="Times New Roman"/>
        </w:rPr>
        <w:t>international bodies (such as the Organisation for Economic Co-operation and Development [OECD] and the G8/G20); and</w:t>
      </w:r>
    </w:p>
    <w:p w14:paraId="68693C84">
      <w:pPr>
        <w:pStyle w:val="24"/>
        <w:numPr>
          <w:ilvl w:val="1"/>
          <w:numId w:val="6"/>
        </w:numPr>
        <w:jc w:val="both"/>
        <w:rPr>
          <w:rFonts w:ascii="Times New Roman" w:hAnsi="Times New Roman" w:cs="Times New Roman"/>
        </w:rPr>
      </w:pPr>
      <w:r>
        <w:rPr>
          <w:rFonts w:ascii="Times New Roman" w:hAnsi="Times New Roman" w:cs="Times New Roman"/>
        </w:rPr>
        <w:t xml:space="preserve"> academic research and advisers from the academic community. </w:t>
      </w:r>
    </w:p>
  </w:footnote>
  <w:footnote w:id="564">
    <w:p w14:paraId="4CE0089C">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The Department of Finance staff have access to this database for research and analytical purposes. It is a </w:t>
      </w:r>
    </w:p>
    <w:p w14:paraId="49B73937">
      <w:pPr>
        <w:pStyle w:val="24"/>
        <w:ind w:left="720"/>
        <w:jc w:val="both"/>
        <w:rPr>
          <w:rFonts w:ascii="Times New Roman" w:hAnsi="Times New Roman" w:cs="Times New Roman"/>
        </w:rPr>
      </w:pPr>
      <w:r>
        <w:rPr>
          <w:rFonts w:ascii="Times New Roman" w:hAnsi="Times New Roman" w:cs="Times New Roman"/>
          <w:bCs/>
        </w:rPr>
        <w:t>major source of information for the quantitative portion of the TPB’s policy analysis and allows TPB staff to model the projected outcomes of policy proposals, which in turn get imputed into tax legislation.</w:t>
      </w:r>
    </w:p>
  </w:footnote>
  <w:footnote w:id="565">
    <w:p w14:paraId="151AC614">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www.canada.ca/en/department-finance/services/publications/federal-budget.html</w:t>
      </w:r>
    </w:p>
  </w:footnote>
  <w:footnote w:id="566">
    <w:p w14:paraId="3F2DB19A">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"https://www.canada.ca/en.html" </w:instrText>
      </w:r>
      <w:r>
        <w:fldChar w:fldCharType="separate"/>
      </w:r>
      <w:r>
        <w:rPr>
          <w:rStyle w:val="27"/>
          <w:rFonts w:ascii="Times New Roman" w:hAnsi="Times New Roman" w:cs="Times New Roman"/>
          <w:color w:val="auto"/>
          <w:u w:val="none"/>
        </w:rPr>
        <w:t>Canada.ca</w:t>
      </w:r>
      <w:r>
        <w:rPr>
          <w:rStyle w:val="27"/>
          <w:rFonts w:ascii="Times New Roman" w:hAnsi="Times New Roman" w:cs="Times New Roman"/>
          <w:color w:val="auto"/>
          <w:u w:val="none"/>
        </w:rPr>
        <w:fldChar w:fldCharType="end"/>
      </w:r>
      <w:r>
        <w:rPr>
          <w:rFonts w:ascii="Times New Roman" w:hAnsi="Times New Roman" w:cs="Times New Roman"/>
        </w:rPr>
        <w:t xml:space="preserve"> </w:t>
      </w:r>
    </w:p>
  </w:footnote>
  <w:footnote w:id="567">
    <w:p w14:paraId="57032D99">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Government of Canada, Department of Finance – Introduction to the Tax Policy Branch. </w:t>
      </w:r>
    </w:p>
  </w:footnote>
  <w:footnote w:id="568">
    <w:p w14:paraId="2FF91974">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In 1945, Canada's federal government committed itself to use fiscal policy "to maintain a high and stable, </w:t>
      </w:r>
    </w:p>
    <w:p w14:paraId="02524CF0">
      <w:pPr>
        <w:pStyle w:val="24"/>
        <w:ind w:left="720"/>
        <w:jc w:val="both"/>
        <w:rPr>
          <w:rFonts w:ascii="Times New Roman" w:hAnsi="Times New Roman" w:cs="Times New Roman"/>
        </w:rPr>
      </w:pPr>
      <w:r>
        <w:rPr>
          <w:rFonts w:ascii="Times New Roman" w:hAnsi="Times New Roman" w:cs="Times New Roman"/>
          <w:bCs/>
        </w:rPr>
        <w:t>level of employment and income" by setting its budgetary position as the business cycle required, Source: &lt;https://www.thecanadianencyclopedia.ca/en/article/fiscal-policy&gt;</w:t>
      </w:r>
    </w:p>
  </w:footnote>
  <w:footnote w:id="569">
    <w:p w14:paraId="2A5E45D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Canada 2022-Energy Policy review: Source: IEA- International Energy Agency Website: www.iea.org.</w:t>
      </w:r>
    </w:p>
  </w:footnote>
  <w:footnote w:id="570">
    <w:p w14:paraId="7DAA1ADA">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Richard Eccleston and Timothy Woolley: </w:t>
      </w:r>
      <w:r>
        <w:rPr>
          <w:rFonts w:ascii="Times New Roman" w:hAnsi="Times New Roman" w:cs="Times New Roman"/>
          <w:i/>
          <w:iCs/>
        </w:rPr>
        <w:t xml:space="preserve">From Calgary to Canberra: Resource Taxation and Fiscal </w:t>
      </w:r>
    </w:p>
    <w:p w14:paraId="01D5148F">
      <w:pPr>
        <w:pStyle w:val="24"/>
        <w:ind w:left="720"/>
        <w:jc w:val="both"/>
        <w:rPr>
          <w:rFonts w:ascii="Times New Roman" w:hAnsi="Times New Roman" w:cs="Times New Roman"/>
        </w:rPr>
      </w:pPr>
      <w:r>
        <w:rPr>
          <w:rFonts w:ascii="Times New Roman" w:hAnsi="Times New Roman" w:cs="Times New Roman"/>
          <w:i/>
          <w:iCs/>
        </w:rPr>
        <w:t>Federalism in Canada and Australia</w:t>
      </w:r>
      <w:r>
        <w:rPr>
          <w:rFonts w:ascii="Times New Roman" w:hAnsi="Times New Roman" w:cs="Times New Roman"/>
        </w:rPr>
        <w:t xml:space="preserve">, Publius, </w:t>
      </w:r>
      <w:r>
        <w:fldChar w:fldCharType="begin"/>
      </w:r>
      <w:r>
        <w:instrText xml:space="preserve"> HYPERLINK "https://www.jstor.org/stable/i24734599" </w:instrText>
      </w:r>
      <w:r>
        <w:fldChar w:fldCharType="separate"/>
      </w:r>
      <w:r>
        <w:rPr>
          <w:rStyle w:val="27"/>
          <w:rFonts w:ascii="Times New Roman" w:hAnsi="Times New Roman" w:cs="Times New Roman"/>
          <w:color w:val="auto"/>
          <w:u w:val="none"/>
        </w:rPr>
        <w:t>Vol. 45, No. 2 (Spring 2015)</w:t>
      </w:r>
      <w:r>
        <w:rPr>
          <w:rStyle w:val="27"/>
          <w:rFonts w:ascii="Times New Roman" w:hAnsi="Times New Roman" w:cs="Times New Roman"/>
          <w:color w:val="auto"/>
          <w:u w:val="none"/>
        </w:rPr>
        <w:fldChar w:fldCharType="end"/>
      </w:r>
      <w:r>
        <w:rPr>
          <w:rFonts w:ascii="Times New Roman" w:hAnsi="Times New Roman" w:cs="Times New Roman"/>
        </w:rPr>
        <w:t xml:space="preserve">, pp. 216-243, Oxford University Press. </w:t>
      </w:r>
    </w:p>
  </w:footnote>
  <w:footnote w:id="571">
    <w:p w14:paraId="358500B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John F. Helliwell, et al</w:t>
      </w:r>
      <w:r>
        <w:rPr>
          <w:rFonts w:ascii="Times New Roman" w:hAnsi="Times New Roman" w:cs="Times New Roman"/>
          <w:i/>
          <w:iCs/>
        </w:rPr>
        <w:t xml:space="preserve">, Oil and Gas in Canada: The Effects of Domestic Policies and World Events </w:t>
      </w:r>
      <w:r>
        <w:rPr>
          <w:rFonts w:ascii="Times New Roman" w:hAnsi="Times New Roman" w:cs="Times New Roman"/>
          <w:i/>
          <w:iCs/>
          <w:lang w:val="en-GB"/>
        </w:rPr>
        <w:tab/>
      </w:r>
      <w:r>
        <w:rPr>
          <w:rFonts w:ascii="Times New Roman" w:hAnsi="Times New Roman" w:cs="Times New Roman"/>
        </w:rPr>
        <w:t xml:space="preserve">(Toronto: Canadian Tax Foundation, 1988) contains a more complete description of the federal elements of </w:t>
      </w:r>
      <w:r>
        <w:rPr>
          <w:rFonts w:ascii="Times New Roman" w:hAnsi="Times New Roman" w:cs="Times New Roman"/>
          <w:lang w:val="en-GB"/>
        </w:rPr>
        <w:tab/>
      </w:r>
      <w:r>
        <w:rPr>
          <w:rFonts w:ascii="Times New Roman" w:hAnsi="Times New Roman" w:cs="Times New Roman"/>
        </w:rPr>
        <w:t>the various tax systems that have been proposed or applied to oil and gas income and expenses since 1967.</w:t>
      </w:r>
    </w:p>
  </w:footnote>
  <w:footnote w:id="572">
    <w:p w14:paraId="4A7A078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Royal Commission on Taxation 1962-1966 (The Carter Commission)</w:t>
      </w:r>
    </w:p>
  </w:footnote>
  <w:footnote w:id="573">
    <w:p w14:paraId="4680DBE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process for developing Canadian tax policy and law may be considered to include all the </w:t>
      </w:r>
    </w:p>
    <w:p w14:paraId="58821147">
      <w:pPr>
        <w:pStyle w:val="24"/>
        <w:ind w:left="720"/>
        <w:jc w:val="both"/>
        <w:rPr>
          <w:rFonts w:ascii="Times New Roman" w:hAnsi="Times New Roman" w:cs="Times New Roman"/>
        </w:rPr>
      </w:pPr>
      <w:r>
        <w:rPr>
          <w:rFonts w:ascii="Times New Roman" w:hAnsi="Times New Roman" w:cs="Times New Roman"/>
        </w:rPr>
        <w:t xml:space="preserve">activities carried out by the Department of Finance and others before the announcement of a legislative change and the introduction of a bill in the House of Commons, Source:&lt;https://cffp.recherche.usherbrooke.ca.&gt; </w:t>
      </w:r>
    </w:p>
  </w:footnote>
  <w:footnote w:id="574">
    <w:p w14:paraId="223B624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John F. Helliwell, Mary E. MacGregor, Robert N. McRae &amp; Andrd Plourde,</w:t>
      </w:r>
      <w:r>
        <w:rPr>
          <w:rFonts w:ascii="Times New Roman" w:hAnsi="Times New Roman" w:eastAsia="Arial Unicode MS" w:cs="Times New Roman"/>
          <w:color w:val="auto"/>
          <w:sz w:val="24"/>
          <w:szCs w:val="24"/>
        </w:rPr>
        <w:t xml:space="preserve"> </w:t>
      </w:r>
      <w:r>
        <w:rPr>
          <w:rFonts w:ascii="Times New Roman" w:hAnsi="Times New Roman" w:cs="Times New Roman"/>
        </w:rPr>
        <w:t xml:space="preserve">Oil and Gas Taxation, Osgoode </w:t>
      </w:r>
    </w:p>
    <w:p w14:paraId="5B364EA1">
      <w:pPr>
        <w:pStyle w:val="24"/>
        <w:ind w:firstLine="720"/>
        <w:jc w:val="both"/>
        <w:rPr>
          <w:rFonts w:ascii="Times New Roman" w:hAnsi="Times New Roman" w:cs="Times New Roman"/>
        </w:rPr>
      </w:pPr>
      <w:r>
        <w:rPr>
          <w:rFonts w:ascii="Times New Roman" w:hAnsi="Times New Roman" w:cs="Times New Roman"/>
        </w:rPr>
        <w:t>Hall Law Journal, Vol 26 No. 3, 1988.</w:t>
      </w:r>
    </w:p>
  </w:footnote>
  <w:footnote w:id="575">
    <w:p w14:paraId="4D73549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Royal Commission on Taxation, </w:t>
      </w:r>
      <w:r>
        <w:rPr>
          <w:rFonts w:ascii="Times New Roman" w:hAnsi="Times New Roman" w:cs="Times New Roman"/>
          <w:i/>
          <w:iCs/>
        </w:rPr>
        <w:t xml:space="preserve">The Taxation of Mineral Extraction, </w:t>
      </w:r>
      <w:r>
        <w:rPr>
          <w:rFonts w:ascii="Times New Roman" w:hAnsi="Times New Roman" w:cs="Times New Roman"/>
        </w:rPr>
        <w:t xml:space="preserve">by M.W. Bucovetsky, Study </w:t>
      </w:r>
    </w:p>
    <w:p w14:paraId="5C8150D1">
      <w:pPr>
        <w:pStyle w:val="24"/>
        <w:ind w:firstLine="720"/>
        <w:jc w:val="both"/>
        <w:rPr>
          <w:rFonts w:ascii="Times New Roman" w:hAnsi="Times New Roman" w:cs="Times New Roman"/>
        </w:rPr>
      </w:pPr>
      <w:r>
        <w:rPr>
          <w:rFonts w:ascii="Times New Roman" w:hAnsi="Times New Roman" w:cs="Times New Roman"/>
        </w:rPr>
        <w:t>No. 8 (Ottawa: Queen's Printer, 1967).</w:t>
      </w:r>
    </w:p>
  </w:footnote>
  <w:footnote w:id="576">
    <w:p w14:paraId="6806369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Royal Commission on Taxation, </w:t>
      </w:r>
      <w:r>
        <w:rPr>
          <w:rFonts w:ascii="Times New Roman" w:hAnsi="Times New Roman" w:cs="Times New Roman"/>
          <w:i/>
          <w:iCs/>
        </w:rPr>
        <w:t xml:space="preserve">Report, </w:t>
      </w:r>
      <w:r>
        <w:rPr>
          <w:rFonts w:ascii="Times New Roman" w:hAnsi="Times New Roman" w:cs="Times New Roman"/>
        </w:rPr>
        <w:t xml:space="preserve">vol. 4 (Ottawa: Queen's Printer, 1966) (Chair </w:t>
      </w:r>
      <w:r>
        <w:rPr>
          <w:rFonts w:ascii="Times New Roman" w:hAnsi="Times New Roman" w:cs="Times New Roman"/>
          <w:i/>
          <w:iCs/>
        </w:rPr>
        <w:t xml:space="preserve">K. </w:t>
      </w:r>
      <w:r>
        <w:rPr>
          <w:rFonts w:ascii="Times New Roman" w:hAnsi="Times New Roman" w:cs="Times New Roman"/>
        </w:rPr>
        <w:t xml:space="preserve">Lem. </w:t>
      </w:r>
    </w:p>
    <w:p w14:paraId="516948CC">
      <w:pPr>
        <w:pStyle w:val="24"/>
        <w:ind w:firstLine="720"/>
        <w:jc w:val="both"/>
        <w:rPr>
          <w:rFonts w:ascii="Times New Roman" w:hAnsi="Times New Roman" w:cs="Times New Roman"/>
        </w:rPr>
      </w:pPr>
      <w:r>
        <w:rPr>
          <w:rFonts w:ascii="Times New Roman" w:hAnsi="Times New Roman" w:cs="Times New Roman"/>
        </w:rPr>
        <w:t>Carter) at 309.</w:t>
      </w:r>
    </w:p>
  </w:footnote>
  <w:footnote w:id="577">
    <w:p w14:paraId="4F1AA34F">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Ibid at 327.</w:t>
      </w:r>
    </w:p>
  </w:footnote>
  <w:footnote w:id="578">
    <w:p w14:paraId="4BF7E870">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Royal Commission on Taxation (Ottawa: Queen’s Printer and Controller of Stationery, 1967).  The Report </w:t>
      </w:r>
    </w:p>
    <w:p w14:paraId="009CE942">
      <w:pPr>
        <w:pStyle w:val="24"/>
        <w:ind w:firstLine="720"/>
        <w:rPr>
          <w:rFonts w:ascii="Times New Roman" w:hAnsi="Times New Roman" w:cs="Times New Roman"/>
          <w:i/>
          <w:iCs/>
        </w:rPr>
      </w:pPr>
      <w:r>
        <w:rPr>
          <w:rFonts w:ascii="Times New Roman" w:hAnsi="Times New Roman" w:cs="Times New Roman"/>
        </w:rPr>
        <w:t xml:space="preserve">is issued in six (6) volumes. The review Article by Harvey E. Brazer, (published in </w:t>
      </w:r>
      <w:r>
        <w:rPr>
          <w:rFonts w:ascii="Times New Roman" w:hAnsi="Times New Roman" w:cs="Times New Roman"/>
          <w:i/>
          <w:iCs/>
        </w:rPr>
        <w:t xml:space="preserve">The Journal of Finance </w:t>
      </w:r>
    </w:p>
    <w:p w14:paraId="1EAD30EA">
      <w:pPr>
        <w:pStyle w:val="24"/>
        <w:ind w:left="720"/>
        <w:rPr>
          <w:rFonts w:ascii="Times New Roman" w:hAnsi="Times New Roman" w:cs="Times New Roman"/>
        </w:rPr>
      </w:pPr>
      <w:r>
        <w:rPr>
          <w:rFonts w:ascii="Times New Roman" w:hAnsi="Times New Roman" w:cs="Times New Roman"/>
          <w:i/>
          <w:iCs/>
        </w:rPr>
        <w:t>,1967),</w:t>
      </w:r>
      <w:r>
        <w:rPr>
          <w:rFonts w:ascii="Times New Roman" w:hAnsi="Times New Roman" w:cs="Times New Roman"/>
        </w:rPr>
        <w:t xml:space="preserve"> highlighted the need for equity to prevail where the broad objectives of horizontal and vertical equity conflict. </w:t>
      </w:r>
    </w:p>
  </w:footnote>
  <w:footnote w:id="579">
    <w:p w14:paraId="753A53BA">
      <w:pPr>
        <w:pStyle w:val="24"/>
        <w:jc w:val="both"/>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Bill C-259, An Act to amend the Income Tax Act 3d Sess., 28th Part, 1970-71.</w:t>
      </w:r>
    </w:p>
  </w:footnote>
  <w:footnote w:id="580">
    <w:p w14:paraId="59AB004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Benson White Paper states "the Government of Canada places before Parliament, the Canadian people </w:t>
      </w:r>
    </w:p>
    <w:p w14:paraId="2A10949A">
      <w:pPr>
        <w:pStyle w:val="24"/>
        <w:ind w:left="720"/>
        <w:jc w:val="both"/>
        <w:rPr>
          <w:rFonts w:ascii="Times New Roman" w:hAnsi="Times New Roman" w:cs="Times New Roman"/>
        </w:rPr>
      </w:pPr>
      <w:r>
        <w:rPr>
          <w:rFonts w:ascii="Times New Roman" w:hAnsi="Times New Roman" w:cs="Times New Roman"/>
        </w:rPr>
        <w:t xml:space="preserve">and the provincial governments its major proposals for reform of the income tax structure. The government will welcome public discussion of the proposals, particularly in the parliamentary committee considering them. Detailed discussions are also planned with provincial government representatives. ..." p.5. </w:t>
      </w:r>
    </w:p>
  </w:footnote>
  <w:footnote w:id="581">
    <w:p w14:paraId="592192C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Hon. EJ. Benson, Minister of Finance, </w:t>
      </w:r>
      <w:r>
        <w:rPr>
          <w:rFonts w:ascii="Times New Roman" w:hAnsi="Times New Roman" w:cs="Times New Roman"/>
          <w:i/>
          <w:iCs/>
        </w:rPr>
        <w:t>Proposals for Tax</w:t>
      </w:r>
      <w:r>
        <w:rPr>
          <w:rFonts w:ascii="Times New Roman" w:hAnsi="Times New Roman" w:cs="Times New Roman"/>
          <w:b/>
          <w:bCs/>
          <w:i/>
          <w:iCs/>
        </w:rPr>
        <w:t xml:space="preserve"> </w:t>
      </w:r>
      <w:r>
        <w:rPr>
          <w:rFonts w:ascii="Times New Roman" w:hAnsi="Times New Roman" w:cs="Times New Roman"/>
          <w:i/>
          <w:iCs/>
        </w:rPr>
        <w:t xml:space="preserve">Reform </w:t>
      </w:r>
      <w:r>
        <w:rPr>
          <w:rFonts w:ascii="Times New Roman" w:hAnsi="Times New Roman" w:cs="Times New Roman"/>
        </w:rPr>
        <w:t>(Ottawa: Queen's Printer, 1969) at 64.</w:t>
      </w:r>
    </w:p>
  </w:footnote>
  <w:footnote w:id="582">
    <w:p w14:paraId="7808333B">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Canada, House of Commons, Standing Committee on Finance, Trade and Economic Affairs, </w:t>
      </w:r>
      <w:r>
        <w:rPr>
          <w:rFonts w:ascii="Times New Roman" w:hAnsi="Times New Roman" w:cs="Times New Roman"/>
          <w:i/>
          <w:iCs/>
        </w:rPr>
        <w:t xml:space="preserve">Eighteenth </w:t>
      </w:r>
    </w:p>
    <w:p w14:paraId="6DA249F4">
      <w:pPr>
        <w:pStyle w:val="24"/>
        <w:ind w:firstLine="720"/>
        <w:jc w:val="both"/>
        <w:rPr>
          <w:rFonts w:ascii="Times New Roman" w:hAnsi="Times New Roman" w:cs="Times New Roman"/>
        </w:rPr>
      </w:pPr>
      <w:r>
        <w:rPr>
          <w:rFonts w:ascii="Times New Roman" w:hAnsi="Times New Roman" w:cs="Times New Roman"/>
          <w:i/>
          <w:iCs/>
        </w:rPr>
        <w:t xml:space="preserve">Report Respecting the White Paper on Tax Reform </w:t>
      </w:r>
      <w:r>
        <w:rPr>
          <w:rFonts w:ascii="Times New Roman" w:hAnsi="Times New Roman" w:cs="Times New Roman"/>
        </w:rPr>
        <w:t>(Ottawa: Queen's Printer, 1970) at 74.</w:t>
      </w:r>
    </w:p>
  </w:footnote>
  <w:footnote w:id="583">
    <w:p w14:paraId="05FC08A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major exceptions involve the treatment of offshore exploration, the resource allowance to </w:t>
      </w:r>
    </w:p>
    <w:p w14:paraId="30E4E7FA">
      <w:pPr>
        <w:pStyle w:val="24"/>
        <w:ind w:left="720"/>
        <w:jc w:val="both"/>
        <w:rPr>
          <w:rFonts w:ascii="Times New Roman" w:hAnsi="Times New Roman" w:cs="Times New Roman"/>
        </w:rPr>
      </w:pPr>
      <w:r>
        <w:rPr>
          <w:rFonts w:ascii="Times New Roman" w:hAnsi="Times New Roman" w:cs="Times New Roman"/>
        </w:rPr>
        <w:t>"compensate" for the non-deductibility of royalties, and the ability of the consortium operating the Syncrude oil sands plant to deduct royalty payments for federal income tax purposes.</w:t>
      </w:r>
    </w:p>
  </w:footnote>
  <w:footnote w:id="584">
    <w:p w14:paraId="4BA44B4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Canada House of Commons Procedure and Practice, Third Edition, 2017, Chapter 18 Financial Procedures </w:t>
      </w:r>
    </w:p>
    <w:p w14:paraId="78E9A5CE">
      <w:pPr>
        <w:pStyle w:val="24"/>
        <w:ind w:firstLine="720"/>
        <w:jc w:val="both"/>
        <w:rPr>
          <w:rFonts w:ascii="Times New Roman" w:hAnsi="Times New Roman" w:cs="Times New Roman"/>
        </w:rPr>
      </w:pPr>
      <w:r>
        <w:rPr>
          <w:rFonts w:ascii="Times New Roman" w:hAnsi="Times New Roman" w:cs="Times New Roman"/>
        </w:rPr>
        <w:t xml:space="preserve">of House of Commons, Edited by Marc Bosc and André Gagnon, supra s 53. </w:t>
      </w:r>
    </w:p>
  </w:footnote>
  <w:footnote w:id="585">
    <w:p w14:paraId="368AD21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Standing Order </w:t>
      </w:r>
      <w:r>
        <w:fldChar w:fldCharType="begin"/>
      </w:r>
      <w:r>
        <w:instrText xml:space="preserve"> HYPERLINK "https://www.ourcommons.ca/procedure/standing-orders/Index-e.html" </w:instrText>
      </w:r>
      <w:r>
        <w:fldChar w:fldCharType="separate"/>
      </w:r>
      <w:r>
        <w:rPr>
          <w:rStyle w:val="27"/>
          <w:rFonts w:ascii="Times New Roman" w:hAnsi="Times New Roman"/>
          <w:color w:val="auto"/>
        </w:rPr>
        <w:t>80 (1)</w:t>
      </w:r>
      <w:r>
        <w:rPr>
          <w:rStyle w:val="27"/>
          <w:rFonts w:ascii="Times New Roman" w:hAnsi="Times New Roman"/>
          <w:color w:val="auto"/>
        </w:rPr>
        <w:fldChar w:fldCharType="end"/>
      </w:r>
      <w:r>
        <w:rPr>
          <w:rFonts w:ascii="Times New Roman" w:hAnsi="Times New Roman" w:cs="Times New Roman"/>
        </w:rPr>
        <w:t xml:space="preserve">, in 1968, the House agreed to abolish the Committee of Ways and Means, and to do </w:t>
      </w:r>
    </w:p>
    <w:p w14:paraId="2F523184">
      <w:pPr>
        <w:pStyle w:val="24"/>
        <w:ind w:left="720"/>
        <w:jc w:val="both"/>
        <w:rPr>
          <w:rFonts w:ascii="Times New Roman" w:hAnsi="Times New Roman" w:cs="Times New Roman"/>
        </w:rPr>
      </w:pPr>
      <w:r>
        <w:rPr>
          <w:rFonts w:ascii="Times New Roman" w:hAnsi="Times New Roman" w:cs="Times New Roman"/>
        </w:rPr>
        <w:t xml:space="preserve">away with the Committee’s role in considering resolutions to authorize any withdrawals from the Consolidated Revenue Fund following the adoption of supply, and to eliminate the repetitive process of debating budget proposals initially on the motion to resolve into the Committee of Ways and Means. The Ways and Means bills, however, continued to be considered in a Committee of the Whole until 1985. </w:t>
      </w:r>
    </w:p>
  </w:footnote>
  <w:footnote w:id="586">
    <w:p w14:paraId="312B843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CG and each of the 10 PG and 3 Territorial governments develop and enact their tax legislation in </w:t>
      </w:r>
    </w:p>
    <w:p w14:paraId="6D7CA379">
      <w:pPr>
        <w:pStyle w:val="24"/>
        <w:ind w:left="720"/>
        <w:jc w:val="both"/>
        <w:rPr>
          <w:rFonts w:ascii="Times New Roman" w:hAnsi="Times New Roman" w:cs="Times New Roman"/>
        </w:rPr>
      </w:pPr>
      <w:r>
        <w:rPr>
          <w:rFonts w:ascii="Times New Roman" w:hAnsi="Times New Roman" w:cs="Times New Roman"/>
        </w:rPr>
        <w:t>Canada. The CG and PG’s do so under the constitutional authority conferred by the Constitution, whilst the territorial governments do so under power delegated by the CG.</w:t>
      </w:r>
    </w:p>
  </w:footnote>
  <w:footnote w:id="587">
    <w:p w14:paraId="6198433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Royal Commission on Energy (1957–1959) − the Borden Commission, and in 1961, through to the </w:t>
      </w:r>
    </w:p>
    <w:p w14:paraId="2957119C">
      <w:pPr>
        <w:pStyle w:val="24"/>
        <w:ind w:left="720"/>
        <w:jc w:val="both"/>
        <w:rPr>
          <w:rFonts w:ascii="Times New Roman" w:hAnsi="Times New Roman" w:cs="Times New Roman"/>
        </w:rPr>
      </w:pPr>
      <w:r>
        <w:rPr>
          <w:rFonts w:ascii="Times New Roman" w:hAnsi="Times New Roman" w:cs="Times New Roman"/>
        </w:rPr>
        <w:t>Adoption of the National Oil Policy (NOP) and the NEB accepting Mr. Levy's recommendations, which formed the cornerstone of Canada's energy policy, until the NOP ended in September 1973. See also Canadas Proposals for Tax Reform, 1969. (Department of Finance)</w:t>
      </w:r>
    </w:p>
  </w:footnote>
  <w:footnote w:id="588">
    <w:p w14:paraId="0C4B60D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1980 </w:t>
      </w:r>
      <w:r>
        <w:fldChar w:fldCharType="begin"/>
      </w:r>
      <w:r>
        <w:instrText xml:space="preserve"> HYPERLINK "https://en.wikipedia.org/wiki/National_Energy_Program" </w:instrText>
      </w:r>
      <w:r>
        <w:fldChar w:fldCharType="separate"/>
      </w:r>
      <w:r>
        <w:rPr>
          <w:rStyle w:val="27"/>
          <w:rFonts w:ascii="Times New Roman" w:hAnsi="Times New Roman" w:cs="Times New Roman"/>
          <w:color w:val="auto"/>
          <w:u w:val="none"/>
        </w:rPr>
        <w:t>National Energy Program</w:t>
      </w:r>
      <w:r>
        <w:rPr>
          <w:rStyle w:val="27"/>
          <w:rFonts w:ascii="Times New Roman" w:hAnsi="Times New Roman" w:cs="Times New Roman"/>
          <w:color w:val="auto"/>
          <w:u w:val="none"/>
        </w:rPr>
        <w:fldChar w:fldCharType="end"/>
      </w:r>
      <w:r>
        <w:rPr>
          <w:rFonts w:ascii="Times New Roman" w:hAnsi="Times New Roman" w:cs="Times New Roman"/>
        </w:rPr>
        <w:t> (NEP)-</w:t>
      </w:r>
      <w:r>
        <w:rPr>
          <w:rFonts w:ascii="Times New Roman" w:hAnsi="Times New Roman" w:cs="Times New Roman"/>
          <w:i/>
          <w:iCs/>
          <w:color w:val="202122"/>
          <w:sz w:val="19"/>
          <w:szCs w:val="19"/>
          <w:shd w:val="clear" w:color="auto" w:fill="FFFFFF"/>
        </w:rPr>
        <w:t xml:space="preserve"> </w:t>
      </w:r>
      <w:r>
        <w:rPr>
          <w:rFonts w:ascii="Times New Roman" w:hAnsi="Times New Roman" w:cs="Times New Roman"/>
          <w:i/>
          <w:iCs/>
        </w:rPr>
        <w:t>Canadian Journal of Political Science</w:t>
      </w:r>
      <w:r>
        <w:rPr>
          <w:rFonts w:ascii="Times New Roman" w:hAnsi="Times New Roman" w:cs="Times New Roman"/>
        </w:rPr>
        <w:t>. 26 (1): 31–59.</w:t>
      </w:r>
    </w:p>
  </w:footnote>
  <w:footnote w:id="589">
    <w:p w14:paraId="42CF09C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Federal legislation must be passed by both chambers of Parliament (the House of Commons and the</w:t>
      </w:r>
    </w:p>
    <w:p w14:paraId="1BB6B976">
      <w:pPr>
        <w:pStyle w:val="24"/>
        <w:ind w:left="720"/>
        <w:jc w:val="both"/>
        <w:rPr>
          <w:rFonts w:ascii="Times New Roman" w:hAnsi="Times New Roman" w:cs="Times New Roman"/>
        </w:rPr>
      </w:pPr>
      <w:r>
        <w:rPr>
          <w:rFonts w:ascii="Times New Roman" w:hAnsi="Times New Roman" w:cs="Times New Roman"/>
        </w:rPr>
        <w:t xml:space="preserve">Senate). The House and the Senate will generally study proposed legislation in committee before passing it. Legislation becomes law upon receiving Royal Assent (received from the governor general). </w:t>
      </w:r>
    </w:p>
  </w:footnote>
  <w:footnote w:id="590">
    <w:p w14:paraId="4BF5B71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political negotiations and horse trading etc., was a major source of delay and uncertainty which </w:t>
      </w:r>
    </w:p>
    <w:p w14:paraId="2C7EA5CF">
      <w:pPr>
        <w:pStyle w:val="24"/>
        <w:ind w:left="720"/>
        <w:jc w:val="both"/>
        <w:rPr>
          <w:rFonts w:ascii="Times New Roman" w:hAnsi="Times New Roman" w:cs="Times New Roman"/>
        </w:rPr>
      </w:pPr>
      <w:r>
        <w:rPr>
          <w:rFonts w:ascii="Times New Roman" w:hAnsi="Times New Roman" w:cs="Times New Roman"/>
        </w:rPr>
        <w:t>affected the timely legislation of the Nigeria National Petroleum Industry Fiscal Policy (NPIFP) into law. Aspects of the tax policy process continue during the legislative process—for example, the review and</w:t>
      </w:r>
    </w:p>
    <w:p w14:paraId="11ABBA9D">
      <w:pPr>
        <w:pStyle w:val="24"/>
        <w:ind w:firstLine="720"/>
        <w:jc w:val="both"/>
        <w:rPr>
          <w:rFonts w:ascii="Times New Roman" w:hAnsi="Times New Roman" w:cs="Times New Roman"/>
        </w:rPr>
      </w:pPr>
      <w:r>
        <w:rPr>
          <w:rFonts w:ascii="Times New Roman" w:hAnsi="Times New Roman" w:cs="Times New Roman"/>
        </w:rPr>
        <w:t>refinement of draft legislation.</w:t>
      </w:r>
    </w:p>
  </w:footnote>
  <w:footnote w:id="591">
    <w:p w14:paraId="2A0C81C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Canadian Petroleum Resources Act (R.S.C., 1985, c.36 (2</w:t>
      </w:r>
      <w:r>
        <w:rPr>
          <w:rFonts w:ascii="Times New Roman" w:hAnsi="Times New Roman" w:cs="Times New Roman"/>
          <w:vertAlign w:val="superscript"/>
        </w:rPr>
        <w:t>nd</w:t>
      </w:r>
      <w:r>
        <w:rPr>
          <w:rFonts w:ascii="Times New Roman" w:hAnsi="Times New Roman" w:cs="Times New Roman"/>
        </w:rPr>
        <w:t xml:space="preserve"> Supp)). The Act authorizes the issuance by the </w:t>
      </w:r>
    </w:p>
    <w:p w14:paraId="3CDC9154">
      <w:pPr>
        <w:pStyle w:val="24"/>
        <w:ind w:left="720"/>
        <w:jc w:val="both"/>
        <w:rPr>
          <w:rFonts w:ascii="Times New Roman" w:hAnsi="Times New Roman" w:cs="Times New Roman"/>
        </w:rPr>
      </w:pPr>
      <w:r>
        <w:rPr>
          <w:rFonts w:ascii="Times New Roman" w:hAnsi="Times New Roman" w:cs="Times New Roman"/>
        </w:rPr>
        <w:t>Crown of title rights to explore for, develop and produce petroleum in areas under federal jurisdiction that are not covered by other legislation.</w:t>
      </w:r>
    </w:p>
  </w:footnote>
  <w:footnote w:id="592">
    <w:p w14:paraId="74C0270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Canada Oil and Gas Operations Act (RSC, 1985, c.O-7, deals with safety, environmental protection, and </w:t>
      </w:r>
    </w:p>
    <w:p w14:paraId="0AA5CD0D">
      <w:pPr>
        <w:pStyle w:val="24"/>
        <w:ind w:firstLine="720"/>
        <w:jc w:val="both"/>
        <w:rPr>
          <w:rFonts w:ascii="Times New Roman" w:hAnsi="Times New Roman" w:cs="Times New Roman"/>
        </w:rPr>
      </w:pPr>
      <w:r>
        <w:rPr>
          <w:rFonts w:ascii="Times New Roman" w:hAnsi="Times New Roman" w:cs="Times New Roman"/>
        </w:rPr>
        <w:t>resident benefits from exploration and production activities.</w:t>
      </w:r>
    </w:p>
  </w:footnote>
  <w:footnote w:id="593">
    <w:p w14:paraId="15B8244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fldChar w:fldCharType="begin"/>
      </w:r>
      <w:r>
        <w:instrText xml:space="preserve"> HYPERLINK "https://www.google.co.uk/url?sa=t&amp;rct=j&amp;q=&amp;esrc=s&amp;source=web&amp;cd=&amp;cad=rja&amp;uact=8&amp;ved=2ahUKEwjS0IzYktyAAxVjVUEAHcoQAEoQFnoECA0QAw&amp;url=https%3A%2F%2Ficlg.com%2Fpractice-areas%2Foil-and-gas-laws-and-regulations%2Fcanada%23%3A~%3Atext%3DFor%2520example%252C%2520in%2520the%2520province%2Cheld%2520by%2520corporations%2520or%2520trusts.&amp;usg=AOvVaw1Luw0SIqVLCt6k3gl1s5y6&amp;opi=89978449" </w:instrText>
      </w:r>
      <w:r>
        <w:fldChar w:fldCharType="separate"/>
      </w:r>
      <w:r>
        <w:rPr>
          <w:rStyle w:val="27"/>
          <w:rFonts w:ascii="Times New Roman" w:hAnsi="Times New Roman" w:cs="Times New Roman"/>
          <w:color w:val="auto"/>
          <w:u w:val="none"/>
        </w:rPr>
        <w:t>Oil &amp; Gas Laws and Regulations Canada 2023 - ICLG.com</w:t>
      </w:r>
      <w:r>
        <w:rPr>
          <w:rStyle w:val="27"/>
          <w:rFonts w:ascii="Times New Roman" w:hAnsi="Times New Roman" w:cs="Times New Roman"/>
          <w:u w:val="none"/>
        </w:rPr>
        <w:t xml:space="preserve"> </w:t>
      </w:r>
      <w:r>
        <w:rPr>
          <w:rStyle w:val="27"/>
          <w:rFonts w:ascii="Times New Roman" w:hAnsi="Times New Roman" w:cs="Times New Roman"/>
          <w:u w:val="none"/>
        </w:rPr>
        <w:fldChar w:fldCharType="end"/>
      </w:r>
    </w:p>
  </w:footnote>
  <w:footnote w:id="594">
    <w:p w14:paraId="5455306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Government of Alberta, ICLG.com.</w:t>
      </w:r>
    </w:p>
  </w:footnote>
  <w:footnote w:id="595">
    <w:p w14:paraId="632ED37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Canadian federal and provincial governments do not seek to directly participate in the development of </w:t>
      </w:r>
    </w:p>
    <w:p w14:paraId="1673FD63">
      <w:pPr>
        <w:pStyle w:val="24"/>
        <w:ind w:left="720"/>
        <w:jc w:val="both"/>
        <w:rPr>
          <w:rFonts w:ascii="Times New Roman" w:hAnsi="Times New Roman" w:cs="Times New Roman"/>
        </w:rPr>
      </w:pPr>
      <w:r>
        <w:rPr>
          <w:rFonts w:ascii="Times New Roman" w:hAnsi="Times New Roman" w:cs="Times New Roman"/>
        </w:rPr>
        <w:t xml:space="preserve">oil and natural gas reserves as there are not federally or provincially owned oil companies in Canada.  Rather, the governments lease their mineral rights to privately held and publicly listed oil and gas companies to explore for, develop and produce oil and natural gas. </w:t>
      </w:r>
    </w:p>
  </w:footnote>
  <w:footnote w:id="596">
    <w:p w14:paraId="7ACC816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Oil and gas royalties are generally subject to withholding tax at a rate of 25%, which typically is not reduced </w:t>
      </w:r>
    </w:p>
    <w:p w14:paraId="128E10DC">
      <w:pPr>
        <w:pStyle w:val="24"/>
        <w:ind w:left="720"/>
        <w:jc w:val="both"/>
        <w:rPr>
          <w:rFonts w:ascii="Times New Roman" w:hAnsi="Times New Roman" w:cs="Times New Roman"/>
        </w:rPr>
      </w:pPr>
      <w:r>
        <w:rPr>
          <w:rFonts w:ascii="Times New Roman" w:hAnsi="Times New Roman" w:cs="Times New Roman"/>
        </w:rPr>
        <w:t>by applicable tax treaties, but they may be reduced by an applicable tax treaty depending on the nature of the royalty; Deloitte., https://www2.deloitte.com.</w:t>
      </w:r>
    </w:p>
  </w:footnote>
  <w:footnote w:id="597">
    <w:p w14:paraId="6F298EE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20(1) (e) of the Tax Act – tax pools are undepreciated capital cost of any class of </w:t>
      </w:r>
    </w:p>
    <w:p w14:paraId="285B281B">
      <w:pPr>
        <w:pStyle w:val="24"/>
        <w:ind w:firstLine="720"/>
        <w:jc w:val="both"/>
        <w:rPr>
          <w:rFonts w:ascii="Times New Roman" w:hAnsi="Times New Roman" w:cs="Times New Roman"/>
        </w:rPr>
      </w:pPr>
      <w:r>
        <w:rPr>
          <w:rFonts w:ascii="Times New Roman" w:hAnsi="Times New Roman" w:cs="Times New Roman"/>
        </w:rPr>
        <w:t xml:space="preserve">depreciable property, cumulative exploration expense, development expense etc. </w:t>
      </w:r>
    </w:p>
  </w:footnote>
  <w:footnote w:id="598">
    <w:p w14:paraId="4C1E49A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royalties are rental payments to the PG’s and are for the benefits received from drawing out the </w:t>
      </w:r>
    </w:p>
    <w:p w14:paraId="40FD890E">
      <w:pPr>
        <w:pStyle w:val="24"/>
        <w:ind w:left="720"/>
        <w:jc w:val="both"/>
        <w:rPr>
          <w:rFonts w:ascii="Times New Roman" w:hAnsi="Times New Roman" w:cs="Times New Roman"/>
        </w:rPr>
      </w:pPr>
      <w:r>
        <w:rPr>
          <w:rFonts w:ascii="Times New Roman" w:hAnsi="Times New Roman" w:cs="Times New Roman"/>
        </w:rPr>
        <w:t xml:space="preserve">petroleum from the provincial lands, and a cost to hydrocarbon companies for using provincial public property. </w:t>
      </w:r>
    </w:p>
  </w:footnote>
  <w:footnote w:id="599">
    <w:p w14:paraId="597FA6B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Omar Mawji, Institute for Energy Economics and Financial Analysis, 2021 Study. Source: </w:t>
      </w:r>
    </w:p>
    <w:p w14:paraId="112AAE85">
      <w:pPr>
        <w:pStyle w:val="24"/>
        <w:ind w:firstLine="720"/>
        <w:jc w:val="both"/>
        <w:rPr>
          <w:rFonts w:ascii="Times New Roman" w:hAnsi="Times New Roman" w:cs="Times New Roman"/>
        </w:rPr>
      </w:pPr>
      <w:r>
        <w:rPr>
          <w:rFonts w:ascii="Times New Roman" w:hAnsi="Times New Roman" w:cs="Times New Roman"/>
        </w:rPr>
        <w:t>&lt;</w:t>
      </w:r>
      <w:r>
        <w:fldChar w:fldCharType="begin"/>
      </w:r>
      <w:r>
        <w:instrText xml:space="preserve"> HYPERLINK "https://ieefa.org/resources/canadas-oil-and-gas-decommissioning-liability-problem" </w:instrText>
      </w:r>
      <w:r>
        <w:fldChar w:fldCharType="separate"/>
      </w:r>
      <w:r>
        <w:rPr>
          <w:rStyle w:val="27"/>
          <w:rFonts w:ascii="Times New Roman" w:hAnsi="Times New Roman" w:cs="Times New Roman"/>
        </w:rPr>
        <w:t>Canada’s oil and gas decommissioning liability problem | IEEFA</w:t>
      </w:r>
      <w:r>
        <w:rPr>
          <w:rStyle w:val="27"/>
          <w:rFonts w:ascii="Times New Roman" w:hAnsi="Times New Roman" w:cs="Times New Roman"/>
        </w:rPr>
        <w:fldChar w:fldCharType="end"/>
      </w:r>
      <w:r>
        <w:rPr>
          <w:rFonts w:ascii="Times New Roman" w:hAnsi="Times New Roman" w:cs="Times New Roman"/>
        </w:rPr>
        <w:t>&gt; accessed December 2024.</w:t>
      </w:r>
    </w:p>
  </w:footnote>
  <w:footnote w:id="600">
    <w:p w14:paraId="2D75CC1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Ibid. Omar Mawji, Decommissioning liabilities are a major concern for the province of Alberta, which is </w:t>
      </w:r>
    </w:p>
    <w:p w14:paraId="4C385351">
      <w:pPr>
        <w:pStyle w:val="24"/>
        <w:ind w:left="720"/>
        <w:jc w:val="both"/>
        <w:rPr>
          <w:rFonts w:ascii="Times New Roman" w:hAnsi="Times New Roman" w:cs="Times New Roman"/>
        </w:rPr>
      </w:pPr>
      <w:r>
        <w:rPr>
          <w:rFonts w:ascii="Times New Roman" w:hAnsi="Times New Roman" w:cs="Times New Roman"/>
        </w:rPr>
        <w:t>burdened with more than 80 percent of AROs in Canada. More than 70 percent of the 459,000 wells in the province require closure work. The full extent of the decommissioning liabilities problem may not be fully known, given the lack of transparency, and reporting of AROs by oil and gas companies. IEEFA conducted in-depth analysis of five of the 10 most vulnerable publicly listed small-cap oil and gas producers in Canada.</w:t>
      </w:r>
    </w:p>
  </w:footnote>
  <w:footnote w:id="601">
    <w:p w14:paraId="0438EAD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Ibid -John F. Helliwell, et al </w:t>
      </w:r>
      <w:r>
        <w:rPr>
          <w:rFonts w:ascii="Times New Roman" w:hAnsi="Times New Roman" w:cs="Times New Roman"/>
          <w:i/>
          <w:iCs/>
        </w:rPr>
        <w:t xml:space="preserve">Oil and Gas Taxation, </w:t>
      </w:r>
      <w:r>
        <w:rPr>
          <w:rFonts w:ascii="Times New Roman" w:hAnsi="Times New Roman" w:cs="Times New Roman"/>
        </w:rPr>
        <w:t>Osgoode Hall Law journal, vol. 26, No 3.</w:t>
      </w:r>
    </w:p>
  </w:footnote>
  <w:footnote w:id="602">
    <w:p w14:paraId="16970A8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A Guide to Oil and Gas Taxation in Canada-KPMG, (2015 kpmg.ca/energytax). For tax purposes, there is </w:t>
      </w:r>
    </w:p>
    <w:p w14:paraId="3B7BF2FA">
      <w:pPr>
        <w:pStyle w:val="24"/>
        <w:ind w:left="720"/>
        <w:jc w:val="both"/>
      </w:pPr>
      <w:r>
        <w:rPr>
          <w:rFonts w:ascii="Times New Roman" w:hAnsi="Times New Roman" w:cs="Times New Roman"/>
        </w:rPr>
        <w:t>little distinction between a province and territory.</w:t>
      </w:r>
    </w:p>
  </w:footnote>
  <w:footnote w:id="603">
    <w:p w14:paraId="1D25260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KPMG, op.cit.</w:t>
      </w:r>
    </w:p>
  </w:footnote>
  <w:footnote w:id="604">
    <w:p w14:paraId="3531BAA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2017 US Tax Reform Legislation (Public Law [P.L] No. 115-97) business and individual tax rates, and </w:t>
      </w:r>
    </w:p>
    <w:p w14:paraId="4FD1A0A2">
      <w:pPr>
        <w:pStyle w:val="24"/>
        <w:ind w:left="720"/>
        <w:jc w:val="both"/>
        <w:rPr>
          <w:rFonts w:ascii="Times New Roman" w:hAnsi="Times New Roman" w:cs="Times New Roman"/>
        </w:rPr>
      </w:pPr>
      <w:r>
        <w:rPr>
          <w:rFonts w:ascii="Times New Roman" w:hAnsi="Times New Roman" w:cs="Times New Roman"/>
        </w:rPr>
        <w:t>expanding expensing for business while curtailing some of the major expenditures. The Law modernized US international tax rules and provided the most significant overhaul in more than 30 years: source PWC Worldwide Tax Summaries.</w:t>
      </w:r>
    </w:p>
  </w:footnote>
  <w:footnote w:id="605">
    <w:p w14:paraId="380C412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Tax Matters - A Snapshot of Canada’s Competitiveness. A Report prepared by PWC for the Canadian </w:t>
      </w:r>
    </w:p>
    <w:p w14:paraId="492BD732">
      <w:pPr>
        <w:pStyle w:val="24"/>
        <w:ind w:left="720"/>
        <w:jc w:val="both"/>
        <w:rPr>
          <w:rFonts w:ascii="Times New Roman" w:hAnsi="Times New Roman" w:cs="Times New Roman"/>
        </w:rPr>
      </w:pPr>
      <w:r>
        <w:rPr>
          <w:rFonts w:ascii="Times New Roman" w:hAnsi="Times New Roman" w:cs="Times New Roman"/>
        </w:rPr>
        <w:t xml:space="preserve">Chamber of Commerce. https//chamber.ca.2022/01. Internationally, Canada is less tax competitive compared to Australia (−24.7%) with its unusually generous treatment of exploration costs, but much more tax competitive than Brazil (66.5%) with its various tax and resource levies impinging on investment. </w:t>
      </w:r>
    </w:p>
  </w:footnote>
  <w:footnote w:id="606">
    <w:p w14:paraId="31EB803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lang w:val="en-CA"/>
        </w:rPr>
        <w:t>[1978] 2 S.C.R. 545</w:t>
      </w:r>
    </w:p>
  </w:footnote>
  <w:footnote w:id="607">
    <w:p w14:paraId="32A1A846">
      <w:pPr>
        <w:pStyle w:val="24"/>
        <w:jc w:val="both"/>
        <w:rPr>
          <w:rFonts w:ascii="Times New Roman" w:hAnsi="Times New Roman" w:cs="Times New Roman"/>
          <w:i/>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rPr>
        <w:t>The statutes and regulations in question were: (1) </w:t>
      </w:r>
      <w:r>
        <w:rPr>
          <w:rFonts w:ascii="Times New Roman" w:hAnsi="Times New Roman" w:cs="Times New Roman"/>
          <w:i/>
          <w:iCs/>
        </w:rPr>
        <w:t xml:space="preserve">The Oil and Gas Conservation, Stabilization and </w:t>
      </w:r>
    </w:p>
    <w:p w14:paraId="7EC1626A">
      <w:pPr>
        <w:pStyle w:val="24"/>
        <w:ind w:left="720"/>
        <w:jc w:val="both"/>
        <w:rPr>
          <w:rFonts w:ascii="Times New Roman" w:hAnsi="Times New Roman" w:cs="Times New Roman"/>
          <w:lang w:val="en-GB"/>
        </w:rPr>
      </w:pPr>
      <w:r>
        <w:rPr>
          <w:rFonts w:ascii="Times New Roman" w:hAnsi="Times New Roman" w:cs="Times New Roman"/>
          <w:i/>
          <w:iCs/>
        </w:rPr>
        <w:t>Development Act, </w:t>
      </w:r>
      <w:r>
        <w:rPr>
          <w:rFonts w:ascii="Times New Roman" w:hAnsi="Times New Roman" w:cs="Times New Roman"/>
        </w:rPr>
        <w:t>1973-74 (Sask.), c. 72 (Bill 42); (2) </w:t>
      </w:r>
      <w:r>
        <w:rPr>
          <w:rFonts w:ascii="Times New Roman" w:hAnsi="Times New Roman" w:cs="Times New Roman"/>
          <w:i/>
          <w:iCs/>
        </w:rPr>
        <w:t>An Act to amend The Oil and Gas Conservation, Stabilization and Development Act, </w:t>
      </w:r>
      <w:r>
        <w:rPr>
          <w:rFonts w:ascii="Times New Roman" w:hAnsi="Times New Roman" w:cs="Times New Roman"/>
        </w:rPr>
        <w:t>1973-74 (Sask.), c. 73 (Bill 128); (3) </w:t>
      </w:r>
      <w:r>
        <w:rPr>
          <w:rFonts w:ascii="Times New Roman" w:hAnsi="Times New Roman" w:cs="Times New Roman"/>
          <w:i/>
          <w:iCs/>
        </w:rPr>
        <w:t>An Act to amend The Mineral Resources Act, </w:t>
      </w:r>
      <w:r>
        <w:rPr>
          <w:rFonts w:ascii="Times New Roman" w:hAnsi="Times New Roman" w:cs="Times New Roman"/>
        </w:rPr>
        <w:t>1973-74 (Sask.), c. 64 (Bill 127); (4) Amendments to The Petroleum and Natural Gas Regulations, 1969, under </w:t>
      </w:r>
      <w:r>
        <w:rPr>
          <w:rFonts w:ascii="Times New Roman" w:hAnsi="Times New Roman" w:cs="Times New Roman"/>
          <w:i/>
          <w:iCs/>
        </w:rPr>
        <w:t>The Mineral Resources Act, </w:t>
      </w:r>
      <w:r>
        <w:rPr>
          <w:rFonts w:ascii="Times New Roman" w:hAnsi="Times New Roman" w:cs="Times New Roman"/>
        </w:rPr>
        <w:t>as enacted by (a) Order in Council 95/74 (b) Order in Council 1238/74.</w:t>
      </w:r>
    </w:p>
  </w:footnote>
  <w:footnote w:id="608">
    <w:p w14:paraId="5BE9664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2019 BCCA 181, 25 B.C.L.R. (6th) 1, 25 C.E.L.R. (4th) 1, The BC government proposed changes to the </w:t>
      </w:r>
    </w:p>
    <w:p w14:paraId="2406AA76">
      <w:pPr>
        <w:pStyle w:val="24"/>
        <w:ind w:left="720"/>
        <w:jc w:val="both"/>
        <w:rPr>
          <w:rFonts w:ascii="Times New Roman" w:hAnsi="Times New Roman" w:cs="Times New Roman"/>
        </w:rPr>
      </w:pPr>
      <w:r>
        <w:rPr>
          <w:rFonts w:ascii="Times New Roman" w:hAnsi="Times New Roman" w:cs="Times New Roman"/>
        </w:rPr>
        <w:t>Environmental Management Act (the EMA) in April of 2018. The changes would have prohibited the possession, charge, or control of heavy oil in BC without a provincial permit. Premier Horgan referred the matter to the BCCA in response to political controversy and concerns over the constitutionality of the proposed amendments.</w:t>
      </w:r>
    </w:p>
  </w:footnote>
  <w:footnote w:id="609">
    <w:p w14:paraId="2EC6287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Environmental Management Act (British Columbia).</w:t>
      </w:r>
    </w:p>
  </w:footnote>
  <w:footnote w:id="610">
    <w:p w14:paraId="565DEC79">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Trans Mountain Expansion (TMX) project approval will help make sure Canada gets full value for its </w:t>
      </w:r>
    </w:p>
    <w:p w14:paraId="6C45BED6">
      <w:pPr>
        <w:pStyle w:val="24"/>
        <w:ind w:firstLine="720"/>
        <w:rPr>
          <w:rFonts w:ascii="Times New Roman" w:hAnsi="Times New Roman" w:cs="Times New Roman"/>
        </w:rPr>
      </w:pPr>
      <w:r>
        <w:rPr>
          <w:rFonts w:ascii="Times New Roman" w:hAnsi="Times New Roman" w:cs="Times New Roman"/>
        </w:rPr>
        <w:t>Oil.</w:t>
      </w:r>
    </w:p>
  </w:footnote>
  <w:footnote w:id="611">
    <w:p w14:paraId="4AB712A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Tsleil-Waututh Nation v Canada (Attorney General), </w:t>
      </w:r>
      <w:r>
        <w:rPr>
          <w:rFonts w:ascii="Times New Roman" w:hAnsi="Times New Roman" w:cs="Times New Roman"/>
        </w:rPr>
        <w:t>2018 FCA 153.</w:t>
      </w:r>
    </w:p>
  </w:footnote>
  <w:footnote w:id="612">
    <w:p w14:paraId="6C5259C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Coldwater Indian Band et al v Attorney General of Canada</w:t>
      </w:r>
      <w:r>
        <w:rPr>
          <w:rFonts w:ascii="Times New Roman" w:hAnsi="Times New Roman" w:cs="Times New Roman"/>
        </w:rPr>
        <w:t>, 2020 FCA 34 [Coldwater].</w:t>
      </w:r>
    </w:p>
  </w:footnote>
  <w:footnote w:id="613">
    <w:p w14:paraId="2E4AA5A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Brian Ernewein and Nancy Horsman, The Process for Making Tax Policy in Canada; Canadian tax journal /</w:t>
      </w:r>
    </w:p>
    <w:p w14:paraId="00C18516">
      <w:pPr>
        <w:pStyle w:val="24"/>
        <w:ind w:firstLine="720"/>
        <w:jc w:val="both"/>
        <w:rPr>
          <w:rFonts w:ascii="Times New Roman" w:hAnsi="Times New Roman" w:cs="Times New Roman"/>
        </w:rPr>
      </w:pPr>
      <w:r>
        <w:rPr>
          <w:rFonts w:ascii="Times New Roman" w:hAnsi="Times New Roman" w:cs="Times New Roman"/>
        </w:rPr>
        <w:t xml:space="preserve"> revue fiscale Canadienne (2013) 61:4, 1031 - 42.</w:t>
      </w:r>
    </w:p>
  </w:footnote>
  <w:footnote w:id="614">
    <w:p w14:paraId="1B1B3DD0">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tax system should not unduly impede or reduce the economy's productive capacity; Transparency and visibility; Taxpayers should know that a tax exists and how and when it is imposed upon them and others; whilst the structuring of tax laws should aim to minimize noncompliance. Accountability to taxpayers is key as well as accessibility and visibility of information on tax laws and their development, modification, and purpose are necessary for taxpayers. </w:t>
      </w:r>
    </w:p>
  </w:footnote>
  <w:footnote w:id="615">
    <w:p w14:paraId="7F1F1D7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Overview of the Petroleum Industry Bill, (Sept. 2012) https://www.lexology.com/contributors/Hogan- </w:t>
      </w:r>
    </w:p>
    <w:p w14:paraId="67BA5FD1">
      <w:pPr>
        <w:pStyle w:val="24"/>
        <w:ind w:firstLine="720"/>
        <w:jc w:val="both"/>
        <w:rPr>
          <w:rFonts w:ascii="Times New Roman" w:hAnsi="Times New Roman" w:cs="Times New Roman"/>
        </w:rPr>
      </w:pPr>
      <w:r>
        <w:rPr>
          <w:rFonts w:ascii="Times New Roman" w:hAnsi="Times New Roman" w:cs="Times New Roman"/>
        </w:rPr>
        <w:t xml:space="preserve">Lovells: Legal Influencer. </w:t>
      </w:r>
    </w:p>
  </w:footnote>
  <w:footnote w:id="616">
    <w:p w14:paraId="73FAC7A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PIA received presidential consent and was enacted in August 2021.</w:t>
      </w:r>
    </w:p>
  </w:footnote>
  <w:footnote w:id="617">
    <w:p w14:paraId="76C9BBF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 258 of the PIA</w:t>
      </w:r>
    </w:p>
  </w:footnote>
  <w:footnote w:id="618">
    <w:p w14:paraId="343BCC9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 5(1) of the PIA - A host community shall be any of the following: a community situated within the area of </w:t>
      </w:r>
    </w:p>
    <w:p w14:paraId="7525888F">
      <w:pPr>
        <w:pStyle w:val="24"/>
        <w:ind w:left="720"/>
        <w:jc w:val="both"/>
        <w:rPr>
          <w:rFonts w:ascii="Times New Roman" w:hAnsi="Times New Roman" w:cs="Times New Roman"/>
        </w:rPr>
      </w:pPr>
      <w:r>
        <w:rPr>
          <w:rFonts w:ascii="Times New Roman" w:hAnsi="Times New Roman" w:cs="Times New Roman"/>
        </w:rPr>
        <w:t>operation. Provided that a geographical area of community is partly inside and partly outside the area of operation, the entire community shall be considered a host community.</w:t>
      </w:r>
    </w:p>
  </w:footnote>
  <w:footnote w:id="619">
    <w:p w14:paraId="3BF4DADF">
      <w:pPr>
        <w:pStyle w:val="24"/>
        <w:jc w:val="both"/>
        <w:rPr>
          <w:rFonts w:ascii="Times New Roman" w:hAnsi="Times New Roman" w:cs="Times New Roman"/>
          <w:lang w:val="e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lang w:val="en"/>
        </w:rPr>
        <w:t xml:space="preserve">The PIA, 2021 contains 5 Chapters, 319 Sections and 8 Schedules. It deals with new royalty, tax and </w:t>
      </w:r>
    </w:p>
    <w:p w14:paraId="3B7D7FD8">
      <w:pPr>
        <w:pStyle w:val="24"/>
        <w:ind w:left="720"/>
        <w:jc w:val="both"/>
        <w:rPr>
          <w:rFonts w:ascii="Times New Roman" w:hAnsi="Times New Roman" w:cs="Times New Roman"/>
        </w:rPr>
      </w:pPr>
      <w:r>
        <w:rPr>
          <w:rFonts w:ascii="Times New Roman" w:hAnsi="Times New Roman" w:cs="Times New Roman"/>
          <w:lang w:val="en"/>
        </w:rPr>
        <w:t>regulatory and licensing regimes, as well as with rights of preemption; Incorporated Joint Ventures; Domestic Base Price and Pricing Framework; Pricing Formula for Gas Price for the Gas Based Industries; Capital Allowances; Production Allowances and Cost Price Ratio Limit; petroleum fees, rents, and related matters.</w:t>
      </w:r>
    </w:p>
  </w:footnote>
  <w:footnote w:id="620">
    <w:p w14:paraId="4BBD72E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ab/>
      </w:r>
      <w:r>
        <w:rPr>
          <w:rFonts w:ascii="Times New Roman" w:hAnsi="Times New Roman" w:cs="Times New Roman"/>
        </w:rPr>
        <w:t xml:space="preserve">Joshua D. Blank, and Osofsky, Leigh, Simplicity Lost (August 26, 2022). Pittsburgh Tax Review, 2023, UC </w:t>
      </w:r>
    </w:p>
    <w:p w14:paraId="3DEE7631">
      <w:pPr>
        <w:pStyle w:val="24"/>
        <w:ind w:left="720"/>
        <w:jc w:val="both"/>
        <w:rPr>
          <w:rFonts w:ascii="Times New Roman" w:hAnsi="Times New Roman" w:cs="Times New Roman"/>
        </w:rPr>
      </w:pPr>
      <w:r>
        <w:rPr>
          <w:rFonts w:ascii="Times New Roman" w:hAnsi="Times New Roman" w:cs="Times New Roman"/>
        </w:rPr>
        <w:t>Irvine School of Law Research Paper No. 2022-29, UNC Legal Studies Research Paper No. 4201658, Available at SSRN: </w:t>
      </w:r>
      <w:r>
        <w:fldChar w:fldCharType="begin"/>
      </w:r>
      <w:r>
        <w:instrText xml:space="preserve"> HYPERLINK "https://ssrn.com/abstract=4201658" \t "_blank" </w:instrText>
      </w:r>
      <w:r>
        <w:fldChar w:fldCharType="separate"/>
      </w:r>
      <w:r>
        <w:rPr>
          <w:rStyle w:val="27"/>
          <w:rFonts w:ascii="Times New Roman" w:hAnsi="Times New Roman" w:cs="Times New Roman"/>
        </w:rPr>
        <w:t>https://ssrn.com/abstract=4201658</w:t>
      </w:r>
      <w:r>
        <w:rPr>
          <w:rStyle w:val="27"/>
          <w:rFonts w:ascii="Times New Roman" w:hAnsi="Times New Roman" w:cs="Times New Roman"/>
        </w:rPr>
        <w:fldChar w:fldCharType="end"/>
      </w:r>
      <w:r>
        <w:rPr>
          <w:rFonts w:ascii="Times New Roman" w:hAnsi="Times New Roman" w:cs="Times New Roman"/>
        </w:rPr>
        <w:t xml:space="preserve"> </w:t>
      </w:r>
    </w:p>
  </w:footnote>
  <w:footnote w:id="621">
    <w:p w14:paraId="003900F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Pouga Tinhaga, Zachee, Tax Complexity: A Sine Qua Non for Tax Fairness (May 2013). Available at </w:t>
      </w:r>
    </w:p>
    <w:p w14:paraId="25E6719A">
      <w:pPr>
        <w:pStyle w:val="24"/>
        <w:ind w:left="720"/>
        <w:jc w:val="both"/>
        <w:rPr>
          <w:rFonts w:ascii="Times New Roman" w:hAnsi="Times New Roman" w:cs="Times New Roman"/>
        </w:rPr>
      </w:pPr>
      <w:r>
        <w:rPr>
          <w:rFonts w:ascii="Times New Roman" w:hAnsi="Times New Roman" w:cs="Times New Roman"/>
        </w:rPr>
        <w:t>SSRN: </w:t>
      </w:r>
      <w:r>
        <w:fldChar w:fldCharType="begin"/>
      </w:r>
      <w:r>
        <w:instrText xml:space="preserve"> HYPERLINK "https://ssrn.com/abstract=2588661" \t "_blank" </w:instrText>
      </w:r>
      <w:r>
        <w:fldChar w:fldCharType="separate"/>
      </w:r>
      <w:r>
        <w:rPr>
          <w:rStyle w:val="27"/>
          <w:rFonts w:ascii="Times New Roman" w:hAnsi="Times New Roman" w:cs="Times New Roman"/>
        </w:rPr>
        <w:t>https://ssrn.com/abstract=2588661</w:t>
      </w:r>
      <w:r>
        <w:rPr>
          <w:rStyle w:val="27"/>
          <w:rFonts w:ascii="Times New Roman" w:hAnsi="Times New Roman" w:cs="Times New Roman"/>
        </w:rPr>
        <w:fldChar w:fldCharType="end"/>
      </w:r>
      <w:r>
        <w:rPr>
          <w:rFonts w:ascii="Times New Roman" w:hAnsi="Times New Roman" w:cs="Times New Roman"/>
        </w:rPr>
        <w:t> or </w:t>
      </w:r>
      <w:r>
        <w:fldChar w:fldCharType="begin"/>
      </w:r>
      <w:r>
        <w:instrText xml:space="preserve"> HYPERLINK "https://dx.doi.org/10.2139/ssrn.2588661" \t "_blank" </w:instrText>
      </w:r>
      <w:r>
        <w:fldChar w:fldCharType="separate"/>
      </w:r>
      <w:r>
        <w:rPr>
          <w:rStyle w:val="27"/>
          <w:rFonts w:ascii="Times New Roman" w:hAnsi="Times New Roman" w:cs="Times New Roman"/>
        </w:rPr>
        <w:t>http://dx.doi.org/10.2139/ssrn.2588661</w:t>
      </w:r>
      <w:r>
        <w:rPr>
          <w:rStyle w:val="27"/>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ab/>
      </w:r>
    </w:p>
  </w:footnote>
  <w:footnote w:id="622">
    <w:p w14:paraId="14A0D61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Currently, it contributes 80% of the revenues of the Federal Government of Nigeria (FGN), accounts for </w:t>
      </w:r>
    </w:p>
    <w:p w14:paraId="79415072">
      <w:pPr>
        <w:pStyle w:val="24"/>
        <w:ind w:left="720"/>
        <w:jc w:val="both"/>
        <w:rPr>
          <w:rFonts w:ascii="Times New Roman" w:hAnsi="Times New Roman" w:cs="Times New Roman"/>
        </w:rPr>
      </w:pPr>
      <w:r>
        <w:rPr>
          <w:rFonts w:ascii="Times New Roman" w:hAnsi="Times New Roman" w:cs="Times New Roman"/>
        </w:rPr>
        <w:t>around 90% of foreign exchange receipts but only contributes less than 10% to gross domestic product, largely because only a small part of the oil and gas value chain is domesticated.</w:t>
      </w:r>
    </w:p>
  </w:footnote>
  <w:footnote w:id="623">
    <w:p w14:paraId="59B8126F">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These uncertainties in tax and fiscal policy and tax legislation and regulations are examined in chapters 2, 3, </w:t>
      </w:r>
    </w:p>
    <w:p w14:paraId="05A81142">
      <w:pPr>
        <w:pStyle w:val="24"/>
        <w:ind w:firstLine="720"/>
        <w:jc w:val="both"/>
        <w:rPr>
          <w:rFonts w:ascii="Times New Roman" w:hAnsi="Times New Roman" w:cs="Times New Roman"/>
          <w:lang w:val="en-GB"/>
        </w:rPr>
      </w:pPr>
      <w:r>
        <w:rPr>
          <w:rFonts w:ascii="Times New Roman" w:hAnsi="Times New Roman" w:cs="Times New Roman"/>
          <w:lang w:val="en-GB"/>
        </w:rPr>
        <w:t>4, 5 &amp; 6 of the thesis.</w:t>
      </w:r>
    </w:p>
  </w:footnote>
  <w:footnote w:id="624">
    <w:p w14:paraId="1BAAB7CB">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chapters 2,3,4,5 &amp; 6 of this Thesis.</w:t>
      </w:r>
    </w:p>
  </w:footnote>
  <w:footnote w:id="625">
    <w:p w14:paraId="7F599DAA">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Section 1 PIA, states that the entire ownership and control of all petroleum in, under or upon any lands to </w:t>
      </w:r>
    </w:p>
    <w:p w14:paraId="2C02886E">
      <w:pPr>
        <w:pStyle w:val="24"/>
        <w:ind w:left="720"/>
        <w:jc w:val="both"/>
        <w:rPr>
          <w:rFonts w:ascii="Times New Roman" w:hAnsi="Times New Roman" w:cs="Times New Roman"/>
          <w:lang w:val="en-GB"/>
        </w:rPr>
      </w:pPr>
      <w:r>
        <w:rPr>
          <w:rFonts w:ascii="Times New Roman" w:hAnsi="Times New Roman" w:cs="Times New Roman"/>
          <w:lang w:val="en-GB"/>
        </w:rPr>
        <w:t xml:space="preserve">which this section apply shall be vested in the State. This is </w:t>
      </w:r>
      <w:r>
        <w:rPr>
          <w:rFonts w:ascii="Times New Roman" w:hAnsi="Times New Roman" w:cs="Times New Roman"/>
          <w:bCs/>
        </w:rPr>
        <w:t xml:space="preserve">in line with section 44(3) of the Nigerian Federal Constitution which vests the ownership, management, and control of petroleum within Nigeria and its territorial waters, Continental shelf, and Exclusive Economic Zone in the Federal Government of Nigeria (FGN). </w:t>
      </w:r>
    </w:p>
  </w:footnote>
  <w:footnote w:id="626">
    <w:p w14:paraId="341B300B">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 Item 39 of the Second Schedule to the 1999 Constitution. </w:t>
      </w:r>
    </w:p>
  </w:footnote>
  <w:footnote w:id="627">
    <w:p w14:paraId="120ED95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Exclusive Legislative List is a list of items that only the Federal government can legislate on </w:t>
      </w:r>
    </w:p>
    <w:p w14:paraId="5EB55D36">
      <w:pPr>
        <w:pStyle w:val="24"/>
        <w:ind w:firstLine="720"/>
        <w:jc w:val="both"/>
        <w:rPr>
          <w:rFonts w:ascii="Times New Roman" w:hAnsi="Times New Roman" w:cs="Times New Roman"/>
          <w:lang w:val="en-GB"/>
        </w:rPr>
      </w:pPr>
      <w:r>
        <w:rPr>
          <w:rFonts w:ascii="Times New Roman" w:hAnsi="Times New Roman" w:cs="Times New Roman"/>
        </w:rPr>
        <w:t xml:space="preserve">under the 1999 Nigerian Constitution </w:t>
      </w:r>
    </w:p>
  </w:footnote>
  <w:footnote w:id="628">
    <w:p w14:paraId="6EC5C2B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Item 59 of the Second Schedule of the exclusive list -FG has exclusive right for the taxation of incomes, </w:t>
      </w:r>
    </w:p>
    <w:p w14:paraId="33CB1DF3">
      <w:pPr>
        <w:pStyle w:val="24"/>
        <w:ind w:firstLine="720"/>
        <w:jc w:val="both"/>
        <w:rPr>
          <w:rFonts w:ascii="Times New Roman" w:hAnsi="Times New Roman" w:cs="Times New Roman"/>
          <w:lang w:val="en-GB"/>
        </w:rPr>
      </w:pPr>
      <w:r>
        <w:rPr>
          <w:rFonts w:ascii="Times New Roman" w:hAnsi="Times New Roman" w:cs="Times New Roman"/>
        </w:rPr>
        <w:t>profits and capital gains, except as otherwise prescribed by this Constitution.</w:t>
      </w:r>
    </w:p>
  </w:footnote>
  <w:footnote w:id="629">
    <w:p w14:paraId="2254DEA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Arbitration and Conciliation Act of Nigeria is the principal law for arbitration proceedings in Nigeria. </w:t>
      </w:r>
    </w:p>
    <w:p w14:paraId="2CEEE18C">
      <w:pPr>
        <w:pStyle w:val="24"/>
        <w:ind w:left="720"/>
        <w:jc w:val="both"/>
        <w:rPr>
          <w:rFonts w:ascii="Times New Roman" w:hAnsi="Times New Roman" w:cs="Times New Roman"/>
        </w:rPr>
      </w:pPr>
      <w:r>
        <w:rPr>
          <w:rFonts w:ascii="Times New Roman" w:hAnsi="Times New Roman" w:cs="Times New Roman"/>
        </w:rPr>
        <w:t>Nigeria ratified the New York Convention on the Recognition and Enforcement of Foreign Arbitral Awards (10 June 1958 and it came into force 7 June 1959). On 17 March 1970, Nigeria adopted it into the Second Schedule of the Arbitration and Conciliation Act of Nigeria. Also, Nigeria is a signatory to the International Centre for Settlement of Investment Disputes (ICSID) Convention (October 14, 1966) and has adopted the Convention into an Act as the International Centre for Settlement of Investment Disputes (Enforcement of Awards) Act, 2004 which provide that the “award of I.C.S.I. disputes should have effect as awards in final judgement of Supreme Court”.</w:t>
      </w:r>
    </w:p>
  </w:footnote>
  <w:footnote w:id="630">
    <w:p w14:paraId="2C42128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Section 7(1) (2) &amp; 7(3) of the </w:t>
      </w:r>
      <w:r>
        <w:rPr>
          <w:rFonts w:ascii="Times New Roman" w:hAnsi="Times New Roman" w:cs="Times New Roman"/>
        </w:rPr>
        <w:t xml:space="preserve">Conversion and Renewal (Oil Prospecting Licences &amp; Oil Mining Leases) </w:t>
      </w:r>
    </w:p>
    <w:p w14:paraId="7DCC963B">
      <w:pPr>
        <w:pStyle w:val="24"/>
        <w:ind w:firstLine="720"/>
        <w:jc w:val="both"/>
        <w:rPr>
          <w:rFonts w:ascii="Times New Roman" w:hAnsi="Times New Roman" w:cs="Times New Roman"/>
          <w:lang w:val="en-GB"/>
        </w:rPr>
      </w:pPr>
      <w:r>
        <w:rPr>
          <w:rFonts w:ascii="Times New Roman" w:hAnsi="Times New Roman" w:cs="Times New Roman"/>
        </w:rPr>
        <w:t>Regulations (2022).</w:t>
      </w:r>
    </w:p>
  </w:footnote>
  <w:footnote w:id="631">
    <w:p w14:paraId="6BB430A5">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bCs/>
        </w:rPr>
        <w:t xml:space="preserve">Parties to renegotiated PSC shall not be entitled to conversion under these regulations, since such parties </w:t>
      </w:r>
    </w:p>
    <w:p w14:paraId="7ABB1995">
      <w:pPr>
        <w:pStyle w:val="24"/>
        <w:ind w:left="720"/>
        <w:jc w:val="both"/>
        <w:rPr>
          <w:lang w:val="en-GB"/>
        </w:rPr>
      </w:pPr>
      <w:r>
        <w:rPr>
          <w:rFonts w:ascii="Times New Roman" w:hAnsi="Times New Roman" w:cs="Times New Roman"/>
          <w:bCs/>
        </w:rPr>
        <w:t>have agreed to maintain the royalty and taxation provisions under section 311(9) until the renewal of their contracts pursuant to section 303(1) of the PIA.</w:t>
      </w:r>
    </w:p>
  </w:footnote>
  <w:footnote w:id="632">
    <w:p w14:paraId="76D15BD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Sections 92 &amp; 93 of the PIA- all conversion contracts are to be concluded at the earlier of 18 months from </w:t>
      </w:r>
    </w:p>
    <w:p w14:paraId="58BD4AE7">
      <w:pPr>
        <w:pStyle w:val="2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date of passage of the Act (effective date) or the expiration date of the OML or OPL.</w:t>
      </w:r>
    </w:p>
  </w:footnote>
  <w:footnote w:id="633">
    <w:p w14:paraId="70EF6D3C">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All outstanding arbitration or court cases relating to the OPL/ OML will be discontinued, and the </w:t>
      </w:r>
    </w:p>
    <w:p w14:paraId="2C3E9786">
      <w:pPr>
        <w:pStyle w:val="24"/>
        <w:ind w:firstLine="720"/>
        <w:jc w:val="both"/>
        <w:rPr>
          <w:rFonts w:ascii="Times New Roman" w:hAnsi="Times New Roman" w:cs="Times New Roman"/>
        </w:rPr>
      </w:pPr>
      <w:r>
        <w:rPr>
          <w:rFonts w:ascii="Times New Roman" w:hAnsi="Times New Roman" w:cs="Times New Roman"/>
          <w:bCs/>
        </w:rPr>
        <w:t>stabilisation or guarantees provided by the NNPC in respect of such OPL or OML will become null and void.</w:t>
      </w:r>
    </w:p>
  </w:footnote>
  <w:footnote w:id="634">
    <w:p w14:paraId="7566C0D9">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All existing companies that convert their existing licenses are to file their first set of returns 18 months from </w:t>
      </w:r>
    </w:p>
    <w:p w14:paraId="020133F4">
      <w:pPr>
        <w:pStyle w:val="24"/>
        <w:ind w:firstLine="720"/>
        <w:jc w:val="both"/>
        <w:rPr>
          <w:rFonts w:ascii="Times New Roman" w:hAnsi="Times New Roman" w:cs="Times New Roman"/>
        </w:rPr>
      </w:pPr>
      <w:r>
        <w:rPr>
          <w:rFonts w:ascii="Times New Roman" w:hAnsi="Times New Roman" w:cs="Times New Roman"/>
          <w:bCs/>
        </w:rPr>
        <w:t>the date of commencement of the Act</w:t>
      </w:r>
      <w:r>
        <w:rPr>
          <w:rFonts w:ascii="Times New Roman" w:hAnsi="Times New Roman" w:cs="Times New Roman"/>
        </w:rPr>
        <w:t>, which is August 16</w:t>
      </w:r>
      <w:r>
        <w:rPr>
          <w:rFonts w:ascii="Times New Roman" w:hAnsi="Times New Roman" w:cs="Times New Roman"/>
          <w:vertAlign w:val="superscript"/>
        </w:rPr>
        <w:t>th</w:t>
      </w:r>
      <w:r>
        <w:rPr>
          <w:rFonts w:ascii="Times New Roman" w:hAnsi="Times New Roman" w:cs="Times New Roman"/>
        </w:rPr>
        <w:t>, 2021.</w:t>
      </w:r>
    </w:p>
  </w:footnote>
  <w:footnote w:id="635">
    <w:p w14:paraId="50CEF6B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3 PIA specifically empowers the Minister to formulate, monitor, and administer the FG’s policy over </w:t>
      </w:r>
    </w:p>
    <w:p w14:paraId="2EDCAF6F">
      <w:pPr>
        <w:pStyle w:val="24"/>
        <w:ind w:left="720"/>
        <w:jc w:val="both"/>
        <w:rPr>
          <w:rFonts w:ascii="Times New Roman" w:hAnsi="Times New Roman" w:cs="Times New Roman"/>
        </w:rPr>
      </w:pPr>
      <w:r>
        <w:rPr>
          <w:rFonts w:ascii="Times New Roman" w:hAnsi="Times New Roman" w:cs="Times New Roman"/>
        </w:rPr>
        <w:t>the petroleum industry. The Commission and Authority are required to report to the Minister, ensuring total oversight powers over the industry are total.</w:t>
      </w:r>
    </w:p>
  </w:footnote>
  <w:footnote w:id="636">
    <w:p w14:paraId="6343146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Ss 260 – 266 PIA, on charge to Hydrocarbon tax, ascertainment of crude oil revenue, adjusted, assessable, </w:t>
      </w:r>
    </w:p>
    <w:p w14:paraId="1F72C6E1">
      <w:pPr>
        <w:pStyle w:val="24"/>
        <w:ind w:left="720"/>
        <w:jc w:val="both"/>
        <w:rPr>
          <w:rFonts w:ascii="Times New Roman" w:hAnsi="Times New Roman" w:cs="Times New Roman"/>
        </w:rPr>
      </w:pPr>
      <w:r>
        <w:rPr>
          <w:rFonts w:ascii="Times New Roman" w:hAnsi="Times New Roman" w:cs="Times New Roman"/>
        </w:rPr>
        <w:t>chargeable profits, allowable and not allowable deductions, and assessable profits and losses and chargeable profits and allowances.</w:t>
      </w:r>
    </w:p>
  </w:footnote>
  <w:footnote w:id="637">
    <w:p w14:paraId="11446B3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PIA introduced the hydrocarbon tax under S. 260 which shall be applicable and levied upon the profits </w:t>
      </w:r>
    </w:p>
    <w:p w14:paraId="08D1459E">
      <w:pPr>
        <w:pStyle w:val="24"/>
        <w:ind w:left="720"/>
        <w:jc w:val="both"/>
        <w:rPr>
          <w:rFonts w:ascii="Times New Roman" w:hAnsi="Times New Roman" w:cs="Times New Roman"/>
        </w:rPr>
      </w:pPr>
      <w:r>
        <w:rPr>
          <w:rFonts w:ascii="Times New Roman" w:hAnsi="Times New Roman" w:cs="Times New Roman"/>
        </w:rPr>
        <w:t>of companies engaged in upstream petroleum operations in the onshore, shallow water and deep offshore, payable during each accounting period. Whilst S 267 ascertains the chargeable tax for any accounting period to be 30% of the profit from crude oil for petroleum mining leases with respect to offshore and shallow water areas and 15% of the profit from crude oil for onshore and shallow water for Petroleum Prospecting Licenses.</w:t>
      </w:r>
    </w:p>
    <w:p w14:paraId="5F6879D1">
      <w:pPr>
        <w:pStyle w:val="24"/>
      </w:pPr>
    </w:p>
  </w:footnote>
  <w:footnote w:id="638">
    <w:p w14:paraId="4616225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 302 PIA</w:t>
      </w:r>
      <w:r>
        <w:rPr>
          <w:rFonts w:ascii="Times New Roman" w:hAnsi="Times New Roman" w:cs="Times New Roman"/>
        </w:rPr>
        <w:tab/>
      </w:r>
    </w:p>
  </w:footnote>
  <w:footnote w:id="639">
    <w:p w14:paraId="5A302E28">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Oil and/or gas transportation companies will not be allowed to engage directly in the purchase and/or </w:t>
      </w:r>
    </w:p>
    <w:p w14:paraId="0567AA79">
      <w:pPr>
        <w:pStyle w:val="24"/>
        <w:ind w:left="720"/>
        <w:jc w:val="both"/>
        <w:rPr>
          <w:rFonts w:ascii="Times New Roman" w:hAnsi="Times New Roman" w:cs="Times New Roman"/>
        </w:rPr>
      </w:pPr>
      <w:r>
        <w:rPr>
          <w:rFonts w:ascii="Times New Roman" w:hAnsi="Times New Roman" w:cs="Times New Roman"/>
          <w:bCs/>
        </w:rPr>
        <w:t>sale of petroleum crude, petroleum products or gas, and vice versa for trading companies, except through separate corporate vehicles. In the new era with a new market structure, a suitable and effective network code will be introduced, to govern open access to infrastructure facilities.</w:t>
      </w:r>
    </w:p>
  </w:footnote>
  <w:footnote w:id="640">
    <w:p w14:paraId="750393A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See section 262 PIA.</w:t>
      </w:r>
    </w:p>
  </w:footnote>
  <w:footnote w:id="641">
    <w:p w14:paraId="2545957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262 provides that the crude oil revenue of a company, in any accounting period, shall be the value </w:t>
      </w:r>
    </w:p>
    <w:p w14:paraId="7983B77D">
      <w:pPr>
        <w:pStyle w:val="24"/>
        <w:ind w:left="720"/>
        <w:jc w:val="both"/>
        <w:rPr>
          <w:rFonts w:ascii="Times New Roman" w:hAnsi="Times New Roman" w:cs="Times New Roman"/>
        </w:rPr>
      </w:pPr>
      <w:r>
        <w:rPr>
          <w:rFonts w:ascii="Times New Roman" w:hAnsi="Times New Roman" w:cs="Times New Roman"/>
        </w:rPr>
        <w:t>of any chargeable oil adjusted to measurement points based on proceeds of all chargeable oil sold and value of chargeable oil disposed.</w:t>
      </w:r>
    </w:p>
  </w:footnote>
  <w:footnote w:id="642">
    <w:p w14:paraId="4D233EA1">
      <w:pPr>
        <w:pStyle w:val="24"/>
        <w:jc w:val="both"/>
        <w:rPr>
          <w:rFonts w:ascii="Times New Roman" w:hAnsi="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 xml:space="preserve">  </w:t>
      </w:r>
      <w:r>
        <w:rPr>
          <w:rFonts w:ascii="Times New Roman" w:hAnsi="Times New Roman" w:cs="Times New Roman"/>
        </w:rPr>
        <w:t xml:space="preserve">   Petroleum Industry bill – A Game Changer &lt;</w:t>
      </w:r>
      <w:r>
        <w:fldChar w:fldCharType="begin"/>
      </w:r>
      <w:r>
        <w:instrText xml:space="preserve"> HYPERLINK "https://assets.kpmg/content/dam/kpmg/%20%20ng/pdf/tax/petroleum-industry-bill-(pib)-2020-%20a-game-%20changer.pdf" </w:instrText>
      </w:r>
      <w:r>
        <w:fldChar w:fldCharType="separate"/>
      </w:r>
      <w:r>
        <w:rPr>
          <w:rStyle w:val="27"/>
          <w:rFonts w:ascii="Times New Roman" w:hAnsi="Times New Roman" w:cs="Times New Roman"/>
        </w:rPr>
        <w:t>https://assets.kpmg/content/dam/kpmg/  ng/pdf/tax/petroleum-</w:t>
      </w:r>
      <w:r>
        <w:rPr>
          <w:rStyle w:val="27"/>
          <w:rFonts w:ascii="Times New Roman" w:hAnsi="Times New Roman" w:cs="Times New Roman"/>
          <w:lang w:val="en-GB"/>
        </w:rPr>
        <w:tab/>
      </w:r>
      <w:r>
        <w:rPr>
          <w:rStyle w:val="27"/>
          <w:rFonts w:ascii="Times New Roman" w:hAnsi="Times New Roman" w:cs="Times New Roman"/>
        </w:rPr>
        <w:t>industry-bill-(pib)-2020-%20a-game- changer.pdf</w:t>
      </w:r>
      <w:r>
        <w:rPr>
          <w:rStyle w:val="27"/>
          <w:rFonts w:ascii="Times New Roman" w:hAnsi="Times New Roman" w:cs="Times New Roman"/>
        </w:rPr>
        <w:fldChar w:fldCharType="end"/>
      </w:r>
      <w:r>
        <w:rPr>
          <w:rFonts w:ascii="Times New Roman" w:hAnsi="Times New Roman" w:cs="Times New Roman"/>
        </w:rPr>
        <w:t>,</w:t>
      </w:r>
    </w:p>
  </w:footnote>
  <w:footnote w:id="643">
    <w:p w14:paraId="5C268905">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PPT top rate of 85% and other special purpose taxes and levies </w:t>
      </w:r>
    </w:p>
  </w:footnote>
  <w:footnote w:id="644">
    <w:p w14:paraId="4D63592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Sections 260 – 301 of the PIA.</w:t>
      </w:r>
    </w:p>
  </w:footnote>
  <w:footnote w:id="645">
    <w:p w14:paraId="77614E2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302 of the PIA. </w:t>
      </w:r>
    </w:p>
  </w:footnote>
  <w:footnote w:id="646">
    <w:p w14:paraId="4EACC3FE">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Companies with downstream and midstream petroleum operations will only be taxable in line with the </w:t>
      </w:r>
    </w:p>
    <w:p w14:paraId="54E7C24F">
      <w:pPr>
        <w:pStyle w:val="24"/>
        <w:ind w:firstLine="720"/>
        <w:jc w:val="both"/>
        <w:rPr>
          <w:rFonts w:ascii="Times New Roman" w:hAnsi="Times New Roman" w:cs="Times New Roman"/>
        </w:rPr>
      </w:pPr>
      <w:r>
        <w:rPr>
          <w:rFonts w:ascii="Times New Roman" w:hAnsi="Times New Roman" w:cs="Times New Roman"/>
          <w:bCs/>
        </w:rPr>
        <w:t>provisions of the CITA. See also s. 302 of the PIA.</w:t>
      </w:r>
      <w:r>
        <w:rPr>
          <w:rFonts w:ascii="Times New Roman" w:hAnsi="Times New Roman" w:cs="Times New Roman"/>
        </w:rPr>
        <w:tab/>
      </w:r>
    </w:p>
  </w:footnote>
  <w:footnote w:id="647">
    <w:p w14:paraId="5A16452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Cap C21, Laws of the Federation of Nigeria, 2004.</w:t>
      </w:r>
    </w:p>
  </w:footnote>
  <w:footnote w:id="648">
    <w:p w14:paraId="236733E5">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 260 of the PIA- HT does not apply to </w:t>
      </w:r>
      <w:r>
        <w:rPr>
          <w:rFonts w:ascii="Times New Roman" w:hAnsi="Times New Roman" w:cs="Times New Roman"/>
          <w:bCs/>
        </w:rPr>
        <w:t xml:space="preserve">associated natural gas, including natural gas liquids produced in </w:t>
      </w:r>
    </w:p>
    <w:p w14:paraId="493EAC69">
      <w:pPr>
        <w:pStyle w:val="24"/>
        <w:ind w:left="720"/>
        <w:jc w:val="both"/>
        <w:rPr>
          <w:rFonts w:ascii="Times New Roman" w:hAnsi="Times New Roman" w:cs="Times New Roman"/>
        </w:rPr>
      </w:pPr>
      <w:r>
        <w:rPr>
          <w:rFonts w:ascii="Times New Roman" w:hAnsi="Times New Roman" w:cs="Times New Roman"/>
          <w:bCs/>
        </w:rPr>
        <w:t>the field and contained in the rich gas and non-associated natural gas, condensates and natural gas liquids produced from non-associated gas and associated gas and frontier acreage until reclassified.</w:t>
      </w:r>
    </w:p>
  </w:footnote>
  <w:footnote w:id="649">
    <w:p w14:paraId="04691848">
      <w:pPr>
        <w:pStyle w:val="24"/>
        <w:jc w:val="both"/>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258 PIA</w:t>
      </w:r>
    </w:p>
  </w:footnote>
  <w:footnote w:id="650">
    <w:p w14:paraId="4ED5375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267 of the PIA states that the chargeable tax for any accounting period of a company shall be a </w:t>
      </w:r>
    </w:p>
    <w:p w14:paraId="64B9768C">
      <w:pPr>
        <w:pStyle w:val="24"/>
        <w:ind w:left="720"/>
        <w:jc w:val="both"/>
        <w:rPr>
          <w:rFonts w:ascii="Times New Roman" w:hAnsi="Times New Roman" w:cs="Times New Roman"/>
        </w:rPr>
      </w:pPr>
      <w:r>
        <w:rPr>
          <w:rFonts w:ascii="Times New Roman" w:hAnsi="Times New Roman" w:cs="Times New Roman"/>
        </w:rPr>
        <w:t xml:space="preserve">percentage of the aggregated chargeable profit for that period. For holders of petroleum mining leases with respect to offshore and shallow water areas, the chargeable tax shall be 30% of crude oil profits while for holders of petroleum prospecting licenses for onshore and shallow waters, the chargeable tax shall be 15% of crude oil profits. </w:t>
      </w:r>
    </w:p>
  </w:footnote>
  <w:footnote w:id="651">
    <w:p w14:paraId="3A05C68E">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Ss 263 &amp;302, Costs that cannot be directly attributable to production of crude oil, field condensates and </w:t>
      </w:r>
    </w:p>
    <w:p w14:paraId="0A9F0C6E">
      <w:pPr>
        <w:pStyle w:val="24"/>
        <w:ind w:left="720"/>
        <w:jc w:val="both"/>
        <w:rPr>
          <w:rFonts w:ascii="Times New Roman" w:hAnsi="Times New Roman" w:cs="Times New Roman"/>
          <w:bCs/>
        </w:rPr>
      </w:pPr>
      <w:r>
        <w:rPr>
          <w:rFonts w:ascii="Times New Roman" w:hAnsi="Times New Roman" w:cs="Times New Roman"/>
          <w:bCs/>
        </w:rPr>
        <w:t>natural gas liquids from associated gas will not be allowable for deduction for HT purposes. However, such costs will qualify for deduction against company income tax (CIT).</w:t>
      </w:r>
      <w:r>
        <w:rPr>
          <w:bCs/>
        </w:rPr>
        <w:t xml:space="preserve"> </w:t>
      </w:r>
      <w:r>
        <w:tab/>
      </w:r>
    </w:p>
  </w:footnote>
  <w:footnote w:id="652">
    <w:p w14:paraId="12AC9F72">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262 of PIA provides that the crude oil revenue of a company, in any accounting period, shall be </w:t>
      </w:r>
    </w:p>
    <w:p w14:paraId="036D96D5">
      <w:pPr>
        <w:pStyle w:val="24"/>
        <w:ind w:left="720"/>
        <w:jc w:val="both"/>
        <w:rPr>
          <w:rFonts w:ascii="Times New Roman" w:hAnsi="Times New Roman" w:cs="Times New Roman"/>
        </w:rPr>
      </w:pPr>
      <w:r>
        <w:rPr>
          <w:rFonts w:ascii="Times New Roman" w:hAnsi="Times New Roman" w:cs="Times New Roman"/>
        </w:rPr>
        <w:t>the value of any chargeable oil adjusted to measurement points based on proceeds of all chargeable oil sold and value of chargeable oil disposed. The value of chargeable oil disposed shall be based on the aggregate value of crude oil determined for royalties for all fields. Therefore, extraction, storage and transportation costs will no longer be added in determining taxable revenue under the new tax regime, as was the case under the PPT regime.</w:t>
      </w:r>
    </w:p>
  </w:footnote>
  <w:footnote w:id="653">
    <w:p w14:paraId="1E40289F">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Section 93(6) &amp; (7) PIA.</w:t>
      </w:r>
    </w:p>
  </w:footnote>
  <w:footnote w:id="654">
    <w:p w14:paraId="1E631AE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260(3) of the PIA.</w:t>
      </w:r>
    </w:p>
  </w:footnote>
  <w:footnote w:id="655">
    <w:p w14:paraId="5B0CD4A8">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240 of the PIA</w:t>
      </w:r>
    </w:p>
  </w:footnote>
  <w:footnote w:id="656">
    <w:p w14:paraId="164713B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9 PPTA -Ascertainment of profits, adjusted profit, assessable profits, and chargeable profits, which</w:t>
      </w:r>
    </w:p>
    <w:p w14:paraId="3FCC0F6C">
      <w:pPr>
        <w:pStyle w:val="24"/>
        <w:ind w:left="720"/>
        <w:jc w:val="both"/>
        <w:rPr>
          <w:rFonts w:ascii="Times New Roman" w:hAnsi="Times New Roman" w:cs="Times New Roman"/>
        </w:rPr>
      </w:pPr>
      <w:r>
        <w:rPr>
          <w:rFonts w:ascii="Times New Roman" w:hAnsi="Times New Roman" w:cs="Times New Roman"/>
        </w:rPr>
        <w:t>states that: “subject to any express provisions of this Act, in relation to any accounting period, the profits of that period of a company shall be taken to be the aggregate of- (a) the proceeds of sale of all chargeable oil sold by the company in that period; (b) the value of all chargeable oil disposed of by the company in that period; and (c) all income of the company of that period incidental to and arising from any one or more of its petroleum operations. (2) For the purposes of subsection (1) (b) of this section, the value of any chargeable oil so disposed of shall be taken to be the aggregate of- (a) the value of that oil as determined, for the purpose of royalty, in accordance with the provisions of any enactment applicable thereto and any financial agreement or arrangement between the Federal Government of Nigeria and the company; (b) any cost of extraction of that oil deducted in determining its value as referred to in paragraph (a) of this subsection; and (c) any cost incurred by the company in transportation and storage of that oil between the field of production and the place of its disposal”.</w:t>
      </w:r>
    </w:p>
  </w:footnote>
  <w:footnote w:id="657">
    <w:p w14:paraId="1278881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3 (1) of the PSC Act - Determination of petroleum profit tax states that; “The petroleum profits </w:t>
      </w:r>
    </w:p>
    <w:p w14:paraId="3508A1E2">
      <w:pPr>
        <w:pStyle w:val="24"/>
        <w:ind w:left="720"/>
        <w:jc w:val="both"/>
        <w:rPr>
          <w:rFonts w:ascii="Times New Roman" w:hAnsi="Times New Roman" w:cs="Times New Roman"/>
        </w:rPr>
      </w:pPr>
      <w:r>
        <w:rPr>
          <w:rFonts w:ascii="Times New Roman" w:hAnsi="Times New Roman" w:cs="Times New Roman"/>
        </w:rPr>
        <w:t xml:space="preserve">tax payable under a production sharing contract shall be determined in accordance with the Petroleum Profits Tax Act: Provided that the petroleum profits tax applicable to the contract area as defined in the production sharing contracts shall be 50 per cent flat rate of chargeable profits for the duration of the production sharing contracts”.3 (2) “Nothing contained in this Act shall be construed as having exempted the contractors from the payment of any other taxes, duties or levies imposed by any Federal, State or Local Government, or Area Council Authority”. </w:t>
      </w:r>
    </w:p>
  </w:footnote>
  <w:footnote w:id="658">
    <w:p w14:paraId="27372D4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See chapter 4 of this thesis.</w:t>
      </w:r>
      <w:r>
        <w:rPr>
          <w:rFonts w:ascii="Times New Roman" w:hAnsi="Times New Roman" w:cs="Times New Roman"/>
        </w:rPr>
        <w:tab/>
      </w:r>
    </w:p>
  </w:footnote>
  <w:footnote w:id="659">
    <w:p w14:paraId="0AD1A06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9 PPTA.</w:t>
      </w:r>
    </w:p>
  </w:footnote>
  <w:footnote w:id="660">
    <w:p w14:paraId="2703DA4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Export Parity Price is defined as a market driven pricing framework, responsive to fiscal changes and </w:t>
      </w:r>
    </w:p>
    <w:p w14:paraId="59D897A0">
      <w:pPr>
        <w:pStyle w:val="24"/>
        <w:ind w:firstLine="720"/>
        <w:jc w:val="both"/>
        <w:rPr>
          <w:rFonts w:ascii="Times New Roman" w:hAnsi="Times New Roman" w:cs="Times New Roman"/>
        </w:rPr>
      </w:pPr>
      <w:r>
        <w:rPr>
          <w:rFonts w:ascii="Times New Roman" w:hAnsi="Times New Roman" w:cs="Times New Roman"/>
        </w:rPr>
        <w:t>weighted to ensure pricing flexibility while moderating swings to protect fragile domestic industries.</w:t>
      </w:r>
    </w:p>
  </w:footnote>
  <w:footnote w:id="661">
    <w:p w14:paraId="653DAED0">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Sections 8 &amp; 9 of the PPTA as amended by the PSC Act.</w:t>
      </w:r>
    </w:p>
  </w:footnote>
  <w:footnote w:id="662">
    <w:p w14:paraId="0A684BA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PRT was abolished in the Finance Act (FA93) for all fields given development consent on or after 16</w:t>
      </w:r>
      <w:r>
        <w:rPr>
          <w:rFonts w:ascii="Times New Roman" w:hAnsi="Times New Roman" w:cs="Times New Roman"/>
          <w:vertAlign w:val="superscript"/>
        </w:rPr>
        <w:t xml:space="preserve"> </w:t>
      </w:r>
      <w:r>
        <w:rPr>
          <w:rFonts w:ascii="Times New Roman" w:hAnsi="Times New Roman" w:cs="Times New Roman"/>
        </w:rPr>
        <w:t xml:space="preserve">March </w:t>
      </w:r>
    </w:p>
    <w:p w14:paraId="5E2B7406">
      <w:pPr>
        <w:pStyle w:val="24"/>
        <w:ind w:left="720"/>
        <w:jc w:val="both"/>
        <w:rPr>
          <w:rFonts w:ascii="Times New Roman" w:hAnsi="Times New Roman" w:cs="Times New Roman"/>
        </w:rPr>
      </w:pPr>
      <w:r>
        <w:rPr>
          <w:rFonts w:ascii="Times New Roman" w:hAnsi="Times New Roman" w:cs="Times New Roman"/>
        </w:rPr>
        <w:t xml:space="preserve">1993, (see OTO3500). PRT was however permanently zero-rated from 1 January 2016. PRT was permanently zero-rated rather than abolished to enable companies to continue to carry back losses, discussed in chapter 7 of the thesis. </w:t>
      </w:r>
    </w:p>
  </w:footnote>
  <w:footnote w:id="663">
    <w:p w14:paraId="440EFE0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Royalty was charged up to 31 December 2002, when it was abolished. It was levied at 12.5% of the gross </w:t>
      </w:r>
    </w:p>
    <w:p w14:paraId="0E33D89E">
      <w:pPr>
        <w:pStyle w:val="24"/>
        <w:ind w:left="720"/>
        <w:jc w:val="both"/>
        <w:rPr>
          <w:rFonts w:ascii="Times New Roman" w:hAnsi="Times New Roman" w:cs="Times New Roman"/>
        </w:rPr>
      </w:pPr>
      <w:r>
        <w:rPr>
          <w:rFonts w:ascii="Times New Roman" w:hAnsi="Times New Roman" w:cs="Times New Roman"/>
        </w:rPr>
        <w:t>value of oil and gas won in a particular license area, less an allowance for the costs associated with conveying, treating and initial storage of the oil and gas between the well head and the point of valuation, usually the terminal onshore. Royalty was payable on a license basis in exchange for the right, granted under license, to extract oil and gas belonging to the Crown.</w:t>
      </w:r>
    </w:p>
  </w:footnote>
  <w:footnote w:id="664">
    <w:p w14:paraId="7609CDD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SS 263, 264 &amp; 264 of the PIA.</w:t>
      </w:r>
    </w:p>
  </w:footnote>
  <w:footnote w:id="665">
    <w:p w14:paraId="712B4E0E">
      <w:pPr>
        <w:pStyle w:val="24"/>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i/>
          <w:iCs/>
        </w:rPr>
        <w:t>Shell Petroleum Development company Nigeria Ltd v FBIR,</w:t>
      </w:r>
      <w:r>
        <w:rPr>
          <w:rFonts w:ascii="Times New Roman" w:hAnsi="Times New Roman" w:cs="Times New Roman"/>
          <w:bCs/>
        </w:rPr>
        <w:t xml:space="preserve"> (1996) 8 NWLR (Pt 466) 256, and the line of </w:t>
      </w:r>
    </w:p>
    <w:p w14:paraId="255E66E6">
      <w:pPr>
        <w:pStyle w:val="24"/>
        <w:ind w:firstLine="720"/>
        <w:rPr>
          <w:rFonts w:ascii="Times New Roman" w:hAnsi="Times New Roman" w:cs="Times New Roman"/>
        </w:rPr>
      </w:pPr>
      <w:r>
        <w:rPr>
          <w:rFonts w:ascii="Times New Roman" w:hAnsi="Times New Roman" w:cs="Times New Roman"/>
          <w:bCs/>
        </w:rPr>
        <w:t xml:space="preserve">cases examined in chapter 4 of the thesis. </w:t>
      </w:r>
    </w:p>
  </w:footnote>
  <w:footnote w:id="666">
    <w:p w14:paraId="319E4A1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266(2) &amp; 6</w:t>
      </w:r>
      <w:r>
        <w:rPr>
          <w:rFonts w:ascii="Times New Roman" w:hAnsi="Times New Roman" w:cs="Times New Roman"/>
          <w:vertAlign w:val="superscript"/>
        </w:rPr>
        <w:t>th</w:t>
      </w:r>
      <w:r>
        <w:rPr>
          <w:rFonts w:ascii="Times New Roman" w:hAnsi="Times New Roman" w:cs="Times New Roman"/>
        </w:rPr>
        <w:t xml:space="preserve"> schedule - In the determination of the chargeable profit, the total cost shall not exceed</w:t>
      </w:r>
    </w:p>
    <w:p w14:paraId="208E1C18">
      <w:pPr>
        <w:pStyle w:val="24"/>
        <w:ind w:left="720"/>
        <w:jc w:val="both"/>
      </w:pPr>
      <w:r>
        <w:rPr>
          <w:rFonts w:ascii="Times New Roman" w:hAnsi="Times New Roman" w:cs="Times New Roman"/>
        </w:rPr>
        <w:t>the cost price ratio of the gross revenue determined at the measurement point. Also, all allowable total costs (i.e., allowable expenses under section 263 and capital allowances under the 5th schedule shall be subjected to CPR (excluding production allowances, rent, royalty &amp; contribution to fund or scheme approved by the commission, e.g., Host Community Fund, Environmental Remediation Fund, NDDC, etc.).</w:t>
      </w:r>
    </w:p>
  </w:footnote>
  <w:footnote w:id="667">
    <w:p w14:paraId="06D88B3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Section 263 &amp; 264 of the PIA provide the basis for allowable and non-allowable deductions.</w:t>
      </w:r>
    </w:p>
  </w:footnote>
  <w:footnote w:id="668">
    <w:p w14:paraId="3C6206F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263 (d) PIA states ‘any expenditure (tangible or intangible) directly incurred in connection with the</w:t>
      </w:r>
    </w:p>
    <w:p w14:paraId="17B2E65D">
      <w:pPr>
        <w:pStyle w:val="2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drilling of an exploration well and the next two appraisal wells in the same field whether the wells are </w:t>
      </w:r>
    </w:p>
    <w:p w14:paraId="453C3814">
      <w:pPr>
        <w:pStyle w:val="24"/>
        <w:ind w:firstLine="720"/>
        <w:jc w:val="both"/>
        <w:rPr>
          <w:rFonts w:ascii="Times New Roman" w:hAnsi="Times New Roman" w:cs="Times New Roman"/>
        </w:rPr>
      </w:pPr>
      <w:r>
        <w:rPr>
          <w:rFonts w:ascii="Times New Roman" w:hAnsi="Times New Roman" w:cs="Times New Roman"/>
        </w:rPr>
        <w:t>productive or not’.</w:t>
      </w:r>
    </w:p>
  </w:footnote>
  <w:footnote w:id="669">
    <w:p w14:paraId="32403D3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PIA Section 266 (2) – the 6</w:t>
      </w:r>
      <w:r>
        <w:rPr>
          <w:rFonts w:ascii="Times New Roman" w:hAnsi="Times New Roman" w:cs="Times New Roman"/>
          <w:vertAlign w:val="superscript"/>
        </w:rPr>
        <w:t>th</w:t>
      </w:r>
      <w:r>
        <w:rPr>
          <w:rFonts w:ascii="Times New Roman" w:hAnsi="Times New Roman" w:cs="Times New Roman"/>
        </w:rPr>
        <w:t xml:space="preserve"> Schedule states that in the determination of the chargeable profit, the total cost </w:t>
      </w:r>
    </w:p>
    <w:p w14:paraId="657A5587">
      <w:pPr>
        <w:pStyle w:val="24"/>
        <w:ind w:left="720"/>
        <w:jc w:val="both"/>
        <w:rPr>
          <w:rFonts w:ascii="Times New Roman" w:hAnsi="Times New Roman" w:cs="Times New Roman"/>
        </w:rPr>
      </w:pPr>
      <w:r>
        <w:rPr>
          <w:rFonts w:ascii="Times New Roman" w:hAnsi="Times New Roman" w:cs="Times New Roman"/>
        </w:rPr>
        <w:t>shall not exceed the cost-price ratio. The Costs to Price Ratio (CPR) limit shall be 65% of gross revenue determined at the measurement point.</w:t>
      </w:r>
    </w:p>
  </w:footnote>
  <w:footnote w:id="670">
    <w:p w14:paraId="21300C5D">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Section 302 of the PIA, see also Sixth schedule of the PIA.</w:t>
      </w:r>
    </w:p>
  </w:footnote>
  <w:footnote w:id="671">
    <w:p w14:paraId="4B5709F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rPr>
        <w:t xml:space="preserve">The Court of Appeal CA), Lagos Division overturned the judgement of the Federal High Court (FHC) in the </w:t>
      </w:r>
    </w:p>
    <w:p w14:paraId="65268C84">
      <w:pPr>
        <w:pStyle w:val="24"/>
        <w:ind w:left="720"/>
        <w:jc w:val="both"/>
        <w:rPr>
          <w:rFonts w:ascii="Times New Roman" w:hAnsi="Times New Roman" w:cs="Times New Roman"/>
          <w:lang w:val="en-GB"/>
        </w:rPr>
      </w:pPr>
      <w:r>
        <w:rPr>
          <w:rFonts w:ascii="Times New Roman" w:hAnsi="Times New Roman" w:cs="Times New Roman"/>
        </w:rPr>
        <w:t>appeal between the FIRS or (“the Appellant”) and CNOOC Exploration and Production (CNOOC) and South Atlantic Petroleum Corporation (SAPETRO) or (“the Respondents”), by ruling that Investment Tax Credit (ITC) is not applicable to Production Sharing Contracts (PSCs) executed after 1 July 1998, in line with Section 4 of the Deep Offshore and Inland Basin (Production Sharing Contract) Act, Cap D3, Laws of Federation Nigeria, 2004 (DOIBPSCA or “the Act”)</w:t>
      </w:r>
    </w:p>
  </w:footnote>
  <w:footnote w:id="672">
    <w:p w14:paraId="12E995D9">
      <w:pPr>
        <w:pStyle w:val="24"/>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Deep Offshore petroleum operations is subject to CIT.</w:t>
      </w:r>
    </w:p>
  </w:footnote>
  <w:footnote w:id="673">
    <w:p w14:paraId="26265CE8">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232 of the PIA.</w:t>
      </w:r>
    </w:p>
  </w:footnote>
  <w:footnote w:id="674">
    <w:p w14:paraId="28C6F72A">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Section 263 (e) of the PIA</w:t>
      </w:r>
    </w:p>
  </w:footnote>
  <w:footnote w:id="675">
    <w:p w14:paraId="7404D9A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Associated Gas Fiscal Framework Agreement (AGFA) and the Non- Associated Gas Framework </w:t>
      </w:r>
    </w:p>
    <w:p w14:paraId="791EBBDF">
      <w:pPr>
        <w:pStyle w:val="24"/>
        <w:ind w:firstLine="720"/>
        <w:jc w:val="both"/>
      </w:pPr>
      <w:r>
        <w:rPr>
          <w:rFonts w:ascii="Times New Roman" w:hAnsi="Times New Roman" w:cs="Times New Roman"/>
        </w:rPr>
        <w:t>Agreement (NAGFA) of 1992/1997.</w:t>
      </w:r>
      <w:r>
        <w:t xml:space="preserve">  </w:t>
      </w:r>
    </w:p>
  </w:footnote>
  <w:footnote w:id="676">
    <w:p w14:paraId="7C13D83E">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Sections 302 (7) and (8) of the PIA provide that natural gas tax be administered in accordance with the </w:t>
      </w:r>
    </w:p>
    <w:p w14:paraId="205BB817">
      <w:pPr>
        <w:pStyle w:val="24"/>
        <w:ind w:firstLine="720"/>
        <w:jc w:val="both"/>
        <w:rPr>
          <w:rFonts w:ascii="Times New Roman" w:hAnsi="Times New Roman" w:cs="Times New Roman"/>
        </w:rPr>
      </w:pPr>
      <w:r>
        <w:rPr>
          <w:rFonts w:ascii="Times New Roman" w:hAnsi="Times New Roman" w:cs="Times New Roman"/>
        </w:rPr>
        <w:t>provision of the Company Income Tax Act. </w:t>
      </w:r>
    </w:p>
  </w:footnote>
  <w:footnote w:id="677">
    <w:p w14:paraId="79B1FDAE">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Nigeria has the largest proven gas reserves in Africa and the 9th largest in the world with over 200 trillion </w:t>
      </w:r>
    </w:p>
    <w:p w14:paraId="3C5DE64F">
      <w:pPr>
        <w:pStyle w:val="24"/>
        <w:ind w:firstLine="720"/>
        <w:jc w:val="both"/>
        <w:rPr>
          <w:rFonts w:ascii="Times New Roman" w:hAnsi="Times New Roman" w:cs="Times New Roman"/>
        </w:rPr>
      </w:pPr>
      <w:r>
        <w:rPr>
          <w:rFonts w:ascii="Times New Roman" w:hAnsi="Times New Roman" w:cs="Times New Roman"/>
          <w:bCs/>
        </w:rPr>
        <w:t>cubic meters of natural gas (as at 2018) and unproven reserves of 600 trillion cubic meters of natural gas.</w:t>
      </w:r>
    </w:p>
  </w:footnote>
  <w:footnote w:id="678">
    <w:p w14:paraId="7959465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Third Schedule to the PIA, it provides for </w:t>
      </w:r>
      <w:r>
        <w:rPr>
          <w:rFonts w:ascii="Times New Roman" w:hAnsi="Times New Roman" w:cs="Times New Roman"/>
          <w:bCs/>
        </w:rPr>
        <w:t>Gas Pricing stability for the power and the commercial sector.</w:t>
      </w:r>
    </w:p>
  </w:footnote>
  <w:footnote w:id="679">
    <w:p w14:paraId="70EBF85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Deep Offshore and Inland Basin Production Sharing Contracts Decree (No.9) of 1999 (Now Cap. D3, LFN </w:t>
      </w:r>
    </w:p>
    <w:p w14:paraId="27A38E02">
      <w:pPr>
        <w:pStyle w:val="24"/>
        <w:ind w:left="720"/>
        <w:jc w:val="both"/>
        <w:rPr>
          <w:rFonts w:ascii="Times New Roman" w:hAnsi="Times New Roman" w:cs="Times New Roman"/>
        </w:rPr>
      </w:pPr>
      <w:r>
        <w:rPr>
          <w:rFonts w:ascii="Times New Roman" w:hAnsi="Times New Roman" w:cs="Times New Roman"/>
        </w:rPr>
        <w:t xml:space="preserve">2004) introduced this distinction and modification. Prior to this, the sharing formula included only cost oil, tax oil and profit oil. </w:t>
      </w:r>
    </w:p>
  </w:footnote>
  <w:footnote w:id="680">
    <w:p w14:paraId="488B993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T.R. Stauffer and John C. Gault, "Exploration Risks and Mineral Taxation: How Fiscal Regimes Affect </w:t>
      </w:r>
    </w:p>
    <w:p w14:paraId="291E6B55">
      <w:pPr>
        <w:pStyle w:val="24"/>
        <w:ind w:firstLine="720"/>
        <w:jc w:val="both"/>
        <w:rPr>
          <w:rFonts w:ascii="Times New Roman" w:hAnsi="Times New Roman" w:cs="Times New Roman"/>
        </w:rPr>
      </w:pPr>
      <w:r>
        <w:rPr>
          <w:rFonts w:ascii="Times New Roman" w:hAnsi="Times New Roman" w:cs="Times New Roman"/>
        </w:rPr>
        <w:t>Exploration Incentives", The Energy Journal, Vol. 6, Special Tax Issue, 1985. p.132</w:t>
      </w:r>
    </w:p>
  </w:footnote>
  <w:footnote w:id="681">
    <w:p w14:paraId="0F0852BB">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2002, with some residual repayment made in 2003.</w:t>
      </w:r>
      <w:r>
        <w:rPr>
          <w:rFonts w:ascii="Times New Roman" w:hAnsi="Times New Roman" w:cs="Times New Roman"/>
        </w:rPr>
        <w:tab/>
      </w:r>
    </w:p>
  </w:footnote>
  <w:footnote w:id="682">
    <w:p w14:paraId="4D5A81E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See chapters 7 &amp; 8. Nevertheless, countries such as the US, Brazil and Nigeria still rely on Royalty as a </w:t>
      </w:r>
    </w:p>
    <w:p w14:paraId="2436A768">
      <w:pPr>
        <w:pStyle w:val="24"/>
        <w:ind w:firstLine="720"/>
        <w:jc w:val="both"/>
        <w:rPr>
          <w:rFonts w:ascii="Times New Roman" w:hAnsi="Times New Roman" w:cs="Times New Roman"/>
        </w:rPr>
      </w:pPr>
      <w:r>
        <w:rPr>
          <w:rFonts w:ascii="Times New Roman" w:hAnsi="Times New Roman" w:cs="Times New Roman"/>
        </w:rPr>
        <w:t>form of early tax on the economic rent.</w:t>
      </w:r>
    </w:p>
  </w:footnote>
  <w:footnote w:id="683">
    <w:p w14:paraId="5FC0F98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Under the PSC Act, this was a contentious issue with respect to the Deep Offshore, and non-compliance to</w:t>
      </w:r>
    </w:p>
    <w:p w14:paraId="09309099">
      <w:pPr>
        <w:pStyle w:val="2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provisions of section 16 of the PSC Act on pricing and Royalty rate review. </w:t>
      </w:r>
    </w:p>
  </w:footnote>
  <w:footnote w:id="684">
    <w:p w14:paraId="2728030B">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Finance Act 2019, No1 of 2020. The new Act substitutes Section 5 of the old Act with a new section </w:t>
      </w:r>
    </w:p>
    <w:p w14:paraId="45097F15">
      <w:pPr>
        <w:pStyle w:val="24"/>
        <w:ind w:left="720"/>
        <w:jc w:val="both"/>
        <w:rPr>
          <w:rFonts w:ascii="Times New Roman" w:hAnsi="Times New Roman" w:cs="Times New Roman"/>
        </w:rPr>
      </w:pPr>
      <w:r>
        <w:rPr>
          <w:rFonts w:ascii="Times New Roman" w:hAnsi="Times New Roman" w:cs="Times New Roman"/>
        </w:rPr>
        <w:t>revising how Royalties are calculated.</w:t>
      </w:r>
      <w:r>
        <w:rPr>
          <w:rFonts w:ascii="Times New Roman" w:hAnsi="Times New Roman" w:cs="Times New Roman"/>
          <w:sz w:val="22"/>
          <w:szCs w:val="22"/>
        </w:rPr>
        <w:t xml:space="preserve"> </w:t>
      </w:r>
      <w:r>
        <w:rPr>
          <w:rFonts w:ascii="Times New Roman" w:hAnsi="Times New Roman" w:cs="Times New Roman"/>
        </w:rPr>
        <w:t xml:space="preserve">Under the old Act, Royalties were calculated based on the water depth of the field. This ranged from 0% to 12%. The amendment has eliminated the 0% rate. Royalties would now be calculated on a field basis, dependent on the chargeable volume of the crude and condensates produced per field. The new rates are 10% (for fields in the deep offshore (greater than 200-meter water depth) and 7.5% for Frontier and Inland Basin. </w:t>
      </w:r>
    </w:p>
  </w:footnote>
  <w:footnote w:id="685">
    <w:p w14:paraId="4930D98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306 &amp; 7</w:t>
      </w:r>
      <w:r>
        <w:rPr>
          <w:rFonts w:ascii="Times New Roman" w:hAnsi="Times New Roman" w:cs="Times New Roman"/>
          <w:vertAlign w:val="superscript"/>
        </w:rPr>
        <w:t>th</w:t>
      </w:r>
      <w:r>
        <w:rPr>
          <w:rFonts w:ascii="Times New Roman" w:hAnsi="Times New Roman" w:cs="Times New Roman"/>
        </w:rPr>
        <w:t xml:space="preserve"> Schedule to the PIA</w:t>
      </w:r>
    </w:p>
  </w:footnote>
  <w:footnote w:id="686">
    <w:p w14:paraId="72170D8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S.16 PSC Act, 1999 and amended 2019. The intention of the amendment is to apply the price-based royalty </w:t>
      </w:r>
    </w:p>
    <w:p w14:paraId="796DDD6F">
      <w:pPr>
        <w:pStyle w:val="24"/>
        <w:ind w:left="720"/>
        <w:jc w:val="both"/>
        <w:rPr>
          <w:rFonts w:ascii="Times New Roman" w:hAnsi="Times New Roman" w:cs="Times New Roman"/>
        </w:rPr>
      </w:pPr>
      <w:r>
        <w:rPr>
          <w:rFonts w:ascii="Times New Roman" w:hAnsi="Times New Roman" w:cs="Times New Roman"/>
        </w:rPr>
        <w:t>rates in addition to the field-based royalties, as well as penalize non-compliance with the provisions of the Act.</w:t>
      </w:r>
    </w:p>
  </w:footnote>
  <w:footnote w:id="687">
    <w:p w14:paraId="06D4E7EF">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Petroleum Royalty Regulations under Sections 304(2), 2022</w:t>
      </w:r>
    </w:p>
  </w:footnote>
  <w:footnote w:id="688">
    <w:p w14:paraId="30D27200">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Sections 92, 93 ,94 &amp; 303 of the PIA.</w:t>
      </w:r>
    </w:p>
  </w:footnote>
  <w:footnote w:id="689">
    <w:p w14:paraId="146C29FE">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The chargeable taxes rates are as follows: Assessable at 15% of the crude oil profits for PMLs, and 15% of </w:t>
      </w:r>
    </w:p>
    <w:p w14:paraId="1493AD66">
      <w:pPr>
        <w:pStyle w:val="24"/>
        <w:ind w:left="720"/>
        <w:jc w:val="both"/>
        <w:rPr>
          <w:rFonts w:ascii="Times New Roman" w:hAnsi="Times New Roman" w:cs="Times New Roman"/>
          <w:bCs/>
        </w:rPr>
      </w:pPr>
      <w:r>
        <w:rPr>
          <w:rFonts w:ascii="Times New Roman" w:hAnsi="Times New Roman" w:cs="Times New Roman"/>
          <w:bCs/>
        </w:rPr>
        <w:t>the crude oil profits for PPLs. Also, the 15% HT rate will apply for any PMLs derived from the PPLs after the effective date of the Act and for Royalty, the onshore and shallow waters marginal fields, with production less or equal to 10,000 bopd in a month, are subject to royalty at 5% for the first 5,000 bopd, and at 7.5% for the next 5,000 bopd. Royalty rate applicable to volumes above 10,000 bopd is chargeable as follows: Onshore areas 15%; Shallow water (up to 200m water depth) 12.5%; Deep offshore (greater than 200m water depth) 7.5% and Frontier basins at 7%.</w:t>
      </w:r>
    </w:p>
    <w:p w14:paraId="006FD768">
      <w:pPr>
        <w:pStyle w:val="24"/>
        <w:jc w:val="both"/>
        <w:rPr>
          <w:rFonts w:ascii="Times New Roman" w:hAnsi="Times New Roman" w:cs="Times New Roman"/>
          <w:bCs/>
        </w:rPr>
      </w:pPr>
    </w:p>
    <w:p w14:paraId="5DA770D8">
      <w:pPr>
        <w:pStyle w:val="24"/>
        <w:rPr>
          <w:rFonts w:ascii="Times New Roman" w:hAnsi="Times New Roman" w:cs="Times New Roman"/>
        </w:rPr>
      </w:pPr>
    </w:p>
  </w:footnote>
  <w:footnote w:id="690">
    <w:p w14:paraId="7BA0F3EB">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Under t</w:t>
      </w:r>
      <w:r>
        <w:rPr>
          <w:rFonts w:ascii="Times New Roman" w:hAnsi="Times New Roman" w:cs="Times New Roman"/>
          <w:bCs/>
        </w:rPr>
        <w:t xml:space="preserve">he PIA, newly discovered fields will no longer be declared as marginal fields. Overall, this </w:t>
      </w:r>
    </w:p>
    <w:p w14:paraId="68BA87CA">
      <w:pPr>
        <w:pStyle w:val="24"/>
        <w:ind w:firstLine="720"/>
        <w:jc w:val="both"/>
        <w:rPr>
          <w:rFonts w:ascii="Times New Roman" w:hAnsi="Times New Roman" w:cs="Times New Roman"/>
        </w:rPr>
      </w:pPr>
      <w:r>
        <w:rPr>
          <w:rFonts w:ascii="Times New Roman" w:hAnsi="Times New Roman" w:cs="Times New Roman"/>
          <w:bCs/>
        </w:rPr>
        <w:t xml:space="preserve">places the upstream players on a more even ground from a fiscal and regulatory standpoint. </w:t>
      </w:r>
    </w:p>
  </w:footnote>
  <w:footnote w:id="691">
    <w:p w14:paraId="56F82F51">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rPr>
        <w:t xml:space="preserve">The Finance Act 2023 and the Tertiary Education Trust Fund (Establishment, Etc.) Act 2011, the Tertiary </w:t>
      </w:r>
    </w:p>
    <w:p w14:paraId="0A3C1597">
      <w:pPr>
        <w:pStyle w:val="24"/>
        <w:ind w:left="720"/>
        <w:jc w:val="both"/>
        <w:rPr>
          <w:rFonts w:ascii="Times New Roman" w:hAnsi="Times New Roman"/>
          <w:lang w:val="en-GB"/>
        </w:rPr>
      </w:pPr>
      <w:r>
        <w:rPr>
          <w:rFonts w:ascii="Times New Roman" w:hAnsi="Times New Roman" w:cs="Times New Roman"/>
        </w:rPr>
        <w:t>Education Tax is payable for a company registered in Nigeria at the rate of 3% of the assessable profit (previously, it was 2.5%). </w:t>
      </w:r>
      <w:r>
        <w:fldChar w:fldCharType="begin"/>
      </w:r>
      <w:r>
        <w:instrText xml:space="preserve"> HYPERLINK "https://www.bomesresourcesconsulting.com/tertiary-education-tax-nigeria.html" \t "_blank" </w:instrText>
      </w:r>
      <w:r>
        <w:fldChar w:fldCharType="separate"/>
      </w:r>
      <w:r>
        <w:rPr>
          <w:rStyle w:val="27"/>
          <w:rFonts w:ascii="Times New Roman" w:hAnsi="Times New Roman" w:cs="Times New Roman"/>
          <w:u w:val="none"/>
        </w:rPr>
        <w:t>The Federal Government increased the TET rate from 2% to 2.5% in the Finance Act 2021</w:t>
      </w:r>
      <w:r>
        <w:rPr>
          <w:rStyle w:val="27"/>
          <w:rFonts w:ascii="Times New Roman" w:hAnsi="Times New Roman" w:cs="Times New Roman"/>
          <w:u w:val="none"/>
        </w:rPr>
        <w:fldChar w:fldCharType="end"/>
      </w:r>
      <w:r>
        <w:rPr>
          <w:rFonts w:ascii="Times New Roman" w:hAnsi="Times New Roman" w:cs="Times New Roman"/>
          <w:lang w:val="en-GB"/>
        </w:rPr>
        <w:t>.</w:t>
      </w:r>
    </w:p>
  </w:footnote>
  <w:footnote w:id="692">
    <w:p w14:paraId="3E14E931">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Gas utilization is </w:t>
      </w:r>
      <w:r>
        <w:rPr>
          <w:rFonts w:ascii="Times New Roman" w:hAnsi="Times New Roman" w:cs="Times New Roman"/>
          <w:bCs/>
        </w:rPr>
        <w:t>to be submitted within 12 months of the coming into effect of the law, and be</w:t>
      </w:r>
      <w:r>
        <w:rPr>
          <w:rFonts w:ascii="Times New Roman" w:hAnsi="Times New Roman" w:cs="Times New Roman"/>
          <w:bCs/>
          <w:sz w:val="24"/>
          <w:szCs w:val="24"/>
        </w:rPr>
        <w:t xml:space="preserve"> </w:t>
      </w:r>
      <w:r>
        <w:rPr>
          <w:rFonts w:ascii="Times New Roman" w:hAnsi="Times New Roman" w:cs="Times New Roman"/>
          <w:bCs/>
        </w:rPr>
        <w:t xml:space="preserve">in line </w:t>
      </w:r>
    </w:p>
    <w:p w14:paraId="4342E480">
      <w:pPr>
        <w:pStyle w:val="24"/>
        <w:ind w:firstLine="720"/>
        <w:jc w:val="both"/>
        <w:rPr>
          <w:rFonts w:ascii="Times New Roman" w:hAnsi="Times New Roman" w:cs="Times New Roman"/>
        </w:rPr>
      </w:pPr>
      <w:r>
        <w:rPr>
          <w:rFonts w:ascii="Times New Roman" w:hAnsi="Times New Roman" w:cs="Times New Roman"/>
          <w:bCs/>
        </w:rPr>
        <w:t>with the Flare Gas (Prevention of Waste and Pollution) Regulations.</w:t>
      </w:r>
      <w:r>
        <w:rPr>
          <w:rFonts w:ascii="Times New Roman" w:hAnsi="Times New Roman" w:cs="Times New Roman"/>
        </w:rPr>
        <w:tab/>
      </w:r>
    </w:p>
  </w:footnote>
  <w:footnote w:id="693">
    <w:p w14:paraId="7844EB52">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NOSDRA v Exxon Mobil (2018) 13 NWLR (PT.1636) 334; Tope Alabi v FRSC) FHC/L/CS/123/13. </w:t>
      </w:r>
    </w:p>
  </w:footnote>
  <w:footnote w:id="694">
    <w:p w14:paraId="0704AD6A">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MTN Nigeria Communications PLC v FIRS (2020) 50 TLRN, 42.</w:t>
      </w:r>
    </w:p>
  </w:footnote>
  <w:footnote w:id="695">
    <w:p w14:paraId="597D8277">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Tetra Pak West Africa Ltd v FIRS – consolidated appeals, TAT/LZ/EDT/031/2015; </w:t>
      </w:r>
    </w:p>
    <w:p w14:paraId="3F02E998">
      <w:pPr>
        <w:pStyle w:val="24"/>
        <w:ind w:firstLine="720"/>
        <w:jc w:val="both"/>
        <w:rPr>
          <w:rFonts w:ascii="Times New Roman" w:hAnsi="Times New Roman" w:cs="Times New Roman"/>
          <w:lang w:val="en-GB"/>
        </w:rPr>
      </w:pPr>
      <w:r>
        <w:rPr>
          <w:rFonts w:ascii="Times New Roman" w:hAnsi="Times New Roman" w:cs="Times New Roman"/>
          <w:lang w:val="en-GB"/>
        </w:rPr>
        <w:t>TAT/LZ/CIT/032/2015; TAT/LZ/EDT/033/2015</w:t>
      </w:r>
    </w:p>
  </w:footnote>
  <w:footnote w:id="696">
    <w:p w14:paraId="6DC8484E">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 xml:space="preserve">The levies are to be remitted by the licensed operator within 21 days of the sale of the relevant products, </w:t>
      </w:r>
    </w:p>
    <w:p w14:paraId="378ABB3E">
      <w:pPr>
        <w:pStyle w:val="24"/>
        <w:ind w:firstLine="720"/>
        <w:jc w:val="both"/>
        <w:rPr>
          <w:rFonts w:ascii="Times New Roman" w:hAnsi="Times New Roman" w:cs="Times New Roman"/>
        </w:rPr>
      </w:pPr>
      <w:r>
        <w:rPr>
          <w:rFonts w:ascii="Times New Roman" w:hAnsi="Times New Roman" w:cs="Times New Roman"/>
          <w:bCs/>
        </w:rPr>
        <w:t xml:space="preserve">subject to additional regulations to be issued by the Authority. </w:t>
      </w:r>
    </w:p>
  </w:footnote>
  <w:footnote w:id="697">
    <w:p w14:paraId="603E0A5F">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Section 272 (1) of the PIA</w:t>
      </w:r>
    </w:p>
  </w:footnote>
  <w:footnote w:id="698">
    <w:p w14:paraId="4720B7FA">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Section 272 (2) of the PIA</w:t>
      </w:r>
    </w:p>
  </w:footnote>
  <w:footnote w:id="699">
    <w:p w14:paraId="4D3EC703">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 234</w:t>
      </w:r>
      <w:r>
        <w:rPr>
          <w:rFonts w:ascii="Times New Roman" w:hAnsi="Times New Roman" w:cs="Times New Roman"/>
          <w:bCs/>
        </w:rPr>
        <w:t> of the PIA.</w:t>
      </w:r>
    </w:p>
  </w:footnote>
  <w:footnote w:id="700">
    <w:p w14:paraId="7C65AC15">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Sections 235 &amp; 236 of the PIA</w:t>
      </w:r>
    </w:p>
  </w:footnote>
  <w:footnote w:id="701">
    <w:p w14:paraId="63879458">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Sections 235 &amp; 318 PIA - </w:t>
      </w:r>
      <w:r>
        <w:rPr>
          <w:rFonts w:ascii="Times New Roman" w:hAnsi="Times New Roman" w:cs="Times New Roman"/>
          <w:bCs/>
        </w:rPr>
        <w:t xml:space="preserve">The Host Community Development Trust (HCDT) is however tax-exempt </w:t>
      </w:r>
    </w:p>
    <w:p w14:paraId="6352D167">
      <w:pPr>
        <w:pStyle w:val="24"/>
        <w:ind w:firstLine="720"/>
        <w:jc w:val="both"/>
      </w:pPr>
      <w:r>
        <w:rPr>
          <w:rFonts w:ascii="Times New Roman" w:hAnsi="Times New Roman" w:cs="Times New Roman"/>
          <w:bCs/>
        </w:rPr>
        <w:t xml:space="preserve">entity. </w:t>
      </w:r>
      <w:r>
        <w:tab/>
      </w:r>
    </w:p>
  </w:footnote>
  <w:footnote w:id="702">
    <w:p w14:paraId="7B3849A9">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Federal Inland Revenue Service (Establishment) Act 2007.</w:t>
      </w:r>
    </w:p>
  </w:footnote>
  <w:footnote w:id="703">
    <w:p w14:paraId="396ED227">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259 PIA which addresses the matter of administration identifies two distinct agencies for the </w:t>
      </w:r>
    </w:p>
    <w:p w14:paraId="6B810273">
      <w:pPr>
        <w:pStyle w:val="24"/>
        <w:ind w:firstLine="720"/>
        <w:jc w:val="both"/>
        <w:rPr>
          <w:rFonts w:ascii="Times New Roman" w:hAnsi="Times New Roman" w:cs="Times New Roman"/>
        </w:rPr>
      </w:pPr>
      <w:r>
        <w:rPr>
          <w:rFonts w:ascii="Times New Roman" w:hAnsi="Times New Roman" w:cs="Times New Roman"/>
        </w:rPr>
        <w:t>administration and collection of government revenues, i.e., FIRS and the Commission.</w:t>
      </w:r>
    </w:p>
  </w:footnote>
  <w:footnote w:id="704">
    <w:p w14:paraId="4F47DF47">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lang w:val="en-GB"/>
        </w:rPr>
        <w:t xml:space="preserve">Section 217(8) of the PIA specifically vests the FHC with exclusive jurisdiction over disputes between </w:t>
      </w:r>
    </w:p>
    <w:p w14:paraId="134D770B">
      <w:pPr>
        <w:pStyle w:val="24"/>
        <w:ind w:firstLine="720"/>
        <w:rPr>
          <w:rFonts w:ascii="Times New Roman" w:hAnsi="Times New Roman" w:cs="Times New Roman"/>
          <w:lang w:val="en-GB"/>
        </w:rPr>
      </w:pPr>
      <w:r>
        <w:rPr>
          <w:rFonts w:ascii="Times New Roman" w:hAnsi="Times New Roman" w:cs="Times New Roman"/>
          <w:lang w:val="en-GB"/>
        </w:rPr>
        <w:t xml:space="preserve">licensees, lessees or permit holders. </w:t>
      </w:r>
    </w:p>
  </w:footnote>
  <w:footnote w:id="705">
    <w:p w14:paraId="1DDCA914">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enactment of the PIA will lead to the repeal of the following statutes: • Associated Gas Reinjection </w:t>
      </w:r>
    </w:p>
    <w:p w14:paraId="354F3411">
      <w:pPr>
        <w:pStyle w:val="24"/>
        <w:ind w:left="720"/>
        <w:jc w:val="both"/>
        <w:rPr>
          <w:rFonts w:ascii="Times New Roman" w:hAnsi="Times New Roman" w:cs="Times New Roman"/>
        </w:rPr>
      </w:pPr>
      <w:r>
        <w:rPr>
          <w:rFonts w:ascii="Times New Roman" w:hAnsi="Times New Roman" w:cs="Times New Roman"/>
        </w:rPr>
        <w:t>Act, 1979 CAP A25 Laws of the Federation 2004, and its Amendments; • Hydrocarbon Oil Refineries Act No. 17 of 1965, CAP H5 Laws of the Federation of Nigeria 2004; • Motor Spirits (Returns) Act, CAP M20 Laws of the Federation of Nigeria 2004; • Nigerian National Petroleum Corporation (Projects) Act No. 94 of 1993, CAP N124 Laws of the Federation of Nigeria 2004; • Nigerian National Petroleum Corporation Act (NNPC) 1977 No, 33 CAP N123 Laws of the Federation of Nigeria as amended, when NNPC ceases to exist pursuant to section 54(3) of this Act; • Petroleum Products Pricing Regulatory Agency (Establishment) Act 2003; • Petroleum Profit Tax Act Cap P13 LFN 2004 upon completion of the conversion process under section 92 of the Act, and; • Deep Offshore and Inland Basin Production Sharing Contract Act 2019,as amended upon completion of the conversion process under section 92 of the Act. Provisions of the Pre-shipment Inspection of Oil Export Act, 1966 shall be amended accordingly.</w:t>
      </w:r>
    </w:p>
  </w:footnote>
  <w:footnote w:id="706">
    <w:p w14:paraId="3A8D34D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Section 302 (10) on the treatment of capital allowances for assets for upstream and midstream petroleum </w:t>
      </w:r>
    </w:p>
    <w:p w14:paraId="562FD1B9">
      <w:pPr>
        <w:pStyle w:val="24"/>
        <w:ind w:left="720"/>
        <w:jc w:val="both"/>
        <w:rPr>
          <w:rFonts w:ascii="Times New Roman" w:hAnsi="Times New Roman" w:cs="Times New Roman"/>
        </w:rPr>
      </w:pPr>
      <w:r>
        <w:rPr>
          <w:rFonts w:ascii="Times New Roman" w:hAnsi="Times New Roman" w:cs="Times New Roman"/>
        </w:rPr>
        <w:t xml:space="preserve">operations, and the reading of PIA along with section 24 of CITA about rents and royalty, and with respect to the subject of 2% TET etc.  </w:t>
      </w:r>
      <w:r>
        <w:rPr>
          <w:rFonts w:ascii="Times New Roman" w:hAnsi="Times New Roman" w:cs="Times New Roman"/>
        </w:rPr>
        <w:tab/>
      </w:r>
    </w:p>
  </w:footnote>
  <w:footnote w:id="707">
    <w:p w14:paraId="038D8EF6">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Part V, Chapter 1 of the PIA provides for the administration of the Nigerian National Petroleum Company </w:t>
      </w:r>
    </w:p>
    <w:p w14:paraId="68B2244B">
      <w:pPr>
        <w:pStyle w:val="24"/>
        <w:ind w:left="720"/>
        <w:jc w:val="both"/>
        <w:rPr>
          <w:rFonts w:ascii="Times New Roman" w:hAnsi="Times New Roman" w:cs="Times New Roman"/>
        </w:rPr>
      </w:pPr>
      <w:r>
        <w:rPr>
          <w:rFonts w:ascii="Times New Roman" w:hAnsi="Times New Roman" w:cs="Times New Roman"/>
        </w:rPr>
        <w:t xml:space="preserve">(NNPC) Limited which is to be incorporated with the Corporate Affairs Commission within 6 (six) months of the commencement of the Act the assets, interests, and liabilities of NNPC are to be transferred to NNPC Ltd or its subsidiaries within 18 months of commencement of the Act after which NNPC shall cease to exist. </w:t>
      </w:r>
    </w:p>
  </w:footnote>
  <w:footnote w:id="708">
    <w:p w14:paraId="1527428A">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Commission has the responsibility of regulating technical, operational, and commercial activities in the </w:t>
      </w:r>
    </w:p>
    <w:p w14:paraId="1E307430">
      <w:pPr>
        <w:pStyle w:val="24"/>
        <w:ind w:left="720"/>
        <w:jc w:val="both"/>
        <w:rPr>
          <w:rFonts w:ascii="Times New Roman" w:hAnsi="Times New Roman" w:cs="Times New Roman"/>
          <w:bCs/>
        </w:rPr>
      </w:pPr>
      <w:r>
        <w:rPr>
          <w:rFonts w:ascii="Times New Roman" w:hAnsi="Times New Roman" w:cs="Times New Roman"/>
        </w:rPr>
        <w:t xml:space="preserve">upstream petroleum sector; monitoring compliance with rules regulating the sector; enforce compliance with the terms and conditions of leases, licences, permits, and authorizations granted to companies in the upstream petroleum sector; establishing and enforcing standards relating to upstream petroleum activities and undertaking evaluation of national reserves while developing policies for prudent reservoir management practices. </w:t>
      </w:r>
      <w:r>
        <w:rPr>
          <w:rFonts w:ascii="Times New Roman" w:hAnsi="Times New Roman" w:cs="Times New Roman"/>
          <w:bCs/>
        </w:rPr>
        <w:t>This involves ensuring efficient and effective infrastructural development, compliance with regulations, implementation of government policies, development of a framework on tariff and pricing, amongst others.</w:t>
      </w:r>
    </w:p>
  </w:footnote>
  <w:footnote w:id="709">
    <w:p w14:paraId="43E616ED">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Starting with the Nigerian Mineral Act (1946), the Petroleum Act and Regulations (1969) and the </w:t>
      </w:r>
    </w:p>
    <w:p w14:paraId="6D0A527E">
      <w:pPr>
        <w:pStyle w:val="24"/>
        <w:ind w:firstLine="720"/>
        <w:jc w:val="both"/>
        <w:rPr>
          <w:rFonts w:ascii="Times New Roman" w:hAnsi="Times New Roman" w:cs="Times New Roman"/>
          <w:lang w:val="en-GB"/>
        </w:rPr>
      </w:pPr>
      <w:r>
        <w:rPr>
          <w:rFonts w:ascii="Times New Roman" w:hAnsi="Times New Roman" w:cs="Times New Roman"/>
          <w:lang w:val="en-GB"/>
        </w:rPr>
        <w:t xml:space="preserve">Petroleum Profits Tax Act (1958), and other related Acts. </w:t>
      </w:r>
    </w:p>
  </w:footnote>
  <w:footnote w:id="710">
    <w:p w14:paraId="400BA828">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See chapters 5, 7, 8 &amp; 9 examine the thesis of effective </w:t>
      </w:r>
      <w:r>
        <w:rPr>
          <w:rFonts w:ascii="Times New Roman" w:hAnsi="Times New Roman" w:cs="Times New Roman"/>
          <w:bCs/>
          <w:iCs/>
        </w:rPr>
        <w:t xml:space="preserve">objective setting in designing the appropriate fiscal </w:t>
      </w:r>
    </w:p>
    <w:p w14:paraId="1A3ECE17">
      <w:pPr>
        <w:pStyle w:val="24"/>
        <w:ind w:left="720"/>
        <w:jc w:val="both"/>
        <w:rPr>
          <w:rFonts w:ascii="Times New Roman" w:hAnsi="Times New Roman" w:cs="Times New Roman"/>
          <w:bCs/>
          <w:iCs/>
        </w:rPr>
      </w:pPr>
      <w:r>
        <w:rPr>
          <w:rFonts w:ascii="Times New Roman" w:hAnsi="Times New Roman" w:cs="Times New Roman"/>
          <w:bCs/>
          <w:iCs/>
        </w:rPr>
        <w:t xml:space="preserve">and tax policy for clear tax legislation and effective compliance and administration, profitable petroleum operations for resource owning and producing countries and adequate returns to investing companies. </w:t>
      </w:r>
    </w:p>
    <w:p w14:paraId="76750DBC">
      <w:pPr>
        <w:pStyle w:val="24"/>
        <w:jc w:val="both"/>
        <w:rPr>
          <w:lang w:val="en-GB"/>
        </w:rPr>
      </w:pPr>
    </w:p>
  </w:footnote>
  <w:footnote w:id="711">
    <w:p w14:paraId="039CED25">
      <w:pPr>
        <w:pStyle w:val="24"/>
        <w:jc w:val="both"/>
        <w:rPr>
          <w:rFonts w:ascii="Times New Roman" w:hAnsi="Times New Roman" w:cs="Times New Roman"/>
          <w:b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The World Bank – A Guide to Good Governance in Extractive Industries. March 2018.-</w:t>
      </w:r>
      <w:r>
        <w:rPr>
          <w:rFonts w:ascii="Times New Roman" w:hAnsi="Times New Roman" w:cs="Times New Roman"/>
          <w:bCs/>
        </w:rPr>
        <w:t xml:space="preserve"> Natural resources </w:t>
      </w:r>
    </w:p>
    <w:p w14:paraId="3642640E">
      <w:pPr>
        <w:pStyle w:val="24"/>
        <w:ind w:left="720"/>
        <w:jc w:val="both"/>
        <w:rPr>
          <w:rFonts w:ascii="Times New Roman" w:hAnsi="Times New Roman" w:cs="Times New Roman"/>
        </w:rPr>
      </w:pPr>
      <w:r>
        <w:rPr>
          <w:rFonts w:ascii="Times New Roman" w:hAnsi="Times New Roman" w:cs="Times New Roman"/>
          <w:bCs/>
        </w:rPr>
        <w:t>play a dominant role in about half the countries on earth, collectively accounting for a quarter of world GDP and half the world’s population with good governance, transparent management, respect for community needs and the environment, revenues from extractive industries can have dramatic impact on reducing poverty and boosting shared prosperity.</w:t>
      </w:r>
    </w:p>
  </w:footnote>
  <w:footnote w:id="712">
    <w:p w14:paraId="2C054F18">
      <w:pPr>
        <w:pStyle w:val="24"/>
        <w:ind w:left="720" w:hanging="720"/>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 tax system should not unduly impede or reduce the economy's productive capacity; Transparency and visibility; Taxpayers should know that a tax exists and how and when it is imposed upon them and others; whilst the structuring of tax laws should aim to minimize noncompliance. Accountability to taxpayers is key as well as accessibility and visibility of information on tax laws and their development, modification, and purpose are necessary for taxpayers. </w:t>
      </w:r>
    </w:p>
  </w:footnote>
  <w:footnote w:id="713">
    <w:p w14:paraId="62B815AC">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Hans Gribnau, Legal Certainty: A Matter of Principle, p. 91). Gribnau ironically notices: “Consequently, </w:t>
      </w:r>
    </w:p>
    <w:p w14:paraId="4B244C0A">
      <w:pPr>
        <w:pStyle w:val="24"/>
        <w:ind w:firstLine="720"/>
        <w:jc w:val="both"/>
        <w:rPr>
          <w:rFonts w:ascii="Times New Roman" w:hAnsi="Times New Roman" w:cs="Times New Roman"/>
        </w:rPr>
      </w:pPr>
      <w:r>
        <w:rPr>
          <w:rFonts w:ascii="Times New Roman" w:hAnsi="Times New Roman" w:cs="Times New Roman"/>
        </w:rPr>
        <w:t>tax laws nowadays look like throw-away articles and tax legislation is unstable”.</w:t>
      </w:r>
    </w:p>
  </w:footnote>
  <w:footnote w:id="714">
    <w:p w14:paraId="4A85EC55">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chapters 7 &amp; 8 of the Thesis.</w:t>
      </w:r>
    </w:p>
  </w:footnote>
  <w:footnote w:id="715">
    <w:p w14:paraId="0EC84469">
      <w:pPr>
        <w:pStyle w:val="24"/>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bCs/>
          <w:iCs/>
        </w:rPr>
        <w:t xml:space="preserve">The complexity of industry, the capital-intensive nature of petroleum operations and the price fluctuations </w:t>
      </w:r>
    </w:p>
    <w:p w14:paraId="33F52738">
      <w:pPr>
        <w:pStyle w:val="24"/>
        <w:ind w:left="720"/>
        <w:jc w:val="both"/>
        <w:rPr>
          <w:rFonts w:ascii="Times New Roman" w:hAnsi="Times New Roman" w:cs="Times New Roman"/>
          <w:lang w:val="en-GB"/>
        </w:rPr>
      </w:pPr>
      <w:r>
        <w:rPr>
          <w:rFonts w:ascii="Times New Roman" w:hAnsi="Times New Roman" w:cs="Times New Roman"/>
          <w:bCs/>
          <w:iCs/>
        </w:rPr>
        <w:t xml:space="preserve">in the international market, and the peculiar environment required a structured, evidence based and well researched approach to respond appropriately to these factors. </w:t>
      </w:r>
    </w:p>
  </w:footnote>
  <w:footnote w:id="716">
    <w:p w14:paraId="5EEE5639">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chapter 6 – survey and analysis of stakeholder responses.</w:t>
      </w:r>
    </w:p>
  </w:footnote>
  <w:footnote w:id="717">
    <w:p w14:paraId="786EC276">
      <w:pPr>
        <w:pStyle w:val="24"/>
        <w:jc w:val="both"/>
        <w:rPr>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MOU, AGFA, and PSC fiscal incentives, etc.</w:t>
      </w:r>
    </w:p>
  </w:footnote>
  <w:footnote w:id="718">
    <w:p w14:paraId="4C272F70">
      <w:pPr>
        <w:pStyle w:val="24"/>
        <w:jc w:val="both"/>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These examine themes and concepts and their inter-relatedness and impact in the determination of the </w:t>
      </w:r>
    </w:p>
    <w:p w14:paraId="1653BE39">
      <w:pPr>
        <w:pStyle w:val="24"/>
        <w:ind w:left="720"/>
        <w:jc w:val="both"/>
        <w:rPr>
          <w:rFonts w:ascii="Times New Roman" w:hAnsi="Times New Roman" w:cs="Times New Roman"/>
        </w:rPr>
      </w:pPr>
      <w:r>
        <w:rPr>
          <w:rFonts w:ascii="Times New Roman" w:hAnsi="Times New Roman" w:cs="Times New Roman"/>
        </w:rPr>
        <w:t>level of clarity, certainty and consistent understanding interpretation and implementation, as well as tax authority and payer compliance in petroleum operations tax system, are examined in</w:t>
      </w:r>
      <w:r>
        <w:rPr>
          <w:rFonts w:ascii="Times New Roman" w:hAnsi="Times New Roman" w:cs="Times New Roman"/>
          <w:sz w:val="22"/>
          <w:szCs w:val="22"/>
        </w:rPr>
        <w:t xml:space="preserve"> </w:t>
      </w:r>
      <w:r>
        <w:rPr>
          <w:rFonts w:ascii="Times New Roman" w:hAnsi="Times New Roman" w:cs="Times New Roman"/>
        </w:rPr>
        <w:t xml:space="preserve">chapters 1, 2,3 &amp; 4 of the Thesis. </w:t>
      </w:r>
    </w:p>
  </w:footnote>
  <w:footnote w:id="719">
    <w:p w14:paraId="25B53EB7">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S</w:t>
      </w:r>
      <w:r>
        <w:rPr>
          <w:rFonts w:ascii="Times New Roman" w:hAnsi="Times New Roman" w:cs="Times New Roman"/>
          <w:bCs/>
          <w:iCs/>
        </w:rPr>
        <w:t xml:space="preserve">tudies of countries such as Lebanon, Cyprus, Canada and the UK among other oil rich nations, show </w:t>
      </w:r>
    </w:p>
    <w:p w14:paraId="3533BA30">
      <w:pPr>
        <w:pStyle w:val="24"/>
        <w:ind w:left="720"/>
        <w:jc w:val="both"/>
        <w:rPr>
          <w:rFonts w:ascii="Times New Roman" w:hAnsi="Times New Roman" w:cs="Times New Roman"/>
        </w:rPr>
      </w:pPr>
      <w:r>
        <w:rPr>
          <w:rFonts w:ascii="Times New Roman" w:hAnsi="Times New Roman" w:cs="Times New Roman"/>
          <w:bCs/>
          <w:iCs/>
        </w:rPr>
        <w:t xml:space="preserve">that at one point in time or the other, that many countries adopted different fiscal regimes with distinctive features, that are mutually beneficial to host government and the IOCs. </w:t>
      </w:r>
      <w:r>
        <w:rPr>
          <w:rFonts w:ascii="Times New Roman" w:hAnsi="Times New Roman" w:cs="Times New Roman"/>
          <w:bCs/>
        </w:rPr>
        <w:t>An Assessment of Nigeria Petroleum Tax Regime Strategy on Foreign Direct Investment, Source: IOSR Journal of Economics and Finance (IOSR-JEF), Volume 9, Issue 6 Ver. I (Nov. – Dec.2018), PP 62-66, www.iosrjournals.org, references studies by Osmundsen (2005), Broadway and Keen (2008), Lukman (2010), Ogbonna (2012) and Nakhle (2015).</w:t>
      </w:r>
    </w:p>
  </w:footnote>
  <w:footnote w:id="720">
    <w:p w14:paraId="1C7A96C3">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PIA as enacted August 2021 – Starting out as t</w:t>
      </w:r>
      <w:r>
        <w:rPr>
          <w:rFonts w:ascii="Times New Roman" w:hAnsi="Times New Roman" w:cs="Times New Roman"/>
          <w:bCs/>
          <w:iCs/>
        </w:rPr>
        <w:t xml:space="preserve">he Petroleum Industry Bill (PIB), it went through several </w:t>
      </w:r>
    </w:p>
    <w:p w14:paraId="25F669B8">
      <w:pPr>
        <w:pStyle w:val="24"/>
        <w:ind w:left="720"/>
        <w:jc w:val="both"/>
        <w:rPr>
          <w:rFonts w:ascii="Times New Roman" w:hAnsi="Times New Roman" w:cs="Times New Roman"/>
          <w:bCs/>
          <w:iCs/>
        </w:rPr>
      </w:pPr>
      <w:r>
        <w:rPr>
          <w:rFonts w:ascii="Times New Roman" w:hAnsi="Times New Roman" w:cs="Times New Roman"/>
          <w:bCs/>
          <w:iCs/>
        </w:rPr>
        <w:t xml:space="preserve">reviews and changes to becoming a legislation with its enactment in August 2021 as the PIA. </w:t>
      </w:r>
      <w:r>
        <w:rPr>
          <w:rFonts w:ascii="Times New Roman" w:hAnsi="Times New Roman" w:cs="Times New Roman"/>
        </w:rPr>
        <w:t xml:space="preserve"> </w:t>
      </w:r>
      <w:r>
        <w:rPr>
          <w:rFonts w:ascii="Times New Roman" w:hAnsi="Times New Roman" w:cs="Times New Roman"/>
          <w:bCs/>
          <w:iCs/>
        </w:rPr>
        <w:t>The first major attempt at carrying out a comprehensive study of petroleum fiscal, tax, commercial and legislative review commenced in 2000, with the Commission setup by government to review the petroleum industry, and this resulted in the first executive draft Petroleum Industry Bill (PIB), presented to the National Assembly (NA) in 2008.</w:t>
      </w:r>
    </w:p>
  </w:footnote>
  <w:footnote w:id="721">
    <w:p w14:paraId="79427821">
      <w:pPr>
        <w:pStyle w:val="24"/>
        <w:jc w:val="both"/>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The basis of taxation petroleum operations, the interaction of the concession arrangement and the PSC </w:t>
      </w:r>
    </w:p>
    <w:p w14:paraId="0607845A">
      <w:pPr>
        <w:pStyle w:val="24"/>
        <w:ind w:left="720"/>
        <w:jc w:val="both"/>
        <w:rPr>
          <w:rFonts w:ascii="Times New Roman" w:hAnsi="Times New Roman" w:cs="Times New Roman"/>
          <w:lang w:val="en-GB"/>
        </w:rPr>
      </w:pPr>
      <w:r>
        <w:rPr>
          <w:rFonts w:ascii="Times New Roman" w:hAnsi="Times New Roman" w:cs="Times New Roman"/>
          <w:lang w:val="en-GB"/>
        </w:rPr>
        <w:t>fiscal regime; the various special purpose taxes, income and revenue ascertainment, pricing, tax deductible allowances and losses etc.</w:t>
      </w:r>
    </w:p>
  </w:footnote>
  <w:footnote w:id="722">
    <w:p w14:paraId="696D15A2">
      <w:pPr>
        <w:pStyle w:val="24"/>
        <w:jc w:val="both"/>
        <w:rPr>
          <w:rFonts w:ascii="Times New Roman" w:hAnsi="Times New Roman" w:cs="Times New Roman"/>
          <w:bCs/>
          <w:iCs/>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bCs/>
          <w:iCs/>
        </w:rPr>
        <w:t xml:space="preserve">The enactment of the PIA followed extensive engagements on the commercial, contractual, fiscal, tax and </w:t>
      </w:r>
    </w:p>
    <w:p w14:paraId="18E3D6C0">
      <w:pPr>
        <w:pStyle w:val="24"/>
        <w:ind w:left="720"/>
        <w:jc w:val="both"/>
        <w:rPr>
          <w:rFonts w:ascii="Times New Roman" w:hAnsi="Times New Roman" w:cs="Times New Roman"/>
          <w:lang w:val="en-GB"/>
        </w:rPr>
      </w:pPr>
      <w:r>
        <w:rPr>
          <w:rFonts w:ascii="Times New Roman" w:hAnsi="Times New Roman" w:cs="Times New Roman"/>
          <w:bCs/>
          <w:iCs/>
        </w:rPr>
        <w:t xml:space="preserve">legislative framework for petroleum operations including, the oil and gas policy review work carried out by the MPR, NNPC, MOF and the FIRS. </w:t>
      </w:r>
    </w:p>
  </w:footnote>
  <w:footnote w:id="723">
    <w:p w14:paraId="77B230A1">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WREN test (wholly, reasonably, exclusively and necessarily incurred test)</w:t>
      </w:r>
    </w:p>
  </w:footnote>
  <w:footnote w:id="724">
    <w:p w14:paraId="0A008920">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 xml:space="preserve">MTN Nigeria Communications Plc v FIRS (2020) 50 TLRN 42; and Tetra Pak West Africa Ltd v FIRS – </w:t>
      </w:r>
    </w:p>
    <w:p w14:paraId="5199552F">
      <w:pPr>
        <w:pStyle w:val="24"/>
        <w:ind w:firstLine="720"/>
        <w:rPr>
          <w:rFonts w:ascii="Times New Roman" w:hAnsi="Times New Roman" w:cs="Times New Roman"/>
          <w:lang w:val="en-GB"/>
        </w:rPr>
      </w:pPr>
      <w:r>
        <w:rPr>
          <w:rFonts w:ascii="Times New Roman" w:hAnsi="Times New Roman" w:cs="Times New Roman"/>
          <w:lang w:val="en-GB"/>
        </w:rPr>
        <w:t xml:space="preserve"> consolidated appeal No TAT/LZ/EDT/031/2015, TAT/LZ/CIT/032/2015; TAT/LZ/EDT/033/2015. </w:t>
      </w:r>
    </w:p>
  </w:footnote>
  <w:footnote w:id="725">
    <w:p w14:paraId="0265CDA3">
      <w:pPr>
        <w:pStyle w:val="24"/>
        <w:rPr>
          <w:rFonts w:ascii="Times New Roman" w:hAnsi="Times New Roman" w:cs="Times New Roman"/>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E,g. The work of the UK Office of Tax Simplification.</w:t>
      </w:r>
    </w:p>
  </w:footnote>
  <w:footnote w:id="726">
    <w:p w14:paraId="168E865D">
      <w:pPr>
        <w:pStyle w:val="24"/>
        <w:rPr>
          <w:rFonts w:ascii="Times New Roman" w:hAnsi="Times New Roman" w:cs="Times New Roman"/>
          <w:lang w:val="en-GB"/>
        </w:rPr>
      </w:pPr>
      <w:r>
        <w:rPr>
          <w:rStyle w:val="23"/>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ab/>
      </w:r>
      <w:r>
        <w:rPr>
          <w:rFonts w:ascii="Times New Roman" w:hAnsi="Times New Roman" w:cs="Times New Roman"/>
          <w:lang w:val="en-GB"/>
        </w:rPr>
        <w:t>See chapter I – Introduction to the thesis and chapter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4D84">
    <w:pPr>
      <w:pStyle w:val="2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4753C">
    <w:pPr>
      <w:pStyle w:val="15"/>
      <w:spacing w:line="14" w:lineRule="auto"/>
      <w:rPr>
        <w:sz w:val="20"/>
      </w:rPr>
    </w:pPr>
    <w:r>
      <mc:AlternateContent>
        <mc:Choice Requires="wps">
          <w:drawing>
            <wp:anchor distT="0" distB="0" distL="114300" distR="114300" simplePos="0" relativeHeight="251708416"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570737891" name="Text Box 24"/>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4E806FFC">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24" o:spid="_x0000_s1026" o:spt="202" type="#_x0000_t202" style="position:absolute;left:0pt;margin-left:24.5pt;margin-top:13.5pt;height:10.95pt;width:66.5pt;mso-position-horizontal-relative:page;mso-position-vertical-relative:page;z-index:-251608064;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LE1h1wAAAAgBAAAPAAAAAAAAAAEAIAAAACIA&#10;AABkcnMvZG93bnJldi54bWxQSwECFAAUAAAACACHTuJArua4TgoCAAAaBAAADgAAAAAAAAABACAA&#10;AAAmAQAAZHJzL2Uyb0RvYy54bWxQSwUGAAAAAAYABgBZAQAAogUAAAAA&#10;">
              <v:fill on="f" focussize="0,0"/>
              <v:stroke on="f"/>
              <v:imagedata o:title=""/>
              <o:lock v:ext="edit" aspectratio="f"/>
              <v:textbox inset="0mm,0mm,0mm,0mm">
                <w:txbxContent>
                  <w:p w14:paraId="4E806FFC">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1687755945" name="Text Box 23"/>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44AE021D">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23" o:spid="_x0000_s1026" o:spt="202" type="#_x0000_t202" style="position:absolute;left:0pt;margin-left:293.9pt;margin-top:13.5pt;height:10.95pt;width:103pt;mso-position-horizontal-relative:page;mso-position-vertical-relative:page;z-index:-251607040;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mTRNgAAAAJAQAADwAAAAAAAAABACAAAAAi&#10;AAAAZHJzL2Rvd25yZXYueG1sUEsBAhQAFAAAAAgAh07iQJNeaRoKAgAAHAQAAA4AAAAAAAAAAQAg&#10;AAAAJwEAAGRycy9lMm9Eb2MueG1sUEsFBgAAAAAGAAYAWQEAAKMFAAAAAA==&#10;">
              <v:fill on="f" focussize="0,0"/>
              <v:stroke on="f"/>
              <v:imagedata o:title=""/>
              <o:lock v:ext="edit" aspectratio="f"/>
              <v:textbox inset="0mm,0mm,0mm,0mm">
                <w:txbxContent>
                  <w:p w14:paraId="44AE021D">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60B7C">
    <w:pPr>
      <w:pStyle w:val="15"/>
      <w:spacing w:line="14" w:lineRule="auto"/>
      <w:rPr>
        <w:sz w:val="20"/>
      </w:rPr>
    </w:pPr>
    <w:r>
      <mc:AlternateContent>
        <mc:Choice Requires="wps">
          <w:drawing>
            <wp:anchor distT="0" distB="0" distL="114300" distR="114300" simplePos="0" relativeHeight="251712512"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801235983" name="Text Box 20"/>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53A0BBC1">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20" o:spid="_x0000_s1026" o:spt="202" type="#_x0000_t202" style="position:absolute;left:0pt;margin-left:24.5pt;margin-top:13.5pt;height:10.95pt;width:66.5pt;mso-position-horizontal-relative:page;mso-position-vertical-relative:page;z-index:-251603968;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sTWHXAAAACAEAAA8AAAAAAAAAAQAgAAAAIgAA&#10;AGRycy9kb3ducmV2LnhtbFBLAQIUABQAAAAIAIdO4kBekiz6CQIAABoEAAAOAAAAAAAAAAEAIAAA&#10;ACYBAABkcnMvZTJvRG9jLnhtbFBLBQYAAAAABgAGAFkBAAChBQAAAAA=&#10;">
              <v:fill on="f" focussize="0,0"/>
              <v:stroke on="f"/>
              <v:imagedata o:title=""/>
              <o:lock v:ext="edit" aspectratio="f"/>
              <v:textbox inset="0mm,0mm,0mm,0mm">
                <w:txbxContent>
                  <w:p w14:paraId="53A0BBC1">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687710632" name="Text Box 19"/>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0747CA83">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left:293.9pt;margin-top:13.5pt;height:10.95pt;width:103pt;mso-position-horizontal-relative:page;mso-position-vertical-relative:page;z-index:-251602944;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6ZNE2AAAAAkBAAAPAAAAAAAAAAEAIAAAACIA&#10;AABkcnMvZG93bnJldi54bWxQSwECFAAUAAAACACHTuJA1nk7SgkCAAAbBAAADgAAAAAAAAABACAA&#10;AAAnAQAAZHJzL2Uyb0RvYy54bWxQSwUGAAAAAAYABgBZAQAAogUAAAAA&#10;">
              <v:fill on="f" focussize="0,0"/>
              <v:stroke on="f"/>
              <v:imagedata o:title=""/>
              <o:lock v:ext="edit" aspectratio="f"/>
              <v:textbox inset="0mm,0mm,0mm,0mm">
                <w:txbxContent>
                  <w:p w14:paraId="0747CA83">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DDA3C">
    <w:pPr>
      <w:pStyle w:val="15"/>
      <w:spacing w:line="14" w:lineRule="auto"/>
      <w:rPr>
        <w:sz w:val="20"/>
      </w:rPr>
    </w:pPr>
    <w:r>
      <mc:AlternateContent>
        <mc:Choice Requires="wps">
          <w:drawing>
            <wp:anchor distT="0" distB="0" distL="114300" distR="114300" simplePos="0" relativeHeight="251717632"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529270221" name="Text Box 16"/>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497B8BE3">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left:24.5pt;margin-top:13.5pt;height:10.95pt;width:66.5pt;mso-position-horizontal-relative:page;mso-position-vertical-relative:page;z-index:-251598848;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LE1h1wAAAAgBAAAPAAAAAAAAAAEAIAAAACIA&#10;AABkcnMvZG93bnJldi54bWxQSwECFAAUAAAACACHTuJAoyokngoCAAAaBAAADgAAAAAAAAABACAA&#10;AAAmAQAAZHJzL2Uyb0RvYy54bWxQSwUGAAAAAAYABgBZAQAAogUAAAAA&#10;">
              <v:fill on="f" focussize="0,0"/>
              <v:stroke on="f"/>
              <v:imagedata o:title=""/>
              <o:lock v:ext="edit" aspectratio="f"/>
              <v:textbox inset="0mm,0mm,0mm,0mm">
                <w:txbxContent>
                  <w:p w14:paraId="497B8BE3">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129289313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0F8F4A08">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293.9pt;margin-top:13.5pt;height:10.95pt;width:103pt;mso-position-horizontal-relative:page;mso-position-vertical-relative:page;z-index:-251597824;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pk0TYAAAACQEAAA8AAAAAAAAAAQAgAAAAIgAA&#10;AGRycy9kb3ducmV2LnhtbFBLAQIUABQAAAAIAIdO4kBlRblWCAIAABwEAAAOAAAAAAAAAAEAIAAA&#10;ACcBAABkcnMvZTJvRG9jLnhtbFBLBQYAAAAABgAGAFkBAAChBQAAAAA=&#10;">
              <v:fill on="f" focussize="0,0"/>
              <v:stroke on="f"/>
              <v:imagedata o:title=""/>
              <o:lock v:ext="edit" aspectratio="f"/>
              <v:textbox inset="0mm,0mm,0mm,0mm">
                <w:txbxContent>
                  <w:p w14:paraId="0F8F4A08">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8EEA5">
    <w:pPr>
      <w:pStyle w:val="15"/>
      <w:spacing w:line="14" w:lineRule="auto"/>
      <w:rPr>
        <w:sz w:val="20"/>
      </w:rPr>
    </w:pPr>
    <w:r>
      <mc:AlternateContent>
        <mc:Choice Requires="wps">
          <w:drawing>
            <wp:anchor distT="0" distB="0" distL="114300" distR="114300" simplePos="0" relativeHeight="251721728"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98129915" name="Text Box 12"/>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3BFA2632">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24.5pt;margin-top:13.5pt;height:10.95pt;width:66.5pt;mso-position-horizontal-relative:page;mso-position-vertical-relative:page;z-index:-251594752;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sTWHXAAAACAEAAA8AAAAAAAAAAQAgAAAAIgAA&#10;AGRycy9kb3ducmV2LnhtbFBLAQIUABQAAAAIAIdO4kAyXZbxCQIAABoEAAAOAAAAAAAAAAEAIAAA&#10;ACYBAABkcnMvZTJvRG9jLnhtbFBLBQYAAAAABgAGAFkBAAChBQAAAAA=&#10;">
              <v:fill on="f" focussize="0,0"/>
              <v:stroke on="f"/>
              <v:imagedata o:title=""/>
              <o:lock v:ext="edit" aspectratio="f"/>
              <v:textbox inset="0mm,0mm,0mm,0mm">
                <w:txbxContent>
                  <w:p w14:paraId="3BFA2632">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722752"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166176766" name="Text Box 11"/>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1666E0FF">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293.9pt;margin-top:13.5pt;height:10.95pt;width:103pt;mso-position-horizontal-relative:page;mso-position-vertical-relative:page;z-index:-251593728;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pk0TYAAAACQEAAA8AAAAAAAAAAQAgAAAAIgAA&#10;AGRycy9kb3ducmV2LnhtbFBLAQIUABQAAAAIAIdO4kDpI3NOCAIAABsEAAAOAAAAAAAAAAEAIAAA&#10;ACcBAABkcnMvZTJvRG9jLnhtbFBLBQYAAAAABgAGAFkBAAChBQAAAAA=&#10;">
              <v:fill on="f" focussize="0,0"/>
              <v:stroke on="f"/>
              <v:imagedata o:title=""/>
              <o:lock v:ext="edit" aspectratio="f"/>
              <v:textbox inset="0mm,0mm,0mm,0mm">
                <w:txbxContent>
                  <w:p w14:paraId="1666E0FF">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AEE00">
    <w:pPr>
      <w:pStyle w:val="15"/>
      <w:spacing w:line="14" w:lineRule="auto"/>
      <w:rPr>
        <w:sz w:val="20"/>
      </w:rPr>
    </w:pPr>
    <w:r>
      <mc:AlternateContent>
        <mc:Choice Requires="wps">
          <w:drawing>
            <wp:anchor distT="0" distB="0" distL="114300" distR="114300" simplePos="0" relativeHeight="251726848"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914156257" name="Text Box 8"/>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7108F27C">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8" o:spid="_x0000_s1026" o:spt="202" type="#_x0000_t202" style="position:absolute;left:0pt;margin-left:24.5pt;margin-top:13.5pt;height:10.95pt;width:66.5pt;mso-position-horizontal-relative:page;mso-position-vertical-relative:page;z-index:-251589632;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sTWHXAAAACAEAAA8AAAAAAAAAAQAgAAAAIgAA&#10;AGRycy9kb3ducmV2LnhtbFBLAQIUABQAAAAIAIdO4kBLmEcsCQIAABoEAAAOAAAAAAAAAAEAIAAA&#10;ACYBAABkcnMvZTJvRG9jLnhtbFBLBQYAAAAABgAGAFkBAAChBQAAAAA=&#10;">
              <v:fill on="f" focussize="0,0"/>
              <v:stroke on="f"/>
              <v:imagedata o:title=""/>
              <o:lock v:ext="edit" aspectratio="f"/>
              <v:textbox inset="0mm,0mm,0mm,0mm">
                <w:txbxContent>
                  <w:p w14:paraId="7108F27C">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1997746223" name="Text Box 7"/>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0F40A1DC">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293.9pt;margin-top:13.5pt;height:10.95pt;width:103pt;mso-position-horizontal-relative:page;mso-position-vertical-relative:page;z-index:-251588608;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6ZNE2AAAAAkBAAAPAAAAAAAAAAEAIAAAACIA&#10;AABkcnMvZG93bnJldi54bWxQSwECFAAUAAAACACHTuJAzcw+xgkCAAAbBAAADgAAAAAAAAABACAA&#10;AAAnAQAAZHJzL2Uyb0RvYy54bWxQSwUGAAAAAAYABgBZAQAAogUAAAAA&#10;">
              <v:fill on="f" focussize="0,0"/>
              <v:stroke on="f"/>
              <v:imagedata o:title=""/>
              <o:lock v:ext="edit" aspectratio="f"/>
              <v:textbox inset="0mm,0mm,0mm,0mm">
                <w:txbxContent>
                  <w:p w14:paraId="0F40A1DC">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16F98">
    <w:pPr>
      <w:pStyle w:val="3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0A4D0">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78C0">
    <w:pPr>
      <w:pStyle w:val="3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4BC45">
    <w:pPr>
      <w:pStyle w:val="15"/>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459083979" name="Text Box 50"/>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1A4AC670">
                          <w:pPr>
                            <w:spacing w:before="14"/>
                            <w:rPr>
                              <w:sz w:val="16"/>
                            </w:rPr>
                          </w:pPr>
                          <w:r>
                            <w:rPr>
                              <w:sz w:val="16"/>
                            </w:rPr>
                            <w:t>25/01/2024,</w:t>
                          </w:r>
                          <w:r>
                            <w:rPr>
                              <w:spacing w:val="-1"/>
                              <w:sz w:val="16"/>
                            </w:rPr>
                            <w:t xml:space="preserve"> </w:t>
                          </w:r>
                          <w:r>
                            <w:rPr>
                              <w:sz w:val="16"/>
                            </w:rPr>
                            <w:t>14:12</w:t>
                          </w:r>
                        </w:p>
                      </w:txbxContent>
                    </wps:txbx>
                    <wps:bodyPr rot="0" vert="horz" wrap="square" lIns="0" tIns="0" rIns="0" bIns="0" anchor="t" anchorCtr="0" upright="1">
                      <a:noAutofit/>
                    </wps:bodyPr>
                  </wps:wsp>
                </a:graphicData>
              </a:graphic>
            </wp:anchor>
          </w:drawing>
        </mc:Choice>
        <mc:Fallback>
          <w:pict>
            <v:shape id="Text Box 50" o:spid="_x0000_s1026" o:spt="202" type="#_x0000_t202" style="position:absolute;left:0pt;margin-left:24.5pt;margin-top:13.5pt;height:10.95pt;width:66.5pt;mso-position-horizontal-relative:page;mso-position-vertical-relative:page;z-index:-251636736;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sTWHXAAAACAEAAA8AAAAAAAAAAQAgAAAAIgAA&#10;AGRycy9kb3ducmV2LnhtbFBLAQIUABQAAAAIAIdO4kAhT74YCQIAABoEAAAOAAAAAAAAAAEAIAAA&#10;ACYBAABkcnMvZTJvRG9jLnhtbFBLBQYAAAAABgAGAFkBAAChBQAAAAA=&#10;">
              <v:fill on="f" focussize="0,0"/>
              <v:stroke on="f"/>
              <v:imagedata o:title=""/>
              <o:lock v:ext="edit" aspectratio="f"/>
              <v:textbox inset="0mm,0mm,0mm,0mm">
                <w:txbxContent>
                  <w:p w14:paraId="1A4AC670">
                    <w:pPr>
                      <w:spacing w:before="14"/>
                      <w:rPr>
                        <w:sz w:val="16"/>
                      </w:rPr>
                    </w:pPr>
                    <w:r>
                      <w:rPr>
                        <w:sz w:val="16"/>
                      </w:rPr>
                      <w:t>25/01/2024,</w:t>
                    </w:r>
                    <w:r>
                      <w:rPr>
                        <w:spacing w:val="-1"/>
                        <w:sz w:val="16"/>
                      </w:rPr>
                      <w:t xml:space="preserve"> </w:t>
                    </w:r>
                    <w:r>
                      <w:rPr>
                        <w:sz w:val="16"/>
                      </w:rPr>
                      <w:t>14:12</w:t>
                    </w: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556554067" name="Text Box 49"/>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69900DDB">
                          <w:pPr>
                            <w:spacing w:before="14"/>
                            <w:rPr>
                              <w:sz w:val="16"/>
                            </w:rPr>
                          </w:pPr>
                          <w:r>
                            <w:rPr>
                              <w:sz w:val="16"/>
                            </w:rPr>
                            <w:t>SURVEY</w:t>
                          </w:r>
                          <w:r>
                            <w:rPr>
                              <w:spacing w:val="-6"/>
                              <w:sz w:val="16"/>
                            </w:rPr>
                            <w:t xml:space="preserve"> </w:t>
                          </w:r>
                          <w:r>
                            <w:rPr>
                              <w:sz w:val="16"/>
                            </w:rPr>
                            <w:t>QUESTIONNAIRE</w:t>
                          </w:r>
                        </w:p>
                      </w:txbxContent>
                    </wps:txbx>
                    <wps:bodyPr rot="0" vert="horz" wrap="square" lIns="0" tIns="0" rIns="0" bIns="0" anchor="t" anchorCtr="0" upright="1">
                      <a:noAutofit/>
                    </wps:bodyPr>
                  </wps:wsp>
                </a:graphicData>
              </a:graphic>
            </wp:anchor>
          </w:drawing>
        </mc:Choice>
        <mc:Fallback>
          <w:pict>
            <v:shape id="Text Box 49" o:spid="_x0000_s1026" o:spt="202" type="#_x0000_t202" style="position:absolute;left:0pt;margin-left:293.9pt;margin-top:13.5pt;height:10.95pt;width:103pt;mso-position-horizontal-relative:page;mso-position-vertical-relative:page;z-index:-251635712;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mTRNgAAAAJAQAADwAAAAAAAAABACAAAAAi&#10;AAAAZHJzL2Rvd25yZXYueG1sUEsBAhQAFAAAAAgAh07iQOc3rXoKAgAAGwQAAA4AAAAAAAAAAQAg&#10;AAAAJwEAAGRycy9lMm9Eb2MueG1sUEsFBgAAAAAGAAYAWQEAAKMFAAAAAA==&#10;">
              <v:fill on="f" focussize="0,0"/>
              <v:stroke on="f"/>
              <v:imagedata o:title=""/>
              <o:lock v:ext="edit" aspectratio="f"/>
              <v:textbox inset="0mm,0mm,0mm,0mm">
                <w:txbxContent>
                  <w:p w14:paraId="69900DDB">
                    <w:pPr>
                      <w:spacing w:before="14"/>
                      <w:rPr>
                        <w:sz w:val="16"/>
                      </w:rPr>
                    </w:pPr>
                    <w:r>
                      <w:rPr>
                        <w:sz w:val="16"/>
                      </w:rPr>
                      <w:t>SURVEY</w:t>
                    </w:r>
                    <w:r>
                      <w:rPr>
                        <w:spacing w:val="-6"/>
                        <w:sz w:val="16"/>
                      </w:rPr>
                      <w:t xml:space="preserve"> </w:t>
                    </w:r>
                    <w:r>
                      <w:rPr>
                        <w:sz w:val="16"/>
                      </w:rPr>
                      <w:t>QUESTIONNAIRE</w:t>
                    </w: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854075</wp:posOffset>
              </wp:positionH>
              <wp:positionV relativeFrom="page">
                <wp:posOffset>436245</wp:posOffset>
              </wp:positionV>
              <wp:extent cx="236855" cy="204470"/>
              <wp:effectExtent l="0" t="0" r="0" b="0"/>
              <wp:wrapNone/>
              <wp:docPr id="1307413378" name="Text Box 48"/>
              <wp:cNvGraphicFramePr/>
              <a:graphic xmlns:a="http://schemas.openxmlformats.org/drawingml/2006/main">
                <a:graphicData uri="http://schemas.microsoft.com/office/word/2010/wordprocessingShape">
                  <wps:wsp>
                    <wps:cNvSpPr txBox="1">
                      <a:spLocks noChangeArrowheads="1"/>
                    </wps:cNvSpPr>
                    <wps:spPr bwMode="auto">
                      <a:xfrm>
                        <a:off x="0" y="0"/>
                        <a:ext cx="236855" cy="204470"/>
                      </a:xfrm>
                      <a:prstGeom prst="rect">
                        <a:avLst/>
                      </a:prstGeom>
                      <a:noFill/>
                      <a:ln>
                        <a:noFill/>
                      </a:ln>
                      <a:effectLst/>
                    </wps:spPr>
                    <wps:txbx>
                      <w:txbxContent>
                        <w:p w14:paraId="356E7930">
                          <w:pPr>
                            <w:pStyle w:val="15"/>
                            <w:spacing w:before="14"/>
                            <w:rPr>
                              <w:rFonts w:ascii="Roboto"/>
                            </w:rPr>
                          </w:pPr>
                          <w:r>
                            <w:rPr>
                              <w:rFonts w:ascii="Roboto"/>
                              <w:color w:val="202024"/>
                            </w:rPr>
                            <w:t>15.</w:t>
                          </w:r>
                        </w:p>
                      </w:txbxContent>
                    </wps:txbx>
                    <wps:bodyPr rot="0" vert="horz" wrap="square" lIns="0" tIns="0" rIns="0" bIns="0" anchor="t" anchorCtr="0" upright="1">
                      <a:noAutofit/>
                    </wps:bodyPr>
                  </wps:wsp>
                </a:graphicData>
              </a:graphic>
            </wp:anchor>
          </w:drawing>
        </mc:Choice>
        <mc:Fallback>
          <w:pict>
            <v:shape id="Text Box 48" o:spid="_x0000_s1026" o:spt="202" type="#_x0000_t202" style="position:absolute;left:0pt;margin-left:67.25pt;margin-top:34.35pt;height:16.1pt;width:18.65pt;mso-position-horizontal-relative:page;mso-position-vertical-relative:page;z-index:-251634688;mso-width-relative:page;mso-height-relative:page;" filled="f" stroked="f" coordsize="21600,21600" o:gfxdata="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C8+tTYAAAACgEAAA8AAAAAAAAAAQAgAAAA&#10;IgAAAGRycy9kb3ducmV2LnhtbFBLAQIUABQAAAAIAIdO4kBppvOcCwIAABsEAAAOAAAAAAAAAAEA&#10;IAAAACcBAABkcnMvZTJvRG9jLnhtbFBLBQYAAAAABgAGAFkBAACkBQAAAAA=&#10;">
              <v:fill on="f" focussize="0,0"/>
              <v:stroke on="f"/>
              <v:imagedata o:title=""/>
              <o:lock v:ext="edit" aspectratio="f"/>
              <v:textbox inset="0mm,0mm,0mm,0mm">
                <w:txbxContent>
                  <w:p w14:paraId="356E7930">
                    <w:pPr>
                      <w:pStyle w:val="15"/>
                      <w:spacing w:before="14"/>
                      <w:rPr>
                        <w:rFonts w:ascii="Roboto"/>
                      </w:rPr>
                    </w:pPr>
                    <w:r>
                      <w:rPr>
                        <w:rFonts w:ascii="Roboto"/>
                        <w:color w:val="202024"/>
                      </w:rPr>
                      <w:t>15.</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1256030</wp:posOffset>
              </wp:positionH>
              <wp:positionV relativeFrom="page">
                <wp:posOffset>440055</wp:posOffset>
              </wp:positionV>
              <wp:extent cx="5320030" cy="196215"/>
              <wp:effectExtent l="0" t="0" r="0" b="0"/>
              <wp:wrapNone/>
              <wp:docPr id="1021190305" name="Text Box 47"/>
              <wp:cNvGraphicFramePr/>
              <a:graphic xmlns:a="http://schemas.openxmlformats.org/drawingml/2006/main">
                <a:graphicData uri="http://schemas.microsoft.com/office/word/2010/wordprocessingShape">
                  <wps:wsp>
                    <wps:cNvSpPr txBox="1">
                      <a:spLocks noChangeArrowheads="1"/>
                    </wps:cNvSpPr>
                    <wps:spPr bwMode="auto">
                      <a:xfrm>
                        <a:off x="0" y="0"/>
                        <a:ext cx="5320030" cy="196215"/>
                      </a:xfrm>
                      <a:prstGeom prst="rect">
                        <a:avLst/>
                      </a:prstGeom>
                      <a:noFill/>
                      <a:ln>
                        <a:noFill/>
                      </a:ln>
                      <a:effectLst/>
                    </wps:spPr>
                    <wps:txbx>
                      <w:txbxContent>
                        <w:p w14:paraId="324A958A">
                          <w:pPr>
                            <w:pStyle w:val="15"/>
                            <w:spacing w:before="12"/>
                          </w:pPr>
                          <w:r>
                            <w:rPr>
                              <w:color w:val="202024"/>
                            </w:rPr>
                            <w:t>10. Principle driven tax policy and legislation making and interpretation are key</w:t>
                          </w:r>
                        </w:p>
                      </w:txbxContent>
                    </wps:txbx>
                    <wps:bodyPr rot="0" vert="horz" wrap="square" lIns="0" tIns="0" rIns="0" bIns="0" anchor="t" anchorCtr="0" upright="1">
                      <a:noAutofit/>
                    </wps:bodyPr>
                  </wps:wsp>
                </a:graphicData>
              </a:graphic>
            </wp:anchor>
          </w:drawing>
        </mc:Choice>
        <mc:Fallback>
          <w:pict>
            <v:shape id="Text Box 47" o:spid="_x0000_s1026" o:spt="202" type="#_x0000_t202" style="position:absolute;left:0pt;margin-left:98.9pt;margin-top:34.65pt;height:15.45pt;width:418.9pt;mso-position-horizontal-relative:page;mso-position-vertical-relative:page;z-index:-251633664;mso-width-relative:page;mso-height-relative:page;" filled="f" stroked="f" coordsize="21600,21600" o:gfxdata="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QKZTZAAAACwEAAA8AAAAAAAAAAQAgAAAA&#10;IgAAAGRycy9kb3ducmV2LnhtbFBLAQIUABQAAAAIAIdO4kCeWFYkCgIAABwEAAAOAAAAAAAAAAEA&#10;IAAAACgBAABkcnMvZTJvRG9jLnhtbFBLBQYAAAAABgAGAFkBAACkBQAAAAA=&#10;">
              <v:fill on="f" focussize="0,0"/>
              <v:stroke on="f"/>
              <v:imagedata o:title=""/>
              <o:lock v:ext="edit" aspectratio="f"/>
              <v:textbox inset="0mm,0mm,0mm,0mm">
                <w:txbxContent>
                  <w:p w14:paraId="324A958A">
                    <w:pPr>
                      <w:pStyle w:val="15"/>
                      <w:spacing w:before="12"/>
                    </w:pPr>
                    <w:r>
                      <w:rPr>
                        <w:color w:val="202024"/>
                      </w:rPr>
                      <w:t>10. Principle driven tax policy and legislation making and interpretation are key</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58476">
    <w:pPr>
      <w:pStyle w:val="15"/>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338635100" name="Text Box 44"/>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6EF8570A">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44" o:spid="_x0000_s1026" o:spt="202" type="#_x0000_t202" style="position:absolute;left:0pt;margin-left:24.5pt;margin-top:13.5pt;height:10.95pt;width:66.5pt;mso-position-horizontal-relative:page;mso-position-vertical-relative:page;z-index:-251630592;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sTWHXAAAACAEAAA8AAAAAAAAAAQAgAAAAIgAA&#10;AGRycy9kb3ducmV2LnhtbFBLAQIUABQAAAAIAIdO4kBwOCn/CQIAABsEAAAOAAAAAAAAAAEAIAAA&#10;ACYBAABkcnMvZTJvRG9jLnhtbFBLBQYAAAAABgAGAFkBAAChBQAAAAA=&#10;">
              <v:fill on="f" focussize="0,0"/>
              <v:stroke on="f"/>
              <v:imagedata o:title=""/>
              <o:lock v:ext="edit" aspectratio="f"/>
              <v:textbox inset="0mm,0mm,0mm,0mm">
                <w:txbxContent>
                  <w:p w14:paraId="6EF8570A">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224524835" name="Text Box 43"/>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76BC29EB">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43" o:spid="_x0000_s1026" o:spt="202" type="#_x0000_t202" style="position:absolute;left:0pt;margin-left:293.9pt;margin-top:13.5pt;height:10.95pt;width:103pt;mso-position-horizontal-relative:page;mso-position-vertical-relative:page;z-index:-251629568;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6ZNE2AAAAAkBAAAPAAAAAAAAAAEAIAAAACIA&#10;AABkcnMvZG93bnJldi54bWxQSwECFAAUAAAACACHTuJA87IFtAkCAAAbBAAADgAAAAAAAAABACAA&#10;AAAnAQAAZHJzL2Uyb0RvYy54bWxQSwUGAAAAAAYABgBZAQAAogUAAAAA&#10;">
              <v:fill on="f" focussize="0,0"/>
              <v:stroke on="f"/>
              <v:imagedata o:title=""/>
              <o:lock v:ext="edit" aspectratio="f"/>
              <v:textbox inset="0mm,0mm,0mm,0mm">
                <w:txbxContent>
                  <w:p w14:paraId="76BC29EB">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1335">
    <w:pPr>
      <w:pStyle w:val="15"/>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819416247" name="Text Box 40"/>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76927143">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40" o:spid="_x0000_s1026" o:spt="202" type="#_x0000_t202" style="position:absolute;left:0pt;margin-left:24.5pt;margin-top:13.5pt;height:10.95pt;width:66.5pt;mso-position-horizontal-relative:page;mso-position-vertical-relative:page;z-index:-251625472;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sTWHXAAAACAEAAA8AAAAAAAAAAQAgAAAAIgAA&#10;AGRycy9kb3ducmV2LnhtbFBLAQIUABQAAAAIAIdO4kCywwe+CQIAABsEAAAOAAAAAAAAAAEAIAAA&#10;ACYBAABkcnMvZTJvRG9jLnhtbFBLBQYAAAAABgAGAFkBAAChBQAAAAA=&#10;">
              <v:fill on="f" focussize="0,0"/>
              <v:stroke on="f"/>
              <v:imagedata o:title=""/>
              <o:lock v:ext="edit" aspectratio="f"/>
              <v:textbox inset="0mm,0mm,0mm,0mm">
                <w:txbxContent>
                  <w:p w14:paraId="76927143">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1626381225" name="Text Box 39"/>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61F13200">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39" o:spid="_x0000_s1026" o:spt="202" type="#_x0000_t202" style="position:absolute;left:0pt;margin-left:293.9pt;margin-top:13.5pt;height:10.95pt;width:103pt;mso-position-horizontal-relative:page;mso-position-vertical-relative:page;z-index:-251624448;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6ZNE2AAAAAkBAAAPAAAAAAAAAAEAIAAAACIA&#10;AABkcnMvZG93bnJldi54bWxQSwECFAAUAAAACACHTuJA/NwDsgkCAAAcBAAADgAAAAAAAAABACAA&#10;AAAnAQAAZHJzL2Uyb0RvYy54bWxQSwUGAAAAAAYABgBZAQAAogUAAAAA&#10;">
              <v:fill on="f" focussize="0,0"/>
              <v:stroke on="f"/>
              <v:imagedata o:title=""/>
              <o:lock v:ext="edit" aspectratio="f"/>
              <v:textbox inset="0mm,0mm,0mm,0mm">
                <w:txbxContent>
                  <w:p w14:paraId="61F13200">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920D9">
    <w:pPr>
      <w:pStyle w:val="15"/>
      <w:spacing w:line="14" w:lineRule="auto"/>
      <w:rPr>
        <w:sz w:val="20"/>
      </w:rPr>
    </w:pPr>
    <w:r>
      <mc:AlternateContent>
        <mc:Choice Requires="wps">
          <w:drawing>
            <wp:anchor distT="0" distB="0" distL="114300" distR="114300" simplePos="0" relativeHeight="251695104"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92106010" name="Text Box 36"/>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1448415A">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36" o:spid="_x0000_s1026" o:spt="202" type="#_x0000_t202" style="position:absolute;left:0pt;margin-left:24.5pt;margin-top:13.5pt;height:10.95pt;width:66.5pt;mso-position-horizontal-relative:page;mso-position-vertical-relative:page;z-index:-251621376;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&#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xNYdcAAAAIAQAADwAAAAAAAAABACAAAAAiAAAA&#10;ZHJzL2Rvd25yZXYueG1sUEsBAhQAFAAAAAgAh07iQFOfjQoIAgAAGgQAAA4AAAAAAAAAAQAgAAAA&#10;JgEAAGRycy9lMm9Eb2MueG1sUEsFBgAAAAAGAAYAWQEAAKAFAAAAAA==&#10;">
              <v:fill on="f" focussize="0,0"/>
              <v:stroke on="f"/>
              <v:imagedata o:title=""/>
              <o:lock v:ext="edit" aspectratio="f"/>
              <v:textbox inset="0mm,0mm,0mm,0mm">
                <w:txbxContent>
                  <w:p w14:paraId="1448415A">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696128"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768253033" name="Text Box 35"/>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1C01508E">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35" o:spid="_x0000_s1026" o:spt="202" type="#_x0000_t202" style="position:absolute;left:0pt;margin-left:293.9pt;margin-top:13.5pt;height:10.95pt;width:103pt;mso-position-horizontal-relative:page;mso-position-vertical-relative:page;z-index:-251620352;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6ZNE2AAAAAkBAAAPAAAAAAAAAAEAIAAAACIA&#10;AABkcnMvZG93bnJldi54bWxQSwECFAAUAAAACACHTuJATxAkbQkCAAAbBAAADgAAAAAAAAABACAA&#10;AAAnAQAAZHJzL2Uyb0RvYy54bWxQSwUGAAAAAAYABgBZAQAAogUAAAAA&#10;">
              <v:fill on="f" focussize="0,0"/>
              <v:stroke on="f"/>
              <v:imagedata o:title=""/>
              <o:lock v:ext="edit" aspectratio="f"/>
              <v:textbox inset="0mm,0mm,0mm,0mm">
                <w:txbxContent>
                  <w:p w14:paraId="1C01508E">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418EC">
    <w:pPr>
      <w:pStyle w:val="15"/>
      <w:spacing w:line="14" w:lineRule="auto"/>
      <w:rPr>
        <w:sz w:val="20"/>
      </w:rPr>
    </w:pPr>
    <w:r>
      <mc:AlternateContent>
        <mc:Choice Requires="wps">
          <w:drawing>
            <wp:anchor distT="0" distB="0" distL="114300" distR="114300" simplePos="0" relativeHeight="251700224"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093777926" name="Text Box 32"/>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27CF2740">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32" o:spid="_x0000_s1026" o:spt="202" type="#_x0000_t202" style="position:absolute;left:0pt;margin-left:24.5pt;margin-top:13.5pt;height:10.95pt;width:66.5pt;mso-position-horizontal-relative:page;mso-position-vertical-relative:page;z-index:-251616256;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LE1h1wAAAAgBAAAPAAAAAAAAAAEAIAAAACIA&#10;AABkcnMvZG93bnJldi54bWxQSwECFAAUAAAACACHTuJAUM0scgoCAAAbBAAADgAAAAAAAAABACAA&#10;AAAmAQAAZHJzL2Uyb0RvYy54bWxQSwUGAAAAAAYABgBZAQAAogUAAAAA&#10;">
              <v:fill on="f" focussize="0,0"/>
              <v:stroke on="f"/>
              <v:imagedata o:title=""/>
              <o:lock v:ext="edit" aspectratio="f"/>
              <v:textbox inset="0mm,0mm,0mm,0mm">
                <w:txbxContent>
                  <w:p w14:paraId="27CF2740">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701248"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1887839205" name="Text Box 31"/>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10EF75B9">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31" o:spid="_x0000_s1026" o:spt="202" type="#_x0000_t202" style="position:absolute;left:0pt;margin-left:293.9pt;margin-top:13.5pt;height:10.95pt;width:103pt;mso-position-horizontal-relative:page;mso-position-vertical-relative:page;z-index:-251615232;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6ZNE2AAAAAkBAAAPAAAAAAAAAAEAIAAAACIA&#10;AABkcnMvZG93bnJldi54bWxQSwECFAAUAAAACACHTuJAxEHbxQkCAAAcBAAADgAAAAAAAAABACAA&#10;AAAnAQAAZHJzL2Uyb0RvYy54bWxQSwUGAAAAAAYABgBZAQAAogUAAAAA&#10;">
              <v:fill on="f" focussize="0,0"/>
              <v:stroke on="f"/>
              <v:imagedata o:title=""/>
              <o:lock v:ext="edit" aspectratio="f"/>
              <v:textbox inset="0mm,0mm,0mm,0mm">
                <w:txbxContent>
                  <w:p w14:paraId="10EF75B9">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3278E">
    <w:pPr>
      <w:pStyle w:val="15"/>
      <w:spacing w:line="14" w:lineRule="auto"/>
      <w:rPr>
        <w:sz w:val="20"/>
      </w:rPr>
    </w:pPr>
    <w:r>
      <mc:AlternateContent>
        <mc:Choice Requires="wps">
          <w:drawing>
            <wp:anchor distT="0" distB="0" distL="114300" distR="114300" simplePos="0" relativeHeight="251704320" behindDoc="1" locked="0" layoutInCell="1" allowOverlap="1">
              <wp:simplePos x="0" y="0"/>
              <wp:positionH relativeFrom="page">
                <wp:posOffset>311150</wp:posOffset>
              </wp:positionH>
              <wp:positionV relativeFrom="page">
                <wp:posOffset>171450</wp:posOffset>
              </wp:positionV>
              <wp:extent cx="844550" cy="139065"/>
              <wp:effectExtent l="0" t="0" r="0" b="0"/>
              <wp:wrapNone/>
              <wp:docPr id="1486666335" name="Text Box 28"/>
              <wp:cNvGraphicFramePr/>
              <a:graphic xmlns:a="http://schemas.openxmlformats.org/drawingml/2006/main">
                <a:graphicData uri="http://schemas.microsoft.com/office/word/2010/wordprocessingShape">
                  <wps:wsp>
                    <wps:cNvSpPr txBox="1">
                      <a:spLocks noChangeArrowheads="1"/>
                    </wps:cNvSpPr>
                    <wps:spPr bwMode="auto">
                      <a:xfrm>
                        <a:off x="0" y="0"/>
                        <a:ext cx="844550" cy="139065"/>
                      </a:xfrm>
                      <a:prstGeom prst="rect">
                        <a:avLst/>
                      </a:prstGeom>
                      <a:noFill/>
                      <a:ln>
                        <a:noFill/>
                      </a:ln>
                      <a:effectLst/>
                    </wps:spPr>
                    <wps:txbx>
                      <w:txbxContent>
                        <w:p w14:paraId="34B11B6B">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wps:txbx>
                    <wps:bodyPr rot="0" vert="horz" wrap="square" lIns="0" tIns="0" rIns="0" bIns="0" anchor="t" anchorCtr="0" upright="1">
                      <a:noAutofit/>
                    </wps:bodyPr>
                  </wps:wsp>
                </a:graphicData>
              </a:graphic>
            </wp:anchor>
          </w:drawing>
        </mc:Choice>
        <mc:Fallback>
          <w:pict>
            <v:shape id="Text Box 28" o:spid="_x0000_s1026" o:spt="202" type="#_x0000_t202" style="position:absolute;left:0pt;margin-left:24.5pt;margin-top:13.5pt;height:10.95pt;width:66.5pt;mso-position-horizontal-relative:page;mso-position-vertical-relative:page;z-index:-251612160;mso-width-relative:page;mso-height-relative:page;" filled="f" stroked="f" coordsize="21600,21600" o:gfxdata="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xNYdcAAAAIAQAADwAAAAAAAAABACAAAAAiAAAA&#10;ZHJzL2Rvd25yZXYueG1sUEsBAhQAFAAAAAgAh07iQNgQqFIIAgAAGwQAAA4AAAAAAAAAAQAgAAAA&#10;JgEAAGRycy9lMm9Eb2MueG1sUEsFBgAAAAAGAAYAWQEAAKAFAAAAAA==&#10;">
              <v:fill on="f" focussize="0,0"/>
              <v:stroke on="f"/>
              <v:imagedata o:title=""/>
              <o:lock v:ext="edit" aspectratio="f"/>
              <v:textbox inset="0mm,0mm,0mm,0mm">
                <w:txbxContent>
                  <w:p w14:paraId="34B11B6B">
                    <w:pPr>
                      <w:spacing w:before="14"/>
                      <w:rPr>
                        <w:rFonts w:ascii="Arial MT"/>
                        <w:sz w:val="16"/>
                      </w:rPr>
                    </w:pPr>
                    <w:r>
                      <w:rPr>
                        <w:rFonts w:ascii="Arial MT"/>
                        <w:sz w:val="16"/>
                      </w:rPr>
                      <w:t>25/01/2024,</w:t>
                    </w:r>
                    <w:r>
                      <w:rPr>
                        <w:rFonts w:ascii="Arial MT"/>
                        <w:spacing w:val="-1"/>
                        <w:sz w:val="16"/>
                      </w:rPr>
                      <w:t xml:space="preserve"> </w:t>
                    </w:r>
                    <w:r>
                      <w:rPr>
                        <w:rFonts w:ascii="Arial MT"/>
                        <w:sz w:val="16"/>
                      </w:rPr>
                      <w:t>14:24</w:t>
                    </w:r>
                  </w:p>
                </w:txbxContent>
              </v:textbox>
            </v:shape>
          </w:pict>
        </mc:Fallback>
      </mc:AlternateContent>
    </w:r>
    <w:r>
      <mc:AlternateContent>
        <mc:Choice Requires="wps">
          <w:drawing>
            <wp:anchor distT="0" distB="0" distL="114300" distR="114300" simplePos="0" relativeHeight="251705344" behindDoc="1" locked="0" layoutInCell="1" allowOverlap="1">
              <wp:simplePos x="0" y="0"/>
              <wp:positionH relativeFrom="page">
                <wp:posOffset>3732530</wp:posOffset>
              </wp:positionH>
              <wp:positionV relativeFrom="page">
                <wp:posOffset>171450</wp:posOffset>
              </wp:positionV>
              <wp:extent cx="1308100" cy="139065"/>
              <wp:effectExtent l="0" t="0" r="0" b="0"/>
              <wp:wrapNone/>
              <wp:docPr id="1779953509" name="Text Box 27"/>
              <wp:cNvGraphicFramePr/>
              <a:graphic xmlns:a="http://schemas.openxmlformats.org/drawingml/2006/main">
                <a:graphicData uri="http://schemas.microsoft.com/office/word/2010/wordprocessingShape">
                  <wps:wsp>
                    <wps:cNvSpPr txBox="1">
                      <a:spLocks noChangeArrowheads="1"/>
                    </wps:cNvSpPr>
                    <wps:spPr bwMode="auto">
                      <a:xfrm>
                        <a:off x="0" y="0"/>
                        <a:ext cx="1308100" cy="139065"/>
                      </a:xfrm>
                      <a:prstGeom prst="rect">
                        <a:avLst/>
                      </a:prstGeom>
                      <a:noFill/>
                      <a:ln>
                        <a:noFill/>
                      </a:ln>
                      <a:effectLst/>
                    </wps:spPr>
                    <wps:txbx>
                      <w:txbxContent>
                        <w:p w14:paraId="0243AF66">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wps:txbx>
                    <wps:bodyPr rot="0" vert="horz" wrap="square" lIns="0" tIns="0" rIns="0" bIns="0" anchor="t" anchorCtr="0" upright="1">
                      <a:noAutofit/>
                    </wps:bodyPr>
                  </wps:wsp>
                </a:graphicData>
              </a:graphic>
            </wp:anchor>
          </w:drawing>
        </mc:Choice>
        <mc:Fallback>
          <w:pict>
            <v:shape id="Text Box 27" o:spid="_x0000_s1026" o:spt="202" type="#_x0000_t202" style="position:absolute;left:0pt;margin-left:293.9pt;margin-top:13.5pt;height:10.95pt;width:103pt;mso-position-horizontal-relative:page;mso-position-vertical-relative:page;z-index:-251611136;mso-width-relative:page;mso-height-relative:page;" filled="f" stroked="f" coordsize="21600,21600" o:gfxdata="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mTRNgAAAAJAQAADwAAAAAAAAABACAAAAAi&#10;AAAAZHJzL2Rvd25yZXYueG1sUEsBAhQAFAAAAAgAh07iQExjEaMKAgAAHAQAAA4AAAAAAAAAAQAg&#10;AAAAJwEAAGRycy9lMm9Eb2MueG1sUEsFBgAAAAAGAAYAWQEAAKMFAAAAAA==&#10;">
              <v:fill on="f" focussize="0,0"/>
              <v:stroke on="f"/>
              <v:imagedata o:title=""/>
              <o:lock v:ext="edit" aspectratio="f"/>
              <v:textbox inset="0mm,0mm,0mm,0mm">
                <w:txbxContent>
                  <w:p w14:paraId="0243AF66">
                    <w:pPr>
                      <w:spacing w:before="14"/>
                      <w:rPr>
                        <w:rFonts w:ascii="Arial MT"/>
                        <w:sz w:val="16"/>
                      </w:rPr>
                    </w:pPr>
                    <w:r>
                      <w:rPr>
                        <w:rFonts w:ascii="Arial MT"/>
                        <w:sz w:val="16"/>
                      </w:rPr>
                      <w:t>SURVEY</w:t>
                    </w:r>
                    <w:r>
                      <w:rPr>
                        <w:rFonts w:ascii="Arial MT"/>
                        <w:spacing w:val="-6"/>
                        <w:sz w:val="16"/>
                      </w:rPr>
                      <w:t xml:space="preserve"> </w:t>
                    </w:r>
                    <w:r>
                      <w:rPr>
                        <w:rFonts w:ascii="Arial MT"/>
                        <w:sz w:val="16"/>
                      </w:rPr>
                      <w:t>QUESTIONNAIRE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0B5D55"/>
    <w:multiLevelType w:val="multilevel"/>
    <w:tmpl w:val="070B5D55"/>
    <w:lvl w:ilvl="0" w:tentative="0">
      <w:start w:val="1"/>
      <w:numFmt w:val="lowerLetter"/>
      <w:lvlText w:val="(%1)"/>
      <w:lvlJc w:val="left"/>
      <w:pPr>
        <w:ind w:left="2160" w:hanging="72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
    <w:nsid w:val="08403A16"/>
    <w:multiLevelType w:val="multilevel"/>
    <w:tmpl w:val="08403A16"/>
    <w:lvl w:ilvl="0" w:tentative="0">
      <w:start w:val="16"/>
      <w:numFmt w:val="decimal"/>
      <w:lvlText w:val="%1."/>
      <w:lvlJc w:val="left"/>
      <w:pPr>
        <w:ind w:left="737" w:hanging="633"/>
      </w:pPr>
      <w:rPr>
        <w:rFonts w:hint="default" w:ascii="Times New Roman" w:hAnsi="Times New Roman" w:eastAsia="Roboto" w:cs="Times New Roman"/>
        <w:color w:val="202024"/>
        <w:w w:val="99"/>
        <w:sz w:val="24"/>
        <w:szCs w:val="24"/>
        <w:lang w:val="en-US" w:eastAsia="en-US" w:bidi="ar-SA"/>
      </w:rPr>
    </w:lvl>
    <w:lvl w:ilvl="1" w:tentative="0">
      <w:start w:val="0"/>
      <w:numFmt w:val="bullet"/>
      <w:lvlText w:val="•"/>
      <w:lvlJc w:val="left"/>
      <w:pPr>
        <w:ind w:left="1609" w:hanging="633"/>
      </w:pPr>
      <w:rPr>
        <w:rFonts w:hint="default"/>
        <w:lang w:val="en-US" w:eastAsia="en-US" w:bidi="ar-SA"/>
      </w:rPr>
    </w:lvl>
    <w:lvl w:ilvl="2" w:tentative="0">
      <w:start w:val="0"/>
      <w:numFmt w:val="bullet"/>
      <w:lvlText w:val="•"/>
      <w:lvlJc w:val="left"/>
      <w:pPr>
        <w:ind w:left="2479" w:hanging="633"/>
      </w:pPr>
      <w:rPr>
        <w:rFonts w:hint="default"/>
        <w:lang w:val="en-US" w:eastAsia="en-US" w:bidi="ar-SA"/>
      </w:rPr>
    </w:lvl>
    <w:lvl w:ilvl="3" w:tentative="0">
      <w:start w:val="0"/>
      <w:numFmt w:val="bullet"/>
      <w:lvlText w:val="•"/>
      <w:lvlJc w:val="left"/>
      <w:pPr>
        <w:ind w:left="3349" w:hanging="633"/>
      </w:pPr>
      <w:rPr>
        <w:rFonts w:hint="default"/>
        <w:lang w:val="en-US" w:eastAsia="en-US" w:bidi="ar-SA"/>
      </w:rPr>
    </w:lvl>
    <w:lvl w:ilvl="4" w:tentative="0">
      <w:start w:val="0"/>
      <w:numFmt w:val="bullet"/>
      <w:lvlText w:val="•"/>
      <w:lvlJc w:val="left"/>
      <w:pPr>
        <w:ind w:left="4219" w:hanging="633"/>
      </w:pPr>
      <w:rPr>
        <w:rFonts w:hint="default"/>
        <w:lang w:val="en-US" w:eastAsia="en-US" w:bidi="ar-SA"/>
      </w:rPr>
    </w:lvl>
    <w:lvl w:ilvl="5" w:tentative="0">
      <w:start w:val="0"/>
      <w:numFmt w:val="bullet"/>
      <w:lvlText w:val="•"/>
      <w:lvlJc w:val="left"/>
      <w:pPr>
        <w:ind w:left="5089" w:hanging="633"/>
      </w:pPr>
      <w:rPr>
        <w:rFonts w:hint="default"/>
        <w:lang w:val="en-US" w:eastAsia="en-US" w:bidi="ar-SA"/>
      </w:rPr>
    </w:lvl>
    <w:lvl w:ilvl="6" w:tentative="0">
      <w:start w:val="0"/>
      <w:numFmt w:val="bullet"/>
      <w:lvlText w:val="•"/>
      <w:lvlJc w:val="left"/>
      <w:pPr>
        <w:ind w:left="5959" w:hanging="633"/>
      </w:pPr>
      <w:rPr>
        <w:rFonts w:hint="default"/>
        <w:lang w:val="en-US" w:eastAsia="en-US" w:bidi="ar-SA"/>
      </w:rPr>
    </w:lvl>
    <w:lvl w:ilvl="7" w:tentative="0">
      <w:start w:val="0"/>
      <w:numFmt w:val="bullet"/>
      <w:lvlText w:val="•"/>
      <w:lvlJc w:val="left"/>
      <w:pPr>
        <w:ind w:left="6829" w:hanging="633"/>
      </w:pPr>
      <w:rPr>
        <w:rFonts w:hint="default"/>
        <w:lang w:val="en-US" w:eastAsia="en-US" w:bidi="ar-SA"/>
      </w:rPr>
    </w:lvl>
    <w:lvl w:ilvl="8" w:tentative="0">
      <w:start w:val="0"/>
      <w:numFmt w:val="bullet"/>
      <w:lvlText w:val="•"/>
      <w:lvlJc w:val="left"/>
      <w:pPr>
        <w:ind w:left="7699" w:hanging="633"/>
      </w:pPr>
      <w:rPr>
        <w:rFonts w:hint="default"/>
        <w:lang w:val="en-US" w:eastAsia="en-US" w:bidi="ar-SA"/>
      </w:rPr>
    </w:lvl>
  </w:abstractNum>
  <w:abstractNum w:abstractNumId="2">
    <w:nsid w:val="0DBA5791"/>
    <w:multiLevelType w:val="multilevel"/>
    <w:tmpl w:val="0DBA57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E404F83"/>
    <w:multiLevelType w:val="multilevel"/>
    <w:tmpl w:val="0E404F83"/>
    <w:lvl w:ilvl="0" w:tentative="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tentative="0">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tentative="0">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tentative="0">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7" w:tentative="0">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tentative="0">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4">
    <w:nsid w:val="0EAA38CE"/>
    <w:multiLevelType w:val="multilevel"/>
    <w:tmpl w:val="0EAA38CE"/>
    <w:lvl w:ilvl="0" w:tentative="0">
      <w:start w:val="1"/>
      <w:numFmt w:val="decimal"/>
      <w:pStyle w:val="78"/>
      <w:lvlText w:val="%1."/>
      <w:lvlJc w:val="left"/>
      <w:pPr>
        <w:tabs>
          <w:tab w:val="left" w:pos="720"/>
        </w:tabs>
        <w:ind w:left="720" w:hanging="720"/>
      </w:pPr>
    </w:lvl>
    <w:lvl w:ilvl="1" w:tentative="0">
      <w:start w:val="1"/>
      <w:numFmt w:val="decimal"/>
      <w:pStyle w:val="79"/>
      <w:lvlText w:val="%2."/>
      <w:lvlJc w:val="left"/>
      <w:pPr>
        <w:tabs>
          <w:tab w:val="left" w:pos="1440"/>
        </w:tabs>
        <w:ind w:left="1440" w:hanging="720"/>
      </w:pPr>
    </w:lvl>
    <w:lvl w:ilvl="2" w:tentative="0">
      <w:start w:val="1"/>
      <w:numFmt w:val="decimal"/>
      <w:pStyle w:val="80"/>
      <w:lvlText w:val="%3."/>
      <w:lvlJc w:val="left"/>
      <w:pPr>
        <w:tabs>
          <w:tab w:val="left" w:pos="2160"/>
        </w:tabs>
        <w:ind w:left="2160" w:hanging="720"/>
      </w:pPr>
    </w:lvl>
    <w:lvl w:ilvl="3" w:tentative="0">
      <w:start w:val="1"/>
      <w:numFmt w:val="decimal"/>
      <w:pStyle w:val="81"/>
      <w:lvlText w:val="%4."/>
      <w:lvlJc w:val="left"/>
      <w:pPr>
        <w:tabs>
          <w:tab w:val="left" w:pos="2880"/>
        </w:tabs>
        <w:ind w:left="2880" w:hanging="720"/>
      </w:pPr>
    </w:lvl>
    <w:lvl w:ilvl="4" w:tentative="0">
      <w:start w:val="1"/>
      <w:numFmt w:val="decimal"/>
      <w:pStyle w:val="82"/>
      <w:lvlText w:val="%5."/>
      <w:lvlJc w:val="left"/>
      <w:pPr>
        <w:tabs>
          <w:tab w:val="left" w:pos="3600"/>
        </w:tabs>
        <w:ind w:left="3600" w:hanging="720"/>
      </w:pPr>
    </w:lvl>
    <w:lvl w:ilvl="5" w:tentative="0">
      <w:start w:val="1"/>
      <w:numFmt w:val="decimal"/>
      <w:pStyle w:val="8"/>
      <w:lvlText w:val="%6."/>
      <w:lvlJc w:val="left"/>
      <w:pPr>
        <w:tabs>
          <w:tab w:val="left" w:pos="4320"/>
        </w:tabs>
        <w:ind w:left="4320" w:hanging="720"/>
      </w:pPr>
    </w:lvl>
    <w:lvl w:ilvl="6" w:tentative="0">
      <w:start w:val="1"/>
      <w:numFmt w:val="decimal"/>
      <w:pStyle w:val="83"/>
      <w:lvlText w:val="%7."/>
      <w:lvlJc w:val="left"/>
      <w:pPr>
        <w:tabs>
          <w:tab w:val="left" w:pos="5040"/>
        </w:tabs>
        <w:ind w:left="5040" w:hanging="720"/>
      </w:pPr>
    </w:lvl>
    <w:lvl w:ilvl="7" w:tentative="0">
      <w:start w:val="1"/>
      <w:numFmt w:val="decimal"/>
      <w:pStyle w:val="84"/>
      <w:lvlText w:val="%8."/>
      <w:lvlJc w:val="left"/>
      <w:pPr>
        <w:tabs>
          <w:tab w:val="left" w:pos="5760"/>
        </w:tabs>
        <w:ind w:left="5760" w:hanging="720"/>
      </w:pPr>
    </w:lvl>
    <w:lvl w:ilvl="8" w:tentative="0">
      <w:start w:val="1"/>
      <w:numFmt w:val="decimal"/>
      <w:pStyle w:val="85"/>
      <w:lvlText w:val="%9."/>
      <w:lvlJc w:val="left"/>
      <w:pPr>
        <w:tabs>
          <w:tab w:val="left" w:pos="6480"/>
        </w:tabs>
        <w:ind w:left="6480" w:hanging="720"/>
      </w:pPr>
    </w:lvl>
  </w:abstractNum>
  <w:abstractNum w:abstractNumId="5">
    <w:nsid w:val="14B21244"/>
    <w:multiLevelType w:val="multilevel"/>
    <w:tmpl w:val="14B21244"/>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4DC6358"/>
    <w:multiLevelType w:val="multilevel"/>
    <w:tmpl w:val="14DC635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6B433B2"/>
    <w:multiLevelType w:val="multilevel"/>
    <w:tmpl w:val="16B433B2"/>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8">
    <w:nsid w:val="17C063AB"/>
    <w:multiLevelType w:val="multilevel"/>
    <w:tmpl w:val="17C063AB"/>
    <w:lvl w:ilvl="0" w:tentative="0">
      <w:start w:val="4"/>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9">
    <w:nsid w:val="21DA5E21"/>
    <w:multiLevelType w:val="multilevel"/>
    <w:tmpl w:val="21DA5E21"/>
    <w:lvl w:ilvl="0" w:tentative="0">
      <w:start w:val="1"/>
      <w:numFmt w:val="lowerLetter"/>
      <w:lvlText w:val="%1)"/>
      <w:lvlJc w:val="left"/>
      <w:pPr>
        <w:ind w:left="114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entative="0">
      <w:start w:val="1"/>
      <w:numFmt w:val="lowerRoman"/>
      <w:lvlText w:val="%3."/>
      <w:lvlJc w:val="left"/>
      <w:pPr>
        <w:ind w:left="2880" w:hanging="30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entative="0">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entative="0">
      <w:start w:val="1"/>
      <w:numFmt w:val="lowerRoman"/>
      <w:lvlText w:val="%6."/>
      <w:lvlJc w:val="left"/>
      <w:pPr>
        <w:ind w:left="5040" w:hanging="30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entative="0">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entative="0">
      <w:start w:val="1"/>
      <w:numFmt w:val="lowerRoman"/>
      <w:lvlText w:val="%9."/>
      <w:lvlJc w:val="left"/>
      <w:pPr>
        <w:ind w:left="7200" w:hanging="300"/>
      </w:pPr>
      <w:rPr>
        <w:rFonts w:hAnsi="Arial Unicode MS"/>
        <w:caps w:val="0"/>
        <w:smallCaps w:val="0"/>
        <w:strike w:val="0"/>
        <w:dstrike w:val="0"/>
        <w:color w:val="000000"/>
        <w:spacing w:val="0"/>
        <w:w w:val="100"/>
        <w:kern w:val="0"/>
        <w:position w:val="0"/>
        <w:highlight w:val="none"/>
        <w:vertAlign w:val="baseline"/>
      </w:rPr>
    </w:lvl>
  </w:abstractNum>
  <w:abstractNum w:abstractNumId="10">
    <w:nsid w:val="25E73B89"/>
    <w:multiLevelType w:val="multilevel"/>
    <w:tmpl w:val="25E73B8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8FB5279"/>
    <w:multiLevelType w:val="multilevel"/>
    <w:tmpl w:val="28FB5279"/>
    <w:lvl w:ilvl="0" w:tentative="0">
      <w:start w:val="1"/>
      <w:numFmt w:val="decimal"/>
      <w:lvlText w:val="%1"/>
      <w:lvlJc w:val="left"/>
      <w:pPr>
        <w:ind w:left="360" w:hanging="360"/>
      </w:pPr>
      <w:rPr>
        <w:rFonts w:hint="default" w:eastAsia="Arial" w:cs="Arial"/>
      </w:rPr>
    </w:lvl>
    <w:lvl w:ilvl="1" w:tentative="0">
      <w:start w:val="4"/>
      <w:numFmt w:val="decimal"/>
      <w:lvlText w:val="%1.%2"/>
      <w:lvlJc w:val="left"/>
      <w:pPr>
        <w:ind w:left="360" w:hanging="360"/>
      </w:pPr>
      <w:rPr>
        <w:rFonts w:hint="default" w:eastAsia="Arial" w:cs="Arial"/>
        <w:b/>
        <w:bCs/>
      </w:rPr>
    </w:lvl>
    <w:lvl w:ilvl="2" w:tentative="0">
      <w:start w:val="1"/>
      <w:numFmt w:val="decimal"/>
      <w:lvlText w:val="%1.%2.%3"/>
      <w:lvlJc w:val="left"/>
      <w:pPr>
        <w:ind w:left="720" w:hanging="720"/>
      </w:pPr>
      <w:rPr>
        <w:rFonts w:hint="default" w:eastAsia="Arial" w:cs="Arial"/>
      </w:rPr>
    </w:lvl>
    <w:lvl w:ilvl="3" w:tentative="0">
      <w:start w:val="1"/>
      <w:numFmt w:val="decimal"/>
      <w:lvlText w:val="%1.%2.%3.%4"/>
      <w:lvlJc w:val="left"/>
      <w:pPr>
        <w:ind w:left="720" w:hanging="720"/>
      </w:pPr>
      <w:rPr>
        <w:rFonts w:hint="default" w:eastAsia="Arial" w:cs="Arial"/>
      </w:rPr>
    </w:lvl>
    <w:lvl w:ilvl="4" w:tentative="0">
      <w:start w:val="1"/>
      <w:numFmt w:val="decimal"/>
      <w:lvlText w:val="%1.%2.%3.%4.%5"/>
      <w:lvlJc w:val="left"/>
      <w:pPr>
        <w:ind w:left="1080" w:hanging="1080"/>
      </w:pPr>
      <w:rPr>
        <w:rFonts w:hint="default" w:eastAsia="Arial" w:cs="Arial"/>
      </w:rPr>
    </w:lvl>
    <w:lvl w:ilvl="5" w:tentative="0">
      <w:start w:val="1"/>
      <w:numFmt w:val="decimal"/>
      <w:lvlText w:val="%1.%2.%3.%4.%5.%6"/>
      <w:lvlJc w:val="left"/>
      <w:pPr>
        <w:ind w:left="1080" w:hanging="1080"/>
      </w:pPr>
      <w:rPr>
        <w:rFonts w:hint="default" w:eastAsia="Arial" w:cs="Arial"/>
      </w:rPr>
    </w:lvl>
    <w:lvl w:ilvl="6" w:tentative="0">
      <w:start w:val="1"/>
      <w:numFmt w:val="decimal"/>
      <w:lvlText w:val="%1.%2.%3.%4.%5.%6.%7"/>
      <w:lvlJc w:val="left"/>
      <w:pPr>
        <w:ind w:left="1440" w:hanging="1440"/>
      </w:pPr>
      <w:rPr>
        <w:rFonts w:hint="default" w:eastAsia="Arial" w:cs="Arial"/>
      </w:rPr>
    </w:lvl>
    <w:lvl w:ilvl="7" w:tentative="0">
      <w:start w:val="1"/>
      <w:numFmt w:val="decimal"/>
      <w:lvlText w:val="%1.%2.%3.%4.%5.%6.%7.%8"/>
      <w:lvlJc w:val="left"/>
      <w:pPr>
        <w:ind w:left="1440" w:hanging="1440"/>
      </w:pPr>
      <w:rPr>
        <w:rFonts w:hint="default" w:eastAsia="Arial" w:cs="Arial"/>
      </w:rPr>
    </w:lvl>
    <w:lvl w:ilvl="8" w:tentative="0">
      <w:start w:val="1"/>
      <w:numFmt w:val="decimal"/>
      <w:lvlText w:val="%1.%2.%3.%4.%5.%6.%7.%8.%9"/>
      <w:lvlJc w:val="left"/>
      <w:pPr>
        <w:ind w:left="1800" w:hanging="1800"/>
      </w:pPr>
      <w:rPr>
        <w:rFonts w:hint="default" w:eastAsia="Arial" w:cs="Arial"/>
      </w:rPr>
    </w:lvl>
  </w:abstractNum>
  <w:abstractNum w:abstractNumId="12">
    <w:nsid w:val="28FC10DA"/>
    <w:multiLevelType w:val="multilevel"/>
    <w:tmpl w:val="28FC10DA"/>
    <w:lvl w:ilvl="0" w:tentative="0">
      <w:start w:val="4"/>
      <w:numFmt w:val="decimal"/>
      <w:lvlText w:val="%1."/>
      <w:lvlJc w:val="left"/>
      <w:pPr>
        <w:ind w:left="603" w:hanging="499"/>
      </w:pPr>
      <w:rPr>
        <w:rFonts w:hint="default" w:ascii="Times New Roman" w:hAnsi="Times New Roman" w:eastAsia="Roboto" w:cs="Times New Roman"/>
        <w:color w:val="202024"/>
        <w:w w:val="99"/>
        <w:sz w:val="24"/>
        <w:szCs w:val="24"/>
        <w:lang w:val="en-US" w:eastAsia="en-US" w:bidi="ar-SA"/>
      </w:rPr>
    </w:lvl>
    <w:lvl w:ilvl="1" w:tentative="0">
      <w:start w:val="0"/>
      <w:numFmt w:val="bullet"/>
      <w:lvlText w:val="•"/>
      <w:lvlJc w:val="left"/>
      <w:pPr>
        <w:ind w:left="1483" w:hanging="499"/>
      </w:pPr>
      <w:rPr>
        <w:rFonts w:hint="default"/>
        <w:lang w:val="en-US" w:eastAsia="en-US" w:bidi="ar-SA"/>
      </w:rPr>
    </w:lvl>
    <w:lvl w:ilvl="2" w:tentative="0">
      <w:start w:val="0"/>
      <w:numFmt w:val="bullet"/>
      <w:lvlText w:val="•"/>
      <w:lvlJc w:val="left"/>
      <w:pPr>
        <w:ind w:left="2367" w:hanging="499"/>
      </w:pPr>
      <w:rPr>
        <w:rFonts w:hint="default"/>
        <w:lang w:val="en-US" w:eastAsia="en-US" w:bidi="ar-SA"/>
      </w:rPr>
    </w:lvl>
    <w:lvl w:ilvl="3" w:tentative="0">
      <w:start w:val="0"/>
      <w:numFmt w:val="bullet"/>
      <w:lvlText w:val="•"/>
      <w:lvlJc w:val="left"/>
      <w:pPr>
        <w:ind w:left="3251" w:hanging="499"/>
      </w:pPr>
      <w:rPr>
        <w:rFonts w:hint="default"/>
        <w:lang w:val="en-US" w:eastAsia="en-US" w:bidi="ar-SA"/>
      </w:rPr>
    </w:lvl>
    <w:lvl w:ilvl="4" w:tentative="0">
      <w:start w:val="0"/>
      <w:numFmt w:val="bullet"/>
      <w:lvlText w:val="•"/>
      <w:lvlJc w:val="left"/>
      <w:pPr>
        <w:ind w:left="4135" w:hanging="499"/>
      </w:pPr>
      <w:rPr>
        <w:rFonts w:hint="default"/>
        <w:lang w:val="en-US" w:eastAsia="en-US" w:bidi="ar-SA"/>
      </w:rPr>
    </w:lvl>
    <w:lvl w:ilvl="5" w:tentative="0">
      <w:start w:val="0"/>
      <w:numFmt w:val="bullet"/>
      <w:lvlText w:val="•"/>
      <w:lvlJc w:val="left"/>
      <w:pPr>
        <w:ind w:left="5019" w:hanging="499"/>
      </w:pPr>
      <w:rPr>
        <w:rFonts w:hint="default"/>
        <w:lang w:val="en-US" w:eastAsia="en-US" w:bidi="ar-SA"/>
      </w:rPr>
    </w:lvl>
    <w:lvl w:ilvl="6" w:tentative="0">
      <w:start w:val="0"/>
      <w:numFmt w:val="bullet"/>
      <w:lvlText w:val="•"/>
      <w:lvlJc w:val="left"/>
      <w:pPr>
        <w:ind w:left="5903" w:hanging="499"/>
      </w:pPr>
      <w:rPr>
        <w:rFonts w:hint="default"/>
        <w:lang w:val="en-US" w:eastAsia="en-US" w:bidi="ar-SA"/>
      </w:rPr>
    </w:lvl>
    <w:lvl w:ilvl="7" w:tentative="0">
      <w:start w:val="0"/>
      <w:numFmt w:val="bullet"/>
      <w:lvlText w:val="•"/>
      <w:lvlJc w:val="left"/>
      <w:pPr>
        <w:ind w:left="6787" w:hanging="499"/>
      </w:pPr>
      <w:rPr>
        <w:rFonts w:hint="default"/>
        <w:lang w:val="en-US" w:eastAsia="en-US" w:bidi="ar-SA"/>
      </w:rPr>
    </w:lvl>
    <w:lvl w:ilvl="8" w:tentative="0">
      <w:start w:val="0"/>
      <w:numFmt w:val="bullet"/>
      <w:lvlText w:val="•"/>
      <w:lvlJc w:val="left"/>
      <w:pPr>
        <w:ind w:left="7671" w:hanging="499"/>
      </w:pPr>
      <w:rPr>
        <w:rFonts w:hint="default"/>
        <w:lang w:val="en-US" w:eastAsia="en-US" w:bidi="ar-SA"/>
      </w:rPr>
    </w:lvl>
  </w:abstractNum>
  <w:abstractNum w:abstractNumId="13">
    <w:nsid w:val="2973635F"/>
    <w:multiLevelType w:val="multilevel"/>
    <w:tmpl w:val="2973635F"/>
    <w:lvl w:ilvl="0" w:tentative="0">
      <w:start w:val="1"/>
      <w:numFmt w:val="lowerRoman"/>
      <w:lvlText w:val="%1."/>
      <w:lvlJc w:val="left"/>
      <w:pPr>
        <w:ind w:left="1495" w:hanging="360"/>
      </w:pPr>
      <w:rPr>
        <w:rFonts w:ascii="Times New Roman" w:hAnsi="Times New Roman" w:eastAsia="Calibri" w:cs="Times New Roman"/>
      </w:rPr>
    </w:lvl>
    <w:lvl w:ilvl="1" w:tentative="0">
      <w:start w:val="1"/>
      <w:numFmt w:val="bullet"/>
      <w:lvlText w:val="o"/>
      <w:lvlJc w:val="left"/>
      <w:pPr>
        <w:ind w:left="1782" w:hanging="360"/>
      </w:pPr>
      <w:rPr>
        <w:rFonts w:hint="default" w:ascii="Courier New" w:hAnsi="Courier New" w:cs="Courier New"/>
      </w:rPr>
    </w:lvl>
    <w:lvl w:ilvl="2" w:tentative="0">
      <w:start w:val="1"/>
      <w:numFmt w:val="bullet"/>
      <w:lvlText w:val=""/>
      <w:lvlJc w:val="left"/>
      <w:pPr>
        <w:ind w:left="2502" w:hanging="360"/>
      </w:pPr>
      <w:rPr>
        <w:rFonts w:hint="default" w:ascii="Wingdings" w:hAnsi="Wingdings"/>
      </w:rPr>
    </w:lvl>
    <w:lvl w:ilvl="3" w:tentative="0">
      <w:start w:val="1"/>
      <w:numFmt w:val="bullet"/>
      <w:lvlText w:val=""/>
      <w:lvlJc w:val="left"/>
      <w:pPr>
        <w:ind w:left="3222" w:hanging="360"/>
      </w:pPr>
      <w:rPr>
        <w:rFonts w:hint="default" w:ascii="Symbol" w:hAnsi="Symbol"/>
      </w:rPr>
    </w:lvl>
    <w:lvl w:ilvl="4" w:tentative="0">
      <w:start w:val="1"/>
      <w:numFmt w:val="bullet"/>
      <w:lvlText w:val="o"/>
      <w:lvlJc w:val="left"/>
      <w:pPr>
        <w:ind w:left="3942" w:hanging="360"/>
      </w:pPr>
      <w:rPr>
        <w:rFonts w:hint="default" w:ascii="Courier New" w:hAnsi="Courier New" w:cs="Courier New"/>
      </w:rPr>
    </w:lvl>
    <w:lvl w:ilvl="5" w:tentative="0">
      <w:start w:val="1"/>
      <w:numFmt w:val="bullet"/>
      <w:lvlText w:val=""/>
      <w:lvlJc w:val="left"/>
      <w:pPr>
        <w:ind w:left="4662" w:hanging="360"/>
      </w:pPr>
      <w:rPr>
        <w:rFonts w:hint="default" w:ascii="Wingdings" w:hAnsi="Wingdings"/>
      </w:rPr>
    </w:lvl>
    <w:lvl w:ilvl="6" w:tentative="0">
      <w:start w:val="1"/>
      <w:numFmt w:val="bullet"/>
      <w:lvlText w:val=""/>
      <w:lvlJc w:val="left"/>
      <w:pPr>
        <w:ind w:left="5382" w:hanging="360"/>
      </w:pPr>
      <w:rPr>
        <w:rFonts w:hint="default" w:ascii="Symbol" w:hAnsi="Symbol"/>
      </w:rPr>
    </w:lvl>
    <w:lvl w:ilvl="7" w:tentative="0">
      <w:start w:val="1"/>
      <w:numFmt w:val="bullet"/>
      <w:lvlText w:val="o"/>
      <w:lvlJc w:val="left"/>
      <w:pPr>
        <w:ind w:left="6102" w:hanging="360"/>
      </w:pPr>
      <w:rPr>
        <w:rFonts w:hint="default" w:ascii="Courier New" w:hAnsi="Courier New" w:cs="Courier New"/>
      </w:rPr>
    </w:lvl>
    <w:lvl w:ilvl="8" w:tentative="0">
      <w:start w:val="1"/>
      <w:numFmt w:val="bullet"/>
      <w:lvlText w:val=""/>
      <w:lvlJc w:val="left"/>
      <w:pPr>
        <w:ind w:left="6822" w:hanging="360"/>
      </w:pPr>
      <w:rPr>
        <w:rFonts w:hint="default" w:ascii="Wingdings" w:hAnsi="Wingdings"/>
      </w:rPr>
    </w:lvl>
  </w:abstractNum>
  <w:abstractNum w:abstractNumId="14">
    <w:nsid w:val="2CC24834"/>
    <w:multiLevelType w:val="multilevel"/>
    <w:tmpl w:val="2CC24834"/>
    <w:lvl w:ilvl="0" w:tentative="0">
      <w:start w:val="11"/>
      <w:numFmt w:val="decimal"/>
      <w:lvlText w:val="%1."/>
      <w:lvlJc w:val="left"/>
      <w:pPr>
        <w:ind w:left="122" w:hanging="405"/>
      </w:pPr>
      <w:rPr>
        <w:rFonts w:hint="default" w:ascii="Roboto" w:hAnsi="Roboto" w:eastAsia="Roboto" w:cs="Roboto"/>
        <w:color w:val="202024"/>
        <w:spacing w:val="0"/>
        <w:w w:val="98"/>
        <w:sz w:val="24"/>
        <w:szCs w:val="24"/>
        <w:lang w:val="en-US" w:eastAsia="en-US" w:bidi="ar-SA"/>
      </w:rPr>
    </w:lvl>
    <w:lvl w:ilvl="1" w:tentative="0">
      <w:start w:val="0"/>
      <w:numFmt w:val="bullet"/>
      <w:lvlText w:val="•"/>
      <w:lvlJc w:val="left"/>
      <w:pPr>
        <w:ind w:left="925" w:hanging="405"/>
      </w:pPr>
      <w:rPr>
        <w:rFonts w:hint="default"/>
        <w:lang w:val="en-US" w:eastAsia="en-US" w:bidi="ar-SA"/>
      </w:rPr>
    </w:lvl>
    <w:lvl w:ilvl="2" w:tentative="0">
      <w:start w:val="0"/>
      <w:numFmt w:val="bullet"/>
      <w:lvlText w:val="•"/>
      <w:lvlJc w:val="left"/>
      <w:pPr>
        <w:ind w:left="1730" w:hanging="405"/>
      </w:pPr>
      <w:rPr>
        <w:rFonts w:hint="default"/>
        <w:lang w:val="en-US" w:eastAsia="en-US" w:bidi="ar-SA"/>
      </w:rPr>
    </w:lvl>
    <w:lvl w:ilvl="3" w:tentative="0">
      <w:start w:val="0"/>
      <w:numFmt w:val="bullet"/>
      <w:lvlText w:val="•"/>
      <w:lvlJc w:val="left"/>
      <w:pPr>
        <w:ind w:left="2536" w:hanging="405"/>
      </w:pPr>
      <w:rPr>
        <w:rFonts w:hint="default"/>
        <w:lang w:val="en-US" w:eastAsia="en-US" w:bidi="ar-SA"/>
      </w:rPr>
    </w:lvl>
    <w:lvl w:ilvl="4" w:tentative="0">
      <w:start w:val="0"/>
      <w:numFmt w:val="bullet"/>
      <w:lvlText w:val="•"/>
      <w:lvlJc w:val="left"/>
      <w:pPr>
        <w:ind w:left="3341" w:hanging="405"/>
      </w:pPr>
      <w:rPr>
        <w:rFonts w:hint="default"/>
        <w:lang w:val="en-US" w:eastAsia="en-US" w:bidi="ar-SA"/>
      </w:rPr>
    </w:lvl>
    <w:lvl w:ilvl="5" w:tentative="0">
      <w:start w:val="0"/>
      <w:numFmt w:val="bullet"/>
      <w:lvlText w:val="•"/>
      <w:lvlJc w:val="left"/>
      <w:pPr>
        <w:ind w:left="4146" w:hanging="405"/>
      </w:pPr>
      <w:rPr>
        <w:rFonts w:hint="default"/>
        <w:lang w:val="en-US" w:eastAsia="en-US" w:bidi="ar-SA"/>
      </w:rPr>
    </w:lvl>
    <w:lvl w:ilvl="6" w:tentative="0">
      <w:start w:val="0"/>
      <w:numFmt w:val="bullet"/>
      <w:lvlText w:val="•"/>
      <w:lvlJc w:val="left"/>
      <w:pPr>
        <w:ind w:left="4952" w:hanging="405"/>
      </w:pPr>
      <w:rPr>
        <w:rFonts w:hint="default"/>
        <w:lang w:val="en-US" w:eastAsia="en-US" w:bidi="ar-SA"/>
      </w:rPr>
    </w:lvl>
    <w:lvl w:ilvl="7" w:tentative="0">
      <w:start w:val="0"/>
      <w:numFmt w:val="bullet"/>
      <w:lvlText w:val="•"/>
      <w:lvlJc w:val="left"/>
      <w:pPr>
        <w:ind w:left="5757" w:hanging="405"/>
      </w:pPr>
      <w:rPr>
        <w:rFonts w:hint="default"/>
        <w:lang w:val="en-US" w:eastAsia="en-US" w:bidi="ar-SA"/>
      </w:rPr>
    </w:lvl>
    <w:lvl w:ilvl="8" w:tentative="0">
      <w:start w:val="0"/>
      <w:numFmt w:val="bullet"/>
      <w:lvlText w:val="•"/>
      <w:lvlJc w:val="left"/>
      <w:pPr>
        <w:ind w:left="6563" w:hanging="405"/>
      </w:pPr>
      <w:rPr>
        <w:rFonts w:hint="default"/>
        <w:lang w:val="en-US" w:eastAsia="en-US" w:bidi="ar-SA"/>
      </w:rPr>
    </w:lvl>
  </w:abstractNum>
  <w:abstractNum w:abstractNumId="15">
    <w:nsid w:val="3766060E"/>
    <w:multiLevelType w:val="multilevel"/>
    <w:tmpl w:val="3766060E"/>
    <w:lvl w:ilvl="0" w:tentative="0">
      <w:start w:val="1"/>
      <w:numFmt w:val="decimal"/>
      <w:lvlText w:val="%1."/>
      <w:lvlJc w:val="left"/>
      <w:pPr>
        <w:ind w:left="272" w:hanging="235"/>
      </w:pPr>
      <w:rPr>
        <w:rFonts w:hint="default" w:ascii="Roboto" w:hAnsi="Roboto" w:eastAsia="Roboto" w:cs="Roboto"/>
        <w:color w:val="202024"/>
        <w:spacing w:val="0"/>
        <w:w w:val="98"/>
        <w:sz w:val="21"/>
        <w:szCs w:val="21"/>
        <w:lang w:val="en-US" w:eastAsia="en-US" w:bidi="ar-SA"/>
      </w:rPr>
    </w:lvl>
    <w:lvl w:ilvl="1" w:tentative="0">
      <w:start w:val="0"/>
      <w:numFmt w:val="bullet"/>
      <w:lvlText w:val="•"/>
      <w:lvlJc w:val="left"/>
      <w:pPr>
        <w:ind w:left="1209" w:hanging="235"/>
      </w:pPr>
      <w:rPr>
        <w:rFonts w:hint="default"/>
        <w:lang w:val="en-US" w:eastAsia="en-US" w:bidi="ar-SA"/>
      </w:rPr>
    </w:lvl>
    <w:lvl w:ilvl="2" w:tentative="0">
      <w:start w:val="0"/>
      <w:numFmt w:val="bullet"/>
      <w:lvlText w:val="•"/>
      <w:lvlJc w:val="left"/>
      <w:pPr>
        <w:ind w:left="2139" w:hanging="235"/>
      </w:pPr>
      <w:rPr>
        <w:rFonts w:hint="default"/>
        <w:lang w:val="en-US" w:eastAsia="en-US" w:bidi="ar-SA"/>
      </w:rPr>
    </w:lvl>
    <w:lvl w:ilvl="3" w:tentative="0">
      <w:start w:val="0"/>
      <w:numFmt w:val="bullet"/>
      <w:lvlText w:val="•"/>
      <w:lvlJc w:val="left"/>
      <w:pPr>
        <w:ind w:left="3069" w:hanging="235"/>
      </w:pPr>
      <w:rPr>
        <w:rFonts w:hint="default"/>
        <w:lang w:val="en-US" w:eastAsia="en-US" w:bidi="ar-SA"/>
      </w:rPr>
    </w:lvl>
    <w:lvl w:ilvl="4" w:tentative="0">
      <w:start w:val="0"/>
      <w:numFmt w:val="bullet"/>
      <w:lvlText w:val="•"/>
      <w:lvlJc w:val="left"/>
      <w:pPr>
        <w:ind w:left="3999" w:hanging="235"/>
      </w:pPr>
      <w:rPr>
        <w:rFonts w:hint="default"/>
        <w:lang w:val="en-US" w:eastAsia="en-US" w:bidi="ar-SA"/>
      </w:rPr>
    </w:lvl>
    <w:lvl w:ilvl="5" w:tentative="0">
      <w:start w:val="0"/>
      <w:numFmt w:val="bullet"/>
      <w:lvlText w:val="•"/>
      <w:lvlJc w:val="left"/>
      <w:pPr>
        <w:ind w:left="4929" w:hanging="235"/>
      </w:pPr>
      <w:rPr>
        <w:rFonts w:hint="default"/>
        <w:lang w:val="en-US" w:eastAsia="en-US" w:bidi="ar-SA"/>
      </w:rPr>
    </w:lvl>
    <w:lvl w:ilvl="6" w:tentative="0">
      <w:start w:val="0"/>
      <w:numFmt w:val="bullet"/>
      <w:lvlText w:val="•"/>
      <w:lvlJc w:val="left"/>
      <w:pPr>
        <w:ind w:left="5859" w:hanging="235"/>
      </w:pPr>
      <w:rPr>
        <w:rFonts w:hint="default"/>
        <w:lang w:val="en-US" w:eastAsia="en-US" w:bidi="ar-SA"/>
      </w:rPr>
    </w:lvl>
    <w:lvl w:ilvl="7" w:tentative="0">
      <w:start w:val="0"/>
      <w:numFmt w:val="bullet"/>
      <w:lvlText w:val="•"/>
      <w:lvlJc w:val="left"/>
      <w:pPr>
        <w:ind w:left="6789" w:hanging="235"/>
      </w:pPr>
      <w:rPr>
        <w:rFonts w:hint="default"/>
        <w:lang w:val="en-US" w:eastAsia="en-US" w:bidi="ar-SA"/>
      </w:rPr>
    </w:lvl>
    <w:lvl w:ilvl="8" w:tentative="0">
      <w:start w:val="0"/>
      <w:numFmt w:val="bullet"/>
      <w:lvlText w:val="•"/>
      <w:lvlJc w:val="left"/>
      <w:pPr>
        <w:ind w:left="7719" w:hanging="235"/>
      </w:pPr>
      <w:rPr>
        <w:rFonts w:hint="default"/>
        <w:lang w:val="en-US" w:eastAsia="en-US" w:bidi="ar-SA"/>
      </w:rPr>
    </w:lvl>
  </w:abstractNum>
  <w:abstractNum w:abstractNumId="16">
    <w:nsid w:val="38566F1B"/>
    <w:multiLevelType w:val="multilevel"/>
    <w:tmpl w:val="38566F1B"/>
    <w:lvl w:ilvl="0" w:tentative="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tentative="0">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tentative="0">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tentative="0">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7" w:tentative="0">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tentative="0">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7">
    <w:nsid w:val="3E883315"/>
    <w:multiLevelType w:val="multilevel"/>
    <w:tmpl w:val="3E883315"/>
    <w:lvl w:ilvl="0" w:tentative="0">
      <w:start w:val="1"/>
      <w:numFmt w:val="lowerLetter"/>
      <w:lvlText w:val="%1."/>
      <w:lvlJc w:val="left"/>
      <w:pPr>
        <w:ind w:left="1203" w:hanging="393"/>
      </w:pPr>
      <w:rPr>
        <w:rFonts w:hAnsi="Arial Unicode MS"/>
        <w:caps w:val="0"/>
        <w:smallCaps w:val="0"/>
        <w:strike w:val="0"/>
        <w:dstrike w:val="0"/>
        <w:color w:val="000000"/>
        <w:spacing w:val="0"/>
        <w:w w:val="100"/>
        <w:kern w:val="0"/>
        <w:position w:val="0"/>
        <w:highlight w:val="none"/>
        <w:vertAlign w:val="baseline"/>
      </w:rPr>
    </w:lvl>
    <w:lvl w:ilvl="1" w:tentative="0">
      <w:start w:val="1"/>
      <w:numFmt w:val="lowerLetter"/>
      <w:lvlText w:val="%2."/>
      <w:lvlJc w:val="left"/>
      <w:pPr>
        <w:ind w:left="1923" w:hanging="393"/>
      </w:pPr>
      <w:rPr>
        <w:rFonts w:hAnsi="Arial Unicode MS"/>
        <w:caps w:val="0"/>
        <w:smallCaps w:val="0"/>
        <w:strike w:val="0"/>
        <w:dstrike w:val="0"/>
        <w:color w:val="000000"/>
        <w:spacing w:val="0"/>
        <w:w w:val="100"/>
        <w:kern w:val="0"/>
        <w:position w:val="0"/>
        <w:highlight w:val="none"/>
        <w:vertAlign w:val="baseline"/>
      </w:rPr>
    </w:lvl>
    <w:lvl w:ilvl="2" w:tentative="0">
      <w:start w:val="1"/>
      <w:numFmt w:val="lowerRoman"/>
      <w:lvlText w:val="%3."/>
      <w:lvlJc w:val="left"/>
      <w:pPr>
        <w:ind w:left="2637" w:hanging="318"/>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4."/>
      <w:lvlJc w:val="left"/>
      <w:pPr>
        <w:ind w:left="3363" w:hanging="393"/>
      </w:pPr>
      <w:rPr>
        <w:rFonts w:hAnsi="Arial Unicode MS"/>
        <w:caps w:val="0"/>
        <w:smallCaps w:val="0"/>
        <w:strike w:val="0"/>
        <w:dstrike w:val="0"/>
        <w:color w:val="000000"/>
        <w:spacing w:val="0"/>
        <w:w w:val="100"/>
        <w:kern w:val="0"/>
        <w:position w:val="0"/>
        <w:highlight w:val="none"/>
        <w:vertAlign w:val="baseline"/>
      </w:rPr>
    </w:lvl>
    <w:lvl w:ilvl="4" w:tentative="0">
      <w:start w:val="1"/>
      <w:numFmt w:val="lowerLetter"/>
      <w:lvlText w:val="%5."/>
      <w:lvlJc w:val="left"/>
      <w:pPr>
        <w:ind w:left="4083" w:hanging="393"/>
      </w:pPr>
      <w:rPr>
        <w:rFonts w:hAnsi="Arial Unicode MS"/>
        <w:caps w:val="0"/>
        <w:smallCaps w:val="0"/>
        <w:strike w:val="0"/>
        <w:dstrike w:val="0"/>
        <w:color w:val="000000"/>
        <w:spacing w:val="0"/>
        <w:w w:val="100"/>
        <w:kern w:val="0"/>
        <w:position w:val="0"/>
        <w:highlight w:val="none"/>
        <w:vertAlign w:val="baseline"/>
      </w:rPr>
    </w:lvl>
    <w:lvl w:ilvl="5" w:tentative="0">
      <w:start w:val="1"/>
      <w:numFmt w:val="lowerRoman"/>
      <w:lvlText w:val="%6."/>
      <w:lvlJc w:val="left"/>
      <w:pPr>
        <w:ind w:left="4797" w:hanging="318"/>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7."/>
      <w:lvlJc w:val="left"/>
      <w:pPr>
        <w:ind w:left="5523" w:hanging="393"/>
      </w:pPr>
      <w:rPr>
        <w:rFonts w:hAnsi="Arial Unicode MS"/>
        <w:caps w:val="0"/>
        <w:smallCaps w:val="0"/>
        <w:strike w:val="0"/>
        <w:dstrike w:val="0"/>
        <w:color w:val="000000"/>
        <w:spacing w:val="0"/>
        <w:w w:val="100"/>
        <w:kern w:val="0"/>
        <w:position w:val="0"/>
        <w:highlight w:val="none"/>
        <w:vertAlign w:val="baseline"/>
      </w:rPr>
    </w:lvl>
    <w:lvl w:ilvl="7" w:tentative="0">
      <w:start w:val="1"/>
      <w:numFmt w:val="lowerLetter"/>
      <w:lvlText w:val="%8."/>
      <w:lvlJc w:val="left"/>
      <w:pPr>
        <w:ind w:left="6243" w:hanging="393"/>
      </w:pPr>
      <w:rPr>
        <w:rFonts w:hAnsi="Arial Unicode MS"/>
        <w:caps w:val="0"/>
        <w:smallCaps w:val="0"/>
        <w:strike w:val="0"/>
        <w:dstrike w:val="0"/>
        <w:color w:val="000000"/>
        <w:spacing w:val="0"/>
        <w:w w:val="100"/>
        <w:kern w:val="0"/>
        <w:position w:val="0"/>
        <w:highlight w:val="none"/>
        <w:vertAlign w:val="baseline"/>
      </w:rPr>
    </w:lvl>
    <w:lvl w:ilvl="8" w:tentative="0">
      <w:start w:val="1"/>
      <w:numFmt w:val="lowerRoman"/>
      <w:lvlText w:val="%9."/>
      <w:lvlJc w:val="left"/>
      <w:pPr>
        <w:ind w:left="6957" w:hanging="318"/>
      </w:pPr>
      <w:rPr>
        <w:rFonts w:hAnsi="Arial Unicode MS"/>
        <w:caps w:val="0"/>
        <w:smallCaps w:val="0"/>
        <w:strike w:val="0"/>
        <w:dstrike w:val="0"/>
        <w:color w:val="000000"/>
        <w:spacing w:val="0"/>
        <w:w w:val="100"/>
        <w:kern w:val="0"/>
        <w:position w:val="0"/>
        <w:highlight w:val="none"/>
        <w:vertAlign w:val="baseline"/>
      </w:rPr>
    </w:lvl>
  </w:abstractNum>
  <w:abstractNum w:abstractNumId="18">
    <w:nsid w:val="3F527E95"/>
    <w:multiLevelType w:val="multilevel"/>
    <w:tmpl w:val="3F527E95"/>
    <w:lvl w:ilvl="0" w:tentative="0">
      <w:start w:val="75"/>
      <w:numFmt w:val="decimal"/>
      <w:lvlText w:val="%1"/>
      <w:lvlJc w:val="left"/>
      <w:pPr>
        <w:ind w:left="382" w:hanging="261"/>
      </w:pPr>
      <w:rPr>
        <w:rFonts w:hint="default" w:ascii="Roboto" w:hAnsi="Roboto" w:eastAsia="Roboto" w:cs="Roboto"/>
        <w:color w:val="202024"/>
        <w:spacing w:val="0"/>
        <w:w w:val="99"/>
        <w:sz w:val="18"/>
        <w:szCs w:val="18"/>
        <w:lang w:val="en-US" w:eastAsia="en-US" w:bidi="ar-SA"/>
      </w:rPr>
    </w:lvl>
    <w:lvl w:ilvl="1" w:tentative="0">
      <w:start w:val="0"/>
      <w:numFmt w:val="bullet"/>
      <w:lvlText w:val="•"/>
      <w:lvlJc w:val="left"/>
      <w:pPr>
        <w:ind w:left="1061" w:hanging="261"/>
      </w:pPr>
      <w:rPr>
        <w:rFonts w:hint="default"/>
        <w:lang w:val="en-US" w:eastAsia="en-US" w:bidi="ar-SA"/>
      </w:rPr>
    </w:lvl>
    <w:lvl w:ilvl="2" w:tentative="0">
      <w:start w:val="0"/>
      <w:numFmt w:val="bullet"/>
      <w:lvlText w:val="•"/>
      <w:lvlJc w:val="left"/>
      <w:pPr>
        <w:ind w:left="1742" w:hanging="261"/>
      </w:pPr>
      <w:rPr>
        <w:rFonts w:hint="default"/>
        <w:lang w:val="en-US" w:eastAsia="en-US" w:bidi="ar-SA"/>
      </w:rPr>
    </w:lvl>
    <w:lvl w:ilvl="3" w:tentative="0">
      <w:start w:val="0"/>
      <w:numFmt w:val="bullet"/>
      <w:lvlText w:val="•"/>
      <w:lvlJc w:val="left"/>
      <w:pPr>
        <w:ind w:left="2423" w:hanging="261"/>
      </w:pPr>
      <w:rPr>
        <w:rFonts w:hint="default"/>
        <w:lang w:val="en-US" w:eastAsia="en-US" w:bidi="ar-SA"/>
      </w:rPr>
    </w:lvl>
    <w:lvl w:ilvl="4" w:tentative="0">
      <w:start w:val="0"/>
      <w:numFmt w:val="bullet"/>
      <w:lvlText w:val="•"/>
      <w:lvlJc w:val="left"/>
      <w:pPr>
        <w:ind w:left="3105" w:hanging="261"/>
      </w:pPr>
      <w:rPr>
        <w:rFonts w:hint="default"/>
        <w:lang w:val="en-US" w:eastAsia="en-US" w:bidi="ar-SA"/>
      </w:rPr>
    </w:lvl>
    <w:lvl w:ilvl="5" w:tentative="0">
      <w:start w:val="0"/>
      <w:numFmt w:val="bullet"/>
      <w:lvlText w:val="•"/>
      <w:lvlJc w:val="left"/>
      <w:pPr>
        <w:ind w:left="3786" w:hanging="261"/>
      </w:pPr>
      <w:rPr>
        <w:rFonts w:hint="default"/>
        <w:lang w:val="en-US" w:eastAsia="en-US" w:bidi="ar-SA"/>
      </w:rPr>
    </w:lvl>
    <w:lvl w:ilvl="6" w:tentative="0">
      <w:start w:val="0"/>
      <w:numFmt w:val="bullet"/>
      <w:lvlText w:val="•"/>
      <w:lvlJc w:val="left"/>
      <w:pPr>
        <w:ind w:left="4467" w:hanging="261"/>
      </w:pPr>
      <w:rPr>
        <w:rFonts w:hint="default"/>
        <w:lang w:val="en-US" w:eastAsia="en-US" w:bidi="ar-SA"/>
      </w:rPr>
    </w:lvl>
    <w:lvl w:ilvl="7" w:tentative="0">
      <w:start w:val="0"/>
      <w:numFmt w:val="bullet"/>
      <w:lvlText w:val="•"/>
      <w:lvlJc w:val="left"/>
      <w:pPr>
        <w:ind w:left="5148" w:hanging="261"/>
      </w:pPr>
      <w:rPr>
        <w:rFonts w:hint="default"/>
        <w:lang w:val="en-US" w:eastAsia="en-US" w:bidi="ar-SA"/>
      </w:rPr>
    </w:lvl>
    <w:lvl w:ilvl="8" w:tentative="0">
      <w:start w:val="0"/>
      <w:numFmt w:val="bullet"/>
      <w:lvlText w:val="•"/>
      <w:lvlJc w:val="left"/>
      <w:pPr>
        <w:ind w:left="5830" w:hanging="261"/>
      </w:pPr>
      <w:rPr>
        <w:rFonts w:hint="default"/>
        <w:lang w:val="en-US" w:eastAsia="en-US" w:bidi="ar-SA"/>
      </w:rPr>
    </w:lvl>
  </w:abstractNum>
  <w:abstractNum w:abstractNumId="19">
    <w:nsid w:val="400E2A69"/>
    <w:multiLevelType w:val="multilevel"/>
    <w:tmpl w:val="400E2A69"/>
    <w:lvl w:ilvl="0" w:tentative="0">
      <w:start w:val="7"/>
      <w:numFmt w:val="decimal"/>
      <w:lvlText w:val="%1"/>
      <w:lvlJc w:val="left"/>
      <w:pPr>
        <w:ind w:left="360" w:hanging="360"/>
      </w:pPr>
      <w:rPr>
        <w:rFonts w:hint="default" w:ascii="Times New Roman" w:hAnsi="Times New Roman" w:cs="Times New Roman"/>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20">
    <w:nsid w:val="43457E23"/>
    <w:multiLevelType w:val="multilevel"/>
    <w:tmpl w:val="43457E2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440B230A"/>
    <w:multiLevelType w:val="multilevel"/>
    <w:tmpl w:val="440B230A"/>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45A348C1"/>
    <w:multiLevelType w:val="multilevel"/>
    <w:tmpl w:val="45A348C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45CB3D65"/>
    <w:multiLevelType w:val="multilevel"/>
    <w:tmpl w:val="45CB3D65"/>
    <w:lvl w:ilvl="0" w:tentative="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tentative="0">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tentative="0">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tentative="0">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7" w:tentative="0">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tentative="0">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4">
    <w:nsid w:val="46B313AB"/>
    <w:multiLevelType w:val="multilevel"/>
    <w:tmpl w:val="46B313A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8A362F1"/>
    <w:multiLevelType w:val="multilevel"/>
    <w:tmpl w:val="48A362F1"/>
    <w:lvl w:ilvl="0" w:tentative="0">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entative="0">
      <w:start w:val="1"/>
      <w:numFmt w:val="decimal"/>
      <w:lvlText w:val="%3."/>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entative="0">
      <w:start w:val="1"/>
      <w:numFmt w:val="decimal"/>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entative="0">
      <w:start w:val="1"/>
      <w:numFmt w:val="decimal"/>
      <w:lvlText w:val="%6."/>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entative="0">
      <w:start w:val="1"/>
      <w:numFmt w:val="decimal"/>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entative="0">
      <w:start w:val="1"/>
      <w:numFmt w:val="decimal"/>
      <w:lvlText w:val="%9."/>
      <w:lvlJc w:val="left"/>
      <w:pPr>
        <w:ind w:left="68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6">
    <w:nsid w:val="48F63B39"/>
    <w:multiLevelType w:val="multilevel"/>
    <w:tmpl w:val="48F63B39"/>
    <w:lvl w:ilvl="0" w:tentative="0">
      <w:start w:val="16"/>
      <w:numFmt w:val="decimal"/>
      <w:lvlText w:val="%1."/>
      <w:lvlJc w:val="left"/>
      <w:pPr>
        <w:ind w:left="122" w:hanging="405"/>
      </w:pPr>
      <w:rPr>
        <w:rFonts w:hint="default" w:ascii="Roboto" w:hAnsi="Roboto" w:eastAsia="Roboto" w:cs="Roboto"/>
        <w:color w:val="202024"/>
        <w:spacing w:val="0"/>
        <w:w w:val="98"/>
        <w:sz w:val="24"/>
        <w:szCs w:val="24"/>
        <w:lang w:val="en-US" w:eastAsia="en-US" w:bidi="ar-SA"/>
      </w:rPr>
    </w:lvl>
    <w:lvl w:ilvl="1" w:tentative="0">
      <w:start w:val="0"/>
      <w:numFmt w:val="bullet"/>
      <w:lvlText w:val="•"/>
      <w:lvlJc w:val="left"/>
      <w:pPr>
        <w:ind w:left="911" w:hanging="405"/>
      </w:pPr>
      <w:rPr>
        <w:rFonts w:hint="default"/>
        <w:lang w:val="en-US" w:eastAsia="en-US" w:bidi="ar-SA"/>
      </w:rPr>
    </w:lvl>
    <w:lvl w:ilvl="2" w:tentative="0">
      <w:start w:val="0"/>
      <w:numFmt w:val="bullet"/>
      <w:lvlText w:val="•"/>
      <w:lvlJc w:val="left"/>
      <w:pPr>
        <w:ind w:left="1703" w:hanging="405"/>
      </w:pPr>
      <w:rPr>
        <w:rFonts w:hint="default"/>
        <w:lang w:val="en-US" w:eastAsia="en-US" w:bidi="ar-SA"/>
      </w:rPr>
    </w:lvl>
    <w:lvl w:ilvl="3" w:tentative="0">
      <w:start w:val="0"/>
      <w:numFmt w:val="bullet"/>
      <w:lvlText w:val="•"/>
      <w:lvlJc w:val="left"/>
      <w:pPr>
        <w:ind w:left="2494" w:hanging="405"/>
      </w:pPr>
      <w:rPr>
        <w:rFonts w:hint="default"/>
        <w:lang w:val="en-US" w:eastAsia="en-US" w:bidi="ar-SA"/>
      </w:rPr>
    </w:lvl>
    <w:lvl w:ilvl="4" w:tentative="0">
      <w:start w:val="0"/>
      <w:numFmt w:val="bullet"/>
      <w:lvlText w:val="•"/>
      <w:lvlJc w:val="left"/>
      <w:pPr>
        <w:ind w:left="3286" w:hanging="405"/>
      </w:pPr>
      <w:rPr>
        <w:rFonts w:hint="default"/>
        <w:lang w:val="en-US" w:eastAsia="en-US" w:bidi="ar-SA"/>
      </w:rPr>
    </w:lvl>
    <w:lvl w:ilvl="5" w:tentative="0">
      <w:start w:val="0"/>
      <w:numFmt w:val="bullet"/>
      <w:lvlText w:val="•"/>
      <w:lvlJc w:val="left"/>
      <w:pPr>
        <w:ind w:left="4077" w:hanging="405"/>
      </w:pPr>
      <w:rPr>
        <w:rFonts w:hint="default"/>
        <w:lang w:val="en-US" w:eastAsia="en-US" w:bidi="ar-SA"/>
      </w:rPr>
    </w:lvl>
    <w:lvl w:ilvl="6" w:tentative="0">
      <w:start w:val="0"/>
      <w:numFmt w:val="bullet"/>
      <w:lvlText w:val="•"/>
      <w:lvlJc w:val="left"/>
      <w:pPr>
        <w:ind w:left="4869" w:hanging="405"/>
      </w:pPr>
      <w:rPr>
        <w:rFonts w:hint="default"/>
        <w:lang w:val="en-US" w:eastAsia="en-US" w:bidi="ar-SA"/>
      </w:rPr>
    </w:lvl>
    <w:lvl w:ilvl="7" w:tentative="0">
      <w:start w:val="0"/>
      <w:numFmt w:val="bullet"/>
      <w:lvlText w:val="•"/>
      <w:lvlJc w:val="left"/>
      <w:pPr>
        <w:ind w:left="5660" w:hanging="405"/>
      </w:pPr>
      <w:rPr>
        <w:rFonts w:hint="default"/>
        <w:lang w:val="en-US" w:eastAsia="en-US" w:bidi="ar-SA"/>
      </w:rPr>
    </w:lvl>
    <w:lvl w:ilvl="8" w:tentative="0">
      <w:start w:val="0"/>
      <w:numFmt w:val="bullet"/>
      <w:lvlText w:val="•"/>
      <w:lvlJc w:val="left"/>
      <w:pPr>
        <w:ind w:left="6452" w:hanging="405"/>
      </w:pPr>
      <w:rPr>
        <w:rFonts w:hint="default"/>
        <w:lang w:val="en-US" w:eastAsia="en-US" w:bidi="ar-SA"/>
      </w:rPr>
    </w:lvl>
  </w:abstractNum>
  <w:abstractNum w:abstractNumId="27">
    <w:nsid w:val="497C6BFF"/>
    <w:multiLevelType w:val="multilevel"/>
    <w:tmpl w:val="497C6BFF"/>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8">
    <w:nsid w:val="4AD1727D"/>
    <w:multiLevelType w:val="multilevel"/>
    <w:tmpl w:val="4AD1727D"/>
    <w:lvl w:ilvl="0" w:tentative="0">
      <w:start w:val="1"/>
      <w:numFmt w:val="decimal"/>
      <w:lvlText w:val="%1."/>
      <w:lvlJc w:val="left"/>
      <w:pPr>
        <w:ind w:left="360" w:hanging="360"/>
      </w:pPr>
      <w:rPr>
        <w:rFonts w:hint="default"/>
        <w:i w:val="0"/>
        <w:iCs/>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9">
    <w:nsid w:val="52E7370F"/>
    <w:multiLevelType w:val="multilevel"/>
    <w:tmpl w:val="52E737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56897D82"/>
    <w:multiLevelType w:val="multilevel"/>
    <w:tmpl w:val="56897D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1">
    <w:nsid w:val="5C741080"/>
    <w:multiLevelType w:val="multilevel"/>
    <w:tmpl w:val="5C741080"/>
    <w:lvl w:ilvl="0" w:tentative="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entative="0">
      <w:start w:val="1"/>
      <w:numFmt w:val="decimal"/>
      <w:lvlText w:val="%1.%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1.%2.%3.%4."/>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4" w:tentative="0">
      <w:start w:val="1"/>
      <w:numFmt w:val="decimal"/>
      <w:lvlText w:val="%1.%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tentative="0">
      <w:start w:val="1"/>
      <w:numFmt w:val="decimal"/>
      <w:lvlText w:val="%1.%2.%3.%4.%5.%6."/>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1.%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tentative="0">
      <w:start w:val="1"/>
      <w:numFmt w:val="decimal"/>
      <w:lvlText w:val="%1.%2.%3.%4.%5.%6.%7.%8."/>
      <w:lvlJc w:val="left"/>
      <w:pPr>
        <w:ind w:left="1800" w:hanging="1800"/>
      </w:pPr>
      <w:rPr>
        <w:rFonts w:hAnsi="Arial Unicode MS"/>
        <w:caps w:val="0"/>
        <w:smallCaps w:val="0"/>
        <w:strike w:val="0"/>
        <w:dstrike w:val="0"/>
        <w:color w:val="000000"/>
        <w:spacing w:val="0"/>
        <w:w w:val="100"/>
        <w:kern w:val="0"/>
        <w:position w:val="0"/>
        <w:highlight w:val="none"/>
        <w:vertAlign w:val="baseline"/>
      </w:rPr>
    </w:lvl>
    <w:lvl w:ilvl="8" w:tentative="0">
      <w:start w:val="1"/>
      <w:numFmt w:val="decimal"/>
      <w:lvlText w:val="%1.%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2">
    <w:nsid w:val="5F076BD7"/>
    <w:multiLevelType w:val="multilevel"/>
    <w:tmpl w:val="5F076BD7"/>
    <w:lvl w:ilvl="0" w:tentative="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tentative="0">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tentative="0">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tentative="0">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7" w:tentative="0">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tentative="0">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3">
    <w:nsid w:val="632556B0"/>
    <w:multiLevelType w:val="multilevel"/>
    <w:tmpl w:val="632556B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3B97392"/>
    <w:multiLevelType w:val="multilevel"/>
    <w:tmpl w:val="63B973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5">
    <w:nsid w:val="676A1802"/>
    <w:multiLevelType w:val="multilevel"/>
    <w:tmpl w:val="676A180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681D7A55"/>
    <w:multiLevelType w:val="multilevel"/>
    <w:tmpl w:val="681D7A55"/>
    <w:lvl w:ilvl="0" w:tentative="0">
      <w:start w:val="1"/>
      <w:numFmt w:val="lowerLetter"/>
      <w:lvlText w:val="%1)"/>
      <w:lvlJc w:val="left"/>
      <w:pPr>
        <w:ind w:left="420" w:hanging="360"/>
      </w:pPr>
      <w:rPr>
        <w:rFonts w:hAnsi="Arial Unicode MS"/>
        <w:caps w:val="0"/>
        <w:smallCaps w:val="0"/>
        <w:strike w:val="0"/>
        <w:dstrike w:val="0"/>
        <w:color w:val="000000"/>
        <w:spacing w:val="0"/>
        <w:w w:val="100"/>
        <w:kern w:val="0"/>
        <w:position w:val="0"/>
        <w:highlight w:val="none"/>
        <w:vertAlign w:val="baseline"/>
      </w:rPr>
    </w:lvl>
    <w:lvl w:ilvl="1" w:tentative="0">
      <w:start w:val="1"/>
      <w:numFmt w:val="lowerLetter"/>
      <w:lvlText w:val="%2."/>
      <w:lvlJc w:val="left"/>
      <w:pPr>
        <w:ind w:left="1140" w:hanging="360"/>
      </w:pPr>
      <w:rPr>
        <w:rFonts w:hAnsi="Arial Unicode MS"/>
        <w:caps w:val="0"/>
        <w:smallCaps w:val="0"/>
        <w:strike w:val="0"/>
        <w:dstrike w:val="0"/>
        <w:color w:val="000000"/>
        <w:spacing w:val="0"/>
        <w:w w:val="100"/>
        <w:kern w:val="0"/>
        <w:position w:val="0"/>
        <w:highlight w:val="none"/>
        <w:vertAlign w:val="baseline"/>
      </w:rPr>
    </w:lvl>
    <w:lvl w:ilvl="2" w:tentative="0">
      <w:start w:val="1"/>
      <w:numFmt w:val="lowerRoman"/>
      <w:lvlText w:val="%3."/>
      <w:lvlJc w:val="left"/>
      <w:pPr>
        <w:ind w:left="1860" w:hanging="300"/>
      </w:pPr>
      <w:rPr>
        <w:rFonts w:hAnsi="Arial Unicode MS"/>
        <w:caps w:val="0"/>
        <w:smallCaps w:val="0"/>
        <w:strike w:val="0"/>
        <w:dstrike w:val="0"/>
        <w:color w:val="000000"/>
        <w:spacing w:val="0"/>
        <w:w w:val="100"/>
        <w:kern w:val="0"/>
        <w:position w:val="0"/>
        <w:highlight w:val="none"/>
        <w:vertAlign w:val="baseline"/>
      </w:rPr>
    </w:lvl>
    <w:lvl w:ilvl="3" w:tentative="0">
      <w:start w:val="1"/>
      <w:numFmt w:val="decimal"/>
      <w:lvlText w:val="%4."/>
      <w:lvlJc w:val="left"/>
      <w:pPr>
        <w:ind w:left="2580" w:hanging="360"/>
      </w:pPr>
      <w:rPr>
        <w:rFonts w:hAnsi="Arial Unicode MS"/>
        <w:caps w:val="0"/>
        <w:smallCaps w:val="0"/>
        <w:strike w:val="0"/>
        <w:dstrike w:val="0"/>
        <w:color w:val="000000"/>
        <w:spacing w:val="0"/>
        <w:w w:val="100"/>
        <w:kern w:val="0"/>
        <w:position w:val="0"/>
        <w:highlight w:val="none"/>
        <w:vertAlign w:val="baseline"/>
      </w:rPr>
    </w:lvl>
    <w:lvl w:ilvl="4" w:tentative="0">
      <w:start w:val="1"/>
      <w:numFmt w:val="lowerLetter"/>
      <w:lvlText w:val="%5."/>
      <w:lvlJc w:val="left"/>
      <w:pPr>
        <w:ind w:left="3300" w:hanging="360"/>
      </w:pPr>
      <w:rPr>
        <w:rFonts w:hAnsi="Arial Unicode MS"/>
        <w:caps w:val="0"/>
        <w:smallCaps w:val="0"/>
        <w:strike w:val="0"/>
        <w:dstrike w:val="0"/>
        <w:color w:val="000000"/>
        <w:spacing w:val="0"/>
        <w:w w:val="100"/>
        <w:kern w:val="0"/>
        <w:position w:val="0"/>
        <w:highlight w:val="none"/>
        <w:vertAlign w:val="baseline"/>
      </w:rPr>
    </w:lvl>
    <w:lvl w:ilvl="5" w:tentative="0">
      <w:start w:val="1"/>
      <w:numFmt w:val="lowerRoman"/>
      <w:lvlText w:val="%6."/>
      <w:lvlJc w:val="left"/>
      <w:pPr>
        <w:ind w:left="4020" w:hanging="300"/>
      </w:pPr>
      <w:rPr>
        <w:rFonts w:hAnsi="Arial Unicode MS"/>
        <w:caps w:val="0"/>
        <w:smallCaps w:val="0"/>
        <w:strike w:val="0"/>
        <w:dstrike w:val="0"/>
        <w:color w:val="000000"/>
        <w:spacing w:val="0"/>
        <w:w w:val="100"/>
        <w:kern w:val="0"/>
        <w:position w:val="0"/>
        <w:highlight w:val="none"/>
        <w:vertAlign w:val="baseline"/>
      </w:rPr>
    </w:lvl>
    <w:lvl w:ilvl="6" w:tentative="0">
      <w:start w:val="1"/>
      <w:numFmt w:val="decimal"/>
      <w:lvlText w:val="%7."/>
      <w:lvlJc w:val="left"/>
      <w:pPr>
        <w:ind w:left="4740" w:hanging="360"/>
      </w:pPr>
      <w:rPr>
        <w:rFonts w:hAnsi="Arial Unicode MS"/>
        <w:caps w:val="0"/>
        <w:smallCaps w:val="0"/>
        <w:strike w:val="0"/>
        <w:dstrike w:val="0"/>
        <w:color w:val="000000"/>
        <w:spacing w:val="0"/>
        <w:w w:val="100"/>
        <w:kern w:val="0"/>
        <w:position w:val="0"/>
        <w:highlight w:val="none"/>
        <w:vertAlign w:val="baseline"/>
      </w:rPr>
    </w:lvl>
    <w:lvl w:ilvl="7" w:tentative="0">
      <w:start w:val="1"/>
      <w:numFmt w:val="lowerLetter"/>
      <w:lvlText w:val="%8."/>
      <w:lvlJc w:val="left"/>
      <w:pPr>
        <w:ind w:left="5460" w:hanging="360"/>
      </w:pPr>
      <w:rPr>
        <w:rFonts w:hAnsi="Arial Unicode MS"/>
        <w:caps w:val="0"/>
        <w:smallCaps w:val="0"/>
        <w:strike w:val="0"/>
        <w:dstrike w:val="0"/>
        <w:color w:val="000000"/>
        <w:spacing w:val="0"/>
        <w:w w:val="100"/>
        <w:kern w:val="0"/>
        <w:position w:val="0"/>
        <w:highlight w:val="none"/>
        <w:vertAlign w:val="baseline"/>
      </w:rPr>
    </w:lvl>
    <w:lvl w:ilvl="8" w:tentative="0">
      <w:start w:val="1"/>
      <w:numFmt w:val="lowerRoman"/>
      <w:lvlText w:val="%9."/>
      <w:lvlJc w:val="left"/>
      <w:pPr>
        <w:ind w:left="61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37">
    <w:nsid w:val="6B1F5F92"/>
    <w:multiLevelType w:val="multilevel"/>
    <w:tmpl w:val="6B1F5F9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C5C6522"/>
    <w:multiLevelType w:val="multilevel"/>
    <w:tmpl w:val="6C5C6522"/>
    <w:lvl w:ilvl="0" w:tentative="0">
      <w:start w:val="1"/>
      <w:numFmt w:val="bullet"/>
      <w:lvlText w:val=""/>
      <w:lvlJc w:val="left"/>
      <w:pPr>
        <w:tabs>
          <w:tab w:val="left" w:pos="720"/>
        </w:tabs>
        <w:ind w:left="720" w:hanging="360"/>
      </w:pPr>
      <w:rPr>
        <w:rFonts w:hint="default" w:ascii="Symbol" w:hAnsi="Symbol"/>
        <w:sz w:val="20"/>
      </w:rPr>
    </w:lvl>
    <w:lvl w:ilvl="1" w:tentative="0">
      <w:start w:val="0"/>
      <w:numFmt w:val="bullet"/>
      <w:lvlText w:val="-"/>
      <w:lvlJc w:val="left"/>
      <w:pPr>
        <w:ind w:left="1440" w:hanging="360"/>
      </w:pPr>
      <w:rPr>
        <w:rFonts w:hint="default" w:ascii="Times New Roman" w:hAnsi="Times New Roman" w:eastAsia="Calibri" w:cs="Times New Roman"/>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6C9D0E87"/>
    <w:multiLevelType w:val="multilevel"/>
    <w:tmpl w:val="6C9D0E87"/>
    <w:lvl w:ilvl="0" w:tentative="0">
      <w:start w:val="2"/>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0">
    <w:nsid w:val="6E574E0D"/>
    <w:multiLevelType w:val="multilevel"/>
    <w:tmpl w:val="6E574E0D"/>
    <w:lvl w:ilvl="0" w:tentative="0">
      <w:start w:val="1"/>
      <w:numFmt w:val="bullet"/>
      <w:lvlText w:val="·"/>
      <w:lvlJc w:val="left"/>
      <w:pPr>
        <w:ind w:left="10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rPr>
    </w:lvl>
    <w:lvl w:ilvl="1" w:tentative="0">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rPr>
    </w:lvl>
    <w:lvl w:ilvl="2" w:tentative="0">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rPr>
    </w:lvl>
    <w:lvl w:ilvl="3" w:tentative="0">
      <w:start w:val="1"/>
      <w:numFmt w:val="bullet"/>
      <w:lvlText w:val="·"/>
      <w:lvlJc w:val="left"/>
      <w:pPr>
        <w:ind w:left="324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rPr>
    </w:lvl>
    <w:lvl w:ilvl="4" w:tentative="0">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rPr>
    </w:lvl>
    <w:lvl w:ilvl="5" w:tentative="0">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rPr>
    </w:lvl>
    <w:lvl w:ilvl="6" w:tentative="0">
      <w:start w:val="1"/>
      <w:numFmt w:val="bullet"/>
      <w:lvlText w:val="·"/>
      <w:lvlJc w:val="left"/>
      <w:pPr>
        <w:ind w:left="540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rPr>
    </w:lvl>
    <w:lvl w:ilvl="7" w:tentative="0">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rPr>
    </w:lvl>
    <w:lvl w:ilvl="8" w:tentative="0">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759E6E01"/>
    <w:multiLevelType w:val="multilevel"/>
    <w:tmpl w:val="759E6E01"/>
    <w:lvl w:ilvl="0" w:tentative="0">
      <w:start w:val="7"/>
      <w:numFmt w:val="decimal"/>
      <w:lvlText w:val="%1."/>
      <w:lvlJc w:val="left"/>
      <w:pPr>
        <w:ind w:left="122" w:hanging="329"/>
      </w:pPr>
      <w:rPr>
        <w:rFonts w:hint="default" w:ascii="Roboto" w:hAnsi="Roboto" w:eastAsia="Roboto" w:cs="Roboto"/>
        <w:color w:val="202024"/>
        <w:spacing w:val="0"/>
        <w:w w:val="98"/>
        <w:sz w:val="24"/>
        <w:szCs w:val="24"/>
        <w:lang w:val="en-US" w:eastAsia="en-US" w:bidi="ar-SA"/>
      </w:rPr>
    </w:lvl>
    <w:lvl w:ilvl="1" w:tentative="0">
      <w:start w:val="0"/>
      <w:numFmt w:val="bullet"/>
      <w:lvlText w:val="•"/>
      <w:lvlJc w:val="left"/>
      <w:pPr>
        <w:ind w:left="895" w:hanging="329"/>
      </w:pPr>
      <w:rPr>
        <w:rFonts w:hint="default"/>
        <w:lang w:val="en-US" w:eastAsia="en-US" w:bidi="ar-SA"/>
      </w:rPr>
    </w:lvl>
    <w:lvl w:ilvl="2" w:tentative="0">
      <w:start w:val="0"/>
      <w:numFmt w:val="bullet"/>
      <w:lvlText w:val="•"/>
      <w:lvlJc w:val="left"/>
      <w:pPr>
        <w:ind w:left="1671" w:hanging="329"/>
      </w:pPr>
      <w:rPr>
        <w:rFonts w:hint="default"/>
        <w:lang w:val="en-US" w:eastAsia="en-US" w:bidi="ar-SA"/>
      </w:rPr>
    </w:lvl>
    <w:lvl w:ilvl="3" w:tentative="0">
      <w:start w:val="0"/>
      <w:numFmt w:val="bullet"/>
      <w:lvlText w:val="•"/>
      <w:lvlJc w:val="left"/>
      <w:pPr>
        <w:ind w:left="2446" w:hanging="329"/>
      </w:pPr>
      <w:rPr>
        <w:rFonts w:hint="default"/>
        <w:lang w:val="en-US" w:eastAsia="en-US" w:bidi="ar-SA"/>
      </w:rPr>
    </w:lvl>
    <w:lvl w:ilvl="4" w:tentative="0">
      <w:start w:val="0"/>
      <w:numFmt w:val="bullet"/>
      <w:lvlText w:val="•"/>
      <w:lvlJc w:val="left"/>
      <w:pPr>
        <w:ind w:left="3222" w:hanging="329"/>
      </w:pPr>
      <w:rPr>
        <w:rFonts w:hint="default"/>
        <w:lang w:val="en-US" w:eastAsia="en-US" w:bidi="ar-SA"/>
      </w:rPr>
    </w:lvl>
    <w:lvl w:ilvl="5" w:tentative="0">
      <w:start w:val="0"/>
      <w:numFmt w:val="bullet"/>
      <w:lvlText w:val="•"/>
      <w:lvlJc w:val="left"/>
      <w:pPr>
        <w:ind w:left="3997" w:hanging="329"/>
      </w:pPr>
      <w:rPr>
        <w:rFonts w:hint="default"/>
        <w:lang w:val="en-US" w:eastAsia="en-US" w:bidi="ar-SA"/>
      </w:rPr>
    </w:lvl>
    <w:lvl w:ilvl="6" w:tentative="0">
      <w:start w:val="0"/>
      <w:numFmt w:val="bullet"/>
      <w:lvlText w:val="•"/>
      <w:lvlJc w:val="left"/>
      <w:pPr>
        <w:ind w:left="4773" w:hanging="329"/>
      </w:pPr>
      <w:rPr>
        <w:rFonts w:hint="default"/>
        <w:lang w:val="en-US" w:eastAsia="en-US" w:bidi="ar-SA"/>
      </w:rPr>
    </w:lvl>
    <w:lvl w:ilvl="7" w:tentative="0">
      <w:start w:val="0"/>
      <w:numFmt w:val="bullet"/>
      <w:lvlText w:val="•"/>
      <w:lvlJc w:val="left"/>
      <w:pPr>
        <w:ind w:left="5548" w:hanging="329"/>
      </w:pPr>
      <w:rPr>
        <w:rFonts w:hint="default"/>
        <w:lang w:val="en-US" w:eastAsia="en-US" w:bidi="ar-SA"/>
      </w:rPr>
    </w:lvl>
    <w:lvl w:ilvl="8" w:tentative="0">
      <w:start w:val="0"/>
      <w:numFmt w:val="bullet"/>
      <w:lvlText w:val="•"/>
      <w:lvlJc w:val="left"/>
      <w:pPr>
        <w:ind w:left="6324" w:hanging="329"/>
      </w:pPr>
      <w:rPr>
        <w:rFonts w:hint="default"/>
        <w:lang w:val="en-US" w:eastAsia="en-US" w:bidi="ar-SA"/>
      </w:rPr>
    </w:lvl>
  </w:abstractNum>
  <w:abstractNum w:abstractNumId="42">
    <w:nsid w:val="7A834DF6"/>
    <w:multiLevelType w:val="multilevel"/>
    <w:tmpl w:val="7A834DF6"/>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BBF325D"/>
    <w:multiLevelType w:val="multilevel"/>
    <w:tmpl w:val="7BBF325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4">
    <w:nsid w:val="7DA45D17"/>
    <w:multiLevelType w:val="multilevel"/>
    <w:tmpl w:val="7DA45D17"/>
    <w:lvl w:ilvl="0" w:tentative="0">
      <w:start w:val="1"/>
      <w:numFmt w:val="decimal"/>
      <w:lvlText w:val="%1."/>
      <w:lvlJc w:val="left"/>
      <w:pPr>
        <w:ind w:left="122" w:hanging="267"/>
      </w:pPr>
      <w:rPr>
        <w:rFonts w:hint="default" w:ascii="Roboto" w:hAnsi="Roboto" w:eastAsia="Roboto" w:cs="Roboto"/>
        <w:color w:val="202024"/>
        <w:spacing w:val="0"/>
        <w:w w:val="98"/>
        <w:sz w:val="24"/>
        <w:szCs w:val="24"/>
        <w:lang w:val="en-US" w:eastAsia="en-US" w:bidi="ar-SA"/>
      </w:rPr>
    </w:lvl>
    <w:lvl w:ilvl="1" w:tentative="0">
      <w:start w:val="0"/>
      <w:numFmt w:val="bullet"/>
      <w:lvlText w:val="•"/>
      <w:lvlJc w:val="left"/>
      <w:pPr>
        <w:ind w:left="918" w:hanging="267"/>
      </w:pPr>
      <w:rPr>
        <w:rFonts w:hint="default"/>
        <w:lang w:val="en-US" w:eastAsia="en-US" w:bidi="ar-SA"/>
      </w:rPr>
    </w:lvl>
    <w:lvl w:ilvl="2" w:tentative="0">
      <w:start w:val="0"/>
      <w:numFmt w:val="bullet"/>
      <w:lvlText w:val="•"/>
      <w:lvlJc w:val="left"/>
      <w:pPr>
        <w:ind w:left="1717" w:hanging="267"/>
      </w:pPr>
      <w:rPr>
        <w:rFonts w:hint="default"/>
        <w:lang w:val="en-US" w:eastAsia="en-US" w:bidi="ar-SA"/>
      </w:rPr>
    </w:lvl>
    <w:lvl w:ilvl="3" w:tentative="0">
      <w:start w:val="0"/>
      <w:numFmt w:val="bullet"/>
      <w:lvlText w:val="•"/>
      <w:lvlJc w:val="left"/>
      <w:pPr>
        <w:ind w:left="2515" w:hanging="267"/>
      </w:pPr>
      <w:rPr>
        <w:rFonts w:hint="default"/>
        <w:lang w:val="en-US" w:eastAsia="en-US" w:bidi="ar-SA"/>
      </w:rPr>
    </w:lvl>
    <w:lvl w:ilvl="4" w:tentative="0">
      <w:start w:val="0"/>
      <w:numFmt w:val="bullet"/>
      <w:lvlText w:val="•"/>
      <w:lvlJc w:val="left"/>
      <w:pPr>
        <w:ind w:left="3314" w:hanging="267"/>
      </w:pPr>
      <w:rPr>
        <w:rFonts w:hint="default"/>
        <w:lang w:val="en-US" w:eastAsia="en-US" w:bidi="ar-SA"/>
      </w:rPr>
    </w:lvl>
    <w:lvl w:ilvl="5" w:tentative="0">
      <w:start w:val="0"/>
      <w:numFmt w:val="bullet"/>
      <w:lvlText w:val="•"/>
      <w:lvlJc w:val="left"/>
      <w:pPr>
        <w:ind w:left="4113" w:hanging="267"/>
      </w:pPr>
      <w:rPr>
        <w:rFonts w:hint="default"/>
        <w:lang w:val="en-US" w:eastAsia="en-US" w:bidi="ar-SA"/>
      </w:rPr>
    </w:lvl>
    <w:lvl w:ilvl="6" w:tentative="0">
      <w:start w:val="0"/>
      <w:numFmt w:val="bullet"/>
      <w:lvlText w:val="•"/>
      <w:lvlJc w:val="left"/>
      <w:pPr>
        <w:ind w:left="4911" w:hanging="267"/>
      </w:pPr>
      <w:rPr>
        <w:rFonts w:hint="default"/>
        <w:lang w:val="en-US" w:eastAsia="en-US" w:bidi="ar-SA"/>
      </w:rPr>
    </w:lvl>
    <w:lvl w:ilvl="7" w:tentative="0">
      <w:start w:val="0"/>
      <w:numFmt w:val="bullet"/>
      <w:lvlText w:val="•"/>
      <w:lvlJc w:val="left"/>
      <w:pPr>
        <w:ind w:left="5710" w:hanging="267"/>
      </w:pPr>
      <w:rPr>
        <w:rFonts w:hint="default"/>
        <w:lang w:val="en-US" w:eastAsia="en-US" w:bidi="ar-SA"/>
      </w:rPr>
    </w:lvl>
    <w:lvl w:ilvl="8" w:tentative="0">
      <w:start w:val="0"/>
      <w:numFmt w:val="bullet"/>
      <w:lvlText w:val="•"/>
      <w:lvlJc w:val="left"/>
      <w:pPr>
        <w:ind w:left="6508" w:hanging="267"/>
      </w:pPr>
      <w:rPr>
        <w:rFonts w:hint="default"/>
        <w:lang w:val="en-US" w:eastAsia="en-US" w:bidi="ar-SA"/>
      </w:rPr>
    </w:lvl>
  </w:abstractNum>
  <w:abstractNum w:abstractNumId="45">
    <w:nsid w:val="7DA61698"/>
    <w:multiLevelType w:val="multilevel"/>
    <w:tmpl w:val="7DA6169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7DF04453"/>
    <w:multiLevelType w:val="multilevel"/>
    <w:tmpl w:val="7DF04453"/>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7EB403F2"/>
    <w:multiLevelType w:val="multilevel"/>
    <w:tmpl w:val="7EB403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43"/>
  </w:num>
  <w:num w:numId="3">
    <w:abstractNumId w:val="33"/>
  </w:num>
  <w:num w:numId="4">
    <w:abstractNumId w:val="0"/>
  </w:num>
  <w:num w:numId="5">
    <w:abstractNumId w:val="21"/>
  </w:num>
  <w:num w:numId="6">
    <w:abstractNumId w:val="38"/>
  </w:num>
  <w:num w:numId="7">
    <w:abstractNumId w:val="7"/>
  </w:num>
  <w:num w:numId="8">
    <w:abstractNumId w:val="8"/>
  </w:num>
  <w:num w:numId="9">
    <w:abstractNumId w:val="5"/>
  </w:num>
  <w:num w:numId="10">
    <w:abstractNumId w:val="3"/>
  </w:num>
  <w:num w:numId="11">
    <w:abstractNumId w:val="27"/>
  </w:num>
  <w:num w:numId="12">
    <w:abstractNumId w:val="16"/>
  </w:num>
  <w:num w:numId="13">
    <w:abstractNumId w:val="28"/>
  </w:num>
  <w:num w:numId="14">
    <w:abstractNumId w:val="11"/>
  </w:num>
  <w:num w:numId="15">
    <w:abstractNumId w:val="32"/>
  </w:num>
  <w:num w:numId="16">
    <w:abstractNumId w:val="23"/>
  </w:num>
  <w:num w:numId="17">
    <w:abstractNumId w:val="36"/>
  </w:num>
  <w:num w:numId="18">
    <w:abstractNumId w:val="9"/>
  </w:num>
  <w:num w:numId="19">
    <w:abstractNumId w:val="39"/>
  </w:num>
  <w:num w:numId="20">
    <w:abstractNumId w:val="31"/>
  </w:num>
  <w:num w:numId="21">
    <w:abstractNumId w:val="17"/>
  </w:num>
  <w:num w:numId="22">
    <w:abstractNumId w:val="25"/>
  </w:num>
  <w:num w:numId="23">
    <w:abstractNumId w:val="40"/>
  </w:num>
  <w:num w:numId="24">
    <w:abstractNumId w:val="6"/>
  </w:num>
  <w:num w:numId="25">
    <w:abstractNumId w:val="45"/>
  </w:num>
  <w:num w:numId="26">
    <w:abstractNumId w:val="10"/>
  </w:num>
  <w:num w:numId="27">
    <w:abstractNumId w:val="46"/>
  </w:num>
  <w:num w:numId="28">
    <w:abstractNumId w:val="13"/>
  </w:num>
  <w:num w:numId="29">
    <w:abstractNumId w:val="29"/>
  </w:num>
  <w:num w:numId="30">
    <w:abstractNumId w:val="35"/>
  </w:num>
  <w:num w:numId="31">
    <w:abstractNumId w:val="37"/>
  </w:num>
  <w:num w:numId="32">
    <w:abstractNumId w:val="22"/>
  </w:num>
  <w:num w:numId="33">
    <w:abstractNumId w:val="34"/>
  </w:num>
  <w:num w:numId="34">
    <w:abstractNumId w:val="30"/>
  </w:num>
  <w:num w:numId="35">
    <w:abstractNumId w:val="19"/>
  </w:num>
  <w:num w:numId="36">
    <w:abstractNumId w:val="42"/>
  </w:num>
  <w:num w:numId="37">
    <w:abstractNumId w:val="24"/>
  </w:num>
  <w:num w:numId="38">
    <w:abstractNumId w:val="20"/>
  </w:num>
  <w:num w:numId="39">
    <w:abstractNumId w:val="2"/>
  </w:num>
  <w:num w:numId="40">
    <w:abstractNumId w:val="47"/>
  </w:num>
  <w:num w:numId="41">
    <w:abstractNumId w:val="12"/>
  </w:num>
  <w:num w:numId="42">
    <w:abstractNumId w:val="1"/>
  </w:num>
  <w:num w:numId="43">
    <w:abstractNumId w:val="44"/>
  </w:num>
  <w:num w:numId="44">
    <w:abstractNumId w:val="18"/>
  </w:num>
  <w:num w:numId="45">
    <w:abstractNumId w:val="41"/>
  </w:num>
  <w:num w:numId="46">
    <w:abstractNumId w:val="14"/>
  </w:num>
  <w:num w:numId="47">
    <w:abstractNumId w:val="26"/>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trackRevisions w:val="1"/>
  <w:documentProtection w:enforcement="0"/>
  <w:defaultTabStop w:val="720"/>
  <w:noPunctuationKerning w:val="1"/>
  <w:characterSpacingControl w:val="doNotCompress"/>
  <w:footnotePr>
    <w:footnote w:id="1454"/>
    <w:footnote w:id="1455"/>
  </w:foot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1D0"/>
    <w:rsid w:val="000000CA"/>
    <w:rsid w:val="00000297"/>
    <w:rsid w:val="000003C5"/>
    <w:rsid w:val="000003CE"/>
    <w:rsid w:val="0000040D"/>
    <w:rsid w:val="000009B6"/>
    <w:rsid w:val="000009DF"/>
    <w:rsid w:val="00000A5E"/>
    <w:rsid w:val="000013F0"/>
    <w:rsid w:val="0000151A"/>
    <w:rsid w:val="00001F60"/>
    <w:rsid w:val="00002172"/>
    <w:rsid w:val="00002278"/>
    <w:rsid w:val="0000239C"/>
    <w:rsid w:val="000024D3"/>
    <w:rsid w:val="000025F5"/>
    <w:rsid w:val="0000277A"/>
    <w:rsid w:val="000028F6"/>
    <w:rsid w:val="00002922"/>
    <w:rsid w:val="000029F9"/>
    <w:rsid w:val="00002B11"/>
    <w:rsid w:val="00002B76"/>
    <w:rsid w:val="00002B79"/>
    <w:rsid w:val="00002D21"/>
    <w:rsid w:val="00003518"/>
    <w:rsid w:val="000036A5"/>
    <w:rsid w:val="00003929"/>
    <w:rsid w:val="00003BEB"/>
    <w:rsid w:val="00003F27"/>
    <w:rsid w:val="00003F97"/>
    <w:rsid w:val="00004210"/>
    <w:rsid w:val="00004AB9"/>
    <w:rsid w:val="00004D54"/>
    <w:rsid w:val="00005041"/>
    <w:rsid w:val="000054F4"/>
    <w:rsid w:val="00005681"/>
    <w:rsid w:val="00005690"/>
    <w:rsid w:val="0000580B"/>
    <w:rsid w:val="00005918"/>
    <w:rsid w:val="000059BC"/>
    <w:rsid w:val="000062B9"/>
    <w:rsid w:val="000063D1"/>
    <w:rsid w:val="000064B6"/>
    <w:rsid w:val="000065CA"/>
    <w:rsid w:val="00006648"/>
    <w:rsid w:val="00006903"/>
    <w:rsid w:val="000069F7"/>
    <w:rsid w:val="00006D23"/>
    <w:rsid w:val="00006E6D"/>
    <w:rsid w:val="00007182"/>
    <w:rsid w:val="0000754C"/>
    <w:rsid w:val="00007685"/>
    <w:rsid w:val="000077A6"/>
    <w:rsid w:val="0000780B"/>
    <w:rsid w:val="00007B07"/>
    <w:rsid w:val="00007CA9"/>
    <w:rsid w:val="00007D98"/>
    <w:rsid w:val="00007F1D"/>
    <w:rsid w:val="000100D1"/>
    <w:rsid w:val="00010273"/>
    <w:rsid w:val="00010DFD"/>
    <w:rsid w:val="00011006"/>
    <w:rsid w:val="00011294"/>
    <w:rsid w:val="0001164D"/>
    <w:rsid w:val="00011A1A"/>
    <w:rsid w:val="00011FFA"/>
    <w:rsid w:val="00012155"/>
    <w:rsid w:val="00012364"/>
    <w:rsid w:val="000125B6"/>
    <w:rsid w:val="000126A6"/>
    <w:rsid w:val="00012979"/>
    <w:rsid w:val="00012EA4"/>
    <w:rsid w:val="00012F98"/>
    <w:rsid w:val="00013177"/>
    <w:rsid w:val="000133DD"/>
    <w:rsid w:val="00013455"/>
    <w:rsid w:val="00013586"/>
    <w:rsid w:val="00013922"/>
    <w:rsid w:val="00013A17"/>
    <w:rsid w:val="00013AE0"/>
    <w:rsid w:val="00013B9F"/>
    <w:rsid w:val="00013E52"/>
    <w:rsid w:val="00013F14"/>
    <w:rsid w:val="000140ED"/>
    <w:rsid w:val="000141E7"/>
    <w:rsid w:val="000141E9"/>
    <w:rsid w:val="000147C3"/>
    <w:rsid w:val="000147DE"/>
    <w:rsid w:val="00014AF6"/>
    <w:rsid w:val="00014D26"/>
    <w:rsid w:val="00015210"/>
    <w:rsid w:val="00015334"/>
    <w:rsid w:val="00015345"/>
    <w:rsid w:val="000156ED"/>
    <w:rsid w:val="00015756"/>
    <w:rsid w:val="0001592E"/>
    <w:rsid w:val="0001608E"/>
    <w:rsid w:val="00016162"/>
    <w:rsid w:val="00016643"/>
    <w:rsid w:val="00016B43"/>
    <w:rsid w:val="00016B74"/>
    <w:rsid w:val="0001734F"/>
    <w:rsid w:val="00017362"/>
    <w:rsid w:val="00017624"/>
    <w:rsid w:val="00017689"/>
    <w:rsid w:val="00017B47"/>
    <w:rsid w:val="00017B67"/>
    <w:rsid w:val="00017D20"/>
    <w:rsid w:val="000201B7"/>
    <w:rsid w:val="0002087D"/>
    <w:rsid w:val="00020DBC"/>
    <w:rsid w:val="00020E84"/>
    <w:rsid w:val="00020FD0"/>
    <w:rsid w:val="0002102A"/>
    <w:rsid w:val="00021202"/>
    <w:rsid w:val="0002176F"/>
    <w:rsid w:val="000219EF"/>
    <w:rsid w:val="00021A9D"/>
    <w:rsid w:val="00021AB4"/>
    <w:rsid w:val="00021AF4"/>
    <w:rsid w:val="00021BD2"/>
    <w:rsid w:val="00021E3B"/>
    <w:rsid w:val="0002225B"/>
    <w:rsid w:val="000222B4"/>
    <w:rsid w:val="000226D8"/>
    <w:rsid w:val="0002279A"/>
    <w:rsid w:val="00022906"/>
    <w:rsid w:val="00022AF9"/>
    <w:rsid w:val="00023014"/>
    <w:rsid w:val="0002317E"/>
    <w:rsid w:val="000236C6"/>
    <w:rsid w:val="00023746"/>
    <w:rsid w:val="0002419B"/>
    <w:rsid w:val="0002428F"/>
    <w:rsid w:val="00024386"/>
    <w:rsid w:val="00024841"/>
    <w:rsid w:val="000252C7"/>
    <w:rsid w:val="0002536E"/>
    <w:rsid w:val="0002541E"/>
    <w:rsid w:val="000254FC"/>
    <w:rsid w:val="0002567A"/>
    <w:rsid w:val="00025AE5"/>
    <w:rsid w:val="0002629C"/>
    <w:rsid w:val="00026A65"/>
    <w:rsid w:val="00026C41"/>
    <w:rsid w:val="00027043"/>
    <w:rsid w:val="000273FF"/>
    <w:rsid w:val="000277DC"/>
    <w:rsid w:val="00027863"/>
    <w:rsid w:val="00027E45"/>
    <w:rsid w:val="00027FF7"/>
    <w:rsid w:val="000302FF"/>
    <w:rsid w:val="0003047A"/>
    <w:rsid w:val="000309B0"/>
    <w:rsid w:val="000309B6"/>
    <w:rsid w:val="00030ADC"/>
    <w:rsid w:val="00030F47"/>
    <w:rsid w:val="00030FDB"/>
    <w:rsid w:val="0003172D"/>
    <w:rsid w:val="000317C7"/>
    <w:rsid w:val="00031809"/>
    <w:rsid w:val="00031843"/>
    <w:rsid w:val="0003186B"/>
    <w:rsid w:val="00031987"/>
    <w:rsid w:val="00031A1F"/>
    <w:rsid w:val="00031B1A"/>
    <w:rsid w:val="000321A9"/>
    <w:rsid w:val="000326DB"/>
    <w:rsid w:val="00032966"/>
    <w:rsid w:val="00032B78"/>
    <w:rsid w:val="00033013"/>
    <w:rsid w:val="000333B3"/>
    <w:rsid w:val="000338BF"/>
    <w:rsid w:val="00033A05"/>
    <w:rsid w:val="00033F38"/>
    <w:rsid w:val="00033FE0"/>
    <w:rsid w:val="00034073"/>
    <w:rsid w:val="000341D3"/>
    <w:rsid w:val="000342BB"/>
    <w:rsid w:val="00034566"/>
    <w:rsid w:val="00034B24"/>
    <w:rsid w:val="00034CDD"/>
    <w:rsid w:val="00034EB3"/>
    <w:rsid w:val="00034FDD"/>
    <w:rsid w:val="000353B9"/>
    <w:rsid w:val="00035736"/>
    <w:rsid w:val="00035C25"/>
    <w:rsid w:val="00035E08"/>
    <w:rsid w:val="00035E89"/>
    <w:rsid w:val="00035F2D"/>
    <w:rsid w:val="00036208"/>
    <w:rsid w:val="000362B3"/>
    <w:rsid w:val="0003630C"/>
    <w:rsid w:val="00036338"/>
    <w:rsid w:val="00036935"/>
    <w:rsid w:val="00036A15"/>
    <w:rsid w:val="00036DC9"/>
    <w:rsid w:val="00036EAF"/>
    <w:rsid w:val="000371AB"/>
    <w:rsid w:val="00037254"/>
    <w:rsid w:val="0003755B"/>
    <w:rsid w:val="0003761F"/>
    <w:rsid w:val="00037987"/>
    <w:rsid w:val="00037DDB"/>
    <w:rsid w:val="00037FF1"/>
    <w:rsid w:val="00040947"/>
    <w:rsid w:val="0004120C"/>
    <w:rsid w:val="000415F7"/>
    <w:rsid w:val="00041B23"/>
    <w:rsid w:val="00041B68"/>
    <w:rsid w:val="00041C1B"/>
    <w:rsid w:val="0004205C"/>
    <w:rsid w:val="000420BA"/>
    <w:rsid w:val="00042597"/>
    <w:rsid w:val="00042857"/>
    <w:rsid w:val="00042A0B"/>
    <w:rsid w:val="0004309C"/>
    <w:rsid w:val="000430EC"/>
    <w:rsid w:val="0004318D"/>
    <w:rsid w:val="000431FB"/>
    <w:rsid w:val="000432F8"/>
    <w:rsid w:val="00043657"/>
    <w:rsid w:val="000437F7"/>
    <w:rsid w:val="00043A79"/>
    <w:rsid w:val="00043B3D"/>
    <w:rsid w:val="00043FCF"/>
    <w:rsid w:val="0004406D"/>
    <w:rsid w:val="00044325"/>
    <w:rsid w:val="000443C2"/>
    <w:rsid w:val="00044BAE"/>
    <w:rsid w:val="00045162"/>
    <w:rsid w:val="000454A7"/>
    <w:rsid w:val="00045603"/>
    <w:rsid w:val="000458FC"/>
    <w:rsid w:val="00045921"/>
    <w:rsid w:val="00046022"/>
    <w:rsid w:val="0004634D"/>
    <w:rsid w:val="00046591"/>
    <w:rsid w:val="000465E0"/>
    <w:rsid w:val="000467D9"/>
    <w:rsid w:val="00046AC9"/>
    <w:rsid w:val="00046CC4"/>
    <w:rsid w:val="00046D0D"/>
    <w:rsid w:val="000473BC"/>
    <w:rsid w:val="00047868"/>
    <w:rsid w:val="00047ADA"/>
    <w:rsid w:val="00047B7A"/>
    <w:rsid w:val="00047C2C"/>
    <w:rsid w:val="00047D1F"/>
    <w:rsid w:val="00047ED1"/>
    <w:rsid w:val="0005009F"/>
    <w:rsid w:val="000502A3"/>
    <w:rsid w:val="000505DE"/>
    <w:rsid w:val="000507B5"/>
    <w:rsid w:val="000509BA"/>
    <w:rsid w:val="00050A0E"/>
    <w:rsid w:val="00050A63"/>
    <w:rsid w:val="00050C71"/>
    <w:rsid w:val="00050C9E"/>
    <w:rsid w:val="00050FA6"/>
    <w:rsid w:val="00051394"/>
    <w:rsid w:val="000515AF"/>
    <w:rsid w:val="000515B5"/>
    <w:rsid w:val="00051979"/>
    <w:rsid w:val="00051998"/>
    <w:rsid w:val="00051A7C"/>
    <w:rsid w:val="00051BBC"/>
    <w:rsid w:val="00051BED"/>
    <w:rsid w:val="00051C09"/>
    <w:rsid w:val="00051CEF"/>
    <w:rsid w:val="00051D8C"/>
    <w:rsid w:val="000523F2"/>
    <w:rsid w:val="00052658"/>
    <w:rsid w:val="000526FF"/>
    <w:rsid w:val="00052916"/>
    <w:rsid w:val="00052C48"/>
    <w:rsid w:val="00053102"/>
    <w:rsid w:val="000532B6"/>
    <w:rsid w:val="00053315"/>
    <w:rsid w:val="000539E7"/>
    <w:rsid w:val="00053CD6"/>
    <w:rsid w:val="00054117"/>
    <w:rsid w:val="00054163"/>
    <w:rsid w:val="00054432"/>
    <w:rsid w:val="00054445"/>
    <w:rsid w:val="000544CA"/>
    <w:rsid w:val="00054556"/>
    <w:rsid w:val="000548F3"/>
    <w:rsid w:val="00054AAB"/>
    <w:rsid w:val="00055139"/>
    <w:rsid w:val="00055171"/>
    <w:rsid w:val="00055276"/>
    <w:rsid w:val="00055DE9"/>
    <w:rsid w:val="0005612B"/>
    <w:rsid w:val="0005630B"/>
    <w:rsid w:val="0005693C"/>
    <w:rsid w:val="000569D5"/>
    <w:rsid w:val="0005735D"/>
    <w:rsid w:val="0005753B"/>
    <w:rsid w:val="000579D9"/>
    <w:rsid w:val="00057B3A"/>
    <w:rsid w:val="00057F07"/>
    <w:rsid w:val="00057F63"/>
    <w:rsid w:val="00057FC3"/>
    <w:rsid w:val="000602BA"/>
    <w:rsid w:val="0006046D"/>
    <w:rsid w:val="0006072F"/>
    <w:rsid w:val="00060B23"/>
    <w:rsid w:val="00060B4D"/>
    <w:rsid w:val="00060B68"/>
    <w:rsid w:val="00060E74"/>
    <w:rsid w:val="00060EF6"/>
    <w:rsid w:val="0006159F"/>
    <w:rsid w:val="00061673"/>
    <w:rsid w:val="000618EB"/>
    <w:rsid w:val="00061995"/>
    <w:rsid w:val="00061A47"/>
    <w:rsid w:val="00061A4F"/>
    <w:rsid w:val="00061B2A"/>
    <w:rsid w:val="00061DE9"/>
    <w:rsid w:val="00061E03"/>
    <w:rsid w:val="00062376"/>
    <w:rsid w:val="00062507"/>
    <w:rsid w:val="00062630"/>
    <w:rsid w:val="0006272E"/>
    <w:rsid w:val="0006281D"/>
    <w:rsid w:val="00062D30"/>
    <w:rsid w:val="00062E44"/>
    <w:rsid w:val="00063069"/>
    <w:rsid w:val="00063365"/>
    <w:rsid w:val="00063631"/>
    <w:rsid w:val="00063914"/>
    <w:rsid w:val="0006398F"/>
    <w:rsid w:val="00063B62"/>
    <w:rsid w:val="00063BAD"/>
    <w:rsid w:val="00063ECD"/>
    <w:rsid w:val="00063F9E"/>
    <w:rsid w:val="00064068"/>
    <w:rsid w:val="00064219"/>
    <w:rsid w:val="0006494A"/>
    <w:rsid w:val="00064976"/>
    <w:rsid w:val="00064DFE"/>
    <w:rsid w:val="00064F14"/>
    <w:rsid w:val="000652E4"/>
    <w:rsid w:val="000659CC"/>
    <w:rsid w:val="00065B01"/>
    <w:rsid w:val="00065FEB"/>
    <w:rsid w:val="000661F4"/>
    <w:rsid w:val="0006668D"/>
    <w:rsid w:val="00066BDC"/>
    <w:rsid w:val="00066BFB"/>
    <w:rsid w:val="00067026"/>
    <w:rsid w:val="00067702"/>
    <w:rsid w:val="00067760"/>
    <w:rsid w:val="00070525"/>
    <w:rsid w:val="00070917"/>
    <w:rsid w:val="00070B9C"/>
    <w:rsid w:val="00070BA3"/>
    <w:rsid w:val="000715F9"/>
    <w:rsid w:val="00072460"/>
    <w:rsid w:val="00072583"/>
    <w:rsid w:val="000725BE"/>
    <w:rsid w:val="00072D7F"/>
    <w:rsid w:val="00073190"/>
    <w:rsid w:val="000731E9"/>
    <w:rsid w:val="00073916"/>
    <w:rsid w:val="00073B27"/>
    <w:rsid w:val="00073BF5"/>
    <w:rsid w:val="00073DA3"/>
    <w:rsid w:val="00074049"/>
    <w:rsid w:val="000747DD"/>
    <w:rsid w:val="00074E06"/>
    <w:rsid w:val="00074F66"/>
    <w:rsid w:val="0007503C"/>
    <w:rsid w:val="00075228"/>
    <w:rsid w:val="0007523D"/>
    <w:rsid w:val="00075B84"/>
    <w:rsid w:val="00075CDF"/>
    <w:rsid w:val="000760F3"/>
    <w:rsid w:val="00076593"/>
    <w:rsid w:val="00076678"/>
    <w:rsid w:val="00076CBC"/>
    <w:rsid w:val="00076DB2"/>
    <w:rsid w:val="000774D7"/>
    <w:rsid w:val="000775C6"/>
    <w:rsid w:val="00077724"/>
    <w:rsid w:val="0007773B"/>
    <w:rsid w:val="00077A03"/>
    <w:rsid w:val="00077B03"/>
    <w:rsid w:val="000800CB"/>
    <w:rsid w:val="000802DC"/>
    <w:rsid w:val="000807F9"/>
    <w:rsid w:val="00080B45"/>
    <w:rsid w:val="00080B79"/>
    <w:rsid w:val="00080D22"/>
    <w:rsid w:val="000810DE"/>
    <w:rsid w:val="000812C4"/>
    <w:rsid w:val="00081676"/>
    <w:rsid w:val="000817EC"/>
    <w:rsid w:val="00081B6F"/>
    <w:rsid w:val="00081CAF"/>
    <w:rsid w:val="00081D0C"/>
    <w:rsid w:val="00081DC3"/>
    <w:rsid w:val="0008210F"/>
    <w:rsid w:val="000822F5"/>
    <w:rsid w:val="000823C8"/>
    <w:rsid w:val="00082554"/>
    <w:rsid w:val="000829E4"/>
    <w:rsid w:val="00082BF6"/>
    <w:rsid w:val="00082C88"/>
    <w:rsid w:val="00082E3E"/>
    <w:rsid w:val="000830FD"/>
    <w:rsid w:val="0008316B"/>
    <w:rsid w:val="0008358A"/>
    <w:rsid w:val="0008386E"/>
    <w:rsid w:val="00083942"/>
    <w:rsid w:val="00083E17"/>
    <w:rsid w:val="00083E1E"/>
    <w:rsid w:val="00083E72"/>
    <w:rsid w:val="0008401C"/>
    <w:rsid w:val="00084325"/>
    <w:rsid w:val="00084427"/>
    <w:rsid w:val="00084533"/>
    <w:rsid w:val="0008490F"/>
    <w:rsid w:val="0008493A"/>
    <w:rsid w:val="00084966"/>
    <w:rsid w:val="00084A13"/>
    <w:rsid w:val="00084CC4"/>
    <w:rsid w:val="00084DF0"/>
    <w:rsid w:val="00084EA9"/>
    <w:rsid w:val="00084FF8"/>
    <w:rsid w:val="000851D5"/>
    <w:rsid w:val="000855D9"/>
    <w:rsid w:val="000857AB"/>
    <w:rsid w:val="00085AE3"/>
    <w:rsid w:val="00085BB4"/>
    <w:rsid w:val="00086310"/>
    <w:rsid w:val="00086A91"/>
    <w:rsid w:val="00087086"/>
    <w:rsid w:val="00087201"/>
    <w:rsid w:val="000874E6"/>
    <w:rsid w:val="00087E5A"/>
    <w:rsid w:val="00087F21"/>
    <w:rsid w:val="00087FE0"/>
    <w:rsid w:val="0009022F"/>
    <w:rsid w:val="000902D2"/>
    <w:rsid w:val="00090357"/>
    <w:rsid w:val="00090A00"/>
    <w:rsid w:val="00090A15"/>
    <w:rsid w:val="00090B8C"/>
    <w:rsid w:val="00090F98"/>
    <w:rsid w:val="00091263"/>
    <w:rsid w:val="00091844"/>
    <w:rsid w:val="00091DFE"/>
    <w:rsid w:val="00091E6A"/>
    <w:rsid w:val="00092189"/>
    <w:rsid w:val="000922D2"/>
    <w:rsid w:val="00092627"/>
    <w:rsid w:val="00092794"/>
    <w:rsid w:val="000928D2"/>
    <w:rsid w:val="00092BFF"/>
    <w:rsid w:val="00092C76"/>
    <w:rsid w:val="00092DA2"/>
    <w:rsid w:val="00092E85"/>
    <w:rsid w:val="0009319D"/>
    <w:rsid w:val="000936DE"/>
    <w:rsid w:val="00093B11"/>
    <w:rsid w:val="00093B2F"/>
    <w:rsid w:val="00093BFC"/>
    <w:rsid w:val="00093CF9"/>
    <w:rsid w:val="000945AA"/>
    <w:rsid w:val="0009472B"/>
    <w:rsid w:val="0009486F"/>
    <w:rsid w:val="00094930"/>
    <w:rsid w:val="00094E5E"/>
    <w:rsid w:val="000950FC"/>
    <w:rsid w:val="0009565B"/>
    <w:rsid w:val="00095C5E"/>
    <w:rsid w:val="00095D8C"/>
    <w:rsid w:val="00095ECB"/>
    <w:rsid w:val="00095F24"/>
    <w:rsid w:val="00095FA9"/>
    <w:rsid w:val="000960AB"/>
    <w:rsid w:val="000961C2"/>
    <w:rsid w:val="0009689B"/>
    <w:rsid w:val="000968AC"/>
    <w:rsid w:val="00096973"/>
    <w:rsid w:val="00096E69"/>
    <w:rsid w:val="000971D4"/>
    <w:rsid w:val="00097211"/>
    <w:rsid w:val="00097588"/>
    <w:rsid w:val="000976CE"/>
    <w:rsid w:val="000A0980"/>
    <w:rsid w:val="000A0AC4"/>
    <w:rsid w:val="000A0D27"/>
    <w:rsid w:val="000A0FCA"/>
    <w:rsid w:val="000A1087"/>
    <w:rsid w:val="000A163C"/>
    <w:rsid w:val="000A171B"/>
    <w:rsid w:val="000A171C"/>
    <w:rsid w:val="000A1B7A"/>
    <w:rsid w:val="000A24C2"/>
    <w:rsid w:val="000A24CF"/>
    <w:rsid w:val="000A274E"/>
    <w:rsid w:val="000A27AB"/>
    <w:rsid w:val="000A2C1D"/>
    <w:rsid w:val="000A2F52"/>
    <w:rsid w:val="000A30E2"/>
    <w:rsid w:val="000A31B5"/>
    <w:rsid w:val="000A34EA"/>
    <w:rsid w:val="000A35E7"/>
    <w:rsid w:val="000A39A0"/>
    <w:rsid w:val="000A3CC7"/>
    <w:rsid w:val="000A4508"/>
    <w:rsid w:val="000A459A"/>
    <w:rsid w:val="000A491A"/>
    <w:rsid w:val="000A494C"/>
    <w:rsid w:val="000A49F3"/>
    <w:rsid w:val="000A4CEE"/>
    <w:rsid w:val="000A4E7B"/>
    <w:rsid w:val="000A4F49"/>
    <w:rsid w:val="000A4F7F"/>
    <w:rsid w:val="000A4FAF"/>
    <w:rsid w:val="000A51E9"/>
    <w:rsid w:val="000A5216"/>
    <w:rsid w:val="000A52C6"/>
    <w:rsid w:val="000A5641"/>
    <w:rsid w:val="000A56CD"/>
    <w:rsid w:val="000A58C6"/>
    <w:rsid w:val="000A5934"/>
    <w:rsid w:val="000A595D"/>
    <w:rsid w:val="000A5E3A"/>
    <w:rsid w:val="000A63BC"/>
    <w:rsid w:val="000A6478"/>
    <w:rsid w:val="000A64E8"/>
    <w:rsid w:val="000A66A6"/>
    <w:rsid w:val="000A6B20"/>
    <w:rsid w:val="000A6ED3"/>
    <w:rsid w:val="000A7074"/>
    <w:rsid w:val="000A73B8"/>
    <w:rsid w:val="000A7436"/>
    <w:rsid w:val="000A75C7"/>
    <w:rsid w:val="000A761C"/>
    <w:rsid w:val="000A7830"/>
    <w:rsid w:val="000A786A"/>
    <w:rsid w:val="000A7BA7"/>
    <w:rsid w:val="000A7C36"/>
    <w:rsid w:val="000A7E60"/>
    <w:rsid w:val="000B0114"/>
    <w:rsid w:val="000B0299"/>
    <w:rsid w:val="000B0399"/>
    <w:rsid w:val="000B04D3"/>
    <w:rsid w:val="000B050B"/>
    <w:rsid w:val="000B0520"/>
    <w:rsid w:val="000B08FF"/>
    <w:rsid w:val="000B091A"/>
    <w:rsid w:val="000B0A41"/>
    <w:rsid w:val="000B0E06"/>
    <w:rsid w:val="000B0EF1"/>
    <w:rsid w:val="000B11DA"/>
    <w:rsid w:val="000B1297"/>
    <w:rsid w:val="000B13DC"/>
    <w:rsid w:val="000B155E"/>
    <w:rsid w:val="000B1E10"/>
    <w:rsid w:val="000B2422"/>
    <w:rsid w:val="000B2510"/>
    <w:rsid w:val="000B2560"/>
    <w:rsid w:val="000B2607"/>
    <w:rsid w:val="000B2799"/>
    <w:rsid w:val="000B2AAD"/>
    <w:rsid w:val="000B2BE1"/>
    <w:rsid w:val="000B2CA8"/>
    <w:rsid w:val="000B2E50"/>
    <w:rsid w:val="000B2F0D"/>
    <w:rsid w:val="000B30AA"/>
    <w:rsid w:val="000B3100"/>
    <w:rsid w:val="000B3AA1"/>
    <w:rsid w:val="000B3C58"/>
    <w:rsid w:val="000B3C89"/>
    <w:rsid w:val="000B3CDE"/>
    <w:rsid w:val="000B427C"/>
    <w:rsid w:val="000B45B7"/>
    <w:rsid w:val="000B45C2"/>
    <w:rsid w:val="000B46C1"/>
    <w:rsid w:val="000B50BD"/>
    <w:rsid w:val="000B53B6"/>
    <w:rsid w:val="000B5546"/>
    <w:rsid w:val="000B5640"/>
    <w:rsid w:val="000B5896"/>
    <w:rsid w:val="000B5A56"/>
    <w:rsid w:val="000B5BA5"/>
    <w:rsid w:val="000B5BB4"/>
    <w:rsid w:val="000B5D7C"/>
    <w:rsid w:val="000B5D8A"/>
    <w:rsid w:val="000B5E39"/>
    <w:rsid w:val="000B5F9E"/>
    <w:rsid w:val="000B6003"/>
    <w:rsid w:val="000B635C"/>
    <w:rsid w:val="000B66A0"/>
    <w:rsid w:val="000B67F0"/>
    <w:rsid w:val="000B696C"/>
    <w:rsid w:val="000B6B08"/>
    <w:rsid w:val="000B6B38"/>
    <w:rsid w:val="000B72E1"/>
    <w:rsid w:val="000B7734"/>
    <w:rsid w:val="000B77E0"/>
    <w:rsid w:val="000B7BE2"/>
    <w:rsid w:val="000C0134"/>
    <w:rsid w:val="000C0602"/>
    <w:rsid w:val="000C0651"/>
    <w:rsid w:val="000C095C"/>
    <w:rsid w:val="000C10E4"/>
    <w:rsid w:val="000C12C4"/>
    <w:rsid w:val="000C1429"/>
    <w:rsid w:val="000C164E"/>
    <w:rsid w:val="000C1B28"/>
    <w:rsid w:val="000C21AE"/>
    <w:rsid w:val="000C25D7"/>
    <w:rsid w:val="000C2756"/>
    <w:rsid w:val="000C2C21"/>
    <w:rsid w:val="000C3310"/>
    <w:rsid w:val="000C33EE"/>
    <w:rsid w:val="000C34A8"/>
    <w:rsid w:val="000C37DF"/>
    <w:rsid w:val="000C383E"/>
    <w:rsid w:val="000C3C39"/>
    <w:rsid w:val="000C3D13"/>
    <w:rsid w:val="000C3E13"/>
    <w:rsid w:val="000C3EE2"/>
    <w:rsid w:val="000C3EED"/>
    <w:rsid w:val="000C42BA"/>
    <w:rsid w:val="000C4455"/>
    <w:rsid w:val="000C4549"/>
    <w:rsid w:val="000C4959"/>
    <w:rsid w:val="000C4ABF"/>
    <w:rsid w:val="000C4D2F"/>
    <w:rsid w:val="000C4FFC"/>
    <w:rsid w:val="000C5D3A"/>
    <w:rsid w:val="000C5D4D"/>
    <w:rsid w:val="000C631C"/>
    <w:rsid w:val="000C6A2F"/>
    <w:rsid w:val="000C6A3B"/>
    <w:rsid w:val="000C6ACE"/>
    <w:rsid w:val="000C6C36"/>
    <w:rsid w:val="000C6EE8"/>
    <w:rsid w:val="000C704A"/>
    <w:rsid w:val="000C7106"/>
    <w:rsid w:val="000C7A8B"/>
    <w:rsid w:val="000C7C56"/>
    <w:rsid w:val="000C7DA2"/>
    <w:rsid w:val="000D00D2"/>
    <w:rsid w:val="000D0174"/>
    <w:rsid w:val="000D0351"/>
    <w:rsid w:val="000D0441"/>
    <w:rsid w:val="000D0812"/>
    <w:rsid w:val="000D097A"/>
    <w:rsid w:val="000D0E09"/>
    <w:rsid w:val="000D0E57"/>
    <w:rsid w:val="000D0F89"/>
    <w:rsid w:val="000D0FC8"/>
    <w:rsid w:val="000D11E7"/>
    <w:rsid w:val="000D12F0"/>
    <w:rsid w:val="000D2277"/>
    <w:rsid w:val="000D22C3"/>
    <w:rsid w:val="000D2E95"/>
    <w:rsid w:val="000D2FC2"/>
    <w:rsid w:val="000D2FDC"/>
    <w:rsid w:val="000D33B8"/>
    <w:rsid w:val="000D368C"/>
    <w:rsid w:val="000D3AB4"/>
    <w:rsid w:val="000D3F26"/>
    <w:rsid w:val="000D408B"/>
    <w:rsid w:val="000D40CC"/>
    <w:rsid w:val="000D4521"/>
    <w:rsid w:val="000D47D0"/>
    <w:rsid w:val="000D4824"/>
    <w:rsid w:val="000D49A2"/>
    <w:rsid w:val="000D4A78"/>
    <w:rsid w:val="000D4A87"/>
    <w:rsid w:val="000D4B48"/>
    <w:rsid w:val="000D4BD0"/>
    <w:rsid w:val="000D4C59"/>
    <w:rsid w:val="000D4E40"/>
    <w:rsid w:val="000D5810"/>
    <w:rsid w:val="000D5C23"/>
    <w:rsid w:val="000D5DE1"/>
    <w:rsid w:val="000D5F99"/>
    <w:rsid w:val="000D6114"/>
    <w:rsid w:val="000D6437"/>
    <w:rsid w:val="000D658B"/>
    <w:rsid w:val="000D67B8"/>
    <w:rsid w:val="000D684E"/>
    <w:rsid w:val="000D6A36"/>
    <w:rsid w:val="000D6AE4"/>
    <w:rsid w:val="000D6CA5"/>
    <w:rsid w:val="000D6E04"/>
    <w:rsid w:val="000D6E90"/>
    <w:rsid w:val="000D7047"/>
    <w:rsid w:val="000D713E"/>
    <w:rsid w:val="000D7181"/>
    <w:rsid w:val="000D71E4"/>
    <w:rsid w:val="000D73FD"/>
    <w:rsid w:val="000D75C1"/>
    <w:rsid w:val="000D7C38"/>
    <w:rsid w:val="000E0069"/>
    <w:rsid w:val="000E02D3"/>
    <w:rsid w:val="000E091D"/>
    <w:rsid w:val="000E0B46"/>
    <w:rsid w:val="000E0DC2"/>
    <w:rsid w:val="000E0EC1"/>
    <w:rsid w:val="000E1001"/>
    <w:rsid w:val="000E1682"/>
    <w:rsid w:val="000E1931"/>
    <w:rsid w:val="000E1EBB"/>
    <w:rsid w:val="000E2004"/>
    <w:rsid w:val="000E23EC"/>
    <w:rsid w:val="000E2950"/>
    <w:rsid w:val="000E2C10"/>
    <w:rsid w:val="000E2CAF"/>
    <w:rsid w:val="000E30C4"/>
    <w:rsid w:val="000E3183"/>
    <w:rsid w:val="000E3204"/>
    <w:rsid w:val="000E3375"/>
    <w:rsid w:val="000E3387"/>
    <w:rsid w:val="000E344D"/>
    <w:rsid w:val="000E3691"/>
    <w:rsid w:val="000E3D05"/>
    <w:rsid w:val="000E3EC1"/>
    <w:rsid w:val="000E3F2C"/>
    <w:rsid w:val="000E43EB"/>
    <w:rsid w:val="000E448E"/>
    <w:rsid w:val="000E4653"/>
    <w:rsid w:val="000E4760"/>
    <w:rsid w:val="000E4C3C"/>
    <w:rsid w:val="000E4C82"/>
    <w:rsid w:val="000E5085"/>
    <w:rsid w:val="000E508E"/>
    <w:rsid w:val="000E514C"/>
    <w:rsid w:val="000E51D8"/>
    <w:rsid w:val="000E538A"/>
    <w:rsid w:val="000E5493"/>
    <w:rsid w:val="000E5503"/>
    <w:rsid w:val="000E57CF"/>
    <w:rsid w:val="000E58C9"/>
    <w:rsid w:val="000E6006"/>
    <w:rsid w:val="000E6124"/>
    <w:rsid w:val="000E65C2"/>
    <w:rsid w:val="000E6C55"/>
    <w:rsid w:val="000E72CE"/>
    <w:rsid w:val="000E7971"/>
    <w:rsid w:val="000E7D83"/>
    <w:rsid w:val="000F01FE"/>
    <w:rsid w:val="000F04ED"/>
    <w:rsid w:val="000F0530"/>
    <w:rsid w:val="000F0D72"/>
    <w:rsid w:val="000F0EC7"/>
    <w:rsid w:val="000F1548"/>
    <w:rsid w:val="000F164D"/>
    <w:rsid w:val="000F1AA8"/>
    <w:rsid w:val="000F1BCA"/>
    <w:rsid w:val="000F1DCA"/>
    <w:rsid w:val="000F1F38"/>
    <w:rsid w:val="000F206A"/>
    <w:rsid w:val="000F2164"/>
    <w:rsid w:val="000F21C3"/>
    <w:rsid w:val="000F223A"/>
    <w:rsid w:val="000F22D7"/>
    <w:rsid w:val="000F23B0"/>
    <w:rsid w:val="000F2431"/>
    <w:rsid w:val="000F2C41"/>
    <w:rsid w:val="000F2C90"/>
    <w:rsid w:val="000F2F93"/>
    <w:rsid w:val="000F2FE4"/>
    <w:rsid w:val="000F36FA"/>
    <w:rsid w:val="000F37EB"/>
    <w:rsid w:val="000F455C"/>
    <w:rsid w:val="000F463B"/>
    <w:rsid w:val="000F5058"/>
    <w:rsid w:val="000F53E6"/>
    <w:rsid w:val="000F5499"/>
    <w:rsid w:val="000F54C6"/>
    <w:rsid w:val="000F5511"/>
    <w:rsid w:val="000F56DC"/>
    <w:rsid w:val="000F5747"/>
    <w:rsid w:val="000F58BB"/>
    <w:rsid w:val="000F59B2"/>
    <w:rsid w:val="000F5AB1"/>
    <w:rsid w:val="000F5C5E"/>
    <w:rsid w:val="000F602E"/>
    <w:rsid w:val="000F60FD"/>
    <w:rsid w:val="000F623E"/>
    <w:rsid w:val="000F65EF"/>
    <w:rsid w:val="000F6640"/>
    <w:rsid w:val="000F6845"/>
    <w:rsid w:val="000F6BE6"/>
    <w:rsid w:val="000F7168"/>
    <w:rsid w:val="000F71D5"/>
    <w:rsid w:val="000F73BA"/>
    <w:rsid w:val="000F756B"/>
    <w:rsid w:val="000F760A"/>
    <w:rsid w:val="000F7ABE"/>
    <w:rsid w:val="000F7EDA"/>
    <w:rsid w:val="0010043D"/>
    <w:rsid w:val="00100F9D"/>
    <w:rsid w:val="00101318"/>
    <w:rsid w:val="00101691"/>
    <w:rsid w:val="001019BD"/>
    <w:rsid w:val="00101C2C"/>
    <w:rsid w:val="00101DB7"/>
    <w:rsid w:val="00101FD1"/>
    <w:rsid w:val="001029E6"/>
    <w:rsid w:val="00102BC0"/>
    <w:rsid w:val="00102C31"/>
    <w:rsid w:val="00102E1D"/>
    <w:rsid w:val="00102EDC"/>
    <w:rsid w:val="001030FC"/>
    <w:rsid w:val="00103127"/>
    <w:rsid w:val="00103199"/>
    <w:rsid w:val="00103272"/>
    <w:rsid w:val="00103A9C"/>
    <w:rsid w:val="00103BEB"/>
    <w:rsid w:val="00103C72"/>
    <w:rsid w:val="00103C9F"/>
    <w:rsid w:val="00103F01"/>
    <w:rsid w:val="001047B6"/>
    <w:rsid w:val="0010489A"/>
    <w:rsid w:val="00104D4E"/>
    <w:rsid w:val="00104E0C"/>
    <w:rsid w:val="00105185"/>
    <w:rsid w:val="0010523E"/>
    <w:rsid w:val="0010526F"/>
    <w:rsid w:val="0010571B"/>
    <w:rsid w:val="0010577F"/>
    <w:rsid w:val="001058D1"/>
    <w:rsid w:val="001059D4"/>
    <w:rsid w:val="00105AAB"/>
    <w:rsid w:val="00105AF0"/>
    <w:rsid w:val="001064AD"/>
    <w:rsid w:val="0010656A"/>
    <w:rsid w:val="001066FF"/>
    <w:rsid w:val="00106745"/>
    <w:rsid w:val="001067FA"/>
    <w:rsid w:val="00106C55"/>
    <w:rsid w:val="001070F7"/>
    <w:rsid w:val="00107733"/>
    <w:rsid w:val="0010775A"/>
    <w:rsid w:val="001077C3"/>
    <w:rsid w:val="00107990"/>
    <w:rsid w:val="00107A7B"/>
    <w:rsid w:val="00107AD8"/>
    <w:rsid w:val="00107BF8"/>
    <w:rsid w:val="00107D46"/>
    <w:rsid w:val="00107E65"/>
    <w:rsid w:val="001102EE"/>
    <w:rsid w:val="0011043B"/>
    <w:rsid w:val="001104BB"/>
    <w:rsid w:val="001107D6"/>
    <w:rsid w:val="0011096C"/>
    <w:rsid w:val="001109FD"/>
    <w:rsid w:val="00110EC0"/>
    <w:rsid w:val="00110FE1"/>
    <w:rsid w:val="00111134"/>
    <w:rsid w:val="00111574"/>
    <w:rsid w:val="001115EB"/>
    <w:rsid w:val="0011173B"/>
    <w:rsid w:val="00111D1A"/>
    <w:rsid w:val="001122A6"/>
    <w:rsid w:val="00112431"/>
    <w:rsid w:val="001129FE"/>
    <w:rsid w:val="00112C92"/>
    <w:rsid w:val="00112CF6"/>
    <w:rsid w:val="00113135"/>
    <w:rsid w:val="0011316F"/>
    <w:rsid w:val="00113292"/>
    <w:rsid w:val="001138D4"/>
    <w:rsid w:val="00113B83"/>
    <w:rsid w:val="00113C10"/>
    <w:rsid w:val="00113D28"/>
    <w:rsid w:val="00113E2A"/>
    <w:rsid w:val="00114103"/>
    <w:rsid w:val="0011418D"/>
    <w:rsid w:val="0011424D"/>
    <w:rsid w:val="001145D7"/>
    <w:rsid w:val="00114970"/>
    <w:rsid w:val="0011498A"/>
    <w:rsid w:val="00114B34"/>
    <w:rsid w:val="00114BE9"/>
    <w:rsid w:val="00114C99"/>
    <w:rsid w:val="00114E1D"/>
    <w:rsid w:val="00114E63"/>
    <w:rsid w:val="00115200"/>
    <w:rsid w:val="0011614C"/>
    <w:rsid w:val="001161D9"/>
    <w:rsid w:val="001162D9"/>
    <w:rsid w:val="00116318"/>
    <w:rsid w:val="00116455"/>
    <w:rsid w:val="001165DD"/>
    <w:rsid w:val="00116AC7"/>
    <w:rsid w:val="00116C2F"/>
    <w:rsid w:val="00116F41"/>
    <w:rsid w:val="00116F75"/>
    <w:rsid w:val="00117D49"/>
    <w:rsid w:val="0012058C"/>
    <w:rsid w:val="001205A9"/>
    <w:rsid w:val="001205DD"/>
    <w:rsid w:val="00120AB4"/>
    <w:rsid w:val="00121064"/>
    <w:rsid w:val="001212F0"/>
    <w:rsid w:val="001213EB"/>
    <w:rsid w:val="001215DF"/>
    <w:rsid w:val="001215FA"/>
    <w:rsid w:val="00121865"/>
    <w:rsid w:val="00121F55"/>
    <w:rsid w:val="00121FBC"/>
    <w:rsid w:val="00122520"/>
    <w:rsid w:val="0012354E"/>
    <w:rsid w:val="001238DA"/>
    <w:rsid w:val="00123E65"/>
    <w:rsid w:val="00124069"/>
    <w:rsid w:val="0012425D"/>
    <w:rsid w:val="00124313"/>
    <w:rsid w:val="00124393"/>
    <w:rsid w:val="0012453E"/>
    <w:rsid w:val="00124671"/>
    <w:rsid w:val="00124AC7"/>
    <w:rsid w:val="00124B69"/>
    <w:rsid w:val="00124C34"/>
    <w:rsid w:val="00124C90"/>
    <w:rsid w:val="00125023"/>
    <w:rsid w:val="0012502F"/>
    <w:rsid w:val="001252FF"/>
    <w:rsid w:val="00125482"/>
    <w:rsid w:val="00125644"/>
    <w:rsid w:val="00125712"/>
    <w:rsid w:val="0012589A"/>
    <w:rsid w:val="00125A18"/>
    <w:rsid w:val="00125E17"/>
    <w:rsid w:val="001263F2"/>
    <w:rsid w:val="00126442"/>
    <w:rsid w:val="0012681D"/>
    <w:rsid w:val="00126CF9"/>
    <w:rsid w:val="00126DFE"/>
    <w:rsid w:val="00126FF7"/>
    <w:rsid w:val="00127023"/>
    <w:rsid w:val="00127524"/>
    <w:rsid w:val="001278CD"/>
    <w:rsid w:val="0012793B"/>
    <w:rsid w:val="00127E93"/>
    <w:rsid w:val="00127FF3"/>
    <w:rsid w:val="0013024D"/>
    <w:rsid w:val="00130567"/>
    <w:rsid w:val="00130838"/>
    <w:rsid w:val="001308AA"/>
    <w:rsid w:val="0013093D"/>
    <w:rsid w:val="001309B4"/>
    <w:rsid w:val="00130B5E"/>
    <w:rsid w:val="00130C89"/>
    <w:rsid w:val="00130CF8"/>
    <w:rsid w:val="00130EC1"/>
    <w:rsid w:val="00130FB8"/>
    <w:rsid w:val="00131183"/>
    <w:rsid w:val="001316E5"/>
    <w:rsid w:val="00131868"/>
    <w:rsid w:val="001319DE"/>
    <w:rsid w:val="00131C15"/>
    <w:rsid w:val="00131C34"/>
    <w:rsid w:val="00131EFA"/>
    <w:rsid w:val="00131F22"/>
    <w:rsid w:val="001320E2"/>
    <w:rsid w:val="0013219F"/>
    <w:rsid w:val="00132449"/>
    <w:rsid w:val="00132480"/>
    <w:rsid w:val="001325AF"/>
    <w:rsid w:val="00132C27"/>
    <w:rsid w:val="00132FAE"/>
    <w:rsid w:val="00133536"/>
    <w:rsid w:val="0013358A"/>
    <w:rsid w:val="00133626"/>
    <w:rsid w:val="001337CA"/>
    <w:rsid w:val="00133800"/>
    <w:rsid w:val="00133999"/>
    <w:rsid w:val="00133AF1"/>
    <w:rsid w:val="00133DE1"/>
    <w:rsid w:val="00133ED6"/>
    <w:rsid w:val="00133F5A"/>
    <w:rsid w:val="001348C2"/>
    <w:rsid w:val="00134E62"/>
    <w:rsid w:val="00134E79"/>
    <w:rsid w:val="00134ED8"/>
    <w:rsid w:val="0013514B"/>
    <w:rsid w:val="0013558A"/>
    <w:rsid w:val="00135905"/>
    <w:rsid w:val="00135D3D"/>
    <w:rsid w:val="0013637B"/>
    <w:rsid w:val="001363BC"/>
    <w:rsid w:val="0013650A"/>
    <w:rsid w:val="00136B87"/>
    <w:rsid w:val="00136B8B"/>
    <w:rsid w:val="001370FE"/>
    <w:rsid w:val="001371A0"/>
    <w:rsid w:val="001371FA"/>
    <w:rsid w:val="001372FE"/>
    <w:rsid w:val="00137392"/>
    <w:rsid w:val="001374A6"/>
    <w:rsid w:val="00137777"/>
    <w:rsid w:val="00137849"/>
    <w:rsid w:val="00137B8E"/>
    <w:rsid w:val="00137BD1"/>
    <w:rsid w:val="00137EF3"/>
    <w:rsid w:val="001400B4"/>
    <w:rsid w:val="0014060F"/>
    <w:rsid w:val="001408C2"/>
    <w:rsid w:val="00140B8F"/>
    <w:rsid w:val="00140D2B"/>
    <w:rsid w:val="00140EAF"/>
    <w:rsid w:val="00140FF9"/>
    <w:rsid w:val="0014101C"/>
    <w:rsid w:val="0014107D"/>
    <w:rsid w:val="00141150"/>
    <w:rsid w:val="0014115E"/>
    <w:rsid w:val="00141550"/>
    <w:rsid w:val="0014160D"/>
    <w:rsid w:val="001420A2"/>
    <w:rsid w:val="001421ED"/>
    <w:rsid w:val="00142378"/>
    <w:rsid w:val="00142986"/>
    <w:rsid w:val="00142A79"/>
    <w:rsid w:val="00142A80"/>
    <w:rsid w:val="001432DF"/>
    <w:rsid w:val="001439DC"/>
    <w:rsid w:val="00143BF9"/>
    <w:rsid w:val="00143C30"/>
    <w:rsid w:val="00143CFD"/>
    <w:rsid w:val="00143F88"/>
    <w:rsid w:val="0014405E"/>
    <w:rsid w:val="00144275"/>
    <w:rsid w:val="0014432F"/>
    <w:rsid w:val="001444F6"/>
    <w:rsid w:val="001447A0"/>
    <w:rsid w:val="001448CE"/>
    <w:rsid w:val="001449A3"/>
    <w:rsid w:val="00144C56"/>
    <w:rsid w:val="00144FE8"/>
    <w:rsid w:val="001451B2"/>
    <w:rsid w:val="00145407"/>
    <w:rsid w:val="0014557E"/>
    <w:rsid w:val="0014569D"/>
    <w:rsid w:val="00145A6F"/>
    <w:rsid w:val="00145D62"/>
    <w:rsid w:val="00145E4C"/>
    <w:rsid w:val="00145FED"/>
    <w:rsid w:val="001463DD"/>
    <w:rsid w:val="00146742"/>
    <w:rsid w:val="0014690B"/>
    <w:rsid w:val="00146A26"/>
    <w:rsid w:val="00146C36"/>
    <w:rsid w:val="001472BD"/>
    <w:rsid w:val="00147588"/>
    <w:rsid w:val="001477D7"/>
    <w:rsid w:val="00147ED3"/>
    <w:rsid w:val="00147F59"/>
    <w:rsid w:val="00147FB3"/>
    <w:rsid w:val="001501CC"/>
    <w:rsid w:val="00150214"/>
    <w:rsid w:val="0015034B"/>
    <w:rsid w:val="001504A4"/>
    <w:rsid w:val="00150741"/>
    <w:rsid w:val="001508AE"/>
    <w:rsid w:val="001509AC"/>
    <w:rsid w:val="00150B1F"/>
    <w:rsid w:val="00150C51"/>
    <w:rsid w:val="00150EE6"/>
    <w:rsid w:val="00151083"/>
    <w:rsid w:val="0015121F"/>
    <w:rsid w:val="00151C45"/>
    <w:rsid w:val="001520C5"/>
    <w:rsid w:val="00152359"/>
    <w:rsid w:val="001524FD"/>
    <w:rsid w:val="0015265B"/>
    <w:rsid w:val="00152921"/>
    <w:rsid w:val="00152A4B"/>
    <w:rsid w:val="00152A9D"/>
    <w:rsid w:val="00152B49"/>
    <w:rsid w:val="00152CE7"/>
    <w:rsid w:val="00152D98"/>
    <w:rsid w:val="00153180"/>
    <w:rsid w:val="0015318E"/>
    <w:rsid w:val="0015323B"/>
    <w:rsid w:val="0015333E"/>
    <w:rsid w:val="0015358F"/>
    <w:rsid w:val="001535B5"/>
    <w:rsid w:val="001536D2"/>
    <w:rsid w:val="00153876"/>
    <w:rsid w:val="001539DE"/>
    <w:rsid w:val="00153B51"/>
    <w:rsid w:val="00153F29"/>
    <w:rsid w:val="001540C4"/>
    <w:rsid w:val="0015417D"/>
    <w:rsid w:val="001541BB"/>
    <w:rsid w:val="00154A90"/>
    <w:rsid w:val="00154C5B"/>
    <w:rsid w:val="00154CAF"/>
    <w:rsid w:val="00154EE3"/>
    <w:rsid w:val="001550E1"/>
    <w:rsid w:val="00155117"/>
    <w:rsid w:val="00155240"/>
    <w:rsid w:val="001553A0"/>
    <w:rsid w:val="001553EE"/>
    <w:rsid w:val="0015586C"/>
    <w:rsid w:val="00155BEF"/>
    <w:rsid w:val="00155E63"/>
    <w:rsid w:val="00155E71"/>
    <w:rsid w:val="00156146"/>
    <w:rsid w:val="00156402"/>
    <w:rsid w:val="00156A21"/>
    <w:rsid w:val="00157003"/>
    <w:rsid w:val="00157107"/>
    <w:rsid w:val="001571DB"/>
    <w:rsid w:val="00157BB4"/>
    <w:rsid w:val="00157F04"/>
    <w:rsid w:val="00160184"/>
    <w:rsid w:val="001601A6"/>
    <w:rsid w:val="001602CB"/>
    <w:rsid w:val="00160819"/>
    <w:rsid w:val="00161485"/>
    <w:rsid w:val="001619C1"/>
    <w:rsid w:val="00161CD8"/>
    <w:rsid w:val="00161D1E"/>
    <w:rsid w:val="001620E7"/>
    <w:rsid w:val="0016233E"/>
    <w:rsid w:val="001624AB"/>
    <w:rsid w:val="00162568"/>
    <w:rsid w:val="001625D2"/>
    <w:rsid w:val="00162916"/>
    <w:rsid w:val="001629A1"/>
    <w:rsid w:val="00162B5E"/>
    <w:rsid w:val="00162DE3"/>
    <w:rsid w:val="00162F54"/>
    <w:rsid w:val="0016310F"/>
    <w:rsid w:val="00163379"/>
    <w:rsid w:val="0016354E"/>
    <w:rsid w:val="001637C7"/>
    <w:rsid w:val="001638DE"/>
    <w:rsid w:val="00163911"/>
    <w:rsid w:val="00163913"/>
    <w:rsid w:val="0016394C"/>
    <w:rsid w:val="00163ACC"/>
    <w:rsid w:val="00163C41"/>
    <w:rsid w:val="00163DB3"/>
    <w:rsid w:val="0016440B"/>
    <w:rsid w:val="001646E5"/>
    <w:rsid w:val="0016482B"/>
    <w:rsid w:val="001648F5"/>
    <w:rsid w:val="00164B32"/>
    <w:rsid w:val="00164BA1"/>
    <w:rsid w:val="001650D7"/>
    <w:rsid w:val="001650F0"/>
    <w:rsid w:val="001653F9"/>
    <w:rsid w:val="00165913"/>
    <w:rsid w:val="00165980"/>
    <w:rsid w:val="00165AEC"/>
    <w:rsid w:val="00165CEF"/>
    <w:rsid w:val="00165E52"/>
    <w:rsid w:val="0016600C"/>
    <w:rsid w:val="0016608E"/>
    <w:rsid w:val="0016633D"/>
    <w:rsid w:val="00166360"/>
    <w:rsid w:val="00166508"/>
    <w:rsid w:val="001669EC"/>
    <w:rsid w:val="00166C14"/>
    <w:rsid w:val="00166DDC"/>
    <w:rsid w:val="00166EA3"/>
    <w:rsid w:val="00166F5E"/>
    <w:rsid w:val="001670AB"/>
    <w:rsid w:val="00167160"/>
    <w:rsid w:val="001674D2"/>
    <w:rsid w:val="001677B1"/>
    <w:rsid w:val="001679AB"/>
    <w:rsid w:val="00167A5F"/>
    <w:rsid w:val="00167DE5"/>
    <w:rsid w:val="00167EBB"/>
    <w:rsid w:val="00170272"/>
    <w:rsid w:val="001702A3"/>
    <w:rsid w:val="00170423"/>
    <w:rsid w:val="0017081C"/>
    <w:rsid w:val="001709BC"/>
    <w:rsid w:val="00170A3B"/>
    <w:rsid w:val="00170AF4"/>
    <w:rsid w:val="00170D76"/>
    <w:rsid w:val="00170F77"/>
    <w:rsid w:val="001711D0"/>
    <w:rsid w:val="00171726"/>
    <w:rsid w:val="00171800"/>
    <w:rsid w:val="0017181A"/>
    <w:rsid w:val="00171B04"/>
    <w:rsid w:val="00171C91"/>
    <w:rsid w:val="00171FE8"/>
    <w:rsid w:val="00172206"/>
    <w:rsid w:val="001722EF"/>
    <w:rsid w:val="0017272C"/>
    <w:rsid w:val="00172AC8"/>
    <w:rsid w:val="00173103"/>
    <w:rsid w:val="001732F7"/>
    <w:rsid w:val="00173340"/>
    <w:rsid w:val="00173522"/>
    <w:rsid w:val="00173CB1"/>
    <w:rsid w:val="001746E2"/>
    <w:rsid w:val="0017477F"/>
    <w:rsid w:val="001750E7"/>
    <w:rsid w:val="001752B4"/>
    <w:rsid w:val="0017554B"/>
    <w:rsid w:val="001758E9"/>
    <w:rsid w:val="00175908"/>
    <w:rsid w:val="00175CA1"/>
    <w:rsid w:val="001761E0"/>
    <w:rsid w:val="0017637E"/>
    <w:rsid w:val="00176552"/>
    <w:rsid w:val="00176576"/>
    <w:rsid w:val="00177562"/>
    <w:rsid w:val="001778A0"/>
    <w:rsid w:val="00177F25"/>
    <w:rsid w:val="00177F40"/>
    <w:rsid w:val="00177FD5"/>
    <w:rsid w:val="0018004A"/>
    <w:rsid w:val="00180A31"/>
    <w:rsid w:val="00180DD9"/>
    <w:rsid w:val="0018108D"/>
    <w:rsid w:val="00181103"/>
    <w:rsid w:val="0018115C"/>
    <w:rsid w:val="001813C1"/>
    <w:rsid w:val="001813CF"/>
    <w:rsid w:val="001814B2"/>
    <w:rsid w:val="00181DCE"/>
    <w:rsid w:val="00181FA6"/>
    <w:rsid w:val="0018218E"/>
    <w:rsid w:val="001826C1"/>
    <w:rsid w:val="001826F5"/>
    <w:rsid w:val="00182920"/>
    <w:rsid w:val="00182B1C"/>
    <w:rsid w:val="00182B2D"/>
    <w:rsid w:val="00182ECB"/>
    <w:rsid w:val="00183329"/>
    <w:rsid w:val="00183559"/>
    <w:rsid w:val="001835B7"/>
    <w:rsid w:val="00183723"/>
    <w:rsid w:val="0018373C"/>
    <w:rsid w:val="00183837"/>
    <w:rsid w:val="00183B87"/>
    <w:rsid w:val="0018462F"/>
    <w:rsid w:val="00184888"/>
    <w:rsid w:val="00184898"/>
    <w:rsid w:val="001849BC"/>
    <w:rsid w:val="00184A9D"/>
    <w:rsid w:val="00184E6B"/>
    <w:rsid w:val="00184EC8"/>
    <w:rsid w:val="00184F7C"/>
    <w:rsid w:val="0018517A"/>
    <w:rsid w:val="0018575A"/>
    <w:rsid w:val="00185972"/>
    <w:rsid w:val="00185E5E"/>
    <w:rsid w:val="00185F51"/>
    <w:rsid w:val="0018606F"/>
    <w:rsid w:val="00186079"/>
    <w:rsid w:val="001860B8"/>
    <w:rsid w:val="00186370"/>
    <w:rsid w:val="00186644"/>
    <w:rsid w:val="001866C7"/>
    <w:rsid w:val="00186806"/>
    <w:rsid w:val="001869C5"/>
    <w:rsid w:val="001872B6"/>
    <w:rsid w:val="001873BD"/>
    <w:rsid w:val="0018790F"/>
    <w:rsid w:val="00187AC9"/>
    <w:rsid w:val="00187CE5"/>
    <w:rsid w:val="00187CFA"/>
    <w:rsid w:val="00187DC3"/>
    <w:rsid w:val="00187E97"/>
    <w:rsid w:val="00187EA7"/>
    <w:rsid w:val="001908CE"/>
    <w:rsid w:val="0019090B"/>
    <w:rsid w:val="0019094B"/>
    <w:rsid w:val="00190AE9"/>
    <w:rsid w:val="001910C7"/>
    <w:rsid w:val="0019136F"/>
    <w:rsid w:val="001915D2"/>
    <w:rsid w:val="001915FA"/>
    <w:rsid w:val="001917F3"/>
    <w:rsid w:val="00191AA3"/>
    <w:rsid w:val="001927B7"/>
    <w:rsid w:val="00192E2C"/>
    <w:rsid w:val="00193517"/>
    <w:rsid w:val="001936E4"/>
    <w:rsid w:val="00193729"/>
    <w:rsid w:val="00193965"/>
    <w:rsid w:val="00193C5F"/>
    <w:rsid w:val="00193FD2"/>
    <w:rsid w:val="0019404B"/>
    <w:rsid w:val="001940E6"/>
    <w:rsid w:val="00194163"/>
    <w:rsid w:val="00194624"/>
    <w:rsid w:val="001946A8"/>
    <w:rsid w:val="001947C5"/>
    <w:rsid w:val="00194943"/>
    <w:rsid w:val="00194F53"/>
    <w:rsid w:val="001951DD"/>
    <w:rsid w:val="0019572D"/>
    <w:rsid w:val="001957DA"/>
    <w:rsid w:val="00195B49"/>
    <w:rsid w:val="00195B75"/>
    <w:rsid w:val="00195C39"/>
    <w:rsid w:val="00195FB6"/>
    <w:rsid w:val="00195FDF"/>
    <w:rsid w:val="001961B1"/>
    <w:rsid w:val="001961F4"/>
    <w:rsid w:val="001962B7"/>
    <w:rsid w:val="00196807"/>
    <w:rsid w:val="001969C6"/>
    <w:rsid w:val="00196A63"/>
    <w:rsid w:val="0019701F"/>
    <w:rsid w:val="001973F4"/>
    <w:rsid w:val="0019747B"/>
    <w:rsid w:val="00197A1B"/>
    <w:rsid w:val="00197BD9"/>
    <w:rsid w:val="00197DCE"/>
    <w:rsid w:val="00197DDE"/>
    <w:rsid w:val="00197E59"/>
    <w:rsid w:val="00197F0B"/>
    <w:rsid w:val="00197FD9"/>
    <w:rsid w:val="001A076D"/>
    <w:rsid w:val="001A0CA9"/>
    <w:rsid w:val="001A0DAE"/>
    <w:rsid w:val="001A0E0B"/>
    <w:rsid w:val="001A0ED0"/>
    <w:rsid w:val="001A0FB9"/>
    <w:rsid w:val="001A1824"/>
    <w:rsid w:val="001A1831"/>
    <w:rsid w:val="001A1CC9"/>
    <w:rsid w:val="001A1D22"/>
    <w:rsid w:val="001A2326"/>
    <w:rsid w:val="001A2465"/>
    <w:rsid w:val="001A2778"/>
    <w:rsid w:val="001A279F"/>
    <w:rsid w:val="001A27BF"/>
    <w:rsid w:val="001A286C"/>
    <w:rsid w:val="001A2B05"/>
    <w:rsid w:val="001A3306"/>
    <w:rsid w:val="001A35A8"/>
    <w:rsid w:val="001A3843"/>
    <w:rsid w:val="001A3967"/>
    <w:rsid w:val="001A3A61"/>
    <w:rsid w:val="001A3ACD"/>
    <w:rsid w:val="001A3D75"/>
    <w:rsid w:val="001A3E44"/>
    <w:rsid w:val="001A409E"/>
    <w:rsid w:val="001A41CE"/>
    <w:rsid w:val="001A4A6E"/>
    <w:rsid w:val="001A4C71"/>
    <w:rsid w:val="001A520C"/>
    <w:rsid w:val="001A5224"/>
    <w:rsid w:val="001A523B"/>
    <w:rsid w:val="001A5314"/>
    <w:rsid w:val="001A56DD"/>
    <w:rsid w:val="001A5977"/>
    <w:rsid w:val="001A5CB9"/>
    <w:rsid w:val="001A5E24"/>
    <w:rsid w:val="001A5F34"/>
    <w:rsid w:val="001A5FFA"/>
    <w:rsid w:val="001A6249"/>
    <w:rsid w:val="001A626A"/>
    <w:rsid w:val="001A64BB"/>
    <w:rsid w:val="001A6514"/>
    <w:rsid w:val="001A677B"/>
    <w:rsid w:val="001A6C2C"/>
    <w:rsid w:val="001A7115"/>
    <w:rsid w:val="001A7225"/>
    <w:rsid w:val="001A748A"/>
    <w:rsid w:val="001A756E"/>
    <w:rsid w:val="001A7C94"/>
    <w:rsid w:val="001A7EA5"/>
    <w:rsid w:val="001B01F3"/>
    <w:rsid w:val="001B088F"/>
    <w:rsid w:val="001B0901"/>
    <w:rsid w:val="001B0C3F"/>
    <w:rsid w:val="001B0C80"/>
    <w:rsid w:val="001B0EE3"/>
    <w:rsid w:val="001B108C"/>
    <w:rsid w:val="001B12CD"/>
    <w:rsid w:val="001B16A5"/>
    <w:rsid w:val="001B19B5"/>
    <w:rsid w:val="001B19D4"/>
    <w:rsid w:val="001B1A8E"/>
    <w:rsid w:val="001B1A9E"/>
    <w:rsid w:val="001B2222"/>
    <w:rsid w:val="001B23B9"/>
    <w:rsid w:val="001B26A6"/>
    <w:rsid w:val="001B2774"/>
    <w:rsid w:val="001B2E52"/>
    <w:rsid w:val="001B327F"/>
    <w:rsid w:val="001B32A3"/>
    <w:rsid w:val="001B3311"/>
    <w:rsid w:val="001B3357"/>
    <w:rsid w:val="001B33A5"/>
    <w:rsid w:val="001B33A8"/>
    <w:rsid w:val="001B3427"/>
    <w:rsid w:val="001B3779"/>
    <w:rsid w:val="001B3EAE"/>
    <w:rsid w:val="001B40ED"/>
    <w:rsid w:val="001B44AF"/>
    <w:rsid w:val="001B4871"/>
    <w:rsid w:val="001B4FAD"/>
    <w:rsid w:val="001B54B3"/>
    <w:rsid w:val="001B5EE3"/>
    <w:rsid w:val="001B60B9"/>
    <w:rsid w:val="001B62F4"/>
    <w:rsid w:val="001B63BF"/>
    <w:rsid w:val="001B6498"/>
    <w:rsid w:val="001B64CA"/>
    <w:rsid w:val="001B664D"/>
    <w:rsid w:val="001B6DC9"/>
    <w:rsid w:val="001B6FA7"/>
    <w:rsid w:val="001B6FC4"/>
    <w:rsid w:val="001B763A"/>
    <w:rsid w:val="001B76E1"/>
    <w:rsid w:val="001B7B0E"/>
    <w:rsid w:val="001B7B18"/>
    <w:rsid w:val="001B7BA0"/>
    <w:rsid w:val="001B7E55"/>
    <w:rsid w:val="001C0000"/>
    <w:rsid w:val="001C0017"/>
    <w:rsid w:val="001C014A"/>
    <w:rsid w:val="001C01D1"/>
    <w:rsid w:val="001C050D"/>
    <w:rsid w:val="001C0558"/>
    <w:rsid w:val="001C0892"/>
    <w:rsid w:val="001C0A2F"/>
    <w:rsid w:val="001C0BFB"/>
    <w:rsid w:val="001C117E"/>
    <w:rsid w:val="001C120B"/>
    <w:rsid w:val="001C1299"/>
    <w:rsid w:val="001C12DB"/>
    <w:rsid w:val="001C1418"/>
    <w:rsid w:val="001C1672"/>
    <w:rsid w:val="001C1752"/>
    <w:rsid w:val="001C1836"/>
    <w:rsid w:val="001C2014"/>
    <w:rsid w:val="001C2CCA"/>
    <w:rsid w:val="001C346A"/>
    <w:rsid w:val="001C3532"/>
    <w:rsid w:val="001C378D"/>
    <w:rsid w:val="001C38BF"/>
    <w:rsid w:val="001C3C27"/>
    <w:rsid w:val="001C3D0C"/>
    <w:rsid w:val="001C3F0E"/>
    <w:rsid w:val="001C3FEE"/>
    <w:rsid w:val="001C40AB"/>
    <w:rsid w:val="001C40DC"/>
    <w:rsid w:val="001C41E4"/>
    <w:rsid w:val="001C42D5"/>
    <w:rsid w:val="001C42DA"/>
    <w:rsid w:val="001C457E"/>
    <w:rsid w:val="001C481D"/>
    <w:rsid w:val="001C4954"/>
    <w:rsid w:val="001C501C"/>
    <w:rsid w:val="001C50BF"/>
    <w:rsid w:val="001C548B"/>
    <w:rsid w:val="001C54E4"/>
    <w:rsid w:val="001C5556"/>
    <w:rsid w:val="001C5594"/>
    <w:rsid w:val="001C573B"/>
    <w:rsid w:val="001C5B96"/>
    <w:rsid w:val="001C5ED2"/>
    <w:rsid w:val="001C6706"/>
    <w:rsid w:val="001C6E13"/>
    <w:rsid w:val="001C6F3A"/>
    <w:rsid w:val="001C7227"/>
    <w:rsid w:val="001C72BE"/>
    <w:rsid w:val="001C73D9"/>
    <w:rsid w:val="001C7621"/>
    <w:rsid w:val="001C77BD"/>
    <w:rsid w:val="001C7983"/>
    <w:rsid w:val="001C7A5D"/>
    <w:rsid w:val="001C7B17"/>
    <w:rsid w:val="001C7BCB"/>
    <w:rsid w:val="001C7CA0"/>
    <w:rsid w:val="001D02C3"/>
    <w:rsid w:val="001D0478"/>
    <w:rsid w:val="001D08FD"/>
    <w:rsid w:val="001D094B"/>
    <w:rsid w:val="001D0B03"/>
    <w:rsid w:val="001D1109"/>
    <w:rsid w:val="001D1362"/>
    <w:rsid w:val="001D1870"/>
    <w:rsid w:val="001D1D2B"/>
    <w:rsid w:val="001D2529"/>
    <w:rsid w:val="001D2702"/>
    <w:rsid w:val="001D2931"/>
    <w:rsid w:val="001D2C21"/>
    <w:rsid w:val="001D2D5A"/>
    <w:rsid w:val="001D35A4"/>
    <w:rsid w:val="001D3F38"/>
    <w:rsid w:val="001D4160"/>
    <w:rsid w:val="001D44D0"/>
    <w:rsid w:val="001D4516"/>
    <w:rsid w:val="001D457F"/>
    <w:rsid w:val="001D46C9"/>
    <w:rsid w:val="001D4CE9"/>
    <w:rsid w:val="001D4E83"/>
    <w:rsid w:val="001D503B"/>
    <w:rsid w:val="001D51F1"/>
    <w:rsid w:val="001D5311"/>
    <w:rsid w:val="001D548E"/>
    <w:rsid w:val="001D5554"/>
    <w:rsid w:val="001D556F"/>
    <w:rsid w:val="001D563B"/>
    <w:rsid w:val="001D5763"/>
    <w:rsid w:val="001D5B70"/>
    <w:rsid w:val="001D5E50"/>
    <w:rsid w:val="001D6050"/>
    <w:rsid w:val="001D609A"/>
    <w:rsid w:val="001D6149"/>
    <w:rsid w:val="001D65DC"/>
    <w:rsid w:val="001D67F2"/>
    <w:rsid w:val="001D69DA"/>
    <w:rsid w:val="001D6A1B"/>
    <w:rsid w:val="001D6B46"/>
    <w:rsid w:val="001D6E54"/>
    <w:rsid w:val="001D6FC9"/>
    <w:rsid w:val="001D70E0"/>
    <w:rsid w:val="001D7344"/>
    <w:rsid w:val="001D760D"/>
    <w:rsid w:val="001D776F"/>
    <w:rsid w:val="001D77BE"/>
    <w:rsid w:val="001D7A87"/>
    <w:rsid w:val="001D7D1E"/>
    <w:rsid w:val="001D7DF3"/>
    <w:rsid w:val="001D7FB0"/>
    <w:rsid w:val="001E06D0"/>
    <w:rsid w:val="001E09F3"/>
    <w:rsid w:val="001E183C"/>
    <w:rsid w:val="001E1A77"/>
    <w:rsid w:val="001E20EF"/>
    <w:rsid w:val="001E2487"/>
    <w:rsid w:val="001E2829"/>
    <w:rsid w:val="001E295F"/>
    <w:rsid w:val="001E2965"/>
    <w:rsid w:val="001E2988"/>
    <w:rsid w:val="001E29EC"/>
    <w:rsid w:val="001E2A58"/>
    <w:rsid w:val="001E2BEB"/>
    <w:rsid w:val="001E2E32"/>
    <w:rsid w:val="001E3018"/>
    <w:rsid w:val="001E3900"/>
    <w:rsid w:val="001E3995"/>
    <w:rsid w:val="001E3A78"/>
    <w:rsid w:val="001E3AEE"/>
    <w:rsid w:val="001E3CE8"/>
    <w:rsid w:val="001E3DD6"/>
    <w:rsid w:val="001E40E4"/>
    <w:rsid w:val="001E426E"/>
    <w:rsid w:val="001E439E"/>
    <w:rsid w:val="001E43AA"/>
    <w:rsid w:val="001E4849"/>
    <w:rsid w:val="001E4945"/>
    <w:rsid w:val="001E4BB8"/>
    <w:rsid w:val="001E4E9D"/>
    <w:rsid w:val="001E4EB2"/>
    <w:rsid w:val="001E5052"/>
    <w:rsid w:val="001E5387"/>
    <w:rsid w:val="001E5443"/>
    <w:rsid w:val="001E545F"/>
    <w:rsid w:val="001E55B1"/>
    <w:rsid w:val="001E55C3"/>
    <w:rsid w:val="001E575E"/>
    <w:rsid w:val="001E5D40"/>
    <w:rsid w:val="001E5E32"/>
    <w:rsid w:val="001E668F"/>
    <w:rsid w:val="001E6965"/>
    <w:rsid w:val="001E6BBF"/>
    <w:rsid w:val="001E6C12"/>
    <w:rsid w:val="001E6CE9"/>
    <w:rsid w:val="001E6D55"/>
    <w:rsid w:val="001E6E51"/>
    <w:rsid w:val="001E6F29"/>
    <w:rsid w:val="001E70F2"/>
    <w:rsid w:val="001E7117"/>
    <w:rsid w:val="001E7165"/>
    <w:rsid w:val="001E748C"/>
    <w:rsid w:val="001E75C6"/>
    <w:rsid w:val="001E7642"/>
    <w:rsid w:val="001E77E2"/>
    <w:rsid w:val="001E7A2F"/>
    <w:rsid w:val="001F0393"/>
    <w:rsid w:val="001F04C7"/>
    <w:rsid w:val="001F093D"/>
    <w:rsid w:val="001F09AA"/>
    <w:rsid w:val="001F1042"/>
    <w:rsid w:val="001F118E"/>
    <w:rsid w:val="001F124A"/>
    <w:rsid w:val="001F144D"/>
    <w:rsid w:val="001F145C"/>
    <w:rsid w:val="001F2074"/>
    <w:rsid w:val="001F21AF"/>
    <w:rsid w:val="001F291E"/>
    <w:rsid w:val="001F2EA7"/>
    <w:rsid w:val="001F310A"/>
    <w:rsid w:val="001F364F"/>
    <w:rsid w:val="001F37F7"/>
    <w:rsid w:val="001F3D2B"/>
    <w:rsid w:val="001F3E33"/>
    <w:rsid w:val="001F3E6D"/>
    <w:rsid w:val="001F3EB3"/>
    <w:rsid w:val="001F4275"/>
    <w:rsid w:val="001F442D"/>
    <w:rsid w:val="001F4610"/>
    <w:rsid w:val="001F49B8"/>
    <w:rsid w:val="001F4E1B"/>
    <w:rsid w:val="001F505B"/>
    <w:rsid w:val="001F50D1"/>
    <w:rsid w:val="001F6A15"/>
    <w:rsid w:val="001F6ABC"/>
    <w:rsid w:val="001F6D89"/>
    <w:rsid w:val="001F6E72"/>
    <w:rsid w:val="001F7C90"/>
    <w:rsid w:val="001F7F9F"/>
    <w:rsid w:val="00200149"/>
    <w:rsid w:val="00200258"/>
    <w:rsid w:val="00200311"/>
    <w:rsid w:val="00200469"/>
    <w:rsid w:val="00200595"/>
    <w:rsid w:val="00200F7E"/>
    <w:rsid w:val="00201055"/>
    <w:rsid w:val="002010D2"/>
    <w:rsid w:val="0020128B"/>
    <w:rsid w:val="0020136A"/>
    <w:rsid w:val="002019A6"/>
    <w:rsid w:val="002019EC"/>
    <w:rsid w:val="00201AF6"/>
    <w:rsid w:val="002021FD"/>
    <w:rsid w:val="002025E3"/>
    <w:rsid w:val="00202C48"/>
    <w:rsid w:val="00202DED"/>
    <w:rsid w:val="00203506"/>
    <w:rsid w:val="00203567"/>
    <w:rsid w:val="0020396C"/>
    <w:rsid w:val="00203D46"/>
    <w:rsid w:val="00203F6B"/>
    <w:rsid w:val="00203FC5"/>
    <w:rsid w:val="002042A5"/>
    <w:rsid w:val="0020450F"/>
    <w:rsid w:val="00204543"/>
    <w:rsid w:val="0020472D"/>
    <w:rsid w:val="002047C3"/>
    <w:rsid w:val="00204C14"/>
    <w:rsid w:val="0020501B"/>
    <w:rsid w:val="002052D2"/>
    <w:rsid w:val="002056B0"/>
    <w:rsid w:val="002058F7"/>
    <w:rsid w:val="00205D31"/>
    <w:rsid w:val="00205F65"/>
    <w:rsid w:val="00205FA1"/>
    <w:rsid w:val="00206019"/>
    <w:rsid w:val="00206170"/>
    <w:rsid w:val="002062DC"/>
    <w:rsid w:val="00206485"/>
    <w:rsid w:val="00206A7F"/>
    <w:rsid w:val="00206A80"/>
    <w:rsid w:val="00206B97"/>
    <w:rsid w:val="00206B99"/>
    <w:rsid w:val="00206C2E"/>
    <w:rsid w:val="00206E50"/>
    <w:rsid w:val="00206E6C"/>
    <w:rsid w:val="00206EA8"/>
    <w:rsid w:val="002071AD"/>
    <w:rsid w:val="0020725A"/>
    <w:rsid w:val="0020742D"/>
    <w:rsid w:val="002078B4"/>
    <w:rsid w:val="00207A49"/>
    <w:rsid w:val="00207BCB"/>
    <w:rsid w:val="00207D18"/>
    <w:rsid w:val="00210079"/>
    <w:rsid w:val="00210440"/>
    <w:rsid w:val="002104AB"/>
    <w:rsid w:val="002104DA"/>
    <w:rsid w:val="00210B39"/>
    <w:rsid w:val="0021109E"/>
    <w:rsid w:val="002111AB"/>
    <w:rsid w:val="0021142A"/>
    <w:rsid w:val="002114C1"/>
    <w:rsid w:val="0021168B"/>
    <w:rsid w:val="0021199A"/>
    <w:rsid w:val="002119A5"/>
    <w:rsid w:val="00211C49"/>
    <w:rsid w:val="00212227"/>
    <w:rsid w:val="002122EE"/>
    <w:rsid w:val="00212342"/>
    <w:rsid w:val="00212B0B"/>
    <w:rsid w:val="00212BDB"/>
    <w:rsid w:val="00212DF9"/>
    <w:rsid w:val="00212E78"/>
    <w:rsid w:val="00213226"/>
    <w:rsid w:val="00213332"/>
    <w:rsid w:val="002139EA"/>
    <w:rsid w:val="0021412E"/>
    <w:rsid w:val="0021426F"/>
    <w:rsid w:val="00214647"/>
    <w:rsid w:val="00214913"/>
    <w:rsid w:val="002149A4"/>
    <w:rsid w:val="00215B40"/>
    <w:rsid w:val="00215B67"/>
    <w:rsid w:val="00215B76"/>
    <w:rsid w:val="00215F05"/>
    <w:rsid w:val="00215F65"/>
    <w:rsid w:val="0021628D"/>
    <w:rsid w:val="002163C2"/>
    <w:rsid w:val="0021660E"/>
    <w:rsid w:val="002169EA"/>
    <w:rsid w:val="00216D1E"/>
    <w:rsid w:val="00216D8E"/>
    <w:rsid w:val="00216F33"/>
    <w:rsid w:val="00216FE8"/>
    <w:rsid w:val="00217543"/>
    <w:rsid w:val="0021771D"/>
    <w:rsid w:val="002177C4"/>
    <w:rsid w:val="00217C50"/>
    <w:rsid w:val="00217DFB"/>
    <w:rsid w:val="0022002B"/>
    <w:rsid w:val="00220125"/>
    <w:rsid w:val="0022042A"/>
    <w:rsid w:val="00220A1D"/>
    <w:rsid w:val="00220B60"/>
    <w:rsid w:val="00220BE0"/>
    <w:rsid w:val="00220C03"/>
    <w:rsid w:val="00220F68"/>
    <w:rsid w:val="0022114F"/>
    <w:rsid w:val="0022127D"/>
    <w:rsid w:val="002213AB"/>
    <w:rsid w:val="00221536"/>
    <w:rsid w:val="00221BEA"/>
    <w:rsid w:val="00221CA5"/>
    <w:rsid w:val="00221CE6"/>
    <w:rsid w:val="00222093"/>
    <w:rsid w:val="00222582"/>
    <w:rsid w:val="002227BD"/>
    <w:rsid w:val="00222B88"/>
    <w:rsid w:val="00222CD5"/>
    <w:rsid w:val="00222CF0"/>
    <w:rsid w:val="00222F9A"/>
    <w:rsid w:val="00223264"/>
    <w:rsid w:val="00223580"/>
    <w:rsid w:val="002240E9"/>
    <w:rsid w:val="002241FD"/>
    <w:rsid w:val="00224285"/>
    <w:rsid w:val="00224CE8"/>
    <w:rsid w:val="002251DA"/>
    <w:rsid w:val="00225259"/>
    <w:rsid w:val="002254EC"/>
    <w:rsid w:val="002254FE"/>
    <w:rsid w:val="0022556B"/>
    <w:rsid w:val="00225691"/>
    <w:rsid w:val="002256AE"/>
    <w:rsid w:val="0022589B"/>
    <w:rsid w:val="002258E0"/>
    <w:rsid w:val="00225C5F"/>
    <w:rsid w:val="00225CFD"/>
    <w:rsid w:val="00225ECF"/>
    <w:rsid w:val="00226005"/>
    <w:rsid w:val="002261C4"/>
    <w:rsid w:val="00226250"/>
    <w:rsid w:val="002265A2"/>
    <w:rsid w:val="002268D0"/>
    <w:rsid w:val="00226988"/>
    <w:rsid w:val="002269A5"/>
    <w:rsid w:val="00226D10"/>
    <w:rsid w:val="0022707E"/>
    <w:rsid w:val="002270C5"/>
    <w:rsid w:val="002272E3"/>
    <w:rsid w:val="00227377"/>
    <w:rsid w:val="0022744A"/>
    <w:rsid w:val="002274D3"/>
    <w:rsid w:val="00227750"/>
    <w:rsid w:val="002277D1"/>
    <w:rsid w:val="00227A46"/>
    <w:rsid w:val="00230B4C"/>
    <w:rsid w:val="0023130D"/>
    <w:rsid w:val="00231355"/>
    <w:rsid w:val="00231864"/>
    <w:rsid w:val="00231954"/>
    <w:rsid w:val="00231A12"/>
    <w:rsid w:val="002324C4"/>
    <w:rsid w:val="002325E3"/>
    <w:rsid w:val="00232814"/>
    <w:rsid w:val="00232C05"/>
    <w:rsid w:val="00232DDA"/>
    <w:rsid w:val="002331C7"/>
    <w:rsid w:val="002332BE"/>
    <w:rsid w:val="00233609"/>
    <w:rsid w:val="00233782"/>
    <w:rsid w:val="00233FA8"/>
    <w:rsid w:val="002344B0"/>
    <w:rsid w:val="00234731"/>
    <w:rsid w:val="002349F1"/>
    <w:rsid w:val="00234A29"/>
    <w:rsid w:val="002350A9"/>
    <w:rsid w:val="002354E2"/>
    <w:rsid w:val="0023568B"/>
    <w:rsid w:val="00235945"/>
    <w:rsid w:val="00235E7D"/>
    <w:rsid w:val="00235EA5"/>
    <w:rsid w:val="00236176"/>
    <w:rsid w:val="00236A40"/>
    <w:rsid w:val="00236B88"/>
    <w:rsid w:val="00237635"/>
    <w:rsid w:val="00237652"/>
    <w:rsid w:val="0023785D"/>
    <w:rsid w:val="0023789E"/>
    <w:rsid w:val="00237BA2"/>
    <w:rsid w:val="00237C37"/>
    <w:rsid w:val="00237E47"/>
    <w:rsid w:val="00237FCC"/>
    <w:rsid w:val="00240141"/>
    <w:rsid w:val="00240228"/>
    <w:rsid w:val="00240929"/>
    <w:rsid w:val="002409A9"/>
    <w:rsid w:val="00240EF3"/>
    <w:rsid w:val="00241216"/>
    <w:rsid w:val="00241331"/>
    <w:rsid w:val="0024134D"/>
    <w:rsid w:val="00241356"/>
    <w:rsid w:val="0024154E"/>
    <w:rsid w:val="002415D3"/>
    <w:rsid w:val="0024172D"/>
    <w:rsid w:val="00241B15"/>
    <w:rsid w:val="0024268E"/>
    <w:rsid w:val="00242866"/>
    <w:rsid w:val="00242889"/>
    <w:rsid w:val="00242C57"/>
    <w:rsid w:val="00242D0E"/>
    <w:rsid w:val="00243043"/>
    <w:rsid w:val="00243484"/>
    <w:rsid w:val="002434E1"/>
    <w:rsid w:val="002434E3"/>
    <w:rsid w:val="00243A13"/>
    <w:rsid w:val="00243B1D"/>
    <w:rsid w:val="00243BD7"/>
    <w:rsid w:val="00244082"/>
    <w:rsid w:val="002442F1"/>
    <w:rsid w:val="002445F9"/>
    <w:rsid w:val="002446F2"/>
    <w:rsid w:val="00244729"/>
    <w:rsid w:val="00244A9B"/>
    <w:rsid w:val="00244AFD"/>
    <w:rsid w:val="0024505F"/>
    <w:rsid w:val="00245225"/>
    <w:rsid w:val="002452CA"/>
    <w:rsid w:val="00245920"/>
    <w:rsid w:val="00245922"/>
    <w:rsid w:val="00245AF5"/>
    <w:rsid w:val="00245D5F"/>
    <w:rsid w:val="00245DFF"/>
    <w:rsid w:val="00245F9E"/>
    <w:rsid w:val="00246315"/>
    <w:rsid w:val="002466BF"/>
    <w:rsid w:val="00247043"/>
    <w:rsid w:val="002471D8"/>
    <w:rsid w:val="0024787D"/>
    <w:rsid w:val="002479CF"/>
    <w:rsid w:val="00247A83"/>
    <w:rsid w:val="00247E82"/>
    <w:rsid w:val="00250893"/>
    <w:rsid w:val="00250C47"/>
    <w:rsid w:val="00251080"/>
    <w:rsid w:val="00251129"/>
    <w:rsid w:val="0025118F"/>
    <w:rsid w:val="0025122A"/>
    <w:rsid w:val="00251270"/>
    <w:rsid w:val="002513DD"/>
    <w:rsid w:val="0025156A"/>
    <w:rsid w:val="002517F9"/>
    <w:rsid w:val="0025196A"/>
    <w:rsid w:val="00251BB9"/>
    <w:rsid w:val="00251D6D"/>
    <w:rsid w:val="0025241C"/>
    <w:rsid w:val="00252630"/>
    <w:rsid w:val="00252AB1"/>
    <w:rsid w:val="00252BCC"/>
    <w:rsid w:val="00252BF9"/>
    <w:rsid w:val="00252CCA"/>
    <w:rsid w:val="00252DED"/>
    <w:rsid w:val="00253088"/>
    <w:rsid w:val="0025340B"/>
    <w:rsid w:val="00253443"/>
    <w:rsid w:val="00253829"/>
    <w:rsid w:val="00253B3D"/>
    <w:rsid w:val="00253B40"/>
    <w:rsid w:val="00253B96"/>
    <w:rsid w:val="00253E90"/>
    <w:rsid w:val="00253F36"/>
    <w:rsid w:val="00253FBD"/>
    <w:rsid w:val="002541A1"/>
    <w:rsid w:val="002546CF"/>
    <w:rsid w:val="00254901"/>
    <w:rsid w:val="002549D7"/>
    <w:rsid w:val="002552FD"/>
    <w:rsid w:val="00255391"/>
    <w:rsid w:val="002553A3"/>
    <w:rsid w:val="002554A4"/>
    <w:rsid w:val="002554FC"/>
    <w:rsid w:val="00255514"/>
    <w:rsid w:val="0025581C"/>
    <w:rsid w:val="002559A5"/>
    <w:rsid w:val="00255B48"/>
    <w:rsid w:val="00256227"/>
    <w:rsid w:val="002562C0"/>
    <w:rsid w:val="00256523"/>
    <w:rsid w:val="002567B0"/>
    <w:rsid w:val="00256B07"/>
    <w:rsid w:val="00256CD8"/>
    <w:rsid w:val="00256F29"/>
    <w:rsid w:val="002572CA"/>
    <w:rsid w:val="00257472"/>
    <w:rsid w:val="002576EC"/>
    <w:rsid w:val="00257A1E"/>
    <w:rsid w:val="00257B2E"/>
    <w:rsid w:val="00257F14"/>
    <w:rsid w:val="002600E6"/>
    <w:rsid w:val="002600FA"/>
    <w:rsid w:val="0026020E"/>
    <w:rsid w:val="00260426"/>
    <w:rsid w:val="002604DE"/>
    <w:rsid w:val="0026052F"/>
    <w:rsid w:val="00260816"/>
    <w:rsid w:val="002609D9"/>
    <w:rsid w:val="0026103E"/>
    <w:rsid w:val="002613CE"/>
    <w:rsid w:val="002617BE"/>
    <w:rsid w:val="002618F1"/>
    <w:rsid w:val="00261981"/>
    <w:rsid w:val="00261C2C"/>
    <w:rsid w:val="00261E70"/>
    <w:rsid w:val="0026222D"/>
    <w:rsid w:val="0026238B"/>
    <w:rsid w:val="002623AB"/>
    <w:rsid w:val="002623D6"/>
    <w:rsid w:val="002624C5"/>
    <w:rsid w:val="002624EB"/>
    <w:rsid w:val="00262717"/>
    <w:rsid w:val="0026299A"/>
    <w:rsid w:val="00262B38"/>
    <w:rsid w:val="00262B3E"/>
    <w:rsid w:val="00262D27"/>
    <w:rsid w:val="00262E6F"/>
    <w:rsid w:val="002630C3"/>
    <w:rsid w:val="0026336B"/>
    <w:rsid w:val="002636DF"/>
    <w:rsid w:val="002638CA"/>
    <w:rsid w:val="00263EFD"/>
    <w:rsid w:val="00264036"/>
    <w:rsid w:val="002641EB"/>
    <w:rsid w:val="00264617"/>
    <w:rsid w:val="0026477E"/>
    <w:rsid w:val="002647FA"/>
    <w:rsid w:val="00264907"/>
    <w:rsid w:val="00264B81"/>
    <w:rsid w:val="0026508D"/>
    <w:rsid w:val="00265275"/>
    <w:rsid w:val="00265AC1"/>
    <w:rsid w:val="00265ADC"/>
    <w:rsid w:val="00265C3B"/>
    <w:rsid w:val="00266076"/>
    <w:rsid w:val="0026614E"/>
    <w:rsid w:val="002661B4"/>
    <w:rsid w:val="002661BC"/>
    <w:rsid w:val="00266426"/>
    <w:rsid w:val="002664EF"/>
    <w:rsid w:val="00266630"/>
    <w:rsid w:val="00266A20"/>
    <w:rsid w:val="00266A87"/>
    <w:rsid w:val="00266FF1"/>
    <w:rsid w:val="00267006"/>
    <w:rsid w:val="00267025"/>
    <w:rsid w:val="00267115"/>
    <w:rsid w:val="00267129"/>
    <w:rsid w:val="00267652"/>
    <w:rsid w:val="002679A0"/>
    <w:rsid w:val="00267B79"/>
    <w:rsid w:val="0027005B"/>
    <w:rsid w:val="002702C8"/>
    <w:rsid w:val="0027059F"/>
    <w:rsid w:val="002708FE"/>
    <w:rsid w:val="00271AE3"/>
    <w:rsid w:val="00271BE3"/>
    <w:rsid w:val="00271DEA"/>
    <w:rsid w:val="00272383"/>
    <w:rsid w:val="002726C8"/>
    <w:rsid w:val="002728D2"/>
    <w:rsid w:val="00272DEB"/>
    <w:rsid w:val="00273129"/>
    <w:rsid w:val="00273163"/>
    <w:rsid w:val="002731CB"/>
    <w:rsid w:val="00273362"/>
    <w:rsid w:val="002733F0"/>
    <w:rsid w:val="0027364C"/>
    <w:rsid w:val="00274138"/>
    <w:rsid w:val="00274237"/>
    <w:rsid w:val="00274406"/>
    <w:rsid w:val="00274673"/>
    <w:rsid w:val="002747CE"/>
    <w:rsid w:val="00274991"/>
    <w:rsid w:val="00274F57"/>
    <w:rsid w:val="00274F9C"/>
    <w:rsid w:val="002750A4"/>
    <w:rsid w:val="002754EB"/>
    <w:rsid w:val="002756C5"/>
    <w:rsid w:val="00275A1C"/>
    <w:rsid w:val="00275B4D"/>
    <w:rsid w:val="00275D21"/>
    <w:rsid w:val="00275D79"/>
    <w:rsid w:val="00276096"/>
    <w:rsid w:val="00276341"/>
    <w:rsid w:val="0027648F"/>
    <w:rsid w:val="00276821"/>
    <w:rsid w:val="00276823"/>
    <w:rsid w:val="00276A67"/>
    <w:rsid w:val="00276C81"/>
    <w:rsid w:val="00276EB1"/>
    <w:rsid w:val="002770C3"/>
    <w:rsid w:val="002774BD"/>
    <w:rsid w:val="0027780C"/>
    <w:rsid w:val="002779E6"/>
    <w:rsid w:val="00277A77"/>
    <w:rsid w:val="00277D86"/>
    <w:rsid w:val="0028069E"/>
    <w:rsid w:val="002806E0"/>
    <w:rsid w:val="00280D99"/>
    <w:rsid w:val="00280F93"/>
    <w:rsid w:val="00280FBD"/>
    <w:rsid w:val="00280FD6"/>
    <w:rsid w:val="002811C8"/>
    <w:rsid w:val="00281415"/>
    <w:rsid w:val="002816A6"/>
    <w:rsid w:val="00281881"/>
    <w:rsid w:val="00281C72"/>
    <w:rsid w:val="00281D9D"/>
    <w:rsid w:val="00282491"/>
    <w:rsid w:val="0028252F"/>
    <w:rsid w:val="002825D1"/>
    <w:rsid w:val="00282FFE"/>
    <w:rsid w:val="002830F2"/>
    <w:rsid w:val="0028326A"/>
    <w:rsid w:val="0028345B"/>
    <w:rsid w:val="0028352D"/>
    <w:rsid w:val="00283712"/>
    <w:rsid w:val="00283A0D"/>
    <w:rsid w:val="00283BB4"/>
    <w:rsid w:val="00283BCA"/>
    <w:rsid w:val="00284714"/>
    <w:rsid w:val="00284970"/>
    <w:rsid w:val="002856D7"/>
    <w:rsid w:val="002859B3"/>
    <w:rsid w:val="00285CE4"/>
    <w:rsid w:val="00285CF8"/>
    <w:rsid w:val="00285DA0"/>
    <w:rsid w:val="00285FC0"/>
    <w:rsid w:val="002862B7"/>
    <w:rsid w:val="0028630B"/>
    <w:rsid w:val="002864B2"/>
    <w:rsid w:val="002867CE"/>
    <w:rsid w:val="0028683F"/>
    <w:rsid w:val="00286DC2"/>
    <w:rsid w:val="00287022"/>
    <w:rsid w:val="00287064"/>
    <w:rsid w:val="002872CC"/>
    <w:rsid w:val="00287B25"/>
    <w:rsid w:val="00287D91"/>
    <w:rsid w:val="00287DA7"/>
    <w:rsid w:val="00287F42"/>
    <w:rsid w:val="0029030F"/>
    <w:rsid w:val="0029057E"/>
    <w:rsid w:val="002906CE"/>
    <w:rsid w:val="00290981"/>
    <w:rsid w:val="00290A44"/>
    <w:rsid w:val="00290DBC"/>
    <w:rsid w:val="00290E7B"/>
    <w:rsid w:val="00291050"/>
    <w:rsid w:val="002911F8"/>
    <w:rsid w:val="0029177E"/>
    <w:rsid w:val="00291A04"/>
    <w:rsid w:val="00291ACD"/>
    <w:rsid w:val="00291AF1"/>
    <w:rsid w:val="00291BA5"/>
    <w:rsid w:val="00291BCC"/>
    <w:rsid w:val="00291E55"/>
    <w:rsid w:val="00291E6E"/>
    <w:rsid w:val="00291EAB"/>
    <w:rsid w:val="00291F34"/>
    <w:rsid w:val="00291FB8"/>
    <w:rsid w:val="00292752"/>
    <w:rsid w:val="00292934"/>
    <w:rsid w:val="00292D40"/>
    <w:rsid w:val="00292E6F"/>
    <w:rsid w:val="00292F5A"/>
    <w:rsid w:val="002932A7"/>
    <w:rsid w:val="00293D54"/>
    <w:rsid w:val="00293E46"/>
    <w:rsid w:val="00293E7A"/>
    <w:rsid w:val="002941AA"/>
    <w:rsid w:val="0029443E"/>
    <w:rsid w:val="00294589"/>
    <w:rsid w:val="00294737"/>
    <w:rsid w:val="002947B1"/>
    <w:rsid w:val="00294C84"/>
    <w:rsid w:val="00294CEE"/>
    <w:rsid w:val="00295292"/>
    <w:rsid w:val="002955C2"/>
    <w:rsid w:val="0029567E"/>
    <w:rsid w:val="002958D0"/>
    <w:rsid w:val="00295939"/>
    <w:rsid w:val="00295955"/>
    <w:rsid w:val="00295A09"/>
    <w:rsid w:val="00295BDB"/>
    <w:rsid w:val="00296008"/>
    <w:rsid w:val="002961B1"/>
    <w:rsid w:val="0029637A"/>
    <w:rsid w:val="00296600"/>
    <w:rsid w:val="002966A0"/>
    <w:rsid w:val="00296959"/>
    <w:rsid w:val="00296AAA"/>
    <w:rsid w:val="00296B94"/>
    <w:rsid w:val="0029714B"/>
    <w:rsid w:val="00297505"/>
    <w:rsid w:val="0029759A"/>
    <w:rsid w:val="00297F0B"/>
    <w:rsid w:val="002A013C"/>
    <w:rsid w:val="002A01C0"/>
    <w:rsid w:val="002A0626"/>
    <w:rsid w:val="002A065C"/>
    <w:rsid w:val="002A0856"/>
    <w:rsid w:val="002A0A67"/>
    <w:rsid w:val="002A0A85"/>
    <w:rsid w:val="002A0C7E"/>
    <w:rsid w:val="002A0D06"/>
    <w:rsid w:val="002A0F9B"/>
    <w:rsid w:val="002A142D"/>
    <w:rsid w:val="002A1A28"/>
    <w:rsid w:val="002A1B50"/>
    <w:rsid w:val="002A1EE8"/>
    <w:rsid w:val="002A215D"/>
    <w:rsid w:val="002A252C"/>
    <w:rsid w:val="002A282A"/>
    <w:rsid w:val="002A290F"/>
    <w:rsid w:val="002A2981"/>
    <w:rsid w:val="002A29CC"/>
    <w:rsid w:val="002A2C6C"/>
    <w:rsid w:val="002A2EF6"/>
    <w:rsid w:val="002A33D8"/>
    <w:rsid w:val="002A3447"/>
    <w:rsid w:val="002A366F"/>
    <w:rsid w:val="002A3721"/>
    <w:rsid w:val="002A4620"/>
    <w:rsid w:val="002A47E8"/>
    <w:rsid w:val="002A48A3"/>
    <w:rsid w:val="002A4D2D"/>
    <w:rsid w:val="002A50A2"/>
    <w:rsid w:val="002A5267"/>
    <w:rsid w:val="002A5722"/>
    <w:rsid w:val="002A5764"/>
    <w:rsid w:val="002A5781"/>
    <w:rsid w:val="002A587C"/>
    <w:rsid w:val="002A5A3C"/>
    <w:rsid w:val="002A5AF5"/>
    <w:rsid w:val="002A5B1E"/>
    <w:rsid w:val="002A5B44"/>
    <w:rsid w:val="002A5ECF"/>
    <w:rsid w:val="002A5F62"/>
    <w:rsid w:val="002A5FE2"/>
    <w:rsid w:val="002A63A2"/>
    <w:rsid w:val="002A65A8"/>
    <w:rsid w:val="002A6630"/>
    <w:rsid w:val="002A6A2B"/>
    <w:rsid w:val="002A6CB6"/>
    <w:rsid w:val="002A7262"/>
    <w:rsid w:val="002A734F"/>
    <w:rsid w:val="002A785D"/>
    <w:rsid w:val="002A7AB7"/>
    <w:rsid w:val="002A7B47"/>
    <w:rsid w:val="002A7BCE"/>
    <w:rsid w:val="002A7BD6"/>
    <w:rsid w:val="002A7E98"/>
    <w:rsid w:val="002A7F11"/>
    <w:rsid w:val="002B024F"/>
    <w:rsid w:val="002B0284"/>
    <w:rsid w:val="002B03BB"/>
    <w:rsid w:val="002B050A"/>
    <w:rsid w:val="002B099A"/>
    <w:rsid w:val="002B0AC7"/>
    <w:rsid w:val="002B0D4E"/>
    <w:rsid w:val="002B0E86"/>
    <w:rsid w:val="002B0F02"/>
    <w:rsid w:val="002B1404"/>
    <w:rsid w:val="002B169D"/>
    <w:rsid w:val="002B19ED"/>
    <w:rsid w:val="002B1A7B"/>
    <w:rsid w:val="002B1D67"/>
    <w:rsid w:val="002B1EDE"/>
    <w:rsid w:val="002B2455"/>
    <w:rsid w:val="002B265B"/>
    <w:rsid w:val="002B3316"/>
    <w:rsid w:val="002B38B0"/>
    <w:rsid w:val="002B38FB"/>
    <w:rsid w:val="002B40E4"/>
    <w:rsid w:val="002B41B8"/>
    <w:rsid w:val="002B4419"/>
    <w:rsid w:val="002B4544"/>
    <w:rsid w:val="002B4788"/>
    <w:rsid w:val="002B4E99"/>
    <w:rsid w:val="002B51B4"/>
    <w:rsid w:val="002B5626"/>
    <w:rsid w:val="002B58EB"/>
    <w:rsid w:val="002B59B0"/>
    <w:rsid w:val="002B5BF5"/>
    <w:rsid w:val="002B5C45"/>
    <w:rsid w:val="002B5CC3"/>
    <w:rsid w:val="002B5EA1"/>
    <w:rsid w:val="002B5F30"/>
    <w:rsid w:val="002B63C8"/>
    <w:rsid w:val="002B6407"/>
    <w:rsid w:val="002B648D"/>
    <w:rsid w:val="002B6685"/>
    <w:rsid w:val="002B6A50"/>
    <w:rsid w:val="002B6DC3"/>
    <w:rsid w:val="002B6EEF"/>
    <w:rsid w:val="002B71F6"/>
    <w:rsid w:val="002B7247"/>
    <w:rsid w:val="002B7A02"/>
    <w:rsid w:val="002B7AC7"/>
    <w:rsid w:val="002B7B4D"/>
    <w:rsid w:val="002B7DA1"/>
    <w:rsid w:val="002C0596"/>
    <w:rsid w:val="002C0B3D"/>
    <w:rsid w:val="002C0BAC"/>
    <w:rsid w:val="002C1170"/>
    <w:rsid w:val="002C1186"/>
    <w:rsid w:val="002C173A"/>
    <w:rsid w:val="002C1A82"/>
    <w:rsid w:val="002C1B73"/>
    <w:rsid w:val="002C1F2A"/>
    <w:rsid w:val="002C21A3"/>
    <w:rsid w:val="002C2294"/>
    <w:rsid w:val="002C229D"/>
    <w:rsid w:val="002C23FC"/>
    <w:rsid w:val="002C2738"/>
    <w:rsid w:val="002C2D2E"/>
    <w:rsid w:val="002C2D65"/>
    <w:rsid w:val="002C2FB8"/>
    <w:rsid w:val="002C30D4"/>
    <w:rsid w:val="002C3435"/>
    <w:rsid w:val="002C3869"/>
    <w:rsid w:val="002C3A98"/>
    <w:rsid w:val="002C42A0"/>
    <w:rsid w:val="002C4341"/>
    <w:rsid w:val="002C4477"/>
    <w:rsid w:val="002C4617"/>
    <w:rsid w:val="002C4892"/>
    <w:rsid w:val="002C4BF6"/>
    <w:rsid w:val="002C4C25"/>
    <w:rsid w:val="002C4D98"/>
    <w:rsid w:val="002C51C8"/>
    <w:rsid w:val="002C53BA"/>
    <w:rsid w:val="002C5414"/>
    <w:rsid w:val="002C5745"/>
    <w:rsid w:val="002C5BC7"/>
    <w:rsid w:val="002C5BF2"/>
    <w:rsid w:val="002C65DD"/>
    <w:rsid w:val="002C67C3"/>
    <w:rsid w:val="002C699B"/>
    <w:rsid w:val="002C6C28"/>
    <w:rsid w:val="002C6D94"/>
    <w:rsid w:val="002C7037"/>
    <w:rsid w:val="002C72ED"/>
    <w:rsid w:val="002C74F0"/>
    <w:rsid w:val="002C7601"/>
    <w:rsid w:val="002C7703"/>
    <w:rsid w:val="002C77F7"/>
    <w:rsid w:val="002C781C"/>
    <w:rsid w:val="002C7B47"/>
    <w:rsid w:val="002C7B7F"/>
    <w:rsid w:val="002C7BBC"/>
    <w:rsid w:val="002C7EAA"/>
    <w:rsid w:val="002C7ED7"/>
    <w:rsid w:val="002D0860"/>
    <w:rsid w:val="002D0C24"/>
    <w:rsid w:val="002D0ECC"/>
    <w:rsid w:val="002D1094"/>
    <w:rsid w:val="002D10B9"/>
    <w:rsid w:val="002D13A8"/>
    <w:rsid w:val="002D1434"/>
    <w:rsid w:val="002D17CD"/>
    <w:rsid w:val="002D1A24"/>
    <w:rsid w:val="002D1AE4"/>
    <w:rsid w:val="002D1B7C"/>
    <w:rsid w:val="002D21AF"/>
    <w:rsid w:val="002D23E1"/>
    <w:rsid w:val="002D2471"/>
    <w:rsid w:val="002D2682"/>
    <w:rsid w:val="002D2B36"/>
    <w:rsid w:val="002D2B67"/>
    <w:rsid w:val="002D2C49"/>
    <w:rsid w:val="002D2C9D"/>
    <w:rsid w:val="002D2D34"/>
    <w:rsid w:val="002D2D5E"/>
    <w:rsid w:val="002D2D9D"/>
    <w:rsid w:val="002D2F9B"/>
    <w:rsid w:val="002D3238"/>
    <w:rsid w:val="002D324D"/>
    <w:rsid w:val="002D3434"/>
    <w:rsid w:val="002D3970"/>
    <w:rsid w:val="002D3BC8"/>
    <w:rsid w:val="002D3CC9"/>
    <w:rsid w:val="002D3D05"/>
    <w:rsid w:val="002D3DC3"/>
    <w:rsid w:val="002D3EB0"/>
    <w:rsid w:val="002D4371"/>
    <w:rsid w:val="002D4453"/>
    <w:rsid w:val="002D477B"/>
    <w:rsid w:val="002D4CB7"/>
    <w:rsid w:val="002D4D95"/>
    <w:rsid w:val="002D4E3F"/>
    <w:rsid w:val="002D53D4"/>
    <w:rsid w:val="002D56BD"/>
    <w:rsid w:val="002D5845"/>
    <w:rsid w:val="002D5C8F"/>
    <w:rsid w:val="002D5F95"/>
    <w:rsid w:val="002D61B4"/>
    <w:rsid w:val="002D660B"/>
    <w:rsid w:val="002D6679"/>
    <w:rsid w:val="002D6717"/>
    <w:rsid w:val="002D681B"/>
    <w:rsid w:val="002D6D47"/>
    <w:rsid w:val="002D6E71"/>
    <w:rsid w:val="002D7106"/>
    <w:rsid w:val="002D71CD"/>
    <w:rsid w:val="002D7317"/>
    <w:rsid w:val="002D755F"/>
    <w:rsid w:val="002D7DC4"/>
    <w:rsid w:val="002D7E55"/>
    <w:rsid w:val="002E0379"/>
    <w:rsid w:val="002E05CC"/>
    <w:rsid w:val="002E05E3"/>
    <w:rsid w:val="002E0C83"/>
    <w:rsid w:val="002E0DB5"/>
    <w:rsid w:val="002E1236"/>
    <w:rsid w:val="002E139D"/>
    <w:rsid w:val="002E15BA"/>
    <w:rsid w:val="002E1BF1"/>
    <w:rsid w:val="002E1F11"/>
    <w:rsid w:val="002E2189"/>
    <w:rsid w:val="002E21DF"/>
    <w:rsid w:val="002E2504"/>
    <w:rsid w:val="002E2AD0"/>
    <w:rsid w:val="002E2BF5"/>
    <w:rsid w:val="002E2CC4"/>
    <w:rsid w:val="002E2E0C"/>
    <w:rsid w:val="002E2F71"/>
    <w:rsid w:val="002E30BD"/>
    <w:rsid w:val="002E34BE"/>
    <w:rsid w:val="002E44F7"/>
    <w:rsid w:val="002E4680"/>
    <w:rsid w:val="002E46F5"/>
    <w:rsid w:val="002E4718"/>
    <w:rsid w:val="002E494E"/>
    <w:rsid w:val="002E4A33"/>
    <w:rsid w:val="002E4A51"/>
    <w:rsid w:val="002E4E3C"/>
    <w:rsid w:val="002E500B"/>
    <w:rsid w:val="002E5053"/>
    <w:rsid w:val="002E5549"/>
    <w:rsid w:val="002E5EAE"/>
    <w:rsid w:val="002E681E"/>
    <w:rsid w:val="002E6A92"/>
    <w:rsid w:val="002E6AFC"/>
    <w:rsid w:val="002E6CD8"/>
    <w:rsid w:val="002E6EF0"/>
    <w:rsid w:val="002E6F39"/>
    <w:rsid w:val="002E7022"/>
    <w:rsid w:val="002E7E02"/>
    <w:rsid w:val="002E7F13"/>
    <w:rsid w:val="002F00EA"/>
    <w:rsid w:val="002F00F9"/>
    <w:rsid w:val="002F02F1"/>
    <w:rsid w:val="002F0581"/>
    <w:rsid w:val="002F0718"/>
    <w:rsid w:val="002F077B"/>
    <w:rsid w:val="002F0A9A"/>
    <w:rsid w:val="002F0D37"/>
    <w:rsid w:val="002F0EF7"/>
    <w:rsid w:val="002F10B0"/>
    <w:rsid w:val="002F13D1"/>
    <w:rsid w:val="002F149E"/>
    <w:rsid w:val="002F151C"/>
    <w:rsid w:val="002F1CAE"/>
    <w:rsid w:val="002F1DE2"/>
    <w:rsid w:val="002F22D3"/>
    <w:rsid w:val="002F27D9"/>
    <w:rsid w:val="002F28AF"/>
    <w:rsid w:val="002F2B0B"/>
    <w:rsid w:val="002F2DA7"/>
    <w:rsid w:val="002F32AE"/>
    <w:rsid w:val="002F3822"/>
    <w:rsid w:val="002F3D62"/>
    <w:rsid w:val="002F3DFF"/>
    <w:rsid w:val="002F3F3E"/>
    <w:rsid w:val="002F41BC"/>
    <w:rsid w:val="002F424E"/>
    <w:rsid w:val="002F4313"/>
    <w:rsid w:val="002F47F0"/>
    <w:rsid w:val="002F4913"/>
    <w:rsid w:val="002F4A06"/>
    <w:rsid w:val="002F4AC8"/>
    <w:rsid w:val="002F4BA7"/>
    <w:rsid w:val="002F4DAD"/>
    <w:rsid w:val="002F4DD8"/>
    <w:rsid w:val="002F4EDE"/>
    <w:rsid w:val="002F4F3F"/>
    <w:rsid w:val="002F50DF"/>
    <w:rsid w:val="002F51DA"/>
    <w:rsid w:val="002F5957"/>
    <w:rsid w:val="002F5D3E"/>
    <w:rsid w:val="002F5F36"/>
    <w:rsid w:val="002F6387"/>
    <w:rsid w:val="002F6485"/>
    <w:rsid w:val="002F6682"/>
    <w:rsid w:val="002F69D7"/>
    <w:rsid w:val="002F6A82"/>
    <w:rsid w:val="002F6C7D"/>
    <w:rsid w:val="002F6E64"/>
    <w:rsid w:val="002F6F90"/>
    <w:rsid w:val="002F71F9"/>
    <w:rsid w:val="002F774B"/>
    <w:rsid w:val="002F7EFD"/>
    <w:rsid w:val="002F7FE8"/>
    <w:rsid w:val="00300003"/>
    <w:rsid w:val="00300034"/>
    <w:rsid w:val="0030019D"/>
    <w:rsid w:val="00300355"/>
    <w:rsid w:val="003007D6"/>
    <w:rsid w:val="00300E6E"/>
    <w:rsid w:val="00300F6A"/>
    <w:rsid w:val="0030122F"/>
    <w:rsid w:val="00301573"/>
    <w:rsid w:val="00301970"/>
    <w:rsid w:val="00301AC9"/>
    <w:rsid w:val="00301D62"/>
    <w:rsid w:val="00302147"/>
    <w:rsid w:val="0030229E"/>
    <w:rsid w:val="003022B1"/>
    <w:rsid w:val="00302307"/>
    <w:rsid w:val="0030253D"/>
    <w:rsid w:val="00302780"/>
    <w:rsid w:val="00302ACD"/>
    <w:rsid w:val="00302AD6"/>
    <w:rsid w:val="00303106"/>
    <w:rsid w:val="0030311F"/>
    <w:rsid w:val="00303593"/>
    <w:rsid w:val="003036B5"/>
    <w:rsid w:val="0030390F"/>
    <w:rsid w:val="00303914"/>
    <w:rsid w:val="00303D13"/>
    <w:rsid w:val="0030438B"/>
    <w:rsid w:val="00304554"/>
    <w:rsid w:val="0030487E"/>
    <w:rsid w:val="003049B7"/>
    <w:rsid w:val="00304BE2"/>
    <w:rsid w:val="00304C48"/>
    <w:rsid w:val="00304FEB"/>
    <w:rsid w:val="003055A7"/>
    <w:rsid w:val="0030598A"/>
    <w:rsid w:val="00305ADF"/>
    <w:rsid w:val="00305B57"/>
    <w:rsid w:val="00305EAC"/>
    <w:rsid w:val="00305F51"/>
    <w:rsid w:val="003060CA"/>
    <w:rsid w:val="003060D5"/>
    <w:rsid w:val="00306143"/>
    <w:rsid w:val="00306215"/>
    <w:rsid w:val="003065F6"/>
    <w:rsid w:val="003066D4"/>
    <w:rsid w:val="00306F5B"/>
    <w:rsid w:val="00307099"/>
    <w:rsid w:val="00307AA2"/>
    <w:rsid w:val="0031030D"/>
    <w:rsid w:val="0031033B"/>
    <w:rsid w:val="00310899"/>
    <w:rsid w:val="0031095D"/>
    <w:rsid w:val="00310B6C"/>
    <w:rsid w:val="00310B9E"/>
    <w:rsid w:val="00310C86"/>
    <w:rsid w:val="00310D10"/>
    <w:rsid w:val="003110E0"/>
    <w:rsid w:val="00311857"/>
    <w:rsid w:val="00311934"/>
    <w:rsid w:val="00311A84"/>
    <w:rsid w:val="00311A89"/>
    <w:rsid w:val="00311B39"/>
    <w:rsid w:val="00311CF8"/>
    <w:rsid w:val="00311D75"/>
    <w:rsid w:val="00311DFA"/>
    <w:rsid w:val="00311E12"/>
    <w:rsid w:val="003123A5"/>
    <w:rsid w:val="00312599"/>
    <w:rsid w:val="003125CA"/>
    <w:rsid w:val="00312A74"/>
    <w:rsid w:val="00312C2F"/>
    <w:rsid w:val="00312D4F"/>
    <w:rsid w:val="00312FDB"/>
    <w:rsid w:val="003130F3"/>
    <w:rsid w:val="003133F1"/>
    <w:rsid w:val="00313789"/>
    <w:rsid w:val="00313D08"/>
    <w:rsid w:val="003144B2"/>
    <w:rsid w:val="00314880"/>
    <w:rsid w:val="00314960"/>
    <w:rsid w:val="00314BA7"/>
    <w:rsid w:val="00314C7F"/>
    <w:rsid w:val="00314FBF"/>
    <w:rsid w:val="0031516F"/>
    <w:rsid w:val="00315282"/>
    <w:rsid w:val="003153D0"/>
    <w:rsid w:val="0031564B"/>
    <w:rsid w:val="0031566E"/>
    <w:rsid w:val="003156BC"/>
    <w:rsid w:val="00315A77"/>
    <w:rsid w:val="00315CD5"/>
    <w:rsid w:val="00315DDD"/>
    <w:rsid w:val="00316132"/>
    <w:rsid w:val="00316460"/>
    <w:rsid w:val="003164CF"/>
    <w:rsid w:val="00316A42"/>
    <w:rsid w:val="00316AC7"/>
    <w:rsid w:val="00316B8C"/>
    <w:rsid w:val="00316E68"/>
    <w:rsid w:val="00316F75"/>
    <w:rsid w:val="003170C4"/>
    <w:rsid w:val="00317797"/>
    <w:rsid w:val="00317A3F"/>
    <w:rsid w:val="00317C1D"/>
    <w:rsid w:val="00317D95"/>
    <w:rsid w:val="00320321"/>
    <w:rsid w:val="003203C6"/>
    <w:rsid w:val="0032076F"/>
    <w:rsid w:val="00320986"/>
    <w:rsid w:val="00320A7E"/>
    <w:rsid w:val="00320B36"/>
    <w:rsid w:val="00320E22"/>
    <w:rsid w:val="00320ED1"/>
    <w:rsid w:val="00321065"/>
    <w:rsid w:val="003211E6"/>
    <w:rsid w:val="00321728"/>
    <w:rsid w:val="003218B3"/>
    <w:rsid w:val="003219B7"/>
    <w:rsid w:val="00321B09"/>
    <w:rsid w:val="00321B19"/>
    <w:rsid w:val="00321EC0"/>
    <w:rsid w:val="0032213F"/>
    <w:rsid w:val="00322355"/>
    <w:rsid w:val="003223B6"/>
    <w:rsid w:val="00322602"/>
    <w:rsid w:val="003226B3"/>
    <w:rsid w:val="00322948"/>
    <w:rsid w:val="00322DCD"/>
    <w:rsid w:val="00322E92"/>
    <w:rsid w:val="00323151"/>
    <w:rsid w:val="003231E4"/>
    <w:rsid w:val="00323303"/>
    <w:rsid w:val="00323842"/>
    <w:rsid w:val="00323843"/>
    <w:rsid w:val="003244BB"/>
    <w:rsid w:val="00324512"/>
    <w:rsid w:val="00324697"/>
    <w:rsid w:val="00324830"/>
    <w:rsid w:val="00324E07"/>
    <w:rsid w:val="00324F47"/>
    <w:rsid w:val="00324FB0"/>
    <w:rsid w:val="00325271"/>
    <w:rsid w:val="0032564F"/>
    <w:rsid w:val="00325A0C"/>
    <w:rsid w:val="00325A26"/>
    <w:rsid w:val="00326052"/>
    <w:rsid w:val="00326190"/>
    <w:rsid w:val="00326253"/>
    <w:rsid w:val="00326331"/>
    <w:rsid w:val="00326557"/>
    <w:rsid w:val="003267AB"/>
    <w:rsid w:val="00326A84"/>
    <w:rsid w:val="00326CDF"/>
    <w:rsid w:val="003270DB"/>
    <w:rsid w:val="0032712C"/>
    <w:rsid w:val="0032717D"/>
    <w:rsid w:val="0032722A"/>
    <w:rsid w:val="003272B4"/>
    <w:rsid w:val="00327377"/>
    <w:rsid w:val="0032783B"/>
    <w:rsid w:val="00327B45"/>
    <w:rsid w:val="00327B5E"/>
    <w:rsid w:val="00327B65"/>
    <w:rsid w:val="00330533"/>
    <w:rsid w:val="0033084C"/>
    <w:rsid w:val="003308B5"/>
    <w:rsid w:val="00330918"/>
    <w:rsid w:val="00330BBA"/>
    <w:rsid w:val="00330CE9"/>
    <w:rsid w:val="00330E1C"/>
    <w:rsid w:val="00330F95"/>
    <w:rsid w:val="003311DC"/>
    <w:rsid w:val="003312D3"/>
    <w:rsid w:val="00331555"/>
    <w:rsid w:val="003318C0"/>
    <w:rsid w:val="00331BAF"/>
    <w:rsid w:val="00331BD9"/>
    <w:rsid w:val="00331F65"/>
    <w:rsid w:val="003320AF"/>
    <w:rsid w:val="00332173"/>
    <w:rsid w:val="003321D9"/>
    <w:rsid w:val="00332404"/>
    <w:rsid w:val="003325FC"/>
    <w:rsid w:val="00332781"/>
    <w:rsid w:val="00332B40"/>
    <w:rsid w:val="0033335F"/>
    <w:rsid w:val="00333AA2"/>
    <w:rsid w:val="00333C78"/>
    <w:rsid w:val="00333EE7"/>
    <w:rsid w:val="00334023"/>
    <w:rsid w:val="0033411E"/>
    <w:rsid w:val="003341A9"/>
    <w:rsid w:val="00334224"/>
    <w:rsid w:val="0033423F"/>
    <w:rsid w:val="003343B5"/>
    <w:rsid w:val="00335084"/>
    <w:rsid w:val="00335A14"/>
    <w:rsid w:val="00335A36"/>
    <w:rsid w:val="00335B53"/>
    <w:rsid w:val="00335B8F"/>
    <w:rsid w:val="00335C0B"/>
    <w:rsid w:val="00336DF5"/>
    <w:rsid w:val="00336EEA"/>
    <w:rsid w:val="00336F1D"/>
    <w:rsid w:val="003370E3"/>
    <w:rsid w:val="00337744"/>
    <w:rsid w:val="0034000E"/>
    <w:rsid w:val="003403D0"/>
    <w:rsid w:val="00340661"/>
    <w:rsid w:val="003408D2"/>
    <w:rsid w:val="00340BA4"/>
    <w:rsid w:val="00340C0A"/>
    <w:rsid w:val="00340E98"/>
    <w:rsid w:val="00341037"/>
    <w:rsid w:val="00341273"/>
    <w:rsid w:val="00341475"/>
    <w:rsid w:val="00341592"/>
    <w:rsid w:val="0034166D"/>
    <w:rsid w:val="00341715"/>
    <w:rsid w:val="00341B34"/>
    <w:rsid w:val="00341B99"/>
    <w:rsid w:val="0034217A"/>
    <w:rsid w:val="0034225F"/>
    <w:rsid w:val="0034268E"/>
    <w:rsid w:val="003426E6"/>
    <w:rsid w:val="003427F2"/>
    <w:rsid w:val="003428E1"/>
    <w:rsid w:val="00342994"/>
    <w:rsid w:val="003429F3"/>
    <w:rsid w:val="00342BFE"/>
    <w:rsid w:val="00342CB4"/>
    <w:rsid w:val="00342CBD"/>
    <w:rsid w:val="00342D02"/>
    <w:rsid w:val="00342D93"/>
    <w:rsid w:val="00342DE9"/>
    <w:rsid w:val="003432DF"/>
    <w:rsid w:val="00343462"/>
    <w:rsid w:val="00343587"/>
    <w:rsid w:val="003438AD"/>
    <w:rsid w:val="00343AAF"/>
    <w:rsid w:val="00343C65"/>
    <w:rsid w:val="00343D3A"/>
    <w:rsid w:val="00343F57"/>
    <w:rsid w:val="0034428F"/>
    <w:rsid w:val="0034457A"/>
    <w:rsid w:val="00344B45"/>
    <w:rsid w:val="00344F0E"/>
    <w:rsid w:val="00344FD8"/>
    <w:rsid w:val="003450A2"/>
    <w:rsid w:val="003450F0"/>
    <w:rsid w:val="00345354"/>
    <w:rsid w:val="0034558B"/>
    <w:rsid w:val="003455A7"/>
    <w:rsid w:val="00346214"/>
    <w:rsid w:val="0034675B"/>
    <w:rsid w:val="00346C0F"/>
    <w:rsid w:val="00346D6B"/>
    <w:rsid w:val="00346F0E"/>
    <w:rsid w:val="00346FA7"/>
    <w:rsid w:val="003470CF"/>
    <w:rsid w:val="003470DC"/>
    <w:rsid w:val="0034733F"/>
    <w:rsid w:val="00347532"/>
    <w:rsid w:val="0034771B"/>
    <w:rsid w:val="0034777B"/>
    <w:rsid w:val="0034781D"/>
    <w:rsid w:val="003478A3"/>
    <w:rsid w:val="00347B4A"/>
    <w:rsid w:val="00347B53"/>
    <w:rsid w:val="00350033"/>
    <w:rsid w:val="003501A2"/>
    <w:rsid w:val="00350367"/>
    <w:rsid w:val="00350473"/>
    <w:rsid w:val="00350568"/>
    <w:rsid w:val="00350760"/>
    <w:rsid w:val="00350CBF"/>
    <w:rsid w:val="00351014"/>
    <w:rsid w:val="003512D2"/>
    <w:rsid w:val="003515F9"/>
    <w:rsid w:val="003517B8"/>
    <w:rsid w:val="00351852"/>
    <w:rsid w:val="00351E85"/>
    <w:rsid w:val="00351F7F"/>
    <w:rsid w:val="00352361"/>
    <w:rsid w:val="0035259E"/>
    <w:rsid w:val="00352840"/>
    <w:rsid w:val="00352899"/>
    <w:rsid w:val="003529B8"/>
    <w:rsid w:val="00352C9D"/>
    <w:rsid w:val="00352DD2"/>
    <w:rsid w:val="00353090"/>
    <w:rsid w:val="003532C2"/>
    <w:rsid w:val="00353344"/>
    <w:rsid w:val="00353719"/>
    <w:rsid w:val="0035387E"/>
    <w:rsid w:val="00353B77"/>
    <w:rsid w:val="00353DAE"/>
    <w:rsid w:val="003543CB"/>
    <w:rsid w:val="003543D9"/>
    <w:rsid w:val="0035450D"/>
    <w:rsid w:val="00354551"/>
    <w:rsid w:val="00354623"/>
    <w:rsid w:val="003547C3"/>
    <w:rsid w:val="003549DE"/>
    <w:rsid w:val="00354DB1"/>
    <w:rsid w:val="00354EDA"/>
    <w:rsid w:val="00354F06"/>
    <w:rsid w:val="00354F41"/>
    <w:rsid w:val="003550E3"/>
    <w:rsid w:val="003555D3"/>
    <w:rsid w:val="00355792"/>
    <w:rsid w:val="00355B2F"/>
    <w:rsid w:val="00355EC8"/>
    <w:rsid w:val="00355FEA"/>
    <w:rsid w:val="00356180"/>
    <w:rsid w:val="0035675A"/>
    <w:rsid w:val="0035698D"/>
    <w:rsid w:val="003569AC"/>
    <w:rsid w:val="00356DD0"/>
    <w:rsid w:val="00356E57"/>
    <w:rsid w:val="00357558"/>
    <w:rsid w:val="0035786D"/>
    <w:rsid w:val="00357949"/>
    <w:rsid w:val="00357C75"/>
    <w:rsid w:val="00357DEA"/>
    <w:rsid w:val="00357EAD"/>
    <w:rsid w:val="00357F37"/>
    <w:rsid w:val="003602AC"/>
    <w:rsid w:val="0036067C"/>
    <w:rsid w:val="00360907"/>
    <w:rsid w:val="00360AFC"/>
    <w:rsid w:val="00360C59"/>
    <w:rsid w:val="00360C74"/>
    <w:rsid w:val="00360DFF"/>
    <w:rsid w:val="00361080"/>
    <w:rsid w:val="00361143"/>
    <w:rsid w:val="00361149"/>
    <w:rsid w:val="00361175"/>
    <w:rsid w:val="003611BD"/>
    <w:rsid w:val="00361209"/>
    <w:rsid w:val="00361457"/>
    <w:rsid w:val="003615D6"/>
    <w:rsid w:val="0036176D"/>
    <w:rsid w:val="00361A50"/>
    <w:rsid w:val="00361F11"/>
    <w:rsid w:val="00361F76"/>
    <w:rsid w:val="00362178"/>
    <w:rsid w:val="00362197"/>
    <w:rsid w:val="003621E8"/>
    <w:rsid w:val="00362451"/>
    <w:rsid w:val="00362525"/>
    <w:rsid w:val="00362D3B"/>
    <w:rsid w:val="00362D9B"/>
    <w:rsid w:val="00362EC5"/>
    <w:rsid w:val="003634E4"/>
    <w:rsid w:val="003637B6"/>
    <w:rsid w:val="003638AF"/>
    <w:rsid w:val="003639F0"/>
    <w:rsid w:val="00363AE8"/>
    <w:rsid w:val="00363D49"/>
    <w:rsid w:val="00363E42"/>
    <w:rsid w:val="00363E49"/>
    <w:rsid w:val="00363F92"/>
    <w:rsid w:val="0036437E"/>
    <w:rsid w:val="0036451A"/>
    <w:rsid w:val="00364638"/>
    <w:rsid w:val="00364A72"/>
    <w:rsid w:val="00364C97"/>
    <w:rsid w:val="00364E03"/>
    <w:rsid w:val="0036516D"/>
    <w:rsid w:val="003652FA"/>
    <w:rsid w:val="00365962"/>
    <w:rsid w:val="00365B96"/>
    <w:rsid w:val="00365C1C"/>
    <w:rsid w:val="00365C32"/>
    <w:rsid w:val="00365FBB"/>
    <w:rsid w:val="0036602B"/>
    <w:rsid w:val="003661D2"/>
    <w:rsid w:val="003661E7"/>
    <w:rsid w:val="003661F8"/>
    <w:rsid w:val="003663FA"/>
    <w:rsid w:val="003668AC"/>
    <w:rsid w:val="003669EC"/>
    <w:rsid w:val="00366D63"/>
    <w:rsid w:val="00366DF2"/>
    <w:rsid w:val="003671FC"/>
    <w:rsid w:val="00367221"/>
    <w:rsid w:val="003672C1"/>
    <w:rsid w:val="003672DC"/>
    <w:rsid w:val="00367342"/>
    <w:rsid w:val="0036735F"/>
    <w:rsid w:val="0036771C"/>
    <w:rsid w:val="00367A02"/>
    <w:rsid w:val="00367F45"/>
    <w:rsid w:val="00370192"/>
    <w:rsid w:val="003701A3"/>
    <w:rsid w:val="00370274"/>
    <w:rsid w:val="0037044D"/>
    <w:rsid w:val="003704B5"/>
    <w:rsid w:val="00370C86"/>
    <w:rsid w:val="00370F28"/>
    <w:rsid w:val="00370FA8"/>
    <w:rsid w:val="00371040"/>
    <w:rsid w:val="0037115E"/>
    <w:rsid w:val="00371364"/>
    <w:rsid w:val="00371624"/>
    <w:rsid w:val="00371681"/>
    <w:rsid w:val="003717FB"/>
    <w:rsid w:val="003718AE"/>
    <w:rsid w:val="00371A44"/>
    <w:rsid w:val="00371BC4"/>
    <w:rsid w:val="00371BE6"/>
    <w:rsid w:val="00371D23"/>
    <w:rsid w:val="00371D7A"/>
    <w:rsid w:val="003720BC"/>
    <w:rsid w:val="00372668"/>
    <w:rsid w:val="00372707"/>
    <w:rsid w:val="0037271A"/>
    <w:rsid w:val="00372728"/>
    <w:rsid w:val="00372801"/>
    <w:rsid w:val="00372925"/>
    <w:rsid w:val="00373AAA"/>
    <w:rsid w:val="00373BC5"/>
    <w:rsid w:val="00373BCC"/>
    <w:rsid w:val="00373C5C"/>
    <w:rsid w:val="00373EBD"/>
    <w:rsid w:val="00373F0C"/>
    <w:rsid w:val="003743F2"/>
    <w:rsid w:val="00374441"/>
    <w:rsid w:val="003749A5"/>
    <w:rsid w:val="00374FA3"/>
    <w:rsid w:val="00375048"/>
    <w:rsid w:val="003751AD"/>
    <w:rsid w:val="00375386"/>
    <w:rsid w:val="0037539B"/>
    <w:rsid w:val="00375483"/>
    <w:rsid w:val="003756D4"/>
    <w:rsid w:val="003756F3"/>
    <w:rsid w:val="0037580A"/>
    <w:rsid w:val="00375A34"/>
    <w:rsid w:val="00375A41"/>
    <w:rsid w:val="00375B2D"/>
    <w:rsid w:val="00376144"/>
    <w:rsid w:val="0037629C"/>
    <w:rsid w:val="0037648A"/>
    <w:rsid w:val="00376596"/>
    <w:rsid w:val="003767C6"/>
    <w:rsid w:val="00376C64"/>
    <w:rsid w:val="00376CF2"/>
    <w:rsid w:val="00376D67"/>
    <w:rsid w:val="0037721A"/>
    <w:rsid w:val="003773C8"/>
    <w:rsid w:val="00377BC6"/>
    <w:rsid w:val="0038012C"/>
    <w:rsid w:val="00380C3F"/>
    <w:rsid w:val="003817DB"/>
    <w:rsid w:val="003818D2"/>
    <w:rsid w:val="00381960"/>
    <w:rsid w:val="00381A68"/>
    <w:rsid w:val="00381AF3"/>
    <w:rsid w:val="00382260"/>
    <w:rsid w:val="003822E1"/>
    <w:rsid w:val="003826C0"/>
    <w:rsid w:val="00382F8B"/>
    <w:rsid w:val="00383168"/>
    <w:rsid w:val="003833D8"/>
    <w:rsid w:val="00383466"/>
    <w:rsid w:val="00383B3B"/>
    <w:rsid w:val="00383D37"/>
    <w:rsid w:val="00383D42"/>
    <w:rsid w:val="00383DBD"/>
    <w:rsid w:val="00383E7C"/>
    <w:rsid w:val="00384410"/>
    <w:rsid w:val="00384745"/>
    <w:rsid w:val="003848F2"/>
    <w:rsid w:val="00384E1B"/>
    <w:rsid w:val="00384F9B"/>
    <w:rsid w:val="0038555F"/>
    <w:rsid w:val="003858CF"/>
    <w:rsid w:val="00385C26"/>
    <w:rsid w:val="00385C5F"/>
    <w:rsid w:val="00385CFD"/>
    <w:rsid w:val="00386323"/>
    <w:rsid w:val="003866E4"/>
    <w:rsid w:val="00386C5B"/>
    <w:rsid w:val="00387021"/>
    <w:rsid w:val="00387159"/>
    <w:rsid w:val="00387345"/>
    <w:rsid w:val="00387445"/>
    <w:rsid w:val="00387A5F"/>
    <w:rsid w:val="00387CD3"/>
    <w:rsid w:val="00387DC2"/>
    <w:rsid w:val="00387EE9"/>
    <w:rsid w:val="00390143"/>
    <w:rsid w:val="00390616"/>
    <w:rsid w:val="003907B5"/>
    <w:rsid w:val="003909E9"/>
    <w:rsid w:val="00390BC2"/>
    <w:rsid w:val="00390D19"/>
    <w:rsid w:val="00390E6F"/>
    <w:rsid w:val="00390EF7"/>
    <w:rsid w:val="00391075"/>
    <w:rsid w:val="003912B3"/>
    <w:rsid w:val="003913DC"/>
    <w:rsid w:val="003917CB"/>
    <w:rsid w:val="00391CED"/>
    <w:rsid w:val="003923A3"/>
    <w:rsid w:val="003925AA"/>
    <w:rsid w:val="00392992"/>
    <w:rsid w:val="00392B47"/>
    <w:rsid w:val="0039316D"/>
    <w:rsid w:val="003935B9"/>
    <w:rsid w:val="003936BD"/>
    <w:rsid w:val="00393823"/>
    <w:rsid w:val="003938F3"/>
    <w:rsid w:val="0039393C"/>
    <w:rsid w:val="00393E12"/>
    <w:rsid w:val="00393E6A"/>
    <w:rsid w:val="00394119"/>
    <w:rsid w:val="003942F0"/>
    <w:rsid w:val="00394576"/>
    <w:rsid w:val="00394860"/>
    <w:rsid w:val="0039497C"/>
    <w:rsid w:val="00394B62"/>
    <w:rsid w:val="0039516B"/>
    <w:rsid w:val="00395252"/>
    <w:rsid w:val="0039597F"/>
    <w:rsid w:val="003959E4"/>
    <w:rsid w:val="00395CD4"/>
    <w:rsid w:val="00396C20"/>
    <w:rsid w:val="00396CC8"/>
    <w:rsid w:val="0039711F"/>
    <w:rsid w:val="00397335"/>
    <w:rsid w:val="00397339"/>
    <w:rsid w:val="0039756D"/>
    <w:rsid w:val="0039758D"/>
    <w:rsid w:val="003975E8"/>
    <w:rsid w:val="00397723"/>
    <w:rsid w:val="0039793E"/>
    <w:rsid w:val="00397A75"/>
    <w:rsid w:val="00397C44"/>
    <w:rsid w:val="00397D07"/>
    <w:rsid w:val="00397EF5"/>
    <w:rsid w:val="003A04A8"/>
    <w:rsid w:val="003A04FF"/>
    <w:rsid w:val="003A06A0"/>
    <w:rsid w:val="003A06DA"/>
    <w:rsid w:val="003A0CF1"/>
    <w:rsid w:val="003A0D59"/>
    <w:rsid w:val="003A1332"/>
    <w:rsid w:val="003A1704"/>
    <w:rsid w:val="003A17AA"/>
    <w:rsid w:val="003A2551"/>
    <w:rsid w:val="003A2ADE"/>
    <w:rsid w:val="003A2C25"/>
    <w:rsid w:val="003A2D67"/>
    <w:rsid w:val="003A304A"/>
    <w:rsid w:val="003A3539"/>
    <w:rsid w:val="003A37DE"/>
    <w:rsid w:val="003A386B"/>
    <w:rsid w:val="003A3910"/>
    <w:rsid w:val="003A3AB9"/>
    <w:rsid w:val="003A3D5F"/>
    <w:rsid w:val="003A41C4"/>
    <w:rsid w:val="003A42F5"/>
    <w:rsid w:val="003A4396"/>
    <w:rsid w:val="003A44A5"/>
    <w:rsid w:val="003A477E"/>
    <w:rsid w:val="003A4A1F"/>
    <w:rsid w:val="003A4ADB"/>
    <w:rsid w:val="003A4BA0"/>
    <w:rsid w:val="003A4BB0"/>
    <w:rsid w:val="003A4BBF"/>
    <w:rsid w:val="003A4E7E"/>
    <w:rsid w:val="003A52FC"/>
    <w:rsid w:val="003A5437"/>
    <w:rsid w:val="003A581E"/>
    <w:rsid w:val="003A59AC"/>
    <w:rsid w:val="003A5A2E"/>
    <w:rsid w:val="003A5C82"/>
    <w:rsid w:val="003A67DF"/>
    <w:rsid w:val="003A68C9"/>
    <w:rsid w:val="003A6959"/>
    <w:rsid w:val="003A6AF7"/>
    <w:rsid w:val="003A70F8"/>
    <w:rsid w:val="003A7A07"/>
    <w:rsid w:val="003A7A71"/>
    <w:rsid w:val="003A7F4A"/>
    <w:rsid w:val="003B01FA"/>
    <w:rsid w:val="003B0417"/>
    <w:rsid w:val="003B0755"/>
    <w:rsid w:val="003B0B7D"/>
    <w:rsid w:val="003B0CBD"/>
    <w:rsid w:val="003B1007"/>
    <w:rsid w:val="003B1022"/>
    <w:rsid w:val="003B103E"/>
    <w:rsid w:val="003B10D6"/>
    <w:rsid w:val="003B1586"/>
    <w:rsid w:val="003B1917"/>
    <w:rsid w:val="003B1C22"/>
    <w:rsid w:val="003B1C40"/>
    <w:rsid w:val="003B1F28"/>
    <w:rsid w:val="003B1F4E"/>
    <w:rsid w:val="003B2580"/>
    <w:rsid w:val="003B26D8"/>
    <w:rsid w:val="003B277C"/>
    <w:rsid w:val="003B28C8"/>
    <w:rsid w:val="003B2B65"/>
    <w:rsid w:val="003B2DD2"/>
    <w:rsid w:val="003B2F09"/>
    <w:rsid w:val="003B2F5D"/>
    <w:rsid w:val="003B2F6C"/>
    <w:rsid w:val="003B30AE"/>
    <w:rsid w:val="003B32A2"/>
    <w:rsid w:val="003B3507"/>
    <w:rsid w:val="003B3866"/>
    <w:rsid w:val="003B3A80"/>
    <w:rsid w:val="003B3C5B"/>
    <w:rsid w:val="003B4048"/>
    <w:rsid w:val="003B41EC"/>
    <w:rsid w:val="003B41F6"/>
    <w:rsid w:val="003B4349"/>
    <w:rsid w:val="003B447D"/>
    <w:rsid w:val="003B4B32"/>
    <w:rsid w:val="003B4B69"/>
    <w:rsid w:val="003B4C98"/>
    <w:rsid w:val="003B4CDB"/>
    <w:rsid w:val="003B4CE4"/>
    <w:rsid w:val="003B4E24"/>
    <w:rsid w:val="003B5038"/>
    <w:rsid w:val="003B524C"/>
    <w:rsid w:val="003B52DE"/>
    <w:rsid w:val="003B56F1"/>
    <w:rsid w:val="003B5B10"/>
    <w:rsid w:val="003B5E44"/>
    <w:rsid w:val="003B6050"/>
    <w:rsid w:val="003B60DA"/>
    <w:rsid w:val="003B63F8"/>
    <w:rsid w:val="003B64C0"/>
    <w:rsid w:val="003B6541"/>
    <w:rsid w:val="003B6609"/>
    <w:rsid w:val="003B68B7"/>
    <w:rsid w:val="003B69B8"/>
    <w:rsid w:val="003B69E4"/>
    <w:rsid w:val="003B74AD"/>
    <w:rsid w:val="003B74E5"/>
    <w:rsid w:val="003B7650"/>
    <w:rsid w:val="003B7701"/>
    <w:rsid w:val="003B7830"/>
    <w:rsid w:val="003B7849"/>
    <w:rsid w:val="003B7A4F"/>
    <w:rsid w:val="003B7A78"/>
    <w:rsid w:val="003B7ACD"/>
    <w:rsid w:val="003B7BD9"/>
    <w:rsid w:val="003B7C50"/>
    <w:rsid w:val="003B7CC9"/>
    <w:rsid w:val="003C00F2"/>
    <w:rsid w:val="003C0882"/>
    <w:rsid w:val="003C0ABD"/>
    <w:rsid w:val="003C0AD9"/>
    <w:rsid w:val="003C0BD3"/>
    <w:rsid w:val="003C0CDC"/>
    <w:rsid w:val="003C0D81"/>
    <w:rsid w:val="003C0F49"/>
    <w:rsid w:val="003C0FAF"/>
    <w:rsid w:val="003C105E"/>
    <w:rsid w:val="003C1386"/>
    <w:rsid w:val="003C185B"/>
    <w:rsid w:val="003C1CAB"/>
    <w:rsid w:val="003C2570"/>
    <w:rsid w:val="003C263E"/>
    <w:rsid w:val="003C29DD"/>
    <w:rsid w:val="003C2CF6"/>
    <w:rsid w:val="003C2E19"/>
    <w:rsid w:val="003C2E83"/>
    <w:rsid w:val="003C3112"/>
    <w:rsid w:val="003C325E"/>
    <w:rsid w:val="003C34E0"/>
    <w:rsid w:val="003C3ED2"/>
    <w:rsid w:val="003C3FD0"/>
    <w:rsid w:val="003C43B8"/>
    <w:rsid w:val="003C43C8"/>
    <w:rsid w:val="003C4402"/>
    <w:rsid w:val="003C483E"/>
    <w:rsid w:val="003C4B5A"/>
    <w:rsid w:val="003C4F05"/>
    <w:rsid w:val="003C5342"/>
    <w:rsid w:val="003C5567"/>
    <w:rsid w:val="003C55EA"/>
    <w:rsid w:val="003C56CE"/>
    <w:rsid w:val="003C5A0B"/>
    <w:rsid w:val="003C6206"/>
    <w:rsid w:val="003C642B"/>
    <w:rsid w:val="003C64C8"/>
    <w:rsid w:val="003C658E"/>
    <w:rsid w:val="003C65FB"/>
    <w:rsid w:val="003C6929"/>
    <w:rsid w:val="003C705F"/>
    <w:rsid w:val="003C7280"/>
    <w:rsid w:val="003C7465"/>
    <w:rsid w:val="003C7499"/>
    <w:rsid w:val="003C7517"/>
    <w:rsid w:val="003C76D3"/>
    <w:rsid w:val="003C78E4"/>
    <w:rsid w:val="003C79F3"/>
    <w:rsid w:val="003C7A88"/>
    <w:rsid w:val="003C7F01"/>
    <w:rsid w:val="003C7F93"/>
    <w:rsid w:val="003D0115"/>
    <w:rsid w:val="003D0495"/>
    <w:rsid w:val="003D0AF5"/>
    <w:rsid w:val="003D0EC2"/>
    <w:rsid w:val="003D13D0"/>
    <w:rsid w:val="003D14FD"/>
    <w:rsid w:val="003D1604"/>
    <w:rsid w:val="003D16DD"/>
    <w:rsid w:val="003D1A77"/>
    <w:rsid w:val="003D1D2B"/>
    <w:rsid w:val="003D1D81"/>
    <w:rsid w:val="003D33D7"/>
    <w:rsid w:val="003D3752"/>
    <w:rsid w:val="003D3FBD"/>
    <w:rsid w:val="003D3FD0"/>
    <w:rsid w:val="003D41E4"/>
    <w:rsid w:val="003D4206"/>
    <w:rsid w:val="003D4251"/>
    <w:rsid w:val="003D4469"/>
    <w:rsid w:val="003D461B"/>
    <w:rsid w:val="003D48E7"/>
    <w:rsid w:val="003D4B0A"/>
    <w:rsid w:val="003D4E1F"/>
    <w:rsid w:val="003D4EDC"/>
    <w:rsid w:val="003D5355"/>
    <w:rsid w:val="003D5905"/>
    <w:rsid w:val="003D5A49"/>
    <w:rsid w:val="003D5FCD"/>
    <w:rsid w:val="003D60B2"/>
    <w:rsid w:val="003D6247"/>
    <w:rsid w:val="003D628C"/>
    <w:rsid w:val="003D6319"/>
    <w:rsid w:val="003D63EE"/>
    <w:rsid w:val="003D6655"/>
    <w:rsid w:val="003D6A63"/>
    <w:rsid w:val="003D7082"/>
    <w:rsid w:val="003D75BA"/>
    <w:rsid w:val="003D76DE"/>
    <w:rsid w:val="003D7819"/>
    <w:rsid w:val="003D79F5"/>
    <w:rsid w:val="003D7F64"/>
    <w:rsid w:val="003E0097"/>
    <w:rsid w:val="003E080C"/>
    <w:rsid w:val="003E16CF"/>
    <w:rsid w:val="003E1886"/>
    <w:rsid w:val="003E1AA8"/>
    <w:rsid w:val="003E1DB9"/>
    <w:rsid w:val="003E1ED5"/>
    <w:rsid w:val="003E2221"/>
    <w:rsid w:val="003E228B"/>
    <w:rsid w:val="003E2505"/>
    <w:rsid w:val="003E27D4"/>
    <w:rsid w:val="003E292F"/>
    <w:rsid w:val="003E2CFA"/>
    <w:rsid w:val="003E2DAF"/>
    <w:rsid w:val="003E2DE4"/>
    <w:rsid w:val="003E31DC"/>
    <w:rsid w:val="003E3705"/>
    <w:rsid w:val="003E37A8"/>
    <w:rsid w:val="003E3C16"/>
    <w:rsid w:val="003E3DAC"/>
    <w:rsid w:val="003E3DD0"/>
    <w:rsid w:val="003E42C9"/>
    <w:rsid w:val="003E451F"/>
    <w:rsid w:val="003E4956"/>
    <w:rsid w:val="003E4B1F"/>
    <w:rsid w:val="003E51C3"/>
    <w:rsid w:val="003E543A"/>
    <w:rsid w:val="003E5A54"/>
    <w:rsid w:val="003E5C7C"/>
    <w:rsid w:val="003E5DB1"/>
    <w:rsid w:val="003E5DEB"/>
    <w:rsid w:val="003E5EE9"/>
    <w:rsid w:val="003E603E"/>
    <w:rsid w:val="003E6298"/>
    <w:rsid w:val="003E68E9"/>
    <w:rsid w:val="003E6C72"/>
    <w:rsid w:val="003E7059"/>
    <w:rsid w:val="003E71EC"/>
    <w:rsid w:val="003E7328"/>
    <w:rsid w:val="003E74BA"/>
    <w:rsid w:val="003E7508"/>
    <w:rsid w:val="003E76CB"/>
    <w:rsid w:val="003E76F6"/>
    <w:rsid w:val="003E7BFA"/>
    <w:rsid w:val="003E7C32"/>
    <w:rsid w:val="003E7D08"/>
    <w:rsid w:val="003E7EEE"/>
    <w:rsid w:val="003F016E"/>
    <w:rsid w:val="003F0C62"/>
    <w:rsid w:val="003F0C6A"/>
    <w:rsid w:val="003F0F98"/>
    <w:rsid w:val="003F19AD"/>
    <w:rsid w:val="003F1C06"/>
    <w:rsid w:val="003F1D48"/>
    <w:rsid w:val="003F1D76"/>
    <w:rsid w:val="003F1E5B"/>
    <w:rsid w:val="003F1F4D"/>
    <w:rsid w:val="003F1F56"/>
    <w:rsid w:val="003F20BA"/>
    <w:rsid w:val="003F2103"/>
    <w:rsid w:val="003F22C6"/>
    <w:rsid w:val="003F240F"/>
    <w:rsid w:val="003F2B22"/>
    <w:rsid w:val="003F2C13"/>
    <w:rsid w:val="003F2C2F"/>
    <w:rsid w:val="003F2EAC"/>
    <w:rsid w:val="003F2FC1"/>
    <w:rsid w:val="003F2FF2"/>
    <w:rsid w:val="003F3393"/>
    <w:rsid w:val="003F34C5"/>
    <w:rsid w:val="003F3C71"/>
    <w:rsid w:val="003F3CE6"/>
    <w:rsid w:val="003F3D9C"/>
    <w:rsid w:val="003F3DDC"/>
    <w:rsid w:val="003F3E93"/>
    <w:rsid w:val="003F4232"/>
    <w:rsid w:val="003F452E"/>
    <w:rsid w:val="003F4B5E"/>
    <w:rsid w:val="003F4E64"/>
    <w:rsid w:val="003F5139"/>
    <w:rsid w:val="003F5541"/>
    <w:rsid w:val="003F573E"/>
    <w:rsid w:val="003F5777"/>
    <w:rsid w:val="003F59FB"/>
    <w:rsid w:val="003F5BEC"/>
    <w:rsid w:val="003F5D3C"/>
    <w:rsid w:val="003F5D50"/>
    <w:rsid w:val="003F5F7F"/>
    <w:rsid w:val="003F6313"/>
    <w:rsid w:val="003F63E1"/>
    <w:rsid w:val="003F641A"/>
    <w:rsid w:val="003F6813"/>
    <w:rsid w:val="003F688E"/>
    <w:rsid w:val="003F6984"/>
    <w:rsid w:val="003F6B05"/>
    <w:rsid w:val="003F6E2A"/>
    <w:rsid w:val="003F6FC8"/>
    <w:rsid w:val="003F717E"/>
    <w:rsid w:val="003F75A9"/>
    <w:rsid w:val="003F7A6F"/>
    <w:rsid w:val="0040012A"/>
    <w:rsid w:val="00400166"/>
    <w:rsid w:val="004002A2"/>
    <w:rsid w:val="004002DF"/>
    <w:rsid w:val="00400364"/>
    <w:rsid w:val="00400414"/>
    <w:rsid w:val="004006E8"/>
    <w:rsid w:val="0040148A"/>
    <w:rsid w:val="00401A6F"/>
    <w:rsid w:val="004020E1"/>
    <w:rsid w:val="0040217C"/>
    <w:rsid w:val="004022A3"/>
    <w:rsid w:val="004025C5"/>
    <w:rsid w:val="004025D7"/>
    <w:rsid w:val="0040269A"/>
    <w:rsid w:val="00402A34"/>
    <w:rsid w:val="00402AC5"/>
    <w:rsid w:val="00402C0D"/>
    <w:rsid w:val="00402D44"/>
    <w:rsid w:val="00402EE9"/>
    <w:rsid w:val="004034B0"/>
    <w:rsid w:val="0040365F"/>
    <w:rsid w:val="00403788"/>
    <w:rsid w:val="00403AC8"/>
    <w:rsid w:val="00403AD0"/>
    <w:rsid w:val="00403BCF"/>
    <w:rsid w:val="00403DB6"/>
    <w:rsid w:val="00403F56"/>
    <w:rsid w:val="004040B3"/>
    <w:rsid w:val="004040C1"/>
    <w:rsid w:val="004043E1"/>
    <w:rsid w:val="004044F0"/>
    <w:rsid w:val="004044FC"/>
    <w:rsid w:val="00404632"/>
    <w:rsid w:val="004046AF"/>
    <w:rsid w:val="0040474F"/>
    <w:rsid w:val="00404832"/>
    <w:rsid w:val="004048F2"/>
    <w:rsid w:val="00404956"/>
    <w:rsid w:val="00404C9E"/>
    <w:rsid w:val="00404EB8"/>
    <w:rsid w:val="004050AC"/>
    <w:rsid w:val="004050E6"/>
    <w:rsid w:val="00405244"/>
    <w:rsid w:val="00405491"/>
    <w:rsid w:val="004054F8"/>
    <w:rsid w:val="00405760"/>
    <w:rsid w:val="004057BE"/>
    <w:rsid w:val="00405F2E"/>
    <w:rsid w:val="00405F97"/>
    <w:rsid w:val="0040628D"/>
    <w:rsid w:val="00406379"/>
    <w:rsid w:val="0040717F"/>
    <w:rsid w:val="00407256"/>
    <w:rsid w:val="0040727E"/>
    <w:rsid w:val="00407609"/>
    <w:rsid w:val="0040781C"/>
    <w:rsid w:val="00407C8D"/>
    <w:rsid w:val="00407CC4"/>
    <w:rsid w:val="00407E5D"/>
    <w:rsid w:val="00407FB6"/>
    <w:rsid w:val="004101F0"/>
    <w:rsid w:val="00410368"/>
    <w:rsid w:val="004104CF"/>
    <w:rsid w:val="00410773"/>
    <w:rsid w:val="004107EF"/>
    <w:rsid w:val="00410A00"/>
    <w:rsid w:val="00410B0F"/>
    <w:rsid w:val="00410BBC"/>
    <w:rsid w:val="00410BEA"/>
    <w:rsid w:val="00410EC4"/>
    <w:rsid w:val="00410FF1"/>
    <w:rsid w:val="004112F0"/>
    <w:rsid w:val="00411519"/>
    <w:rsid w:val="004115EF"/>
    <w:rsid w:val="004118BA"/>
    <w:rsid w:val="00411D3D"/>
    <w:rsid w:val="00411EA4"/>
    <w:rsid w:val="00412596"/>
    <w:rsid w:val="00412A20"/>
    <w:rsid w:val="00412B61"/>
    <w:rsid w:val="00412C36"/>
    <w:rsid w:val="0041303B"/>
    <w:rsid w:val="00413243"/>
    <w:rsid w:val="00413952"/>
    <w:rsid w:val="00413A0E"/>
    <w:rsid w:val="00413CAA"/>
    <w:rsid w:val="00413D34"/>
    <w:rsid w:val="00414441"/>
    <w:rsid w:val="00414608"/>
    <w:rsid w:val="004146F2"/>
    <w:rsid w:val="0041483A"/>
    <w:rsid w:val="00414C02"/>
    <w:rsid w:val="00414F60"/>
    <w:rsid w:val="0041526F"/>
    <w:rsid w:val="00415511"/>
    <w:rsid w:val="00415B54"/>
    <w:rsid w:val="00415CC8"/>
    <w:rsid w:val="00415FCF"/>
    <w:rsid w:val="00415FD4"/>
    <w:rsid w:val="00416142"/>
    <w:rsid w:val="0041643C"/>
    <w:rsid w:val="00416494"/>
    <w:rsid w:val="00416500"/>
    <w:rsid w:val="00416BE2"/>
    <w:rsid w:val="00416D33"/>
    <w:rsid w:val="00416D9F"/>
    <w:rsid w:val="00417241"/>
    <w:rsid w:val="00417713"/>
    <w:rsid w:val="00417A54"/>
    <w:rsid w:val="00417C3F"/>
    <w:rsid w:val="00417ECF"/>
    <w:rsid w:val="00420472"/>
    <w:rsid w:val="004207EF"/>
    <w:rsid w:val="00420C2F"/>
    <w:rsid w:val="0042154B"/>
    <w:rsid w:val="00421763"/>
    <w:rsid w:val="00421A32"/>
    <w:rsid w:val="00421C82"/>
    <w:rsid w:val="00421F14"/>
    <w:rsid w:val="004221E6"/>
    <w:rsid w:val="00422296"/>
    <w:rsid w:val="0042272D"/>
    <w:rsid w:val="004227A7"/>
    <w:rsid w:val="0042299F"/>
    <w:rsid w:val="00422CE9"/>
    <w:rsid w:val="00422EC8"/>
    <w:rsid w:val="00423D71"/>
    <w:rsid w:val="00423EC9"/>
    <w:rsid w:val="00423F20"/>
    <w:rsid w:val="00423F5F"/>
    <w:rsid w:val="00424011"/>
    <w:rsid w:val="00424046"/>
    <w:rsid w:val="0042462C"/>
    <w:rsid w:val="0042482B"/>
    <w:rsid w:val="00424892"/>
    <w:rsid w:val="00424901"/>
    <w:rsid w:val="00424AF0"/>
    <w:rsid w:val="00424E12"/>
    <w:rsid w:val="00424E82"/>
    <w:rsid w:val="0042512B"/>
    <w:rsid w:val="0042516C"/>
    <w:rsid w:val="00425490"/>
    <w:rsid w:val="004254A7"/>
    <w:rsid w:val="004258DB"/>
    <w:rsid w:val="00425AFF"/>
    <w:rsid w:val="00426E24"/>
    <w:rsid w:val="00427171"/>
    <w:rsid w:val="004271E3"/>
    <w:rsid w:val="004272C5"/>
    <w:rsid w:val="00427354"/>
    <w:rsid w:val="004276A9"/>
    <w:rsid w:val="004279F4"/>
    <w:rsid w:val="00427A69"/>
    <w:rsid w:val="00427C47"/>
    <w:rsid w:val="00427D11"/>
    <w:rsid w:val="00427EB4"/>
    <w:rsid w:val="00430063"/>
    <w:rsid w:val="0043014E"/>
    <w:rsid w:val="004303A1"/>
    <w:rsid w:val="004303C6"/>
    <w:rsid w:val="00430C32"/>
    <w:rsid w:val="0043105D"/>
    <w:rsid w:val="00431179"/>
    <w:rsid w:val="004314EB"/>
    <w:rsid w:val="00431D63"/>
    <w:rsid w:val="00431DF6"/>
    <w:rsid w:val="004321B6"/>
    <w:rsid w:val="0043224B"/>
    <w:rsid w:val="004326A3"/>
    <w:rsid w:val="004330FE"/>
    <w:rsid w:val="00433568"/>
    <w:rsid w:val="00433A96"/>
    <w:rsid w:val="00433BCD"/>
    <w:rsid w:val="00433D01"/>
    <w:rsid w:val="0043406E"/>
    <w:rsid w:val="004346F0"/>
    <w:rsid w:val="004349AC"/>
    <w:rsid w:val="00434A36"/>
    <w:rsid w:val="00434A9A"/>
    <w:rsid w:val="0043508E"/>
    <w:rsid w:val="004354D8"/>
    <w:rsid w:val="0043560D"/>
    <w:rsid w:val="004358A3"/>
    <w:rsid w:val="00435AA8"/>
    <w:rsid w:val="00435D3D"/>
    <w:rsid w:val="0043623F"/>
    <w:rsid w:val="004362E2"/>
    <w:rsid w:val="00436607"/>
    <w:rsid w:val="00436863"/>
    <w:rsid w:val="004369CB"/>
    <w:rsid w:val="00436CC1"/>
    <w:rsid w:val="00436D57"/>
    <w:rsid w:val="00436DC6"/>
    <w:rsid w:val="00437022"/>
    <w:rsid w:val="00437A28"/>
    <w:rsid w:val="00437B30"/>
    <w:rsid w:val="00437FCD"/>
    <w:rsid w:val="004404A4"/>
    <w:rsid w:val="0044065F"/>
    <w:rsid w:val="00440AB2"/>
    <w:rsid w:val="00440BDE"/>
    <w:rsid w:val="00440BF0"/>
    <w:rsid w:val="00440F09"/>
    <w:rsid w:val="00440F5F"/>
    <w:rsid w:val="004414FE"/>
    <w:rsid w:val="004415E9"/>
    <w:rsid w:val="00441670"/>
    <w:rsid w:val="004417D3"/>
    <w:rsid w:val="0044184D"/>
    <w:rsid w:val="00441984"/>
    <w:rsid w:val="00441D9C"/>
    <w:rsid w:val="00441E0E"/>
    <w:rsid w:val="00441F79"/>
    <w:rsid w:val="00442200"/>
    <w:rsid w:val="004423F9"/>
    <w:rsid w:val="004424A6"/>
    <w:rsid w:val="0044277F"/>
    <w:rsid w:val="0044290D"/>
    <w:rsid w:val="00443732"/>
    <w:rsid w:val="00443A6B"/>
    <w:rsid w:val="00443B2F"/>
    <w:rsid w:val="00443B81"/>
    <w:rsid w:val="00443E5A"/>
    <w:rsid w:val="00443EE0"/>
    <w:rsid w:val="00443F56"/>
    <w:rsid w:val="00444772"/>
    <w:rsid w:val="00444B45"/>
    <w:rsid w:val="00444C6F"/>
    <w:rsid w:val="00445416"/>
    <w:rsid w:val="00445418"/>
    <w:rsid w:val="0044575F"/>
    <w:rsid w:val="00445949"/>
    <w:rsid w:val="004459D4"/>
    <w:rsid w:val="00445B4F"/>
    <w:rsid w:val="00445B54"/>
    <w:rsid w:val="00445F8E"/>
    <w:rsid w:val="004461F9"/>
    <w:rsid w:val="00446265"/>
    <w:rsid w:val="004462F7"/>
    <w:rsid w:val="004466DA"/>
    <w:rsid w:val="004468ED"/>
    <w:rsid w:val="00446CEF"/>
    <w:rsid w:val="00446D00"/>
    <w:rsid w:val="00446F4A"/>
    <w:rsid w:val="004475E0"/>
    <w:rsid w:val="004476E6"/>
    <w:rsid w:val="00447B61"/>
    <w:rsid w:val="00447D7C"/>
    <w:rsid w:val="00447F79"/>
    <w:rsid w:val="004500B9"/>
    <w:rsid w:val="00450258"/>
    <w:rsid w:val="0045139C"/>
    <w:rsid w:val="00451998"/>
    <w:rsid w:val="00451A43"/>
    <w:rsid w:val="00451A8F"/>
    <w:rsid w:val="00451BA5"/>
    <w:rsid w:val="00451BEE"/>
    <w:rsid w:val="00451C6D"/>
    <w:rsid w:val="00451DA4"/>
    <w:rsid w:val="00451EB7"/>
    <w:rsid w:val="00451F96"/>
    <w:rsid w:val="004526FB"/>
    <w:rsid w:val="00452741"/>
    <w:rsid w:val="00452ABD"/>
    <w:rsid w:val="00452B98"/>
    <w:rsid w:val="00452D8B"/>
    <w:rsid w:val="00452F24"/>
    <w:rsid w:val="00453748"/>
    <w:rsid w:val="0045375E"/>
    <w:rsid w:val="00453821"/>
    <w:rsid w:val="00453924"/>
    <w:rsid w:val="00453A9B"/>
    <w:rsid w:val="00453D0F"/>
    <w:rsid w:val="00453D50"/>
    <w:rsid w:val="00453D9D"/>
    <w:rsid w:val="00454707"/>
    <w:rsid w:val="00454748"/>
    <w:rsid w:val="0045474A"/>
    <w:rsid w:val="00454881"/>
    <w:rsid w:val="004549E9"/>
    <w:rsid w:val="00454EF2"/>
    <w:rsid w:val="00454F20"/>
    <w:rsid w:val="00455039"/>
    <w:rsid w:val="0045508B"/>
    <w:rsid w:val="0045588A"/>
    <w:rsid w:val="00455CB0"/>
    <w:rsid w:val="0045613F"/>
    <w:rsid w:val="004561F8"/>
    <w:rsid w:val="00456284"/>
    <w:rsid w:val="004562F7"/>
    <w:rsid w:val="00456426"/>
    <w:rsid w:val="00456518"/>
    <w:rsid w:val="0045675D"/>
    <w:rsid w:val="00456768"/>
    <w:rsid w:val="004567BC"/>
    <w:rsid w:val="00456ECC"/>
    <w:rsid w:val="004570EB"/>
    <w:rsid w:val="0045724F"/>
    <w:rsid w:val="004600BA"/>
    <w:rsid w:val="0046011A"/>
    <w:rsid w:val="0046066A"/>
    <w:rsid w:val="00460EA5"/>
    <w:rsid w:val="004611A2"/>
    <w:rsid w:val="00461BF1"/>
    <w:rsid w:val="00461C25"/>
    <w:rsid w:val="00461CB6"/>
    <w:rsid w:val="0046204B"/>
    <w:rsid w:val="00462606"/>
    <w:rsid w:val="00462901"/>
    <w:rsid w:val="00462C98"/>
    <w:rsid w:val="004635CC"/>
    <w:rsid w:val="004636E8"/>
    <w:rsid w:val="00463BA5"/>
    <w:rsid w:val="00463C6C"/>
    <w:rsid w:val="004640A9"/>
    <w:rsid w:val="004641B6"/>
    <w:rsid w:val="00464386"/>
    <w:rsid w:val="004645F5"/>
    <w:rsid w:val="0046474F"/>
    <w:rsid w:val="0046483B"/>
    <w:rsid w:val="004649BE"/>
    <w:rsid w:val="00464A3B"/>
    <w:rsid w:val="00464D7B"/>
    <w:rsid w:val="00464F12"/>
    <w:rsid w:val="00464FF6"/>
    <w:rsid w:val="004653B9"/>
    <w:rsid w:val="004654A4"/>
    <w:rsid w:val="00465551"/>
    <w:rsid w:val="00465753"/>
    <w:rsid w:val="00465868"/>
    <w:rsid w:val="00465892"/>
    <w:rsid w:val="00465B15"/>
    <w:rsid w:val="00465B47"/>
    <w:rsid w:val="00465BF0"/>
    <w:rsid w:val="00465DDB"/>
    <w:rsid w:val="0046633E"/>
    <w:rsid w:val="004666AB"/>
    <w:rsid w:val="0046697B"/>
    <w:rsid w:val="00467138"/>
    <w:rsid w:val="00467362"/>
    <w:rsid w:val="004673D0"/>
    <w:rsid w:val="00467743"/>
    <w:rsid w:val="0046795B"/>
    <w:rsid w:val="00467B6B"/>
    <w:rsid w:val="00467C1E"/>
    <w:rsid w:val="00467C84"/>
    <w:rsid w:val="00467E66"/>
    <w:rsid w:val="00470360"/>
    <w:rsid w:val="004705CA"/>
    <w:rsid w:val="004709EE"/>
    <w:rsid w:val="00470A20"/>
    <w:rsid w:val="00471041"/>
    <w:rsid w:val="0047116F"/>
    <w:rsid w:val="0047160F"/>
    <w:rsid w:val="004719F9"/>
    <w:rsid w:val="00471BD3"/>
    <w:rsid w:val="00471EBD"/>
    <w:rsid w:val="00472090"/>
    <w:rsid w:val="00472258"/>
    <w:rsid w:val="004725AC"/>
    <w:rsid w:val="00472F57"/>
    <w:rsid w:val="00472F83"/>
    <w:rsid w:val="004731F0"/>
    <w:rsid w:val="00473247"/>
    <w:rsid w:val="00473418"/>
    <w:rsid w:val="0047341D"/>
    <w:rsid w:val="004734B0"/>
    <w:rsid w:val="004735B4"/>
    <w:rsid w:val="00473A25"/>
    <w:rsid w:val="00473DD3"/>
    <w:rsid w:val="00473E2A"/>
    <w:rsid w:val="00474011"/>
    <w:rsid w:val="00474181"/>
    <w:rsid w:val="00474190"/>
    <w:rsid w:val="00474195"/>
    <w:rsid w:val="0047426B"/>
    <w:rsid w:val="00474381"/>
    <w:rsid w:val="004744B0"/>
    <w:rsid w:val="00474645"/>
    <w:rsid w:val="00474847"/>
    <w:rsid w:val="00474C69"/>
    <w:rsid w:val="00474E32"/>
    <w:rsid w:val="00474F60"/>
    <w:rsid w:val="00474FCB"/>
    <w:rsid w:val="004753E2"/>
    <w:rsid w:val="00475454"/>
    <w:rsid w:val="0047576B"/>
    <w:rsid w:val="004758D4"/>
    <w:rsid w:val="00475A4F"/>
    <w:rsid w:val="00475A73"/>
    <w:rsid w:val="00475B3E"/>
    <w:rsid w:val="00475E00"/>
    <w:rsid w:val="004761A2"/>
    <w:rsid w:val="00476D29"/>
    <w:rsid w:val="00476E22"/>
    <w:rsid w:val="00476EE0"/>
    <w:rsid w:val="004772AC"/>
    <w:rsid w:val="004774EB"/>
    <w:rsid w:val="004775CF"/>
    <w:rsid w:val="0047779E"/>
    <w:rsid w:val="00477946"/>
    <w:rsid w:val="00477B51"/>
    <w:rsid w:val="00477F3F"/>
    <w:rsid w:val="00477FF0"/>
    <w:rsid w:val="004800D2"/>
    <w:rsid w:val="004804DD"/>
    <w:rsid w:val="004806A8"/>
    <w:rsid w:val="0048076A"/>
    <w:rsid w:val="00480A15"/>
    <w:rsid w:val="00480C83"/>
    <w:rsid w:val="004811AB"/>
    <w:rsid w:val="00481233"/>
    <w:rsid w:val="00481288"/>
    <w:rsid w:val="00481951"/>
    <w:rsid w:val="00481B84"/>
    <w:rsid w:val="00481D54"/>
    <w:rsid w:val="00481DA7"/>
    <w:rsid w:val="00481EFE"/>
    <w:rsid w:val="0048234D"/>
    <w:rsid w:val="0048250C"/>
    <w:rsid w:val="00482AEB"/>
    <w:rsid w:val="00482DD3"/>
    <w:rsid w:val="0048344E"/>
    <w:rsid w:val="00483655"/>
    <w:rsid w:val="00483834"/>
    <w:rsid w:val="00483A3A"/>
    <w:rsid w:val="00483A57"/>
    <w:rsid w:val="00483C60"/>
    <w:rsid w:val="00483EAA"/>
    <w:rsid w:val="00483FE2"/>
    <w:rsid w:val="00483FEC"/>
    <w:rsid w:val="0048422B"/>
    <w:rsid w:val="004842CB"/>
    <w:rsid w:val="004846B1"/>
    <w:rsid w:val="004846EE"/>
    <w:rsid w:val="00484D0E"/>
    <w:rsid w:val="00484FD0"/>
    <w:rsid w:val="00484FFB"/>
    <w:rsid w:val="0048516B"/>
    <w:rsid w:val="004854AD"/>
    <w:rsid w:val="00485546"/>
    <w:rsid w:val="0048569D"/>
    <w:rsid w:val="00485A41"/>
    <w:rsid w:val="00485D52"/>
    <w:rsid w:val="00485D80"/>
    <w:rsid w:val="00485E5D"/>
    <w:rsid w:val="00485E92"/>
    <w:rsid w:val="00486074"/>
    <w:rsid w:val="0048617D"/>
    <w:rsid w:val="004864E8"/>
    <w:rsid w:val="00486559"/>
    <w:rsid w:val="00486941"/>
    <w:rsid w:val="00486E03"/>
    <w:rsid w:val="00486EA7"/>
    <w:rsid w:val="0048726A"/>
    <w:rsid w:val="00487552"/>
    <w:rsid w:val="00487858"/>
    <w:rsid w:val="004878E5"/>
    <w:rsid w:val="00487964"/>
    <w:rsid w:val="00487989"/>
    <w:rsid w:val="00487C0B"/>
    <w:rsid w:val="00487F0E"/>
    <w:rsid w:val="004906A3"/>
    <w:rsid w:val="00490797"/>
    <w:rsid w:val="00490852"/>
    <w:rsid w:val="00490959"/>
    <w:rsid w:val="00490A50"/>
    <w:rsid w:val="00490D1C"/>
    <w:rsid w:val="00490DD4"/>
    <w:rsid w:val="00490EC8"/>
    <w:rsid w:val="0049104F"/>
    <w:rsid w:val="004911CB"/>
    <w:rsid w:val="00491287"/>
    <w:rsid w:val="00491469"/>
    <w:rsid w:val="00491470"/>
    <w:rsid w:val="00491555"/>
    <w:rsid w:val="00491804"/>
    <w:rsid w:val="00491A0B"/>
    <w:rsid w:val="0049204D"/>
    <w:rsid w:val="004920F6"/>
    <w:rsid w:val="00492812"/>
    <w:rsid w:val="00492A47"/>
    <w:rsid w:val="00492B04"/>
    <w:rsid w:val="00492BB0"/>
    <w:rsid w:val="00492E6C"/>
    <w:rsid w:val="0049371A"/>
    <w:rsid w:val="004937CE"/>
    <w:rsid w:val="00493937"/>
    <w:rsid w:val="00493D66"/>
    <w:rsid w:val="00493FBF"/>
    <w:rsid w:val="00493FDF"/>
    <w:rsid w:val="00493FE7"/>
    <w:rsid w:val="0049407F"/>
    <w:rsid w:val="0049428B"/>
    <w:rsid w:val="004944CF"/>
    <w:rsid w:val="004944DC"/>
    <w:rsid w:val="00494518"/>
    <w:rsid w:val="00494696"/>
    <w:rsid w:val="004947D3"/>
    <w:rsid w:val="00494CED"/>
    <w:rsid w:val="004952CA"/>
    <w:rsid w:val="004955A6"/>
    <w:rsid w:val="004962CF"/>
    <w:rsid w:val="004962E6"/>
    <w:rsid w:val="00496356"/>
    <w:rsid w:val="0049635A"/>
    <w:rsid w:val="0049665D"/>
    <w:rsid w:val="00496D4D"/>
    <w:rsid w:val="004976A1"/>
    <w:rsid w:val="004979C8"/>
    <w:rsid w:val="00497DDC"/>
    <w:rsid w:val="00497E33"/>
    <w:rsid w:val="00497F6F"/>
    <w:rsid w:val="004A00AA"/>
    <w:rsid w:val="004A012E"/>
    <w:rsid w:val="004A014C"/>
    <w:rsid w:val="004A019F"/>
    <w:rsid w:val="004A0315"/>
    <w:rsid w:val="004A0633"/>
    <w:rsid w:val="004A0748"/>
    <w:rsid w:val="004A09FB"/>
    <w:rsid w:val="004A0A4C"/>
    <w:rsid w:val="004A0BC9"/>
    <w:rsid w:val="004A0D88"/>
    <w:rsid w:val="004A0D90"/>
    <w:rsid w:val="004A0E26"/>
    <w:rsid w:val="004A0EB4"/>
    <w:rsid w:val="004A10F8"/>
    <w:rsid w:val="004A11E7"/>
    <w:rsid w:val="004A13D6"/>
    <w:rsid w:val="004A174D"/>
    <w:rsid w:val="004A1B85"/>
    <w:rsid w:val="004A1B92"/>
    <w:rsid w:val="004A1EB2"/>
    <w:rsid w:val="004A2150"/>
    <w:rsid w:val="004A2249"/>
    <w:rsid w:val="004A247F"/>
    <w:rsid w:val="004A271A"/>
    <w:rsid w:val="004A2B8D"/>
    <w:rsid w:val="004A2FDD"/>
    <w:rsid w:val="004A31CE"/>
    <w:rsid w:val="004A3720"/>
    <w:rsid w:val="004A38AA"/>
    <w:rsid w:val="004A38BD"/>
    <w:rsid w:val="004A38C8"/>
    <w:rsid w:val="004A3B2B"/>
    <w:rsid w:val="004A3D1C"/>
    <w:rsid w:val="004A3E8A"/>
    <w:rsid w:val="004A43C2"/>
    <w:rsid w:val="004A476F"/>
    <w:rsid w:val="004A4811"/>
    <w:rsid w:val="004A48F5"/>
    <w:rsid w:val="004A4A36"/>
    <w:rsid w:val="004A4AC6"/>
    <w:rsid w:val="004A50E7"/>
    <w:rsid w:val="004A520B"/>
    <w:rsid w:val="004A524E"/>
    <w:rsid w:val="004A52A3"/>
    <w:rsid w:val="004A5491"/>
    <w:rsid w:val="004A57A4"/>
    <w:rsid w:val="004A5BB3"/>
    <w:rsid w:val="004A5BF5"/>
    <w:rsid w:val="004A5C17"/>
    <w:rsid w:val="004A5D0C"/>
    <w:rsid w:val="004A6022"/>
    <w:rsid w:val="004A63BC"/>
    <w:rsid w:val="004A6498"/>
    <w:rsid w:val="004A66E5"/>
    <w:rsid w:val="004A6939"/>
    <w:rsid w:val="004A709C"/>
    <w:rsid w:val="004A7548"/>
    <w:rsid w:val="004A76B5"/>
    <w:rsid w:val="004A76FF"/>
    <w:rsid w:val="004A7795"/>
    <w:rsid w:val="004A7814"/>
    <w:rsid w:val="004A79AE"/>
    <w:rsid w:val="004A7A9E"/>
    <w:rsid w:val="004A7F0D"/>
    <w:rsid w:val="004B0015"/>
    <w:rsid w:val="004B0083"/>
    <w:rsid w:val="004B010C"/>
    <w:rsid w:val="004B0275"/>
    <w:rsid w:val="004B02FC"/>
    <w:rsid w:val="004B0350"/>
    <w:rsid w:val="004B0438"/>
    <w:rsid w:val="004B048E"/>
    <w:rsid w:val="004B0608"/>
    <w:rsid w:val="004B0D08"/>
    <w:rsid w:val="004B0D5B"/>
    <w:rsid w:val="004B0DF9"/>
    <w:rsid w:val="004B0E9C"/>
    <w:rsid w:val="004B0F52"/>
    <w:rsid w:val="004B0F57"/>
    <w:rsid w:val="004B1155"/>
    <w:rsid w:val="004B14C7"/>
    <w:rsid w:val="004B1502"/>
    <w:rsid w:val="004B1C99"/>
    <w:rsid w:val="004B1D45"/>
    <w:rsid w:val="004B22C9"/>
    <w:rsid w:val="004B2C9D"/>
    <w:rsid w:val="004B2E67"/>
    <w:rsid w:val="004B2F08"/>
    <w:rsid w:val="004B31EA"/>
    <w:rsid w:val="004B3DF7"/>
    <w:rsid w:val="004B4138"/>
    <w:rsid w:val="004B41C3"/>
    <w:rsid w:val="004B424C"/>
    <w:rsid w:val="004B444C"/>
    <w:rsid w:val="004B45DC"/>
    <w:rsid w:val="004B46DD"/>
    <w:rsid w:val="004B4DA3"/>
    <w:rsid w:val="004B4EEB"/>
    <w:rsid w:val="004B4F43"/>
    <w:rsid w:val="004B5633"/>
    <w:rsid w:val="004B5749"/>
    <w:rsid w:val="004B5A58"/>
    <w:rsid w:val="004B5A85"/>
    <w:rsid w:val="004B5C3C"/>
    <w:rsid w:val="004B5C81"/>
    <w:rsid w:val="004B61B9"/>
    <w:rsid w:val="004B652A"/>
    <w:rsid w:val="004B65E6"/>
    <w:rsid w:val="004B6654"/>
    <w:rsid w:val="004B67C3"/>
    <w:rsid w:val="004B6848"/>
    <w:rsid w:val="004B689A"/>
    <w:rsid w:val="004B6A18"/>
    <w:rsid w:val="004B6BDD"/>
    <w:rsid w:val="004B6FA5"/>
    <w:rsid w:val="004B72AC"/>
    <w:rsid w:val="004B72AD"/>
    <w:rsid w:val="004B73E6"/>
    <w:rsid w:val="004B7407"/>
    <w:rsid w:val="004B7682"/>
    <w:rsid w:val="004B790C"/>
    <w:rsid w:val="004B79B3"/>
    <w:rsid w:val="004B7A02"/>
    <w:rsid w:val="004B7E26"/>
    <w:rsid w:val="004B7E41"/>
    <w:rsid w:val="004B7E67"/>
    <w:rsid w:val="004C01C0"/>
    <w:rsid w:val="004C03BB"/>
    <w:rsid w:val="004C048F"/>
    <w:rsid w:val="004C04C3"/>
    <w:rsid w:val="004C0AC2"/>
    <w:rsid w:val="004C0AF6"/>
    <w:rsid w:val="004C0B09"/>
    <w:rsid w:val="004C0B63"/>
    <w:rsid w:val="004C0B6F"/>
    <w:rsid w:val="004C0C32"/>
    <w:rsid w:val="004C0C56"/>
    <w:rsid w:val="004C0FCD"/>
    <w:rsid w:val="004C138A"/>
    <w:rsid w:val="004C15D6"/>
    <w:rsid w:val="004C1925"/>
    <w:rsid w:val="004C2497"/>
    <w:rsid w:val="004C2551"/>
    <w:rsid w:val="004C2735"/>
    <w:rsid w:val="004C2EBB"/>
    <w:rsid w:val="004C3160"/>
    <w:rsid w:val="004C3CEA"/>
    <w:rsid w:val="004C3D62"/>
    <w:rsid w:val="004C3EED"/>
    <w:rsid w:val="004C404D"/>
    <w:rsid w:val="004C40A1"/>
    <w:rsid w:val="004C42DF"/>
    <w:rsid w:val="004C489B"/>
    <w:rsid w:val="004C490A"/>
    <w:rsid w:val="004C4B6D"/>
    <w:rsid w:val="004C4E7F"/>
    <w:rsid w:val="004C4F3B"/>
    <w:rsid w:val="004C5076"/>
    <w:rsid w:val="004C51F7"/>
    <w:rsid w:val="004C52F4"/>
    <w:rsid w:val="004C570B"/>
    <w:rsid w:val="004C5853"/>
    <w:rsid w:val="004C591A"/>
    <w:rsid w:val="004C5C16"/>
    <w:rsid w:val="004C5E5B"/>
    <w:rsid w:val="004C6046"/>
    <w:rsid w:val="004C636E"/>
    <w:rsid w:val="004C6559"/>
    <w:rsid w:val="004C67DB"/>
    <w:rsid w:val="004C78AA"/>
    <w:rsid w:val="004C7B06"/>
    <w:rsid w:val="004C7DF5"/>
    <w:rsid w:val="004C7FB1"/>
    <w:rsid w:val="004D008C"/>
    <w:rsid w:val="004D00FC"/>
    <w:rsid w:val="004D010F"/>
    <w:rsid w:val="004D0196"/>
    <w:rsid w:val="004D0854"/>
    <w:rsid w:val="004D086C"/>
    <w:rsid w:val="004D0BB3"/>
    <w:rsid w:val="004D0BF2"/>
    <w:rsid w:val="004D0DE8"/>
    <w:rsid w:val="004D0EDE"/>
    <w:rsid w:val="004D12FB"/>
    <w:rsid w:val="004D1384"/>
    <w:rsid w:val="004D169C"/>
    <w:rsid w:val="004D1ACD"/>
    <w:rsid w:val="004D1B64"/>
    <w:rsid w:val="004D1D97"/>
    <w:rsid w:val="004D22AC"/>
    <w:rsid w:val="004D27DC"/>
    <w:rsid w:val="004D282F"/>
    <w:rsid w:val="004D2849"/>
    <w:rsid w:val="004D2D83"/>
    <w:rsid w:val="004D2D8E"/>
    <w:rsid w:val="004D2F1F"/>
    <w:rsid w:val="004D3239"/>
    <w:rsid w:val="004D3333"/>
    <w:rsid w:val="004D3737"/>
    <w:rsid w:val="004D3760"/>
    <w:rsid w:val="004D3CCB"/>
    <w:rsid w:val="004D3D8C"/>
    <w:rsid w:val="004D3E7C"/>
    <w:rsid w:val="004D3F91"/>
    <w:rsid w:val="004D4798"/>
    <w:rsid w:val="004D4841"/>
    <w:rsid w:val="004D484E"/>
    <w:rsid w:val="004D4985"/>
    <w:rsid w:val="004D4B81"/>
    <w:rsid w:val="004D4C8E"/>
    <w:rsid w:val="004D4EBC"/>
    <w:rsid w:val="004D4F2E"/>
    <w:rsid w:val="004D503B"/>
    <w:rsid w:val="004D5206"/>
    <w:rsid w:val="004D5264"/>
    <w:rsid w:val="004D5864"/>
    <w:rsid w:val="004D5BD3"/>
    <w:rsid w:val="004D5C5D"/>
    <w:rsid w:val="004D5CC0"/>
    <w:rsid w:val="004D5FA8"/>
    <w:rsid w:val="004D64CC"/>
    <w:rsid w:val="004D652E"/>
    <w:rsid w:val="004D6824"/>
    <w:rsid w:val="004D6B30"/>
    <w:rsid w:val="004D6D3F"/>
    <w:rsid w:val="004D72C4"/>
    <w:rsid w:val="004D7A3D"/>
    <w:rsid w:val="004D7DB0"/>
    <w:rsid w:val="004D7EC5"/>
    <w:rsid w:val="004E021B"/>
    <w:rsid w:val="004E036F"/>
    <w:rsid w:val="004E0832"/>
    <w:rsid w:val="004E0D9E"/>
    <w:rsid w:val="004E0EBB"/>
    <w:rsid w:val="004E0ED0"/>
    <w:rsid w:val="004E0EE0"/>
    <w:rsid w:val="004E1018"/>
    <w:rsid w:val="004E1029"/>
    <w:rsid w:val="004E105C"/>
    <w:rsid w:val="004E16E9"/>
    <w:rsid w:val="004E1B3D"/>
    <w:rsid w:val="004E1E9C"/>
    <w:rsid w:val="004E2070"/>
    <w:rsid w:val="004E21CF"/>
    <w:rsid w:val="004E26A1"/>
    <w:rsid w:val="004E293E"/>
    <w:rsid w:val="004E2D48"/>
    <w:rsid w:val="004E31B2"/>
    <w:rsid w:val="004E370A"/>
    <w:rsid w:val="004E3B07"/>
    <w:rsid w:val="004E3CD6"/>
    <w:rsid w:val="004E3CF1"/>
    <w:rsid w:val="004E3E50"/>
    <w:rsid w:val="004E3F8D"/>
    <w:rsid w:val="004E43A5"/>
    <w:rsid w:val="004E4470"/>
    <w:rsid w:val="004E454F"/>
    <w:rsid w:val="004E4C88"/>
    <w:rsid w:val="004E4CEF"/>
    <w:rsid w:val="004E4E28"/>
    <w:rsid w:val="004E5157"/>
    <w:rsid w:val="004E51E1"/>
    <w:rsid w:val="004E5544"/>
    <w:rsid w:val="004E568E"/>
    <w:rsid w:val="004E5739"/>
    <w:rsid w:val="004E59DA"/>
    <w:rsid w:val="004E5B25"/>
    <w:rsid w:val="004E5FFB"/>
    <w:rsid w:val="004E625B"/>
    <w:rsid w:val="004E6C3D"/>
    <w:rsid w:val="004E6D5D"/>
    <w:rsid w:val="004E6DF0"/>
    <w:rsid w:val="004E7443"/>
    <w:rsid w:val="004E78D9"/>
    <w:rsid w:val="004E7C70"/>
    <w:rsid w:val="004E7DA4"/>
    <w:rsid w:val="004F0368"/>
    <w:rsid w:val="004F03CC"/>
    <w:rsid w:val="004F070E"/>
    <w:rsid w:val="004F0927"/>
    <w:rsid w:val="004F0B0C"/>
    <w:rsid w:val="004F0B9D"/>
    <w:rsid w:val="004F0C08"/>
    <w:rsid w:val="004F0F4E"/>
    <w:rsid w:val="004F115A"/>
    <w:rsid w:val="004F1273"/>
    <w:rsid w:val="004F155F"/>
    <w:rsid w:val="004F1632"/>
    <w:rsid w:val="004F1918"/>
    <w:rsid w:val="004F1A55"/>
    <w:rsid w:val="004F1B43"/>
    <w:rsid w:val="004F1B70"/>
    <w:rsid w:val="004F1B8D"/>
    <w:rsid w:val="004F1B9F"/>
    <w:rsid w:val="004F21C9"/>
    <w:rsid w:val="004F2697"/>
    <w:rsid w:val="004F2E4E"/>
    <w:rsid w:val="004F3704"/>
    <w:rsid w:val="004F3A86"/>
    <w:rsid w:val="004F3F14"/>
    <w:rsid w:val="004F3FFC"/>
    <w:rsid w:val="004F40E0"/>
    <w:rsid w:val="004F41BD"/>
    <w:rsid w:val="004F41C0"/>
    <w:rsid w:val="004F42CD"/>
    <w:rsid w:val="004F44C6"/>
    <w:rsid w:val="004F4721"/>
    <w:rsid w:val="004F50A2"/>
    <w:rsid w:val="004F515D"/>
    <w:rsid w:val="004F549A"/>
    <w:rsid w:val="004F54CC"/>
    <w:rsid w:val="004F55D1"/>
    <w:rsid w:val="004F6757"/>
    <w:rsid w:val="004F6AD1"/>
    <w:rsid w:val="004F6CFB"/>
    <w:rsid w:val="004F6D09"/>
    <w:rsid w:val="004F6DE4"/>
    <w:rsid w:val="004F6F09"/>
    <w:rsid w:val="004F7077"/>
    <w:rsid w:val="004F7231"/>
    <w:rsid w:val="004F72BE"/>
    <w:rsid w:val="004F735D"/>
    <w:rsid w:val="004F77F6"/>
    <w:rsid w:val="004F7BAF"/>
    <w:rsid w:val="004F7D36"/>
    <w:rsid w:val="004F7EB0"/>
    <w:rsid w:val="004F7F58"/>
    <w:rsid w:val="00500BA4"/>
    <w:rsid w:val="00501066"/>
    <w:rsid w:val="00501185"/>
    <w:rsid w:val="0050135E"/>
    <w:rsid w:val="0050150F"/>
    <w:rsid w:val="00501537"/>
    <w:rsid w:val="005016D6"/>
    <w:rsid w:val="0050192F"/>
    <w:rsid w:val="00501951"/>
    <w:rsid w:val="00502745"/>
    <w:rsid w:val="00502846"/>
    <w:rsid w:val="00502A01"/>
    <w:rsid w:val="00502EC8"/>
    <w:rsid w:val="00502ED0"/>
    <w:rsid w:val="00503318"/>
    <w:rsid w:val="00503672"/>
    <w:rsid w:val="0050397A"/>
    <w:rsid w:val="00503AA7"/>
    <w:rsid w:val="00503B8C"/>
    <w:rsid w:val="00503C88"/>
    <w:rsid w:val="005041C5"/>
    <w:rsid w:val="00504302"/>
    <w:rsid w:val="005043BA"/>
    <w:rsid w:val="00504417"/>
    <w:rsid w:val="0050472D"/>
    <w:rsid w:val="005047A8"/>
    <w:rsid w:val="00504B77"/>
    <w:rsid w:val="00504DF0"/>
    <w:rsid w:val="00504E83"/>
    <w:rsid w:val="00504E84"/>
    <w:rsid w:val="00504E93"/>
    <w:rsid w:val="00504FBA"/>
    <w:rsid w:val="00505151"/>
    <w:rsid w:val="00505187"/>
    <w:rsid w:val="005052FF"/>
    <w:rsid w:val="00505386"/>
    <w:rsid w:val="00505ACB"/>
    <w:rsid w:val="00505B43"/>
    <w:rsid w:val="005060D1"/>
    <w:rsid w:val="0050610B"/>
    <w:rsid w:val="00506373"/>
    <w:rsid w:val="005063ED"/>
    <w:rsid w:val="00506ACC"/>
    <w:rsid w:val="00506B3D"/>
    <w:rsid w:val="00506CDE"/>
    <w:rsid w:val="00506D17"/>
    <w:rsid w:val="00506EA6"/>
    <w:rsid w:val="00506F78"/>
    <w:rsid w:val="005072D1"/>
    <w:rsid w:val="005074C0"/>
    <w:rsid w:val="0050778A"/>
    <w:rsid w:val="005079A4"/>
    <w:rsid w:val="00507ABA"/>
    <w:rsid w:val="005100E0"/>
    <w:rsid w:val="005101AF"/>
    <w:rsid w:val="0051046E"/>
    <w:rsid w:val="00510D95"/>
    <w:rsid w:val="00510FC7"/>
    <w:rsid w:val="00510FDF"/>
    <w:rsid w:val="00511500"/>
    <w:rsid w:val="00511775"/>
    <w:rsid w:val="005118A7"/>
    <w:rsid w:val="005119F5"/>
    <w:rsid w:val="00511B67"/>
    <w:rsid w:val="00511EA2"/>
    <w:rsid w:val="00512518"/>
    <w:rsid w:val="005125E1"/>
    <w:rsid w:val="00512826"/>
    <w:rsid w:val="00512990"/>
    <w:rsid w:val="00512E05"/>
    <w:rsid w:val="00512E06"/>
    <w:rsid w:val="00512F40"/>
    <w:rsid w:val="005135A7"/>
    <w:rsid w:val="005136BF"/>
    <w:rsid w:val="00513741"/>
    <w:rsid w:val="0051394B"/>
    <w:rsid w:val="00513AAE"/>
    <w:rsid w:val="00513B21"/>
    <w:rsid w:val="00513D70"/>
    <w:rsid w:val="005141B4"/>
    <w:rsid w:val="005141E0"/>
    <w:rsid w:val="0051423D"/>
    <w:rsid w:val="0051424F"/>
    <w:rsid w:val="0051425D"/>
    <w:rsid w:val="005142F7"/>
    <w:rsid w:val="00514429"/>
    <w:rsid w:val="00514475"/>
    <w:rsid w:val="005146F6"/>
    <w:rsid w:val="005149A7"/>
    <w:rsid w:val="00514E06"/>
    <w:rsid w:val="005150E7"/>
    <w:rsid w:val="005151DA"/>
    <w:rsid w:val="00515554"/>
    <w:rsid w:val="005157DA"/>
    <w:rsid w:val="005157FA"/>
    <w:rsid w:val="0051592E"/>
    <w:rsid w:val="00515F87"/>
    <w:rsid w:val="00516036"/>
    <w:rsid w:val="00516047"/>
    <w:rsid w:val="005163BB"/>
    <w:rsid w:val="00516A38"/>
    <w:rsid w:val="00516AF4"/>
    <w:rsid w:val="00517041"/>
    <w:rsid w:val="0051749B"/>
    <w:rsid w:val="00517653"/>
    <w:rsid w:val="005179D5"/>
    <w:rsid w:val="00517C06"/>
    <w:rsid w:val="00517D3A"/>
    <w:rsid w:val="00517DEA"/>
    <w:rsid w:val="00520769"/>
    <w:rsid w:val="00520A05"/>
    <w:rsid w:val="00520B01"/>
    <w:rsid w:val="00520B91"/>
    <w:rsid w:val="00520E40"/>
    <w:rsid w:val="00520F99"/>
    <w:rsid w:val="005212E2"/>
    <w:rsid w:val="00521C1E"/>
    <w:rsid w:val="00521CEB"/>
    <w:rsid w:val="00521E99"/>
    <w:rsid w:val="00521F90"/>
    <w:rsid w:val="0052242A"/>
    <w:rsid w:val="0052260A"/>
    <w:rsid w:val="005226D4"/>
    <w:rsid w:val="00522BA8"/>
    <w:rsid w:val="00522C3E"/>
    <w:rsid w:val="00523302"/>
    <w:rsid w:val="0052355B"/>
    <w:rsid w:val="00523588"/>
    <w:rsid w:val="005235B7"/>
    <w:rsid w:val="005237DB"/>
    <w:rsid w:val="00523DF1"/>
    <w:rsid w:val="00523F5C"/>
    <w:rsid w:val="005242B5"/>
    <w:rsid w:val="00524433"/>
    <w:rsid w:val="00524A2E"/>
    <w:rsid w:val="005250CB"/>
    <w:rsid w:val="005254F4"/>
    <w:rsid w:val="00525CD2"/>
    <w:rsid w:val="00525DB2"/>
    <w:rsid w:val="00526155"/>
    <w:rsid w:val="00526320"/>
    <w:rsid w:val="0052636F"/>
    <w:rsid w:val="00526391"/>
    <w:rsid w:val="005269EB"/>
    <w:rsid w:val="00526ACB"/>
    <w:rsid w:val="00526ECB"/>
    <w:rsid w:val="0052728F"/>
    <w:rsid w:val="005272BE"/>
    <w:rsid w:val="00527302"/>
    <w:rsid w:val="0052754E"/>
    <w:rsid w:val="005276A3"/>
    <w:rsid w:val="005279B9"/>
    <w:rsid w:val="00527BF5"/>
    <w:rsid w:val="00527DCC"/>
    <w:rsid w:val="00527E5A"/>
    <w:rsid w:val="00527E7E"/>
    <w:rsid w:val="0053001A"/>
    <w:rsid w:val="00530048"/>
    <w:rsid w:val="00530085"/>
    <w:rsid w:val="00530093"/>
    <w:rsid w:val="0053014D"/>
    <w:rsid w:val="0053020D"/>
    <w:rsid w:val="0053049D"/>
    <w:rsid w:val="005304D7"/>
    <w:rsid w:val="00530878"/>
    <w:rsid w:val="0053107E"/>
    <w:rsid w:val="005311B5"/>
    <w:rsid w:val="005311FB"/>
    <w:rsid w:val="005312D8"/>
    <w:rsid w:val="00531485"/>
    <w:rsid w:val="0053154B"/>
    <w:rsid w:val="005319AD"/>
    <w:rsid w:val="005319B4"/>
    <w:rsid w:val="00531BEA"/>
    <w:rsid w:val="00531C35"/>
    <w:rsid w:val="00532216"/>
    <w:rsid w:val="005325CB"/>
    <w:rsid w:val="00532623"/>
    <w:rsid w:val="00532808"/>
    <w:rsid w:val="0053290F"/>
    <w:rsid w:val="005329C7"/>
    <w:rsid w:val="00533031"/>
    <w:rsid w:val="00533129"/>
    <w:rsid w:val="0053396C"/>
    <w:rsid w:val="005339C4"/>
    <w:rsid w:val="00533CD5"/>
    <w:rsid w:val="00534247"/>
    <w:rsid w:val="0053475A"/>
    <w:rsid w:val="005348D2"/>
    <w:rsid w:val="005348D8"/>
    <w:rsid w:val="00534D82"/>
    <w:rsid w:val="00534DC9"/>
    <w:rsid w:val="005350DF"/>
    <w:rsid w:val="00535204"/>
    <w:rsid w:val="00535502"/>
    <w:rsid w:val="005355BC"/>
    <w:rsid w:val="005355C6"/>
    <w:rsid w:val="00535AFB"/>
    <w:rsid w:val="00535D7A"/>
    <w:rsid w:val="005360E6"/>
    <w:rsid w:val="005363C8"/>
    <w:rsid w:val="00536454"/>
    <w:rsid w:val="0053650F"/>
    <w:rsid w:val="005367F7"/>
    <w:rsid w:val="00536AD6"/>
    <w:rsid w:val="00536CAF"/>
    <w:rsid w:val="00536D36"/>
    <w:rsid w:val="00537029"/>
    <w:rsid w:val="0053750C"/>
    <w:rsid w:val="0053753D"/>
    <w:rsid w:val="00537A02"/>
    <w:rsid w:val="00537C0F"/>
    <w:rsid w:val="005400BB"/>
    <w:rsid w:val="005403DA"/>
    <w:rsid w:val="0054045F"/>
    <w:rsid w:val="005405CB"/>
    <w:rsid w:val="00540682"/>
    <w:rsid w:val="00540D0F"/>
    <w:rsid w:val="00540F26"/>
    <w:rsid w:val="00540F2F"/>
    <w:rsid w:val="00541104"/>
    <w:rsid w:val="00541351"/>
    <w:rsid w:val="00541592"/>
    <w:rsid w:val="005417C0"/>
    <w:rsid w:val="0054195B"/>
    <w:rsid w:val="00541981"/>
    <w:rsid w:val="00541BEE"/>
    <w:rsid w:val="00541BFC"/>
    <w:rsid w:val="00541E62"/>
    <w:rsid w:val="00541EA6"/>
    <w:rsid w:val="00541FB3"/>
    <w:rsid w:val="005420AE"/>
    <w:rsid w:val="0054234C"/>
    <w:rsid w:val="00542441"/>
    <w:rsid w:val="00542BB8"/>
    <w:rsid w:val="00542BEC"/>
    <w:rsid w:val="00542C0C"/>
    <w:rsid w:val="00542EE3"/>
    <w:rsid w:val="005430F5"/>
    <w:rsid w:val="00543137"/>
    <w:rsid w:val="0054321B"/>
    <w:rsid w:val="005432D5"/>
    <w:rsid w:val="0054371A"/>
    <w:rsid w:val="00543B35"/>
    <w:rsid w:val="00543C18"/>
    <w:rsid w:val="00543C33"/>
    <w:rsid w:val="00543D22"/>
    <w:rsid w:val="00543E45"/>
    <w:rsid w:val="00543F13"/>
    <w:rsid w:val="005440A7"/>
    <w:rsid w:val="005440AF"/>
    <w:rsid w:val="005440BB"/>
    <w:rsid w:val="00544171"/>
    <w:rsid w:val="005441CB"/>
    <w:rsid w:val="00544304"/>
    <w:rsid w:val="005446AA"/>
    <w:rsid w:val="0054487B"/>
    <w:rsid w:val="00544A30"/>
    <w:rsid w:val="00544C87"/>
    <w:rsid w:val="00545308"/>
    <w:rsid w:val="00545745"/>
    <w:rsid w:val="0054578F"/>
    <w:rsid w:val="0054597E"/>
    <w:rsid w:val="00545B38"/>
    <w:rsid w:val="00545E47"/>
    <w:rsid w:val="00545FAB"/>
    <w:rsid w:val="00546000"/>
    <w:rsid w:val="00546352"/>
    <w:rsid w:val="0054641F"/>
    <w:rsid w:val="00546581"/>
    <w:rsid w:val="0054678E"/>
    <w:rsid w:val="00546D90"/>
    <w:rsid w:val="00547796"/>
    <w:rsid w:val="00547AF4"/>
    <w:rsid w:val="00547B1B"/>
    <w:rsid w:val="00547D35"/>
    <w:rsid w:val="00547DF8"/>
    <w:rsid w:val="00547FD6"/>
    <w:rsid w:val="0055012F"/>
    <w:rsid w:val="005504A4"/>
    <w:rsid w:val="0055057A"/>
    <w:rsid w:val="0055071A"/>
    <w:rsid w:val="005509A8"/>
    <w:rsid w:val="00550BDF"/>
    <w:rsid w:val="00550D29"/>
    <w:rsid w:val="00551725"/>
    <w:rsid w:val="00551BD6"/>
    <w:rsid w:val="00551C11"/>
    <w:rsid w:val="00551CD8"/>
    <w:rsid w:val="00551D95"/>
    <w:rsid w:val="00551E23"/>
    <w:rsid w:val="005522FC"/>
    <w:rsid w:val="00552379"/>
    <w:rsid w:val="00552E23"/>
    <w:rsid w:val="00552F3C"/>
    <w:rsid w:val="00552F67"/>
    <w:rsid w:val="00553030"/>
    <w:rsid w:val="0055312C"/>
    <w:rsid w:val="005533E7"/>
    <w:rsid w:val="005533F9"/>
    <w:rsid w:val="00553452"/>
    <w:rsid w:val="00553659"/>
    <w:rsid w:val="00553FBE"/>
    <w:rsid w:val="00553FEF"/>
    <w:rsid w:val="005540C2"/>
    <w:rsid w:val="00554720"/>
    <w:rsid w:val="00554903"/>
    <w:rsid w:val="00554A22"/>
    <w:rsid w:val="00554BE4"/>
    <w:rsid w:val="00554CF7"/>
    <w:rsid w:val="00555037"/>
    <w:rsid w:val="005558A7"/>
    <w:rsid w:val="00555B14"/>
    <w:rsid w:val="00556CC3"/>
    <w:rsid w:val="0055715D"/>
    <w:rsid w:val="0055750F"/>
    <w:rsid w:val="00557727"/>
    <w:rsid w:val="00557BD8"/>
    <w:rsid w:val="00557E14"/>
    <w:rsid w:val="00557F9D"/>
    <w:rsid w:val="00560159"/>
    <w:rsid w:val="005603BD"/>
    <w:rsid w:val="0056059D"/>
    <w:rsid w:val="0056066C"/>
    <w:rsid w:val="00560D0A"/>
    <w:rsid w:val="00561265"/>
    <w:rsid w:val="00561432"/>
    <w:rsid w:val="005614D3"/>
    <w:rsid w:val="00561567"/>
    <w:rsid w:val="005615AB"/>
    <w:rsid w:val="00561FC2"/>
    <w:rsid w:val="00562086"/>
    <w:rsid w:val="005621AB"/>
    <w:rsid w:val="00562391"/>
    <w:rsid w:val="00562452"/>
    <w:rsid w:val="005624CA"/>
    <w:rsid w:val="00562633"/>
    <w:rsid w:val="00562689"/>
    <w:rsid w:val="00562780"/>
    <w:rsid w:val="00562CE4"/>
    <w:rsid w:val="00563060"/>
    <w:rsid w:val="005634FF"/>
    <w:rsid w:val="00563B6F"/>
    <w:rsid w:val="00563DA3"/>
    <w:rsid w:val="005641FB"/>
    <w:rsid w:val="00564266"/>
    <w:rsid w:val="00564A6D"/>
    <w:rsid w:val="00564E38"/>
    <w:rsid w:val="005650AE"/>
    <w:rsid w:val="005650F0"/>
    <w:rsid w:val="00565100"/>
    <w:rsid w:val="0056512D"/>
    <w:rsid w:val="00565159"/>
    <w:rsid w:val="00565202"/>
    <w:rsid w:val="005655C0"/>
    <w:rsid w:val="00565659"/>
    <w:rsid w:val="00565DB5"/>
    <w:rsid w:val="00565E3D"/>
    <w:rsid w:val="005665CB"/>
    <w:rsid w:val="00566678"/>
    <w:rsid w:val="005670BF"/>
    <w:rsid w:val="005671C7"/>
    <w:rsid w:val="0056720F"/>
    <w:rsid w:val="00567276"/>
    <w:rsid w:val="005675B3"/>
    <w:rsid w:val="00567C91"/>
    <w:rsid w:val="00570212"/>
    <w:rsid w:val="00570933"/>
    <w:rsid w:val="00570C39"/>
    <w:rsid w:val="00570FC4"/>
    <w:rsid w:val="00571431"/>
    <w:rsid w:val="00571627"/>
    <w:rsid w:val="005718D2"/>
    <w:rsid w:val="00571C48"/>
    <w:rsid w:val="00571CC3"/>
    <w:rsid w:val="00571F81"/>
    <w:rsid w:val="00571FC2"/>
    <w:rsid w:val="00572266"/>
    <w:rsid w:val="005722FA"/>
    <w:rsid w:val="005723DE"/>
    <w:rsid w:val="0057244F"/>
    <w:rsid w:val="00572592"/>
    <w:rsid w:val="005726C5"/>
    <w:rsid w:val="005729D7"/>
    <w:rsid w:val="00572CF7"/>
    <w:rsid w:val="005732B6"/>
    <w:rsid w:val="00573CFD"/>
    <w:rsid w:val="00573DDF"/>
    <w:rsid w:val="00573DEA"/>
    <w:rsid w:val="00574008"/>
    <w:rsid w:val="00574572"/>
    <w:rsid w:val="00574683"/>
    <w:rsid w:val="005748DC"/>
    <w:rsid w:val="00574B5D"/>
    <w:rsid w:val="00574DF9"/>
    <w:rsid w:val="00574E36"/>
    <w:rsid w:val="005751EB"/>
    <w:rsid w:val="00575452"/>
    <w:rsid w:val="00575857"/>
    <w:rsid w:val="0057592A"/>
    <w:rsid w:val="00575FF5"/>
    <w:rsid w:val="005760D2"/>
    <w:rsid w:val="0057624F"/>
    <w:rsid w:val="005763D1"/>
    <w:rsid w:val="00576688"/>
    <w:rsid w:val="0057669E"/>
    <w:rsid w:val="00576AF9"/>
    <w:rsid w:val="00576E08"/>
    <w:rsid w:val="00576E93"/>
    <w:rsid w:val="0057720F"/>
    <w:rsid w:val="005773B7"/>
    <w:rsid w:val="005779A4"/>
    <w:rsid w:val="00577A73"/>
    <w:rsid w:val="00577BFC"/>
    <w:rsid w:val="0058040C"/>
    <w:rsid w:val="00580900"/>
    <w:rsid w:val="00580BC8"/>
    <w:rsid w:val="00580D63"/>
    <w:rsid w:val="00580DED"/>
    <w:rsid w:val="00581350"/>
    <w:rsid w:val="005814C7"/>
    <w:rsid w:val="00581A12"/>
    <w:rsid w:val="00582484"/>
    <w:rsid w:val="005828FE"/>
    <w:rsid w:val="00582DE7"/>
    <w:rsid w:val="00582DFC"/>
    <w:rsid w:val="0058344A"/>
    <w:rsid w:val="0058356C"/>
    <w:rsid w:val="00583BCC"/>
    <w:rsid w:val="00583C6D"/>
    <w:rsid w:val="005841DB"/>
    <w:rsid w:val="0058477F"/>
    <w:rsid w:val="005849AA"/>
    <w:rsid w:val="00584BB8"/>
    <w:rsid w:val="00584D7D"/>
    <w:rsid w:val="00584F38"/>
    <w:rsid w:val="00584FB8"/>
    <w:rsid w:val="005852C3"/>
    <w:rsid w:val="00585461"/>
    <w:rsid w:val="00585862"/>
    <w:rsid w:val="00585876"/>
    <w:rsid w:val="00585AC4"/>
    <w:rsid w:val="0058619A"/>
    <w:rsid w:val="00586352"/>
    <w:rsid w:val="005863D2"/>
    <w:rsid w:val="00586472"/>
    <w:rsid w:val="005865C6"/>
    <w:rsid w:val="00586669"/>
    <w:rsid w:val="00586CE1"/>
    <w:rsid w:val="00587272"/>
    <w:rsid w:val="0058744C"/>
    <w:rsid w:val="005875CC"/>
    <w:rsid w:val="00587764"/>
    <w:rsid w:val="0058786E"/>
    <w:rsid w:val="00590737"/>
    <w:rsid w:val="005907F6"/>
    <w:rsid w:val="00590846"/>
    <w:rsid w:val="00590952"/>
    <w:rsid w:val="00590D00"/>
    <w:rsid w:val="005912A3"/>
    <w:rsid w:val="005912BB"/>
    <w:rsid w:val="00591524"/>
    <w:rsid w:val="0059169A"/>
    <w:rsid w:val="00591B42"/>
    <w:rsid w:val="00591BFA"/>
    <w:rsid w:val="00591C53"/>
    <w:rsid w:val="0059266A"/>
    <w:rsid w:val="00592877"/>
    <w:rsid w:val="00592919"/>
    <w:rsid w:val="00592AAA"/>
    <w:rsid w:val="00592AF3"/>
    <w:rsid w:val="00592C5A"/>
    <w:rsid w:val="00592D21"/>
    <w:rsid w:val="00593068"/>
    <w:rsid w:val="005930A1"/>
    <w:rsid w:val="0059337A"/>
    <w:rsid w:val="005933E6"/>
    <w:rsid w:val="00593412"/>
    <w:rsid w:val="005937F4"/>
    <w:rsid w:val="00593BAB"/>
    <w:rsid w:val="00593C72"/>
    <w:rsid w:val="00593EC6"/>
    <w:rsid w:val="005941BA"/>
    <w:rsid w:val="005945B0"/>
    <w:rsid w:val="005946D0"/>
    <w:rsid w:val="00594836"/>
    <w:rsid w:val="00594867"/>
    <w:rsid w:val="005949BD"/>
    <w:rsid w:val="00594D2E"/>
    <w:rsid w:val="00594DAA"/>
    <w:rsid w:val="00595459"/>
    <w:rsid w:val="00595468"/>
    <w:rsid w:val="00595B8C"/>
    <w:rsid w:val="00595D79"/>
    <w:rsid w:val="005963D9"/>
    <w:rsid w:val="005966AB"/>
    <w:rsid w:val="005966E0"/>
    <w:rsid w:val="00596B9E"/>
    <w:rsid w:val="00596BA4"/>
    <w:rsid w:val="0059712B"/>
    <w:rsid w:val="005972DC"/>
    <w:rsid w:val="00597603"/>
    <w:rsid w:val="00597745"/>
    <w:rsid w:val="005979E6"/>
    <w:rsid w:val="00597CD1"/>
    <w:rsid w:val="005A02F7"/>
    <w:rsid w:val="005A0344"/>
    <w:rsid w:val="005A0437"/>
    <w:rsid w:val="005A0B4C"/>
    <w:rsid w:val="005A0B58"/>
    <w:rsid w:val="005A0D27"/>
    <w:rsid w:val="005A0F04"/>
    <w:rsid w:val="005A10A3"/>
    <w:rsid w:val="005A1510"/>
    <w:rsid w:val="005A172B"/>
    <w:rsid w:val="005A173B"/>
    <w:rsid w:val="005A1752"/>
    <w:rsid w:val="005A1D7D"/>
    <w:rsid w:val="005A20E4"/>
    <w:rsid w:val="005A2351"/>
    <w:rsid w:val="005A248C"/>
    <w:rsid w:val="005A273D"/>
    <w:rsid w:val="005A29B2"/>
    <w:rsid w:val="005A2A3F"/>
    <w:rsid w:val="005A2ABA"/>
    <w:rsid w:val="005A2B6D"/>
    <w:rsid w:val="005A2D0D"/>
    <w:rsid w:val="005A316C"/>
    <w:rsid w:val="005A327D"/>
    <w:rsid w:val="005A3346"/>
    <w:rsid w:val="005A3475"/>
    <w:rsid w:val="005A3A4D"/>
    <w:rsid w:val="005A3A88"/>
    <w:rsid w:val="005A3C54"/>
    <w:rsid w:val="005A3C66"/>
    <w:rsid w:val="005A42BD"/>
    <w:rsid w:val="005A42D0"/>
    <w:rsid w:val="005A43DB"/>
    <w:rsid w:val="005A4488"/>
    <w:rsid w:val="005A48C6"/>
    <w:rsid w:val="005A55B7"/>
    <w:rsid w:val="005A56B2"/>
    <w:rsid w:val="005A57B4"/>
    <w:rsid w:val="005A5BDA"/>
    <w:rsid w:val="005A5D49"/>
    <w:rsid w:val="005A5D4C"/>
    <w:rsid w:val="005A5E69"/>
    <w:rsid w:val="005A5FE1"/>
    <w:rsid w:val="005A6322"/>
    <w:rsid w:val="005A64CF"/>
    <w:rsid w:val="005A6E49"/>
    <w:rsid w:val="005A6F55"/>
    <w:rsid w:val="005A70AC"/>
    <w:rsid w:val="005A7120"/>
    <w:rsid w:val="005A7317"/>
    <w:rsid w:val="005A75ED"/>
    <w:rsid w:val="005A7A2C"/>
    <w:rsid w:val="005A7D3B"/>
    <w:rsid w:val="005A7DCC"/>
    <w:rsid w:val="005B02EC"/>
    <w:rsid w:val="005B0662"/>
    <w:rsid w:val="005B0885"/>
    <w:rsid w:val="005B0A42"/>
    <w:rsid w:val="005B0F85"/>
    <w:rsid w:val="005B12AC"/>
    <w:rsid w:val="005B176B"/>
    <w:rsid w:val="005B1C94"/>
    <w:rsid w:val="005B1DAC"/>
    <w:rsid w:val="005B242B"/>
    <w:rsid w:val="005B2576"/>
    <w:rsid w:val="005B2910"/>
    <w:rsid w:val="005B2A95"/>
    <w:rsid w:val="005B2E1C"/>
    <w:rsid w:val="005B32C5"/>
    <w:rsid w:val="005B35FE"/>
    <w:rsid w:val="005B360D"/>
    <w:rsid w:val="005B3DBC"/>
    <w:rsid w:val="005B3DFF"/>
    <w:rsid w:val="005B3E82"/>
    <w:rsid w:val="005B407A"/>
    <w:rsid w:val="005B41FE"/>
    <w:rsid w:val="005B4B10"/>
    <w:rsid w:val="005B4B6F"/>
    <w:rsid w:val="005B4E00"/>
    <w:rsid w:val="005B531C"/>
    <w:rsid w:val="005B53CC"/>
    <w:rsid w:val="005B5497"/>
    <w:rsid w:val="005B5569"/>
    <w:rsid w:val="005B5A65"/>
    <w:rsid w:val="005B5B4D"/>
    <w:rsid w:val="005B5DCB"/>
    <w:rsid w:val="005B5E09"/>
    <w:rsid w:val="005B5FD2"/>
    <w:rsid w:val="005B6011"/>
    <w:rsid w:val="005B60EE"/>
    <w:rsid w:val="005B616E"/>
    <w:rsid w:val="005B66C8"/>
    <w:rsid w:val="005B685C"/>
    <w:rsid w:val="005B6A61"/>
    <w:rsid w:val="005B6EF8"/>
    <w:rsid w:val="005B72FD"/>
    <w:rsid w:val="005B734E"/>
    <w:rsid w:val="005B7380"/>
    <w:rsid w:val="005B759E"/>
    <w:rsid w:val="005B76B4"/>
    <w:rsid w:val="005B78A5"/>
    <w:rsid w:val="005B7974"/>
    <w:rsid w:val="005B7BC6"/>
    <w:rsid w:val="005C0493"/>
    <w:rsid w:val="005C05AC"/>
    <w:rsid w:val="005C05C3"/>
    <w:rsid w:val="005C0738"/>
    <w:rsid w:val="005C0D9E"/>
    <w:rsid w:val="005C1248"/>
    <w:rsid w:val="005C1866"/>
    <w:rsid w:val="005C1A9D"/>
    <w:rsid w:val="005C1E6B"/>
    <w:rsid w:val="005C2180"/>
    <w:rsid w:val="005C2359"/>
    <w:rsid w:val="005C2371"/>
    <w:rsid w:val="005C23F6"/>
    <w:rsid w:val="005C26AA"/>
    <w:rsid w:val="005C28A3"/>
    <w:rsid w:val="005C2A34"/>
    <w:rsid w:val="005C2C77"/>
    <w:rsid w:val="005C2D79"/>
    <w:rsid w:val="005C2D9B"/>
    <w:rsid w:val="005C2E27"/>
    <w:rsid w:val="005C2ECA"/>
    <w:rsid w:val="005C2F65"/>
    <w:rsid w:val="005C2FF1"/>
    <w:rsid w:val="005C3587"/>
    <w:rsid w:val="005C3610"/>
    <w:rsid w:val="005C3BBC"/>
    <w:rsid w:val="005C42C5"/>
    <w:rsid w:val="005C4304"/>
    <w:rsid w:val="005C4440"/>
    <w:rsid w:val="005C4519"/>
    <w:rsid w:val="005C48D3"/>
    <w:rsid w:val="005C49D7"/>
    <w:rsid w:val="005C4ABF"/>
    <w:rsid w:val="005C4E2F"/>
    <w:rsid w:val="005C4EAF"/>
    <w:rsid w:val="005C5198"/>
    <w:rsid w:val="005C53D5"/>
    <w:rsid w:val="005C573B"/>
    <w:rsid w:val="005C590B"/>
    <w:rsid w:val="005C5A3F"/>
    <w:rsid w:val="005C5ABC"/>
    <w:rsid w:val="005C5BA9"/>
    <w:rsid w:val="005C5C84"/>
    <w:rsid w:val="005C5DA3"/>
    <w:rsid w:val="005C64AA"/>
    <w:rsid w:val="005C6567"/>
    <w:rsid w:val="005C6B1D"/>
    <w:rsid w:val="005C6EF3"/>
    <w:rsid w:val="005C6FA9"/>
    <w:rsid w:val="005C71D4"/>
    <w:rsid w:val="005C7473"/>
    <w:rsid w:val="005C7AAA"/>
    <w:rsid w:val="005C7E2F"/>
    <w:rsid w:val="005C7E46"/>
    <w:rsid w:val="005C7F09"/>
    <w:rsid w:val="005D04D0"/>
    <w:rsid w:val="005D06B3"/>
    <w:rsid w:val="005D08EE"/>
    <w:rsid w:val="005D096E"/>
    <w:rsid w:val="005D0A72"/>
    <w:rsid w:val="005D0E3A"/>
    <w:rsid w:val="005D0F07"/>
    <w:rsid w:val="005D0F36"/>
    <w:rsid w:val="005D10C4"/>
    <w:rsid w:val="005D12EC"/>
    <w:rsid w:val="005D13D7"/>
    <w:rsid w:val="005D1B9A"/>
    <w:rsid w:val="005D1DAC"/>
    <w:rsid w:val="005D1DE1"/>
    <w:rsid w:val="005D1EE5"/>
    <w:rsid w:val="005D256A"/>
    <w:rsid w:val="005D25F4"/>
    <w:rsid w:val="005D2651"/>
    <w:rsid w:val="005D27BF"/>
    <w:rsid w:val="005D2CE8"/>
    <w:rsid w:val="005D30F4"/>
    <w:rsid w:val="005D34E7"/>
    <w:rsid w:val="005D34F3"/>
    <w:rsid w:val="005D3A2A"/>
    <w:rsid w:val="005D4223"/>
    <w:rsid w:val="005D448E"/>
    <w:rsid w:val="005D4914"/>
    <w:rsid w:val="005D4A53"/>
    <w:rsid w:val="005D4C03"/>
    <w:rsid w:val="005D4DF2"/>
    <w:rsid w:val="005D4F3E"/>
    <w:rsid w:val="005D5005"/>
    <w:rsid w:val="005D535E"/>
    <w:rsid w:val="005D59BC"/>
    <w:rsid w:val="005D5A1B"/>
    <w:rsid w:val="005D5A45"/>
    <w:rsid w:val="005D5BA9"/>
    <w:rsid w:val="005D5C12"/>
    <w:rsid w:val="005D5C76"/>
    <w:rsid w:val="005D5DCA"/>
    <w:rsid w:val="005D61A9"/>
    <w:rsid w:val="005D626C"/>
    <w:rsid w:val="005D63DA"/>
    <w:rsid w:val="005D64B1"/>
    <w:rsid w:val="005D65D4"/>
    <w:rsid w:val="005D6601"/>
    <w:rsid w:val="005D66C2"/>
    <w:rsid w:val="005D6719"/>
    <w:rsid w:val="005D6838"/>
    <w:rsid w:val="005D685E"/>
    <w:rsid w:val="005D6B7F"/>
    <w:rsid w:val="005D6BCD"/>
    <w:rsid w:val="005D6E34"/>
    <w:rsid w:val="005D6E5A"/>
    <w:rsid w:val="005D7130"/>
    <w:rsid w:val="005D74D4"/>
    <w:rsid w:val="005D7823"/>
    <w:rsid w:val="005D7835"/>
    <w:rsid w:val="005D7C6E"/>
    <w:rsid w:val="005D7F82"/>
    <w:rsid w:val="005E0131"/>
    <w:rsid w:val="005E0226"/>
    <w:rsid w:val="005E0281"/>
    <w:rsid w:val="005E0607"/>
    <w:rsid w:val="005E0772"/>
    <w:rsid w:val="005E0941"/>
    <w:rsid w:val="005E0A54"/>
    <w:rsid w:val="005E0B01"/>
    <w:rsid w:val="005E0C6D"/>
    <w:rsid w:val="005E10D1"/>
    <w:rsid w:val="005E14C0"/>
    <w:rsid w:val="005E16A2"/>
    <w:rsid w:val="005E16D2"/>
    <w:rsid w:val="005E1AD9"/>
    <w:rsid w:val="005E1EA4"/>
    <w:rsid w:val="005E1EE9"/>
    <w:rsid w:val="005E251F"/>
    <w:rsid w:val="005E25A9"/>
    <w:rsid w:val="005E270D"/>
    <w:rsid w:val="005E2841"/>
    <w:rsid w:val="005E2934"/>
    <w:rsid w:val="005E2BEC"/>
    <w:rsid w:val="005E2C1A"/>
    <w:rsid w:val="005E2C9A"/>
    <w:rsid w:val="005E2D5A"/>
    <w:rsid w:val="005E2F65"/>
    <w:rsid w:val="005E31EA"/>
    <w:rsid w:val="005E3324"/>
    <w:rsid w:val="005E33D3"/>
    <w:rsid w:val="005E363F"/>
    <w:rsid w:val="005E37F0"/>
    <w:rsid w:val="005E3965"/>
    <w:rsid w:val="005E3C32"/>
    <w:rsid w:val="005E3EBD"/>
    <w:rsid w:val="005E4024"/>
    <w:rsid w:val="005E46E2"/>
    <w:rsid w:val="005E4977"/>
    <w:rsid w:val="005E4BA9"/>
    <w:rsid w:val="005E4BD0"/>
    <w:rsid w:val="005E4D40"/>
    <w:rsid w:val="005E5024"/>
    <w:rsid w:val="005E5717"/>
    <w:rsid w:val="005E5746"/>
    <w:rsid w:val="005E598A"/>
    <w:rsid w:val="005E59E1"/>
    <w:rsid w:val="005E5BF8"/>
    <w:rsid w:val="005E5DF9"/>
    <w:rsid w:val="005E5FB1"/>
    <w:rsid w:val="005E5FCE"/>
    <w:rsid w:val="005E6439"/>
    <w:rsid w:val="005E657E"/>
    <w:rsid w:val="005E672F"/>
    <w:rsid w:val="005E6749"/>
    <w:rsid w:val="005E6B4D"/>
    <w:rsid w:val="005E7044"/>
    <w:rsid w:val="005E7613"/>
    <w:rsid w:val="005E771C"/>
    <w:rsid w:val="005E7741"/>
    <w:rsid w:val="005E7BF9"/>
    <w:rsid w:val="005E7EE4"/>
    <w:rsid w:val="005F010C"/>
    <w:rsid w:val="005F0224"/>
    <w:rsid w:val="005F0313"/>
    <w:rsid w:val="005F03AB"/>
    <w:rsid w:val="005F050E"/>
    <w:rsid w:val="005F08D5"/>
    <w:rsid w:val="005F0E21"/>
    <w:rsid w:val="005F12EE"/>
    <w:rsid w:val="005F161A"/>
    <w:rsid w:val="005F1781"/>
    <w:rsid w:val="005F1BB2"/>
    <w:rsid w:val="005F1F0D"/>
    <w:rsid w:val="005F2217"/>
    <w:rsid w:val="005F27EB"/>
    <w:rsid w:val="005F28C0"/>
    <w:rsid w:val="005F2AA1"/>
    <w:rsid w:val="005F2AA7"/>
    <w:rsid w:val="005F309D"/>
    <w:rsid w:val="005F343C"/>
    <w:rsid w:val="005F36D0"/>
    <w:rsid w:val="005F39FD"/>
    <w:rsid w:val="005F3AEF"/>
    <w:rsid w:val="005F3F16"/>
    <w:rsid w:val="005F4A78"/>
    <w:rsid w:val="005F52B6"/>
    <w:rsid w:val="005F53C0"/>
    <w:rsid w:val="005F54EE"/>
    <w:rsid w:val="005F5518"/>
    <w:rsid w:val="005F55C6"/>
    <w:rsid w:val="005F56BE"/>
    <w:rsid w:val="005F58EB"/>
    <w:rsid w:val="005F5912"/>
    <w:rsid w:val="005F5980"/>
    <w:rsid w:val="005F5CB6"/>
    <w:rsid w:val="005F5E02"/>
    <w:rsid w:val="005F5FFF"/>
    <w:rsid w:val="005F6B29"/>
    <w:rsid w:val="005F6EC8"/>
    <w:rsid w:val="005F71EF"/>
    <w:rsid w:val="005F7399"/>
    <w:rsid w:val="005F7457"/>
    <w:rsid w:val="005F776F"/>
    <w:rsid w:val="005F7930"/>
    <w:rsid w:val="005F79FB"/>
    <w:rsid w:val="005F7D61"/>
    <w:rsid w:val="005F7E90"/>
    <w:rsid w:val="00600111"/>
    <w:rsid w:val="006002EA"/>
    <w:rsid w:val="00600627"/>
    <w:rsid w:val="00600838"/>
    <w:rsid w:val="00600883"/>
    <w:rsid w:val="00600B3E"/>
    <w:rsid w:val="00600BA1"/>
    <w:rsid w:val="00600D76"/>
    <w:rsid w:val="00600ED3"/>
    <w:rsid w:val="00600F88"/>
    <w:rsid w:val="0060134A"/>
    <w:rsid w:val="006019F4"/>
    <w:rsid w:val="00601B7C"/>
    <w:rsid w:val="006022F3"/>
    <w:rsid w:val="006025D8"/>
    <w:rsid w:val="0060274A"/>
    <w:rsid w:val="0060276F"/>
    <w:rsid w:val="00602CC2"/>
    <w:rsid w:val="00603076"/>
    <w:rsid w:val="006030EF"/>
    <w:rsid w:val="006036BA"/>
    <w:rsid w:val="00603C19"/>
    <w:rsid w:val="00603E76"/>
    <w:rsid w:val="00603EF1"/>
    <w:rsid w:val="00603FF5"/>
    <w:rsid w:val="00603FF9"/>
    <w:rsid w:val="0060474E"/>
    <w:rsid w:val="00604E13"/>
    <w:rsid w:val="00604F27"/>
    <w:rsid w:val="00605029"/>
    <w:rsid w:val="00605102"/>
    <w:rsid w:val="006051BB"/>
    <w:rsid w:val="0060529D"/>
    <w:rsid w:val="006053AD"/>
    <w:rsid w:val="00605875"/>
    <w:rsid w:val="00605D12"/>
    <w:rsid w:val="00605D3E"/>
    <w:rsid w:val="00605DEB"/>
    <w:rsid w:val="00606696"/>
    <w:rsid w:val="0060691E"/>
    <w:rsid w:val="00606BFC"/>
    <w:rsid w:val="00606E58"/>
    <w:rsid w:val="00606F4B"/>
    <w:rsid w:val="00607078"/>
    <w:rsid w:val="006070DB"/>
    <w:rsid w:val="006071D5"/>
    <w:rsid w:val="006071D7"/>
    <w:rsid w:val="006072A1"/>
    <w:rsid w:val="006074B2"/>
    <w:rsid w:val="0060797A"/>
    <w:rsid w:val="00607C74"/>
    <w:rsid w:val="0061000D"/>
    <w:rsid w:val="0061025A"/>
    <w:rsid w:val="00610848"/>
    <w:rsid w:val="006108A3"/>
    <w:rsid w:val="00610E64"/>
    <w:rsid w:val="00611002"/>
    <w:rsid w:val="00611020"/>
    <w:rsid w:val="00611478"/>
    <w:rsid w:val="00611588"/>
    <w:rsid w:val="006117FE"/>
    <w:rsid w:val="006118A5"/>
    <w:rsid w:val="00611C4F"/>
    <w:rsid w:val="00611F0B"/>
    <w:rsid w:val="006121CB"/>
    <w:rsid w:val="006122FC"/>
    <w:rsid w:val="00612450"/>
    <w:rsid w:val="00612685"/>
    <w:rsid w:val="00612A2A"/>
    <w:rsid w:val="0061329C"/>
    <w:rsid w:val="006133AA"/>
    <w:rsid w:val="00613665"/>
    <w:rsid w:val="006138F6"/>
    <w:rsid w:val="00613B0F"/>
    <w:rsid w:val="006141A4"/>
    <w:rsid w:val="00614237"/>
    <w:rsid w:val="0061430D"/>
    <w:rsid w:val="00614528"/>
    <w:rsid w:val="006147D3"/>
    <w:rsid w:val="00614D34"/>
    <w:rsid w:val="0061533C"/>
    <w:rsid w:val="006156FD"/>
    <w:rsid w:val="00615731"/>
    <w:rsid w:val="00615748"/>
    <w:rsid w:val="00615B55"/>
    <w:rsid w:val="00615C42"/>
    <w:rsid w:val="00615DE3"/>
    <w:rsid w:val="0061611F"/>
    <w:rsid w:val="00616844"/>
    <w:rsid w:val="006168C4"/>
    <w:rsid w:val="00616C7A"/>
    <w:rsid w:val="00616F7A"/>
    <w:rsid w:val="006172D7"/>
    <w:rsid w:val="00617572"/>
    <w:rsid w:val="00617A4E"/>
    <w:rsid w:val="00617CCD"/>
    <w:rsid w:val="00617EB5"/>
    <w:rsid w:val="0062006A"/>
    <w:rsid w:val="00620213"/>
    <w:rsid w:val="00620732"/>
    <w:rsid w:val="006207C4"/>
    <w:rsid w:val="00620ADD"/>
    <w:rsid w:val="00621018"/>
    <w:rsid w:val="0062110A"/>
    <w:rsid w:val="00621255"/>
    <w:rsid w:val="00621542"/>
    <w:rsid w:val="006215C1"/>
    <w:rsid w:val="0062172B"/>
    <w:rsid w:val="006217CD"/>
    <w:rsid w:val="00621898"/>
    <w:rsid w:val="00621ADC"/>
    <w:rsid w:val="00621AE3"/>
    <w:rsid w:val="00621B67"/>
    <w:rsid w:val="00621CEE"/>
    <w:rsid w:val="00622345"/>
    <w:rsid w:val="006225A2"/>
    <w:rsid w:val="0062290E"/>
    <w:rsid w:val="006229C9"/>
    <w:rsid w:val="006230B4"/>
    <w:rsid w:val="0062365E"/>
    <w:rsid w:val="00623A94"/>
    <w:rsid w:val="00623F37"/>
    <w:rsid w:val="0062401D"/>
    <w:rsid w:val="006241D9"/>
    <w:rsid w:val="00624890"/>
    <w:rsid w:val="00624F6C"/>
    <w:rsid w:val="0062548D"/>
    <w:rsid w:val="00625536"/>
    <w:rsid w:val="006255B7"/>
    <w:rsid w:val="0062561D"/>
    <w:rsid w:val="00625704"/>
    <w:rsid w:val="006257F8"/>
    <w:rsid w:val="00625836"/>
    <w:rsid w:val="00625878"/>
    <w:rsid w:val="006258AF"/>
    <w:rsid w:val="00625F37"/>
    <w:rsid w:val="0062675B"/>
    <w:rsid w:val="00626BF1"/>
    <w:rsid w:val="00626BFA"/>
    <w:rsid w:val="00626E24"/>
    <w:rsid w:val="00626E8B"/>
    <w:rsid w:val="00626F24"/>
    <w:rsid w:val="00627168"/>
    <w:rsid w:val="00627185"/>
    <w:rsid w:val="00627464"/>
    <w:rsid w:val="00627476"/>
    <w:rsid w:val="006275A6"/>
    <w:rsid w:val="0062775C"/>
    <w:rsid w:val="00627779"/>
    <w:rsid w:val="006277D3"/>
    <w:rsid w:val="006277E0"/>
    <w:rsid w:val="006277EE"/>
    <w:rsid w:val="00627819"/>
    <w:rsid w:val="006278DA"/>
    <w:rsid w:val="00627B0D"/>
    <w:rsid w:val="00627B6D"/>
    <w:rsid w:val="00627F46"/>
    <w:rsid w:val="006300F2"/>
    <w:rsid w:val="006300F9"/>
    <w:rsid w:val="006302F3"/>
    <w:rsid w:val="00630336"/>
    <w:rsid w:val="006307DF"/>
    <w:rsid w:val="0063090D"/>
    <w:rsid w:val="00630B06"/>
    <w:rsid w:val="00630BC7"/>
    <w:rsid w:val="00631081"/>
    <w:rsid w:val="006316F3"/>
    <w:rsid w:val="006316F8"/>
    <w:rsid w:val="0063190B"/>
    <w:rsid w:val="00631968"/>
    <w:rsid w:val="0063197D"/>
    <w:rsid w:val="00631E27"/>
    <w:rsid w:val="0063212A"/>
    <w:rsid w:val="00632217"/>
    <w:rsid w:val="00632589"/>
    <w:rsid w:val="006325B4"/>
    <w:rsid w:val="006326A1"/>
    <w:rsid w:val="00633068"/>
    <w:rsid w:val="006331A4"/>
    <w:rsid w:val="00633503"/>
    <w:rsid w:val="006339D8"/>
    <w:rsid w:val="00633A2A"/>
    <w:rsid w:val="00633BF6"/>
    <w:rsid w:val="00633CE1"/>
    <w:rsid w:val="006340DF"/>
    <w:rsid w:val="00634297"/>
    <w:rsid w:val="0063458F"/>
    <w:rsid w:val="0063460A"/>
    <w:rsid w:val="0063470E"/>
    <w:rsid w:val="006347A8"/>
    <w:rsid w:val="00634BFD"/>
    <w:rsid w:val="00634CDB"/>
    <w:rsid w:val="00635251"/>
    <w:rsid w:val="00635321"/>
    <w:rsid w:val="0063533B"/>
    <w:rsid w:val="006353FC"/>
    <w:rsid w:val="006354AA"/>
    <w:rsid w:val="006354E0"/>
    <w:rsid w:val="00635575"/>
    <w:rsid w:val="0063562D"/>
    <w:rsid w:val="006356B7"/>
    <w:rsid w:val="006357DA"/>
    <w:rsid w:val="00635805"/>
    <w:rsid w:val="00635AE9"/>
    <w:rsid w:val="00635D4F"/>
    <w:rsid w:val="00635D80"/>
    <w:rsid w:val="00635EE8"/>
    <w:rsid w:val="006362A5"/>
    <w:rsid w:val="006367A7"/>
    <w:rsid w:val="006367F1"/>
    <w:rsid w:val="0063727A"/>
    <w:rsid w:val="00637354"/>
    <w:rsid w:val="0063766C"/>
    <w:rsid w:val="00637A6F"/>
    <w:rsid w:val="00637AB5"/>
    <w:rsid w:val="00637B8D"/>
    <w:rsid w:val="00637FCC"/>
    <w:rsid w:val="006405DE"/>
    <w:rsid w:val="00640EBE"/>
    <w:rsid w:val="0064129B"/>
    <w:rsid w:val="00641E8B"/>
    <w:rsid w:val="006420B2"/>
    <w:rsid w:val="00642225"/>
    <w:rsid w:val="006426E7"/>
    <w:rsid w:val="00642799"/>
    <w:rsid w:val="006427FA"/>
    <w:rsid w:val="00642B27"/>
    <w:rsid w:val="00642B9D"/>
    <w:rsid w:val="00642C8B"/>
    <w:rsid w:val="00642E6C"/>
    <w:rsid w:val="00642EDC"/>
    <w:rsid w:val="00643718"/>
    <w:rsid w:val="006439A7"/>
    <w:rsid w:val="00643A5A"/>
    <w:rsid w:val="00643D8F"/>
    <w:rsid w:val="00644146"/>
    <w:rsid w:val="0064449D"/>
    <w:rsid w:val="006448C7"/>
    <w:rsid w:val="00644A10"/>
    <w:rsid w:val="00644B6D"/>
    <w:rsid w:val="00644D32"/>
    <w:rsid w:val="00644F69"/>
    <w:rsid w:val="00645004"/>
    <w:rsid w:val="006453CC"/>
    <w:rsid w:val="0064573B"/>
    <w:rsid w:val="006458D4"/>
    <w:rsid w:val="0064598B"/>
    <w:rsid w:val="00645B72"/>
    <w:rsid w:val="00646219"/>
    <w:rsid w:val="006463AE"/>
    <w:rsid w:val="00646650"/>
    <w:rsid w:val="006466F8"/>
    <w:rsid w:val="00646867"/>
    <w:rsid w:val="00646967"/>
    <w:rsid w:val="00646C75"/>
    <w:rsid w:val="00646C76"/>
    <w:rsid w:val="00646F47"/>
    <w:rsid w:val="00647157"/>
    <w:rsid w:val="006473B6"/>
    <w:rsid w:val="00647C91"/>
    <w:rsid w:val="00650116"/>
    <w:rsid w:val="006504F0"/>
    <w:rsid w:val="0065080C"/>
    <w:rsid w:val="00650AE3"/>
    <w:rsid w:val="00650CAE"/>
    <w:rsid w:val="00650F20"/>
    <w:rsid w:val="00651378"/>
    <w:rsid w:val="00651421"/>
    <w:rsid w:val="00651653"/>
    <w:rsid w:val="00651829"/>
    <w:rsid w:val="006519FD"/>
    <w:rsid w:val="00651CCF"/>
    <w:rsid w:val="006527FF"/>
    <w:rsid w:val="00652A29"/>
    <w:rsid w:val="00652C4C"/>
    <w:rsid w:val="00652C70"/>
    <w:rsid w:val="00652DF4"/>
    <w:rsid w:val="006530CD"/>
    <w:rsid w:val="00653CF2"/>
    <w:rsid w:val="00653DB6"/>
    <w:rsid w:val="006540B5"/>
    <w:rsid w:val="006541EC"/>
    <w:rsid w:val="0065465D"/>
    <w:rsid w:val="00654DDA"/>
    <w:rsid w:val="006558AE"/>
    <w:rsid w:val="00655E22"/>
    <w:rsid w:val="00655F61"/>
    <w:rsid w:val="00656773"/>
    <w:rsid w:val="006567C4"/>
    <w:rsid w:val="00656809"/>
    <w:rsid w:val="00656CBD"/>
    <w:rsid w:val="00656D0E"/>
    <w:rsid w:val="00656D5C"/>
    <w:rsid w:val="0065709D"/>
    <w:rsid w:val="006572C0"/>
    <w:rsid w:val="00657411"/>
    <w:rsid w:val="00657914"/>
    <w:rsid w:val="00657976"/>
    <w:rsid w:val="00657B1A"/>
    <w:rsid w:val="00657BFD"/>
    <w:rsid w:val="00657C71"/>
    <w:rsid w:val="006600BA"/>
    <w:rsid w:val="006600BE"/>
    <w:rsid w:val="00660117"/>
    <w:rsid w:val="00660185"/>
    <w:rsid w:val="006601A9"/>
    <w:rsid w:val="0066033F"/>
    <w:rsid w:val="006603BD"/>
    <w:rsid w:val="00660548"/>
    <w:rsid w:val="00660590"/>
    <w:rsid w:val="006607D2"/>
    <w:rsid w:val="006608B5"/>
    <w:rsid w:val="00660B92"/>
    <w:rsid w:val="00660C61"/>
    <w:rsid w:val="00660FC5"/>
    <w:rsid w:val="00660FD5"/>
    <w:rsid w:val="00661326"/>
    <w:rsid w:val="00661482"/>
    <w:rsid w:val="00661715"/>
    <w:rsid w:val="00661790"/>
    <w:rsid w:val="00661F4F"/>
    <w:rsid w:val="006620DD"/>
    <w:rsid w:val="006620F4"/>
    <w:rsid w:val="006622DE"/>
    <w:rsid w:val="00663193"/>
    <w:rsid w:val="00663242"/>
    <w:rsid w:val="006636B7"/>
    <w:rsid w:val="00663ACE"/>
    <w:rsid w:val="00663C54"/>
    <w:rsid w:val="00663D15"/>
    <w:rsid w:val="00663E0B"/>
    <w:rsid w:val="00663E60"/>
    <w:rsid w:val="0066411A"/>
    <w:rsid w:val="006641F7"/>
    <w:rsid w:val="0066423C"/>
    <w:rsid w:val="006643DD"/>
    <w:rsid w:val="0066442A"/>
    <w:rsid w:val="006644EF"/>
    <w:rsid w:val="006644FB"/>
    <w:rsid w:val="00664D1A"/>
    <w:rsid w:val="00664D33"/>
    <w:rsid w:val="00664E6D"/>
    <w:rsid w:val="00664F64"/>
    <w:rsid w:val="006652AC"/>
    <w:rsid w:val="006652BD"/>
    <w:rsid w:val="0066536F"/>
    <w:rsid w:val="00665461"/>
    <w:rsid w:val="00665850"/>
    <w:rsid w:val="0066589F"/>
    <w:rsid w:val="00665B29"/>
    <w:rsid w:val="00665B35"/>
    <w:rsid w:val="00665BAC"/>
    <w:rsid w:val="00665C93"/>
    <w:rsid w:val="00665E05"/>
    <w:rsid w:val="00665F4C"/>
    <w:rsid w:val="00665FD9"/>
    <w:rsid w:val="00666023"/>
    <w:rsid w:val="00666789"/>
    <w:rsid w:val="006667A1"/>
    <w:rsid w:val="006668AD"/>
    <w:rsid w:val="0066704C"/>
    <w:rsid w:val="006670AC"/>
    <w:rsid w:val="006672E3"/>
    <w:rsid w:val="00667407"/>
    <w:rsid w:val="00667591"/>
    <w:rsid w:val="00667978"/>
    <w:rsid w:val="00667AEC"/>
    <w:rsid w:val="00670353"/>
    <w:rsid w:val="00670607"/>
    <w:rsid w:val="006707A3"/>
    <w:rsid w:val="006707B1"/>
    <w:rsid w:val="00670C50"/>
    <w:rsid w:val="00670CD4"/>
    <w:rsid w:val="00670D1C"/>
    <w:rsid w:val="00670D8B"/>
    <w:rsid w:val="006714FB"/>
    <w:rsid w:val="00671A57"/>
    <w:rsid w:val="00671C37"/>
    <w:rsid w:val="00671D94"/>
    <w:rsid w:val="00671E9A"/>
    <w:rsid w:val="0067205F"/>
    <w:rsid w:val="00672512"/>
    <w:rsid w:val="00672838"/>
    <w:rsid w:val="0067290D"/>
    <w:rsid w:val="00672BE3"/>
    <w:rsid w:val="00672E3D"/>
    <w:rsid w:val="00672FE6"/>
    <w:rsid w:val="00673678"/>
    <w:rsid w:val="00673AE2"/>
    <w:rsid w:val="00673C0E"/>
    <w:rsid w:val="00674091"/>
    <w:rsid w:val="006744D5"/>
    <w:rsid w:val="006746D6"/>
    <w:rsid w:val="00674C4B"/>
    <w:rsid w:val="00674D8F"/>
    <w:rsid w:val="00674F7F"/>
    <w:rsid w:val="00674F92"/>
    <w:rsid w:val="00675110"/>
    <w:rsid w:val="00675AF7"/>
    <w:rsid w:val="00675D74"/>
    <w:rsid w:val="00675E72"/>
    <w:rsid w:val="00675FE5"/>
    <w:rsid w:val="006760AB"/>
    <w:rsid w:val="00676202"/>
    <w:rsid w:val="00676264"/>
    <w:rsid w:val="00676661"/>
    <w:rsid w:val="0067690B"/>
    <w:rsid w:val="006769A8"/>
    <w:rsid w:val="00676D29"/>
    <w:rsid w:val="00676F1D"/>
    <w:rsid w:val="00676FE8"/>
    <w:rsid w:val="00677103"/>
    <w:rsid w:val="00677289"/>
    <w:rsid w:val="006772B7"/>
    <w:rsid w:val="006772E0"/>
    <w:rsid w:val="00677409"/>
    <w:rsid w:val="0067742F"/>
    <w:rsid w:val="00677A50"/>
    <w:rsid w:val="00677FCB"/>
    <w:rsid w:val="00677FE6"/>
    <w:rsid w:val="00680034"/>
    <w:rsid w:val="006803D3"/>
    <w:rsid w:val="0068075D"/>
    <w:rsid w:val="00680F78"/>
    <w:rsid w:val="0068113E"/>
    <w:rsid w:val="006811D6"/>
    <w:rsid w:val="006818DC"/>
    <w:rsid w:val="00681B24"/>
    <w:rsid w:val="00681B76"/>
    <w:rsid w:val="00681C00"/>
    <w:rsid w:val="00681DB3"/>
    <w:rsid w:val="00681E31"/>
    <w:rsid w:val="006820D2"/>
    <w:rsid w:val="0068211E"/>
    <w:rsid w:val="00682955"/>
    <w:rsid w:val="00682BB5"/>
    <w:rsid w:val="00682C2F"/>
    <w:rsid w:val="006830F4"/>
    <w:rsid w:val="006831A2"/>
    <w:rsid w:val="0068364E"/>
    <w:rsid w:val="006837EC"/>
    <w:rsid w:val="00683A35"/>
    <w:rsid w:val="00683AF2"/>
    <w:rsid w:val="00683C59"/>
    <w:rsid w:val="00683E73"/>
    <w:rsid w:val="00683F0C"/>
    <w:rsid w:val="00684256"/>
    <w:rsid w:val="00684596"/>
    <w:rsid w:val="00684669"/>
    <w:rsid w:val="00684850"/>
    <w:rsid w:val="00684C12"/>
    <w:rsid w:val="00684F39"/>
    <w:rsid w:val="006850BA"/>
    <w:rsid w:val="006850EE"/>
    <w:rsid w:val="006853E2"/>
    <w:rsid w:val="006853F3"/>
    <w:rsid w:val="006854EB"/>
    <w:rsid w:val="006855B2"/>
    <w:rsid w:val="00685C1C"/>
    <w:rsid w:val="0068620A"/>
    <w:rsid w:val="006863D4"/>
    <w:rsid w:val="00686876"/>
    <w:rsid w:val="006869F7"/>
    <w:rsid w:val="00686AB1"/>
    <w:rsid w:val="00686BDB"/>
    <w:rsid w:val="00686E97"/>
    <w:rsid w:val="0068711E"/>
    <w:rsid w:val="0068760E"/>
    <w:rsid w:val="0068780A"/>
    <w:rsid w:val="00687B04"/>
    <w:rsid w:val="00687C06"/>
    <w:rsid w:val="00690038"/>
    <w:rsid w:val="006900AF"/>
    <w:rsid w:val="00690118"/>
    <w:rsid w:val="006907A0"/>
    <w:rsid w:val="006908EA"/>
    <w:rsid w:val="00690F94"/>
    <w:rsid w:val="006910F8"/>
    <w:rsid w:val="006915DA"/>
    <w:rsid w:val="00691BDC"/>
    <w:rsid w:val="00691E4D"/>
    <w:rsid w:val="006920B1"/>
    <w:rsid w:val="0069213A"/>
    <w:rsid w:val="006921D0"/>
    <w:rsid w:val="0069325E"/>
    <w:rsid w:val="00693312"/>
    <w:rsid w:val="00693328"/>
    <w:rsid w:val="006937A4"/>
    <w:rsid w:val="00693A10"/>
    <w:rsid w:val="00693B0D"/>
    <w:rsid w:val="00693B4E"/>
    <w:rsid w:val="00693FB5"/>
    <w:rsid w:val="00694028"/>
    <w:rsid w:val="0069441D"/>
    <w:rsid w:val="00694442"/>
    <w:rsid w:val="00694717"/>
    <w:rsid w:val="006947BC"/>
    <w:rsid w:val="00694923"/>
    <w:rsid w:val="00694B94"/>
    <w:rsid w:val="00694C60"/>
    <w:rsid w:val="00694CA4"/>
    <w:rsid w:val="00694DF3"/>
    <w:rsid w:val="00695011"/>
    <w:rsid w:val="006955C6"/>
    <w:rsid w:val="00695821"/>
    <w:rsid w:val="006958B2"/>
    <w:rsid w:val="00695BEB"/>
    <w:rsid w:val="00695FBF"/>
    <w:rsid w:val="00695FC0"/>
    <w:rsid w:val="00696076"/>
    <w:rsid w:val="00696659"/>
    <w:rsid w:val="00696AE6"/>
    <w:rsid w:val="00696D1F"/>
    <w:rsid w:val="00696F50"/>
    <w:rsid w:val="0069714A"/>
    <w:rsid w:val="006971FD"/>
    <w:rsid w:val="00697431"/>
    <w:rsid w:val="0069749B"/>
    <w:rsid w:val="00697523"/>
    <w:rsid w:val="00697CAA"/>
    <w:rsid w:val="00697F21"/>
    <w:rsid w:val="006A01DE"/>
    <w:rsid w:val="006A0653"/>
    <w:rsid w:val="006A0BEB"/>
    <w:rsid w:val="006A0CC3"/>
    <w:rsid w:val="006A11A7"/>
    <w:rsid w:val="006A1237"/>
    <w:rsid w:val="006A1318"/>
    <w:rsid w:val="006A1619"/>
    <w:rsid w:val="006A1850"/>
    <w:rsid w:val="006A1899"/>
    <w:rsid w:val="006A21C7"/>
    <w:rsid w:val="006A23B8"/>
    <w:rsid w:val="006A268C"/>
    <w:rsid w:val="006A2842"/>
    <w:rsid w:val="006A29B6"/>
    <w:rsid w:val="006A2AD5"/>
    <w:rsid w:val="006A2FF5"/>
    <w:rsid w:val="006A31E5"/>
    <w:rsid w:val="006A33FD"/>
    <w:rsid w:val="006A3677"/>
    <w:rsid w:val="006A374E"/>
    <w:rsid w:val="006A3756"/>
    <w:rsid w:val="006A3BEB"/>
    <w:rsid w:val="006A416A"/>
    <w:rsid w:val="006A489D"/>
    <w:rsid w:val="006A4BC5"/>
    <w:rsid w:val="006A4C2B"/>
    <w:rsid w:val="006A4FC2"/>
    <w:rsid w:val="006A5323"/>
    <w:rsid w:val="006A54A5"/>
    <w:rsid w:val="006A5518"/>
    <w:rsid w:val="006A58E0"/>
    <w:rsid w:val="006A5915"/>
    <w:rsid w:val="006A5DA2"/>
    <w:rsid w:val="006A5E9E"/>
    <w:rsid w:val="006A5EE6"/>
    <w:rsid w:val="006A5FDA"/>
    <w:rsid w:val="006A61B1"/>
    <w:rsid w:val="006A647A"/>
    <w:rsid w:val="006A66B5"/>
    <w:rsid w:val="006A66CC"/>
    <w:rsid w:val="006A681A"/>
    <w:rsid w:val="006A7118"/>
    <w:rsid w:val="006A72E4"/>
    <w:rsid w:val="006A74C8"/>
    <w:rsid w:val="006A785E"/>
    <w:rsid w:val="006A7865"/>
    <w:rsid w:val="006A78C9"/>
    <w:rsid w:val="006A7AEE"/>
    <w:rsid w:val="006A7C4A"/>
    <w:rsid w:val="006A7E96"/>
    <w:rsid w:val="006B019D"/>
    <w:rsid w:val="006B0255"/>
    <w:rsid w:val="006B02C1"/>
    <w:rsid w:val="006B05F0"/>
    <w:rsid w:val="006B0A9B"/>
    <w:rsid w:val="006B0BF1"/>
    <w:rsid w:val="006B0CA8"/>
    <w:rsid w:val="006B0D98"/>
    <w:rsid w:val="006B0EFE"/>
    <w:rsid w:val="006B1545"/>
    <w:rsid w:val="006B18F8"/>
    <w:rsid w:val="006B1946"/>
    <w:rsid w:val="006B1DB1"/>
    <w:rsid w:val="006B1FF3"/>
    <w:rsid w:val="006B2493"/>
    <w:rsid w:val="006B265E"/>
    <w:rsid w:val="006B267D"/>
    <w:rsid w:val="006B2A07"/>
    <w:rsid w:val="006B2B67"/>
    <w:rsid w:val="006B2B89"/>
    <w:rsid w:val="006B2ECE"/>
    <w:rsid w:val="006B2ED7"/>
    <w:rsid w:val="006B2FFE"/>
    <w:rsid w:val="006B30D0"/>
    <w:rsid w:val="006B340B"/>
    <w:rsid w:val="006B35DC"/>
    <w:rsid w:val="006B36BE"/>
    <w:rsid w:val="006B3BE0"/>
    <w:rsid w:val="006B3EAC"/>
    <w:rsid w:val="006B41D4"/>
    <w:rsid w:val="006B42B4"/>
    <w:rsid w:val="006B4411"/>
    <w:rsid w:val="006B447F"/>
    <w:rsid w:val="006B45FE"/>
    <w:rsid w:val="006B4B2A"/>
    <w:rsid w:val="006B4F17"/>
    <w:rsid w:val="006B4F5F"/>
    <w:rsid w:val="006B5678"/>
    <w:rsid w:val="006B579C"/>
    <w:rsid w:val="006B61A0"/>
    <w:rsid w:val="006B6605"/>
    <w:rsid w:val="006B66DB"/>
    <w:rsid w:val="006B689F"/>
    <w:rsid w:val="006B6B4E"/>
    <w:rsid w:val="006B6FA1"/>
    <w:rsid w:val="006B7356"/>
    <w:rsid w:val="006B77E0"/>
    <w:rsid w:val="006B7848"/>
    <w:rsid w:val="006B788F"/>
    <w:rsid w:val="006B7E5C"/>
    <w:rsid w:val="006C0800"/>
    <w:rsid w:val="006C0AF5"/>
    <w:rsid w:val="006C0BFE"/>
    <w:rsid w:val="006C117B"/>
    <w:rsid w:val="006C11E9"/>
    <w:rsid w:val="006C1BB2"/>
    <w:rsid w:val="006C1EE6"/>
    <w:rsid w:val="006C236B"/>
    <w:rsid w:val="006C2587"/>
    <w:rsid w:val="006C2CB3"/>
    <w:rsid w:val="006C2D91"/>
    <w:rsid w:val="006C2E59"/>
    <w:rsid w:val="006C2FA7"/>
    <w:rsid w:val="006C32C6"/>
    <w:rsid w:val="006C330C"/>
    <w:rsid w:val="006C3375"/>
    <w:rsid w:val="006C36C4"/>
    <w:rsid w:val="006C3A80"/>
    <w:rsid w:val="006C3AF4"/>
    <w:rsid w:val="006C3B04"/>
    <w:rsid w:val="006C3E70"/>
    <w:rsid w:val="006C3E84"/>
    <w:rsid w:val="006C43F0"/>
    <w:rsid w:val="006C4523"/>
    <w:rsid w:val="006C4738"/>
    <w:rsid w:val="006C4A14"/>
    <w:rsid w:val="006C4AF8"/>
    <w:rsid w:val="006C4CB0"/>
    <w:rsid w:val="006C4F24"/>
    <w:rsid w:val="006C5349"/>
    <w:rsid w:val="006C53AD"/>
    <w:rsid w:val="006C5EA0"/>
    <w:rsid w:val="006C5F1B"/>
    <w:rsid w:val="006C668A"/>
    <w:rsid w:val="006C68DA"/>
    <w:rsid w:val="006C6912"/>
    <w:rsid w:val="006C6C36"/>
    <w:rsid w:val="006C6D27"/>
    <w:rsid w:val="006C6F10"/>
    <w:rsid w:val="006C71C3"/>
    <w:rsid w:val="006C72EE"/>
    <w:rsid w:val="006C7351"/>
    <w:rsid w:val="006C7A68"/>
    <w:rsid w:val="006C7C00"/>
    <w:rsid w:val="006C7D2D"/>
    <w:rsid w:val="006D081C"/>
    <w:rsid w:val="006D0938"/>
    <w:rsid w:val="006D0A97"/>
    <w:rsid w:val="006D0E1B"/>
    <w:rsid w:val="006D1111"/>
    <w:rsid w:val="006D11C3"/>
    <w:rsid w:val="006D1981"/>
    <w:rsid w:val="006D2073"/>
    <w:rsid w:val="006D23B3"/>
    <w:rsid w:val="006D253E"/>
    <w:rsid w:val="006D259A"/>
    <w:rsid w:val="006D27EA"/>
    <w:rsid w:val="006D2A6D"/>
    <w:rsid w:val="006D2AD4"/>
    <w:rsid w:val="006D2B27"/>
    <w:rsid w:val="006D2B2A"/>
    <w:rsid w:val="006D2B3D"/>
    <w:rsid w:val="006D2B88"/>
    <w:rsid w:val="006D2BCC"/>
    <w:rsid w:val="006D2CCD"/>
    <w:rsid w:val="006D2D42"/>
    <w:rsid w:val="006D2DE2"/>
    <w:rsid w:val="006D2E9A"/>
    <w:rsid w:val="006D2F29"/>
    <w:rsid w:val="006D369A"/>
    <w:rsid w:val="006D370A"/>
    <w:rsid w:val="006D372C"/>
    <w:rsid w:val="006D38A1"/>
    <w:rsid w:val="006D42DB"/>
    <w:rsid w:val="006D43A8"/>
    <w:rsid w:val="006D44C6"/>
    <w:rsid w:val="006D4565"/>
    <w:rsid w:val="006D45B0"/>
    <w:rsid w:val="006D46B0"/>
    <w:rsid w:val="006D4AD8"/>
    <w:rsid w:val="006D4B36"/>
    <w:rsid w:val="006D4B77"/>
    <w:rsid w:val="006D4BE2"/>
    <w:rsid w:val="006D4F48"/>
    <w:rsid w:val="006D5758"/>
    <w:rsid w:val="006D57E4"/>
    <w:rsid w:val="006D58A9"/>
    <w:rsid w:val="006D5CC6"/>
    <w:rsid w:val="006D5FB2"/>
    <w:rsid w:val="006D6041"/>
    <w:rsid w:val="006D6446"/>
    <w:rsid w:val="006D6775"/>
    <w:rsid w:val="006D69CE"/>
    <w:rsid w:val="006D6AD3"/>
    <w:rsid w:val="006D6C37"/>
    <w:rsid w:val="006D6D63"/>
    <w:rsid w:val="006D70D4"/>
    <w:rsid w:val="006D739A"/>
    <w:rsid w:val="006D745C"/>
    <w:rsid w:val="006D78A4"/>
    <w:rsid w:val="006D78A6"/>
    <w:rsid w:val="006E0253"/>
    <w:rsid w:val="006E0257"/>
    <w:rsid w:val="006E06D2"/>
    <w:rsid w:val="006E0975"/>
    <w:rsid w:val="006E0A44"/>
    <w:rsid w:val="006E0A8B"/>
    <w:rsid w:val="006E16DC"/>
    <w:rsid w:val="006E1CB3"/>
    <w:rsid w:val="006E1E03"/>
    <w:rsid w:val="006E2703"/>
    <w:rsid w:val="006E286E"/>
    <w:rsid w:val="006E2B11"/>
    <w:rsid w:val="006E320C"/>
    <w:rsid w:val="006E33A8"/>
    <w:rsid w:val="006E3520"/>
    <w:rsid w:val="006E442F"/>
    <w:rsid w:val="006E4873"/>
    <w:rsid w:val="006E4876"/>
    <w:rsid w:val="006E4A76"/>
    <w:rsid w:val="006E500F"/>
    <w:rsid w:val="006E5685"/>
    <w:rsid w:val="006E5898"/>
    <w:rsid w:val="006E5930"/>
    <w:rsid w:val="006E5B78"/>
    <w:rsid w:val="006E5D49"/>
    <w:rsid w:val="006E6366"/>
    <w:rsid w:val="006E664D"/>
    <w:rsid w:val="006E6666"/>
    <w:rsid w:val="006E68DC"/>
    <w:rsid w:val="006E6BFF"/>
    <w:rsid w:val="006E6C50"/>
    <w:rsid w:val="006E7219"/>
    <w:rsid w:val="006E7484"/>
    <w:rsid w:val="006E7496"/>
    <w:rsid w:val="006E7558"/>
    <w:rsid w:val="006E76B9"/>
    <w:rsid w:val="006E76F9"/>
    <w:rsid w:val="006E785C"/>
    <w:rsid w:val="006E78C7"/>
    <w:rsid w:val="006E79AE"/>
    <w:rsid w:val="006E7B53"/>
    <w:rsid w:val="006E7BD0"/>
    <w:rsid w:val="006E7D76"/>
    <w:rsid w:val="006E7F06"/>
    <w:rsid w:val="006F006C"/>
    <w:rsid w:val="006F0907"/>
    <w:rsid w:val="006F0E47"/>
    <w:rsid w:val="006F1209"/>
    <w:rsid w:val="006F1356"/>
    <w:rsid w:val="006F1367"/>
    <w:rsid w:val="006F1443"/>
    <w:rsid w:val="006F1701"/>
    <w:rsid w:val="006F178E"/>
    <w:rsid w:val="006F1B37"/>
    <w:rsid w:val="006F1E2E"/>
    <w:rsid w:val="006F1F9D"/>
    <w:rsid w:val="006F2025"/>
    <w:rsid w:val="006F2081"/>
    <w:rsid w:val="006F222A"/>
    <w:rsid w:val="006F2301"/>
    <w:rsid w:val="006F2412"/>
    <w:rsid w:val="006F2471"/>
    <w:rsid w:val="006F24E4"/>
    <w:rsid w:val="006F2850"/>
    <w:rsid w:val="006F2AA3"/>
    <w:rsid w:val="006F3351"/>
    <w:rsid w:val="006F3468"/>
    <w:rsid w:val="006F366C"/>
    <w:rsid w:val="006F39A3"/>
    <w:rsid w:val="006F3BAF"/>
    <w:rsid w:val="006F3C54"/>
    <w:rsid w:val="006F3E63"/>
    <w:rsid w:val="006F411C"/>
    <w:rsid w:val="006F41B3"/>
    <w:rsid w:val="006F468B"/>
    <w:rsid w:val="006F46B4"/>
    <w:rsid w:val="006F48AF"/>
    <w:rsid w:val="006F4ACC"/>
    <w:rsid w:val="006F4B58"/>
    <w:rsid w:val="006F4CFE"/>
    <w:rsid w:val="006F4E08"/>
    <w:rsid w:val="006F4E2E"/>
    <w:rsid w:val="006F4F23"/>
    <w:rsid w:val="006F4FA5"/>
    <w:rsid w:val="006F549F"/>
    <w:rsid w:val="006F5BE2"/>
    <w:rsid w:val="006F60CB"/>
    <w:rsid w:val="006F654A"/>
    <w:rsid w:val="006F67BE"/>
    <w:rsid w:val="006F703F"/>
    <w:rsid w:val="006F7098"/>
    <w:rsid w:val="006F7600"/>
    <w:rsid w:val="006F7633"/>
    <w:rsid w:val="006F7649"/>
    <w:rsid w:val="006F790F"/>
    <w:rsid w:val="006F7928"/>
    <w:rsid w:val="006F7A31"/>
    <w:rsid w:val="006F7A32"/>
    <w:rsid w:val="006F7B0B"/>
    <w:rsid w:val="006F7E7C"/>
    <w:rsid w:val="006F7FDC"/>
    <w:rsid w:val="00700410"/>
    <w:rsid w:val="00700614"/>
    <w:rsid w:val="0070099F"/>
    <w:rsid w:val="00700AC2"/>
    <w:rsid w:val="00700BAC"/>
    <w:rsid w:val="00700E71"/>
    <w:rsid w:val="007012CD"/>
    <w:rsid w:val="00701335"/>
    <w:rsid w:val="007018BB"/>
    <w:rsid w:val="00701D62"/>
    <w:rsid w:val="0070228D"/>
    <w:rsid w:val="007022AD"/>
    <w:rsid w:val="00702967"/>
    <w:rsid w:val="00702A9F"/>
    <w:rsid w:val="00702CDA"/>
    <w:rsid w:val="00702D07"/>
    <w:rsid w:val="00702D41"/>
    <w:rsid w:val="007034CC"/>
    <w:rsid w:val="00703BB8"/>
    <w:rsid w:val="00703C3F"/>
    <w:rsid w:val="00703C86"/>
    <w:rsid w:val="00703FD7"/>
    <w:rsid w:val="0070415D"/>
    <w:rsid w:val="007043E6"/>
    <w:rsid w:val="007048E5"/>
    <w:rsid w:val="00704E5D"/>
    <w:rsid w:val="00704ED3"/>
    <w:rsid w:val="00705331"/>
    <w:rsid w:val="0070540B"/>
    <w:rsid w:val="00705671"/>
    <w:rsid w:val="0070584E"/>
    <w:rsid w:val="00705B2B"/>
    <w:rsid w:val="00705F6C"/>
    <w:rsid w:val="00706627"/>
    <w:rsid w:val="007068F7"/>
    <w:rsid w:val="007070C7"/>
    <w:rsid w:val="00707308"/>
    <w:rsid w:val="007074A0"/>
    <w:rsid w:val="007076CB"/>
    <w:rsid w:val="0070772A"/>
    <w:rsid w:val="00707830"/>
    <w:rsid w:val="00707986"/>
    <w:rsid w:val="00707A1F"/>
    <w:rsid w:val="00707C1A"/>
    <w:rsid w:val="0071053D"/>
    <w:rsid w:val="00710698"/>
    <w:rsid w:val="00710D28"/>
    <w:rsid w:val="0071123C"/>
    <w:rsid w:val="007117B9"/>
    <w:rsid w:val="007121BB"/>
    <w:rsid w:val="00712239"/>
    <w:rsid w:val="007122C4"/>
    <w:rsid w:val="0071261A"/>
    <w:rsid w:val="007127BE"/>
    <w:rsid w:val="00712876"/>
    <w:rsid w:val="0071294A"/>
    <w:rsid w:val="00712B1B"/>
    <w:rsid w:val="00712DC0"/>
    <w:rsid w:val="00712E1D"/>
    <w:rsid w:val="00712FC6"/>
    <w:rsid w:val="0071306D"/>
    <w:rsid w:val="00713524"/>
    <w:rsid w:val="0071365E"/>
    <w:rsid w:val="00713746"/>
    <w:rsid w:val="007139C6"/>
    <w:rsid w:val="00713CCB"/>
    <w:rsid w:val="00714035"/>
    <w:rsid w:val="007141B2"/>
    <w:rsid w:val="00714314"/>
    <w:rsid w:val="00714610"/>
    <w:rsid w:val="007147DC"/>
    <w:rsid w:val="00714B2D"/>
    <w:rsid w:val="00714C1B"/>
    <w:rsid w:val="00715324"/>
    <w:rsid w:val="00715453"/>
    <w:rsid w:val="007154D0"/>
    <w:rsid w:val="0071564E"/>
    <w:rsid w:val="007157CF"/>
    <w:rsid w:val="007159C0"/>
    <w:rsid w:val="00715B69"/>
    <w:rsid w:val="00715C30"/>
    <w:rsid w:val="00715D77"/>
    <w:rsid w:val="00715D7A"/>
    <w:rsid w:val="00715D9D"/>
    <w:rsid w:val="0071611F"/>
    <w:rsid w:val="00716C48"/>
    <w:rsid w:val="007170E3"/>
    <w:rsid w:val="00717205"/>
    <w:rsid w:val="0071720A"/>
    <w:rsid w:val="007173F3"/>
    <w:rsid w:val="007175A2"/>
    <w:rsid w:val="00717A1E"/>
    <w:rsid w:val="00717B35"/>
    <w:rsid w:val="00717C89"/>
    <w:rsid w:val="00717DE3"/>
    <w:rsid w:val="00717E6D"/>
    <w:rsid w:val="00717F72"/>
    <w:rsid w:val="0072002B"/>
    <w:rsid w:val="0072014F"/>
    <w:rsid w:val="007206A9"/>
    <w:rsid w:val="00720976"/>
    <w:rsid w:val="00720B8D"/>
    <w:rsid w:val="00720D3F"/>
    <w:rsid w:val="007214EC"/>
    <w:rsid w:val="007217FC"/>
    <w:rsid w:val="007219BA"/>
    <w:rsid w:val="00721A32"/>
    <w:rsid w:val="00721C15"/>
    <w:rsid w:val="00721CFB"/>
    <w:rsid w:val="00721E63"/>
    <w:rsid w:val="00721EB8"/>
    <w:rsid w:val="00721F10"/>
    <w:rsid w:val="00721F6D"/>
    <w:rsid w:val="007220ED"/>
    <w:rsid w:val="00722362"/>
    <w:rsid w:val="00722497"/>
    <w:rsid w:val="007224C1"/>
    <w:rsid w:val="00722888"/>
    <w:rsid w:val="007228DC"/>
    <w:rsid w:val="00722B2B"/>
    <w:rsid w:val="0072328F"/>
    <w:rsid w:val="00723319"/>
    <w:rsid w:val="00723425"/>
    <w:rsid w:val="007237A7"/>
    <w:rsid w:val="00723B2B"/>
    <w:rsid w:val="00723CFF"/>
    <w:rsid w:val="00723DAD"/>
    <w:rsid w:val="00723F8C"/>
    <w:rsid w:val="00724AE4"/>
    <w:rsid w:val="00724C81"/>
    <w:rsid w:val="00724D80"/>
    <w:rsid w:val="0072503E"/>
    <w:rsid w:val="00725169"/>
    <w:rsid w:val="00725231"/>
    <w:rsid w:val="00725327"/>
    <w:rsid w:val="007255A0"/>
    <w:rsid w:val="007255D8"/>
    <w:rsid w:val="00725804"/>
    <w:rsid w:val="007258DD"/>
    <w:rsid w:val="00725F3F"/>
    <w:rsid w:val="00726039"/>
    <w:rsid w:val="00726216"/>
    <w:rsid w:val="007265DE"/>
    <w:rsid w:val="00726627"/>
    <w:rsid w:val="007266EA"/>
    <w:rsid w:val="00726711"/>
    <w:rsid w:val="007269F4"/>
    <w:rsid w:val="00727150"/>
    <w:rsid w:val="007272E3"/>
    <w:rsid w:val="00727462"/>
    <w:rsid w:val="007275C5"/>
    <w:rsid w:val="00727783"/>
    <w:rsid w:val="00730332"/>
    <w:rsid w:val="00730539"/>
    <w:rsid w:val="00730758"/>
    <w:rsid w:val="007308FB"/>
    <w:rsid w:val="0073093A"/>
    <w:rsid w:val="0073114C"/>
    <w:rsid w:val="00731634"/>
    <w:rsid w:val="0073188D"/>
    <w:rsid w:val="00731A10"/>
    <w:rsid w:val="00731FD4"/>
    <w:rsid w:val="007324A6"/>
    <w:rsid w:val="007328B5"/>
    <w:rsid w:val="00732C85"/>
    <w:rsid w:val="00733371"/>
    <w:rsid w:val="00733942"/>
    <w:rsid w:val="00733AE6"/>
    <w:rsid w:val="00733AFF"/>
    <w:rsid w:val="00733E2B"/>
    <w:rsid w:val="00734238"/>
    <w:rsid w:val="00734312"/>
    <w:rsid w:val="0073432B"/>
    <w:rsid w:val="007343C1"/>
    <w:rsid w:val="00734BF3"/>
    <w:rsid w:val="00734D04"/>
    <w:rsid w:val="00734F14"/>
    <w:rsid w:val="0073523F"/>
    <w:rsid w:val="00735487"/>
    <w:rsid w:val="007356C7"/>
    <w:rsid w:val="00735937"/>
    <w:rsid w:val="00735C0D"/>
    <w:rsid w:val="00735F57"/>
    <w:rsid w:val="007362CB"/>
    <w:rsid w:val="00736483"/>
    <w:rsid w:val="007369E4"/>
    <w:rsid w:val="00736D7C"/>
    <w:rsid w:val="00736F62"/>
    <w:rsid w:val="0073722F"/>
    <w:rsid w:val="0073735C"/>
    <w:rsid w:val="007373AB"/>
    <w:rsid w:val="007374C6"/>
    <w:rsid w:val="007379E5"/>
    <w:rsid w:val="00737DED"/>
    <w:rsid w:val="00737F1C"/>
    <w:rsid w:val="00737F5E"/>
    <w:rsid w:val="0074043D"/>
    <w:rsid w:val="007404CA"/>
    <w:rsid w:val="007404D9"/>
    <w:rsid w:val="007405DD"/>
    <w:rsid w:val="007405EC"/>
    <w:rsid w:val="00740645"/>
    <w:rsid w:val="00740BAF"/>
    <w:rsid w:val="00741545"/>
    <w:rsid w:val="0074166E"/>
    <w:rsid w:val="0074191F"/>
    <w:rsid w:val="00741D29"/>
    <w:rsid w:val="00742047"/>
    <w:rsid w:val="0074219E"/>
    <w:rsid w:val="007424D5"/>
    <w:rsid w:val="0074281A"/>
    <w:rsid w:val="00742906"/>
    <w:rsid w:val="007429ED"/>
    <w:rsid w:val="00742C82"/>
    <w:rsid w:val="00742D3F"/>
    <w:rsid w:val="007433B5"/>
    <w:rsid w:val="007438DE"/>
    <w:rsid w:val="00744777"/>
    <w:rsid w:val="00744E2C"/>
    <w:rsid w:val="00744F02"/>
    <w:rsid w:val="00744FDB"/>
    <w:rsid w:val="0074510B"/>
    <w:rsid w:val="0074531F"/>
    <w:rsid w:val="00745717"/>
    <w:rsid w:val="0074614B"/>
    <w:rsid w:val="007474CD"/>
    <w:rsid w:val="0074758F"/>
    <w:rsid w:val="007479EB"/>
    <w:rsid w:val="00747C4C"/>
    <w:rsid w:val="00747C56"/>
    <w:rsid w:val="00747D37"/>
    <w:rsid w:val="00747DDC"/>
    <w:rsid w:val="00747E13"/>
    <w:rsid w:val="00747F96"/>
    <w:rsid w:val="0075032C"/>
    <w:rsid w:val="007505F1"/>
    <w:rsid w:val="00750797"/>
    <w:rsid w:val="0075098F"/>
    <w:rsid w:val="00750BA4"/>
    <w:rsid w:val="007510BA"/>
    <w:rsid w:val="0075140B"/>
    <w:rsid w:val="007514AD"/>
    <w:rsid w:val="007514E8"/>
    <w:rsid w:val="007514FF"/>
    <w:rsid w:val="0075177F"/>
    <w:rsid w:val="00751780"/>
    <w:rsid w:val="00751F6D"/>
    <w:rsid w:val="007521E5"/>
    <w:rsid w:val="0075245D"/>
    <w:rsid w:val="0075250A"/>
    <w:rsid w:val="00752599"/>
    <w:rsid w:val="00752B5A"/>
    <w:rsid w:val="00752C9D"/>
    <w:rsid w:val="00752D3F"/>
    <w:rsid w:val="00752EAD"/>
    <w:rsid w:val="00752F13"/>
    <w:rsid w:val="007531C4"/>
    <w:rsid w:val="00753493"/>
    <w:rsid w:val="007534D7"/>
    <w:rsid w:val="00753613"/>
    <w:rsid w:val="007538DD"/>
    <w:rsid w:val="0075394B"/>
    <w:rsid w:val="00753BAD"/>
    <w:rsid w:val="00753D9C"/>
    <w:rsid w:val="00753E34"/>
    <w:rsid w:val="00754195"/>
    <w:rsid w:val="007541CC"/>
    <w:rsid w:val="00754223"/>
    <w:rsid w:val="007549EB"/>
    <w:rsid w:val="00754A6E"/>
    <w:rsid w:val="00754CB5"/>
    <w:rsid w:val="00754D48"/>
    <w:rsid w:val="00755136"/>
    <w:rsid w:val="00755490"/>
    <w:rsid w:val="007554D3"/>
    <w:rsid w:val="007558A3"/>
    <w:rsid w:val="00755955"/>
    <w:rsid w:val="00755981"/>
    <w:rsid w:val="00756137"/>
    <w:rsid w:val="00756173"/>
    <w:rsid w:val="00756550"/>
    <w:rsid w:val="0075682F"/>
    <w:rsid w:val="00756C96"/>
    <w:rsid w:val="00756DBD"/>
    <w:rsid w:val="0075747E"/>
    <w:rsid w:val="007575B2"/>
    <w:rsid w:val="007575E8"/>
    <w:rsid w:val="00757794"/>
    <w:rsid w:val="00757956"/>
    <w:rsid w:val="00757A61"/>
    <w:rsid w:val="00757CB3"/>
    <w:rsid w:val="00757D34"/>
    <w:rsid w:val="00757EF0"/>
    <w:rsid w:val="007600F7"/>
    <w:rsid w:val="0076021B"/>
    <w:rsid w:val="00760399"/>
    <w:rsid w:val="0076052C"/>
    <w:rsid w:val="00760943"/>
    <w:rsid w:val="00760AD8"/>
    <w:rsid w:val="00760DDC"/>
    <w:rsid w:val="00760EA1"/>
    <w:rsid w:val="00760EB6"/>
    <w:rsid w:val="00761155"/>
    <w:rsid w:val="007611A9"/>
    <w:rsid w:val="00761236"/>
    <w:rsid w:val="007612CF"/>
    <w:rsid w:val="007613A0"/>
    <w:rsid w:val="00761BF3"/>
    <w:rsid w:val="00761C31"/>
    <w:rsid w:val="00762348"/>
    <w:rsid w:val="007623ED"/>
    <w:rsid w:val="0076240C"/>
    <w:rsid w:val="00762841"/>
    <w:rsid w:val="007628F0"/>
    <w:rsid w:val="0076298B"/>
    <w:rsid w:val="00762CDB"/>
    <w:rsid w:val="00762D40"/>
    <w:rsid w:val="00762D41"/>
    <w:rsid w:val="00762EB8"/>
    <w:rsid w:val="00762EF2"/>
    <w:rsid w:val="00762EF9"/>
    <w:rsid w:val="007631E0"/>
    <w:rsid w:val="00763298"/>
    <w:rsid w:val="007632E4"/>
    <w:rsid w:val="0076341C"/>
    <w:rsid w:val="00763679"/>
    <w:rsid w:val="0076376E"/>
    <w:rsid w:val="007637CE"/>
    <w:rsid w:val="007639BB"/>
    <w:rsid w:val="007639E6"/>
    <w:rsid w:val="00763DAC"/>
    <w:rsid w:val="0076403B"/>
    <w:rsid w:val="00764049"/>
    <w:rsid w:val="00764109"/>
    <w:rsid w:val="00764111"/>
    <w:rsid w:val="007642D5"/>
    <w:rsid w:val="007644BE"/>
    <w:rsid w:val="0076462E"/>
    <w:rsid w:val="00764923"/>
    <w:rsid w:val="00764BE9"/>
    <w:rsid w:val="00764E80"/>
    <w:rsid w:val="00764ED0"/>
    <w:rsid w:val="00765026"/>
    <w:rsid w:val="007652C3"/>
    <w:rsid w:val="0076558E"/>
    <w:rsid w:val="00765630"/>
    <w:rsid w:val="0076585A"/>
    <w:rsid w:val="00765956"/>
    <w:rsid w:val="00765A84"/>
    <w:rsid w:val="00766829"/>
    <w:rsid w:val="00766850"/>
    <w:rsid w:val="007669E1"/>
    <w:rsid w:val="00766CE5"/>
    <w:rsid w:val="00766FB1"/>
    <w:rsid w:val="00767309"/>
    <w:rsid w:val="007678A3"/>
    <w:rsid w:val="0076791E"/>
    <w:rsid w:val="00767C3B"/>
    <w:rsid w:val="00767CD5"/>
    <w:rsid w:val="00767D36"/>
    <w:rsid w:val="00767E17"/>
    <w:rsid w:val="00770120"/>
    <w:rsid w:val="00770177"/>
    <w:rsid w:val="0077018E"/>
    <w:rsid w:val="007701E3"/>
    <w:rsid w:val="00770244"/>
    <w:rsid w:val="0077040C"/>
    <w:rsid w:val="007705DC"/>
    <w:rsid w:val="0077094E"/>
    <w:rsid w:val="0077102D"/>
    <w:rsid w:val="007710F6"/>
    <w:rsid w:val="00771457"/>
    <w:rsid w:val="0077149B"/>
    <w:rsid w:val="00771A96"/>
    <w:rsid w:val="00772020"/>
    <w:rsid w:val="00772485"/>
    <w:rsid w:val="007725B0"/>
    <w:rsid w:val="007727D4"/>
    <w:rsid w:val="00772915"/>
    <w:rsid w:val="00772BD0"/>
    <w:rsid w:val="00772CB0"/>
    <w:rsid w:val="00772DE1"/>
    <w:rsid w:val="00772E8D"/>
    <w:rsid w:val="0077349D"/>
    <w:rsid w:val="00773849"/>
    <w:rsid w:val="00773A10"/>
    <w:rsid w:val="00773AB8"/>
    <w:rsid w:val="00773B26"/>
    <w:rsid w:val="00773CFD"/>
    <w:rsid w:val="00773E08"/>
    <w:rsid w:val="0077445D"/>
    <w:rsid w:val="007744AF"/>
    <w:rsid w:val="00774820"/>
    <w:rsid w:val="00774BFC"/>
    <w:rsid w:val="00774DC3"/>
    <w:rsid w:val="00774F1F"/>
    <w:rsid w:val="00774F3A"/>
    <w:rsid w:val="0077571D"/>
    <w:rsid w:val="00775900"/>
    <w:rsid w:val="007759A2"/>
    <w:rsid w:val="00775A76"/>
    <w:rsid w:val="00775DD1"/>
    <w:rsid w:val="007764F7"/>
    <w:rsid w:val="007769B1"/>
    <w:rsid w:val="00776A54"/>
    <w:rsid w:val="00776A85"/>
    <w:rsid w:val="007770F5"/>
    <w:rsid w:val="0077734A"/>
    <w:rsid w:val="0077736A"/>
    <w:rsid w:val="00777425"/>
    <w:rsid w:val="0077752E"/>
    <w:rsid w:val="007775AE"/>
    <w:rsid w:val="007778AA"/>
    <w:rsid w:val="00777938"/>
    <w:rsid w:val="00777A78"/>
    <w:rsid w:val="00777A7D"/>
    <w:rsid w:val="00777C39"/>
    <w:rsid w:val="00777D9F"/>
    <w:rsid w:val="00777E7E"/>
    <w:rsid w:val="007800D1"/>
    <w:rsid w:val="007801A3"/>
    <w:rsid w:val="0078038C"/>
    <w:rsid w:val="00780546"/>
    <w:rsid w:val="007807D8"/>
    <w:rsid w:val="00780AE5"/>
    <w:rsid w:val="00780E1C"/>
    <w:rsid w:val="00780E88"/>
    <w:rsid w:val="00781489"/>
    <w:rsid w:val="00781711"/>
    <w:rsid w:val="00781B1C"/>
    <w:rsid w:val="00781C75"/>
    <w:rsid w:val="00781CF0"/>
    <w:rsid w:val="00781EED"/>
    <w:rsid w:val="0078225F"/>
    <w:rsid w:val="00782981"/>
    <w:rsid w:val="00783208"/>
    <w:rsid w:val="007833DE"/>
    <w:rsid w:val="007834F5"/>
    <w:rsid w:val="0078359F"/>
    <w:rsid w:val="0078366C"/>
    <w:rsid w:val="00783D7E"/>
    <w:rsid w:val="00783ECA"/>
    <w:rsid w:val="00783F81"/>
    <w:rsid w:val="0078425F"/>
    <w:rsid w:val="00784266"/>
    <w:rsid w:val="007843A8"/>
    <w:rsid w:val="00784944"/>
    <w:rsid w:val="00784DB2"/>
    <w:rsid w:val="0078518C"/>
    <w:rsid w:val="0078548E"/>
    <w:rsid w:val="007856AC"/>
    <w:rsid w:val="0078595B"/>
    <w:rsid w:val="00785A2E"/>
    <w:rsid w:val="00785A4A"/>
    <w:rsid w:val="00785B38"/>
    <w:rsid w:val="00785B73"/>
    <w:rsid w:val="00785DD2"/>
    <w:rsid w:val="00785E30"/>
    <w:rsid w:val="00785E6B"/>
    <w:rsid w:val="00786009"/>
    <w:rsid w:val="00786023"/>
    <w:rsid w:val="007863E4"/>
    <w:rsid w:val="007865CE"/>
    <w:rsid w:val="007867FC"/>
    <w:rsid w:val="00786815"/>
    <w:rsid w:val="007868B8"/>
    <w:rsid w:val="00786987"/>
    <w:rsid w:val="00786C69"/>
    <w:rsid w:val="00786D13"/>
    <w:rsid w:val="007870C7"/>
    <w:rsid w:val="007870D6"/>
    <w:rsid w:val="007872B4"/>
    <w:rsid w:val="0078745D"/>
    <w:rsid w:val="007874C5"/>
    <w:rsid w:val="00787772"/>
    <w:rsid w:val="0078789B"/>
    <w:rsid w:val="007879E8"/>
    <w:rsid w:val="00787D36"/>
    <w:rsid w:val="00787D47"/>
    <w:rsid w:val="00787DF4"/>
    <w:rsid w:val="00787F36"/>
    <w:rsid w:val="00790016"/>
    <w:rsid w:val="007906F6"/>
    <w:rsid w:val="00790706"/>
    <w:rsid w:val="007907FC"/>
    <w:rsid w:val="00790A7D"/>
    <w:rsid w:val="00790C94"/>
    <w:rsid w:val="00790E04"/>
    <w:rsid w:val="00790E3C"/>
    <w:rsid w:val="00791300"/>
    <w:rsid w:val="00791333"/>
    <w:rsid w:val="00791AF7"/>
    <w:rsid w:val="00791FBE"/>
    <w:rsid w:val="00791FBF"/>
    <w:rsid w:val="00792146"/>
    <w:rsid w:val="0079269C"/>
    <w:rsid w:val="00792A51"/>
    <w:rsid w:val="00792E06"/>
    <w:rsid w:val="00792E1D"/>
    <w:rsid w:val="00792E96"/>
    <w:rsid w:val="00793111"/>
    <w:rsid w:val="00793140"/>
    <w:rsid w:val="00793402"/>
    <w:rsid w:val="007938AE"/>
    <w:rsid w:val="007938FA"/>
    <w:rsid w:val="00793A07"/>
    <w:rsid w:val="00793B55"/>
    <w:rsid w:val="0079429A"/>
    <w:rsid w:val="00794421"/>
    <w:rsid w:val="00794517"/>
    <w:rsid w:val="00794AEA"/>
    <w:rsid w:val="00794B35"/>
    <w:rsid w:val="00794D47"/>
    <w:rsid w:val="00795001"/>
    <w:rsid w:val="007950B8"/>
    <w:rsid w:val="007952A2"/>
    <w:rsid w:val="00795507"/>
    <w:rsid w:val="00795837"/>
    <w:rsid w:val="00795A26"/>
    <w:rsid w:val="00795A4B"/>
    <w:rsid w:val="00795C96"/>
    <w:rsid w:val="00795D64"/>
    <w:rsid w:val="00795E90"/>
    <w:rsid w:val="00795EFB"/>
    <w:rsid w:val="0079601E"/>
    <w:rsid w:val="0079626E"/>
    <w:rsid w:val="007962E4"/>
    <w:rsid w:val="00796473"/>
    <w:rsid w:val="007964F4"/>
    <w:rsid w:val="00796562"/>
    <w:rsid w:val="007965E2"/>
    <w:rsid w:val="007968ED"/>
    <w:rsid w:val="007969A0"/>
    <w:rsid w:val="00796A62"/>
    <w:rsid w:val="00797125"/>
    <w:rsid w:val="007975F3"/>
    <w:rsid w:val="00797823"/>
    <w:rsid w:val="00797CA5"/>
    <w:rsid w:val="00797E3E"/>
    <w:rsid w:val="00797E72"/>
    <w:rsid w:val="007A037C"/>
    <w:rsid w:val="007A0B66"/>
    <w:rsid w:val="007A0DD8"/>
    <w:rsid w:val="007A10B1"/>
    <w:rsid w:val="007A119F"/>
    <w:rsid w:val="007A138E"/>
    <w:rsid w:val="007A1B19"/>
    <w:rsid w:val="007A1EA8"/>
    <w:rsid w:val="007A1FBC"/>
    <w:rsid w:val="007A2116"/>
    <w:rsid w:val="007A22C1"/>
    <w:rsid w:val="007A2890"/>
    <w:rsid w:val="007A2BDD"/>
    <w:rsid w:val="007A2DF7"/>
    <w:rsid w:val="007A3047"/>
    <w:rsid w:val="007A3122"/>
    <w:rsid w:val="007A31F0"/>
    <w:rsid w:val="007A325C"/>
    <w:rsid w:val="007A3586"/>
    <w:rsid w:val="007A373B"/>
    <w:rsid w:val="007A3A39"/>
    <w:rsid w:val="007A3CB1"/>
    <w:rsid w:val="007A3D47"/>
    <w:rsid w:val="007A3F1A"/>
    <w:rsid w:val="007A4118"/>
    <w:rsid w:val="007A427A"/>
    <w:rsid w:val="007A46CE"/>
    <w:rsid w:val="007A49A1"/>
    <w:rsid w:val="007A4BC7"/>
    <w:rsid w:val="007A4BE3"/>
    <w:rsid w:val="007A4BFA"/>
    <w:rsid w:val="007A5081"/>
    <w:rsid w:val="007A5487"/>
    <w:rsid w:val="007A592B"/>
    <w:rsid w:val="007A5A36"/>
    <w:rsid w:val="007A610E"/>
    <w:rsid w:val="007A6C5E"/>
    <w:rsid w:val="007A6CF8"/>
    <w:rsid w:val="007A6DC8"/>
    <w:rsid w:val="007A6DCF"/>
    <w:rsid w:val="007A74FC"/>
    <w:rsid w:val="007A75E5"/>
    <w:rsid w:val="007A78CB"/>
    <w:rsid w:val="007A7A38"/>
    <w:rsid w:val="007A7CEE"/>
    <w:rsid w:val="007A7EB3"/>
    <w:rsid w:val="007B0199"/>
    <w:rsid w:val="007B01A8"/>
    <w:rsid w:val="007B05CC"/>
    <w:rsid w:val="007B07F6"/>
    <w:rsid w:val="007B0C5B"/>
    <w:rsid w:val="007B1111"/>
    <w:rsid w:val="007B1772"/>
    <w:rsid w:val="007B1900"/>
    <w:rsid w:val="007B1A9D"/>
    <w:rsid w:val="007B1F7F"/>
    <w:rsid w:val="007B214D"/>
    <w:rsid w:val="007B2163"/>
    <w:rsid w:val="007B2833"/>
    <w:rsid w:val="007B29E4"/>
    <w:rsid w:val="007B2AE9"/>
    <w:rsid w:val="007B2BF6"/>
    <w:rsid w:val="007B2CE3"/>
    <w:rsid w:val="007B35F5"/>
    <w:rsid w:val="007B3958"/>
    <w:rsid w:val="007B3A16"/>
    <w:rsid w:val="007B3BBB"/>
    <w:rsid w:val="007B3E42"/>
    <w:rsid w:val="007B3FBB"/>
    <w:rsid w:val="007B3FFD"/>
    <w:rsid w:val="007B4699"/>
    <w:rsid w:val="007B46FB"/>
    <w:rsid w:val="007B4776"/>
    <w:rsid w:val="007B4A7D"/>
    <w:rsid w:val="007B50E1"/>
    <w:rsid w:val="007B5215"/>
    <w:rsid w:val="007B52AE"/>
    <w:rsid w:val="007B54BE"/>
    <w:rsid w:val="007B5582"/>
    <w:rsid w:val="007B55C5"/>
    <w:rsid w:val="007B58E8"/>
    <w:rsid w:val="007B5A38"/>
    <w:rsid w:val="007B5B9B"/>
    <w:rsid w:val="007B5D3E"/>
    <w:rsid w:val="007B5E55"/>
    <w:rsid w:val="007B5F05"/>
    <w:rsid w:val="007B6138"/>
    <w:rsid w:val="007B617A"/>
    <w:rsid w:val="007B62B3"/>
    <w:rsid w:val="007B651D"/>
    <w:rsid w:val="007B6A39"/>
    <w:rsid w:val="007B6C2F"/>
    <w:rsid w:val="007B6D17"/>
    <w:rsid w:val="007B6DBE"/>
    <w:rsid w:val="007B6FFA"/>
    <w:rsid w:val="007B7032"/>
    <w:rsid w:val="007B7350"/>
    <w:rsid w:val="007B7648"/>
    <w:rsid w:val="007B7720"/>
    <w:rsid w:val="007B7920"/>
    <w:rsid w:val="007B7B65"/>
    <w:rsid w:val="007C0182"/>
    <w:rsid w:val="007C01F9"/>
    <w:rsid w:val="007C028F"/>
    <w:rsid w:val="007C0303"/>
    <w:rsid w:val="007C08B0"/>
    <w:rsid w:val="007C0C3A"/>
    <w:rsid w:val="007C0D3B"/>
    <w:rsid w:val="007C0DF2"/>
    <w:rsid w:val="007C12D9"/>
    <w:rsid w:val="007C14C6"/>
    <w:rsid w:val="007C1BC5"/>
    <w:rsid w:val="007C1EA2"/>
    <w:rsid w:val="007C2219"/>
    <w:rsid w:val="007C2677"/>
    <w:rsid w:val="007C2735"/>
    <w:rsid w:val="007C3143"/>
    <w:rsid w:val="007C34BB"/>
    <w:rsid w:val="007C34DB"/>
    <w:rsid w:val="007C35A6"/>
    <w:rsid w:val="007C3A0C"/>
    <w:rsid w:val="007C3A35"/>
    <w:rsid w:val="007C3C5B"/>
    <w:rsid w:val="007C3CAB"/>
    <w:rsid w:val="007C3E01"/>
    <w:rsid w:val="007C4016"/>
    <w:rsid w:val="007C44A2"/>
    <w:rsid w:val="007C4543"/>
    <w:rsid w:val="007C45DF"/>
    <w:rsid w:val="007C4602"/>
    <w:rsid w:val="007C4B2A"/>
    <w:rsid w:val="007C4CC1"/>
    <w:rsid w:val="007C51B7"/>
    <w:rsid w:val="007C525F"/>
    <w:rsid w:val="007C57DB"/>
    <w:rsid w:val="007C5B6E"/>
    <w:rsid w:val="007C5BFC"/>
    <w:rsid w:val="007C5D74"/>
    <w:rsid w:val="007C5DAC"/>
    <w:rsid w:val="007C5F35"/>
    <w:rsid w:val="007C60F8"/>
    <w:rsid w:val="007C62FC"/>
    <w:rsid w:val="007C647A"/>
    <w:rsid w:val="007C66A0"/>
    <w:rsid w:val="007C6B2A"/>
    <w:rsid w:val="007C6EB3"/>
    <w:rsid w:val="007C71FC"/>
    <w:rsid w:val="007C733F"/>
    <w:rsid w:val="007C7344"/>
    <w:rsid w:val="007C735B"/>
    <w:rsid w:val="007C7437"/>
    <w:rsid w:val="007C76B6"/>
    <w:rsid w:val="007C7A85"/>
    <w:rsid w:val="007C7BBD"/>
    <w:rsid w:val="007C7C8A"/>
    <w:rsid w:val="007D07D8"/>
    <w:rsid w:val="007D0875"/>
    <w:rsid w:val="007D09B1"/>
    <w:rsid w:val="007D0B72"/>
    <w:rsid w:val="007D0BBD"/>
    <w:rsid w:val="007D0DA5"/>
    <w:rsid w:val="007D0E16"/>
    <w:rsid w:val="007D0F56"/>
    <w:rsid w:val="007D1065"/>
    <w:rsid w:val="007D1833"/>
    <w:rsid w:val="007D1D12"/>
    <w:rsid w:val="007D1E8A"/>
    <w:rsid w:val="007D21A4"/>
    <w:rsid w:val="007D21B4"/>
    <w:rsid w:val="007D2350"/>
    <w:rsid w:val="007D23CE"/>
    <w:rsid w:val="007D23ED"/>
    <w:rsid w:val="007D2404"/>
    <w:rsid w:val="007D2432"/>
    <w:rsid w:val="007D245B"/>
    <w:rsid w:val="007D259E"/>
    <w:rsid w:val="007D26C7"/>
    <w:rsid w:val="007D294B"/>
    <w:rsid w:val="007D2E7E"/>
    <w:rsid w:val="007D2F17"/>
    <w:rsid w:val="007D313B"/>
    <w:rsid w:val="007D3228"/>
    <w:rsid w:val="007D350E"/>
    <w:rsid w:val="007D3A35"/>
    <w:rsid w:val="007D40A4"/>
    <w:rsid w:val="007D42AA"/>
    <w:rsid w:val="007D46A1"/>
    <w:rsid w:val="007D4A19"/>
    <w:rsid w:val="007D4DFE"/>
    <w:rsid w:val="007D4EF8"/>
    <w:rsid w:val="007D51C8"/>
    <w:rsid w:val="007D51E7"/>
    <w:rsid w:val="007D5345"/>
    <w:rsid w:val="007D5366"/>
    <w:rsid w:val="007D576B"/>
    <w:rsid w:val="007D57DC"/>
    <w:rsid w:val="007D60C4"/>
    <w:rsid w:val="007D6394"/>
    <w:rsid w:val="007D63C2"/>
    <w:rsid w:val="007D6503"/>
    <w:rsid w:val="007D6D4F"/>
    <w:rsid w:val="007D7077"/>
    <w:rsid w:val="007D7134"/>
    <w:rsid w:val="007D72EB"/>
    <w:rsid w:val="007D778D"/>
    <w:rsid w:val="007D781C"/>
    <w:rsid w:val="007D7F6E"/>
    <w:rsid w:val="007E01C4"/>
    <w:rsid w:val="007E02AB"/>
    <w:rsid w:val="007E04C4"/>
    <w:rsid w:val="007E0553"/>
    <w:rsid w:val="007E060A"/>
    <w:rsid w:val="007E079A"/>
    <w:rsid w:val="007E0B7A"/>
    <w:rsid w:val="007E0FEC"/>
    <w:rsid w:val="007E0FF2"/>
    <w:rsid w:val="007E1455"/>
    <w:rsid w:val="007E1834"/>
    <w:rsid w:val="007E18D0"/>
    <w:rsid w:val="007E1BDD"/>
    <w:rsid w:val="007E1CCE"/>
    <w:rsid w:val="007E1F6B"/>
    <w:rsid w:val="007E21E1"/>
    <w:rsid w:val="007E2564"/>
    <w:rsid w:val="007E2572"/>
    <w:rsid w:val="007E2809"/>
    <w:rsid w:val="007E2B95"/>
    <w:rsid w:val="007E306D"/>
    <w:rsid w:val="007E343D"/>
    <w:rsid w:val="007E37FE"/>
    <w:rsid w:val="007E393E"/>
    <w:rsid w:val="007E3A80"/>
    <w:rsid w:val="007E3B09"/>
    <w:rsid w:val="007E3B19"/>
    <w:rsid w:val="007E3FD3"/>
    <w:rsid w:val="007E413A"/>
    <w:rsid w:val="007E44B9"/>
    <w:rsid w:val="007E4606"/>
    <w:rsid w:val="007E4985"/>
    <w:rsid w:val="007E590B"/>
    <w:rsid w:val="007E5C6B"/>
    <w:rsid w:val="007E5FBB"/>
    <w:rsid w:val="007E61A2"/>
    <w:rsid w:val="007E61B4"/>
    <w:rsid w:val="007E6242"/>
    <w:rsid w:val="007E6772"/>
    <w:rsid w:val="007E6CB2"/>
    <w:rsid w:val="007E7015"/>
    <w:rsid w:val="007E7BAB"/>
    <w:rsid w:val="007E7C5B"/>
    <w:rsid w:val="007E7C89"/>
    <w:rsid w:val="007F0263"/>
    <w:rsid w:val="007F02B2"/>
    <w:rsid w:val="007F0376"/>
    <w:rsid w:val="007F04FF"/>
    <w:rsid w:val="007F0587"/>
    <w:rsid w:val="007F0671"/>
    <w:rsid w:val="007F084D"/>
    <w:rsid w:val="007F0AF4"/>
    <w:rsid w:val="007F0C35"/>
    <w:rsid w:val="007F0DC9"/>
    <w:rsid w:val="007F135A"/>
    <w:rsid w:val="007F1790"/>
    <w:rsid w:val="007F1C3B"/>
    <w:rsid w:val="007F2151"/>
    <w:rsid w:val="007F23B6"/>
    <w:rsid w:val="007F23FF"/>
    <w:rsid w:val="007F2424"/>
    <w:rsid w:val="007F265C"/>
    <w:rsid w:val="007F29C7"/>
    <w:rsid w:val="007F2D09"/>
    <w:rsid w:val="007F3320"/>
    <w:rsid w:val="007F36D5"/>
    <w:rsid w:val="007F3812"/>
    <w:rsid w:val="007F3A7E"/>
    <w:rsid w:val="007F3F20"/>
    <w:rsid w:val="007F42BA"/>
    <w:rsid w:val="007F4316"/>
    <w:rsid w:val="007F43D4"/>
    <w:rsid w:val="007F4C62"/>
    <w:rsid w:val="007F4D19"/>
    <w:rsid w:val="007F542D"/>
    <w:rsid w:val="007F545B"/>
    <w:rsid w:val="007F56D4"/>
    <w:rsid w:val="007F57AB"/>
    <w:rsid w:val="007F5BD2"/>
    <w:rsid w:val="007F5C04"/>
    <w:rsid w:val="007F5EAE"/>
    <w:rsid w:val="007F61F6"/>
    <w:rsid w:val="007F6510"/>
    <w:rsid w:val="007F6BE3"/>
    <w:rsid w:val="007F6C8B"/>
    <w:rsid w:val="007F6F7B"/>
    <w:rsid w:val="007F7025"/>
    <w:rsid w:val="007F702A"/>
    <w:rsid w:val="007F7505"/>
    <w:rsid w:val="007F7532"/>
    <w:rsid w:val="007F7ACE"/>
    <w:rsid w:val="00800324"/>
    <w:rsid w:val="0080038F"/>
    <w:rsid w:val="008006F5"/>
    <w:rsid w:val="008006FF"/>
    <w:rsid w:val="00800B39"/>
    <w:rsid w:val="00800DEA"/>
    <w:rsid w:val="0080132C"/>
    <w:rsid w:val="00801563"/>
    <w:rsid w:val="0080156A"/>
    <w:rsid w:val="00801701"/>
    <w:rsid w:val="00801755"/>
    <w:rsid w:val="00801991"/>
    <w:rsid w:val="00801B07"/>
    <w:rsid w:val="008020AC"/>
    <w:rsid w:val="0080210F"/>
    <w:rsid w:val="008027CB"/>
    <w:rsid w:val="00802935"/>
    <w:rsid w:val="00802EA7"/>
    <w:rsid w:val="00803195"/>
    <w:rsid w:val="008035CC"/>
    <w:rsid w:val="008038CB"/>
    <w:rsid w:val="00803953"/>
    <w:rsid w:val="00803B41"/>
    <w:rsid w:val="00803C26"/>
    <w:rsid w:val="00803CFB"/>
    <w:rsid w:val="00803D4A"/>
    <w:rsid w:val="00803D62"/>
    <w:rsid w:val="00803FF3"/>
    <w:rsid w:val="008040C8"/>
    <w:rsid w:val="00804D00"/>
    <w:rsid w:val="00804F8C"/>
    <w:rsid w:val="00805160"/>
    <w:rsid w:val="0080540B"/>
    <w:rsid w:val="00805B2D"/>
    <w:rsid w:val="00805D43"/>
    <w:rsid w:val="008060BC"/>
    <w:rsid w:val="00806866"/>
    <w:rsid w:val="008068A0"/>
    <w:rsid w:val="00806B95"/>
    <w:rsid w:val="00806C46"/>
    <w:rsid w:val="00807351"/>
    <w:rsid w:val="00807537"/>
    <w:rsid w:val="00807A5D"/>
    <w:rsid w:val="00807ABB"/>
    <w:rsid w:val="00807AF1"/>
    <w:rsid w:val="00807C7D"/>
    <w:rsid w:val="00807E44"/>
    <w:rsid w:val="00810177"/>
    <w:rsid w:val="00810193"/>
    <w:rsid w:val="008101CA"/>
    <w:rsid w:val="008103A2"/>
    <w:rsid w:val="008105E5"/>
    <w:rsid w:val="008106F8"/>
    <w:rsid w:val="00810708"/>
    <w:rsid w:val="00810754"/>
    <w:rsid w:val="008108D6"/>
    <w:rsid w:val="00810A6A"/>
    <w:rsid w:val="00811025"/>
    <w:rsid w:val="00811130"/>
    <w:rsid w:val="008112DB"/>
    <w:rsid w:val="00811388"/>
    <w:rsid w:val="0081162A"/>
    <w:rsid w:val="00811AD8"/>
    <w:rsid w:val="00811DAB"/>
    <w:rsid w:val="00811E8E"/>
    <w:rsid w:val="00812437"/>
    <w:rsid w:val="008124A8"/>
    <w:rsid w:val="00812861"/>
    <w:rsid w:val="008129E1"/>
    <w:rsid w:val="00812B9D"/>
    <w:rsid w:val="00813757"/>
    <w:rsid w:val="00813F5A"/>
    <w:rsid w:val="00814158"/>
    <w:rsid w:val="0081415A"/>
    <w:rsid w:val="0081481D"/>
    <w:rsid w:val="00814886"/>
    <w:rsid w:val="00814F5A"/>
    <w:rsid w:val="0081517A"/>
    <w:rsid w:val="00815225"/>
    <w:rsid w:val="00815373"/>
    <w:rsid w:val="00815920"/>
    <w:rsid w:val="00815DC1"/>
    <w:rsid w:val="00815EDD"/>
    <w:rsid w:val="008161A6"/>
    <w:rsid w:val="008165E9"/>
    <w:rsid w:val="00816890"/>
    <w:rsid w:val="00816A37"/>
    <w:rsid w:val="00816BB6"/>
    <w:rsid w:val="00816D66"/>
    <w:rsid w:val="00816D99"/>
    <w:rsid w:val="0081705C"/>
    <w:rsid w:val="008170D5"/>
    <w:rsid w:val="0081720F"/>
    <w:rsid w:val="00817308"/>
    <w:rsid w:val="008176FE"/>
    <w:rsid w:val="008177BE"/>
    <w:rsid w:val="00817945"/>
    <w:rsid w:val="00817B09"/>
    <w:rsid w:val="00817F0C"/>
    <w:rsid w:val="008200C8"/>
    <w:rsid w:val="008200CA"/>
    <w:rsid w:val="0082011A"/>
    <w:rsid w:val="00820152"/>
    <w:rsid w:val="00820235"/>
    <w:rsid w:val="0082031F"/>
    <w:rsid w:val="008207E0"/>
    <w:rsid w:val="008209D1"/>
    <w:rsid w:val="00820D9B"/>
    <w:rsid w:val="00820F73"/>
    <w:rsid w:val="00821560"/>
    <w:rsid w:val="008216CE"/>
    <w:rsid w:val="0082196C"/>
    <w:rsid w:val="00821B23"/>
    <w:rsid w:val="00821E15"/>
    <w:rsid w:val="008221F5"/>
    <w:rsid w:val="008227A5"/>
    <w:rsid w:val="00822A7C"/>
    <w:rsid w:val="00822E57"/>
    <w:rsid w:val="00823605"/>
    <w:rsid w:val="0082382C"/>
    <w:rsid w:val="00823A8C"/>
    <w:rsid w:val="00823ADF"/>
    <w:rsid w:val="00823B4F"/>
    <w:rsid w:val="00823C2A"/>
    <w:rsid w:val="00823DF6"/>
    <w:rsid w:val="00823FA0"/>
    <w:rsid w:val="00824550"/>
    <w:rsid w:val="00824749"/>
    <w:rsid w:val="0082486D"/>
    <w:rsid w:val="00824C68"/>
    <w:rsid w:val="00824CE5"/>
    <w:rsid w:val="00824EBA"/>
    <w:rsid w:val="0082501F"/>
    <w:rsid w:val="008252EA"/>
    <w:rsid w:val="008252FC"/>
    <w:rsid w:val="00825473"/>
    <w:rsid w:val="008258D9"/>
    <w:rsid w:val="00825AD9"/>
    <w:rsid w:val="00825B1C"/>
    <w:rsid w:val="00825CE6"/>
    <w:rsid w:val="00825DA5"/>
    <w:rsid w:val="00825E16"/>
    <w:rsid w:val="00825E5B"/>
    <w:rsid w:val="00825F98"/>
    <w:rsid w:val="00826101"/>
    <w:rsid w:val="0082611F"/>
    <w:rsid w:val="00826226"/>
    <w:rsid w:val="008266EC"/>
    <w:rsid w:val="00826941"/>
    <w:rsid w:val="00826D2D"/>
    <w:rsid w:val="00826F86"/>
    <w:rsid w:val="00826FC7"/>
    <w:rsid w:val="0082772C"/>
    <w:rsid w:val="00827ACF"/>
    <w:rsid w:val="00827C6F"/>
    <w:rsid w:val="00827D10"/>
    <w:rsid w:val="00830157"/>
    <w:rsid w:val="00830394"/>
    <w:rsid w:val="00830E12"/>
    <w:rsid w:val="00830EAC"/>
    <w:rsid w:val="008310BC"/>
    <w:rsid w:val="0083175D"/>
    <w:rsid w:val="0083183C"/>
    <w:rsid w:val="00831B86"/>
    <w:rsid w:val="00831B9A"/>
    <w:rsid w:val="00831D98"/>
    <w:rsid w:val="0083208E"/>
    <w:rsid w:val="00832451"/>
    <w:rsid w:val="00832A13"/>
    <w:rsid w:val="00832A48"/>
    <w:rsid w:val="00832B0A"/>
    <w:rsid w:val="00832B6B"/>
    <w:rsid w:val="00833065"/>
    <w:rsid w:val="0083458C"/>
    <w:rsid w:val="008346E0"/>
    <w:rsid w:val="00834713"/>
    <w:rsid w:val="00835149"/>
    <w:rsid w:val="00835274"/>
    <w:rsid w:val="00835334"/>
    <w:rsid w:val="00835657"/>
    <w:rsid w:val="00835E20"/>
    <w:rsid w:val="00835F4D"/>
    <w:rsid w:val="008360EC"/>
    <w:rsid w:val="008361C1"/>
    <w:rsid w:val="008361DC"/>
    <w:rsid w:val="00836265"/>
    <w:rsid w:val="00836483"/>
    <w:rsid w:val="008364E5"/>
    <w:rsid w:val="0083653A"/>
    <w:rsid w:val="00836589"/>
    <w:rsid w:val="0083658E"/>
    <w:rsid w:val="008366CB"/>
    <w:rsid w:val="00836871"/>
    <w:rsid w:val="00836EFA"/>
    <w:rsid w:val="0083723A"/>
    <w:rsid w:val="0083773E"/>
    <w:rsid w:val="00837809"/>
    <w:rsid w:val="00837CE7"/>
    <w:rsid w:val="00837E26"/>
    <w:rsid w:val="0084020C"/>
    <w:rsid w:val="00840221"/>
    <w:rsid w:val="00840639"/>
    <w:rsid w:val="0084079D"/>
    <w:rsid w:val="00840C66"/>
    <w:rsid w:val="00840D4E"/>
    <w:rsid w:val="00841181"/>
    <w:rsid w:val="0084118B"/>
    <w:rsid w:val="00841B10"/>
    <w:rsid w:val="0084222B"/>
    <w:rsid w:val="00842BA3"/>
    <w:rsid w:val="00842C55"/>
    <w:rsid w:val="00842F35"/>
    <w:rsid w:val="00843006"/>
    <w:rsid w:val="00843222"/>
    <w:rsid w:val="0084329D"/>
    <w:rsid w:val="0084338C"/>
    <w:rsid w:val="00843539"/>
    <w:rsid w:val="00843D6D"/>
    <w:rsid w:val="00844064"/>
    <w:rsid w:val="008441A8"/>
    <w:rsid w:val="00844734"/>
    <w:rsid w:val="0084488C"/>
    <w:rsid w:val="008449E7"/>
    <w:rsid w:val="00844C0C"/>
    <w:rsid w:val="00845314"/>
    <w:rsid w:val="008454A0"/>
    <w:rsid w:val="00845C21"/>
    <w:rsid w:val="00845CB7"/>
    <w:rsid w:val="00845D4D"/>
    <w:rsid w:val="00845F02"/>
    <w:rsid w:val="00845F94"/>
    <w:rsid w:val="00846954"/>
    <w:rsid w:val="00846A66"/>
    <w:rsid w:val="00847040"/>
    <w:rsid w:val="00847426"/>
    <w:rsid w:val="00847511"/>
    <w:rsid w:val="00847D14"/>
    <w:rsid w:val="008500B1"/>
    <w:rsid w:val="0085037C"/>
    <w:rsid w:val="008503BC"/>
    <w:rsid w:val="008503DE"/>
    <w:rsid w:val="0085043A"/>
    <w:rsid w:val="008504BC"/>
    <w:rsid w:val="0085071D"/>
    <w:rsid w:val="00850A49"/>
    <w:rsid w:val="00850AD3"/>
    <w:rsid w:val="00850BE7"/>
    <w:rsid w:val="00850D82"/>
    <w:rsid w:val="0085162A"/>
    <w:rsid w:val="00851698"/>
    <w:rsid w:val="008518AE"/>
    <w:rsid w:val="00851937"/>
    <w:rsid w:val="00851B10"/>
    <w:rsid w:val="00851D5D"/>
    <w:rsid w:val="00851E79"/>
    <w:rsid w:val="00852009"/>
    <w:rsid w:val="008521B7"/>
    <w:rsid w:val="008523E2"/>
    <w:rsid w:val="00852A31"/>
    <w:rsid w:val="008536AE"/>
    <w:rsid w:val="0085377B"/>
    <w:rsid w:val="00853970"/>
    <w:rsid w:val="00853A15"/>
    <w:rsid w:val="00853A4A"/>
    <w:rsid w:val="00853DF5"/>
    <w:rsid w:val="008540A3"/>
    <w:rsid w:val="00854105"/>
    <w:rsid w:val="0085441B"/>
    <w:rsid w:val="0085458C"/>
    <w:rsid w:val="00854977"/>
    <w:rsid w:val="008552FF"/>
    <w:rsid w:val="00855309"/>
    <w:rsid w:val="008554E8"/>
    <w:rsid w:val="008557DD"/>
    <w:rsid w:val="0085583B"/>
    <w:rsid w:val="008563BB"/>
    <w:rsid w:val="00856464"/>
    <w:rsid w:val="0085676B"/>
    <w:rsid w:val="0085680D"/>
    <w:rsid w:val="00856922"/>
    <w:rsid w:val="00856960"/>
    <w:rsid w:val="00856A1C"/>
    <w:rsid w:val="00856A4B"/>
    <w:rsid w:val="00856ACD"/>
    <w:rsid w:val="00856CE8"/>
    <w:rsid w:val="00856F53"/>
    <w:rsid w:val="0085723B"/>
    <w:rsid w:val="008573FE"/>
    <w:rsid w:val="008578A8"/>
    <w:rsid w:val="0085796F"/>
    <w:rsid w:val="00857F3F"/>
    <w:rsid w:val="00860072"/>
    <w:rsid w:val="008603C3"/>
    <w:rsid w:val="0086049E"/>
    <w:rsid w:val="00860669"/>
    <w:rsid w:val="008608A0"/>
    <w:rsid w:val="00860ADB"/>
    <w:rsid w:val="00860C5D"/>
    <w:rsid w:val="00860E90"/>
    <w:rsid w:val="008610C6"/>
    <w:rsid w:val="008612F2"/>
    <w:rsid w:val="00861551"/>
    <w:rsid w:val="008615E6"/>
    <w:rsid w:val="0086181D"/>
    <w:rsid w:val="00861867"/>
    <w:rsid w:val="00861EBD"/>
    <w:rsid w:val="00862148"/>
    <w:rsid w:val="008621BA"/>
    <w:rsid w:val="0086228A"/>
    <w:rsid w:val="008622F9"/>
    <w:rsid w:val="00862705"/>
    <w:rsid w:val="00862AE1"/>
    <w:rsid w:val="00862B34"/>
    <w:rsid w:val="00863065"/>
    <w:rsid w:val="008633EF"/>
    <w:rsid w:val="00863410"/>
    <w:rsid w:val="00863C47"/>
    <w:rsid w:val="00864791"/>
    <w:rsid w:val="00864BD9"/>
    <w:rsid w:val="00864F7B"/>
    <w:rsid w:val="00864FE1"/>
    <w:rsid w:val="00865001"/>
    <w:rsid w:val="00865146"/>
    <w:rsid w:val="00865592"/>
    <w:rsid w:val="008655CB"/>
    <w:rsid w:val="008659C1"/>
    <w:rsid w:val="00865C07"/>
    <w:rsid w:val="00865E6A"/>
    <w:rsid w:val="008662EF"/>
    <w:rsid w:val="008664A3"/>
    <w:rsid w:val="008667DE"/>
    <w:rsid w:val="00866990"/>
    <w:rsid w:val="008669DF"/>
    <w:rsid w:val="00867166"/>
    <w:rsid w:val="008673E8"/>
    <w:rsid w:val="00867B84"/>
    <w:rsid w:val="00867D13"/>
    <w:rsid w:val="00867D95"/>
    <w:rsid w:val="00867DC5"/>
    <w:rsid w:val="00867F72"/>
    <w:rsid w:val="00870161"/>
    <w:rsid w:val="0087071B"/>
    <w:rsid w:val="008708EC"/>
    <w:rsid w:val="00870AA0"/>
    <w:rsid w:val="00870B21"/>
    <w:rsid w:val="00871561"/>
    <w:rsid w:val="008722DF"/>
    <w:rsid w:val="00872433"/>
    <w:rsid w:val="008727A0"/>
    <w:rsid w:val="00872A4C"/>
    <w:rsid w:val="00872B2C"/>
    <w:rsid w:val="00872C85"/>
    <w:rsid w:val="00872CD8"/>
    <w:rsid w:val="00872E01"/>
    <w:rsid w:val="00872E80"/>
    <w:rsid w:val="008730B5"/>
    <w:rsid w:val="008732BC"/>
    <w:rsid w:val="00873312"/>
    <w:rsid w:val="0087341F"/>
    <w:rsid w:val="00873986"/>
    <w:rsid w:val="00873FB0"/>
    <w:rsid w:val="00874262"/>
    <w:rsid w:val="008747E6"/>
    <w:rsid w:val="0087483C"/>
    <w:rsid w:val="00874CCA"/>
    <w:rsid w:val="00875348"/>
    <w:rsid w:val="00875477"/>
    <w:rsid w:val="00875867"/>
    <w:rsid w:val="00875980"/>
    <w:rsid w:val="00875DE5"/>
    <w:rsid w:val="008760A0"/>
    <w:rsid w:val="00876199"/>
    <w:rsid w:val="00876A81"/>
    <w:rsid w:val="00877235"/>
    <w:rsid w:val="00877A72"/>
    <w:rsid w:val="00877DBC"/>
    <w:rsid w:val="008800B4"/>
    <w:rsid w:val="008802CC"/>
    <w:rsid w:val="008809A2"/>
    <w:rsid w:val="00880BAC"/>
    <w:rsid w:val="00880D24"/>
    <w:rsid w:val="00880D7B"/>
    <w:rsid w:val="0088144D"/>
    <w:rsid w:val="00881703"/>
    <w:rsid w:val="0088193D"/>
    <w:rsid w:val="00881F26"/>
    <w:rsid w:val="008823B2"/>
    <w:rsid w:val="008824A4"/>
    <w:rsid w:val="008826A2"/>
    <w:rsid w:val="00882818"/>
    <w:rsid w:val="008829CD"/>
    <w:rsid w:val="00883760"/>
    <w:rsid w:val="00883AF0"/>
    <w:rsid w:val="00883E4C"/>
    <w:rsid w:val="00883E64"/>
    <w:rsid w:val="00883FB8"/>
    <w:rsid w:val="008841C3"/>
    <w:rsid w:val="0088424E"/>
    <w:rsid w:val="0088458B"/>
    <w:rsid w:val="00884C38"/>
    <w:rsid w:val="00884C43"/>
    <w:rsid w:val="00884CC5"/>
    <w:rsid w:val="00884EE6"/>
    <w:rsid w:val="00884F2D"/>
    <w:rsid w:val="00884F75"/>
    <w:rsid w:val="00884FA6"/>
    <w:rsid w:val="00884FFD"/>
    <w:rsid w:val="0088520B"/>
    <w:rsid w:val="008852A0"/>
    <w:rsid w:val="00885A96"/>
    <w:rsid w:val="00885B20"/>
    <w:rsid w:val="00885DA3"/>
    <w:rsid w:val="00886188"/>
    <w:rsid w:val="008863AB"/>
    <w:rsid w:val="008865AC"/>
    <w:rsid w:val="0088672D"/>
    <w:rsid w:val="00886BA7"/>
    <w:rsid w:val="00886BF5"/>
    <w:rsid w:val="00887095"/>
    <w:rsid w:val="00887256"/>
    <w:rsid w:val="00887813"/>
    <w:rsid w:val="008878B8"/>
    <w:rsid w:val="00887A2E"/>
    <w:rsid w:val="00887A65"/>
    <w:rsid w:val="00887EA6"/>
    <w:rsid w:val="0089025E"/>
    <w:rsid w:val="008903DC"/>
    <w:rsid w:val="00890871"/>
    <w:rsid w:val="00890C51"/>
    <w:rsid w:val="00890CCE"/>
    <w:rsid w:val="00890CF3"/>
    <w:rsid w:val="00890D53"/>
    <w:rsid w:val="0089118C"/>
    <w:rsid w:val="008914B8"/>
    <w:rsid w:val="0089171A"/>
    <w:rsid w:val="008918B9"/>
    <w:rsid w:val="0089194E"/>
    <w:rsid w:val="00891A22"/>
    <w:rsid w:val="00892202"/>
    <w:rsid w:val="008924C3"/>
    <w:rsid w:val="00892629"/>
    <w:rsid w:val="008926C1"/>
    <w:rsid w:val="00892E51"/>
    <w:rsid w:val="00893144"/>
    <w:rsid w:val="0089327E"/>
    <w:rsid w:val="008933C8"/>
    <w:rsid w:val="00893510"/>
    <w:rsid w:val="0089372D"/>
    <w:rsid w:val="00893947"/>
    <w:rsid w:val="008939F5"/>
    <w:rsid w:val="0089462F"/>
    <w:rsid w:val="008946B3"/>
    <w:rsid w:val="00894A04"/>
    <w:rsid w:val="00894E23"/>
    <w:rsid w:val="00894ED5"/>
    <w:rsid w:val="00895392"/>
    <w:rsid w:val="008954AA"/>
    <w:rsid w:val="008956E3"/>
    <w:rsid w:val="00895824"/>
    <w:rsid w:val="00895A9B"/>
    <w:rsid w:val="00895B2A"/>
    <w:rsid w:val="00895BB2"/>
    <w:rsid w:val="00895C4B"/>
    <w:rsid w:val="00895DE4"/>
    <w:rsid w:val="00896574"/>
    <w:rsid w:val="00896ADB"/>
    <w:rsid w:val="00896FBA"/>
    <w:rsid w:val="00897001"/>
    <w:rsid w:val="0089739E"/>
    <w:rsid w:val="008975A3"/>
    <w:rsid w:val="00897636"/>
    <w:rsid w:val="008976FE"/>
    <w:rsid w:val="00897854"/>
    <w:rsid w:val="008978D8"/>
    <w:rsid w:val="0089798E"/>
    <w:rsid w:val="00897A4D"/>
    <w:rsid w:val="00897FEF"/>
    <w:rsid w:val="008A0113"/>
    <w:rsid w:val="008A0198"/>
    <w:rsid w:val="008A01B5"/>
    <w:rsid w:val="008A01F3"/>
    <w:rsid w:val="008A024D"/>
    <w:rsid w:val="008A02FA"/>
    <w:rsid w:val="008A06FA"/>
    <w:rsid w:val="008A0797"/>
    <w:rsid w:val="008A0891"/>
    <w:rsid w:val="008A0980"/>
    <w:rsid w:val="008A0C0B"/>
    <w:rsid w:val="008A0F20"/>
    <w:rsid w:val="008A101E"/>
    <w:rsid w:val="008A124F"/>
    <w:rsid w:val="008A13FA"/>
    <w:rsid w:val="008A1685"/>
    <w:rsid w:val="008A1EF7"/>
    <w:rsid w:val="008A2067"/>
    <w:rsid w:val="008A2302"/>
    <w:rsid w:val="008A2944"/>
    <w:rsid w:val="008A2AFD"/>
    <w:rsid w:val="008A2B00"/>
    <w:rsid w:val="008A312C"/>
    <w:rsid w:val="008A3411"/>
    <w:rsid w:val="008A3487"/>
    <w:rsid w:val="008A3616"/>
    <w:rsid w:val="008A3630"/>
    <w:rsid w:val="008A38D1"/>
    <w:rsid w:val="008A3D98"/>
    <w:rsid w:val="008A3DEF"/>
    <w:rsid w:val="008A3EBE"/>
    <w:rsid w:val="008A4298"/>
    <w:rsid w:val="008A4644"/>
    <w:rsid w:val="008A4BD3"/>
    <w:rsid w:val="008A5233"/>
    <w:rsid w:val="008A561F"/>
    <w:rsid w:val="008A5805"/>
    <w:rsid w:val="008A598F"/>
    <w:rsid w:val="008A6244"/>
    <w:rsid w:val="008A635B"/>
    <w:rsid w:val="008A651B"/>
    <w:rsid w:val="008A6632"/>
    <w:rsid w:val="008A66A4"/>
    <w:rsid w:val="008A67D1"/>
    <w:rsid w:val="008A6830"/>
    <w:rsid w:val="008A6F90"/>
    <w:rsid w:val="008A7100"/>
    <w:rsid w:val="008A735F"/>
    <w:rsid w:val="008A7542"/>
    <w:rsid w:val="008A76F3"/>
    <w:rsid w:val="008A787D"/>
    <w:rsid w:val="008A7A64"/>
    <w:rsid w:val="008A7DC9"/>
    <w:rsid w:val="008B044F"/>
    <w:rsid w:val="008B0A08"/>
    <w:rsid w:val="008B0B9E"/>
    <w:rsid w:val="008B0BBE"/>
    <w:rsid w:val="008B0C8C"/>
    <w:rsid w:val="008B0D44"/>
    <w:rsid w:val="008B1124"/>
    <w:rsid w:val="008B130A"/>
    <w:rsid w:val="008B1543"/>
    <w:rsid w:val="008B15C2"/>
    <w:rsid w:val="008B235B"/>
    <w:rsid w:val="008B25C3"/>
    <w:rsid w:val="008B2776"/>
    <w:rsid w:val="008B2995"/>
    <w:rsid w:val="008B2BC4"/>
    <w:rsid w:val="008B31D1"/>
    <w:rsid w:val="008B3290"/>
    <w:rsid w:val="008B3332"/>
    <w:rsid w:val="008B33E1"/>
    <w:rsid w:val="008B3613"/>
    <w:rsid w:val="008B373A"/>
    <w:rsid w:val="008B3AF4"/>
    <w:rsid w:val="008B3B17"/>
    <w:rsid w:val="008B3BF6"/>
    <w:rsid w:val="008B3CCF"/>
    <w:rsid w:val="008B3CE5"/>
    <w:rsid w:val="008B3E7C"/>
    <w:rsid w:val="008B4560"/>
    <w:rsid w:val="008B47F4"/>
    <w:rsid w:val="008B4AF3"/>
    <w:rsid w:val="008B4B54"/>
    <w:rsid w:val="008B4C2B"/>
    <w:rsid w:val="008B4C93"/>
    <w:rsid w:val="008B54AD"/>
    <w:rsid w:val="008B575B"/>
    <w:rsid w:val="008B5A6D"/>
    <w:rsid w:val="008B5BC6"/>
    <w:rsid w:val="008B5D0B"/>
    <w:rsid w:val="008B5EDB"/>
    <w:rsid w:val="008B606A"/>
    <w:rsid w:val="008B607F"/>
    <w:rsid w:val="008B6812"/>
    <w:rsid w:val="008B69B7"/>
    <w:rsid w:val="008B6F78"/>
    <w:rsid w:val="008B70DC"/>
    <w:rsid w:val="008B7315"/>
    <w:rsid w:val="008B7530"/>
    <w:rsid w:val="008B7979"/>
    <w:rsid w:val="008B797E"/>
    <w:rsid w:val="008B79F5"/>
    <w:rsid w:val="008B7A03"/>
    <w:rsid w:val="008B7A31"/>
    <w:rsid w:val="008B7CBA"/>
    <w:rsid w:val="008B7EA7"/>
    <w:rsid w:val="008C020B"/>
    <w:rsid w:val="008C0406"/>
    <w:rsid w:val="008C053C"/>
    <w:rsid w:val="008C05F7"/>
    <w:rsid w:val="008C0AFA"/>
    <w:rsid w:val="008C0BC7"/>
    <w:rsid w:val="008C0D87"/>
    <w:rsid w:val="008C0FB8"/>
    <w:rsid w:val="008C1073"/>
    <w:rsid w:val="008C117A"/>
    <w:rsid w:val="008C121C"/>
    <w:rsid w:val="008C1435"/>
    <w:rsid w:val="008C1633"/>
    <w:rsid w:val="008C18FD"/>
    <w:rsid w:val="008C1B7F"/>
    <w:rsid w:val="008C1BC7"/>
    <w:rsid w:val="008C2145"/>
    <w:rsid w:val="008C23FD"/>
    <w:rsid w:val="008C240F"/>
    <w:rsid w:val="008C2452"/>
    <w:rsid w:val="008C246E"/>
    <w:rsid w:val="008C2731"/>
    <w:rsid w:val="008C2C94"/>
    <w:rsid w:val="008C2E9D"/>
    <w:rsid w:val="008C3226"/>
    <w:rsid w:val="008C33AA"/>
    <w:rsid w:val="008C34C5"/>
    <w:rsid w:val="008C36BA"/>
    <w:rsid w:val="008C3994"/>
    <w:rsid w:val="008C3A34"/>
    <w:rsid w:val="008C4244"/>
    <w:rsid w:val="008C45AF"/>
    <w:rsid w:val="008C48C1"/>
    <w:rsid w:val="008C4E22"/>
    <w:rsid w:val="008C590C"/>
    <w:rsid w:val="008C5C73"/>
    <w:rsid w:val="008C5D31"/>
    <w:rsid w:val="008C5D76"/>
    <w:rsid w:val="008C5DA0"/>
    <w:rsid w:val="008C5E20"/>
    <w:rsid w:val="008C61D8"/>
    <w:rsid w:val="008C6401"/>
    <w:rsid w:val="008C6887"/>
    <w:rsid w:val="008C69BE"/>
    <w:rsid w:val="008C6BC2"/>
    <w:rsid w:val="008C6E3E"/>
    <w:rsid w:val="008C6E97"/>
    <w:rsid w:val="008C72DC"/>
    <w:rsid w:val="008C72DD"/>
    <w:rsid w:val="008C73F7"/>
    <w:rsid w:val="008C7D77"/>
    <w:rsid w:val="008C7DDE"/>
    <w:rsid w:val="008C7E66"/>
    <w:rsid w:val="008D00FD"/>
    <w:rsid w:val="008D0274"/>
    <w:rsid w:val="008D02B5"/>
    <w:rsid w:val="008D0379"/>
    <w:rsid w:val="008D048D"/>
    <w:rsid w:val="008D055B"/>
    <w:rsid w:val="008D0640"/>
    <w:rsid w:val="008D0777"/>
    <w:rsid w:val="008D0A1F"/>
    <w:rsid w:val="008D0D45"/>
    <w:rsid w:val="008D10D6"/>
    <w:rsid w:val="008D1461"/>
    <w:rsid w:val="008D16AD"/>
    <w:rsid w:val="008D1928"/>
    <w:rsid w:val="008D1BEA"/>
    <w:rsid w:val="008D2018"/>
    <w:rsid w:val="008D21AA"/>
    <w:rsid w:val="008D248C"/>
    <w:rsid w:val="008D25BD"/>
    <w:rsid w:val="008D2A7B"/>
    <w:rsid w:val="008D2B79"/>
    <w:rsid w:val="008D2E63"/>
    <w:rsid w:val="008D302F"/>
    <w:rsid w:val="008D3331"/>
    <w:rsid w:val="008D3B19"/>
    <w:rsid w:val="008D3C30"/>
    <w:rsid w:val="008D3D93"/>
    <w:rsid w:val="008D3F94"/>
    <w:rsid w:val="008D4011"/>
    <w:rsid w:val="008D42A7"/>
    <w:rsid w:val="008D4440"/>
    <w:rsid w:val="008D4588"/>
    <w:rsid w:val="008D48C2"/>
    <w:rsid w:val="008D49D7"/>
    <w:rsid w:val="008D4FF1"/>
    <w:rsid w:val="008D5008"/>
    <w:rsid w:val="008D5283"/>
    <w:rsid w:val="008D5481"/>
    <w:rsid w:val="008D56BA"/>
    <w:rsid w:val="008D58C6"/>
    <w:rsid w:val="008D5B1E"/>
    <w:rsid w:val="008D5B3F"/>
    <w:rsid w:val="008D5BE5"/>
    <w:rsid w:val="008D5E96"/>
    <w:rsid w:val="008D63F3"/>
    <w:rsid w:val="008D6AAC"/>
    <w:rsid w:val="008D6EC4"/>
    <w:rsid w:val="008D6F94"/>
    <w:rsid w:val="008D734C"/>
    <w:rsid w:val="008D7408"/>
    <w:rsid w:val="008D753A"/>
    <w:rsid w:val="008D7888"/>
    <w:rsid w:val="008D7988"/>
    <w:rsid w:val="008D7A0C"/>
    <w:rsid w:val="008D7A9A"/>
    <w:rsid w:val="008D7D8E"/>
    <w:rsid w:val="008E0132"/>
    <w:rsid w:val="008E01E3"/>
    <w:rsid w:val="008E0504"/>
    <w:rsid w:val="008E0511"/>
    <w:rsid w:val="008E0560"/>
    <w:rsid w:val="008E05DE"/>
    <w:rsid w:val="008E0775"/>
    <w:rsid w:val="008E0AE3"/>
    <w:rsid w:val="008E0DB3"/>
    <w:rsid w:val="008E10F7"/>
    <w:rsid w:val="008E117E"/>
    <w:rsid w:val="008E13E9"/>
    <w:rsid w:val="008E17A4"/>
    <w:rsid w:val="008E1B36"/>
    <w:rsid w:val="008E1E4A"/>
    <w:rsid w:val="008E1FF1"/>
    <w:rsid w:val="008E2144"/>
    <w:rsid w:val="008E2149"/>
    <w:rsid w:val="008E245E"/>
    <w:rsid w:val="008E2509"/>
    <w:rsid w:val="008E25F0"/>
    <w:rsid w:val="008E28E2"/>
    <w:rsid w:val="008E3254"/>
    <w:rsid w:val="008E3304"/>
    <w:rsid w:val="008E3459"/>
    <w:rsid w:val="008E34A9"/>
    <w:rsid w:val="008E3818"/>
    <w:rsid w:val="008E3AD2"/>
    <w:rsid w:val="008E3CDB"/>
    <w:rsid w:val="008E3EC6"/>
    <w:rsid w:val="008E4041"/>
    <w:rsid w:val="008E408C"/>
    <w:rsid w:val="008E42A5"/>
    <w:rsid w:val="008E430A"/>
    <w:rsid w:val="008E46F2"/>
    <w:rsid w:val="008E4849"/>
    <w:rsid w:val="008E48E1"/>
    <w:rsid w:val="008E495C"/>
    <w:rsid w:val="008E4C0D"/>
    <w:rsid w:val="008E4D19"/>
    <w:rsid w:val="008E5097"/>
    <w:rsid w:val="008E540A"/>
    <w:rsid w:val="008E577F"/>
    <w:rsid w:val="008E5A1D"/>
    <w:rsid w:val="008E5B80"/>
    <w:rsid w:val="008E5D01"/>
    <w:rsid w:val="008E5FA6"/>
    <w:rsid w:val="008E6038"/>
    <w:rsid w:val="008E65C5"/>
    <w:rsid w:val="008E6A97"/>
    <w:rsid w:val="008E7018"/>
    <w:rsid w:val="008E72D2"/>
    <w:rsid w:val="008E7336"/>
    <w:rsid w:val="008E78BC"/>
    <w:rsid w:val="008E7A7E"/>
    <w:rsid w:val="008E7DD0"/>
    <w:rsid w:val="008E7F48"/>
    <w:rsid w:val="008F04B9"/>
    <w:rsid w:val="008F062E"/>
    <w:rsid w:val="008F0783"/>
    <w:rsid w:val="008F085F"/>
    <w:rsid w:val="008F1190"/>
    <w:rsid w:val="008F11F7"/>
    <w:rsid w:val="008F11FF"/>
    <w:rsid w:val="008F134D"/>
    <w:rsid w:val="008F1375"/>
    <w:rsid w:val="008F137E"/>
    <w:rsid w:val="008F17E1"/>
    <w:rsid w:val="008F1C14"/>
    <w:rsid w:val="008F1C3D"/>
    <w:rsid w:val="008F1FD6"/>
    <w:rsid w:val="008F257B"/>
    <w:rsid w:val="008F2A80"/>
    <w:rsid w:val="008F2D91"/>
    <w:rsid w:val="008F2DB7"/>
    <w:rsid w:val="008F3AAE"/>
    <w:rsid w:val="008F3D5A"/>
    <w:rsid w:val="008F3DAB"/>
    <w:rsid w:val="008F40EA"/>
    <w:rsid w:val="008F46D2"/>
    <w:rsid w:val="008F4863"/>
    <w:rsid w:val="008F4AD5"/>
    <w:rsid w:val="008F4D25"/>
    <w:rsid w:val="008F4D86"/>
    <w:rsid w:val="008F5030"/>
    <w:rsid w:val="008F5153"/>
    <w:rsid w:val="008F55FF"/>
    <w:rsid w:val="008F5F17"/>
    <w:rsid w:val="008F5FDA"/>
    <w:rsid w:val="008F602E"/>
    <w:rsid w:val="008F614F"/>
    <w:rsid w:val="008F678C"/>
    <w:rsid w:val="008F6B81"/>
    <w:rsid w:val="008F6CB0"/>
    <w:rsid w:val="008F6EA7"/>
    <w:rsid w:val="008F718B"/>
    <w:rsid w:val="008F7192"/>
    <w:rsid w:val="008F742E"/>
    <w:rsid w:val="008F7573"/>
    <w:rsid w:val="008F7976"/>
    <w:rsid w:val="008F7EA7"/>
    <w:rsid w:val="008F7F64"/>
    <w:rsid w:val="008F7F7B"/>
    <w:rsid w:val="00900034"/>
    <w:rsid w:val="0090007E"/>
    <w:rsid w:val="0090014C"/>
    <w:rsid w:val="0090054C"/>
    <w:rsid w:val="00900B9C"/>
    <w:rsid w:val="009010C8"/>
    <w:rsid w:val="00901328"/>
    <w:rsid w:val="00901587"/>
    <w:rsid w:val="00901771"/>
    <w:rsid w:val="00901D33"/>
    <w:rsid w:val="00901F04"/>
    <w:rsid w:val="009020D9"/>
    <w:rsid w:val="00902119"/>
    <w:rsid w:val="00902571"/>
    <w:rsid w:val="00902682"/>
    <w:rsid w:val="00902B2D"/>
    <w:rsid w:val="00902DEF"/>
    <w:rsid w:val="00902E43"/>
    <w:rsid w:val="009031F4"/>
    <w:rsid w:val="009034A4"/>
    <w:rsid w:val="0090355C"/>
    <w:rsid w:val="009035AA"/>
    <w:rsid w:val="009036DE"/>
    <w:rsid w:val="00903C01"/>
    <w:rsid w:val="00903E8A"/>
    <w:rsid w:val="00903FD9"/>
    <w:rsid w:val="0090404B"/>
    <w:rsid w:val="00904308"/>
    <w:rsid w:val="00904362"/>
    <w:rsid w:val="009043CD"/>
    <w:rsid w:val="00904665"/>
    <w:rsid w:val="0090498C"/>
    <w:rsid w:val="00904EBD"/>
    <w:rsid w:val="0090523A"/>
    <w:rsid w:val="0090528C"/>
    <w:rsid w:val="00905313"/>
    <w:rsid w:val="009053B1"/>
    <w:rsid w:val="009054BB"/>
    <w:rsid w:val="0090562B"/>
    <w:rsid w:val="00905C08"/>
    <w:rsid w:val="009062DF"/>
    <w:rsid w:val="009073DB"/>
    <w:rsid w:val="009074B9"/>
    <w:rsid w:val="0090760B"/>
    <w:rsid w:val="00907918"/>
    <w:rsid w:val="00907B51"/>
    <w:rsid w:val="00907C63"/>
    <w:rsid w:val="00907E10"/>
    <w:rsid w:val="00907E2B"/>
    <w:rsid w:val="00907EC7"/>
    <w:rsid w:val="009102A0"/>
    <w:rsid w:val="0091096A"/>
    <w:rsid w:val="009112CE"/>
    <w:rsid w:val="0091195D"/>
    <w:rsid w:val="00911B23"/>
    <w:rsid w:val="00911BA1"/>
    <w:rsid w:val="0091203A"/>
    <w:rsid w:val="009121D1"/>
    <w:rsid w:val="009122BD"/>
    <w:rsid w:val="009123DE"/>
    <w:rsid w:val="0091295D"/>
    <w:rsid w:val="009129D9"/>
    <w:rsid w:val="00913021"/>
    <w:rsid w:val="009133EB"/>
    <w:rsid w:val="00913534"/>
    <w:rsid w:val="009136AB"/>
    <w:rsid w:val="00913838"/>
    <w:rsid w:val="009138ED"/>
    <w:rsid w:val="00913BC2"/>
    <w:rsid w:val="009142FF"/>
    <w:rsid w:val="0091477E"/>
    <w:rsid w:val="009147CD"/>
    <w:rsid w:val="00914B8A"/>
    <w:rsid w:val="00914BE5"/>
    <w:rsid w:val="00914D3F"/>
    <w:rsid w:val="00915273"/>
    <w:rsid w:val="009152E3"/>
    <w:rsid w:val="0091545A"/>
    <w:rsid w:val="009158E4"/>
    <w:rsid w:val="0091592D"/>
    <w:rsid w:val="00915970"/>
    <w:rsid w:val="00915CBA"/>
    <w:rsid w:val="00915CF5"/>
    <w:rsid w:val="00915E2C"/>
    <w:rsid w:val="00915FAC"/>
    <w:rsid w:val="0091661D"/>
    <w:rsid w:val="00916B28"/>
    <w:rsid w:val="00916E1F"/>
    <w:rsid w:val="00916EB5"/>
    <w:rsid w:val="009174D3"/>
    <w:rsid w:val="00917627"/>
    <w:rsid w:val="00917676"/>
    <w:rsid w:val="0091789A"/>
    <w:rsid w:val="00917C0C"/>
    <w:rsid w:val="00917D90"/>
    <w:rsid w:val="00917EF1"/>
    <w:rsid w:val="00917FFB"/>
    <w:rsid w:val="0092005A"/>
    <w:rsid w:val="009200E8"/>
    <w:rsid w:val="0092025A"/>
    <w:rsid w:val="0092066D"/>
    <w:rsid w:val="00920B87"/>
    <w:rsid w:val="00920FBE"/>
    <w:rsid w:val="00920FE6"/>
    <w:rsid w:val="009210E8"/>
    <w:rsid w:val="00921267"/>
    <w:rsid w:val="00921273"/>
    <w:rsid w:val="00921513"/>
    <w:rsid w:val="00921A40"/>
    <w:rsid w:val="00921D9F"/>
    <w:rsid w:val="00922130"/>
    <w:rsid w:val="0092214C"/>
    <w:rsid w:val="009223FC"/>
    <w:rsid w:val="00922623"/>
    <w:rsid w:val="0092294A"/>
    <w:rsid w:val="00922C29"/>
    <w:rsid w:val="00922EAF"/>
    <w:rsid w:val="0092310D"/>
    <w:rsid w:val="0092330C"/>
    <w:rsid w:val="00923463"/>
    <w:rsid w:val="00923723"/>
    <w:rsid w:val="00923815"/>
    <w:rsid w:val="00923A6D"/>
    <w:rsid w:val="00923F90"/>
    <w:rsid w:val="0092462D"/>
    <w:rsid w:val="00924B62"/>
    <w:rsid w:val="009250E6"/>
    <w:rsid w:val="00925166"/>
    <w:rsid w:val="0092541A"/>
    <w:rsid w:val="0092557C"/>
    <w:rsid w:val="00925777"/>
    <w:rsid w:val="009260AE"/>
    <w:rsid w:val="00926A70"/>
    <w:rsid w:val="00926ACB"/>
    <w:rsid w:val="00926C03"/>
    <w:rsid w:val="00926CE6"/>
    <w:rsid w:val="00927049"/>
    <w:rsid w:val="00927566"/>
    <w:rsid w:val="0092779C"/>
    <w:rsid w:val="00927887"/>
    <w:rsid w:val="00927B0F"/>
    <w:rsid w:val="00927B62"/>
    <w:rsid w:val="00930211"/>
    <w:rsid w:val="009304B6"/>
    <w:rsid w:val="0093078E"/>
    <w:rsid w:val="00930B36"/>
    <w:rsid w:val="00930B57"/>
    <w:rsid w:val="00930D92"/>
    <w:rsid w:val="00930F18"/>
    <w:rsid w:val="00931083"/>
    <w:rsid w:val="009310A8"/>
    <w:rsid w:val="009311B5"/>
    <w:rsid w:val="0093121C"/>
    <w:rsid w:val="009314D6"/>
    <w:rsid w:val="009317A2"/>
    <w:rsid w:val="00931AAB"/>
    <w:rsid w:val="00931C7B"/>
    <w:rsid w:val="00931E4B"/>
    <w:rsid w:val="00932297"/>
    <w:rsid w:val="0093257D"/>
    <w:rsid w:val="009326A1"/>
    <w:rsid w:val="00932C0D"/>
    <w:rsid w:val="00932C39"/>
    <w:rsid w:val="00932EFC"/>
    <w:rsid w:val="0093305F"/>
    <w:rsid w:val="009333AC"/>
    <w:rsid w:val="00933489"/>
    <w:rsid w:val="009334D8"/>
    <w:rsid w:val="00933760"/>
    <w:rsid w:val="009337B6"/>
    <w:rsid w:val="009338E0"/>
    <w:rsid w:val="00933CE4"/>
    <w:rsid w:val="00934310"/>
    <w:rsid w:val="009343AD"/>
    <w:rsid w:val="009343FE"/>
    <w:rsid w:val="0093460C"/>
    <w:rsid w:val="0093481A"/>
    <w:rsid w:val="00934C6A"/>
    <w:rsid w:val="00934D6E"/>
    <w:rsid w:val="009351F0"/>
    <w:rsid w:val="009354B7"/>
    <w:rsid w:val="0093567C"/>
    <w:rsid w:val="00935965"/>
    <w:rsid w:val="00935D98"/>
    <w:rsid w:val="00935D99"/>
    <w:rsid w:val="00935E48"/>
    <w:rsid w:val="00935F92"/>
    <w:rsid w:val="00936306"/>
    <w:rsid w:val="00936AB3"/>
    <w:rsid w:val="00936E1C"/>
    <w:rsid w:val="00936EFD"/>
    <w:rsid w:val="0093724A"/>
    <w:rsid w:val="00937587"/>
    <w:rsid w:val="009375D8"/>
    <w:rsid w:val="0093760B"/>
    <w:rsid w:val="00937882"/>
    <w:rsid w:val="009378C4"/>
    <w:rsid w:val="00937B82"/>
    <w:rsid w:val="009400C4"/>
    <w:rsid w:val="00940A16"/>
    <w:rsid w:val="009417F4"/>
    <w:rsid w:val="0094185D"/>
    <w:rsid w:val="0094195C"/>
    <w:rsid w:val="009419F0"/>
    <w:rsid w:val="00941F73"/>
    <w:rsid w:val="009423AA"/>
    <w:rsid w:val="009423FF"/>
    <w:rsid w:val="0094294B"/>
    <w:rsid w:val="00942B3D"/>
    <w:rsid w:val="0094305A"/>
    <w:rsid w:val="009430E2"/>
    <w:rsid w:val="0094314A"/>
    <w:rsid w:val="009434D2"/>
    <w:rsid w:val="009434D5"/>
    <w:rsid w:val="009435CC"/>
    <w:rsid w:val="00943776"/>
    <w:rsid w:val="00943813"/>
    <w:rsid w:val="00943943"/>
    <w:rsid w:val="00943B95"/>
    <w:rsid w:val="00943F8D"/>
    <w:rsid w:val="0094407B"/>
    <w:rsid w:val="00944916"/>
    <w:rsid w:val="00944961"/>
    <w:rsid w:val="00944F05"/>
    <w:rsid w:val="00944F5F"/>
    <w:rsid w:val="00944F97"/>
    <w:rsid w:val="009454CA"/>
    <w:rsid w:val="00945950"/>
    <w:rsid w:val="00945B6B"/>
    <w:rsid w:val="00945CAE"/>
    <w:rsid w:val="00945EBF"/>
    <w:rsid w:val="0094611D"/>
    <w:rsid w:val="009461B7"/>
    <w:rsid w:val="00946798"/>
    <w:rsid w:val="0094687A"/>
    <w:rsid w:val="00946962"/>
    <w:rsid w:val="00946B3E"/>
    <w:rsid w:val="00946CF1"/>
    <w:rsid w:val="00947231"/>
    <w:rsid w:val="00947274"/>
    <w:rsid w:val="009473AC"/>
    <w:rsid w:val="0094741F"/>
    <w:rsid w:val="009475D9"/>
    <w:rsid w:val="0094761E"/>
    <w:rsid w:val="0094781F"/>
    <w:rsid w:val="009478EE"/>
    <w:rsid w:val="009478FF"/>
    <w:rsid w:val="00947DDB"/>
    <w:rsid w:val="009501F7"/>
    <w:rsid w:val="009507ED"/>
    <w:rsid w:val="009509F4"/>
    <w:rsid w:val="00950A19"/>
    <w:rsid w:val="00950C54"/>
    <w:rsid w:val="009510DD"/>
    <w:rsid w:val="00951682"/>
    <w:rsid w:val="009516C8"/>
    <w:rsid w:val="00951A56"/>
    <w:rsid w:val="00951B22"/>
    <w:rsid w:val="00951C46"/>
    <w:rsid w:val="00951E07"/>
    <w:rsid w:val="00951E85"/>
    <w:rsid w:val="00951F78"/>
    <w:rsid w:val="00952020"/>
    <w:rsid w:val="0095277F"/>
    <w:rsid w:val="00952B06"/>
    <w:rsid w:val="00952E7D"/>
    <w:rsid w:val="009530AA"/>
    <w:rsid w:val="009532CD"/>
    <w:rsid w:val="009537AD"/>
    <w:rsid w:val="00953B91"/>
    <w:rsid w:val="00953DE5"/>
    <w:rsid w:val="00953F38"/>
    <w:rsid w:val="009542ED"/>
    <w:rsid w:val="0095477B"/>
    <w:rsid w:val="0095485F"/>
    <w:rsid w:val="00954A21"/>
    <w:rsid w:val="00954A80"/>
    <w:rsid w:val="00954B89"/>
    <w:rsid w:val="00954CBB"/>
    <w:rsid w:val="00954D60"/>
    <w:rsid w:val="00955197"/>
    <w:rsid w:val="009554DE"/>
    <w:rsid w:val="00955509"/>
    <w:rsid w:val="00955607"/>
    <w:rsid w:val="009557AC"/>
    <w:rsid w:val="00955D8B"/>
    <w:rsid w:val="0095624E"/>
    <w:rsid w:val="00956466"/>
    <w:rsid w:val="0095646C"/>
    <w:rsid w:val="00956501"/>
    <w:rsid w:val="00956685"/>
    <w:rsid w:val="00956BDD"/>
    <w:rsid w:val="00956C91"/>
    <w:rsid w:val="00956E16"/>
    <w:rsid w:val="00956F5D"/>
    <w:rsid w:val="00956FA2"/>
    <w:rsid w:val="00957038"/>
    <w:rsid w:val="0095725E"/>
    <w:rsid w:val="009572B4"/>
    <w:rsid w:val="009573B3"/>
    <w:rsid w:val="0095768C"/>
    <w:rsid w:val="00957782"/>
    <w:rsid w:val="0095778E"/>
    <w:rsid w:val="009579EB"/>
    <w:rsid w:val="00957B23"/>
    <w:rsid w:val="00957C83"/>
    <w:rsid w:val="0096019D"/>
    <w:rsid w:val="0096026B"/>
    <w:rsid w:val="00960284"/>
    <w:rsid w:val="00960F08"/>
    <w:rsid w:val="00961097"/>
    <w:rsid w:val="009610BB"/>
    <w:rsid w:val="009615AB"/>
    <w:rsid w:val="00961BE8"/>
    <w:rsid w:val="00961BE9"/>
    <w:rsid w:val="00961FAD"/>
    <w:rsid w:val="0096225F"/>
    <w:rsid w:val="009622C0"/>
    <w:rsid w:val="0096246E"/>
    <w:rsid w:val="00962514"/>
    <w:rsid w:val="0096298F"/>
    <w:rsid w:val="00962A1D"/>
    <w:rsid w:val="00962A36"/>
    <w:rsid w:val="00962E50"/>
    <w:rsid w:val="0096304D"/>
    <w:rsid w:val="009631DA"/>
    <w:rsid w:val="009632D2"/>
    <w:rsid w:val="00963343"/>
    <w:rsid w:val="00963451"/>
    <w:rsid w:val="00963466"/>
    <w:rsid w:val="00963811"/>
    <w:rsid w:val="009638AB"/>
    <w:rsid w:val="0096393B"/>
    <w:rsid w:val="00964280"/>
    <w:rsid w:val="00964317"/>
    <w:rsid w:val="009648C5"/>
    <w:rsid w:val="009648F3"/>
    <w:rsid w:val="00964B98"/>
    <w:rsid w:val="00964C78"/>
    <w:rsid w:val="00964D73"/>
    <w:rsid w:val="00965047"/>
    <w:rsid w:val="00965080"/>
    <w:rsid w:val="009652A0"/>
    <w:rsid w:val="009652AD"/>
    <w:rsid w:val="009654FE"/>
    <w:rsid w:val="00965607"/>
    <w:rsid w:val="009658EA"/>
    <w:rsid w:val="00965B4D"/>
    <w:rsid w:val="00965CE9"/>
    <w:rsid w:val="00965D07"/>
    <w:rsid w:val="00965EBD"/>
    <w:rsid w:val="009660C6"/>
    <w:rsid w:val="00966159"/>
    <w:rsid w:val="0096616A"/>
    <w:rsid w:val="009665C7"/>
    <w:rsid w:val="009666D6"/>
    <w:rsid w:val="00967117"/>
    <w:rsid w:val="009674A9"/>
    <w:rsid w:val="0096766E"/>
    <w:rsid w:val="00967882"/>
    <w:rsid w:val="009678D6"/>
    <w:rsid w:val="0096794D"/>
    <w:rsid w:val="00967ABF"/>
    <w:rsid w:val="00967BF6"/>
    <w:rsid w:val="00967CD7"/>
    <w:rsid w:val="00967D7E"/>
    <w:rsid w:val="00970257"/>
    <w:rsid w:val="00970542"/>
    <w:rsid w:val="0097063C"/>
    <w:rsid w:val="00970800"/>
    <w:rsid w:val="00970A68"/>
    <w:rsid w:val="00970E9C"/>
    <w:rsid w:val="00970F01"/>
    <w:rsid w:val="00970FF2"/>
    <w:rsid w:val="0097150A"/>
    <w:rsid w:val="00971724"/>
    <w:rsid w:val="009717DA"/>
    <w:rsid w:val="00971AA3"/>
    <w:rsid w:val="00971B65"/>
    <w:rsid w:val="00971B6F"/>
    <w:rsid w:val="009722ED"/>
    <w:rsid w:val="00972338"/>
    <w:rsid w:val="00972852"/>
    <w:rsid w:val="00972CCF"/>
    <w:rsid w:val="00972D42"/>
    <w:rsid w:val="00972E36"/>
    <w:rsid w:val="00973607"/>
    <w:rsid w:val="009738C3"/>
    <w:rsid w:val="00973FC8"/>
    <w:rsid w:val="009740C9"/>
    <w:rsid w:val="00974694"/>
    <w:rsid w:val="00974950"/>
    <w:rsid w:val="009751E4"/>
    <w:rsid w:val="00975393"/>
    <w:rsid w:val="00975722"/>
    <w:rsid w:val="009758F7"/>
    <w:rsid w:val="00975C37"/>
    <w:rsid w:val="009760AB"/>
    <w:rsid w:val="00976224"/>
    <w:rsid w:val="009762EB"/>
    <w:rsid w:val="00976796"/>
    <w:rsid w:val="009767B7"/>
    <w:rsid w:val="00976A55"/>
    <w:rsid w:val="00976C7A"/>
    <w:rsid w:val="00976EB4"/>
    <w:rsid w:val="00976F43"/>
    <w:rsid w:val="00976F88"/>
    <w:rsid w:val="00976FA1"/>
    <w:rsid w:val="00976FB4"/>
    <w:rsid w:val="00977062"/>
    <w:rsid w:val="009771F0"/>
    <w:rsid w:val="0097735F"/>
    <w:rsid w:val="0097744D"/>
    <w:rsid w:val="009779E5"/>
    <w:rsid w:val="009779FF"/>
    <w:rsid w:val="00977B47"/>
    <w:rsid w:val="00977C55"/>
    <w:rsid w:val="00980437"/>
    <w:rsid w:val="00980B1D"/>
    <w:rsid w:val="00980CB4"/>
    <w:rsid w:val="00980E7E"/>
    <w:rsid w:val="00980EF1"/>
    <w:rsid w:val="0098160D"/>
    <w:rsid w:val="00981627"/>
    <w:rsid w:val="0098176F"/>
    <w:rsid w:val="009818C7"/>
    <w:rsid w:val="00981A20"/>
    <w:rsid w:val="00981F91"/>
    <w:rsid w:val="00982070"/>
    <w:rsid w:val="0098245E"/>
    <w:rsid w:val="009825AB"/>
    <w:rsid w:val="00982A52"/>
    <w:rsid w:val="00982E66"/>
    <w:rsid w:val="00982F63"/>
    <w:rsid w:val="009831D7"/>
    <w:rsid w:val="00983243"/>
    <w:rsid w:val="009834F3"/>
    <w:rsid w:val="00983511"/>
    <w:rsid w:val="00983EEE"/>
    <w:rsid w:val="009841CB"/>
    <w:rsid w:val="0098420E"/>
    <w:rsid w:val="009843DF"/>
    <w:rsid w:val="0098441A"/>
    <w:rsid w:val="00984A43"/>
    <w:rsid w:val="00984B63"/>
    <w:rsid w:val="00984CC1"/>
    <w:rsid w:val="00984D58"/>
    <w:rsid w:val="00984E00"/>
    <w:rsid w:val="00985546"/>
    <w:rsid w:val="009855A4"/>
    <w:rsid w:val="0098560B"/>
    <w:rsid w:val="00985D63"/>
    <w:rsid w:val="00986156"/>
    <w:rsid w:val="0098671A"/>
    <w:rsid w:val="009868E2"/>
    <w:rsid w:val="0098698B"/>
    <w:rsid w:val="00986C51"/>
    <w:rsid w:val="00986C97"/>
    <w:rsid w:val="00986CD6"/>
    <w:rsid w:val="00986E33"/>
    <w:rsid w:val="00986EC9"/>
    <w:rsid w:val="00987195"/>
    <w:rsid w:val="00987556"/>
    <w:rsid w:val="00987851"/>
    <w:rsid w:val="0098789A"/>
    <w:rsid w:val="0098796A"/>
    <w:rsid w:val="00987A11"/>
    <w:rsid w:val="00987DE4"/>
    <w:rsid w:val="00990202"/>
    <w:rsid w:val="009902AD"/>
    <w:rsid w:val="009902C7"/>
    <w:rsid w:val="00990690"/>
    <w:rsid w:val="009908F3"/>
    <w:rsid w:val="00991286"/>
    <w:rsid w:val="0099176C"/>
    <w:rsid w:val="0099182A"/>
    <w:rsid w:val="00991B05"/>
    <w:rsid w:val="00991EBE"/>
    <w:rsid w:val="00991F0D"/>
    <w:rsid w:val="00992034"/>
    <w:rsid w:val="0099205B"/>
    <w:rsid w:val="00992730"/>
    <w:rsid w:val="0099273F"/>
    <w:rsid w:val="00992991"/>
    <w:rsid w:val="00992A74"/>
    <w:rsid w:val="00992C08"/>
    <w:rsid w:val="00992C16"/>
    <w:rsid w:val="00992CC7"/>
    <w:rsid w:val="00992CE7"/>
    <w:rsid w:val="00992EC8"/>
    <w:rsid w:val="00993035"/>
    <w:rsid w:val="009933C0"/>
    <w:rsid w:val="00993A3F"/>
    <w:rsid w:val="00993C0A"/>
    <w:rsid w:val="00993E8C"/>
    <w:rsid w:val="00993F5F"/>
    <w:rsid w:val="0099405E"/>
    <w:rsid w:val="009942EE"/>
    <w:rsid w:val="0099447D"/>
    <w:rsid w:val="00994690"/>
    <w:rsid w:val="00994D25"/>
    <w:rsid w:val="00994E80"/>
    <w:rsid w:val="00994FA0"/>
    <w:rsid w:val="0099593E"/>
    <w:rsid w:val="00995D24"/>
    <w:rsid w:val="0099613A"/>
    <w:rsid w:val="00996259"/>
    <w:rsid w:val="00996497"/>
    <w:rsid w:val="0099678F"/>
    <w:rsid w:val="00996941"/>
    <w:rsid w:val="00996D76"/>
    <w:rsid w:val="00997136"/>
    <w:rsid w:val="0099779A"/>
    <w:rsid w:val="0099783B"/>
    <w:rsid w:val="00997BF4"/>
    <w:rsid w:val="00997CC3"/>
    <w:rsid w:val="00997E33"/>
    <w:rsid w:val="009A0662"/>
    <w:rsid w:val="009A0C93"/>
    <w:rsid w:val="009A0F69"/>
    <w:rsid w:val="009A0FEA"/>
    <w:rsid w:val="009A116E"/>
    <w:rsid w:val="009A11B3"/>
    <w:rsid w:val="009A127C"/>
    <w:rsid w:val="009A15B1"/>
    <w:rsid w:val="009A15D4"/>
    <w:rsid w:val="009A184A"/>
    <w:rsid w:val="009A1B8F"/>
    <w:rsid w:val="009A23F7"/>
    <w:rsid w:val="009A2527"/>
    <w:rsid w:val="009A2604"/>
    <w:rsid w:val="009A275A"/>
    <w:rsid w:val="009A2D99"/>
    <w:rsid w:val="009A2EEA"/>
    <w:rsid w:val="009A2FA6"/>
    <w:rsid w:val="009A3338"/>
    <w:rsid w:val="009A3909"/>
    <w:rsid w:val="009A3D18"/>
    <w:rsid w:val="009A3D8D"/>
    <w:rsid w:val="009A406B"/>
    <w:rsid w:val="009A438C"/>
    <w:rsid w:val="009A47AC"/>
    <w:rsid w:val="009A499A"/>
    <w:rsid w:val="009A4B29"/>
    <w:rsid w:val="009A4B80"/>
    <w:rsid w:val="009A565A"/>
    <w:rsid w:val="009A5761"/>
    <w:rsid w:val="009A598A"/>
    <w:rsid w:val="009A5B92"/>
    <w:rsid w:val="009A5CC1"/>
    <w:rsid w:val="009A6198"/>
    <w:rsid w:val="009A619C"/>
    <w:rsid w:val="009A63AF"/>
    <w:rsid w:val="009A6538"/>
    <w:rsid w:val="009A6D0B"/>
    <w:rsid w:val="009A7489"/>
    <w:rsid w:val="009A74A3"/>
    <w:rsid w:val="009A74A8"/>
    <w:rsid w:val="009A75A8"/>
    <w:rsid w:val="009A7643"/>
    <w:rsid w:val="009A7760"/>
    <w:rsid w:val="009A798A"/>
    <w:rsid w:val="009A7A1A"/>
    <w:rsid w:val="009A7F55"/>
    <w:rsid w:val="009B018E"/>
    <w:rsid w:val="009B029C"/>
    <w:rsid w:val="009B02C0"/>
    <w:rsid w:val="009B178E"/>
    <w:rsid w:val="009B1F0F"/>
    <w:rsid w:val="009B2029"/>
    <w:rsid w:val="009B205D"/>
    <w:rsid w:val="009B2354"/>
    <w:rsid w:val="009B28A1"/>
    <w:rsid w:val="009B2943"/>
    <w:rsid w:val="009B2A46"/>
    <w:rsid w:val="009B2AD5"/>
    <w:rsid w:val="009B2D4F"/>
    <w:rsid w:val="009B3556"/>
    <w:rsid w:val="009B363F"/>
    <w:rsid w:val="009B38BD"/>
    <w:rsid w:val="009B440B"/>
    <w:rsid w:val="009B4594"/>
    <w:rsid w:val="009B4654"/>
    <w:rsid w:val="009B54CF"/>
    <w:rsid w:val="009B58A9"/>
    <w:rsid w:val="009B5910"/>
    <w:rsid w:val="009B5919"/>
    <w:rsid w:val="009B595B"/>
    <w:rsid w:val="009B5A18"/>
    <w:rsid w:val="009B5E6B"/>
    <w:rsid w:val="009B5F69"/>
    <w:rsid w:val="009B6289"/>
    <w:rsid w:val="009B65A8"/>
    <w:rsid w:val="009B69A4"/>
    <w:rsid w:val="009B6D1A"/>
    <w:rsid w:val="009B71CB"/>
    <w:rsid w:val="009B754A"/>
    <w:rsid w:val="009B75E0"/>
    <w:rsid w:val="009B7BCC"/>
    <w:rsid w:val="009B7EDE"/>
    <w:rsid w:val="009B7FF4"/>
    <w:rsid w:val="009C02E3"/>
    <w:rsid w:val="009C0C19"/>
    <w:rsid w:val="009C0C24"/>
    <w:rsid w:val="009C0D58"/>
    <w:rsid w:val="009C0DCA"/>
    <w:rsid w:val="009C0F08"/>
    <w:rsid w:val="009C1084"/>
    <w:rsid w:val="009C10A6"/>
    <w:rsid w:val="009C1A1F"/>
    <w:rsid w:val="009C1B56"/>
    <w:rsid w:val="009C1BE6"/>
    <w:rsid w:val="009C1C18"/>
    <w:rsid w:val="009C1C66"/>
    <w:rsid w:val="009C1DDF"/>
    <w:rsid w:val="009C1FEC"/>
    <w:rsid w:val="009C2366"/>
    <w:rsid w:val="009C2601"/>
    <w:rsid w:val="009C2ADB"/>
    <w:rsid w:val="009C2CFA"/>
    <w:rsid w:val="009C2D07"/>
    <w:rsid w:val="009C3149"/>
    <w:rsid w:val="009C39F8"/>
    <w:rsid w:val="009C3A9C"/>
    <w:rsid w:val="009C3BBC"/>
    <w:rsid w:val="009C3E64"/>
    <w:rsid w:val="009C3E78"/>
    <w:rsid w:val="009C3ECC"/>
    <w:rsid w:val="009C3F8E"/>
    <w:rsid w:val="009C47CC"/>
    <w:rsid w:val="009C48DE"/>
    <w:rsid w:val="009C4BDD"/>
    <w:rsid w:val="009C51B7"/>
    <w:rsid w:val="009C572F"/>
    <w:rsid w:val="009C5734"/>
    <w:rsid w:val="009C58A0"/>
    <w:rsid w:val="009C5FF3"/>
    <w:rsid w:val="009C623B"/>
    <w:rsid w:val="009C624B"/>
    <w:rsid w:val="009C63AF"/>
    <w:rsid w:val="009C6842"/>
    <w:rsid w:val="009C6A04"/>
    <w:rsid w:val="009C737D"/>
    <w:rsid w:val="009C755A"/>
    <w:rsid w:val="009C7581"/>
    <w:rsid w:val="009C785B"/>
    <w:rsid w:val="009C7862"/>
    <w:rsid w:val="009C7946"/>
    <w:rsid w:val="009C79D3"/>
    <w:rsid w:val="009C7F14"/>
    <w:rsid w:val="009C7F68"/>
    <w:rsid w:val="009C7F78"/>
    <w:rsid w:val="009D00E2"/>
    <w:rsid w:val="009D05D1"/>
    <w:rsid w:val="009D069E"/>
    <w:rsid w:val="009D0704"/>
    <w:rsid w:val="009D0777"/>
    <w:rsid w:val="009D07CB"/>
    <w:rsid w:val="009D0AA9"/>
    <w:rsid w:val="009D0B05"/>
    <w:rsid w:val="009D0C5D"/>
    <w:rsid w:val="009D0CB6"/>
    <w:rsid w:val="009D1139"/>
    <w:rsid w:val="009D116C"/>
    <w:rsid w:val="009D1194"/>
    <w:rsid w:val="009D1230"/>
    <w:rsid w:val="009D134C"/>
    <w:rsid w:val="009D1A20"/>
    <w:rsid w:val="009D1BD2"/>
    <w:rsid w:val="009D1CCC"/>
    <w:rsid w:val="009D2382"/>
    <w:rsid w:val="009D23E5"/>
    <w:rsid w:val="009D2710"/>
    <w:rsid w:val="009D294B"/>
    <w:rsid w:val="009D29BE"/>
    <w:rsid w:val="009D32D6"/>
    <w:rsid w:val="009D3785"/>
    <w:rsid w:val="009D3BB4"/>
    <w:rsid w:val="009D3CD8"/>
    <w:rsid w:val="009D3FF1"/>
    <w:rsid w:val="009D4058"/>
    <w:rsid w:val="009D40E8"/>
    <w:rsid w:val="009D4407"/>
    <w:rsid w:val="009D4552"/>
    <w:rsid w:val="009D4689"/>
    <w:rsid w:val="009D47DA"/>
    <w:rsid w:val="009D4870"/>
    <w:rsid w:val="009D4CD4"/>
    <w:rsid w:val="009D4F2C"/>
    <w:rsid w:val="009D5520"/>
    <w:rsid w:val="009D5594"/>
    <w:rsid w:val="009D56B2"/>
    <w:rsid w:val="009D5DAE"/>
    <w:rsid w:val="009D6144"/>
    <w:rsid w:val="009D65BC"/>
    <w:rsid w:val="009D67B1"/>
    <w:rsid w:val="009D67CF"/>
    <w:rsid w:val="009D6CC6"/>
    <w:rsid w:val="009D6D07"/>
    <w:rsid w:val="009D6D34"/>
    <w:rsid w:val="009D6EB5"/>
    <w:rsid w:val="009D6F93"/>
    <w:rsid w:val="009D6F97"/>
    <w:rsid w:val="009D6FDF"/>
    <w:rsid w:val="009D71C4"/>
    <w:rsid w:val="009D7359"/>
    <w:rsid w:val="009D7909"/>
    <w:rsid w:val="009D7E15"/>
    <w:rsid w:val="009E00E3"/>
    <w:rsid w:val="009E020F"/>
    <w:rsid w:val="009E0BBF"/>
    <w:rsid w:val="009E0EF1"/>
    <w:rsid w:val="009E108D"/>
    <w:rsid w:val="009E15C7"/>
    <w:rsid w:val="009E161E"/>
    <w:rsid w:val="009E16E1"/>
    <w:rsid w:val="009E1755"/>
    <w:rsid w:val="009E1B5D"/>
    <w:rsid w:val="009E1D8F"/>
    <w:rsid w:val="009E1DD9"/>
    <w:rsid w:val="009E2212"/>
    <w:rsid w:val="009E2213"/>
    <w:rsid w:val="009E2594"/>
    <w:rsid w:val="009E25B5"/>
    <w:rsid w:val="009E2A69"/>
    <w:rsid w:val="009E2B7A"/>
    <w:rsid w:val="009E2D5A"/>
    <w:rsid w:val="009E2E8D"/>
    <w:rsid w:val="009E2F62"/>
    <w:rsid w:val="009E2F74"/>
    <w:rsid w:val="009E30DB"/>
    <w:rsid w:val="009E3134"/>
    <w:rsid w:val="009E325D"/>
    <w:rsid w:val="009E372D"/>
    <w:rsid w:val="009E3ABD"/>
    <w:rsid w:val="009E3B9C"/>
    <w:rsid w:val="009E3C64"/>
    <w:rsid w:val="009E40B4"/>
    <w:rsid w:val="009E4276"/>
    <w:rsid w:val="009E429B"/>
    <w:rsid w:val="009E44A3"/>
    <w:rsid w:val="009E4532"/>
    <w:rsid w:val="009E498A"/>
    <w:rsid w:val="009E49BC"/>
    <w:rsid w:val="009E514B"/>
    <w:rsid w:val="009E517A"/>
    <w:rsid w:val="009E5803"/>
    <w:rsid w:val="009E5844"/>
    <w:rsid w:val="009E59D2"/>
    <w:rsid w:val="009E5BFF"/>
    <w:rsid w:val="009E5C1D"/>
    <w:rsid w:val="009E5D3B"/>
    <w:rsid w:val="009E5D8D"/>
    <w:rsid w:val="009E6487"/>
    <w:rsid w:val="009E64FE"/>
    <w:rsid w:val="009E65D8"/>
    <w:rsid w:val="009E66AA"/>
    <w:rsid w:val="009E66FD"/>
    <w:rsid w:val="009E679A"/>
    <w:rsid w:val="009E68C1"/>
    <w:rsid w:val="009E6C75"/>
    <w:rsid w:val="009E708C"/>
    <w:rsid w:val="009E755F"/>
    <w:rsid w:val="009E761D"/>
    <w:rsid w:val="009E766E"/>
    <w:rsid w:val="009E7CA1"/>
    <w:rsid w:val="009F00B8"/>
    <w:rsid w:val="009F0305"/>
    <w:rsid w:val="009F076A"/>
    <w:rsid w:val="009F082A"/>
    <w:rsid w:val="009F09CD"/>
    <w:rsid w:val="009F1341"/>
    <w:rsid w:val="009F135D"/>
    <w:rsid w:val="009F14FC"/>
    <w:rsid w:val="009F15A2"/>
    <w:rsid w:val="009F164C"/>
    <w:rsid w:val="009F16BF"/>
    <w:rsid w:val="009F1766"/>
    <w:rsid w:val="009F1874"/>
    <w:rsid w:val="009F1E80"/>
    <w:rsid w:val="009F1EB6"/>
    <w:rsid w:val="009F21E1"/>
    <w:rsid w:val="009F2342"/>
    <w:rsid w:val="009F2534"/>
    <w:rsid w:val="009F2E08"/>
    <w:rsid w:val="009F30C6"/>
    <w:rsid w:val="009F3625"/>
    <w:rsid w:val="009F3880"/>
    <w:rsid w:val="009F3B3B"/>
    <w:rsid w:val="009F3D0A"/>
    <w:rsid w:val="009F40B6"/>
    <w:rsid w:val="009F4352"/>
    <w:rsid w:val="009F46A8"/>
    <w:rsid w:val="009F4703"/>
    <w:rsid w:val="009F4BA5"/>
    <w:rsid w:val="009F4E1A"/>
    <w:rsid w:val="009F4FAE"/>
    <w:rsid w:val="009F518C"/>
    <w:rsid w:val="009F5347"/>
    <w:rsid w:val="009F548C"/>
    <w:rsid w:val="009F5ABF"/>
    <w:rsid w:val="009F5EC7"/>
    <w:rsid w:val="009F5F03"/>
    <w:rsid w:val="009F5F21"/>
    <w:rsid w:val="009F5F7E"/>
    <w:rsid w:val="009F612D"/>
    <w:rsid w:val="009F6167"/>
    <w:rsid w:val="009F6319"/>
    <w:rsid w:val="009F6505"/>
    <w:rsid w:val="009F6562"/>
    <w:rsid w:val="009F65C1"/>
    <w:rsid w:val="009F687A"/>
    <w:rsid w:val="009F68D1"/>
    <w:rsid w:val="009F68DA"/>
    <w:rsid w:val="009F69F1"/>
    <w:rsid w:val="009F7524"/>
    <w:rsid w:val="009F7ACE"/>
    <w:rsid w:val="009F7DBC"/>
    <w:rsid w:val="00A00104"/>
    <w:rsid w:val="00A00162"/>
    <w:rsid w:val="00A002A6"/>
    <w:rsid w:val="00A0040D"/>
    <w:rsid w:val="00A00447"/>
    <w:rsid w:val="00A00ABC"/>
    <w:rsid w:val="00A00B0B"/>
    <w:rsid w:val="00A00BA9"/>
    <w:rsid w:val="00A00C54"/>
    <w:rsid w:val="00A00E48"/>
    <w:rsid w:val="00A00E82"/>
    <w:rsid w:val="00A0141F"/>
    <w:rsid w:val="00A01734"/>
    <w:rsid w:val="00A01808"/>
    <w:rsid w:val="00A0195A"/>
    <w:rsid w:val="00A01A3B"/>
    <w:rsid w:val="00A01BD9"/>
    <w:rsid w:val="00A01CC5"/>
    <w:rsid w:val="00A01F76"/>
    <w:rsid w:val="00A01F7B"/>
    <w:rsid w:val="00A022C5"/>
    <w:rsid w:val="00A025DF"/>
    <w:rsid w:val="00A02686"/>
    <w:rsid w:val="00A0279E"/>
    <w:rsid w:val="00A02AAC"/>
    <w:rsid w:val="00A02B78"/>
    <w:rsid w:val="00A02CA3"/>
    <w:rsid w:val="00A02DDC"/>
    <w:rsid w:val="00A02E17"/>
    <w:rsid w:val="00A02F8D"/>
    <w:rsid w:val="00A02FE5"/>
    <w:rsid w:val="00A03927"/>
    <w:rsid w:val="00A03ECE"/>
    <w:rsid w:val="00A04041"/>
    <w:rsid w:val="00A04202"/>
    <w:rsid w:val="00A04294"/>
    <w:rsid w:val="00A042D0"/>
    <w:rsid w:val="00A044E5"/>
    <w:rsid w:val="00A046DF"/>
    <w:rsid w:val="00A04AA8"/>
    <w:rsid w:val="00A04ADD"/>
    <w:rsid w:val="00A04C56"/>
    <w:rsid w:val="00A04E05"/>
    <w:rsid w:val="00A04E4A"/>
    <w:rsid w:val="00A04FF5"/>
    <w:rsid w:val="00A055AB"/>
    <w:rsid w:val="00A05B8D"/>
    <w:rsid w:val="00A05E52"/>
    <w:rsid w:val="00A0604F"/>
    <w:rsid w:val="00A0653F"/>
    <w:rsid w:val="00A06849"/>
    <w:rsid w:val="00A06912"/>
    <w:rsid w:val="00A0697A"/>
    <w:rsid w:val="00A06DEA"/>
    <w:rsid w:val="00A06E0D"/>
    <w:rsid w:val="00A06E46"/>
    <w:rsid w:val="00A06E5F"/>
    <w:rsid w:val="00A07211"/>
    <w:rsid w:val="00A07266"/>
    <w:rsid w:val="00A07323"/>
    <w:rsid w:val="00A07441"/>
    <w:rsid w:val="00A07591"/>
    <w:rsid w:val="00A077F1"/>
    <w:rsid w:val="00A0793A"/>
    <w:rsid w:val="00A07A99"/>
    <w:rsid w:val="00A07AAB"/>
    <w:rsid w:val="00A10481"/>
    <w:rsid w:val="00A104BE"/>
    <w:rsid w:val="00A10946"/>
    <w:rsid w:val="00A10BA8"/>
    <w:rsid w:val="00A10CC4"/>
    <w:rsid w:val="00A10D4D"/>
    <w:rsid w:val="00A10FCD"/>
    <w:rsid w:val="00A1132D"/>
    <w:rsid w:val="00A113F3"/>
    <w:rsid w:val="00A11414"/>
    <w:rsid w:val="00A1164D"/>
    <w:rsid w:val="00A116AF"/>
    <w:rsid w:val="00A117A6"/>
    <w:rsid w:val="00A11903"/>
    <w:rsid w:val="00A11C43"/>
    <w:rsid w:val="00A11CC0"/>
    <w:rsid w:val="00A1206E"/>
    <w:rsid w:val="00A120D5"/>
    <w:rsid w:val="00A126BC"/>
    <w:rsid w:val="00A12874"/>
    <w:rsid w:val="00A1294A"/>
    <w:rsid w:val="00A12954"/>
    <w:rsid w:val="00A12A0F"/>
    <w:rsid w:val="00A12D46"/>
    <w:rsid w:val="00A12E31"/>
    <w:rsid w:val="00A13019"/>
    <w:rsid w:val="00A130B4"/>
    <w:rsid w:val="00A1314B"/>
    <w:rsid w:val="00A13239"/>
    <w:rsid w:val="00A135C8"/>
    <w:rsid w:val="00A13967"/>
    <w:rsid w:val="00A13B9B"/>
    <w:rsid w:val="00A13C8F"/>
    <w:rsid w:val="00A13CBE"/>
    <w:rsid w:val="00A13E5A"/>
    <w:rsid w:val="00A13E8A"/>
    <w:rsid w:val="00A14003"/>
    <w:rsid w:val="00A14268"/>
    <w:rsid w:val="00A14730"/>
    <w:rsid w:val="00A14AF6"/>
    <w:rsid w:val="00A150A3"/>
    <w:rsid w:val="00A150DD"/>
    <w:rsid w:val="00A15290"/>
    <w:rsid w:val="00A152AC"/>
    <w:rsid w:val="00A154FB"/>
    <w:rsid w:val="00A15641"/>
    <w:rsid w:val="00A15866"/>
    <w:rsid w:val="00A16323"/>
    <w:rsid w:val="00A16353"/>
    <w:rsid w:val="00A16534"/>
    <w:rsid w:val="00A16A8A"/>
    <w:rsid w:val="00A16D1C"/>
    <w:rsid w:val="00A171F2"/>
    <w:rsid w:val="00A17296"/>
    <w:rsid w:val="00A176F2"/>
    <w:rsid w:val="00A179C2"/>
    <w:rsid w:val="00A17B89"/>
    <w:rsid w:val="00A17BF0"/>
    <w:rsid w:val="00A17D71"/>
    <w:rsid w:val="00A2040F"/>
    <w:rsid w:val="00A20B0B"/>
    <w:rsid w:val="00A20D11"/>
    <w:rsid w:val="00A20D93"/>
    <w:rsid w:val="00A20E9E"/>
    <w:rsid w:val="00A21101"/>
    <w:rsid w:val="00A2145E"/>
    <w:rsid w:val="00A216EA"/>
    <w:rsid w:val="00A219AE"/>
    <w:rsid w:val="00A21B3F"/>
    <w:rsid w:val="00A21E0F"/>
    <w:rsid w:val="00A2208C"/>
    <w:rsid w:val="00A22095"/>
    <w:rsid w:val="00A22102"/>
    <w:rsid w:val="00A222FF"/>
    <w:rsid w:val="00A22631"/>
    <w:rsid w:val="00A22D34"/>
    <w:rsid w:val="00A22D89"/>
    <w:rsid w:val="00A22E99"/>
    <w:rsid w:val="00A23118"/>
    <w:rsid w:val="00A2319C"/>
    <w:rsid w:val="00A23350"/>
    <w:rsid w:val="00A237AE"/>
    <w:rsid w:val="00A23DCB"/>
    <w:rsid w:val="00A23EE2"/>
    <w:rsid w:val="00A240D0"/>
    <w:rsid w:val="00A241CA"/>
    <w:rsid w:val="00A2428F"/>
    <w:rsid w:val="00A244FA"/>
    <w:rsid w:val="00A245F1"/>
    <w:rsid w:val="00A24BCA"/>
    <w:rsid w:val="00A24C08"/>
    <w:rsid w:val="00A24E1B"/>
    <w:rsid w:val="00A25171"/>
    <w:rsid w:val="00A252CC"/>
    <w:rsid w:val="00A258A5"/>
    <w:rsid w:val="00A25916"/>
    <w:rsid w:val="00A25B26"/>
    <w:rsid w:val="00A25C36"/>
    <w:rsid w:val="00A25FF3"/>
    <w:rsid w:val="00A2680A"/>
    <w:rsid w:val="00A26B18"/>
    <w:rsid w:val="00A26B67"/>
    <w:rsid w:val="00A26ED4"/>
    <w:rsid w:val="00A272F7"/>
    <w:rsid w:val="00A27AAE"/>
    <w:rsid w:val="00A27AB1"/>
    <w:rsid w:val="00A30070"/>
    <w:rsid w:val="00A30074"/>
    <w:rsid w:val="00A30172"/>
    <w:rsid w:val="00A30192"/>
    <w:rsid w:val="00A3021A"/>
    <w:rsid w:val="00A3030D"/>
    <w:rsid w:val="00A30391"/>
    <w:rsid w:val="00A305D7"/>
    <w:rsid w:val="00A30966"/>
    <w:rsid w:val="00A30A6C"/>
    <w:rsid w:val="00A30AAD"/>
    <w:rsid w:val="00A30D89"/>
    <w:rsid w:val="00A314CD"/>
    <w:rsid w:val="00A31720"/>
    <w:rsid w:val="00A31768"/>
    <w:rsid w:val="00A31872"/>
    <w:rsid w:val="00A318B9"/>
    <w:rsid w:val="00A31E5E"/>
    <w:rsid w:val="00A323AA"/>
    <w:rsid w:val="00A32754"/>
    <w:rsid w:val="00A3298D"/>
    <w:rsid w:val="00A329F2"/>
    <w:rsid w:val="00A32D95"/>
    <w:rsid w:val="00A335AC"/>
    <w:rsid w:val="00A3371E"/>
    <w:rsid w:val="00A337C0"/>
    <w:rsid w:val="00A33893"/>
    <w:rsid w:val="00A33B72"/>
    <w:rsid w:val="00A33DC3"/>
    <w:rsid w:val="00A33E4F"/>
    <w:rsid w:val="00A33F15"/>
    <w:rsid w:val="00A34078"/>
    <w:rsid w:val="00A341E0"/>
    <w:rsid w:val="00A34463"/>
    <w:rsid w:val="00A34490"/>
    <w:rsid w:val="00A346E4"/>
    <w:rsid w:val="00A34984"/>
    <w:rsid w:val="00A34A62"/>
    <w:rsid w:val="00A34BB7"/>
    <w:rsid w:val="00A34EB6"/>
    <w:rsid w:val="00A3501A"/>
    <w:rsid w:val="00A35232"/>
    <w:rsid w:val="00A3558B"/>
    <w:rsid w:val="00A355D3"/>
    <w:rsid w:val="00A3565B"/>
    <w:rsid w:val="00A359D0"/>
    <w:rsid w:val="00A35B4B"/>
    <w:rsid w:val="00A36001"/>
    <w:rsid w:val="00A36038"/>
    <w:rsid w:val="00A3627F"/>
    <w:rsid w:val="00A36317"/>
    <w:rsid w:val="00A36455"/>
    <w:rsid w:val="00A367C3"/>
    <w:rsid w:val="00A36832"/>
    <w:rsid w:val="00A36AEF"/>
    <w:rsid w:val="00A36DCF"/>
    <w:rsid w:val="00A37259"/>
    <w:rsid w:val="00A37554"/>
    <w:rsid w:val="00A376F5"/>
    <w:rsid w:val="00A3778F"/>
    <w:rsid w:val="00A37CC9"/>
    <w:rsid w:val="00A37E8B"/>
    <w:rsid w:val="00A37FE4"/>
    <w:rsid w:val="00A402DF"/>
    <w:rsid w:val="00A40467"/>
    <w:rsid w:val="00A41047"/>
    <w:rsid w:val="00A41136"/>
    <w:rsid w:val="00A4141C"/>
    <w:rsid w:val="00A4154F"/>
    <w:rsid w:val="00A41C09"/>
    <w:rsid w:val="00A41DB3"/>
    <w:rsid w:val="00A41F1B"/>
    <w:rsid w:val="00A41FE2"/>
    <w:rsid w:val="00A42113"/>
    <w:rsid w:val="00A423A9"/>
    <w:rsid w:val="00A42559"/>
    <w:rsid w:val="00A425EF"/>
    <w:rsid w:val="00A426C2"/>
    <w:rsid w:val="00A4287B"/>
    <w:rsid w:val="00A4290D"/>
    <w:rsid w:val="00A42ECB"/>
    <w:rsid w:val="00A43070"/>
    <w:rsid w:val="00A433DD"/>
    <w:rsid w:val="00A4361E"/>
    <w:rsid w:val="00A43905"/>
    <w:rsid w:val="00A43A38"/>
    <w:rsid w:val="00A43D4B"/>
    <w:rsid w:val="00A43E59"/>
    <w:rsid w:val="00A43F80"/>
    <w:rsid w:val="00A441B7"/>
    <w:rsid w:val="00A444A4"/>
    <w:rsid w:val="00A4528E"/>
    <w:rsid w:val="00A45315"/>
    <w:rsid w:val="00A456B4"/>
    <w:rsid w:val="00A4576D"/>
    <w:rsid w:val="00A45995"/>
    <w:rsid w:val="00A45B60"/>
    <w:rsid w:val="00A45FEA"/>
    <w:rsid w:val="00A46293"/>
    <w:rsid w:val="00A464E8"/>
    <w:rsid w:val="00A46538"/>
    <w:rsid w:val="00A46909"/>
    <w:rsid w:val="00A46F03"/>
    <w:rsid w:val="00A47241"/>
    <w:rsid w:val="00A47B95"/>
    <w:rsid w:val="00A47BC4"/>
    <w:rsid w:val="00A47BF4"/>
    <w:rsid w:val="00A47DBE"/>
    <w:rsid w:val="00A47E8A"/>
    <w:rsid w:val="00A47F7E"/>
    <w:rsid w:val="00A5008F"/>
    <w:rsid w:val="00A50239"/>
    <w:rsid w:val="00A50637"/>
    <w:rsid w:val="00A50AF1"/>
    <w:rsid w:val="00A50BD4"/>
    <w:rsid w:val="00A51511"/>
    <w:rsid w:val="00A51698"/>
    <w:rsid w:val="00A51845"/>
    <w:rsid w:val="00A518B7"/>
    <w:rsid w:val="00A51A8B"/>
    <w:rsid w:val="00A5257D"/>
    <w:rsid w:val="00A526A5"/>
    <w:rsid w:val="00A52807"/>
    <w:rsid w:val="00A52968"/>
    <w:rsid w:val="00A52B4F"/>
    <w:rsid w:val="00A52DBB"/>
    <w:rsid w:val="00A52F76"/>
    <w:rsid w:val="00A531A8"/>
    <w:rsid w:val="00A539CC"/>
    <w:rsid w:val="00A539E7"/>
    <w:rsid w:val="00A53C31"/>
    <w:rsid w:val="00A53DB6"/>
    <w:rsid w:val="00A5406B"/>
    <w:rsid w:val="00A54147"/>
    <w:rsid w:val="00A5458D"/>
    <w:rsid w:val="00A54680"/>
    <w:rsid w:val="00A54C91"/>
    <w:rsid w:val="00A5571D"/>
    <w:rsid w:val="00A55D10"/>
    <w:rsid w:val="00A5627A"/>
    <w:rsid w:val="00A565FD"/>
    <w:rsid w:val="00A567D0"/>
    <w:rsid w:val="00A56911"/>
    <w:rsid w:val="00A56919"/>
    <w:rsid w:val="00A56CD0"/>
    <w:rsid w:val="00A56E25"/>
    <w:rsid w:val="00A56EEE"/>
    <w:rsid w:val="00A56F0B"/>
    <w:rsid w:val="00A5721A"/>
    <w:rsid w:val="00A579D3"/>
    <w:rsid w:val="00A57D88"/>
    <w:rsid w:val="00A602B9"/>
    <w:rsid w:val="00A60580"/>
    <w:rsid w:val="00A6068F"/>
    <w:rsid w:val="00A6073C"/>
    <w:rsid w:val="00A607C2"/>
    <w:rsid w:val="00A60A22"/>
    <w:rsid w:val="00A60FAA"/>
    <w:rsid w:val="00A61297"/>
    <w:rsid w:val="00A61B12"/>
    <w:rsid w:val="00A61C74"/>
    <w:rsid w:val="00A61ECE"/>
    <w:rsid w:val="00A62235"/>
    <w:rsid w:val="00A62260"/>
    <w:rsid w:val="00A6250C"/>
    <w:rsid w:val="00A625EE"/>
    <w:rsid w:val="00A62791"/>
    <w:rsid w:val="00A6320B"/>
    <w:rsid w:val="00A633CB"/>
    <w:rsid w:val="00A63A40"/>
    <w:rsid w:val="00A63CC8"/>
    <w:rsid w:val="00A63E0F"/>
    <w:rsid w:val="00A63ECC"/>
    <w:rsid w:val="00A63EFF"/>
    <w:rsid w:val="00A642FD"/>
    <w:rsid w:val="00A64596"/>
    <w:rsid w:val="00A64CBD"/>
    <w:rsid w:val="00A64DDC"/>
    <w:rsid w:val="00A64FC8"/>
    <w:rsid w:val="00A6525D"/>
    <w:rsid w:val="00A65286"/>
    <w:rsid w:val="00A652FF"/>
    <w:rsid w:val="00A6548B"/>
    <w:rsid w:val="00A655F3"/>
    <w:rsid w:val="00A65691"/>
    <w:rsid w:val="00A656CE"/>
    <w:rsid w:val="00A65761"/>
    <w:rsid w:val="00A6589A"/>
    <w:rsid w:val="00A66333"/>
    <w:rsid w:val="00A668F7"/>
    <w:rsid w:val="00A66A5A"/>
    <w:rsid w:val="00A66C97"/>
    <w:rsid w:val="00A66D1B"/>
    <w:rsid w:val="00A66D93"/>
    <w:rsid w:val="00A67020"/>
    <w:rsid w:val="00A67256"/>
    <w:rsid w:val="00A67335"/>
    <w:rsid w:val="00A6752D"/>
    <w:rsid w:val="00A6755D"/>
    <w:rsid w:val="00A67759"/>
    <w:rsid w:val="00A67A50"/>
    <w:rsid w:val="00A67E08"/>
    <w:rsid w:val="00A67E6B"/>
    <w:rsid w:val="00A67F2B"/>
    <w:rsid w:val="00A7104E"/>
    <w:rsid w:val="00A7119C"/>
    <w:rsid w:val="00A71345"/>
    <w:rsid w:val="00A71E0B"/>
    <w:rsid w:val="00A71ED4"/>
    <w:rsid w:val="00A72016"/>
    <w:rsid w:val="00A7208A"/>
    <w:rsid w:val="00A722D2"/>
    <w:rsid w:val="00A72586"/>
    <w:rsid w:val="00A72690"/>
    <w:rsid w:val="00A72DE3"/>
    <w:rsid w:val="00A72E0F"/>
    <w:rsid w:val="00A73047"/>
    <w:rsid w:val="00A73792"/>
    <w:rsid w:val="00A73B0F"/>
    <w:rsid w:val="00A7404D"/>
    <w:rsid w:val="00A740C7"/>
    <w:rsid w:val="00A7431D"/>
    <w:rsid w:val="00A7450C"/>
    <w:rsid w:val="00A745C5"/>
    <w:rsid w:val="00A7472E"/>
    <w:rsid w:val="00A74893"/>
    <w:rsid w:val="00A753BC"/>
    <w:rsid w:val="00A7574E"/>
    <w:rsid w:val="00A75CBA"/>
    <w:rsid w:val="00A76416"/>
    <w:rsid w:val="00A76459"/>
    <w:rsid w:val="00A764C6"/>
    <w:rsid w:val="00A764E2"/>
    <w:rsid w:val="00A76931"/>
    <w:rsid w:val="00A76981"/>
    <w:rsid w:val="00A76EF1"/>
    <w:rsid w:val="00A7707A"/>
    <w:rsid w:val="00A77136"/>
    <w:rsid w:val="00A77189"/>
    <w:rsid w:val="00A77599"/>
    <w:rsid w:val="00A777B2"/>
    <w:rsid w:val="00A80287"/>
    <w:rsid w:val="00A80472"/>
    <w:rsid w:val="00A8077F"/>
    <w:rsid w:val="00A807AF"/>
    <w:rsid w:val="00A80902"/>
    <w:rsid w:val="00A809BB"/>
    <w:rsid w:val="00A80A9D"/>
    <w:rsid w:val="00A80D29"/>
    <w:rsid w:val="00A80F9C"/>
    <w:rsid w:val="00A8111D"/>
    <w:rsid w:val="00A81468"/>
    <w:rsid w:val="00A81528"/>
    <w:rsid w:val="00A8153D"/>
    <w:rsid w:val="00A8168A"/>
    <w:rsid w:val="00A819FD"/>
    <w:rsid w:val="00A81A86"/>
    <w:rsid w:val="00A81B70"/>
    <w:rsid w:val="00A82148"/>
    <w:rsid w:val="00A82391"/>
    <w:rsid w:val="00A825BD"/>
    <w:rsid w:val="00A8269C"/>
    <w:rsid w:val="00A827CC"/>
    <w:rsid w:val="00A82982"/>
    <w:rsid w:val="00A82ABD"/>
    <w:rsid w:val="00A82B48"/>
    <w:rsid w:val="00A82C29"/>
    <w:rsid w:val="00A82DB1"/>
    <w:rsid w:val="00A82DC5"/>
    <w:rsid w:val="00A8334E"/>
    <w:rsid w:val="00A8379D"/>
    <w:rsid w:val="00A83B09"/>
    <w:rsid w:val="00A83BB9"/>
    <w:rsid w:val="00A83D75"/>
    <w:rsid w:val="00A83DA9"/>
    <w:rsid w:val="00A842B2"/>
    <w:rsid w:val="00A846F7"/>
    <w:rsid w:val="00A84776"/>
    <w:rsid w:val="00A847AD"/>
    <w:rsid w:val="00A848EF"/>
    <w:rsid w:val="00A84A2F"/>
    <w:rsid w:val="00A84B38"/>
    <w:rsid w:val="00A84DA3"/>
    <w:rsid w:val="00A84F11"/>
    <w:rsid w:val="00A855CF"/>
    <w:rsid w:val="00A8572A"/>
    <w:rsid w:val="00A859DA"/>
    <w:rsid w:val="00A85DEB"/>
    <w:rsid w:val="00A86331"/>
    <w:rsid w:val="00A867D2"/>
    <w:rsid w:val="00A86965"/>
    <w:rsid w:val="00A86CF5"/>
    <w:rsid w:val="00A870B7"/>
    <w:rsid w:val="00A8724A"/>
    <w:rsid w:val="00A872C2"/>
    <w:rsid w:val="00A872D6"/>
    <w:rsid w:val="00A8793D"/>
    <w:rsid w:val="00A8795D"/>
    <w:rsid w:val="00A879EE"/>
    <w:rsid w:val="00A87B50"/>
    <w:rsid w:val="00A87DEB"/>
    <w:rsid w:val="00A87FEF"/>
    <w:rsid w:val="00A902B6"/>
    <w:rsid w:val="00A90425"/>
    <w:rsid w:val="00A9050A"/>
    <w:rsid w:val="00A9068B"/>
    <w:rsid w:val="00A90852"/>
    <w:rsid w:val="00A909BC"/>
    <w:rsid w:val="00A909D9"/>
    <w:rsid w:val="00A90A4E"/>
    <w:rsid w:val="00A90D53"/>
    <w:rsid w:val="00A90D6B"/>
    <w:rsid w:val="00A90E98"/>
    <w:rsid w:val="00A90F63"/>
    <w:rsid w:val="00A91208"/>
    <w:rsid w:val="00A9126A"/>
    <w:rsid w:val="00A9134D"/>
    <w:rsid w:val="00A923EF"/>
    <w:rsid w:val="00A9252D"/>
    <w:rsid w:val="00A928F2"/>
    <w:rsid w:val="00A9296B"/>
    <w:rsid w:val="00A92D78"/>
    <w:rsid w:val="00A92DF4"/>
    <w:rsid w:val="00A92E5F"/>
    <w:rsid w:val="00A9317B"/>
    <w:rsid w:val="00A933DA"/>
    <w:rsid w:val="00A9348D"/>
    <w:rsid w:val="00A9389E"/>
    <w:rsid w:val="00A939B4"/>
    <w:rsid w:val="00A93A10"/>
    <w:rsid w:val="00A93D5F"/>
    <w:rsid w:val="00A93E35"/>
    <w:rsid w:val="00A93F13"/>
    <w:rsid w:val="00A94065"/>
    <w:rsid w:val="00A941EB"/>
    <w:rsid w:val="00A942AC"/>
    <w:rsid w:val="00A9463E"/>
    <w:rsid w:val="00A948C2"/>
    <w:rsid w:val="00A94DDA"/>
    <w:rsid w:val="00A950C9"/>
    <w:rsid w:val="00A950E5"/>
    <w:rsid w:val="00A95458"/>
    <w:rsid w:val="00A95694"/>
    <w:rsid w:val="00A95A76"/>
    <w:rsid w:val="00A95BCD"/>
    <w:rsid w:val="00A95C6A"/>
    <w:rsid w:val="00A95FAE"/>
    <w:rsid w:val="00A95FE0"/>
    <w:rsid w:val="00A96570"/>
    <w:rsid w:val="00A96937"/>
    <w:rsid w:val="00A96B85"/>
    <w:rsid w:val="00A96ECC"/>
    <w:rsid w:val="00A96EFD"/>
    <w:rsid w:val="00A972A0"/>
    <w:rsid w:val="00A97522"/>
    <w:rsid w:val="00A97567"/>
    <w:rsid w:val="00A97713"/>
    <w:rsid w:val="00A97C7E"/>
    <w:rsid w:val="00A97CC2"/>
    <w:rsid w:val="00A97CDF"/>
    <w:rsid w:val="00A97CED"/>
    <w:rsid w:val="00A97D3D"/>
    <w:rsid w:val="00AA033B"/>
    <w:rsid w:val="00AA03A6"/>
    <w:rsid w:val="00AA03B8"/>
    <w:rsid w:val="00AA0732"/>
    <w:rsid w:val="00AA0B7E"/>
    <w:rsid w:val="00AA0D49"/>
    <w:rsid w:val="00AA0EAC"/>
    <w:rsid w:val="00AA115A"/>
    <w:rsid w:val="00AA12D2"/>
    <w:rsid w:val="00AA1596"/>
    <w:rsid w:val="00AA161B"/>
    <w:rsid w:val="00AA181E"/>
    <w:rsid w:val="00AA1A34"/>
    <w:rsid w:val="00AA1EA7"/>
    <w:rsid w:val="00AA211C"/>
    <w:rsid w:val="00AA22DC"/>
    <w:rsid w:val="00AA2ADE"/>
    <w:rsid w:val="00AA2D0F"/>
    <w:rsid w:val="00AA2DE6"/>
    <w:rsid w:val="00AA2E20"/>
    <w:rsid w:val="00AA3631"/>
    <w:rsid w:val="00AA3877"/>
    <w:rsid w:val="00AA3BCC"/>
    <w:rsid w:val="00AA3C10"/>
    <w:rsid w:val="00AA3D25"/>
    <w:rsid w:val="00AA3F82"/>
    <w:rsid w:val="00AA413A"/>
    <w:rsid w:val="00AA41DC"/>
    <w:rsid w:val="00AA44B7"/>
    <w:rsid w:val="00AA4B7A"/>
    <w:rsid w:val="00AA4CFF"/>
    <w:rsid w:val="00AA51D7"/>
    <w:rsid w:val="00AA5235"/>
    <w:rsid w:val="00AA58C5"/>
    <w:rsid w:val="00AA5A05"/>
    <w:rsid w:val="00AA5D83"/>
    <w:rsid w:val="00AA5E4D"/>
    <w:rsid w:val="00AA60FE"/>
    <w:rsid w:val="00AA6371"/>
    <w:rsid w:val="00AA63D4"/>
    <w:rsid w:val="00AA67B0"/>
    <w:rsid w:val="00AA68C5"/>
    <w:rsid w:val="00AA6A84"/>
    <w:rsid w:val="00AA6C5C"/>
    <w:rsid w:val="00AA6CC3"/>
    <w:rsid w:val="00AA6FBD"/>
    <w:rsid w:val="00AA724C"/>
    <w:rsid w:val="00AA7584"/>
    <w:rsid w:val="00AA773A"/>
    <w:rsid w:val="00AA780A"/>
    <w:rsid w:val="00AA7A2F"/>
    <w:rsid w:val="00AA7C53"/>
    <w:rsid w:val="00AA7D2C"/>
    <w:rsid w:val="00AA7F5D"/>
    <w:rsid w:val="00AB018D"/>
    <w:rsid w:val="00AB0952"/>
    <w:rsid w:val="00AB0EB5"/>
    <w:rsid w:val="00AB1BF8"/>
    <w:rsid w:val="00AB1F8F"/>
    <w:rsid w:val="00AB1FD4"/>
    <w:rsid w:val="00AB2170"/>
    <w:rsid w:val="00AB218D"/>
    <w:rsid w:val="00AB22E8"/>
    <w:rsid w:val="00AB266B"/>
    <w:rsid w:val="00AB26CD"/>
    <w:rsid w:val="00AB2935"/>
    <w:rsid w:val="00AB2B0B"/>
    <w:rsid w:val="00AB2FE3"/>
    <w:rsid w:val="00AB305C"/>
    <w:rsid w:val="00AB30F3"/>
    <w:rsid w:val="00AB34AB"/>
    <w:rsid w:val="00AB3580"/>
    <w:rsid w:val="00AB38B5"/>
    <w:rsid w:val="00AB3B24"/>
    <w:rsid w:val="00AB3F52"/>
    <w:rsid w:val="00AB3F96"/>
    <w:rsid w:val="00AB449B"/>
    <w:rsid w:val="00AB491D"/>
    <w:rsid w:val="00AB49F7"/>
    <w:rsid w:val="00AB4A57"/>
    <w:rsid w:val="00AB4DFD"/>
    <w:rsid w:val="00AB4F4D"/>
    <w:rsid w:val="00AB4FDB"/>
    <w:rsid w:val="00AB548A"/>
    <w:rsid w:val="00AB56FB"/>
    <w:rsid w:val="00AB5848"/>
    <w:rsid w:val="00AB5B3F"/>
    <w:rsid w:val="00AB620C"/>
    <w:rsid w:val="00AB651B"/>
    <w:rsid w:val="00AB6958"/>
    <w:rsid w:val="00AB6CB6"/>
    <w:rsid w:val="00AB72D8"/>
    <w:rsid w:val="00AB75A7"/>
    <w:rsid w:val="00AB76E9"/>
    <w:rsid w:val="00AB7891"/>
    <w:rsid w:val="00AB7907"/>
    <w:rsid w:val="00AC0039"/>
    <w:rsid w:val="00AC0858"/>
    <w:rsid w:val="00AC0ECE"/>
    <w:rsid w:val="00AC0FC1"/>
    <w:rsid w:val="00AC1397"/>
    <w:rsid w:val="00AC1470"/>
    <w:rsid w:val="00AC1B6D"/>
    <w:rsid w:val="00AC1C38"/>
    <w:rsid w:val="00AC1DBD"/>
    <w:rsid w:val="00AC1DDD"/>
    <w:rsid w:val="00AC1E13"/>
    <w:rsid w:val="00AC2019"/>
    <w:rsid w:val="00AC2039"/>
    <w:rsid w:val="00AC264D"/>
    <w:rsid w:val="00AC26A9"/>
    <w:rsid w:val="00AC2805"/>
    <w:rsid w:val="00AC345B"/>
    <w:rsid w:val="00AC35A2"/>
    <w:rsid w:val="00AC36AB"/>
    <w:rsid w:val="00AC3726"/>
    <w:rsid w:val="00AC39B5"/>
    <w:rsid w:val="00AC3CAF"/>
    <w:rsid w:val="00AC3D19"/>
    <w:rsid w:val="00AC3E09"/>
    <w:rsid w:val="00AC3E26"/>
    <w:rsid w:val="00AC3F53"/>
    <w:rsid w:val="00AC4232"/>
    <w:rsid w:val="00AC434F"/>
    <w:rsid w:val="00AC445F"/>
    <w:rsid w:val="00AC4540"/>
    <w:rsid w:val="00AC45D2"/>
    <w:rsid w:val="00AC4A66"/>
    <w:rsid w:val="00AC4CF0"/>
    <w:rsid w:val="00AC504B"/>
    <w:rsid w:val="00AC530A"/>
    <w:rsid w:val="00AC5839"/>
    <w:rsid w:val="00AC58C6"/>
    <w:rsid w:val="00AC5A11"/>
    <w:rsid w:val="00AC5CAD"/>
    <w:rsid w:val="00AC5E1D"/>
    <w:rsid w:val="00AC6418"/>
    <w:rsid w:val="00AC642B"/>
    <w:rsid w:val="00AC645C"/>
    <w:rsid w:val="00AC6656"/>
    <w:rsid w:val="00AC69C8"/>
    <w:rsid w:val="00AC7088"/>
    <w:rsid w:val="00AC708D"/>
    <w:rsid w:val="00AC70D1"/>
    <w:rsid w:val="00AC730A"/>
    <w:rsid w:val="00AC7AEE"/>
    <w:rsid w:val="00AD03A9"/>
    <w:rsid w:val="00AD051F"/>
    <w:rsid w:val="00AD06AB"/>
    <w:rsid w:val="00AD0970"/>
    <w:rsid w:val="00AD0C19"/>
    <w:rsid w:val="00AD0DFF"/>
    <w:rsid w:val="00AD0E2A"/>
    <w:rsid w:val="00AD0EB6"/>
    <w:rsid w:val="00AD10C8"/>
    <w:rsid w:val="00AD126F"/>
    <w:rsid w:val="00AD12BD"/>
    <w:rsid w:val="00AD1972"/>
    <w:rsid w:val="00AD1AA0"/>
    <w:rsid w:val="00AD1FAF"/>
    <w:rsid w:val="00AD2423"/>
    <w:rsid w:val="00AD2494"/>
    <w:rsid w:val="00AD24B3"/>
    <w:rsid w:val="00AD2558"/>
    <w:rsid w:val="00AD2577"/>
    <w:rsid w:val="00AD279C"/>
    <w:rsid w:val="00AD28ED"/>
    <w:rsid w:val="00AD29FA"/>
    <w:rsid w:val="00AD2BDF"/>
    <w:rsid w:val="00AD2CED"/>
    <w:rsid w:val="00AD3051"/>
    <w:rsid w:val="00AD30B4"/>
    <w:rsid w:val="00AD30C9"/>
    <w:rsid w:val="00AD3381"/>
    <w:rsid w:val="00AD39DA"/>
    <w:rsid w:val="00AD3A66"/>
    <w:rsid w:val="00AD4089"/>
    <w:rsid w:val="00AD4508"/>
    <w:rsid w:val="00AD451E"/>
    <w:rsid w:val="00AD46D0"/>
    <w:rsid w:val="00AD48DC"/>
    <w:rsid w:val="00AD4CC7"/>
    <w:rsid w:val="00AD4EB2"/>
    <w:rsid w:val="00AD5459"/>
    <w:rsid w:val="00AD57DD"/>
    <w:rsid w:val="00AD5A81"/>
    <w:rsid w:val="00AD5D12"/>
    <w:rsid w:val="00AD5E6A"/>
    <w:rsid w:val="00AD5F89"/>
    <w:rsid w:val="00AD6146"/>
    <w:rsid w:val="00AD631D"/>
    <w:rsid w:val="00AD6333"/>
    <w:rsid w:val="00AD6405"/>
    <w:rsid w:val="00AD64D6"/>
    <w:rsid w:val="00AD664C"/>
    <w:rsid w:val="00AD6E9F"/>
    <w:rsid w:val="00AD70C0"/>
    <w:rsid w:val="00AD74AE"/>
    <w:rsid w:val="00AD76D8"/>
    <w:rsid w:val="00AD77CE"/>
    <w:rsid w:val="00AD7C80"/>
    <w:rsid w:val="00AD7C91"/>
    <w:rsid w:val="00AD7CE6"/>
    <w:rsid w:val="00AD7E0C"/>
    <w:rsid w:val="00AD7E89"/>
    <w:rsid w:val="00AD7FEE"/>
    <w:rsid w:val="00AE0129"/>
    <w:rsid w:val="00AE01AD"/>
    <w:rsid w:val="00AE01F0"/>
    <w:rsid w:val="00AE048A"/>
    <w:rsid w:val="00AE04B2"/>
    <w:rsid w:val="00AE05C6"/>
    <w:rsid w:val="00AE1048"/>
    <w:rsid w:val="00AE14BD"/>
    <w:rsid w:val="00AE1580"/>
    <w:rsid w:val="00AE1863"/>
    <w:rsid w:val="00AE1FB1"/>
    <w:rsid w:val="00AE201E"/>
    <w:rsid w:val="00AE2B96"/>
    <w:rsid w:val="00AE2D60"/>
    <w:rsid w:val="00AE3152"/>
    <w:rsid w:val="00AE34CA"/>
    <w:rsid w:val="00AE3643"/>
    <w:rsid w:val="00AE3873"/>
    <w:rsid w:val="00AE391F"/>
    <w:rsid w:val="00AE39FD"/>
    <w:rsid w:val="00AE3A4A"/>
    <w:rsid w:val="00AE3ACD"/>
    <w:rsid w:val="00AE3AD7"/>
    <w:rsid w:val="00AE3EED"/>
    <w:rsid w:val="00AE408B"/>
    <w:rsid w:val="00AE4377"/>
    <w:rsid w:val="00AE49FE"/>
    <w:rsid w:val="00AE4AA8"/>
    <w:rsid w:val="00AE4D25"/>
    <w:rsid w:val="00AE4ED2"/>
    <w:rsid w:val="00AE4F2F"/>
    <w:rsid w:val="00AE50C3"/>
    <w:rsid w:val="00AE5304"/>
    <w:rsid w:val="00AE596B"/>
    <w:rsid w:val="00AE5FD9"/>
    <w:rsid w:val="00AE6019"/>
    <w:rsid w:val="00AE60A3"/>
    <w:rsid w:val="00AE6115"/>
    <w:rsid w:val="00AE6226"/>
    <w:rsid w:val="00AE6322"/>
    <w:rsid w:val="00AE647E"/>
    <w:rsid w:val="00AE656D"/>
    <w:rsid w:val="00AE66AD"/>
    <w:rsid w:val="00AE6739"/>
    <w:rsid w:val="00AE679C"/>
    <w:rsid w:val="00AE6AB3"/>
    <w:rsid w:val="00AE6B20"/>
    <w:rsid w:val="00AE6B71"/>
    <w:rsid w:val="00AE6C43"/>
    <w:rsid w:val="00AE6E4F"/>
    <w:rsid w:val="00AE75AF"/>
    <w:rsid w:val="00AE7601"/>
    <w:rsid w:val="00AE7707"/>
    <w:rsid w:val="00AE7859"/>
    <w:rsid w:val="00AE7D9B"/>
    <w:rsid w:val="00AF02AC"/>
    <w:rsid w:val="00AF0440"/>
    <w:rsid w:val="00AF055E"/>
    <w:rsid w:val="00AF05EF"/>
    <w:rsid w:val="00AF0951"/>
    <w:rsid w:val="00AF0F1F"/>
    <w:rsid w:val="00AF10EA"/>
    <w:rsid w:val="00AF1B9F"/>
    <w:rsid w:val="00AF1C3B"/>
    <w:rsid w:val="00AF1F58"/>
    <w:rsid w:val="00AF211E"/>
    <w:rsid w:val="00AF26AF"/>
    <w:rsid w:val="00AF27E8"/>
    <w:rsid w:val="00AF2AFB"/>
    <w:rsid w:val="00AF2BB4"/>
    <w:rsid w:val="00AF2C63"/>
    <w:rsid w:val="00AF2D7F"/>
    <w:rsid w:val="00AF2E24"/>
    <w:rsid w:val="00AF310F"/>
    <w:rsid w:val="00AF31EF"/>
    <w:rsid w:val="00AF33AF"/>
    <w:rsid w:val="00AF33CE"/>
    <w:rsid w:val="00AF34AB"/>
    <w:rsid w:val="00AF34C9"/>
    <w:rsid w:val="00AF36C6"/>
    <w:rsid w:val="00AF3972"/>
    <w:rsid w:val="00AF3B25"/>
    <w:rsid w:val="00AF3BBB"/>
    <w:rsid w:val="00AF416B"/>
    <w:rsid w:val="00AF433E"/>
    <w:rsid w:val="00AF43E1"/>
    <w:rsid w:val="00AF4ADB"/>
    <w:rsid w:val="00AF521A"/>
    <w:rsid w:val="00AF54CC"/>
    <w:rsid w:val="00AF5611"/>
    <w:rsid w:val="00AF5991"/>
    <w:rsid w:val="00AF5ED2"/>
    <w:rsid w:val="00AF61A1"/>
    <w:rsid w:val="00AF6242"/>
    <w:rsid w:val="00AF6618"/>
    <w:rsid w:val="00AF6714"/>
    <w:rsid w:val="00AF716D"/>
    <w:rsid w:val="00AF7288"/>
    <w:rsid w:val="00AF7390"/>
    <w:rsid w:val="00AF74C9"/>
    <w:rsid w:val="00AF764A"/>
    <w:rsid w:val="00AF7816"/>
    <w:rsid w:val="00AF7865"/>
    <w:rsid w:val="00AF79E4"/>
    <w:rsid w:val="00AF7D5E"/>
    <w:rsid w:val="00B001A0"/>
    <w:rsid w:val="00B00276"/>
    <w:rsid w:val="00B00709"/>
    <w:rsid w:val="00B00ACC"/>
    <w:rsid w:val="00B00DC3"/>
    <w:rsid w:val="00B00F85"/>
    <w:rsid w:val="00B01141"/>
    <w:rsid w:val="00B011B0"/>
    <w:rsid w:val="00B01845"/>
    <w:rsid w:val="00B0189C"/>
    <w:rsid w:val="00B01CA9"/>
    <w:rsid w:val="00B021FC"/>
    <w:rsid w:val="00B0220B"/>
    <w:rsid w:val="00B029BC"/>
    <w:rsid w:val="00B02B4E"/>
    <w:rsid w:val="00B02C61"/>
    <w:rsid w:val="00B03680"/>
    <w:rsid w:val="00B0380A"/>
    <w:rsid w:val="00B038BE"/>
    <w:rsid w:val="00B039A3"/>
    <w:rsid w:val="00B040ED"/>
    <w:rsid w:val="00B0474A"/>
    <w:rsid w:val="00B0478E"/>
    <w:rsid w:val="00B04DFF"/>
    <w:rsid w:val="00B0502B"/>
    <w:rsid w:val="00B05923"/>
    <w:rsid w:val="00B05C13"/>
    <w:rsid w:val="00B07002"/>
    <w:rsid w:val="00B0758F"/>
    <w:rsid w:val="00B07722"/>
    <w:rsid w:val="00B0778D"/>
    <w:rsid w:val="00B07B45"/>
    <w:rsid w:val="00B07BB1"/>
    <w:rsid w:val="00B07BEB"/>
    <w:rsid w:val="00B07D79"/>
    <w:rsid w:val="00B100DA"/>
    <w:rsid w:val="00B102C9"/>
    <w:rsid w:val="00B104BC"/>
    <w:rsid w:val="00B10998"/>
    <w:rsid w:val="00B10AC5"/>
    <w:rsid w:val="00B10CA8"/>
    <w:rsid w:val="00B10DD8"/>
    <w:rsid w:val="00B10ECE"/>
    <w:rsid w:val="00B112A8"/>
    <w:rsid w:val="00B113B2"/>
    <w:rsid w:val="00B116A6"/>
    <w:rsid w:val="00B119FE"/>
    <w:rsid w:val="00B11B9C"/>
    <w:rsid w:val="00B11BD3"/>
    <w:rsid w:val="00B11D79"/>
    <w:rsid w:val="00B11E68"/>
    <w:rsid w:val="00B12104"/>
    <w:rsid w:val="00B126AC"/>
    <w:rsid w:val="00B1272C"/>
    <w:rsid w:val="00B12910"/>
    <w:rsid w:val="00B13065"/>
    <w:rsid w:val="00B1324F"/>
    <w:rsid w:val="00B13696"/>
    <w:rsid w:val="00B137F6"/>
    <w:rsid w:val="00B13AC6"/>
    <w:rsid w:val="00B142DC"/>
    <w:rsid w:val="00B14373"/>
    <w:rsid w:val="00B14595"/>
    <w:rsid w:val="00B146AB"/>
    <w:rsid w:val="00B14836"/>
    <w:rsid w:val="00B14B24"/>
    <w:rsid w:val="00B14EC1"/>
    <w:rsid w:val="00B15370"/>
    <w:rsid w:val="00B161C0"/>
    <w:rsid w:val="00B16387"/>
    <w:rsid w:val="00B16561"/>
    <w:rsid w:val="00B16716"/>
    <w:rsid w:val="00B16BFB"/>
    <w:rsid w:val="00B16C58"/>
    <w:rsid w:val="00B16DAD"/>
    <w:rsid w:val="00B17213"/>
    <w:rsid w:val="00B17A8D"/>
    <w:rsid w:val="00B17C30"/>
    <w:rsid w:val="00B2033F"/>
    <w:rsid w:val="00B20414"/>
    <w:rsid w:val="00B20590"/>
    <w:rsid w:val="00B205B1"/>
    <w:rsid w:val="00B205BA"/>
    <w:rsid w:val="00B207D3"/>
    <w:rsid w:val="00B20851"/>
    <w:rsid w:val="00B20DC4"/>
    <w:rsid w:val="00B21153"/>
    <w:rsid w:val="00B21290"/>
    <w:rsid w:val="00B21B14"/>
    <w:rsid w:val="00B2213A"/>
    <w:rsid w:val="00B2246B"/>
    <w:rsid w:val="00B224EB"/>
    <w:rsid w:val="00B2258B"/>
    <w:rsid w:val="00B22B9D"/>
    <w:rsid w:val="00B22BC9"/>
    <w:rsid w:val="00B22C56"/>
    <w:rsid w:val="00B22DB7"/>
    <w:rsid w:val="00B2310A"/>
    <w:rsid w:val="00B2312F"/>
    <w:rsid w:val="00B2330F"/>
    <w:rsid w:val="00B23445"/>
    <w:rsid w:val="00B236F2"/>
    <w:rsid w:val="00B23C2E"/>
    <w:rsid w:val="00B24331"/>
    <w:rsid w:val="00B24433"/>
    <w:rsid w:val="00B244F1"/>
    <w:rsid w:val="00B2457F"/>
    <w:rsid w:val="00B2480A"/>
    <w:rsid w:val="00B24827"/>
    <w:rsid w:val="00B248E0"/>
    <w:rsid w:val="00B24BD1"/>
    <w:rsid w:val="00B24EE4"/>
    <w:rsid w:val="00B24FD3"/>
    <w:rsid w:val="00B2534B"/>
    <w:rsid w:val="00B255E7"/>
    <w:rsid w:val="00B25CFE"/>
    <w:rsid w:val="00B25DA5"/>
    <w:rsid w:val="00B26048"/>
    <w:rsid w:val="00B26DF8"/>
    <w:rsid w:val="00B26E18"/>
    <w:rsid w:val="00B26EB7"/>
    <w:rsid w:val="00B26F59"/>
    <w:rsid w:val="00B27081"/>
    <w:rsid w:val="00B2742F"/>
    <w:rsid w:val="00B274B7"/>
    <w:rsid w:val="00B279DD"/>
    <w:rsid w:val="00B27AD5"/>
    <w:rsid w:val="00B27D46"/>
    <w:rsid w:val="00B27DF5"/>
    <w:rsid w:val="00B27E5C"/>
    <w:rsid w:val="00B27F95"/>
    <w:rsid w:val="00B30024"/>
    <w:rsid w:val="00B304DC"/>
    <w:rsid w:val="00B3059B"/>
    <w:rsid w:val="00B308CC"/>
    <w:rsid w:val="00B3097C"/>
    <w:rsid w:val="00B30E2B"/>
    <w:rsid w:val="00B31084"/>
    <w:rsid w:val="00B31106"/>
    <w:rsid w:val="00B313CD"/>
    <w:rsid w:val="00B3163F"/>
    <w:rsid w:val="00B3164E"/>
    <w:rsid w:val="00B319BA"/>
    <w:rsid w:val="00B31A92"/>
    <w:rsid w:val="00B31E47"/>
    <w:rsid w:val="00B3207B"/>
    <w:rsid w:val="00B3289B"/>
    <w:rsid w:val="00B32E7D"/>
    <w:rsid w:val="00B3328D"/>
    <w:rsid w:val="00B3355A"/>
    <w:rsid w:val="00B336AF"/>
    <w:rsid w:val="00B33890"/>
    <w:rsid w:val="00B33940"/>
    <w:rsid w:val="00B339F5"/>
    <w:rsid w:val="00B33C4B"/>
    <w:rsid w:val="00B33C62"/>
    <w:rsid w:val="00B342CC"/>
    <w:rsid w:val="00B3468F"/>
    <w:rsid w:val="00B34991"/>
    <w:rsid w:val="00B34CC4"/>
    <w:rsid w:val="00B34D49"/>
    <w:rsid w:val="00B34FD4"/>
    <w:rsid w:val="00B353BC"/>
    <w:rsid w:val="00B3565F"/>
    <w:rsid w:val="00B35810"/>
    <w:rsid w:val="00B35859"/>
    <w:rsid w:val="00B35B97"/>
    <w:rsid w:val="00B35BD7"/>
    <w:rsid w:val="00B35D19"/>
    <w:rsid w:val="00B35DD7"/>
    <w:rsid w:val="00B36582"/>
    <w:rsid w:val="00B368E9"/>
    <w:rsid w:val="00B36941"/>
    <w:rsid w:val="00B36A2A"/>
    <w:rsid w:val="00B36A7E"/>
    <w:rsid w:val="00B36BCC"/>
    <w:rsid w:val="00B36BD7"/>
    <w:rsid w:val="00B36E4C"/>
    <w:rsid w:val="00B36FD9"/>
    <w:rsid w:val="00B37144"/>
    <w:rsid w:val="00B3770C"/>
    <w:rsid w:val="00B379FE"/>
    <w:rsid w:val="00B37F89"/>
    <w:rsid w:val="00B40115"/>
    <w:rsid w:val="00B406DF"/>
    <w:rsid w:val="00B408B3"/>
    <w:rsid w:val="00B40EFD"/>
    <w:rsid w:val="00B410B1"/>
    <w:rsid w:val="00B411E0"/>
    <w:rsid w:val="00B416A9"/>
    <w:rsid w:val="00B4194D"/>
    <w:rsid w:val="00B41B9D"/>
    <w:rsid w:val="00B41D5C"/>
    <w:rsid w:val="00B4208A"/>
    <w:rsid w:val="00B42506"/>
    <w:rsid w:val="00B426CF"/>
    <w:rsid w:val="00B42BFC"/>
    <w:rsid w:val="00B42D47"/>
    <w:rsid w:val="00B430FA"/>
    <w:rsid w:val="00B43167"/>
    <w:rsid w:val="00B4331B"/>
    <w:rsid w:val="00B4339D"/>
    <w:rsid w:val="00B43440"/>
    <w:rsid w:val="00B43C76"/>
    <w:rsid w:val="00B43CD6"/>
    <w:rsid w:val="00B43F26"/>
    <w:rsid w:val="00B44679"/>
    <w:rsid w:val="00B4475E"/>
    <w:rsid w:val="00B449A3"/>
    <w:rsid w:val="00B44A3E"/>
    <w:rsid w:val="00B44E82"/>
    <w:rsid w:val="00B44F4D"/>
    <w:rsid w:val="00B4511D"/>
    <w:rsid w:val="00B45149"/>
    <w:rsid w:val="00B452AD"/>
    <w:rsid w:val="00B4543E"/>
    <w:rsid w:val="00B45536"/>
    <w:rsid w:val="00B4596F"/>
    <w:rsid w:val="00B4599E"/>
    <w:rsid w:val="00B4618D"/>
    <w:rsid w:val="00B463AE"/>
    <w:rsid w:val="00B46820"/>
    <w:rsid w:val="00B46857"/>
    <w:rsid w:val="00B476DE"/>
    <w:rsid w:val="00B47983"/>
    <w:rsid w:val="00B47A45"/>
    <w:rsid w:val="00B47E01"/>
    <w:rsid w:val="00B50109"/>
    <w:rsid w:val="00B50557"/>
    <w:rsid w:val="00B50768"/>
    <w:rsid w:val="00B50A65"/>
    <w:rsid w:val="00B50EF7"/>
    <w:rsid w:val="00B5102C"/>
    <w:rsid w:val="00B51518"/>
    <w:rsid w:val="00B5155D"/>
    <w:rsid w:val="00B519D8"/>
    <w:rsid w:val="00B51A36"/>
    <w:rsid w:val="00B51F64"/>
    <w:rsid w:val="00B51FEB"/>
    <w:rsid w:val="00B522E5"/>
    <w:rsid w:val="00B52944"/>
    <w:rsid w:val="00B52F4F"/>
    <w:rsid w:val="00B532D8"/>
    <w:rsid w:val="00B53C6D"/>
    <w:rsid w:val="00B53DD2"/>
    <w:rsid w:val="00B540E0"/>
    <w:rsid w:val="00B54195"/>
    <w:rsid w:val="00B54334"/>
    <w:rsid w:val="00B549CE"/>
    <w:rsid w:val="00B54A0A"/>
    <w:rsid w:val="00B54DA4"/>
    <w:rsid w:val="00B550D9"/>
    <w:rsid w:val="00B552BA"/>
    <w:rsid w:val="00B552C5"/>
    <w:rsid w:val="00B55351"/>
    <w:rsid w:val="00B55461"/>
    <w:rsid w:val="00B557BA"/>
    <w:rsid w:val="00B55856"/>
    <w:rsid w:val="00B55A8F"/>
    <w:rsid w:val="00B55BB1"/>
    <w:rsid w:val="00B5606D"/>
    <w:rsid w:val="00B562A8"/>
    <w:rsid w:val="00B563A6"/>
    <w:rsid w:val="00B563AC"/>
    <w:rsid w:val="00B56425"/>
    <w:rsid w:val="00B56585"/>
    <w:rsid w:val="00B56682"/>
    <w:rsid w:val="00B56812"/>
    <w:rsid w:val="00B56CF2"/>
    <w:rsid w:val="00B56EBA"/>
    <w:rsid w:val="00B5727F"/>
    <w:rsid w:val="00B57338"/>
    <w:rsid w:val="00B57375"/>
    <w:rsid w:val="00B579B4"/>
    <w:rsid w:val="00B57D81"/>
    <w:rsid w:val="00B6040D"/>
    <w:rsid w:val="00B60519"/>
    <w:rsid w:val="00B60651"/>
    <w:rsid w:val="00B60709"/>
    <w:rsid w:val="00B60C1A"/>
    <w:rsid w:val="00B60CCF"/>
    <w:rsid w:val="00B60E29"/>
    <w:rsid w:val="00B60EC0"/>
    <w:rsid w:val="00B615F1"/>
    <w:rsid w:val="00B61643"/>
    <w:rsid w:val="00B6180D"/>
    <w:rsid w:val="00B61C44"/>
    <w:rsid w:val="00B61D12"/>
    <w:rsid w:val="00B62757"/>
    <w:rsid w:val="00B6288B"/>
    <w:rsid w:val="00B62AD5"/>
    <w:rsid w:val="00B62BC7"/>
    <w:rsid w:val="00B62CD1"/>
    <w:rsid w:val="00B62DC8"/>
    <w:rsid w:val="00B62F96"/>
    <w:rsid w:val="00B630EA"/>
    <w:rsid w:val="00B63283"/>
    <w:rsid w:val="00B63351"/>
    <w:rsid w:val="00B6344A"/>
    <w:rsid w:val="00B63505"/>
    <w:rsid w:val="00B6372D"/>
    <w:rsid w:val="00B63A40"/>
    <w:rsid w:val="00B63AAE"/>
    <w:rsid w:val="00B63DE3"/>
    <w:rsid w:val="00B643BE"/>
    <w:rsid w:val="00B644A6"/>
    <w:rsid w:val="00B6481F"/>
    <w:rsid w:val="00B649F6"/>
    <w:rsid w:val="00B6533B"/>
    <w:rsid w:val="00B653B9"/>
    <w:rsid w:val="00B654E2"/>
    <w:rsid w:val="00B65845"/>
    <w:rsid w:val="00B6588F"/>
    <w:rsid w:val="00B65E17"/>
    <w:rsid w:val="00B65E91"/>
    <w:rsid w:val="00B65EA0"/>
    <w:rsid w:val="00B65F18"/>
    <w:rsid w:val="00B660CF"/>
    <w:rsid w:val="00B6630E"/>
    <w:rsid w:val="00B66824"/>
    <w:rsid w:val="00B66891"/>
    <w:rsid w:val="00B66A39"/>
    <w:rsid w:val="00B66FD6"/>
    <w:rsid w:val="00B6707B"/>
    <w:rsid w:val="00B676DE"/>
    <w:rsid w:val="00B67A6C"/>
    <w:rsid w:val="00B67D17"/>
    <w:rsid w:val="00B67E2F"/>
    <w:rsid w:val="00B70315"/>
    <w:rsid w:val="00B706AA"/>
    <w:rsid w:val="00B7098A"/>
    <w:rsid w:val="00B70A5D"/>
    <w:rsid w:val="00B70B74"/>
    <w:rsid w:val="00B71289"/>
    <w:rsid w:val="00B71397"/>
    <w:rsid w:val="00B71699"/>
    <w:rsid w:val="00B71ABC"/>
    <w:rsid w:val="00B71CBC"/>
    <w:rsid w:val="00B71D3A"/>
    <w:rsid w:val="00B72001"/>
    <w:rsid w:val="00B721D8"/>
    <w:rsid w:val="00B722FE"/>
    <w:rsid w:val="00B724BD"/>
    <w:rsid w:val="00B726E5"/>
    <w:rsid w:val="00B72B90"/>
    <w:rsid w:val="00B72D6C"/>
    <w:rsid w:val="00B73131"/>
    <w:rsid w:val="00B732A0"/>
    <w:rsid w:val="00B735A2"/>
    <w:rsid w:val="00B737A3"/>
    <w:rsid w:val="00B73DA0"/>
    <w:rsid w:val="00B740C1"/>
    <w:rsid w:val="00B74306"/>
    <w:rsid w:val="00B74362"/>
    <w:rsid w:val="00B7450D"/>
    <w:rsid w:val="00B7488C"/>
    <w:rsid w:val="00B748C7"/>
    <w:rsid w:val="00B74A61"/>
    <w:rsid w:val="00B74BAB"/>
    <w:rsid w:val="00B756E4"/>
    <w:rsid w:val="00B75F16"/>
    <w:rsid w:val="00B760AB"/>
    <w:rsid w:val="00B7634F"/>
    <w:rsid w:val="00B763B9"/>
    <w:rsid w:val="00B7648D"/>
    <w:rsid w:val="00B764E4"/>
    <w:rsid w:val="00B7656E"/>
    <w:rsid w:val="00B7657B"/>
    <w:rsid w:val="00B766F7"/>
    <w:rsid w:val="00B767FC"/>
    <w:rsid w:val="00B769C5"/>
    <w:rsid w:val="00B76D49"/>
    <w:rsid w:val="00B7751A"/>
    <w:rsid w:val="00B779A1"/>
    <w:rsid w:val="00B779B2"/>
    <w:rsid w:val="00B77B33"/>
    <w:rsid w:val="00B77EEF"/>
    <w:rsid w:val="00B80059"/>
    <w:rsid w:val="00B8023A"/>
    <w:rsid w:val="00B805F1"/>
    <w:rsid w:val="00B8075D"/>
    <w:rsid w:val="00B80BF8"/>
    <w:rsid w:val="00B80D9F"/>
    <w:rsid w:val="00B80EA7"/>
    <w:rsid w:val="00B8107A"/>
    <w:rsid w:val="00B81173"/>
    <w:rsid w:val="00B81A25"/>
    <w:rsid w:val="00B81D1B"/>
    <w:rsid w:val="00B81D53"/>
    <w:rsid w:val="00B81DD3"/>
    <w:rsid w:val="00B81F9C"/>
    <w:rsid w:val="00B82984"/>
    <w:rsid w:val="00B82A58"/>
    <w:rsid w:val="00B82A5D"/>
    <w:rsid w:val="00B82A94"/>
    <w:rsid w:val="00B82CFE"/>
    <w:rsid w:val="00B83054"/>
    <w:rsid w:val="00B8306F"/>
    <w:rsid w:val="00B83776"/>
    <w:rsid w:val="00B837F2"/>
    <w:rsid w:val="00B83943"/>
    <w:rsid w:val="00B83B73"/>
    <w:rsid w:val="00B83BD4"/>
    <w:rsid w:val="00B83D9C"/>
    <w:rsid w:val="00B84053"/>
    <w:rsid w:val="00B84311"/>
    <w:rsid w:val="00B8479E"/>
    <w:rsid w:val="00B84904"/>
    <w:rsid w:val="00B84AB0"/>
    <w:rsid w:val="00B84AC9"/>
    <w:rsid w:val="00B84C25"/>
    <w:rsid w:val="00B84D26"/>
    <w:rsid w:val="00B854AB"/>
    <w:rsid w:val="00B856CE"/>
    <w:rsid w:val="00B858A1"/>
    <w:rsid w:val="00B85B72"/>
    <w:rsid w:val="00B861F8"/>
    <w:rsid w:val="00B86657"/>
    <w:rsid w:val="00B8673A"/>
    <w:rsid w:val="00B86748"/>
    <w:rsid w:val="00B86A1A"/>
    <w:rsid w:val="00B872A2"/>
    <w:rsid w:val="00B874AC"/>
    <w:rsid w:val="00B87655"/>
    <w:rsid w:val="00B87A0F"/>
    <w:rsid w:val="00B87D7B"/>
    <w:rsid w:val="00B87F39"/>
    <w:rsid w:val="00B900EF"/>
    <w:rsid w:val="00B9021B"/>
    <w:rsid w:val="00B90221"/>
    <w:rsid w:val="00B903F6"/>
    <w:rsid w:val="00B90457"/>
    <w:rsid w:val="00B908DC"/>
    <w:rsid w:val="00B909B9"/>
    <w:rsid w:val="00B90DB3"/>
    <w:rsid w:val="00B90DD7"/>
    <w:rsid w:val="00B90EE5"/>
    <w:rsid w:val="00B91244"/>
    <w:rsid w:val="00B91333"/>
    <w:rsid w:val="00B91390"/>
    <w:rsid w:val="00B91609"/>
    <w:rsid w:val="00B916C3"/>
    <w:rsid w:val="00B91778"/>
    <w:rsid w:val="00B91839"/>
    <w:rsid w:val="00B91A58"/>
    <w:rsid w:val="00B91C6B"/>
    <w:rsid w:val="00B91DD2"/>
    <w:rsid w:val="00B91F91"/>
    <w:rsid w:val="00B925C5"/>
    <w:rsid w:val="00B92933"/>
    <w:rsid w:val="00B92A34"/>
    <w:rsid w:val="00B92AC7"/>
    <w:rsid w:val="00B92E1E"/>
    <w:rsid w:val="00B92E59"/>
    <w:rsid w:val="00B9305D"/>
    <w:rsid w:val="00B932D1"/>
    <w:rsid w:val="00B93551"/>
    <w:rsid w:val="00B93720"/>
    <w:rsid w:val="00B93AEE"/>
    <w:rsid w:val="00B93D5A"/>
    <w:rsid w:val="00B93EFB"/>
    <w:rsid w:val="00B942EA"/>
    <w:rsid w:val="00B9468B"/>
    <w:rsid w:val="00B9474A"/>
    <w:rsid w:val="00B94928"/>
    <w:rsid w:val="00B9501B"/>
    <w:rsid w:val="00B950DD"/>
    <w:rsid w:val="00B951DC"/>
    <w:rsid w:val="00B95248"/>
    <w:rsid w:val="00B95280"/>
    <w:rsid w:val="00B95DD8"/>
    <w:rsid w:val="00B95F65"/>
    <w:rsid w:val="00B966AE"/>
    <w:rsid w:val="00B966EE"/>
    <w:rsid w:val="00B969DD"/>
    <w:rsid w:val="00B96B52"/>
    <w:rsid w:val="00B96F28"/>
    <w:rsid w:val="00B96F9E"/>
    <w:rsid w:val="00B971DB"/>
    <w:rsid w:val="00B97320"/>
    <w:rsid w:val="00B976B2"/>
    <w:rsid w:val="00B97778"/>
    <w:rsid w:val="00B977B2"/>
    <w:rsid w:val="00B979EF"/>
    <w:rsid w:val="00B97A9E"/>
    <w:rsid w:val="00B97C58"/>
    <w:rsid w:val="00B97EEE"/>
    <w:rsid w:val="00B97F4A"/>
    <w:rsid w:val="00BA01C2"/>
    <w:rsid w:val="00BA02EC"/>
    <w:rsid w:val="00BA051E"/>
    <w:rsid w:val="00BA05EC"/>
    <w:rsid w:val="00BA09DF"/>
    <w:rsid w:val="00BA09FB"/>
    <w:rsid w:val="00BA1040"/>
    <w:rsid w:val="00BA10FB"/>
    <w:rsid w:val="00BA1301"/>
    <w:rsid w:val="00BA1433"/>
    <w:rsid w:val="00BA1B2E"/>
    <w:rsid w:val="00BA1C4A"/>
    <w:rsid w:val="00BA1F92"/>
    <w:rsid w:val="00BA2549"/>
    <w:rsid w:val="00BA323B"/>
    <w:rsid w:val="00BA329F"/>
    <w:rsid w:val="00BA3731"/>
    <w:rsid w:val="00BA3A3C"/>
    <w:rsid w:val="00BA3B90"/>
    <w:rsid w:val="00BA4140"/>
    <w:rsid w:val="00BA45FF"/>
    <w:rsid w:val="00BA4730"/>
    <w:rsid w:val="00BA49C7"/>
    <w:rsid w:val="00BA4F7A"/>
    <w:rsid w:val="00BA50A0"/>
    <w:rsid w:val="00BA5442"/>
    <w:rsid w:val="00BA56EE"/>
    <w:rsid w:val="00BA589E"/>
    <w:rsid w:val="00BA5B07"/>
    <w:rsid w:val="00BA5D01"/>
    <w:rsid w:val="00BA5ED6"/>
    <w:rsid w:val="00BA628A"/>
    <w:rsid w:val="00BA6AAB"/>
    <w:rsid w:val="00BA6E03"/>
    <w:rsid w:val="00BA6E45"/>
    <w:rsid w:val="00BA6E64"/>
    <w:rsid w:val="00BA6F0A"/>
    <w:rsid w:val="00BA72B7"/>
    <w:rsid w:val="00BA738C"/>
    <w:rsid w:val="00BA7627"/>
    <w:rsid w:val="00BA7731"/>
    <w:rsid w:val="00BA7880"/>
    <w:rsid w:val="00BA795D"/>
    <w:rsid w:val="00BA796F"/>
    <w:rsid w:val="00BA7AAE"/>
    <w:rsid w:val="00BA7CCA"/>
    <w:rsid w:val="00BA7D6A"/>
    <w:rsid w:val="00BB0B89"/>
    <w:rsid w:val="00BB0F58"/>
    <w:rsid w:val="00BB1086"/>
    <w:rsid w:val="00BB1468"/>
    <w:rsid w:val="00BB15D1"/>
    <w:rsid w:val="00BB17F5"/>
    <w:rsid w:val="00BB186A"/>
    <w:rsid w:val="00BB1895"/>
    <w:rsid w:val="00BB214C"/>
    <w:rsid w:val="00BB21EA"/>
    <w:rsid w:val="00BB253C"/>
    <w:rsid w:val="00BB2808"/>
    <w:rsid w:val="00BB2979"/>
    <w:rsid w:val="00BB2B53"/>
    <w:rsid w:val="00BB2C0F"/>
    <w:rsid w:val="00BB2D93"/>
    <w:rsid w:val="00BB2E5B"/>
    <w:rsid w:val="00BB3939"/>
    <w:rsid w:val="00BB3A74"/>
    <w:rsid w:val="00BB3C35"/>
    <w:rsid w:val="00BB3EE2"/>
    <w:rsid w:val="00BB4005"/>
    <w:rsid w:val="00BB40EF"/>
    <w:rsid w:val="00BB41E2"/>
    <w:rsid w:val="00BB459A"/>
    <w:rsid w:val="00BB4A03"/>
    <w:rsid w:val="00BB4C31"/>
    <w:rsid w:val="00BB4C3C"/>
    <w:rsid w:val="00BB4F6A"/>
    <w:rsid w:val="00BB516D"/>
    <w:rsid w:val="00BB5417"/>
    <w:rsid w:val="00BB55BF"/>
    <w:rsid w:val="00BB5A45"/>
    <w:rsid w:val="00BB5B1A"/>
    <w:rsid w:val="00BB5EFF"/>
    <w:rsid w:val="00BB5F66"/>
    <w:rsid w:val="00BB621D"/>
    <w:rsid w:val="00BB6268"/>
    <w:rsid w:val="00BB6C85"/>
    <w:rsid w:val="00BB6CAC"/>
    <w:rsid w:val="00BB6E81"/>
    <w:rsid w:val="00BB6EC0"/>
    <w:rsid w:val="00BB7284"/>
    <w:rsid w:val="00BB72A0"/>
    <w:rsid w:val="00BB7827"/>
    <w:rsid w:val="00BB7D18"/>
    <w:rsid w:val="00BB7DF9"/>
    <w:rsid w:val="00BB7E06"/>
    <w:rsid w:val="00BB7FA0"/>
    <w:rsid w:val="00BC0114"/>
    <w:rsid w:val="00BC019D"/>
    <w:rsid w:val="00BC0DEB"/>
    <w:rsid w:val="00BC0E97"/>
    <w:rsid w:val="00BC131F"/>
    <w:rsid w:val="00BC19F7"/>
    <w:rsid w:val="00BC1C59"/>
    <w:rsid w:val="00BC1CEE"/>
    <w:rsid w:val="00BC1D9D"/>
    <w:rsid w:val="00BC1FE8"/>
    <w:rsid w:val="00BC2185"/>
    <w:rsid w:val="00BC2F2B"/>
    <w:rsid w:val="00BC2F45"/>
    <w:rsid w:val="00BC3442"/>
    <w:rsid w:val="00BC39EE"/>
    <w:rsid w:val="00BC3EE5"/>
    <w:rsid w:val="00BC4A3C"/>
    <w:rsid w:val="00BC4B8D"/>
    <w:rsid w:val="00BC4FA7"/>
    <w:rsid w:val="00BC4FAB"/>
    <w:rsid w:val="00BC5067"/>
    <w:rsid w:val="00BC5070"/>
    <w:rsid w:val="00BC5454"/>
    <w:rsid w:val="00BC58F7"/>
    <w:rsid w:val="00BC593B"/>
    <w:rsid w:val="00BC5A52"/>
    <w:rsid w:val="00BC5C55"/>
    <w:rsid w:val="00BC6040"/>
    <w:rsid w:val="00BC6052"/>
    <w:rsid w:val="00BC6921"/>
    <w:rsid w:val="00BC6A75"/>
    <w:rsid w:val="00BC6AA4"/>
    <w:rsid w:val="00BC70CE"/>
    <w:rsid w:val="00BC718F"/>
    <w:rsid w:val="00BC7387"/>
    <w:rsid w:val="00BC797E"/>
    <w:rsid w:val="00BC7987"/>
    <w:rsid w:val="00BC7C56"/>
    <w:rsid w:val="00BC7D13"/>
    <w:rsid w:val="00BD00BA"/>
    <w:rsid w:val="00BD00DB"/>
    <w:rsid w:val="00BD0252"/>
    <w:rsid w:val="00BD041C"/>
    <w:rsid w:val="00BD0604"/>
    <w:rsid w:val="00BD0663"/>
    <w:rsid w:val="00BD0A41"/>
    <w:rsid w:val="00BD0A75"/>
    <w:rsid w:val="00BD0E47"/>
    <w:rsid w:val="00BD1274"/>
    <w:rsid w:val="00BD1349"/>
    <w:rsid w:val="00BD1556"/>
    <w:rsid w:val="00BD1626"/>
    <w:rsid w:val="00BD1C76"/>
    <w:rsid w:val="00BD1CE3"/>
    <w:rsid w:val="00BD20C8"/>
    <w:rsid w:val="00BD22B1"/>
    <w:rsid w:val="00BD23CB"/>
    <w:rsid w:val="00BD249A"/>
    <w:rsid w:val="00BD2509"/>
    <w:rsid w:val="00BD2542"/>
    <w:rsid w:val="00BD25A1"/>
    <w:rsid w:val="00BD28A5"/>
    <w:rsid w:val="00BD29B5"/>
    <w:rsid w:val="00BD2C2F"/>
    <w:rsid w:val="00BD2C39"/>
    <w:rsid w:val="00BD2FA5"/>
    <w:rsid w:val="00BD35CC"/>
    <w:rsid w:val="00BD3605"/>
    <w:rsid w:val="00BD384D"/>
    <w:rsid w:val="00BD3888"/>
    <w:rsid w:val="00BD39B8"/>
    <w:rsid w:val="00BD3D0B"/>
    <w:rsid w:val="00BD3EFC"/>
    <w:rsid w:val="00BD436A"/>
    <w:rsid w:val="00BD462D"/>
    <w:rsid w:val="00BD4885"/>
    <w:rsid w:val="00BD499F"/>
    <w:rsid w:val="00BD4C53"/>
    <w:rsid w:val="00BD53D2"/>
    <w:rsid w:val="00BD5491"/>
    <w:rsid w:val="00BD57D3"/>
    <w:rsid w:val="00BD57FE"/>
    <w:rsid w:val="00BD5811"/>
    <w:rsid w:val="00BD5F84"/>
    <w:rsid w:val="00BD6059"/>
    <w:rsid w:val="00BD6727"/>
    <w:rsid w:val="00BD6B18"/>
    <w:rsid w:val="00BD6ED3"/>
    <w:rsid w:val="00BD72AE"/>
    <w:rsid w:val="00BD75DB"/>
    <w:rsid w:val="00BD7898"/>
    <w:rsid w:val="00BE0824"/>
    <w:rsid w:val="00BE0971"/>
    <w:rsid w:val="00BE09B9"/>
    <w:rsid w:val="00BE0B91"/>
    <w:rsid w:val="00BE0DFE"/>
    <w:rsid w:val="00BE0EE1"/>
    <w:rsid w:val="00BE11BD"/>
    <w:rsid w:val="00BE15AC"/>
    <w:rsid w:val="00BE1E2A"/>
    <w:rsid w:val="00BE1EA5"/>
    <w:rsid w:val="00BE2012"/>
    <w:rsid w:val="00BE20AF"/>
    <w:rsid w:val="00BE20B1"/>
    <w:rsid w:val="00BE23BD"/>
    <w:rsid w:val="00BE2492"/>
    <w:rsid w:val="00BE261A"/>
    <w:rsid w:val="00BE27A6"/>
    <w:rsid w:val="00BE2B86"/>
    <w:rsid w:val="00BE2C05"/>
    <w:rsid w:val="00BE2D3A"/>
    <w:rsid w:val="00BE2DCB"/>
    <w:rsid w:val="00BE2ECC"/>
    <w:rsid w:val="00BE31C6"/>
    <w:rsid w:val="00BE3328"/>
    <w:rsid w:val="00BE34AE"/>
    <w:rsid w:val="00BE34FF"/>
    <w:rsid w:val="00BE37B9"/>
    <w:rsid w:val="00BE38D2"/>
    <w:rsid w:val="00BE38EB"/>
    <w:rsid w:val="00BE3DF1"/>
    <w:rsid w:val="00BE3EB2"/>
    <w:rsid w:val="00BE412A"/>
    <w:rsid w:val="00BE42BE"/>
    <w:rsid w:val="00BE431E"/>
    <w:rsid w:val="00BE440F"/>
    <w:rsid w:val="00BE4578"/>
    <w:rsid w:val="00BE4929"/>
    <w:rsid w:val="00BE4AE2"/>
    <w:rsid w:val="00BE4D23"/>
    <w:rsid w:val="00BE4DAF"/>
    <w:rsid w:val="00BE4E4E"/>
    <w:rsid w:val="00BE4F36"/>
    <w:rsid w:val="00BE502B"/>
    <w:rsid w:val="00BE5326"/>
    <w:rsid w:val="00BE534E"/>
    <w:rsid w:val="00BE58A4"/>
    <w:rsid w:val="00BE5BA1"/>
    <w:rsid w:val="00BE637D"/>
    <w:rsid w:val="00BE6971"/>
    <w:rsid w:val="00BE6BD2"/>
    <w:rsid w:val="00BE6D9C"/>
    <w:rsid w:val="00BE7413"/>
    <w:rsid w:val="00BE758F"/>
    <w:rsid w:val="00BE75E8"/>
    <w:rsid w:val="00BE75F8"/>
    <w:rsid w:val="00BE7B2E"/>
    <w:rsid w:val="00BF0015"/>
    <w:rsid w:val="00BF0032"/>
    <w:rsid w:val="00BF016B"/>
    <w:rsid w:val="00BF017E"/>
    <w:rsid w:val="00BF05AF"/>
    <w:rsid w:val="00BF06AD"/>
    <w:rsid w:val="00BF08BA"/>
    <w:rsid w:val="00BF0AE5"/>
    <w:rsid w:val="00BF146F"/>
    <w:rsid w:val="00BF14D0"/>
    <w:rsid w:val="00BF19B1"/>
    <w:rsid w:val="00BF1CC8"/>
    <w:rsid w:val="00BF1D8C"/>
    <w:rsid w:val="00BF1F7B"/>
    <w:rsid w:val="00BF1FD4"/>
    <w:rsid w:val="00BF2A26"/>
    <w:rsid w:val="00BF2B5B"/>
    <w:rsid w:val="00BF2EEF"/>
    <w:rsid w:val="00BF3707"/>
    <w:rsid w:val="00BF3E77"/>
    <w:rsid w:val="00BF3E93"/>
    <w:rsid w:val="00BF46AD"/>
    <w:rsid w:val="00BF4908"/>
    <w:rsid w:val="00BF4FC7"/>
    <w:rsid w:val="00BF5859"/>
    <w:rsid w:val="00BF5CB9"/>
    <w:rsid w:val="00BF655E"/>
    <w:rsid w:val="00BF6776"/>
    <w:rsid w:val="00BF6790"/>
    <w:rsid w:val="00BF6874"/>
    <w:rsid w:val="00BF68B4"/>
    <w:rsid w:val="00BF6A1C"/>
    <w:rsid w:val="00BF7290"/>
    <w:rsid w:val="00BF7366"/>
    <w:rsid w:val="00BF74DE"/>
    <w:rsid w:val="00BF753E"/>
    <w:rsid w:val="00BF7761"/>
    <w:rsid w:val="00BF7A73"/>
    <w:rsid w:val="00BF7D7F"/>
    <w:rsid w:val="00BF7F5C"/>
    <w:rsid w:val="00BF7FF7"/>
    <w:rsid w:val="00C000CF"/>
    <w:rsid w:val="00C00B82"/>
    <w:rsid w:val="00C01435"/>
    <w:rsid w:val="00C0146A"/>
    <w:rsid w:val="00C01523"/>
    <w:rsid w:val="00C015CA"/>
    <w:rsid w:val="00C0186E"/>
    <w:rsid w:val="00C01AEA"/>
    <w:rsid w:val="00C01C0F"/>
    <w:rsid w:val="00C01C8F"/>
    <w:rsid w:val="00C01E1D"/>
    <w:rsid w:val="00C0258E"/>
    <w:rsid w:val="00C027CA"/>
    <w:rsid w:val="00C02B16"/>
    <w:rsid w:val="00C02DD0"/>
    <w:rsid w:val="00C030B8"/>
    <w:rsid w:val="00C031EF"/>
    <w:rsid w:val="00C033C4"/>
    <w:rsid w:val="00C034B6"/>
    <w:rsid w:val="00C03666"/>
    <w:rsid w:val="00C03735"/>
    <w:rsid w:val="00C039CA"/>
    <w:rsid w:val="00C03ADE"/>
    <w:rsid w:val="00C03F7B"/>
    <w:rsid w:val="00C042C2"/>
    <w:rsid w:val="00C04474"/>
    <w:rsid w:val="00C044E9"/>
    <w:rsid w:val="00C046CF"/>
    <w:rsid w:val="00C04C2E"/>
    <w:rsid w:val="00C04F5D"/>
    <w:rsid w:val="00C0501B"/>
    <w:rsid w:val="00C050FF"/>
    <w:rsid w:val="00C05276"/>
    <w:rsid w:val="00C0527D"/>
    <w:rsid w:val="00C05695"/>
    <w:rsid w:val="00C05A65"/>
    <w:rsid w:val="00C05AC8"/>
    <w:rsid w:val="00C05E4F"/>
    <w:rsid w:val="00C06390"/>
    <w:rsid w:val="00C06765"/>
    <w:rsid w:val="00C068AA"/>
    <w:rsid w:val="00C06A1B"/>
    <w:rsid w:val="00C07128"/>
    <w:rsid w:val="00C0762F"/>
    <w:rsid w:val="00C07F81"/>
    <w:rsid w:val="00C1026F"/>
    <w:rsid w:val="00C105B6"/>
    <w:rsid w:val="00C109EC"/>
    <w:rsid w:val="00C10C8C"/>
    <w:rsid w:val="00C10DF4"/>
    <w:rsid w:val="00C11660"/>
    <w:rsid w:val="00C116A9"/>
    <w:rsid w:val="00C116D2"/>
    <w:rsid w:val="00C118F9"/>
    <w:rsid w:val="00C11979"/>
    <w:rsid w:val="00C11BDB"/>
    <w:rsid w:val="00C11EDA"/>
    <w:rsid w:val="00C1207A"/>
    <w:rsid w:val="00C12220"/>
    <w:rsid w:val="00C12357"/>
    <w:rsid w:val="00C124E3"/>
    <w:rsid w:val="00C13008"/>
    <w:rsid w:val="00C1337D"/>
    <w:rsid w:val="00C1366E"/>
    <w:rsid w:val="00C13707"/>
    <w:rsid w:val="00C13EDB"/>
    <w:rsid w:val="00C14C5E"/>
    <w:rsid w:val="00C151CA"/>
    <w:rsid w:val="00C15309"/>
    <w:rsid w:val="00C15517"/>
    <w:rsid w:val="00C15A8A"/>
    <w:rsid w:val="00C15BE2"/>
    <w:rsid w:val="00C15D88"/>
    <w:rsid w:val="00C15F76"/>
    <w:rsid w:val="00C15F82"/>
    <w:rsid w:val="00C16012"/>
    <w:rsid w:val="00C1614C"/>
    <w:rsid w:val="00C1617A"/>
    <w:rsid w:val="00C1643F"/>
    <w:rsid w:val="00C166FD"/>
    <w:rsid w:val="00C16726"/>
    <w:rsid w:val="00C16D71"/>
    <w:rsid w:val="00C16D7B"/>
    <w:rsid w:val="00C16EA8"/>
    <w:rsid w:val="00C16F74"/>
    <w:rsid w:val="00C17082"/>
    <w:rsid w:val="00C175F1"/>
    <w:rsid w:val="00C17896"/>
    <w:rsid w:val="00C178A0"/>
    <w:rsid w:val="00C17955"/>
    <w:rsid w:val="00C17E80"/>
    <w:rsid w:val="00C205EC"/>
    <w:rsid w:val="00C206B0"/>
    <w:rsid w:val="00C208B9"/>
    <w:rsid w:val="00C20A44"/>
    <w:rsid w:val="00C20C16"/>
    <w:rsid w:val="00C211B4"/>
    <w:rsid w:val="00C2183C"/>
    <w:rsid w:val="00C2183F"/>
    <w:rsid w:val="00C21AF3"/>
    <w:rsid w:val="00C21D2B"/>
    <w:rsid w:val="00C21DE7"/>
    <w:rsid w:val="00C220D1"/>
    <w:rsid w:val="00C222B1"/>
    <w:rsid w:val="00C22410"/>
    <w:rsid w:val="00C22776"/>
    <w:rsid w:val="00C227E5"/>
    <w:rsid w:val="00C228E4"/>
    <w:rsid w:val="00C22905"/>
    <w:rsid w:val="00C22A7F"/>
    <w:rsid w:val="00C22BE1"/>
    <w:rsid w:val="00C22BEA"/>
    <w:rsid w:val="00C22E1F"/>
    <w:rsid w:val="00C22E4A"/>
    <w:rsid w:val="00C23250"/>
    <w:rsid w:val="00C235D7"/>
    <w:rsid w:val="00C23675"/>
    <w:rsid w:val="00C239E8"/>
    <w:rsid w:val="00C23A2C"/>
    <w:rsid w:val="00C23B51"/>
    <w:rsid w:val="00C23C8F"/>
    <w:rsid w:val="00C23F69"/>
    <w:rsid w:val="00C23FB6"/>
    <w:rsid w:val="00C24101"/>
    <w:rsid w:val="00C2445F"/>
    <w:rsid w:val="00C244A7"/>
    <w:rsid w:val="00C2480C"/>
    <w:rsid w:val="00C2481A"/>
    <w:rsid w:val="00C24C03"/>
    <w:rsid w:val="00C24CFC"/>
    <w:rsid w:val="00C24EFE"/>
    <w:rsid w:val="00C25054"/>
    <w:rsid w:val="00C25056"/>
    <w:rsid w:val="00C25242"/>
    <w:rsid w:val="00C252CB"/>
    <w:rsid w:val="00C25391"/>
    <w:rsid w:val="00C258E2"/>
    <w:rsid w:val="00C25B3E"/>
    <w:rsid w:val="00C25D9B"/>
    <w:rsid w:val="00C26366"/>
    <w:rsid w:val="00C26490"/>
    <w:rsid w:val="00C2652A"/>
    <w:rsid w:val="00C26565"/>
    <w:rsid w:val="00C267A7"/>
    <w:rsid w:val="00C26938"/>
    <w:rsid w:val="00C26F9E"/>
    <w:rsid w:val="00C27021"/>
    <w:rsid w:val="00C272D8"/>
    <w:rsid w:val="00C2764C"/>
    <w:rsid w:val="00C276D8"/>
    <w:rsid w:val="00C276F9"/>
    <w:rsid w:val="00C27B6C"/>
    <w:rsid w:val="00C30563"/>
    <w:rsid w:val="00C305D1"/>
    <w:rsid w:val="00C30776"/>
    <w:rsid w:val="00C30960"/>
    <w:rsid w:val="00C30983"/>
    <w:rsid w:val="00C3099F"/>
    <w:rsid w:val="00C309CD"/>
    <w:rsid w:val="00C309F4"/>
    <w:rsid w:val="00C30B9E"/>
    <w:rsid w:val="00C30BC9"/>
    <w:rsid w:val="00C30E10"/>
    <w:rsid w:val="00C310C2"/>
    <w:rsid w:val="00C310F1"/>
    <w:rsid w:val="00C31109"/>
    <w:rsid w:val="00C3181B"/>
    <w:rsid w:val="00C318E9"/>
    <w:rsid w:val="00C319CD"/>
    <w:rsid w:val="00C31CC5"/>
    <w:rsid w:val="00C31F38"/>
    <w:rsid w:val="00C32431"/>
    <w:rsid w:val="00C324B5"/>
    <w:rsid w:val="00C326F0"/>
    <w:rsid w:val="00C3293D"/>
    <w:rsid w:val="00C32AE6"/>
    <w:rsid w:val="00C32B55"/>
    <w:rsid w:val="00C32B90"/>
    <w:rsid w:val="00C32BC4"/>
    <w:rsid w:val="00C32CAB"/>
    <w:rsid w:val="00C32E2F"/>
    <w:rsid w:val="00C32E35"/>
    <w:rsid w:val="00C3302A"/>
    <w:rsid w:val="00C33385"/>
    <w:rsid w:val="00C33528"/>
    <w:rsid w:val="00C33CCD"/>
    <w:rsid w:val="00C34120"/>
    <w:rsid w:val="00C3416C"/>
    <w:rsid w:val="00C342AB"/>
    <w:rsid w:val="00C34FDF"/>
    <w:rsid w:val="00C35138"/>
    <w:rsid w:val="00C354F5"/>
    <w:rsid w:val="00C3553B"/>
    <w:rsid w:val="00C357A1"/>
    <w:rsid w:val="00C357FF"/>
    <w:rsid w:val="00C35E47"/>
    <w:rsid w:val="00C3604A"/>
    <w:rsid w:val="00C364C3"/>
    <w:rsid w:val="00C36F9A"/>
    <w:rsid w:val="00C3722A"/>
    <w:rsid w:val="00C37366"/>
    <w:rsid w:val="00C37435"/>
    <w:rsid w:val="00C377B6"/>
    <w:rsid w:val="00C37841"/>
    <w:rsid w:val="00C37DFE"/>
    <w:rsid w:val="00C37F87"/>
    <w:rsid w:val="00C407A6"/>
    <w:rsid w:val="00C408D2"/>
    <w:rsid w:val="00C40A82"/>
    <w:rsid w:val="00C40D64"/>
    <w:rsid w:val="00C40ECF"/>
    <w:rsid w:val="00C41682"/>
    <w:rsid w:val="00C41E8B"/>
    <w:rsid w:val="00C41F5D"/>
    <w:rsid w:val="00C42468"/>
    <w:rsid w:val="00C42608"/>
    <w:rsid w:val="00C426B7"/>
    <w:rsid w:val="00C42F4C"/>
    <w:rsid w:val="00C42FAB"/>
    <w:rsid w:val="00C43007"/>
    <w:rsid w:val="00C43450"/>
    <w:rsid w:val="00C4348A"/>
    <w:rsid w:val="00C434CA"/>
    <w:rsid w:val="00C43601"/>
    <w:rsid w:val="00C437DF"/>
    <w:rsid w:val="00C43909"/>
    <w:rsid w:val="00C43B05"/>
    <w:rsid w:val="00C43E23"/>
    <w:rsid w:val="00C44151"/>
    <w:rsid w:val="00C442C7"/>
    <w:rsid w:val="00C442CA"/>
    <w:rsid w:val="00C44438"/>
    <w:rsid w:val="00C4468C"/>
    <w:rsid w:val="00C44A22"/>
    <w:rsid w:val="00C44D47"/>
    <w:rsid w:val="00C44D58"/>
    <w:rsid w:val="00C44E93"/>
    <w:rsid w:val="00C450C7"/>
    <w:rsid w:val="00C45131"/>
    <w:rsid w:val="00C45A1B"/>
    <w:rsid w:val="00C45B7C"/>
    <w:rsid w:val="00C46014"/>
    <w:rsid w:val="00C4646C"/>
    <w:rsid w:val="00C46706"/>
    <w:rsid w:val="00C469FD"/>
    <w:rsid w:val="00C46AB0"/>
    <w:rsid w:val="00C46B43"/>
    <w:rsid w:val="00C47947"/>
    <w:rsid w:val="00C47ABE"/>
    <w:rsid w:val="00C47B6B"/>
    <w:rsid w:val="00C47E14"/>
    <w:rsid w:val="00C5035D"/>
    <w:rsid w:val="00C5082D"/>
    <w:rsid w:val="00C51126"/>
    <w:rsid w:val="00C51290"/>
    <w:rsid w:val="00C513BA"/>
    <w:rsid w:val="00C514F5"/>
    <w:rsid w:val="00C514F8"/>
    <w:rsid w:val="00C5194A"/>
    <w:rsid w:val="00C52664"/>
    <w:rsid w:val="00C5271A"/>
    <w:rsid w:val="00C5271B"/>
    <w:rsid w:val="00C5272F"/>
    <w:rsid w:val="00C527E2"/>
    <w:rsid w:val="00C5286F"/>
    <w:rsid w:val="00C5289D"/>
    <w:rsid w:val="00C5292C"/>
    <w:rsid w:val="00C52967"/>
    <w:rsid w:val="00C52B4D"/>
    <w:rsid w:val="00C52D0E"/>
    <w:rsid w:val="00C53068"/>
    <w:rsid w:val="00C5314B"/>
    <w:rsid w:val="00C531F4"/>
    <w:rsid w:val="00C5329E"/>
    <w:rsid w:val="00C5335A"/>
    <w:rsid w:val="00C53415"/>
    <w:rsid w:val="00C5374D"/>
    <w:rsid w:val="00C53876"/>
    <w:rsid w:val="00C538F6"/>
    <w:rsid w:val="00C53917"/>
    <w:rsid w:val="00C53D11"/>
    <w:rsid w:val="00C54C10"/>
    <w:rsid w:val="00C54C64"/>
    <w:rsid w:val="00C55109"/>
    <w:rsid w:val="00C551CD"/>
    <w:rsid w:val="00C55325"/>
    <w:rsid w:val="00C559F0"/>
    <w:rsid w:val="00C55A4E"/>
    <w:rsid w:val="00C55C71"/>
    <w:rsid w:val="00C5611F"/>
    <w:rsid w:val="00C561A3"/>
    <w:rsid w:val="00C5662A"/>
    <w:rsid w:val="00C567EC"/>
    <w:rsid w:val="00C568E9"/>
    <w:rsid w:val="00C568F9"/>
    <w:rsid w:val="00C569C6"/>
    <w:rsid w:val="00C56A05"/>
    <w:rsid w:val="00C56FA5"/>
    <w:rsid w:val="00C571CA"/>
    <w:rsid w:val="00C57209"/>
    <w:rsid w:val="00C5725C"/>
    <w:rsid w:val="00C57381"/>
    <w:rsid w:val="00C57662"/>
    <w:rsid w:val="00C576D0"/>
    <w:rsid w:val="00C577E5"/>
    <w:rsid w:val="00C57A1B"/>
    <w:rsid w:val="00C57ADD"/>
    <w:rsid w:val="00C57F2F"/>
    <w:rsid w:val="00C60210"/>
    <w:rsid w:val="00C60278"/>
    <w:rsid w:val="00C60809"/>
    <w:rsid w:val="00C6092A"/>
    <w:rsid w:val="00C609AB"/>
    <w:rsid w:val="00C609DF"/>
    <w:rsid w:val="00C60A0D"/>
    <w:rsid w:val="00C60BF8"/>
    <w:rsid w:val="00C60F49"/>
    <w:rsid w:val="00C61000"/>
    <w:rsid w:val="00C6114B"/>
    <w:rsid w:val="00C61308"/>
    <w:rsid w:val="00C6185A"/>
    <w:rsid w:val="00C618D7"/>
    <w:rsid w:val="00C619CF"/>
    <w:rsid w:val="00C61B3D"/>
    <w:rsid w:val="00C61EEB"/>
    <w:rsid w:val="00C61F75"/>
    <w:rsid w:val="00C6204C"/>
    <w:rsid w:val="00C63075"/>
    <w:rsid w:val="00C63643"/>
    <w:rsid w:val="00C63946"/>
    <w:rsid w:val="00C63E51"/>
    <w:rsid w:val="00C6413C"/>
    <w:rsid w:val="00C64486"/>
    <w:rsid w:val="00C645AE"/>
    <w:rsid w:val="00C64629"/>
    <w:rsid w:val="00C646A0"/>
    <w:rsid w:val="00C649AC"/>
    <w:rsid w:val="00C64ABC"/>
    <w:rsid w:val="00C64D4A"/>
    <w:rsid w:val="00C64F55"/>
    <w:rsid w:val="00C653A1"/>
    <w:rsid w:val="00C65463"/>
    <w:rsid w:val="00C65695"/>
    <w:rsid w:val="00C65A22"/>
    <w:rsid w:val="00C65A8E"/>
    <w:rsid w:val="00C65BA6"/>
    <w:rsid w:val="00C65D1C"/>
    <w:rsid w:val="00C660BF"/>
    <w:rsid w:val="00C6635B"/>
    <w:rsid w:val="00C66376"/>
    <w:rsid w:val="00C6646B"/>
    <w:rsid w:val="00C66494"/>
    <w:rsid w:val="00C66C26"/>
    <w:rsid w:val="00C66D2C"/>
    <w:rsid w:val="00C66F23"/>
    <w:rsid w:val="00C70004"/>
    <w:rsid w:val="00C7053A"/>
    <w:rsid w:val="00C706BC"/>
    <w:rsid w:val="00C70806"/>
    <w:rsid w:val="00C70A14"/>
    <w:rsid w:val="00C70BD0"/>
    <w:rsid w:val="00C70CC2"/>
    <w:rsid w:val="00C70D74"/>
    <w:rsid w:val="00C71330"/>
    <w:rsid w:val="00C713FF"/>
    <w:rsid w:val="00C71732"/>
    <w:rsid w:val="00C71769"/>
    <w:rsid w:val="00C7187D"/>
    <w:rsid w:val="00C71A37"/>
    <w:rsid w:val="00C71A6C"/>
    <w:rsid w:val="00C71C02"/>
    <w:rsid w:val="00C7212E"/>
    <w:rsid w:val="00C72415"/>
    <w:rsid w:val="00C72425"/>
    <w:rsid w:val="00C72790"/>
    <w:rsid w:val="00C72C5A"/>
    <w:rsid w:val="00C72DAC"/>
    <w:rsid w:val="00C72E6D"/>
    <w:rsid w:val="00C7348D"/>
    <w:rsid w:val="00C739E5"/>
    <w:rsid w:val="00C73DDE"/>
    <w:rsid w:val="00C73F4E"/>
    <w:rsid w:val="00C7413A"/>
    <w:rsid w:val="00C743AA"/>
    <w:rsid w:val="00C744A1"/>
    <w:rsid w:val="00C74556"/>
    <w:rsid w:val="00C74603"/>
    <w:rsid w:val="00C74741"/>
    <w:rsid w:val="00C74831"/>
    <w:rsid w:val="00C74A57"/>
    <w:rsid w:val="00C750CA"/>
    <w:rsid w:val="00C7515D"/>
    <w:rsid w:val="00C7534D"/>
    <w:rsid w:val="00C753EF"/>
    <w:rsid w:val="00C7540D"/>
    <w:rsid w:val="00C75594"/>
    <w:rsid w:val="00C75A72"/>
    <w:rsid w:val="00C75B12"/>
    <w:rsid w:val="00C75B77"/>
    <w:rsid w:val="00C75D6F"/>
    <w:rsid w:val="00C7630F"/>
    <w:rsid w:val="00C76488"/>
    <w:rsid w:val="00C764C8"/>
    <w:rsid w:val="00C76868"/>
    <w:rsid w:val="00C76A6A"/>
    <w:rsid w:val="00C76CDD"/>
    <w:rsid w:val="00C7717A"/>
    <w:rsid w:val="00C7721B"/>
    <w:rsid w:val="00C77281"/>
    <w:rsid w:val="00C773BD"/>
    <w:rsid w:val="00C8028F"/>
    <w:rsid w:val="00C803F4"/>
    <w:rsid w:val="00C807B2"/>
    <w:rsid w:val="00C80968"/>
    <w:rsid w:val="00C80AC1"/>
    <w:rsid w:val="00C80B58"/>
    <w:rsid w:val="00C80B6E"/>
    <w:rsid w:val="00C80C7E"/>
    <w:rsid w:val="00C811EA"/>
    <w:rsid w:val="00C81306"/>
    <w:rsid w:val="00C81361"/>
    <w:rsid w:val="00C816FF"/>
    <w:rsid w:val="00C8194C"/>
    <w:rsid w:val="00C8196B"/>
    <w:rsid w:val="00C81CAA"/>
    <w:rsid w:val="00C81D3C"/>
    <w:rsid w:val="00C81E62"/>
    <w:rsid w:val="00C82047"/>
    <w:rsid w:val="00C820B5"/>
    <w:rsid w:val="00C8247D"/>
    <w:rsid w:val="00C824A3"/>
    <w:rsid w:val="00C8254E"/>
    <w:rsid w:val="00C8271D"/>
    <w:rsid w:val="00C828EF"/>
    <w:rsid w:val="00C82AF4"/>
    <w:rsid w:val="00C82B67"/>
    <w:rsid w:val="00C83052"/>
    <w:rsid w:val="00C83381"/>
    <w:rsid w:val="00C84348"/>
    <w:rsid w:val="00C843A2"/>
    <w:rsid w:val="00C846E6"/>
    <w:rsid w:val="00C846F8"/>
    <w:rsid w:val="00C84837"/>
    <w:rsid w:val="00C8492D"/>
    <w:rsid w:val="00C84D3D"/>
    <w:rsid w:val="00C84DDE"/>
    <w:rsid w:val="00C84E7C"/>
    <w:rsid w:val="00C8528D"/>
    <w:rsid w:val="00C85327"/>
    <w:rsid w:val="00C856B4"/>
    <w:rsid w:val="00C856E5"/>
    <w:rsid w:val="00C85A0E"/>
    <w:rsid w:val="00C8603B"/>
    <w:rsid w:val="00C862D2"/>
    <w:rsid w:val="00C863D7"/>
    <w:rsid w:val="00C866BB"/>
    <w:rsid w:val="00C86C1F"/>
    <w:rsid w:val="00C86DBB"/>
    <w:rsid w:val="00C86E46"/>
    <w:rsid w:val="00C87689"/>
    <w:rsid w:val="00C877F9"/>
    <w:rsid w:val="00C87985"/>
    <w:rsid w:val="00C87CD5"/>
    <w:rsid w:val="00C87D85"/>
    <w:rsid w:val="00C87DBB"/>
    <w:rsid w:val="00C87DBD"/>
    <w:rsid w:val="00C87E35"/>
    <w:rsid w:val="00C87E93"/>
    <w:rsid w:val="00C90623"/>
    <w:rsid w:val="00C908B8"/>
    <w:rsid w:val="00C90D32"/>
    <w:rsid w:val="00C910D1"/>
    <w:rsid w:val="00C9116B"/>
    <w:rsid w:val="00C91182"/>
    <w:rsid w:val="00C916A4"/>
    <w:rsid w:val="00C91C61"/>
    <w:rsid w:val="00C9245E"/>
    <w:rsid w:val="00C925CA"/>
    <w:rsid w:val="00C9279F"/>
    <w:rsid w:val="00C92BD2"/>
    <w:rsid w:val="00C92BE8"/>
    <w:rsid w:val="00C930A8"/>
    <w:rsid w:val="00C9321E"/>
    <w:rsid w:val="00C9331D"/>
    <w:rsid w:val="00C9331E"/>
    <w:rsid w:val="00C93382"/>
    <w:rsid w:val="00C934A5"/>
    <w:rsid w:val="00C9378A"/>
    <w:rsid w:val="00C93918"/>
    <w:rsid w:val="00C93A93"/>
    <w:rsid w:val="00C93B5C"/>
    <w:rsid w:val="00C94263"/>
    <w:rsid w:val="00C943C0"/>
    <w:rsid w:val="00C94657"/>
    <w:rsid w:val="00C94EA6"/>
    <w:rsid w:val="00C950FD"/>
    <w:rsid w:val="00C95382"/>
    <w:rsid w:val="00C954C1"/>
    <w:rsid w:val="00C9551D"/>
    <w:rsid w:val="00C95B01"/>
    <w:rsid w:val="00C95C86"/>
    <w:rsid w:val="00C95E39"/>
    <w:rsid w:val="00C95ED7"/>
    <w:rsid w:val="00C960A5"/>
    <w:rsid w:val="00C96337"/>
    <w:rsid w:val="00C9633D"/>
    <w:rsid w:val="00C964DB"/>
    <w:rsid w:val="00C9667C"/>
    <w:rsid w:val="00C97078"/>
    <w:rsid w:val="00C97115"/>
    <w:rsid w:val="00C9716B"/>
    <w:rsid w:val="00C975BA"/>
    <w:rsid w:val="00C97924"/>
    <w:rsid w:val="00C97E70"/>
    <w:rsid w:val="00CA019E"/>
    <w:rsid w:val="00CA0373"/>
    <w:rsid w:val="00CA0380"/>
    <w:rsid w:val="00CA04F3"/>
    <w:rsid w:val="00CA066C"/>
    <w:rsid w:val="00CA0805"/>
    <w:rsid w:val="00CA08AB"/>
    <w:rsid w:val="00CA0CAF"/>
    <w:rsid w:val="00CA0F3D"/>
    <w:rsid w:val="00CA1552"/>
    <w:rsid w:val="00CA164F"/>
    <w:rsid w:val="00CA1840"/>
    <w:rsid w:val="00CA1B31"/>
    <w:rsid w:val="00CA201B"/>
    <w:rsid w:val="00CA20E9"/>
    <w:rsid w:val="00CA2123"/>
    <w:rsid w:val="00CA22C7"/>
    <w:rsid w:val="00CA24AF"/>
    <w:rsid w:val="00CA2528"/>
    <w:rsid w:val="00CA263B"/>
    <w:rsid w:val="00CA2C55"/>
    <w:rsid w:val="00CA2FEB"/>
    <w:rsid w:val="00CA3398"/>
    <w:rsid w:val="00CA3425"/>
    <w:rsid w:val="00CA3457"/>
    <w:rsid w:val="00CA3554"/>
    <w:rsid w:val="00CA375F"/>
    <w:rsid w:val="00CA3C68"/>
    <w:rsid w:val="00CA3C84"/>
    <w:rsid w:val="00CA3CE8"/>
    <w:rsid w:val="00CA405C"/>
    <w:rsid w:val="00CA40C2"/>
    <w:rsid w:val="00CA46CD"/>
    <w:rsid w:val="00CA46DF"/>
    <w:rsid w:val="00CA4892"/>
    <w:rsid w:val="00CA49D6"/>
    <w:rsid w:val="00CA4D61"/>
    <w:rsid w:val="00CA4E1E"/>
    <w:rsid w:val="00CA5785"/>
    <w:rsid w:val="00CA5E9A"/>
    <w:rsid w:val="00CA6014"/>
    <w:rsid w:val="00CA6400"/>
    <w:rsid w:val="00CA65C0"/>
    <w:rsid w:val="00CA682A"/>
    <w:rsid w:val="00CA68BC"/>
    <w:rsid w:val="00CA6C96"/>
    <w:rsid w:val="00CA7007"/>
    <w:rsid w:val="00CA70DA"/>
    <w:rsid w:val="00CA730C"/>
    <w:rsid w:val="00CA7411"/>
    <w:rsid w:val="00CA75AD"/>
    <w:rsid w:val="00CA79CE"/>
    <w:rsid w:val="00CA7A57"/>
    <w:rsid w:val="00CA7E0F"/>
    <w:rsid w:val="00CA7EA7"/>
    <w:rsid w:val="00CB0107"/>
    <w:rsid w:val="00CB02E7"/>
    <w:rsid w:val="00CB04C3"/>
    <w:rsid w:val="00CB08E7"/>
    <w:rsid w:val="00CB0BA1"/>
    <w:rsid w:val="00CB0E2A"/>
    <w:rsid w:val="00CB1200"/>
    <w:rsid w:val="00CB159A"/>
    <w:rsid w:val="00CB187F"/>
    <w:rsid w:val="00CB1A1B"/>
    <w:rsid w:val="00CB1A2E"/>
    <w:rsid w:val="00CB1AEA"/>
    <w:rsid w:val="00CB1F31"/>
    <w:rsid w:val="00CB1F93"/>
    <w:rsid w:val="00CB2146"/>
    <w:rsid w:val="00CB21CF"/>
    <w:rsid w:val="00CB2DB7"/>
    <w:rsid w:val="00CB3669"/>
    <w:rsid w:val="00CB3CA0"/>
    <w:rsid w:val="00CB3D62"/>
    <w:rsid w:val="00CB3F57"/>
    <w:rsid w:val="00CB455B"/>
    <w:rsid w:val="00CB4BD6"/>
    <w:rsid w:val="00CB4C89"/>
    <w:rsid w:val="00CB4E87"/>
    <w:rsid w:val="00CB4FF6"/>
    <w:rsid w:val="00CB534C"/>
    <w:rsid w:val="00CB5471"/>
    <w:rsid w:val="00CB56AA"/>
    <w:rsid w:val="00CB581D"/>
    <w:rsid w:val="00CB58C2"/>
    <w:rsid w:val="00CB5E1A"/>
    <w:rsid w:val="00CB6063"/>
    <w:rsid w:val="00CB6215"/>
    <w:rsid w:val="00CB659D"/>
    <w:rsid w:val="00CB66FC"/>
    <w:rsid w:val="00CB6A74"/>
    <w:rsid w:val="00CB6ADD"/>
    <w:rsid w:val="00CB6B35"/>
    <w:rsid w:val="00CB6B66"/>
    <w:rsid w:val="00CB6D05"/>
    <w:rsid w:val="00CB6F55"/>
    <w:rsid w:val="00CB71F5"/>
    <w:rsid w:val="00CB7454"/>
    <w:rsid w:val="00CB75E4"/>
    <w:rsid w:val="00CC004E"/>
    <w:rsid w:val="00CC06DB"/>
    <w:rsid w:val="00CC07EE"/>
    <w:rsid w:val="00CC08C7"/>
    <w:rsid w:val="00CC0957"/>
    <w:rsid w:val="00CC0D35"/>
    <w:rsid w:val="00CC10A0"/>
    <w:rsid w:val="00CC13DA"/>
    <w:rsid w:val="00CC19E8"/>
    <w:rsid w:val="00CC1B07"/>
    <w:rsid w:val="00CC1C79"/>
    <w:rsid w:val="00CC2203"/>
    <w:rsid w:val="00CC29B0"/>
    <w:rsid w:val="00CC30C5"/>
    <w:rsid w:val="00CC31A0"/>
    <w:rsid w:val="00CC31CE"/>
    <w:rsid w:val="00CC346C"/>
    <w:rsid w:val="00CC35D5"/>
    <w:rsid w:val="00CC35DD"/>
    <w:rsid w:val="00CC35F9"/>
    <w:rsid w:val="00CC380A"/>
    <w:rsid w:val="00CC3A4F"/>
    <w:rsid w:val="00CC3CBE"/>
    <w:rsid w:val="00CC3DDC"/>
    <w:rsid w:val="00CC3E30"/>
    <w:rsid w:val="00CC40A4"/>
    <w:rsid w:val="00CC433F"/>
    <w:rsid w:val="00CC4353"/>
    <w:rsid w:val="00CC4442"/>
    <w:rsid w:val="00CC4578"/>
    <w:rsid w:val="00CC499D"/>
    <w:rsid w:val="00CC4C13"/>
    <w:rsid w:val="00CC4D86"/>
    <w:rsid w:val="00CC4EBB"/>
    <w:rsid w:val="00CC501D"/>
    <w:rsid w:val="00CC527F"/>
    <w:rsid w:val="00CC5313"/>
    <w:rsid w:val="00CC5C74"/>
    <w:rsid w:val="00CC5EBB"/>
    <w:rsid w:val="00CC67F9"/>
    <w:rsid w:val="00CC68BB"/>
    <w:rsid w:val="00CC69EA"/>
    <w:rsid w:val="00CC6BF3"/>
    <w:rsid w:val="00CC72C8"/>
    <w:rsid w:val="00CC7547"/>
    <w:rsid w:val="00CC758E"/>
    <w:rsid w:val="00CC75D2"/>
    <w:rsid w:val="00CC7BA9"/>
    <w:rsid w:val="00CC7FCB"/>
    <w:rsid w:val="00CD091B"/>
    <w:rsid w:val="00CD0D08"/>
    <w:rsid w:val="00CD0D0C"/>
    <w:rsid w:val="00CD0EE5"/>
    <w:rsid w:val="00CD0FA4"/>
    <w:rsid w:val="00CD1306"/>
    <w:rsid w:val="00CD144D"/>
    <w:rsid w:val="00CD171E"/>
    <w:rsid w:val="00CD183A"/>
    <w:rsid w:val="00CD1A07"/>
    <w:rsid w:val="00CD1BB7"/>
    <w:rsid w:val="00CD1E55"/>
    <w:rsid w:val="00CD2088"/>
    <w:rsid w:val="00CD230A"/>
    <w:rsid w:val="00CD24AE"/>
    <w:rsid w:val="00CD27D4"/>
    <w:rsid w:val="00CD2978"/>
    <w:rsid w:val="00CD2B31"/>
    <w:rsid w:val="00CD2E45"/>
    <w:rsid w:val="00CD2F26"/>
    <w:rsid w:val="00CD31EE"/>
    <w:rsid w:val="00CD32C1"/>
    <w:rsid w:val="00CD32E5"/>
    <w:rsid w:val="00CD335D"/>
    <w:rsid w:val="00CD36FB"/>
    <w:rsid w:val="00CD395A"/>
    <w:rsid w:val="00CD3A87"/>
    <w:rsid w:val="00CD3BD3"/>
    <w:rsid w:val="00CD3CD2"/>
    <w:rsid w:val="00CD44BC"/>
    <w:rsid w:val="00CD5197"/>
    <w:rsid w:val="00CD53EC"/>
    <w:rsid w:val="00CD554D"/>
    <w:rsid w:val="00CD565C"/>
    <w:rsid w:val="00CD585B"/>
    <w:rsid w:val="00CD5E75"/>
    <w:rsid w:val="00CD6238"/>
    <w:rsid w:val="00CD64AB"/>
    <w:rsid w:val="00CD64FF"/>
    <w:rsid w:val="00CD6589"/>
    <w:rsid w:val="00CD67CC"/>
    <w:rsid w:val="00CD67E7"/>
    <w:rsid w:val="00CD6C0D"/>
    <w:rsid w:val="00CD6D2A"/>
    <w:rsid w:val="00CD71A5"/>
    <w:rsid w:val="00CD738C"/>
    <w:rsid w:val="00CD73BB"/>
    <w:rsid w:val="00CD746D"/>
    <w:rsid w:val="00CD7D11"/>
    <w:rsid w:val="00CE0278"/>
    <w:rsid w:val="00CE0729"/>
    <w:rsid w:val="00CE073B"/>
    <w:rsid w:val="00CE0835"/>
    <w:rsid w:val="00CE097F"/>
    <w:rsid w:val="00CE0ABC"/>
    <w:rsid w:val="00CE0B1D"/>
    <w:rsid w:val="00CE0C64"/>
    <w:rsid w:val="00CE0E2E"/>
    <w:rsid w:val="00CE108F"/>
    <w:rsid w:val="00CE1133"/>
    <w:rsid w:val="00CE1612"/>
    <w:rsid w:val="00CE1960"/>
    <w:rsid w:val="00CE207C"/>
    <w:rsid w:val="00CE220D"/>
    <w:rsid w:val="00CE23AC"/>
    <w:rsid w:val="00CE280E"/>
    <w:rsid w:val="00CE28DD"/>
    <w:rsid w:val="00CE31E6"/>
    <w:rsid w:val="00CE35AF"/>
    <w:rsid w:val="00CE391C"/>
    <w:rsid w:val="00CE420B"/>
    <w:rsid w:val="00CE4273"/>
    <w:rsid w:val="00CE43DD"/>
    <w:rsid w:val="00CE47FC"/>
    <w:rsid w:val="00CE481E"/>
    <w:rsid w:val="00CE4826"/>
    <w:rsid w:val="00CE4BB0"/>
    <w:rsid w:val="00CE4E47"/>
    <w:rsid w:val="00CE4FEB"/>
    <w:rsid w:val="00CE50BB"/>
    <w:rsid w:val="00CE5285"/>
    <w:rsid w:val="00CE53BD"/>
    <w:rsid w:val="00CE54F7"/>
    <w:rsid w:val="00CE553D"/>
    <w:rsid w:val="00CE55EB"/>
    <w:rsid w:val="00CE55F9"/>
    <w:rsid w:val="00CE570C"/>
    <w:rsid w:val="00CE5B1C"/>
    <w:rsid w:val="00CE5E4B"/>
    <w:rsid w:val="00CE66C0"/>
    <w:rsid w:val="00CE674C"/>
    <w:rsid w:val="00CE68E2"/>
    <w:rsid w:val="00CE6D41"/>
    <w:rsid w:val="00CE6F6A"/>
    <w:rsid w:val="00CE72FC"/>
    <w:rsid w:val="00CE745A"/>
    <w:rsid w:val="00CE7729"/>
    <w:rsid w:val="00CE7ACA"/>
    <w:rsid w:val="00CE7F1A"/>
    <w:rsid w:val="00CF01D4"/>
    <w:rsid w:val="00CF03DE"/>
    <w:rsid w:val="00CF03E8"/>
    <w:rsid w:val="00CF0B16"/>
    <w:rsid w:val="00CF0F3E"/>
    <w:rsid w:val="00CF10D3"/>
    <w:rsid w:val="00CF11AB"/>
    <w:rsid w:val="00CF123B"/>
    <w:rsid w:val="00CF12F0"/>
    <w:rsid w:val="00CF1850"/>
    <w:rsid w:val="00CF1FF2"/>
    <w:rsid w:val="00CF2087"/>
    <w:rsid w:val="00CF20B1"/>
    <w:rsid w:val="00CF219C"/>
    <w:rsid w:val="00CF23B6"/>
    <w:rsid w:val="00CF27F0"/>
    <w:rsid w:val="00CF2AD5"/>
    <w:rsid w:val="00CF2CA2"/>
    <w:rsid w:val="00CF2DB7"/>
    <w:rsid w:val="00CF3625"/>
    <w:rsid w:val="00CF391C"/>
    <w:rsid w:val="00CF3DCB"/>
    <w:rsid w:val="00CF4328"/>
    <w:rsid w:val="00CF48FC"/>
    <w:rsid w:val="00CF4C01"/>
    <w:rsid w:val="00CF4D86"/>
    <w:rsid w:val="00CF5205"/>
    <w:rsid w:val="00CF5385"/>
    <w:rsid w:val="00CF5464"/>
    <w:rsid w:val="00CF54BC"/>
    <w:rsid w:val="00CF57E3"/>
    <w:rsid w:val="00CF5B0B"/>
    <w:rsid w:val="00CF5C07"/>
    <w:rsid w:val="00CF5EA1"/>
    <w:rsid w:val="00CF63BA"/>
    <w:rsid w:val="00CF6442"/>
    <w:rsid w:val="00CF64C0"/>
    <w:rsid w:val="00CF64C5"/>
    <w:rsid w:val="00CF6B53"/>
    <w:rsid w:val="00CF6FD3"/>
    <w:rsid w:val="00CF721D"/>
    <w:rsid w:val="00CF75B2"/>
    <w:rsid w:val="00CF767F"/>
    <w:rsid w:val="00CF78ED"/>
    <w:rsid w:val="00CF791C"/>
    <w:rsid w:val="00CF79FA"/>
    <w:rsid w:val="00CF7A8C"/>
    <w:rsid w:val="00CF7DDA"/>
    <w:rsid w:val="00CF7ECA"/>
    <w:rsid w:val="00CF7F5F"/>
    <w:rsid w:val="00CF7FD0"/>
    <w:rsid w:val="00D001C3"/>
    <w:rsid w:val="00D001C9"/>
    <w:rsid w:val="00D0029F"/>
    <w:rsid w:val="00D0041F"/>
    <w:rsid w:val="00D0059B"/>
    <w:rsid w:val="00D0061D"/>
    <w:rsid w:val="00D008A8"/>
    <w:rsid w:val="00D008AF"/>
    <w:rsid w:val="00D00C46"/>
    <w:rsid w:val="00D00DF2"/>
    <w:rsid w:val="00D013E7"/>
    <w:rsid w:val="00D01415"/>
    <w:rsid w:val="00D01457"/>
    <w:rsid w:val="00D01819"/>
    <w:rsid w:val="00D01915"/>
    <w:rsid w:val="00D019C9"/>
    <w:rsid w:val="00D01D8E"/>
    <w:rsid w:val="00D01E0E"/>
    <w:rsid w:val="00D02015"/>
    <w:rsid w:val="00D02019"/>
    <w:rsid w:val="00D024C7"/>
    <w:rsid w:val="00D02801"/>
    <w:rsid w:val="00D02C93"/>
    <w:rsid w:val="00D02F8A"/>
    <w:rsid w:val="00D030A9"/>
    <w:rsid w:val="00D03116"/>
    <w:rsid w:val="00D0333E"/>
    <w:rsid w:val="00D03473"/>
    <w:rsid w:val="00D03489"/>
    <w:rsid w:val="00D03824"/>
    <w:rsid w:val="00D03A51"/>
    <w:rsid w:val="00D03EB4"/>
    <w:rsid w:val="00D0400A"/>
    <w:rsid w:val="00D0425B"/>
    <w:rsid w:val="00D049E7"/>
    <w:rsid w:val="00D049F9"/>
    <w:rsid w:val="00D04BE9"/>
    <w:rsid w:val="00D04FB1"/>
    <w:rsid w:val="00D0530E"/>
    <w:rsid w:val="00D059D6"/>
    <w:rsid w:val="00D05CF4"/>
    <w:rsid w:val="00D05D20"/>
    <w:rsid w:val="00D06104"/>
    <w:rsid w:val="00D061BA"/>
    <w:rsid w:val="00D06651"/>
    <w:rsid w:val="00D06876"/>
    <w:rsid w:val="00D069EA"/>
    <w:rsid w:val="00D06C0D"/>
    <w:rsid w:val="00D06CE3"/>
    <w:rsid w:val="00D06D0A"/>
    <w:rsid w:val="00D07017"/>
    <w:rsid w:val="00D07613"/>
    <w:rsid w:val="00D07AC9"/>
    <w:rsid w:val="00D07F3D"/>
    <w:rsid w:val="00D1008D"/>
    <w:rsid w:val="00D109B4"/>
    <w:rsid w:val="00D10C5F"/>
    <w:rsid w:val="00D10D1D"/>
    <w:rsid w:val="00D10D8B"/>
    <w:rsid w:val="00D10E3C"/>
    <w:rsid w:val="00D10E46"/>
    <w:rsid w:val="00D10EDA"/>
    <w:rsid w:val="00D112D1"/>
    <w:rsid w:val="00D11FC9"/>
    <w:rsid w:val="00D124C6"/>
    <w:rsid w:val="00D12926"/>
    <w:rsid w:val="00D129DB"/>
    <w:rsid w:val="00D12A72"/>
    <w:rsid w:val="00D12B27"/>
    <w:rsid w:val="00D12B3D"/>
    <w:rsid w:val="00D12DA2"/>
    <w:rsid w:val="00D13107"/>
    <w:rsid w:val="00D132A8"/>
    <w:rsid w:val="00D13858"/>
    <w:rsid w:val="00D14395"/>
    <w:rsid w:val="00D14889"/>
    <w:rsid w:val="00D14ACA"/>
    <w:rsid w:val="00D14FCF"/>
    <w:rsid w:val="00D151DD"/>
    <w:rsid w:val="00D151EB"/>
    <w:rsid w:val="00D15416"/>
    <w:rsid w:val="00D156E9"/>
    <w:rsid w:val="00D157CC"/>
    <w:rsid w:val="00D1595A"/>
    <w:rsid w:val="00D15A10"/>
    <w:rsid w:val="00D15B12"/>
    <w:rsid w:val="00D15BFF"/>
    <w:rsid w:val="00D15F8E"/>
    <w:rsid w:val="00D1686B"/>
    <w:rsid w:val="00D168C0"/>
    <w:rsid w:val="00D16981"/>
    <w:rsid w:val="00D16AFD"/>
    <w:rsid w:val="00D16B58"/>
    <w:rsid w:val="00D16EB2"/>
    <w:rsid w:val="00D171A3"/>
    <w:rsid w:val="00D17203"/>
    <w:rsid w:val="00D176E1"/>
    <w:rsid w:val="00D17B07"/>
    <w:rsid w:val="00D20022"/>
    <w:rsid w:val="00D20058"/>
    <w:rsid w:val="00D20297"/>
    <w:rsid w:val="00D20394"/>
    <w:rsid w:val="00D203AE"/>
    <w:rsid w:val="00D206EF"/>
    <w:rsid w:val="00D20DF5"/>
    <w:rsid w:val="00D20F6C"/>
    <w:rsid w:val="00D211DD"/>
    <w:rsid w:val="00D213C3"/>
    <w:rsid w:val="00D21830"/>
    <w:rsid w:val="00D21BE7"/>
    <w:rsid w:val="00D22246"/>
    <w:rsid w:val="00D222C7"/>
    <w:rsid w:val="00D223D6"/>
    <w:rsid w:val="00D22540"/>
    <w:rsid w:val="00D22875"/>
    <w:rsid w:val="00D22B9C"/>
    <w:rsid w:val="00D22F1D"/>
    <w:rsid w:val="00D234EA"/>
    <w:rsid w:val="00D23603"/>
    <w:rsid w:val="00D23642"/>
    <w:rsid w:val="00D23F72"/>
    <w:rsid w:val="00D24181"/>
    <w:rsid w:val="00D24275"/>
    <w:rsid w:val="00D243D1"/>
    <w:rsid w:val="00D246E0"/>
    <w:rsid w:val="00D24804"/>
    <w:rsid w:val="00D2482C"/>
    <w:rsid w:val="00D2486C"/>
    <w:rsid w:val="00D24F82"/>
    <w:rsid w:val="00D250C6"/>
    <w:rsid w:val="00D2529B"/>
    <w:rsid w:val="00D25396"/>
    <w:rsid w:val="00D25405"/>
    <w:rsid w:val="00D256B7"/>
    <w:rsid w:val="00D25CF9"/>
    <w:rsid w:val="00D25ECB"/>
    <w:rsid w:val="00D263FF"/>
    <w:rsid w:val="00D264D8"/>
    <w:rsid w:val="00D26692"/>
    <w:rsid w:val="00D268E4"/>
    <w:rsid w:val="00D26929"/>
    <w:rsid w:val="00D26CA7"/>
    <w:rsid w:val="00D26E32"/>
    <w:rsid w:val="00D27966"/>
    <w:rsid w:val="00D27D57"/>
    <w:rsid w:val="00D302B1"/>
    <w:rsid w:val="00D303D7"/>
    <w:rsid w:val="00D305A9"/>
    <w:rsid w:val="00D3077A"/>
    <w:rsid w:val="00D30B3E"/>
    <w:rsid w:val="00D31010"/>
    <w:rsid w:val="00D31421"/>
    <w:rsid w:val="00D3152C"/>
    <w:rsid w:val="00D3170B"/>
    <w:rsid w:val="00D317FC"/>
    <w:rsid w:val="00D31EBD"/>
    <w:rsid w:val="00D32383"/>
    <w:rsid w:val="00D324CC"/>
    <w:rsid w:val="00D32C3C"/>
    <w:rsid w:val="00D32CF0"/>
    <w:rsid w:val="00D331CB"/>
    <w:rsid w:val="00D33357"/>
    <w:rsid w:val="00D333FE"/>
    <w:rsid w:val="00D334E5"/>
    <w:rsid w:val="00D33649"/>
    <w:rsid w:val="00D338A3"/>
    <w:rsid w:val="00D3391E"/>
    <w:rsid w:val="00D33CC5"/>
    <w:rsid w:val="00D33F7A"/>
    <w:rsid w:val="00D347E8"/>
    <w:rsid w:val="00D349E1"/>
    <w:rsid w:val="00D34AAA"/>
    <w:rsid w:val="00D34E06"/>
    <w:rsid w:val="00D350BD"/>
    <w:rsid w:val="00D35487"/>
    <w:rsid w:val="00D354C9"/>
    <w:rsid w:val="00D356F8"/>
    <w:rsid w:val="00D357D0"/>
    <w:rsid w:val="00D35C62"/>
    <w:rsid w:val="00D366B8"/>
    <w:rsid w:val="00D3670A"/>
    <w:rsid w:val="00D367F9"/>
    <w:rsid w:val="00D368FF"/>
    <w:rsid w:val="00D36996"/>
    <w:rsid w:val="00D36EEA"/>
    <w:rsid w:val="00D36FB7"/>
    <w:rsid w:val="00D36FE9"/>
    <w:rsid w:val="00D373A3"/>
    <w:rsid w:val="00D373A5"/>
    <w:rsid w:val="00D376C9"/>
    <w:rsid w:val="00D379B8"/>
    <w:rsid w:val="00D379D0"/>
    <w:rsid w:val="00D37C81"/>
    <w:rsid w:val="00D37E6C"/>
    <w:rsid w:val="00D37FEB"/>
    <w:rsid w:val="00D40BAB"/>
    <w:rsid w:val="00D41092"/>
    <w:rsid w:val="00D420CC"/>
    <w:rsid w:val="00D42AE7"/>
    <w:rsid w:val="00D43142"/>
    <w:rsid w:val="00D4338D"/>
    <w:rsid w:val="00D43B3E"/>
    <w:rsid w:val="00D43DF6"/>
    <w:rsid w:val="00D43F76"/>
    <w:rsid w:val="00D44A69"/>
    <w:rsid w:val="00D453FC"/>
    <w:rsid w:val="00D4570F"/>
    <w:rsid w:val="00D4596D"/>
    <w:rsid w:val="00D45B43"/>
    <w:rsid w:val="00D45C6C"/>
    <w:rsid w:val="00D45F14"/>
    <w:rsid w:val="00D46112"/>
    <w:rsid w:val="00D46280"/>
    <w:rsid w:val="00D463E8"/>
    <w:rsid w:val="00D4642E"/>
    <w:rsid w:val="00D464C1"/>
    <w:rsid w:val="00D46709"/>
    <w:rsid w:val="00D46CF2"/>
    <w:rsid w:val="00D47150"/>
    <w:rsid w:val="00D471B3"/>
    <w:rsid w:val="00D474AE"/>
    <w:rsid w:val="00D47E17"/>
    <w:rsid w:val="00D47FF0"/>
    <w:rsid w:val="00D5007C"/>
    <w:rsid w:val="00D5046B"/>
    <w:rsid w:val="00D504B6"/>
    <w:rsid w:val="00D504F4"/>
    <w:rsid w:val="00D5090F"/>
    <w:rsid w:val="00D50B52"/>
    <w:rsid w:val="00D50B67"/>
    <w:rsid w:val="00D50E19"/>
    <w:rsid w:val="00D51501"/>
    <w:rsid w:val="00D51531"/>
    <w:rsid w:val="00D51626"/>
    <w:rsid w:val="00D516A9"/>
    <w:rsid w:val="00D51A96"/>
    <w:rsid w:val="00D51DB8"/>
    <w:rsid w:val="00D51EC6"/>
    <w:rsid w:val="00D52000"/>
    <w:rsid w:val="00D52496"/>
    <w:rsid w:val="00D52775"/>
    <w:rsid w:val="00D52C6D"/>
    <w:rsid w:val="00D52CC0"/>
    <w:rsid w:val="00D52D86"/>
    <w:rsid w:val="00D52F50"/>
    <w:rsid w:val="00D53642"/>
    <w:rsid w:val="00D53C12"/>
    <w:rsid w:val="00D53DCA"/>
    <w:rsid w:val="00D53DE1"/>
    <w:rsid w:val="00D54105"/>
    <w:rsid w:val="00D54258"/>
    <w:rsid w:val="00D54656"/>
    <w:rsid w:val="00D54B5B"/>
    <w:rsid w:val="00D54C64"/>
    <w:rsid w:val="00D54ED4"/>
    <w:rsid w:val="00D5546C"/>
    <w:rsid w:val="00D55599"/>
    <w:rsid w:val="00D555A5"/>
    <w:rsid w:val="00D556BB"/>
    <w:rsid w:val="00D556C3"/>
    <w:rsid w:val="00D55724"/>
    <w:rsid w:val="00D557C3"/>
    <w:rsid w:val="00D558DE"/>
    <w:rsid w:val="00D559DB"/>
    <w:rsid w:val="00D5611C"/>
    <w:rsid w:val="00D56354"/>
    <w:rsid w:val="00D564CF"/>
    <w:rsid w:val="00D566DF"/>
    <w:rsid w:val="00D56AC0"/>
    <w:rsid w:val="00D5707F"/>
    <w:rsid w:val="00D57157"/>
    <w:rsid w:val="00D57273"/>
    <w:rsid w:val="00D57659"/>
    <w:rsid w:val="00D57A57"/>
    <w:rsid w:val="00D57A92"/>
    <w:rsid w:val="00D57B36"/>
    <w:rsid w:val="00D57BE4"/>
    <w:rsid w:val="00D57E51"/>
    <w:rsid w:val="00D57EE1"/>
    <w:rsid w:val="00D57FE9"/>
    <w:rsid w:val="00D600E1"/>
    <w:rsid w:val="00D60174"/>
    <w:rsid w:val="00D601F9"/>
    <w:rsid w:val="00D60221"/>
    <w:rsid w:val="00D6023E"/>
    <w:rsid w:val="00D6057A"/>
    <w:rsid w:val="00D6065F"/>
    <w:rsid w:val="00D60895"/>
    <w:rsid w:val="00D609CC"/>
    <w:rsid w:val="00D60B50"/>
    <w:rsid w:val="00D60D06"/>
    <w:rsid w:val="00D60D0F"/>
    <w:rsid w:val="00D614C9"/>
    <w:rsid w:val="00D615E7"/>
    <w:rsid w:val="00D61B57"/>
    <w:rsid w:val="00D61D4B"/>
    <w:rsid w:val="00D61E55"/>
    <w:rsid w:val="00D62758"/>
    <w:rsid w:val="00D627ED"/>
    <w:rsid w:val="00D62842"/>
    <w:rsid w:val="00D62953"/>
    <w:rsid w:val="00D62A72"/>
    <w:rsid w:val="00D62B7A"/>
    <w:rsid w:val="00D63071"/>
    <w:rsid w:val="00D63346"/>
    <w:rsid w:val="00D63BA1"/>
    <w:rsid w:val="00D64A9B"/>
    <w:rsid w:val="00D64CEE"/>
    <w:rsid w:val="00D64CF0"/>
    <w:rsid w:val="00D65188"/>
    <w:rsid w:val="00D65451"/>
    <w:rsid w:val="00D65684"/>
    <w:rsid w:val="00D656A3"/>
    <w:rsid w:val="00D65742"/>
    <w:rsid w:val="00D65E53"/>
    <w:rsid w:val="00D65E6C"/>
    <w:rsid w:val="00D6611A"/>
    <w:rsid w:val="00D6619A"/>
    <w:rsid w:val="00D6664D"/>
    <w:rsid w:val="00D66862"/>
    <w:rsid w:val="00D669EE"/>
    <w:rsid w:val="00D66EA7"/>
    <w:rsid w:val="00D670F1"/>
    <w:rsid w:val="00D674DB"/>
    <w:rsid w:val="00D67680"/>
    <w:rsid w:val="00D67D45"/>
    <w:rsid w:val="00D67DCB"/>
    <w:rsid w:val="00D7007D"/>
    <w:rsid w:val="00D70598"/>
    <w:rsid w:val="00D70BE7"/>
    <w:rsid w:val="00D70C8E"/>
    <w:rsid w:val="00D70EDD"/>
    <w:rsid w:val="00D71284"/>
    <w:rsid w:val="00D713E3"/>
    <w:rsid w:val="00D7145F"/>
    <w:rsid w:val="00D7146B"/>
    <w:rsid w:val="00D719E9"/>
    <w:rsid w:val="00D71A64"/>
    <w:rsid w:val="00D71C67"/>
    <w:rsid w:val="00D71F46"/>
    <w:rsid w:val="00D720CE"/>
    <w:rsid w:val="00D72E24"/>
    <w:rsid w:val="00D73037"/>
    <w:rsid w:val="00D73D2C"/>
    <w:rsid w:val="00D73F4D"/>
    <w:rsid w:val="00D73FBB"/>
    <w:rsid w:val="00D7417B"/>
    <w:rsid w:val="00D744DD"/>
    <w:rsid w:val="00D7495C"/>
    <w:rsid w:val="00D74C53"/>
    <w:rsid w:val="00D74D89"/>
    <w:rsid w:val="00D75077"/>
    <w:rsid w:val="00D7516D"/>
    <w:rsid w:val="00D751ED"/>
    <w:rsid w:val="00D75253"/>
    <w:rsid w:val="00D75350"/>
    <w:rsid w:val="00D753CF"/>
    <w:rsid w:val="00D75457"/>
    <w:rsid w:val="00D757AD"/>
    <w:rsid w:val="00D758AD"/>
    <w:rsid w:val="00D75B05"/>
    <w:rsid w:val="00D75E57"/>
    <w:rsid w:val="00D75F77"/>
    <w:rsid w:val="00D7604B"/>
    <w:rsid w:val="00D761D5"/>
    <w:rsid w:val="00D76995"/>
    <w:rsid w:val="00D770FF"/>
    <w:rsid w:val="00D775E4"/>
    <w:rsid w:val="00D77B04"/>
    <w:rsid w:val="00D77B3E"/>
    <w:rsid w:val="00D77C13"/>
    <w:rsid w:val="00D77CAD"/>
    <w:rsid w:val="00D800EB"/>
    <w:rsid w:val="00D8016B"/>
    <w:rsid w:val="00D801C0"/>
    <w:rsid w:val="00D806E7"/>
    <w:rsid w:val="00D80D09"/>
    <w:rsid w:val="00D810B9"/>
    <w:rsid w:val="00D81A1C"/>
    <w:rsid w:val="00D81BE8"/>
    <w:rsid w:val="00D81C33"/>
    <w:rsid w:val="00D82378"/>
    <w:rsid w:val="00D8256D"/>
    <w:rsid w:val="00D826A2"/>
    <w:rsid w:val="00D83023"/>
    <w:rsid w:val="00D831C0"/>
    <w:rsid w:val="00D838C1"/>
    <w:rsid w:val="00D838CE"/>
    <w:rsid w:val="00D8390D"/>
    <w:rsid w:val="00D83BBE"/>
    <w:rsid w:val="00D83E18"/>
    <w:rsid w:val="00D83EBA"/>
    <w:rsid w:val="00D84166"/>
    <w:rsid w:val="00D8478D"/>
    <w:rsid w:val="00D84853"/>
    <w:rsid w:val="00D84C48"/>
    <w:rsid w:val="00D850D7"/>
    <w:rsid w:val="00D85219"/>
    <w:rsid w:val="00D854CE"/>
    <w:rsid w:val="00D85522"/>
    <w:rsid w:val="00D85574"/>
    <w:rsid w:val="00D855E1"/>
    <w:rsid w:val="00D85910"/>
    <w:rsid w:val="00D85C8F"/>
    <w:rsid w:val="00D85DC0"/>
    <w:rsid w:val="00D85DF9"/>
    <w:rsid w:val="00D85EF0"/>
    <w:rsid w:val="00D85FCD"/>
    <w:rsid w:val="00D86798"/>
    <w:rsid w:val="00D87227"/>
    <w:rsid w:val="00D87ACF"/>
    <w:rsid w:val="00D90197"/>
    <w:rsid w:val="00D901C3"/>
    <w:rsid w:val="00D90425"/>
    <w:rsid w:val="00D905AC"/>
    <w:rsid w:val="00D906CE"/>
    <w:rsid w:val="00D90E2A"/>
    <w:rsid w:val="00D910BF"/>
    <w:rsid w:val="00D919A5"/>
    <w:rsid w:val="00D9284F"/>
    <w:rsid w:val="00D92CD3"/>
    <w:rsid w:val="00D92D32"/>
    <w:rsid w:val="00D92F4A"/>
    <w:rsid w:val="00D936F0"/>
    <w:rsid w:val="00D93966"/>
    <w:rsid w:val="00D939BE"/>
    <w:rsid w:val="00D93A56"/>
    <w:rsid w:val="00D93AD0"/>
    <w:rsid w:val="00D93FBC"/>
    <w:rsid w:val="00D94265"/>
    <w:rsid w:val="00D94482"/>
    <w:rsid w:val="00D946F2"/>
    <w:rsid w:val="00D94742"/>
    <w:rsid w:val="00D948FF"/>
    <w:rsid w:val="00D94A1B"/>
    <w:rsid w:val="00D94E4E"/>
    <w:rsid w:val="00D9520F"/>
    <w:rsid w:val="00D96187"/>
    <w:rsid w:val="00D96236"/>
    <w:rsid w:val="00D96348"/>
    <w:rsid w:val="00D9635C"/>
    <w:rsid w:val="00D963D8"/>
    <w:rsid w:val="00D9693D"/>
    <w:rsid w:val="00D96AB3"/>
    <w:rsid w:val="00D96BD9"/>
    <w:rsid w:val="00D96D13"/>
    <w:rsid w:val="00D96EB3"/>
    <w:rsid w:val="00D9705B"/>
    <w:rsid w:val="00D9753E"/>
    <w:rsid w:val="00D975AA"/>
    <w:rsid w:val="00DA0469"/>
    <w:rsid w:val="00DA062B"/>
    <w:rsid w:val="00DA0C77"/>
    <w:rsid w:val="00DA0CFD"/>
    <w:rsid w:val="00DA0D48"/>
    <w:rsid w:val="00DA0E65"/>
    <w:rsid w:val="00DA14B5"/>
    <w:rsid w:val="00DA17BE"/>
    <w:rsid w:val="00DA1846"/>
    <w:rsid w:val="00DA1D2D"/>
    <w:rsid w:val="00DA22E3"/>
    <w:rsid w:val="00DA2A03"/>
    <w:rsid w:val="00DA2C25"/>
    <w:rsid w:val="00DA2DC4"/>
    <w:rsid w:val="00DA2E10"/>
    <w:rsid w:val="00DA2E21"/>
    <w:rsid w:val="00DA321A"/>
    <w:rsid w:val="00DA32B8"/>
    <w:rsid w:val="00DA37EE"/>
    <w:rsid w:val="00DA4493"/>
    <w:rsid w:val="00DA4A95"/>
    <w:rsid w:val="00DA4B1B"/>
    <w:rsid w:val="00DA4B5E"/>
    <w:rsid w:val="00DA4CED"/>
    <w:rsid w:val="00DA51AA"/>
    <w:rsid w:val="00DA52A5"/>
    <w:rsid w:val="00DA53CD"/>
    <w:rsid w:val="00DA5464"/>
    <w:rsid w:val="00DA5694"/>
    <w:rsid w:val="00DA5749"/>
    <w:rsid w:val="00DA57C3"/>
    <w:rsid w:val="00DA58DB"/>
    <w:rsid w:val="00DA5BD0"/>
    <w:rsid w:val="00DA5D98"/>
    <w:rsid w:val="00DA60C2"/>
    <w:rsid w:val="00DA615B"/>
    <w:rsid w:val="00DA627E"/>
    <w:rsid w:val="00DA6872"/>
    <w:rsid w:val="00DA69C7"/>
    <w:rsid w:val="00DA6E11"/>
    <w:rsid w:val="00DA751D"/>
    <w:rsid w:val="00DA7521"/>
    <w:rsid w:val="00DA7AE1"/>
    <w:rsid w:val="00DB01C6"/>
    <w:rsid w:val="00DB037A"/>
    <w:rsid w:val="00DB0B8C"/>
    <w:rsid w:val="00DB0BDF"/>
    <w:rsid w:val="00DB0F02"/>
    <w:rsid w:val="00DB1572"/>
    <w:rsid w:val="00DB15D8"/>
    <w:rsid w:val="00DB18F6"/>
    <w:rsid w:val="00DB1C57"/>
    <w:rsid w:val="00DB1C5E"/>
    <w:rsid w:val="00DB1E03"/>
    <w:rsid w:val="00DB20D0"/>
    <w:rsid w:val="00DB21E2"/>
    <w:rsid w:val="00DB231D"/>
    <w:rsid w:val="00DB23B9"/>
    <w:rsid w:val="00DB2A3A"/>
    <w:rsid w:val="00DB2CCB"/>
    <w:rsid w:val="00DB2D60"/>
    <w:rsid w:val="00DB2EE3"/>
    <w:rsid w:val="00DB3280"/>
    <w:rsid w:val="00DB32E8"/>
    <w:rsid w:val="00DB3377"/>
    <w:rsid w:val="00DB3967"/>
    <w:rsid w:val="00DB3970"/>
    <w:rsid w:val="00DB3B29"/>
    <w:rsid w:val="00DB3BA3"/>
    <w:rsid w:val="00DB3DD3"/>
    <w:rsid w:val="00DB3EA1"/>
    <w:rsid w:val="00DB3EE6"/>
    <w:rsid w:val="00DB4262"/>
    <w:rsid w:val="00DB45F0"/>
    <w:rsid w:val="00DB49BB"/>
    <w:rsid w:val="00DB4C1E"/>
    <w:rsid w:val="00DB5004"/>
    <w:rsid w:val="00DB50AA"/>
    <w:rsid w:val="00DB534B"/>
    <w:rsid w:val="00DB5642"/>
    <w:rsid w:val="00DB574E"/>
    <w:rsid w:val="00DB5882"/>
    <w:rsid w:val="00DB5A1D"/>
    <w:rsid w:val="00DB5C61"/>
    <w:rsid w:val="00DB5F23"/>
    <w:rsid w:val="00DB66C7"/>
    <w:rsid w:val="00DB689C"/>
    <w:rsid w:val="00DB68D0"/>
    <w:rsid w:val="00DB6910"/>
    <w:rsid w:val="00DB6E10"/>
    <w:rsid w:val="00DB70AD"/>
    <w:rsid w:val="00DB71D5"/>
    <w:rsid w:val="00DB72F3"/>
    <w:rsid w:val="00DB7416"/>
    <w:rsid w:val="00DB7640"/>
    <w:rsid w:val="00DB773D"/>
    <w:rsid w:val="00DB7AFC"/>
    <w:rsid w:val="00DB7D0B"/>
    <w:rsid w:val="00DC002D"/>
    <w:rsid w:val="00DC02EE"/>
    <w:rsid w:val="00DC0467"/>
    <w:rsid w:val="00DC05E6"/>
    <w:rsid w:val="00DC07ED"/>
    <w:rsid w:val="00DC0B0E"/>
    <w:rsid w:val="00DC0D09"/>
    <w:rsid w:val="00DC0F46"/>
    <w:rsid w:val="00DC0FF1"/>
    <w:rsid w:val="00DC0FFE"/>
    <w:rsid w:val="00DC1229"/>
    <w:rsid w:val="00DC13EB"/>
    <w:rsid w:val="00DC1A1C"/>
    <w:rsid w:val="00DC241A"/>
    <w:rsid w:val="00DC2490"/>
    <w:rsid w:val="00DC2844"/>
    <w:rsid w:val="00DC3256"/>
    <w:rsid w:val="00DC3535"/>
    <w:rsid w:val="00DC364D"/>
    <w:rsid w:val="00DC38D0"/>
    <w:rsid w:val="00DC3925"/>
    <w:rsid w:val="00DC412B"/>
    <w:rsid w:val="00DC43BB"/>
    <w:rsid w:val="00DC4606"/>
    <w:rsid w:val="00DC487F"/>
    <w:rsid w:val="00DC4BD5"/>
    <w:rsid w:val="00DC4C15"/>
    <w:rsid w:val="00DC4C2C"/>
    <w:rsid w:val="00DC4E35"/>
    <w:rsid w:val="00DC538B"/>
    <w:rsid w:val="00DC5858"/>
    <w:rsid w:val="00DC594B"/>
    <w:rsid w:val="00DC601A"/>
    <w:rsid w:val="00DC60F2"/>
    <w:rsid w:val="00DC6332"/>
    <w:rsid w:val="00DC6569"/>
    <w:rsid w:val="00DC6A24"/>
    <w:rsid w:val="00DC6A4C"/>
    <w:rsid w:val="00DC745A"/>
    <w:rsid w:val="00DC74FC"/>
    <w:rsid w:val="00DC7550"/>
    <w:rsid w:val="00DC75A0"/>
    <w:rsid w:val="00DC774E"/>
    <w:rsid w:val="00DC799B"/>
    <w:rsid w:val="00DD0007"/>
    <w:rsid w:val="00DD0062"/>
    <w:rsid w:val="00DD01B3"/>
    <w:rsid w:val="00DD0389"/>
    <w:rsid w:val="00DD0450"/>
    <w:rsid w:val="00DD0A8C"/>
    <w:rsid w:val="00DD0B2E"/>
    <w:rsid w:val="00DD0E3B"/>
    <w:rsid w:val="00DD16FA"/>
    <w:rsid w:val="00DD1E1D"/>
    <w:rsid w:val="00DD200C"/>
    <w:rsid w:val="00DD2295"/>
    <w:rsid w:val="00DD2533"/>
    <w:rsid w:val="00DD2819"/>
    <w:rsid w:val="00DD2837"/>
    <w:rsid w:val="00DD2A61"/>
    <w:rsid w:val="00DD2A9D"/>
    <w:rsid w:val="00DD3047"/>
    <w:rsid w:val="00DD31B5"/>
    <w:rsid w:val="00DD368D"/>
    <w:rsid w:val="00DD3A3D"/>
    <w:rsid w:val="00DD4047"/>
    <w:rsid w:val="00DD4062"/>
    <w:rsid w:val="00DD44AC"/>
    <w:rsid w:val="00DD4EC3"/>
    <w:rsid w:val="00DD50BD"/>
    <w:rsid w:val="00DD5212"/>
    <w:rsid w:val="00DD5249"/>
    <w:rsid w:val="00DD539D"/>
    <w:rsid w:val="00DD546E"/>
    <w:rsid w:val="00DD59E7"/>
    <w:rsid w:val="00DD5AB9"/>
    <w:rsid w:val="00DD5BA3"/>
    <w:rsid w:val="00DD5DEA"/>
    <w:rsid w:val="00DD61C6"/>
    <w:rsid w:val="00DD658C"/>
    <w:rsid w:val="00DD6AAE"/>
    <w:rsid w:val="00DD6B43"/>
    <w:rsid w:val="00DD6F9F"/>
    <w:rsid w:val="00DD7250"/>
    <w:rsid w:val="00DD726F"/>
    <w:rsid w:val="00DD7A7D"/>
    <w:rsid w:val="00DD7B6C"/>
    <w:rsid w:val="00DD7BE0"/>
    <w:rsid w:val="00DD7C1D"/>
    <w:rsid w:val="00DE016A"/>
    <w:rsid w:val="00DE08E4"/>
    <w:rsid w:val="00DE0967"/>
    <w:rsid w:val="00DE0C39"/>
    <w:rsid w:val="00DE0EB9"/>
    <w:rsid w:val="00DE0F60"/>
    <w:rsid w:val="00DE100D"/>
    <w:rsid w:val="00DE158A"/>
    <w:rsid w:val="00DE1638"/>
    <w:rsid w:val="00DE18DC"/>
    <w:rsid w:val="00DE1BAD"/>
    <w:rsid w:val="00DE1CD7"/>
    <w:rsid w:val="00DE2122"/>
    <w:rsid w:val="00DE22A6"/>
    <w:rsid w:val="00DE236F"/>
    <w:rsid w:val="00DE2378"/>
    <w:rsid w:val="00DE24C3"/>
    <w:rsid w:val="00DE26F4"/>
    <w:rsid w:val="00DE27F6"/>
    <w:rsid w:val="00DE2D60"/>
    <w:rsid w:val="00DE2ECE"/>
    <w:rsid w:val="00DE301D"/>
    <w:rsid w:val="00DE30C0"/>
    <w:rsid w:val="00DE3240"/>
    <w:rsid w:val="00DE3359"/>
    <w:rsid w:val="00DE37B8"/>
    <w:rsid w:val="00DE3B21"/>
    <w:rsid w:val="00DE442E"/>
    <w:rsid w:val="00DE44B8"/>
    <w:rsid w:val="00DE4723"/>
    <w:rsid w:val="00DE4BC0"/>
    <w:rsid w:val="00DE4D1C"/>
    <w:rsid w:val="00DE4DA4"/>
    <w:rsid w:val="00DE5A2E"/>
    <w:rsid w:val="00DE5B23"/>
    <w:rsid w:val="00DE63B8"/>
    <w:rsid w:val="00DE63E9"/>
    <w:rsid w:val="00DE66A3"/>
    <w:rsid w:val="00DE679D"/>
    <w:rsid w:val="00DE6C99"/>
    <w:rsid w:val="00DE7166"/>
    <w:rsid w:val="00DE7516"/>
    <w:rsid w:val="00DE7612"/>
    <w:rsid w:val="00DE7CD7"/>
    <w:rsid w:val="00DF0025"/>
    <w:rsid w:val="00DF0305"/>
    <w:rsid w:val="00DF0CB5"/>
    <w:rsid w:val="00DF0DC3"/>
    <w:rsid w:val="00DF0F25"/>
    <w:rsid w:val="00DF0F44"/>
    <w:rsid w:val="00DF1182"/>
    <w:rsid w:val="00DF16BA"/>
    <w:rsid w:val="00DF18DD"/>
    <w:rsid w:val="00DF1AD5"/>
    <w:rsid w:val="00DF2160"/>
    <w:rsid w:val="00DF2560"/>
    <w:rsid w:val="00DF2693"/>
    <w:rsid w:val="00DF2A95"/>
    <w:rsid w:val="00DF2B9F"/>
    <w:rsid w:val="00DF3453"/>
    <w:rsid w:val="00DF389F"/>
    <w:rsid w:val="00DF3AEC"/>
    <w:rsid w:val="00DF41AD"/>
    <w:rsid w:val="00DF41D9"/>
    <w:rsid w:val="00DF42EB"/>
    <w:rsid w:val="00DF4507"/>
    <w:rsid w:val="00DF468E"/>
    <w:rsid w:val="00DF47D2"/>
    <w:rsid w:val="00DF4849"/>
    <w:rsid w:val="00DF4901"/>
    <w:rsid w:val="00DF4D2F"/>
    <w:rsid w:val="00DF4D54"/>
    <w:rsid w:val="00DF5043"/>
    <w:rsid w:val="00DF5055"/>
    <w:rsid w:val="00DF510A"/>
    <w:rsid w:val="00DF5272"/>
    <w:rsid w:val="00DF5334"/>
    <w:rsid w:val="00DF53B8"/>
    <w:rsid w:val="00DF5920"/>
    <w:rsid w:val="00DF5AC0"/>
    <w:rsid w:val="00DF5D55"/>
    <w:rsid w:val="00DF6095"/>
    <w:rsid w:val="00DF6155"/>
    <w:rsid w:val="00DF638C"/>
    <w:rsid w:val="00DF667C"/>
    <w:rsid w:val="00DF6EAE"/>
    <w:rsid w:val="00DF6F01"/>
    <w:rsid w:val="00DF715B"/>
    <w:rsid w:val="00DF75D8"/>
    <w:rsid w:val="00DF75F7"/>
    <w:rsid w:val="00DF761E"/>
    <w:rsid w:val="00DF7628"/>
    <w:rsid w:val="00DF78BB"/>
    <w:rsid w:val="00DF79C0"/>
    <w:rsid w:val="00DF7C28"/>
    <w:rsid w:val="00DF7D0D"/>
    <w:rsid w:val="00E000FE"/>
    <w:rsid w:val="00E00202"/>
    <w:rsid w:val="00E00511"/>
    <w:rsid w:val="00E0076E"/>
    <w:rsid w:val="00E00937"/>
    <w:rsid w:val="00E00A74"/>
    <w:rsid w:val="00E00DA9"/>
    <w:rsid w:val="00E00FD4"/>
    <w:rsid w:val="00E01097"/>
    <w:rsid w:val="00E0113F"/>
    <w:rsid w:val="00E011B5"/>
    <w:rsid w:val="00E01207"/>
    <w:rsid w:val="00E018C3"/>
    <w:rsid w:val="00E0191E"/>
    <w:rsid w:val="00E01D17"/>
    <w:rsid w:val="00E01E30"/>
    <w:rsid w:val="00E02744"/>
    <w:rsid w:val="00E02A50"/>
    <w:rsid w:val="00E02B99"/>
    <w:rsid w:val="00E030B1"/>
    <w:rsid w:val="00E0325A"/>
    <w:rsid w:val="00E03297"/>
    <w:rsid w:val="00E0329A"/>
    <w:rsid w:val="00E03428"/>
    <w:rsid w:val="00E03501"/>
    <w:rsid w:val="00E03748"/>
    <w:rsid w:val="00E038ED"/>
    <w:rsid w:val="00E03D69"/>
    <w:rsid w:val="00E04439"/>
    <w:rsid w:val="00E045BE"/>
    <w:rsid w:val="00E04649"/>
    <w:rsid w:val="00E04696"/>
    <w:rsid w:val="00E04A2B"/>
    <w:rsid w:val="00E04A9C"/>
    <w:rsid w:val="00E04F86"/>
    <w:rsid w:val="00E053F6"/>
    <w:rsid w:val="00E057C1"/>
    <w:rsid w:val="00E05F0B"/>
    <w:rsid w:val="00E0643C"/>
    <w:rsid w:val="00E06502"/>
    <w:rsid w:val="00E0651C"/>
    <w:rsid w:val="00E065A8"/>
    <w:rsid w:val="00E06741"/>
    <w:rsid w:val="00E069BA"/>
    <w:rsid w:val="00E06A69"/>
    <w:rsid w:val="00E06DFB"/>
    <w:rsid w:val="00E06E55"/>
    <w:rsid w:val="00E06ECA"/>
    <w:rsid w:val="00E06F9A"/>
    <w:rsid w:val="00E06FB1"/>
    <w:rsid w:val="00E07124"/>
    <w:rsid w:val="00E0738F"/>
    <w:rsid w:val="00E07A55"/>
    <w:rsid w:val="00E07E72"/>
    <w:rsid w:val="00E07EBE"/>
    <w:rsid w:val="00E07F4F"/>
    <w:rsid w:val="00E10307"/>
    <w:rsid w:val="00E10855"/>
    <w:rsid w:val="00E10EC7"/>
    <w:rsid w:val="00E11302"/>
    <w:rsid w:val="00E114FF"/>
    <w:rsid w:val="00E11669"/>
    <w:rsid w:val="00E11837"/>
    <w:rsid w:val="00E11861"/>
    <w:rsid w:val="00E11A29"/>
    <w:rsid w:val="00E11C42"/>
    <w:rsid w:val="00E11D39"/>
    <w:rsid w:val="00E11E0B"/>
    <w:rsid w:val="00E12359"/>
    <w:rsid w:val="00E1267F"/>
    <w:rsid w:val="00E12888"/>
    <w:rsid w:val="00E12939"/>
    <w:rsid w:val="00E1293D"/>
    <w:rsid w:val="00E12A6E"/>
    <w:rsid w:val="00E12F42"/>
    <w:rsid w:val="00E131C9"/>
    <w:rsid w:val="00E133BB"/>
    <w:rsid w:val="00E13483"/>
    <w:rsid w:val="00E13661"/>
    <w:rsid w:val="00E137AB"/>
    <w:rsid w:val="00E137FE"/>
    <w:rsid w:val="00E13BD3"/>
    <w:rsid w:val="00E13E6E"/>
    <w:rsid w:val="00E142B5"/>
    <w:rsid w:val="00E142D6"/>
    <w:rsid w:val="00E14699"/>
    <w:rsid w:val="00E14ABE"/>
    <w:rsid w:val="00E14B2E"/>
    <w:rsid w:val="00E14C32"/>
    <w:rsid w:val="00E14C41"/>
    <w:rsid w:val="00E157FA"/>
    <w:rsid w:val="00E159A8"/>
    <w:rsid w:val="00E159BB"/>
    <w:rsid w:val="00E15AF0"/>
    <w:rsid w:val="00E161FE"/>
    <w:rsid w:val="00E163D9"/>
    <w:rsid w:val="00E16A7B"/>
    <w:rsid w:val="00E16ECC"/>
    <w:rsid w:val="00E16F8A"/>
    <w:rsid w:val="00E172D7"/>
    <w:rsid w:val="00E175F6"/>
    <w:rsid w:val="00E17DF1"/>
    <w:rsid w:val="00E20040"/>
    <w:rsid w:val="00E20588"/>
    <w:rsid w:val="00E20A08"/>
    <w:rsid w:val="00E20BC6"/>
    <w:rsid w:val="00E20D65"/>
    <w:rsid w:val="00E2124B"/>
    <w:rsid w:val="00E21674"/>
    <w:rsid w:val="00E217C5"/>
    <w:rsid w:val="00E21E25"/>
    <w:rsid w:val="00E21EA1"/>
    <w:rsid w:val="00E2207A"/>
    <w:rsid w:val="00E2211D"/>
    <w:rsid w:val="00E22785"/>
    <w:rsid w:val="00E22A6E"/>
    <w:rsid w:val="00E22A85"/>
    <w:rsid w:val="00E22CF4"/>
    <w:rsid w:val="00E23088"/>
    <w:rsid w:val="00E23139"/>
    <w:rsid w:val="00E2349B"/>
    <w:rsid w:val="00E2361D"/>
    <w:rsid w:val="00E2387B"/>
    <w:rsid w:val="00E23A4F"/>
    <w:rsid w:val="00E23ACA"/>
    <w:rsid w:val="00E2407C"/>
    <w:rsid w:val="00E245AD"/>
    <w:rsid w:val="00E24B3A"/>
    <w:rsid w:val="00E24C04"/>
    <w:rsid w:val="00E24D21"/>
    <w:rsid w:val="00E24E3A"/>
    <w:rsid w:val="00E24EBD"/>
    <w:rsid w:val="00E25114"/>
    <w:rsid w:val="00E25310"/>
    <w:rsid w:val="00E25376"/>
    <w:rsid w:val="00E258EE"/>
    <w:rsid w:val="00E25A98"/>
    <w:rsid w:val="00E25F1E"/>
    <w:rsid w:val="00E260E2"/>
    <w:rsid w:val="00E26279"/>
    <w:rsid w:val="00E26888"/>
    <w:rsid w:val="00E2695B"/>
    <w:rsid w:val="00E269E8"/>
    <w:rsid w:val="00E26B00"/>
    <w:rsid w:val="00E26DB0"/>
    <w:rsid w:val="00E26EE0"/>
    <w:rsid w:val="00E26FEA"/>
    <w:rsid w:val="00E278AB"/>
    <w:rsid w:val="00E27995"/>
    <w:rsid w:val="00E279C7"/>
    <w:rsid w:val="00E27E67"/>
    <w:rsid w:val="00E308A7"/>
    <w:rsid w:val="00E30C04"/>
    <w:rsid w:val="00E30DBA"/>
    <w:rsid w:val="00E30DD9"/>
    <w:rsid w:val="00E30DF3"/>
    <w:rsid w:val="00E30F79"/>
    <w:rsid w:val="00E31922"/>
    <w:rsid w:val="00E321B4"/>
    <w:rsid w:val="00E32383"/>
    <w:rsid w:val="00E326E7"/>
    <w:rsid w:val="00E329F9"/>
    <w:rsid w:val="00E32A38"/>
    <w:rsid w:val="00E32B64"/>
    <w:rsid w:val="00E32C33"/>
    <w:rsid w:val="00E32D27"/>
    <w:rsid w:val="00E33045"/>
    <w:rsid w:val="00E333C7"/>
    <w:rsid w:val="00E33E2F"/>
    <w:rsid w:val="00E33E7E"/>
    <w:rsid w:val="00E33E89"/>
    <w:rsid w:val="00E3405E"/>
    <w:rsid w:val="00E3407D"/>
    <w:rsid w:val="00E340BE"/>
    <w:rsid w:val="00E343CB"/>
    <w:rsid w:val="00E3485C"/>
    <w:rsid w:val="00E34CF0"/>
    <w:rsid w:val="00E3527B"/>
    <w:rsid w:val="00E357FB"/>
    <w:rsid w:val="00E3588C"/>
    <w:rsid w:val="00E35ABA"/>
    <w:rsid w:val="00E365D7"/>
    <w:rsid w:val="00E36648"/>
    <w:rsid w:val="00E36D70"/>
    <w:rsid w:val="00E36EFD"/>
    <w:rsid w:val="00E36F4E"/>
    <w:rsid w:val="00E37148"/>
    <w:rsid w:val="00E375DD"/>
    <w:rsid w:val="00E378BD"/>
    <w:rsid w:val="00E40348"/>
    <w:rsid w:val="00E4096F"/>
    <w:rsid w:val="00E40ADF"/>
    <w:rsid w:val="00E40CDE"/>
    <w:rsid w:val="00E40D84"/>
    <w:rsid w:val="00E40F71"/>
    <w:rsid w:val="00E4107B"/>
    <w:rsid w:val="00E4115A"/>
    <w:rsid w:val="00E41269"/>
    <w:rsid w:val="00E41D39"/>
    <w:rsid w:val="00E41D3E"/>
    <w:rsid w:val="00E42184"/>
    <w:rsid w:val="00E4221E"/>
    <w:rsid w:val="00E4228E"/>
    <w:rsid w:val="00E42374"/>
    <w:rsid w:val="00E425B7"/>
    <w:rsid w:val="00E4266D"/>
    <w:rsid w:val="00E4279B"/>
    <w:rsid w:val="00E4309C"/>
    <w:rsid w:val="00E4314E"/>
    <w:rsid w:val="00E43203"/>
    <w:rsid w:val="00E434DA"/>
    <w:rsid w:val="00E435CB"/>
    <w:rsid w:val="00E43861"/>
    <w:rsid w:val="00E43DA6"/>
    <w:rsid w:val="00E43F59"/>
    <w:rsid w:val="00E440BA"/>
    <w:rsid w:val="00E4426B"/>
    <w:rsid w:val="00E44346"/>
    <w:rsid w:val="00E44557"/>
    <w:rsid w:val="00E44632"/>
    <w:rsid w:val="00E44852"/>
    <w:rsid w:val="00E4487C"/>
    <w:rsid w:val="00E448F8"/>
    <w:rsid w:val="00E452D3"/>
    <w:rsid w:val="00E4587F"/>
    <w:rsid w:val="00E45ADB"/>
    <w:rsid w:val="00E45B6E"/>
    <w:rsid w:val="00E45B7E"/>
    <w:rsid w:val="00E45BB4"/>
    <w:rsid w:val="00E46177"/>
    <w:rsid w:val="00E463BB"/>
    <w:rsid w:val="00E46829"/>
    <w:rsid w:val="00E46AB8"/>
    <w:rsid w:val="00E46B0C"/>
    <w:rsid w:val="00E46D47"/>
    <w:rsid w:val="00E46E1E"/>
    <w:rsid w:val="00E46ED3"/>
    <w:rsid w:val="00E47419"/>
    <w:rsid w:val="00E475A2"/>
    <w:rsid w:val="00E47B22"/>
    <w:rsid w:val="00E47F5A"/>
    <w:rsid w:val="00E5033D"/>
    <w:rsid w:val="00E50400"/>
    <w:rsid w:val="00E50596"/>
    <w:rsid w:val="00E506B9"/>
    <w:rsid w:val="00E507BE"/>
    <w:rsid w:val="00E50976"/>
    <w:rsid w:val="00E50BBF"/>
    <w:rsid w:val="00E50EDE"/>
    <w:rsid w:val="00E515E4"/>
    <w:rsid w:val="00E51812"/>
    <w:rsid w:val="00E519ED"/>
    <w:rsid w:val="00E51A9D"/>
    <w:rsid w:val="00E51AC9"/>
    <w:rsid w:val="00E52BE1"/>
    <w:rsid w:val="00E5348E"/>
    <w:rsid w:val="00E53586"/>
    <w:rsid w:val="00E5397C"/>
    <w:rsid w:val="00E53AB9"/>
    <w:rsid w:val="00E53E88"/>
    <w:rsid w:val="00E53E92"/>
    <w:rsid w:val="00E53FF3"/>
    <w:rsid w:val="00E54C63"/>
    <w:rsid w:val="00E54D13"/>
    <w:rsid w:val="00E55372"/>
    <w:rsid w:val="00E5537F"/>
    <w:rsid w:val="00E55696"/>
    <w:rsid w:val="00E558F4"/>
    <w:rsid w:val="00E55B6F"/>
    <w:rsid w:val="00E55BFF"/>
    <w:rsid w:val="00E569B7"/>
    <w:rsid w:val="00E56C18"/>
    <w:rsid w:val="00E56DF9"/>
    <w:rsid w:val="00E56F4D"/>
    <w:rsid w:val="00E573BE"/>
    <w:rsid w:val="00E5763D"/>
    <w:rsid w:val="00E602ED"/>
    <w:rsid w:val="00E60433"/>
    <w:rsid w:val="00E609C5"/>
    <w:rsid w:val="00E60AE3"/>
    <w:rsid w:val="00E60CE2"/>
    <w:rsid w:val="00E60D31"/>
    <w:rsid w:val="00E60DD4"/>
    <w:rsid w:val="00E60F04"/>
    <w:rsid w:val="00E611B3"/>
    <w:rsid w:val="00E61337"/>
    <w:rsid w:val="00E6146C"/>
    <w:rsid w:val="00E617A0"/>
    <w:rsid w:val="00E619BC"/>
    <w:rsid w:val="00E61B70"/>
    <w:rsid w:val="00E61C23"/>
    <w:rsid w:val="00E61E05"/>
    <w:rsid w:val="00E61FE6"/>
    <w:rsid w:val="00E62A68"/>
    <w:rsid w:val="00E62C72"/>
    <w:rsid w:val="00E62E15"/>
    <w:rsid w:val="00E62EFF"/>
    <w:rsid w:val="00E6305E"/>
    <w:rsid w:val="00E636B5"/>
    <w:rsid w:val="00E6378A"/>
    <w:rsid w:val="00E6401F"/>
    <w:rsid w:val="00E641F6"/>
    <w:rsid w:val="00E644C9"/>
    <w:rsid w:val="00E647BB"/>
    <w:rsid w:val="00E64992"/>
    <w:rsid w:val="00E650CD"/>
    <w:rsid w:val="00E65183"/>
    <w:rsid w:val="00E653D7"/>
    <w:rsid w:val="00E65E1E"/>
    <w:rsid w:val="00E65E7D"/>
    <w:rsid w:val="00E65E91"/>
    <w:rsid w:val="00E65FF7"/>
    <w:rsid w:val="00E665AC"/>
    <w:rsid w:val="00E6686F"/>
    <w:rsid w:val="00E66D01"/>
    <w:rsid w:val="00E66F1A"/>
    <w:rsid w:val="00E66F81"/>
    <w:rsid w:val="00E66F88"/>
    <w:rsid w:val="00E66FE4"/>
    <w:rsid w:val="00E672A5"/>
    <w:rsid w:val="00E67330"/>
    <w:rsid w:val="00E673BA"/>
    <w:rsid w:val="00E67809"/>
    <w:rsid w:val="00E67873"/>
    <w:rsid w:val="00E6796B"/>
    <w:rsid w:val="00E679B3"/>
    <w:rsid w:val="00E67A64"/>
    <w:rsid w:val="00E67DC1"/>
    <w:rsid w:val="00E701AA"/>
    <w:rsid w:val="00E704B0"/>
    <w:rsid w:val="00E705FF"/>
    <w:rsid w:val="00E70CEC"/>
    <w:rsid w:val="00E71106"/>
    <w:rsid w:val="00E7123E"/>
    <w:rsid w:val="00E7130D"/>
    <w:rsid w:val="00E7148F"/>
    <w:rsid w:val="00E7161D"/>
    <w:rsid w:val="00E71989"/>
    <w:rsid w:val="00E71AD4"/>
    <w:rsid w:val="00E71AFF"/>
    <w:rsid w:val="00E71E2B"/>
    <w:rsid w:val="00E71EF1"/>
    <w:rsid w:val="00E72091"/>
    <w:rsid w:val="00E7217F"/>
    <w:rsid w:val="00E722BE"/>
    <w:rsid w:val="00E7234C"/>
    <w:rsid w:val="00E72983"/>
    <w:rsid w:val="00E72A09"/>
    <w:rsid w:val="00E72B8F"/>
    <w:rsid w:val="00E72B9F"/>
    <w:rsid w:val="00E73031"/>
    <w:rsid w:val="00E732A3"/>
    <w:rsid w:val="00E732D9"/>
    <w:rsid w:val="00E7340A"/>
    <w:rsid w:val="00E73731"/>
    <w:rsid w:val="00E73A0B"/>
    <w:rsid w:val="00E73A6C"/>
    <w:rsid w:val="00E73B6F"/>
    <w:rsid w:val="00E73BA0"/>
    <w:rsid w:val="00E73C01"/>
    <w:rsid w:val="00E73DAC"/>
    <w:rsid w:val="00E74370"/>
    <w:rsid w:val="00E744CA"/>
    <w:rsid w:val="00E74507"/>
    <w:rsid w:val="00E74ECF"/>
    <w:rsid w:val="00E75116"/>
    <w:rsid w:val="00E75585"/>
    <w:rsid w:val="00E75686"/>
    <w:rsid w:val="00E75C50"/>
    <w:rsid w:val="00E7616E"/>
    <w:rsid w:val="00E763E7"/>
    <w:rsid w:val="00E76AA5"/>
    <w:rsid w:val="00E76AFC"/>
    <w:rsid w:val="00E76B99"/>
    <w:rsid w:val="00E7713E"/>
    <w:rsid w:val="00E77209"/>
    <w:rsid w:val="00E775F4"/>
    <w:rsid w:val="00E776C5"/>
    <w:rsid w:val="00E777D9"/>
    <w:rsid w:val="00E77989"/>
    <w:rsid w:val="00E77BB1"/>
    <w:rsid w:val="00E77ED1"/>
    <w:rsid w:val="00E77EE9"/>
    <w:rsid w:val="00E8010D"/>
    <w:rsid w:val="00E80185"/>
    <w:rsid w:val="00E80227"/>
    <w:rsid w:val="00E80A84"/>
    <w:rsid w:val="00E80CEC"/>
    <w:rsid w:val="00E80FCA"/>
    <w:rsid w:val="00E81014"/>
    <w:rsid w:val="00E812B9"/>
    <w:rsid w:val="00E81386"/>
    <w:rsid w:val="00E8149B"/>
    <w:rsid w:val="00E81531"/>
    <w:rsid w:val="00E81E18"/>
    <w:rsid w:val="00E82235"/>
    <w:rsid w:val="00E823BD"/>
    <w:rsid w:val="00E825FD"/>
    <w:rsid w:val="00E8266A"/>
    <w:rsid w:val="00E829D3"/>
    <w:rsid w:val="00E82AED"/>
    <w:rsid w:val="00E82B54"/>
    <w:rsid w:val="00E82BA3"/>
    <w:rsid w:val="00E82C22"/>
    <w:rsid w:val="00E82C25"/>
    <w:rsid w:val="00E82CCD"/>
    <w:rsid w:val="00E8312D"/>
    <w:rsid w:val="00E8327F"/>
    <w:rsid w:val="00E832AD"/>
    <w:rsid w:val="00E834E8"/>
    <w:rsid w:val="00E83535"/>
    <w:rsid w:val="00E8356A"/>
    <w:rsid w:val="00E8390F"/>
    <w:rsid w:val="00E83997"/>
    <w:rsid w:val="00E83AB8"/>
    <w:rsid w:val="00E83CD7"/>
    <w:rsid w:val="00E84120"/>
    <w:rsid w:val="00E84210"/>
    <w:rsid w:val="00E847E2"/>
    <w:rsid w:val="00E849F6"/>
    <w:rsid w:val="00E84CFF"/>
    <w:rsid w:val="00E85222"/>
    <w:rsid w:val="00E85556"/>
    <w:rsid w:val="00E85577"/>
    <w:rsid w:val="00E85715"/>
    <w:rsid w:val="00E8589C"/>
    <w:rsid w:val="00E85E41"/>
    <w:rsid w:val="00E85EB1"/>
    <w:rsid w:val="00E85EB4"/>
    <w:rsid w:val="00E86114"/>
    <w:rsid w:val="00E86187"/>
    <w:rsid w:val="00E864B5"/>
    <w:rsid w:val="00E867B8"/>
    <w:rsid w:val="00E86946"/>
    <w:rsid w:val="00E86981"/>
    <w:rsid w:val="00E86991"/>
    <w:rsid w:val="00E86DBB"/>
    <w:rsid w:val="00E872CF"/>
    <w:rsid w:val="00E874EA"/>
    <w:rsid w:val="00E877C2"/>
    <w:rsid w:val="00E877DF"/>
    <w:rsid w:val="00E87848"/>
    <w:rsid w:val="00E87CB5"/>
    <w:rsid w:val="00E87D1E"/>
    <w:rsid w:val="00E87D85"/>
    <w:rsid w:val="00E90346"/>
    <w:rsid w:val="00E903FD"/>
    <w:rsid w:val="00E9045B"/>
    <w:rsid w:val="00E90689"/>
    <w:rsid w:val="00E9077E"/>
    <w:rsid w:val="00E9103F"/>
    <w:rsid w:val="00E9120B"/>
    <w:rsid w:val="00E91315"/>
    <w:rsid w:val="00E91708"/>
    <w:rsid w:val="00E9198B"/>
    <w:rsid w:val="00E91A53"/>
    <w:rsid w:val="00E91B94"/>
    <w:rsid w:val="00E9218C"/>
    <w:rsid w:val="00E9224C"/>
    <w:rsid w:val="00E924AF"/>
    <w:rsid w:val="00E9271A"/>
    <w:rsid w:val="00E9289B"/>
    <w:rsid w:val="00E92B1B"/>
    <w:rsid w:val="00E92CC4"/>
    <w:rsid w:val="00E92DEB"/>
    <w:rsid w:val="00E92E2D"/>
    <w:rsid w:val="00E936D5"/>
    <w:rsid w:val="00E93835"/>
    <w:rsid w:val="00E93D96"/>
    <w:rsid w:val="00E94130"/>
    <w:rsid w:val="00E9415B"/>
    <w:rsid w:val="00E943A4"/>
    <w:rsid w:val="00E94DD1"/>
    <w:rsid w:val="00E94E8D"/>
    <w:rsid w:val="00E94F72"/>
    <w:rsid w:val="00E9555C"/>
    <w:rsid w:val="00E957DC"/>
    <w:rsid w:val="00E959CC"/>
    <w:rsid w:val="00E95E68"/>
    <w:rsid w:val="00E96300"/>
    <w:rsid w:val="00E96617"/>
    <w:rsid w:val="00E9690D"/>
    <w:rsid w:val="00E96C97"/>
    <w:rsid w:val="00E96D1A"/>
    <w:rsid w:val="00E96F09"/>
    <w:rsid w:val="00E970EB"/>
    <w:rsid w:val="00E972CE"/>
    <w:rsid w:val="00E97308"/>
    <w:rsid w:val="00E97340"/>
    <w:rsid w:val="00E973F6"/>
    <w:rsid w:val="00E97935"/>
    <w:rsid w:val="00E97C29"/>
    <w:rsid w:val="00E97F5A"/>
    <w:rsid w:val="00EA0260"/>
    <w:rsid w:val="00EA05F5"/>
    <w:rsid w:val="00EA08FA"/>
    <w:rsid w:val="00EA0BAA"/>
    <w:rsid w:val="00EA136C"/>
    <w:rsid w:val="00EA15A4"/>
    <w:rsid w:val="00EA16B4"/>
    <w:rsid w:val="00EA173D"/>
    <w:rsid w:val="00EA1774"/>
    <w:rsid w:val="00EA1943"/>
    <w:rsid w:val="00EA19AE"/>
    <w:rsid w:val="00EA1B66"/>
    <w:rsid w:val="00EA1CC2"/>
    <w:rsid w:val="00EA2019"/>
    <w:rsid w:val="00EA2128"/>
    <w:rsid w:val="00EA2368"/>
    <w:rsid w:val="00EA23C0"/>
    <w:rsid w:val="00EA2686"/>
    <w:rsid w:val="00EA28A1"/>
    <w:rsid w:val="00EA2AD3"/>
    <w:rsid w:val="00EA2C47"/>
    <w:rsid w:val="00EA2E61"/>
    <w:rsid w:val="00EA30D9"/>
    <w:rsid w:val="00EA3224"/>
    <w:rsid w:val="00EA376C"/>
    <w:rsid w:val="00EA3918"/>
    <w:rsid w:val="00EA3B05"/>
    <w:rsid w:val="00EA3E33"/>
    <w:rsid w:val="00EA413C"/>
    <w:rsid w:val="00EA4389"/>
    <w:rsid w:val="00EA4534"/>
    <w:rsid w:val="00EA45F7"/>
    <w:rsid w:val="00EA46C5"/>
    <w:rsid w:val="00EA46CC"/>
    <w:rsid w:val="00EA4C57"/>
    <w:rsid w:val="00EA4E91"/>
    <w:rsid w:val="00EA51D8"/>
    <w:rsid w:val="00EA51DA"/>
    <w:rsid w:val="00EA52E3"/>
    <w:rsid w:val="00EA54D2"/>
    <w:rsid w:val="00EA5520"/>
    <w:rsid w:val="00EA55DC"/>
    <w:rsid w:val="00EA5941"/>
    <w:rsid w:val="00EA5AA7"/>
    <w:rsid w:val="00EA6BD4"/>
    <w:rsid w:val="00EA70B6"/>
    <w:rsid w:val="00EA71CF"/>
    <w:rsid w:val="00EA749C"/>
    <w:rsid w:val="00EA74ED"/>
    <w:rsid w:val="00EA74F6"/>
    <w:rsid w:val="00EA7572"/>
    <w:rsid w:val="00EA7595"/>
    <w:rsid w:val="00EA784A"/>
    <w:rsid w:val="00EA7957"/>
    <w:rsid w:val="00EA79EB"/>
    <w:rsid w:val="00EA7A28"/>
    <w:rsid w:val="00EA7AB1"/>
    <w:rsid w:val="00EA7CB2"/>
    <w:rsid w:val="00EA7D17"/>
    <w:rsid w:val="00EB005E"/>
    <w:rsid w:val="00EB0431"/>
    <w:rsid w:val="00EB0503"/>
    <w:rsid w:val="00EB0629"/>
    <w:rsid w:val="00EB0702"/>
    <w:rsid w:val="00EB07CC"/>
    <w:rsid w:val="00EB0BBC"/>
    <w:rsid w:val="00EB10E1"/>
    <w:rsid w:val="00EB1516"/>
    <w:rsid w:val="00EB16BC"/>
    <w:rsid w:val="00EB16BD"/>
    <w:rsid w:val="00EB16F4"/>
    <w:rsid w:val="00EB1776"/>
    <w:rsid w:val="00EB1CF0"/>
    <w:rsid w:val="00EB1D20"/>
    <w:rsid w:val="00EB2050"/>
    <w:rsid w:val="00EB2692"/>
    <w:rsid w:val="00EB27D2"/>
    <w:rsid w:val="00EB2A27"/>
    <w:rsid w:val="00EB2F17"/>
    <w:rsid w:val="00EB3050"/>
    <w:rsid w:val="00EB32E6"/>
    <w:rsid w:val="00EB353C"/>
    <w:rsid w:val="00EB386E"/>
    <w:rsid w:val="00EB38D2"/>
    <w:rsid w:val="00EB3B22"/>
    <w:rsid w:val="00EB4224"/>
    <w:rsid w:val="00EB429C"/>
    <w:rsid w:val="00EB4465"/>
    <w:rsid w:val="00EB4880"/>
    <w:rsid w:val="00EB4F65"/>
    <w:rsid w:val="00EB5082"/>
    <w:rsid w:val="00EB541B"/>
    <w:rsid w:val="00EB5687"/>
    <w:rsid w:val="00EB5737"/>
    <w:rsid w:val="00EB5C1F"/>
    <w:rsid w:val="00EB5F7A"/>
    <w:rsid w:val="00EB6292"/>
    <w:rsid w:val="00EB644E"/>
    <w:rsid w:val="00EB6461"/>
    <w:rsid w:val="00EB6913"/>
    <w:rsid w:val="00EB6E58"/>
    <w:rsid w:val="00EB72FD"/>
    <w:rsid w:val="00EB76EE"/>
    <w:rsid w:val="00EB79AE"/>
    <w:rsid w:val="00EB7A11"/>
    <w:rsid w:val="00EB7D29"/>
    <w:rsid w:val="00EB7F1E"/>
    <w:rsid w:val="00EC01A6"/>
    <w:rsid w:val="00EC0492"/>
    <w:rsid w:val="00EC08F1"/>
    <w:rsid w:val="00EC091B"/>
    <w:rsid w:val="00EC0C90"/>
    <w:rsid w:val="00EC15C8"/>
    <w:rsid w:val="00EC1866"/>
    <w:rsid w:val="00EC1911"/>
    <w:rsid w:val="00EC1A43"/>
    <w:rsid w:val="00EC1E30"/>
    <w:rsid w:val="00EC1E3B"/>
    <w:rsid w:val="00EC1ED6"/>
    <w:rsid w:val="00EC26CA"/>
    <w:rsid w:val="00EC27DB"/>
    <w:rsid w:val="00EC2830"/>
    <w:rsid w:val="00EC2F11"/>
    <w:rsid w:val="00EC2F72"/>
    <w:rsid w:val="00EC2FE6"/>
    <w:rsid w:val="00EC31BF"/>
    <w:rsid w:val="00EC3589"/>
    <w:rsid w:val="00EC3933"/>
    <w:rsid w:val="00EC39F5"/>
    <w:rsid w:val="00EC3A71"/>
    <w:rsid w:val="00EC44F4"/>
    <w:rsid w:val="00EC47E6"/>
    <w:rsid w:val="00EC4A10"/>
    <w:rsid w:val="00EC4EF8"/>
    <w:rsid w:val="00EC55F4"/>
    <w:rsid w:val="00EC5734"/>
    <w:rsid w:val="00EC5C1D"/>
    <w:rsid w:val="00EC5D44"/>
    <w:rsid w:val="00EC5EB5"/>
    <w:rsid w:val="00EC6951"/>
    <w:rsid w:val="00EC69FB"/>
    <w:rsid w:val="00EC6C69"/>
    <w:rsid w:val="00EC6E59"/>
    <w:rsid w:val="00EC717C"/>
    <w:rsid w:val="00EC769E"/>
    <w:rsid w:val="00EC77B2"/>
    <w:rsid w:val="00EC7A47"/>
    <w:rsid w:val="00EC7C53"/>
    <w:rsid w:val="00EC7EDC"/>
    <w:rsid w:val="00ED0153"/>
    <w:rsid w:val="00ED01AE"/>
    <w:rsid w:val="00ED046B"/>
    <w:rsid w:val="00ED0487"/>
    <w:rsid w:val="00ED06C2"/>
    <w:rsid w:val="00ED08F0"/>
    <w:rsid w:val="00ED094F"/>
    <w:rsid w:val="00ED0B3D"/>
    <w:rsid w:val="00ED0C64"/>
    <w:rsid w:val="00ED0E87"/>
    <w:rsid w:val="00ED11A3"/>
    <w:rsid w:val="00ED11D1"/>
    <w:rsid w:val="00ED13CE"/>
    <w:rsid w:val="00ED14C9"/>
    <w:rsid w:val="00ED1929"/>
    <w:rsid w:val="00ED1A4F"/>
    <w:rsid w:val="00ED1F85"/>
    <w:rsid w:val="00ED207E"/>
    <w:rsid w:val="00ED2E3A"/>
    <w:rsid w:val="00ED2F64"/>
    <w:rsid w:val="00ED329C"/>
    <w:rsid w:val="00ED33EA"/>
    <w:rsid w:val="00ED3487"/>
    <w:rsid w:val="00ED3491"/>
    <w:rsid w:val="00ED377B"/>
    <w:rsid w:val="00ED37F3"/>
    <w:rsid w:val="00ED3823"/>
    <w:rsid w:val="00ED383F"/>
    <w:rsid w:val="00ED3CB7"/>
    <w:rsid w:val="00ED3D36"/>
    <w:rsid w:val="00ED3E2B"/>
    <w:rsid w:val="00ED3EB6"/>
    <w:rsid w:val="00ED40A5"/>
    <w:rsid w:val="00ED421A"/>
    <w:rsid w:val="00ED427B"/>
    <w:rsid w:val="00ED4383"/>
    <w:rsid w:val="00ED44F8"/>
    <w:rsid w:val="00ED45D1"/>
    <w:rsid w:val="00ED46F8"/>
    <w:rsid w:val="00ED4847"/>
    <w:rsid w:val="00ED55F7"/>
    <w:rsid w:val="00ED58F9"/>
    <w:rsid w:val="00ED5C50"/>
    <w:rsid w:val="00ED5E9A"/>
    <w:rsid w:val="00ED6227"/>
    <w:rsid w:val="00ED6356"/>
    <w:rsid w:val="00ED6387"/>
    <w:rsid w:val="00ED7300"/>
    <w:rsid w:val="00ED73FC"/>
    <w:rsid w:val="00ED75AC"/>
    <w:rsid w:val="00ED79E8"/>
    <w:rsid w:val="00ED7AD6"/>
    <w:rsid w:val="00ED7C1F"/>
    <w:rsid w:val="00EE004C"/>
    <w:rsid w:val="00EE034D"/>
    <w:rsid w:val="00EE0684"/>
    <w:rsid w:val="00EE06B1"/>
    <w:rsid w:val="00EE0B87"/>
    <w:rsid w:val="00EE0C47"/>
    <w:rsid w:val="00EE0E61"/>
    <w:rsid w:val="00EE0EDA"/>
    <w:rsid w:val="00EE1206"/>
    <w:rsid w:val="00EE1306"/>
    <w:rsid w:val="00EE1C39"/>
    <w:rsid w:val="00EE1EC1"/>
    <w:rsid w:val="00EE1EFA"/>
    <w:rsid w:val="00EE207E"/>
    <w:rsid w:val="00EE2317"/>
    <w:rsid w:val="00EE2B08"/>
    <w:rsid w:val="00EE3240"/>
    <w:rsid w:val="00EE3654"/>
    <w:rsid w:val="00EE3790"/>
    <w:rsid w:val="00EE3A54"/>
    <w:rsid w:val="00EE3DF6"/>
    <w:rsid w:val="00EE4170"/>
    <w:rsid w:val="00EE4394"/>
    <w:rsid w:val="00EE494A"/>
    <w:rsid w:val="00EE4AC8"/>
    <w:rsid w:val="00EE4C7D"/>
    <w:rsid w:val="00EE4CCB"/>
    <w:rsid w:val="00EE4E44"/>
    <w:rsid w:val="00EE502B"/>
    <w:rsid w:val="00EE508D"/>
    <w:rsid w:val="00EE5140"/>
    <w:rsid w:val="00EE5F51"/>
    <w:rsid w:val="00EE5FA5"/>
    <w:rsid w:val="00EE622F"/>
    <w:rsid w:val="00EE67FB"/>
    <w:rsid w:val="00EE70EB"/>
    <w:rsid w:val="00EE79A1"/>
    <w:rsid w:val="00EE7B88"/>
    <w:rsid w:val="00EE7C85"/>
    <w:rsid w:val="00EE7D11"/>
    <w:rsid w:val="00EF0103"/>
    <w:rsid w:val="00EF04B6"/>
    <w:rsid w:val="00EF06E3"/>
    <w:rsid w:val="00EF08C5"/>
    <w:rsid w:val="00EF0972"/>
    <w:rsid w:val="00EF0B96"/>
    <w:rsid w:val="00EF0CBD"/>
    <w:rsid w:val="00EF14F5"/>
    <w:rsid w:val="00EF1570"/>
    <w:rsid w:val="00EF15F8"/>
    <w:rsid w:val="00EF1653"/>
    <w:rsid w:val="00EF18D6"/>
    <w:rsid w:val="00EF1A0A"/>
    <w:rsid w:val="00EF1DDD"/>
    <w:rsid w:val="00EF1EA0"/>
    <w:rsid w:val="00EF2856"/>
    <w:rsid w:val="00EF2AFF"/>
    <w:rsid w:val="00EF2D14"/>
    <w:rsid w:val="00EF2D80"/>
    <w:rsid w:val="00EF2F47"/>
    <w:rsid w:val="00EF3035"/>
    <w:rsid w:val="00EF30C6"/>
    <w:rsid w:val="00EF3143"/>
    <w:rsid w:val="00EF394F"/>
    <w:rsid w:val="00EF3B47"/>
    <w:rsid w:val="00EF3C28"/>
    <w:rsid w:val="00EF3E29"/>
    <w:rsid w:val="00EF407F"/>
    <w:rsid w:val="00EF4243"/>
    <w:rsid w:val="00EF4374"/>
    <w:rsid w:val="00EF4511"/>
    <w:rsid w:val="00EF4562"/>
    <w:rsid w:val="00EF476E"/>
    <w:rsid w:val="00EF4B24"/>
    <w:rsid w:val="00EF51C0"/>
    <w:rsid w:val="00EF529D"/>
    <w:rsid w:val="00EF5389"/>
    <w:rsid w:val="00EF55CB"/>
    <w:rsid w:val="00EF580E"/>
    <w:rsid w:val="00EF5BD9"/>
    <w:rsid w:val="00EF5C9E"/>
    <w:rsid w:val="00EF5CD3"/>
    <w:rsid w:val="00EF5F30"/>
    <w:rsid w:val="00EF6080"/>
    <w:rsid w:val="00EF61E5"/>
    <w:rsid w:val="00EF63F6"/>
    <w:rsid w:val="00EF6C1A"/>
    <w:rsid w:val="00EF711D"/>
    <w:rsid w:val="00EF73F6"/>
    <w:rsid w:val="00EF7766"/>
    <w:rsid w:val="00EF7967"/>
    <w:rsid w:val="00EF7A65"/>
    <w:rsid w:val="00EF7AA6"/>
    <w:rsid w:val="00EF7D08"/>
    <w:rsid w:val="00EF7EDB"/>
    <w:rsid w:val="00F00219"/>
    <w:rsid w:val="00F00517"/>
    <w:rsid w:val="00F006C1"/>
    <w:rsid w:val="00F00BB9"/>
    <w:rsid w:val="00F00C8D"/>
    <w:rsid w:val="00F00CAB"/>
    <w:rsid w:val="00F00EBA"/>
    <w:rsid w:val="00F0100C"/>
    <w:rsid w:val="00F0121F"/>
    <w:rsid w:val="00F01378"/>
    <w:rsid w:val="00F013A1"/>
    <w:rsid w:val="00F013B5"/>
    <w:rsid w:val="00F013F1"/>
    <w:rsid w:val="00F01D22"/>
    <w:rsid w:val="00F01FD2"/>
    <w:rsid w:val="00F02106"/>
    <w:rsid w:val="00F02128"/>
    <w:rsid w:val="00F02206"/>
    <w:rsid w:val="00F02438"/>
    <w:rsid w:val="00F02A03"/>
    <w:rsid w:val="00F03338"/>
    <w:rsid w:val="00F033B6"/>
    <w:rsid w:val="00F03614"/>
    <w:rsid w:val="00F03904"/>
    <w:rsid w:val="00F03F87"/>
    <w:rsid w:val="00F04176"/>
    <w:rsid w:val="00F041E6"/>
    <w:rsid w:val="00F04222"/>
    <w:rsid w:val="00F04B27"/>
    <w:rsid w:val="00F04D0A"/>
    <w:rsid w:val="00F04F79"/>
    <w:rsid w:val="00F05B15"/>
    <w:rsid w:val="00F05B34"/>
    <w:rsid w:val="00F05BDE"/>
    <w:rsid w:val="00F05F13"/>
    <w:rsid w:val="00F06156"/>
    <w:rsid w:val="00F06181"/>
    <w:rsid w:val="00F061E8"/>
    <w:rsid w:val="00F06981"/>
    <w:rsid w:val="00F06A9C"/>
    <w:rsid w:val="00F06AD5"/>
    <w:rsid w:val="00F06B23"/>
    <w:rsid w:val="00F06D8A"/>
    <w:rsid w:val="00F07155"/>
    <w:rsid w:val="00F07286"/>
    <w:rsid w:val="00F07E66"/>
    <w:rsid w:val="00F07EA1"/>
    <w:rsid w:val="00F07F31"/>
    <w:rsid w:val="00F1006C"/>
    <w:rsid w:val="00F10621"/>
    <w:rsid w:val="00F1071B"/>
    <w:rsid w:val="00F109ED"/>
    <w:rsid w:val="00F10E12"/>
    <w:rsid w:val="00F110F6"/>
    <w:rsid w:val="00F11332"/>
    <w:rsid w:val="00F119EE"/>
    <w:rsid w:val="00F11C17"/>
    <w:rsid w:val="00F11D94"/>
    <w:rsid w:val="00F122D5"/>
    <w:rsid w:val="00F123EA"/>
    <w:rsid w:val="00F12589"/>
    <w:rsid w:val="00F127CC"/>
    <w:rsid w:val="00F12BE4"/>
    <w:rsid w:val="00F12C2A"/>
    <w:rsid w:val="00F12C6D"/>
    <w:rsid w:val="00F12CEC"/>
    <w:rsid w:val="00F12F41"/>
    <w:rsid w:val="00F13050"/>
    <w:rsid w:val="00F13121"/>
    <w:rsid w:val="00F13188"/>
    <w:rsid w:val="00F1319E"/>
    <w:rsid w:val="00F13326"/>
    <w:rsid w:val="00F1388F"/>
    <w:rsid w:val="00F14156"/>
    <w:rsid w:val="00F141B0"/>
    <w:rsid w:val="00F1442C"/>
    <w:rsid w:val="00F147A9"/>
    <w:rsid w:val="00F14A3C"/>
    <w:rsid w:val="00F14C26"/>
    <w:rsid w:val="00F14F71"/>
    <w:rsid w:val="00F15420"/>
    <w:rsid w:val="00F15544"/>
    <w:rsid w:val="00F15662"/>
    <w:rsid w:val="00F15707"/>
    <w:rsid w:val="00F161BE"/>
    <w:rsid w:val="00F164A5"/>
    <w:rsid w:val="00F16CF8"/>
    <w:rsid w:val="00F1733F"/>
    <w:rsid w:val="00F17403"/>
    <w:rsid w:val="00F17726"/>
    <w:rsid w:val="00F17738"/>
    <w:rsid w:val="00F177DD"/>
    <w:rsid w:val="00F17C23"/>
    <w:rsid w:val="00F17C9A"/>
    <w:rsid w:val="00F17D02"/>
    <w:rsid w:val="00F20220"/>
    <w:rsid w:val="00F20479"/>
    <w:rsid w:val="00F204F2"/>
    <w:rsid w:val="00F209D9"/>
    <w:rsid w:val="00F20B91"/>
    <w:rsid w:val="00F20E9F"/>
    <w:rsid w:val="00F21184"/>
    <w:rsid w:val="00F2123E"/>
    <w:rsid w:val="00F2181D"/>
    <w:rsid w:val="00F21CD0"/>
    <w:rsid w:val="00F22329"/>
    <w:rsid w:val="00F22346"/>
    <w:rsid w:val="00F225AF"/>
    <w:rsid w:val="00F225EB"/>
    <w:rsid w:val="00F22609"/>
    <w:rsid w:val="00F22A06"/>
    <w:rsid w:val="00F22AEA"/>
    <w:rsid w:val="00F2358E"/>
    <w:rsid w:val="00F2365A"/>
    <w:rsid w:val="00F237E4"/>
    <w:rsid w:val="00F237E7"/>
    <w:rsid w:val="00F2381C"/>
    <w:rsid w:val="00F23F44"/>
    <w:rsid w:val="00F24302"/>
    <w:rsid w:val="00F2462B"/>
    <w:rsid w:val="00F24A4B"/>
    <w:rsid w:val="00F24C8C"/>
    <w:rsid w:val="00F24FD4"/>
    <w:rsid w:val="00F254B3"/>
    <w:rsid w:val="00F254B6"/>
    <w:rsid w:val="00F25608"/>
    <w:rsid w:val="00F256C5"/>
    <w:rsid w:val="00F2588C"/>
    <w:rsid w:val="00F25C32"/>
    <w:rsid w:val="00F25C5E"/>
    <w:rsid w:val="00F25EE1"/>
    <w:rsid w:val="00F25F04"/>
    <w:rsid w:val="00F25FBE"/>
    <w:rsid w:val="00F2606D"/>
    <w:rsid w:val="00F26110"/>
    <w:rsid w:val="00F26115"/>
    <w:rsid w:val="00F26218"/>
    <w:rsid w:val="00F26F9C"/>
    <w:rsid w:val="00F27125"/>
    <w:rsid w:val="00F27147"/>
    <w:rsid w:val="00F27192"/>
    <w:rsid w:val="00F27285"/>
    <w:rsid w:val="00F27390"/>
    <w:rsid w:val="00F274D7"/>
    <w:rsid w:val="00F27700"/>
    <w:rsid w:val="00F27896"/>
    <w:rsid w:val="00F27BCF"/>
    <w:rsid w:val="00F27BFE"/>
    <w:rsid w:val="00F27CAD"/>
    <w:rsid w:val="00F3076D"/>
    <w:rsid w:val="00F308F6"/>
    <w:rsid w:val="00F30966"/>
    <w:rsid w:val="00F30AE4"/>
    <w:rsid w:val="00F30E60"/>
    <w:rsid w:val="00F30FA3"/>
    <w:rsid w:val="00F3108B"/>
    <w:rsid w:val="00F31181"/>
    <w:rsid w:val="00F3128A"/>
    <w:rsid w:val="00F3169D"/>
    <w:rsid w:val="00F316BA"/>
    <w:rsid w:val="00F31777"/>
    <w:rsid w:val="00F31A07"/>
    <w:rsid w:val="00F31CB3"/>
    <w:rsid w:val="00F31F51"/>
    <w:rsid w:val="00F32029"/>
    <w:rsid w:val="00F320F9"/>
    <w:rsid w:val="00F32329"/>
    <w:rsid w:val="00F32426"/>
    <w:rsid w:val="00F324B4"/>
    <w:rsid w:val="00F3287A"/>
    <w:rsid w:val="00F32D9B"/>
    <w:rsid w:val="00F32DD1"/>
    <w:rsid w:val="00F33265"/>
    <w:rsid w:val="00F3353E"/>
    <w:rsid w:val="00F336A8"/>
    <w:rsid w:val="00F33978"/>
    <w:rsid w:val="00F33B0E"/>
    <w:rsid w:val="00F33C76"/>
    <w:rsid w:val="00F34495"/>
    <w:rsid w:val="00F34684"/>
    <w:rsid w:val="00F348A0"/>
    <w:rsid w:val="00F34B16"/>
    <w:rsid w:val="00F34B20"/>
    <w:rsid w:val="00F34C54"/>
    <w:rsid w:val="00F34D50"/>
    <w:rsid w:val="00F35136"/>
    <w:rsid w:val="00F35238"/>
    <w:rsid w:val="00F352BB"/>
    <w:rsid w:val="00F3583D"/>
    <w:rsid w:val="00F35951"/>
    <w:rsid w:val="00F35B12"/>
    <w:rsid w:val="00F36173"/>
    <w:rsid w:val="00F361E9"/>
    <w:rsid w:val="00F366D8"/>
    <w:rsid w:val="00F36C4D"/>
    <w:rsid w:val="00F36DD9"/>
    <w:rsid w:val="00F36EBB"/>
    <w:rsid w:val="00F36ECE"/>
    <w:rsid w:val="00F37038"/>
    <w:rsid w:val="00F37159"/>
    <w:rsid w:val="00F375D2"/>
    <w:rsid w:val="00F3776D"/>
    <w:rsid w:val="00F37960"/>
    <w:rsid w:val="00F37BAF"/>
    <w:rsid w:val="00F37C59"/>
    <w:rsid w:val="00F37E39"/>
    <w:rsid w:val="00F37EE1"/>
    <w:rsid w:val="00F37F77"/>
    <w:rsid w:val="00F4026D"/>
    <w:rsid w:val="00F405E7"/>
    <w:rsid w:val="00F40635"/>
    <w:rsid w:val="00F408DF"/>
    <w:rsid w:val="00F40EB4"/>
    <w:rsid w:val="00F415DA"/>
    <w:rsid w:val="00F419FB"/>
    <w:rsid w:val="00F41D28"/>
    <w:rsid w:val="00F41F2C"/>
    <w:rsid w:val="00F42683"/>
    <w:rsid w:val="00F42DED"/>
    <w:rsid w:val="00F42EC1"/>
    <w:rsid w:val="00F433F6"/>
    <w:rsid w:val="00F43578"/>
    <w:rsid w:val="00F4367B"/>
    <w:rsid w:val="00F437FC"/>
    <w:rsid w:val="00F439F4"/>
    <w:rsid w:val="00F43BC9"/>
    <w:rsid w:val="00F43C03"/>
    <w:rsid w:val="00F43C0E"/>
    <w:rsid w:val="00F441DA"/>
    <w:rsid w:val="00F443E0"/>
    <w:rsid w:val="00F445B6"/>
    <w:rsid w:val="00F4484E"/>
    <w:rsid w:val="00F44A4C"/>
    <w:rsid w:val="00F44BAA"/>
    <w:rsid w:val="00F450F7"/>
    <w:rsid w:val="00F45168"/>
    <w:rsid w:val="00F4532F"/>
    <w:rsid w:val="00F4535E"/>
    <w:rsid w:val="00F45726"/>
    <w:rsid w:val="00F45AA6"/>
    <w:rsid w:val="00F45DBC"/>
    <w:rsid w:val="00F46033"/>
    <w:rsid w:val="00F4643A"/>
    <w:rsid w:val="00F46773"/>
    <w:rsid w:val="00F46907"/>
    <w:rsid w:val="00F46A5F"/>
    <w:rsid w:val="00F46ACA"/>
    <w:rsid w:val="00F46C57"/>
    <w:rsid w:val="00F46CDA"/>
    <w:rsid w:val="00F47262"/>
    <w:rsid w:val="00F4754D"/>
    <w:rsid w:val="00F47C47"/>
    <w:rsid w:val="00F47C80"/>
    <w:rsid w:val="00F47FC3"/>
    <w:rsid w:val="00F50500"/>
    <w:rsid w:val="00F505B3"/>
    <w:rsid w:val="00F505DA"/>
    <w:rsid w:val="00F50A9C"/>
    <w:rsid w:val="00F50AB1"/>
    <w:rsid w:val="00F50CB9"/>
    <w:rsid w:val="00F50F53"/>
    <w:rsid w:val="00F50FF4"/>
    <w:rsid w:val="00F514A5"/>
    <w:rsid w:val="00F517BA"/>
    <w:rsid w:val="00F51965"/>
    <w:rsid w:val="00F51AF0"/>
    <w:rsid w:val="00F52192"/>
    <w:rsid w:val="00F525B1"/>
    <w:rsid w:val="00F526AF"/>
    <w:rsid w:val="00F5287D"/>
    <w:rsid w:val="00F52CC4"/>
    <w:rsid w:val="00F52DC8"/>
    <w:rsid w:val="00F52EE3"/>
    <w:rsid w:val="00F52EF7"/>
    <w:rsid w:val="00F534B0"/>
    <w:rsid w:val="00F536F3"/>
    <w:rsid w:val="00F538E5"/>
    <w:rsid w:val="00F53F1B"/>
    <w:rsid w:val="00F53FA7"/>
    <w:rsid w:val="00F53FC6"/>
    <w:rsid w:val="00F53FF8"/>
    <w:rsid w:val="00F542F0"/>
    <w:rsid w:val="00F5440C"/>
    <w:rsid w:val="00F54507"/>
    <w:rsid w:val="00F547F3"/>
    <w:rsid w:val="00F54D28"/>
    <w:rsid w:val="00F5534A"/>
    <w:rsid w:val="00F55528"/>
    <w:rsid w:val="00F5569C"/>
    <w:rsid w:val="00F55716"/>
    <w:rsid w:val="00F55717"/>
    <w:rsid w:val="00F5592F"/>
    <w:rsid w:val="00F55CC6"/>
    <w:rsid w:val="00F55FA3"/>
    <w:rsid w:val="00F5635B"/>
    <w:rsid w:val="00F563FD"/>
    <w:rsid w:val="00F565EB"/>
    <w:rsid w:val="00F5666B"/>
    <w:rsid w:val="00F568B8"/>
    <w:rsid w:val="00F56BDE"/>
    <w:rsid w:val="00F56CB1"/>
    <w:rsid w:val="00F56D0E"/>
    <w:rsid w:val="00F56D60"/>
    <w:rsid w:val="00F56D82"/>
    <w:rsid w:val="00F56DD5"/>
    <w:rsid w:val="00F56FEE"/>
    <w:rsid w:val="00F57115"/>
    <w:rsid w:val="00F57298"/>
    <w:rsid w:val="00F5756A"/>
    <w:rsid w:val="00F576E7"/>
    <w:rsid w:val="00F576EC"/>
    <w:rsid w:val="00F578A3"/>
    <w:rsid w:val="00F57B8C"/>
    <w:rsid w:val="00F57C82"/>
    <w:rsid w:val="00F601FF"/>
    <w:rsid w:val="00F60291"/>
    <w:rsid w:val="00F606BA"/>
    <w:rsid w:val="00F60848"/>
    <w:rsid w:val="00F60916"/>
    <w:rsid w:val="00F60D4B"/>
    <w:rsid w:val="00F60EFA"/>
    <w:rsid w:val="00F60F76"/>
    <w:rsid w:val="00F610FF"/>
    <w:rsid w:val="00F6119C"/>
    <w:rsid w:val="00F615A3"/>
    <w:rsid w:val="00F617D9"/>
    <w:rsid w:val="00F619F7"/>
    <w:rsid w:val="00F61A93"/>
    <w:rsid w:val="00F6213D"/>
    <w:rsid w:val="00F6216A"/>
    <w:rsid w:val="00F621D0"/>
    <w:rsid w:val="00F6237B"/>
    <w:rsid w:val="00F6250B"/>
    <w:rsid w:val="00F627CA"/>
    <w:rsid w:val="00F62A14"/>
    <w:rsid w:val="00F62D30"/>
    <w:rsid w:val="00F62E31"/>
    <w:rsid w:val="00F62EEC"/>
    <w:rsid w:val="00F62FA6"/>
    <w:rsid w:val="00F63070"/>
    <w:rsid w:val="00F6353E"/>
    <w:rsid w:val="00F635FA"/>
    <w:rsid w:val="00F63669"/>
    <w:rsid w:val="00F6369C"/>
    <w:rsid w:val="00F6381E"/>
    <w:rsid w:val="00F639DF"/>
    <w:rsid w:val="00F63AC4"/>
    <w:rsid w:val="00F63B52"/>
    <w:rsid w:val="00F63C0A"/>
    <w:rsid w:val="00F63D29"/>
    <w:rsid w:val="00F6424A"/>
    <w:rsid w:val="00F64466"/>
    <w:rsid w:val="00F64584"/>
    <w:rsid w:val="00F64C84"/>
    <w:rsid w:val="00F64E17"/>
    <w:rsid w:val="00F64F52"/>
    <w:rsid w:val="00F65279"/>
    <w:rsid w:val="00F6528B"/>
    <w:rsid w:val="00F65331"/>
    <w:rsid w:val="00F6548D"/>
    <w:rsid w:val="00F654E6"/>
    <w:rsid w:val="00F655C7"/>
    <w:rsid w:val="00F655EB"/>
    <w:rsid w:val="00F65A45"/>
    <w:rsid w:val="00F65D7D"/>
    <w:rsid w:val="00F65D92"/>
    <w:rsid w:val="00F660EF"/>
    <w:rsid w:val="00F661BC"/>
    <w:rsid w:val="00F66365"/>
    <w:rsid w:val="00F66434"/>
    <w:rsid w:val="00F66AC7"/>
    <w:rsid w:val="00F6749E"/>
    <w:rsid w:val="00F67532"/>
    <w:rsid w:val="00F67835"/>
    <w:rsid w:val="00F70390"/>
    <w:rsid w:val="00F70DBD"/>
    <w:rsid w:val="00F71A61"/>
    <w:rsid w:val="00F71A98"/>
    <w:rsid w:val="00F71C29"/>
    <w:rsid w:val="00F71E68"/>
    <w:rsid w:val="00F72433"/>
    <w:rsid w:val="00F727BF"/>
    <w:rsid w:val="00F72840"/>
    <w:rsid w:val="00F7307A"/>
    <w:rsid w:val="00F7322F"/>
    <w:rsid w:val="00F734CF"/>
    <w:rsid w:val="00F73880"/>
    <w:rsid w:val="00F739F0"/>
    <w:rsid w:val="00F73E78"/>
    <w:rsid w:val="00F7432A"/>
    <w:rsid w:val="00F743BF"/>
    <w:rsid w:val="00F74423"/>
    <w:rsid w:val="00F744A4"/>
    <w:rsid w:val="00F7480A"/>
    <w:rsid w:val="00F74E81"/>
    <w:rsid w:val="00F75138"/>
    <w:rsid w:val="00F75406"/>
    <w:rsid w:val="00F75979"/>
    <w:rsid w:val="00F759B4"/>
    <w:rsid w:val="00F7605C"/>
    <w:rsid w:val="00F76134"/>
    <w:rsid w:val="00F7647F"/>
    <w:rsid w:val="00F7653F"/>
    <w:rsid w:val="00F76663"/>
    <w:rsid w:val="00F76979"/>
    <w:rsid w:val="00F76BDE"/>
    <w:rsid w:val="00F76C67"/>
    <w:rsid w:val="00F76C71"/>
    <w:rsid w:val="00F76F64"/>
    <w:rsid w:val="00F772B4"/>
    <w:rsid w:val="00F772B5"/>
    <w:rsid w:val="00F772BF"/>
    <w:rsid w:val="00F77516"/>
    <w:rsid w:val="00F777EE"/>
    <w:rsid w:val="00F77956"/>
    <w:rsid w:val="00F77BB6"/>
    <w:rsid w:val="00F77FFA"/>
    <w:rsid w:val="00F803A6"/>
    <w:rsid w:val="00F803D4"/>
    <w:rsid w:val="00F80469"/>
    <w:rsid w:val="00F80DBA"/>
    <w:rsid w:val="00F80FCD"/>
    <w:rsid w:val="00F810B0"/>
    <w:rsid w:val="00F813B7"/>
    <w:rsid w:val="00F81835"/>
    <w:rsid w:val="00F8195A"/>
    <w:rsid w:val="00F81B3F"/>
    <w:rsid w:val="00F81BE4"/>
    <w:rsid w:val="00F81EA3"/>
    <w:rsid w:val="00F82373"/>
    <w:rsid w:val="00F8242F"/>
    <w:rsid w:val="00F82469"/>
    <w:rsid w:val="00F829DF"/>
    <w:rsid w:val="00F82F3A"/>
    <w:rsid w:val="00F832F9"/>
    <w:rsid w:val="00F83555"/>
    <w:rsid w:val="00F835A7"/>
    <w:rsid w:val="00F83A04"/>
    <w:rsid w:val="00F83A6D"/>
    <w:rsid w:val="00F83AC4"/>
    <w:rsid w:val="00F83BF0"/>
    <w:rsid w:val="00F83DDB"/>
    <w:rsid w:val="00F83E5F"/>
    <w:rsid w:val="00F8407A"/>
    <w:rsid w:val="00F84158"/>
    <w:rsid w:val="00F846F8"/>
    <w:rsid w:val="00F84907"/>
    <w:rsid w:val="00F855A0"/>
    <w:rsid w:val="00F855A5"/>
    <w:rsid w:val="00F858F7"/>
    <w:rsid w:val="00F85F83"/>
    <w:rsid w:val="00F86065"/>
    <w:rsid w:val="00F866C1"/>
    <w:rsid w:val="00F8677C"/>
    <w:rsid w:val="00F86873"/>
    <w:rsid w:val="00F8690F"/>
    <w:rsid w:val="00F86969"/>
    <w:rsid w:val="00F86B46"/>
    <w:rsid w:val="00F86BA8"/>
    <w:rsid w:val="00F87288"/>
    <w:rsid w:val="00F8741E"/>
    <w:rsid w:val="00F876BE"/>
    <w:rsid w:val="00F878F5"/>
    <w:rsid w:val="00F87936"/>
    <w:rsid w:val="00F87959"/>
    <w:rsid w:val="00F87CFC"/>
    <w:rsid w:val="00F9020F"/>
    <w:rsid w:val="00F90332"/>
    <w:rsid w:val="00F905A9"/>
    <w:rsid w:val="00F90884"/>
    <w:rsid w:val="00F90889"/>
    <w:rsid w:val="00F90C64"/>
    <w:rsid w:val="00F913F7"/>
    <w:rsid w:val="00F914C6"/>
    <w:rsid w:val="00F915B1"/>
    <w:rsid w:val="00F91796"/>
    <w:rsid w:val="00F917B8"/>
    <w:rsid w:val="00F9185F"/>
    <w:rsid w:val="00F91A30"/>
    <w:rsid w:val="00F91D08"/>
    <w:rsid w:val="00F91E35"/>
    <w:rsid w:val="00F924C3"/>
    <w:rsid w:val="00F9268A"/>
    <w:rsid w:val="00F927C6"/>
    <w:rsid w:val="00F92D94"/>
    <w:rsid w:val="00F932EB"/>
    <w:rsid w:val="00F934C6"/>
    <w:rsid w:val="00F936CE"/>
    <w:rsid w:val="00F93B93"/>
    <w:rsid w:val="00F93C01"/>
    <w:rsid w:val="00F93E5F"/>
    <w:rsid w:val="00F9423A"/>
    <w:rsid w:val="00F94262"/>
    <w:rsid w:val="00F945F8"/>
    <w:rsid w:val="00F94C52"/>
    <w:rsid w:val="00F94C53"/>
    <w:rsid w:val="00F950CD"/>
    <w:rsid w:val="00F95660"/>
    <w:rsid w:val="00F956A0"/>
    <w:rsid w:val="00F95C5A"/>
    <w:rsid w:val="00F9618D"/>
    <w:rsid w:val="00F9630D"/>
    <w:rsid w:val="00F963ED"/>
    <w:rsid w:val="00F96959"/>
    <w:rsid w:val="00F96E59"/>
    <w:rsid w:val="00F96FF0"/>
    <w:rsid w:val="00F97220"/>
    <w:rsid w:val="00F97409"/>
    <w:rsid w:val="00F97476"/>
    <w:rsid w:val="00F97546"/>
    <w:rsid w:val="00F975EA"/>
    <w:rsid w:val="00F97ABC"/>
    <w:rsid w:val="00F97DB2"/>
    <w:rsid w:val="00FA0059"/>
    <w:rsid w:val="00FA0342"/>
    <w:rsid w:val="00FA042A"/>
    <w:rsid w:val="00FA0440"/>
    <w:rsid w:val="00FA0623"/>
    <w:rsid w:val="00FA0670"/>
    <w:rsid w:val="00FA06D1"/>
    <w:rsid w:val="00FA0ADD"/>
    <w:rsid w:val="00FA0CC5"/>
    <w:rsid w:val="00FA1261"/>
    <w:rsid w:val="00FA13E4"/>
    <w:rsid w:val="00FA1451"/>
    <w:rsid w:val="00FA156A"/>
    <w:rsid w:val="00FA17BF"/>
    <w:rsid w:val="00FA1A6D"/>
    <w:rsid w:val="00FA1BF1"/>
    <w:rsid w:val="00FA1C9B"/>
    <w:rsid w:val="00FA1E11"/>
    <w:rsid w:val="00FA252C"/>
    <w:rsid w:val="00FA2530"/>
    <w:rsid w:val="00FA28F8"/>
    <w:rsid w:val="00FA2F46"/>
    <w:rsid w:val="00FA3167"/>
    <w:rsid w:val="00FA36BE"/>
    <w:rsid w:val="00FA38B1"/>
    <w:rsid w:val="00FA3AE4"/>
    <w:rsid w:val="00FA3BC0"/>
    <w:rsid w:val="00FA4074"/>
    <w:rsid w:val="00FA4849"/>
    <w:rsid w:val="00FA4AF5"/>
    <w:rsid w:val="00FA547F"/>
    <w:rsid w:val="00FA5B24"/>
    <w:rsid w:val="00FA5C97"/>
    <w:rsid w:val="00FA5D30"/>
    <w:rsid w:val="00FA5DA3"/>
    <w:rsid w:val="00FA5DEC"/>
    <w:rsid w:val="00FA5E85"/>
    <w:rsid w:val="00FA5E8B"/>
    <w:rsid w:val="00FA5EB6"/>
    <w:rsid w:val="00FA5F84"/>
    <w:rsid w:val="00FA6047"/>
    <w:rsid w:val="00FA6337"/>
    <w:rsid w:val="00FA6F6C"/>
    <w:rsid w:val="00FA7116"/>
    <w:rsid w:val="00FA7766"/>
    <w:rsid w:val="00FA7900"/>
    <w:rsid w:val="00FA7B58"/>
    <w:rsid w:val="00FA7BB0"/>
    <w:rsid w:val="00FA7F38"/>
    <w:rsid w:val="00FA7F70"/>
    <w:rsid w:val="00FB0332"/>
    <w:rsid w:val="00FB098E"/>
    <w:rsid w:val="00FB0DD8"/>
    <w:rsid w:val="00FB0F9B"/>
    <w:rsid w:val="00FB11B9"/>
    <w:rsid w:val="00FB1AA4"/>
    <w:rsid w:val="00FB1B63"/>
    <w:rsid w:val="00FB1BBA"/>
    <w:rsid w:val="00FB1D84"/>
    <w:rsid w:val="00FB1F76"/>
    <w:rsid w:val="00FB21A6"/>
    <w:rsid w:val="00FB252F"/>
    <w:rsid w:val="00FB286C"/>
    <w:rsid w:val="00FB2E9E"/>
    <w:rsid w:val="00FB2EB3"/>
    <w:rsid w:val="00FB300F"/>
    <w:rsid w:val="00FB32B8"/>
    <w:rsid w:val="00FB3868"/>
    <w:rsid w:val="00FB3F04"/>
    <w:rsid w:val="00FB4425"/>
    <w:rsid w:val="00FB4686"/>
    <w:rsid w:val="00FB491D"/>
    <w:rsid w:val="00FB4B86"/>
    <w:rsid w:val="00FB4E7C"/>
    <w:rsid w:val="00FB535A"/>
    <w:rsid w:val="00FB555E"/>
    <w:rsid w:val="00FB5DDA"/>
    <w:rsid w:val="00FB5EC9"/>
    <w:rsid w:val="00FB614F"/>
    <w:rsid w:val="00FB6216"/>
    <w:rsid w:val="00FB62F7"/>
    <w:rsid w:val="00FB6438"/>
    <w:rsid w:val="00FB6931"/>
    <w:rsid w:val="00FB69E3"/>
    <w:rsid w:val="00FB6AD2"/>
    <w:rsid w:val="00FB6B2E"/>
    <w:rsid w:val="00FB72E0"/>
    <w:rsid w:val="00FB74E8"/>
    <w:rsid w:val="00FB7992"/>
    <w:rsid w:val="00FB7CE5"/>
    <w:rsid w:val="00FB7D23"/>
    <w:rsid w:val="00FB7F80"/>
    <w:rsid w:val="00FC000E"/>
    <w:rsid w:val="00FC0018"/>
    <w:rsid w:val="00FC0067"/>
    <w:rsid w:val="00FC018F"/>
    <w:rsid w:val="00FC02A3"/>
    <w:rsid w:val="00FC0320"/>
    <w:rsid w:val="00FC081D"/>
    <w:rsid w:val="00FC087B"/>
    <w:rsid w:val="00FC088C"/>
    <w:rsid w:val="00FC0B72"/>
    <w:rsid w:val="00FC0C95"/>
    <w:rsid w:val="00FC0DDF"/>
    <w:rsid w:val="00FC1A05"/>
    <w:rsid w:val="00FC1D7E"/>
    <w:rsid w:val="00FC2443"/>
    <w:rsid w:val="00FC2468"/>
    <w:rsid w:val="00FC26A1"/>
    <w:rsid w:val="00FC2B95"/>
    <w:rsid w:val="00FC2B96"/>
    <w:rsid w:val="00FC2DCB"/>
    <w:rsid w:val="00FC2E85"/>
    <w:rsid w:val="00FC32E4"/>
    <w:rsid w:val="00FC38DC"/>
    <w:rsid w:val="00FC391B"/>
    <w:rsid w:val="00FC3CEB"/>
    <w:rsid w:val="00FC3D6C"/>
    <w:rsid w:val="00FC3F58"/>
    <w:rsid w:val="00FC403D"/>
    <w:rsid w:val="00FC4291"/>
    <w:rsid w:val="00FC4B7C"/>
    <w:rsid w:val="00FC4CE0"/>
    <w:rsid w:val="00FC51D4"/>
    <w:rsid w:val="00FC53D6"/>
    <w:rsid w:val="00FC55E1"/>
    <w:rsid w:val="00FC58D6"/>
    <w:rsid w:val="00FC61E2"/>
    <w:rsid w:val="00FC64CE"/>
    <w:rsid w:val="00FC6956"/>
    <w:rsid w:val="00FC6B2B"/>
    <w:rsid w:val="00FC6C4F"/>
    <w:rsid w:val="00FC6DB0"/>
    <w:rsid w:val="00FC6DED"/>
    <w:rsid w:val="00FC6E99"/>
    <w:rsid w:val="00FC6EF3"/>
    <w:rsid w:val="00FC74F2"/>
    <w:rsid w:val="00FC750F"/>
    <w:rsid w:val="00FC7531"/>
    <w:rsid w:val="00FC76D4"/>
    <w:rsid w:val="00FC777A"/>
    <w:rsid w:val="00FC7C37"/>
    <w:rsid w:val="00FC7CAF"/>
    <w:rsid w:val="00FC7ECC"/>
    <w:rsid w:val="00FC7ED8"/>
    <w:rsid w:val="00FD024A"/>
    <w:rsid w:val="00FD039E"/>
    <w:rsid w:val="00FD0B02"/>
    <w:rsid w:val="00FD0C9E"/>
    <w:rsid w:val="00FD1103"/>
    <w:rsid w:val="00FD11E8"/>
    <w:rsid w:val="00FD1597"/>
    <w:rsid w:val="00FD15BA"/>
    <w:rsid w:val="00FD1F08"/>
    <w:rsid w:val="00FD1F4E"/>
    <w:rsid w:val="00FD2D4E"/>
    <w:rsid w:val="00FD2EC5"/>
    <w:rsid w:val="00FD32CF"/>
    <w:rsid w:val="00FD3ABE"/>
    <w:rsid w:val="00FD3B57"/>
    <w:rsid w:val="00FD3BC9"/>
    <w:rsid w:val="00FD3F3A"/>
    <w:rsid w:val="00FD4030"/>
    <w:rsid w:val="00FD44D0"/>
    <w:rsid w:val="00FD455E"/>
    <w:rsid w:val="00FD4AC8"/>
    <w:rsid w:val="00FD4AE4"/>
    <w:rsid w:val="00FD4B37"/>
    <w:rsid w:val="00FD4C07"/>
    <w:rsid w:val="00FD4C7E"/>
    <w:rsid w:val="00FD4DBB"/>
    <w:rsid w:val="00FD4DC9"/>
    <w:rsid w:val="00FD4E6C"/>
    <w:rsid w:val="00FD4E80"/>
    <w:rsid w:val="00FD4EB6"/>
    <w:rsid w:val="00FD50BF"/>
    <w:rsid w:val="00FD55E0"/>
    <w:rsid w:val="00FD5662"/>
    <w:rsid w:val="00FD5849"/>
    <w:rsid w:val="00FD59C7"/>
    <w:rsid w:val="00FD5C14"/>
    <w:rsid w:val="00FD5E30"/>
    <w:rsid w:val="00FD6BB6"/>
    <w:rsid w:val="00FD6F62"/>
    <w:rsid w:val="00FD76F6"/>
    <w:rsid w:val="00FE0332"/>
    <w:rsid w:val="00FE0462"/>
    <w:rsid w:val="00FE08DB"/>
    <w:rsid w:val="00FE0979"/>
    <w:rsid w:val="00FE0AC3"/>
    <w:rsid w:val="00FE0BD2"/>
    <w:rsid w:val="00FE0F27"/>
    <w:rsid w:val="00FE1083"/>
    <w:rsid w:val="00FE11D3"/>
    <w:rsid w:val="00FE1231"/>
    <w:rsid w:val="00FE173D"/>
    <w:rsid w:val="00FE18E2"/>
    <w:rsid w:val="00FE21C9"/>
    <w:rsid w:val="00FE22EA"/>
    <w:rsid w:val="00FE276C"/>
    <w:rsid w:val="00FE27C3"/>
    <w:rsid w:val="00FE35C4"/>
    <w:rsid w:val="00FE36FE"/>
    <w:rsid w:val="00FE3925"/>
    <w:rsid w:val="00FE3A7F"/>
    <w:rsid w:val="00FE4142"/>
    <w:rsid w:val="00FE42E7"/>
    <w:rsid w:val="00FE433B"/>
    <w:rsid w:val="00FE4465"/>
    <w:rsid w:val="00FE4B6D"/>
    <w:rsid w:val="00FE4CEA"/>
    <w:rsid w:val="00FE517F"/>
    <w:rsid w:val="00FE5349"/>
    <w:rsid w:val="00FE53AE"/>
    <w:rsid w:val="00FE5878"/>
    <w:rsid w:val="00FE5BEB"/>
    <w:rsid w:val="00FE5C6A"/>
    <w:rsid w:val="00FE5CF2"/>
    <w:rsid w:val="00FE5DAD"/>
    <w:rsid w:val="00FE5E37"/>
    <w:rsid w:val="00FE62EA"/>
    <w:rsid w:val="00FE6341"/>
    <w:rsid w:val="00FE6363"/>
    <w:rsid w:val="00FE66DA"/>
    <w:rsid w:val="00FE67DD"/>
    <w:rsid w:val="00FE695C"/>
    <w:rsid w:val="00FE6BE3"/>
    <w:rsid w:val="00FE6CF6"/>
    <w:rsid w:val="00FE6DE2"/>
    <w:rsid w:val="00FE7205"/>
    <w:rsid w:val="00FE722E"/>
    <w:rsid w:val="00FE7AB3"/>
    <w:rsid w:val="00FE7CBD"/>
    <w:rsid w:val="00FE7DE4"/>
    <w:rsid w:val="00FE7EB2"/>
    <w:rsid w:val="00FF0033"/>
    <w:rsid w:val="00FF00EE"/>
    <w:rsid w:val="00FF0220"/>
    <w:rsid w:val="00FF0C66"/>
    <w:rsid w:val="00FF0FBC"/>
    <w:rsid w:val="00FF104C"/>
    <w:rsid w:val="00FF124E"/>
    <w:rsid w:val="00FF16CB"/>
    <w:rsid w:val="00FF1A2C"/>
    <w:rsid w:val="00FF1C95"/>
    <w:rsid w:val="00FF232A"/>
    <w:rsid w:val="00FF2556"/>
    <w:rsid w:val="00FF29EF"/>
    <w:rsid w:val="00FF2A81"/>
    <w:rsid w:val="00FF2BC0"/>
    <w:rsid w:val="00FF2D24"/>
    <w:rsid w:val="00FF2E02"/>
    <w:rsid w:val="00FF2ED4"/>
    <w:rsid w:val="00FF3002"/>
    <w:rsid w:val="00FF34FE"/>
    <w:rsid w:val="00FF36D3"/>
    <w:rsid w:val="00FF3AAE"/>
    <w:rsid w:val="00FF4764"/>
    <w:rsid w:val="00FF479A"/>
    <w:rsid w:val="00FF4881"/>
    <w:rsid w:val="00FF4B35"/>
    <w:rsid w:val="00FF4BAF"/>
    <w:rsid w:val="00FF4D11"/>
    <w:rsid w:val="00FF5340"/>
    <w:rsid w:val="00FF5525"/>
    <w:rsid w:val="00FF5788"/>
    <w:rsid w:val="00FF58DB"/>
    <w:rsid w:val="00FF5B08"/>
    <w:rsid w:val="00FF5C02"/>
    <w:rsid w:val="00FF5DAD"/>
    <w:rsid w:val="00FF5EA9"/>
    <w:rsid w:val="00FF629A"/>
    <w:rsid w:val="00FF62CA"/>
    <w:rsid w:val="00FF72B0"/>
    <w:rsid w:val="00FF72F7"/>
    <w:rsid w:val="00FF758A"/>
    <w:rsid w:val="00FF7642"/>
    <w:rsid w:val="00FF795B"/>
    <w:rsid w:val="00FF79B3"/>
    <w:rsid w:val="00FF7A80"/>
    <w:rsid w:val="01FB5C4F"/>
    <w:rsid w:val="06E77061"/>
    <w:rsid w:val="07FE6829"/>
    <w:rsid w:val="0A2A0E9D"/>
    <w:rsid w:val="0C942AAF"/>
    <w:rsid w:val="0F5C249C"/>
    <w:rsid w:val="13003AC2"/>
    <w:rsid w:val="250D45D9"/>
    <w:rsid w:val="29056F30"/>
    <w:rsid w:val="2FB51A54"/>
    <w:rsid w:val="345C5BF5"/>
    <w:rsid w:val="346D2F40"/>
    <w:rsid w:val="34A7562D"/>
    <w:rsid w:val="3B5C6A72"/>
    <w:rsid w:val="3E4405D4"/>
    <w:rsid w:val="40DA5922"/>
    <w:rsid w:val="4EC820CD"/>
    <w:rsid w:val="51BA0D4C"/>
    <w:rsid w:val="54070D6B"/>
    <w:rsid w:val="5908689F"/>
    <w:rsid w:val="5CF32B6F"/>
    <w:rsid w:val="61F07EFF"/>
    <w:rsid w:val="62C17915"/>
    <w:rsid w:val="64056B14"/>
    <w:rsid w:val="64C505F8"/>
    <w:rsid w:val="65DC7B6E"/>
    <w:rsid w:val="68FD194E"/>
    <w:rsid w:val="6ECA7E4F"/>
    <w:rsid w:val="6F045AFE"/>
    <w:rsid w:val="6F1839F0"/>
    <w:rsid w:val="72563C24"/>
    <w:rsid w:val="744A1680"/>
    <w:rsid w:val="77263187"/>
    <w:rsid w:val="7FD52A4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nhideWhenUsed="0"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Arial Unicode MS" w:cs="Times New Roman"/>
      <w:sz w:val="24"/>
      <w:szCs w:val="24"/>
      <w:lang w:val="en-US" w:eastAsia="en-US" w:bidi="ar-SA"/>
      <w14:ligatures w14:val="standardContextual"/>
    </w:rPr>
  </w:style>
  <w:style w:type="paragraph" w:styleId="2">
    <w:name w:val="heading 1"/>
    <w:basedOn w:val="1"/>
    <w:next w:val="1"/>
    <w:link w:val="66"/>
    <w:autoRedefine/>
    <w:qFormat/>
    <w:uiPriority w:val="9"/>
    <w:pPr>
      <w:keepNext/>
      <w:keepLines/>
      <w:shd w:val="clear" w:color="auto" w:fill="FFFFFF"/>
      <w:spacing w:line="360" w:lineRule="auto"/>
      <w:outlineLvl w:val="0"/>
    </w:pPr>
    <w:rPr>
      <w:rFonts w:ascii="Verdana Bold" w:hAnsi="Verdana Bold" w:eastAsia="DengXian Light"/>
      <w:bCs/>
      <w:smallCaps/>
    </w:rPr>
  </w:style>
  <w:style w:type="paragraph" w:styleId="3">
    <w:name w:val="heading 2"/>
    <w:next w:val="4"/>
    <w:link w:val="36"/>
    <w:qFormat/>
    <w:uiPriority w:val="0"/>
    <w:pPr>
      <w:keepNext/>
      <w:keepLines/>
      <w:spacing w:line="360" w:lineRule="auto"/>
      <w:jc w:val="center"/>
      <w:outlineLvl w:val="1"/>
    </w:pPr>
    <w:rPr>
      <w:rFonts w:ascii="Arial" w:hAnsi="Arial" w:eastAsia="Arial" w:cs="Arial"/>
      <w:b/>
      <w:bCs/>
      <w:caps/>
      <w:color w:val="000000"/>
      <w:sz w:val="28"/>
      <w:szCs w:val="28"/>
      <w:u w:color="000000"/>
      <w:lang w:val="en-US" w:eastAsia="en-US" w:bidi="ar-SA"/>
      <w14:ligatures w14:val="standardContextual"/>
    </w:rPr>
  </w:style>
  <w:style w:type="paragraph" w:styleId="5">
    <w:name w:val="heading 3"/>
    <w:basedOn w:val="1"/>
    <w:next w:val="1"/>
    <w:link w:val="67"/>
    <w:unhideWhenUsed/>
    <w:qFormat/>
    <w:uiPriority w:val="9"/>
    <w:pPr>
      <w:keepNext/>
      <w:keepLines/>
      <w:spacing w:before="200" w:line="276" w:lineRule="auto"/>
      <w:outlineLvl w:val="2"/>
    </w:pPr>
    <w:rPr>
      <w:rFonts w:ascii="Cambria" w:hAnsi="Cambria" w:eastAsia="Times New Roman"/>
      <w:b/>
      <w:bCs/>
      <w:sz w:val="26"/>
      <w:szCs w:val="26"/>
    </w:rPr>
  </w:style>
  <w:style w:type="paragraph" w:styleId="6">
    <w:name w:val="heading 4"/>
    <w:basedOn w:val="1"/>
    <w:next w:val="1"/>
    <w:link w:val="68"/>
    <w:unhideWhenUsed/>
    <w:qFormat/>
    <w:uiPriority w:val="9"/>
    <w:pPr>
      <w:keepNext/>
      <w:keepLines/>
      <w:spacing w:before="200" w:line="276" w:lineRule="auto"/>
      <w:outlineLvl w:val="3"/>
    </w:pPr>
    <w:rPr>
      <w:rFonts w:ascii="Calibri" w:hAnsi="Calibri" w:eastAsia="Times New Roman"/>
      <w:b/>
      <w:bCs/>
      <w:sz w:val="28"/>
      <w:szCs w:val="28"/>
    </w:rPr>
  </w:style>
  <w:style w:type="paragraph" w:styleId="7">
    <w:name w:val="heading 5"/>
    <w:basedOn w:val="1"/>
    <w:next w:val="1"/>
    <w:link w:val="69"/>
    <w:unhideWhenUsed/>
    <w:qFormat/>
    <w:uiPriority w:val="9"/>
    <w:pPr>
      <w:keepNext/>
      <w:keepLines/>
      <w:spacing w:before="200" w:line="276" w:lineRule="auto"/>
      <w:outlineLvl w:val="4"/>
    </w:pPr>
    <w:rPr>
      <w:rFonts w:ascii="Calibri" w:hAnsi="Calibri" w:eastAsia="Times New Roman"/>
      <w:b/>
      <w:bCs/>
      <w:i/>
      <w:iCs/>
      <w:sz w:val="26"/>
      <w:szCs w:val="26"/>
    </w:rPr>
  </w:style>
  <w:style w:type="paragraph" w:styleId="8">
    <w:name w:val="heading 6"/>
    <w:basedOn w:val="1"/>
    <w:next w:val="1"/>
    <w:link w:val="70"/>
    <w:qFormat/>
    <w:uiPriority w:val="9"/>
    <w:pPr>
      <w:numPr>
        <w:ilvl w:val="5"/>
        <w:numId w:val="1"/>
      </w:numPr>
      <w:spacing w:before="240" w:after="60"/>
      <w:outlineLvl w:val="5"/>
    </w:pPr>
    <w:rPr>
      <w:rFonts w:eastAsia="Times New Roman"/>
      <w:b/>
      <w:bCs/>
      <w:sz w:val="22"/>
      <w:szCs w:val="22"/>
    </w:rPr>
  </w:style>
  <w:style w:type="paragraph" w:styleId="9">
    <w:name w:val="heading 7"/>
    <w:basedOn w:val="1"/>
    <w:next w:val="1"/>
    <w:link w:val="71"/>
    <w:unhideWhenUsed/>
    <w:qFormat/>
    <w:uiPriority w:val="9"/>
    <w:pPr>
      <w:keepNext/>
      <w:keepLines/>
      <w:spacing w:before="200" w:line="276" w:lineRule="auto"/>
      <w:outlineLvl w:val="6"/>
    </w:pPr>
    <w:rPr>
      <w:rFonts w:ascii="Calibri" w:hAnsi="Calibri" w:eastAsia="Times New Roman"/>
    </w:rPr>
  </w:style>
  <w:style w:type="paragraph" w:styleId="10">
    <w:name w:val="heading 8"/>
    <w:basedOn w:val="1"/>
    <w:next w:val="1"/>
    <w:link w:val="72"/>
    <w:unhideWhenUsed/>
    <w:qFormat/>
    <w:uiPriority w:val="9"/>
    <w:pPr>
      <w:keepNext/>
      <w:keepLines/>
      <w:spacing w:before="200" w:line="276" w:lineRule="auto"/>
      <w:outlineLvl w:val="7"/>
    </w:pPr>
    <w:rPr>
      <w:rFonts w:ascii="Calibri" w:hAnsi="Calibri" w:eastAsia="Times New Roman"/>
      <w:i/>
      <w:iCs/>
    </w:rPr>
  </w:style>
  <w:style w:type="paragraph" w:styleId="11">
    <w:name w:val="heading 9"/>
    <w:basedOn w:val="1"/>
    <w:next w:val="1"/>
    <w:link w:val="73"/>
    <w:unhideWhenUsed/>
    <w:qFormat/>
    <w:uiPriority w:val="9"/>
    <w:pPr>
      <w:keepNext/>
      <w:keepLines/>
      <w:spacing w:before="200" w:line="276" w:lineRule="auto"/>
      <w:outlineLvl w:val="8"/>
    </w:pPr>
    <w:rPr>
      <w:rFonts w:ascii="Cambria" w:hAnsi="Cambria" w:eastAsia="Times New Roman"/>
      <w:sz w:val="22"/>
      <w:szCs w:val="22"/>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4">
    <w:name w:val="Body A"/>
    <w:qFormat/>
    <w:uiPriority w:val="0"/>
    <w:pPr>
      <w:spacing w:after="200" w:line="276" w:lineRule="auto"/>
    </w:pPr>
    <w:rPr>
      <w:rFonts w:ascii="Calibri" w:hAnsi="Calibri" w:eastAsia="Arial Unicode MS" w:cs="Arial Unicode MS"/>
      <w:color w:val="000000"/>
      <w:sz w:val="22"/>
      <w:szCs w:val="22"/>
      <w:u w:color="000000"/>
      <w:lang w:val="en-US" w:eastAsia="en-US" w:bidi="ar-SA"/>
      <w14:ligatures w14:val="standardContextual"/>
    </w:rPr>
  </w:style>
  <w:style w:type="paragraph" w:styleId="14">
    <w:name w:val="Balloon Text"/>
    <w:basedOn w:val="1"/>
    <w:link w:val="62"/>
    <w:semiHidden/>
    <w:unhideWhenUsed/>
    <w:qFormat/>
    <w:uiPriority w:val="99"/>
    <w:rPr>
      <w:rFonts w:ascii="Segoe UI" w:hAnsi="Segoe UI" w:cs="Segoe UI"/>
      <w:sz w:val="18"/>
      <w:szCs w:val="18"/>
    </w:rPr>
  </w:style>
  <w:style w:type="paragraph" w:styleId="15">
    <w:name w:val="Body Text"/>
    <w:basedOn w:val="1"/>
    <w:link w:val="115"/>
    <w:unhideWhenUsed/>
    <w:qFormat/>
    <w:uiPriority w:val="1"/>
    <w:pPr>
      <w:spacing w:after="120" w:line="288" w:lineRule="auto"/>
    </w:pPr>
    <w:rPr>
      <w:rFonts w:ascii="Calibri" w:hAnsi="Calibri" w:eastAsia="DengXian"/>
      <w:sz w:val="21"/>
      <w:szCs w:val="21"/>
    </w:rPr>
  </w:style>
  <w:style w:type="paragraph" w:styleId="16">
    <w:name w:val="caption"/>
    <w:basedOn w:val="1"/>
    <w:next w:val="1"/>
    <w:semiHidden/>
    <w:unhideWhenUsed/>
    <w:qFormat/>
    <w:uiPriority w:val="35"/>
    <w:pPr>
      <w:spacing w:after="200"/>
    </w:pPr>
    <w:rPr>
      <w:rFonts w:ascii="Calibri" w:hAnsi="Calibri" w:eastAsia="DengXian"/>
      <w:b/>
      <w:bCs/>
      <w:smallCaps/>
      <w:color w:val="585858"/>
      <w:sz w:val="21"/>
      <w:szCs w:val="21"/>
    </w:rPr>
  </w:style>
  <w:style w:type="character" w:styleId="17">
    <w:name w:val="annotation reference"/>
    <w:basedOn w:val="12"/>
    <w:unhideWhenUsed/>
    <w:qFormat/>
    <w:uiPriority w:val="99"/>
    <w:rPr>
      <w:sz w:val="16"/>
      <w:szCs w:val="16"/>
    </w:rPr>
  </w:style>
  <w:style w:type="paragraph" w:styleId="18">
    <w:name w:val="annotation text"/>
    <w:basedOn w:val="1"/>
    <w:link w:val="61"/>
    <w:unhideWhenUsed/>
    <w:qFormat/>
    <w:uiPriority w:val="99"/>
    <w:rPr>
      <w:sz w:val="20"/>
      <w:szCs w:val="20"/>
    </w:rPr>
  </w:style>
  <w:style w:type="paragraph" w:styleId="19">
    <w:name w:val="annotation subject"/>
    <w:basedOn w:val="18"/>
    <w:next w:val="18"/>
    <w:link w:val="64"/>
    <w:semiHidden/>
    <w:unhideWhenUsed/>
    <w:qFormat/>
    <w:uiPriority w:val="99"/>
    <w:rPr>
      <w:b/>
      <w:bCs/>
    </w:rPr>
  </w:style>
  <w:style w:type="character" w:styleId="20">
    <w:name w:val="Emphasis"/>
    <w:basedOn w:val="12"/>
    <w:qFormat/>
    <w:uiPriority w:val="20"/>
    <w:rPr>
      <w:b/>
      <w:bCs/>
    </w:rPr>
  </w:style>
  <w:style w:type="character" w:styleId="21">
    <w:name w:val="FollowedHyperlink"/>
    <w:basedOn w:val="12"/>
    <w:semiHidden/>
    <w:unhideWhenUsed/>
    <w:qFormat/>
    <w:uiPriority w:val="99"/>
    <w:rPr>
      <w:color w:val="954F72"/>
      <w:u w:val="single"/>
    </w:rPr>
  </w:style>
  <w:style w:type="paragraph" w:styleId="22">
    <w:name w:val="footer"/>
    <w:link w:val="38"/>
    <w:qFormat/>
    <w:uiPriority w:val="99"/>
    <w:pPr>
      <w:tabs>
        <w:tab w:val="center" w:pos="4513"/>
        <w:tab w:val="right" w:pos="9026"/>
      </w:tabs>
    </w:pPr>
    <w:rPr>
      <w:rFonts w:ascii="Calibri" w:hAnsi="Calibri" w:eastAsia="Arial Unicode MS" w:cs="Arial Unicode MS"/>
      <w:color w:val="000000"/>
      <w:sz w:val="22"/>
      <w:szCs w:val="22"/>
      <w:u w:color="000000"/>
      <w:lang w:val="en-US" w:eastAsia="en-US" w:bidi="ar-SA"/>
      <w14:ligatures w14:val="standardContextual"/>
    </w:rPr>
  </w:style>
  <w:style w:type="character" w:styleId="23">
    <w:name w:val="footnote reference"/>
    <w:qFormat/>
    <w:uiPriority w:val="0"/>
    <w:rPr>
      <w:vertAlign w:val="superscript"/>
      <w:lang w:val="en-US"/>
    </w:rPr>
  </w:style>
  <w:style w:type="paragraph" w:styleId="24">
    <w:name w:val="footnote text"/>
    <w:link w:val="43"/>
    <w:qFormat/>
    <w:uiPriority w:val="99"/>
    <w:rPr>
      <w:rFonts w:ascii="Calibri" w:hAnsi="Calibri" w:eastAsia="Calibri" w:cs="Calibri"/>
      <w:color w:val="000000"/>
      <w:u w:color="000000"/>
      <w:lang w:val="en-US" w:eastAsia="en-US" w:bidi="ar-SA"/>
      <w14:ligatures w14:val="standardContextual"/>
    </w:rPr>
  </w:style>
  <w:style w:type="paragraph" w:styleId="25">
    <w:name w:val="header"/>
    <w:basedOn w:val="1"/>
    <w:link w:val="65"/>
    <w:unhideWhenUsed/>
    <w:qFormat/>
    <w:uiPriority w:val="99"/>
    <w:pPr>
      <w:tabs>
        <w:tab w:val="center" w:pos="4680"/>
        <w:tab w:val="right" w:pos="9360"/>
      </w:tabs>
    </w:pPr>
  </w:style>
  <w:style w:type="character" w:styleId="26">
    <w:name w:val="HTML Cite"/>
    <w:basedOn w:val="12"/>
    <w:semiHidden/>
    <w:unhideWhenUsed/>
    <w:qFormat/>
    <w:uiPriority w:val="99"/>
    <w:rPr>
      <w:i/>
      <w:iCs/>
    </w:rPr>
  </w:style>
  <w:style w:type="character" w:styleId="27">
    <w:name w:val="Hyperlink"/>
    <w:qFormat/>
    <w:uiPriority w:val="0"/>
    <w:rPr>
      <w:u w:val="single"/>
    </w:rPr>
  </w:style>
  <w:style w:type="paragraph" w:styleId="28">
    <w:name w:val="Normal (Web)"/>
    <w:qFormat/>
    <w:uiPriority w:val="0"/>
    <w:pPr>
      <w:spacing w:after="200" w:line="276" w:lineRule="auto"/>
    </w:pPr>
    <w:rPr>
      <w:rFonts w:ascii="Times New Roman" w:hAnsi="Times New Roman" w:eastAsia="Times New Roman" w:cs="Times New Roman"/>
      <w:color w:val="000000"/>
      <w:sz w:val="24"/>
      <w:szCs w:val="24"/>
      <w:u w:color="000000"/>
      <w:lang w:val="en-US" w:eastAsia="en-US" w:bidi="ar-SA"/>
      <w14:ligatures w14:val="standardContextual"/>
    </w:rPr>
  </w:style>
  <w:style w:type="character" w:styleId="29">
    <w:name w:val="Strong"/>
    <w:basedOn w:val="12"/>
    <w:qFormat/>
    <w:uiPriority w:val="22"/>
    <w:rPr>
      <w:b/>
      <w:bCs/>
    </w:rPr>
  </w:style>
  <w:style w:type="paragraph" w:styleId="30">
    <w:name w:val="Subtitle"/>
    <w:next w:val="31"/>
    <w:link w:val="40"/>
    <w:qFormat/>
    <w:uiPriority w:val="0"/>
    <w:pPr>
      <w:spacing w:after="160"/>
    </w:pPr>
    <w:rPr>
      <w:rFonts w:ascii="Helvetica Neue" w:hAnsi="Helvetica Neue" w:eastAsia="Arial Unicode MS" w:cs="Arial Unicode MS"/>
      <w:color w:val="5A5A5A"/>
      <w:spacing w:val="15"/>
      <w:sz w:val="22"/>
      <w:szCs w:val="22"/>
      <w:u w:color="5A5A5A"/>
      <w:lang w:val="en-US" w:eastAsia="en-US" w:bidi="ar-SA"/>
      <w14:ligatures w14:val="standardContextual"/>
    </w:rPr>
  </w:style>
  <w:style w:type="paragraph" w:customStyle="1" w:styleId="31">
    <w:name w:val="Body"/>
    <w:qFormat/>
    <w:uiPriority w:val="0"/>
    <w:rPr>
      <w:rFonts w:ascii="Times New Roman" w:hAnsi="Times New Roman" w:eastAsia="Arial Unicode MS" w:cs="Arial Unicode MS"/>
      <w:color w:val="000000"/>
      <w:sz w:val="24"/>
      <w:szCs w:val="24"/>
      <w:u w:color="000000"/>
      <w:lang w:val="en-US" w:eastAsia="en-US" w:bidi="ar-SA"/>
      <w14:ligatures w14:val="standardContextual"/>
    </w:rPr>
  </w:style>
  <w:style w:type="table" w:styleId="32">
    <w:name w:val="Table Grid"/>
    <w:basedOn w:val="13"/>
    <w:qFormat/>
    <w:uiPriority w:val="39"/>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3">
    <w:name w:val="Title"/>
    <w:basedOn w:val="1"/>
    <w:next w:val="1"/>
    <w:link w:val="105"/>
    <w:qFormat/>
    <w:uiPriority w:val="10"/>
    <w:pPr>
      <w:contextualSpacing/>
    </w:pPr>
    <w:rPr>
      <w:rFonts w:ascii="Calibri Light" w:hAnsi="Calibri Light" w:eastAsia="DengXian Light"/>
      <w:color w:val="252525"/>
      <w:spacing w:val="-15"/>
      <w:sz w:val="96"/>
      <w:szCs w:val="96"/>
    </w:rPr>
  </w:style>
  <w:style w:type="paragraph" w:styleId="34">
    <w:name w:val="toc 1"/>
    <w:qFormat/>
    <w:uiPriority w:val="0"/>
    <w:pPr>
      <w:tabs>
        <w:tab w:val="right" w:leader="dot" w:pos="9000"/>
      </w:tabs>
      <w:spacing w:after="100" w:line="276" w:lineRule="auto"/>
      <w:ind w:left="360"/>
    </w:pPr>
    <w:rPr>
      <w:rFonts w:ascii="Arial" w:hAnsi="Arial" w:eastAsia="Arial" w:cs="Arial"/>
      <w:i/>
      <w:iCs/>
      <w:smallCaps/>
      <w:color w:val="000000"/>
      <w:kern w:val="32"/>
      <w:sz w:val="22"/>
      <w:szCs w:val="22"/>
      <w:u w:color="000000"/>
      <w:lang w:val="en-US" w:eastAsia="en-US" w:bidi="ar-SA"/>
      <w14:ligatures w14:val="standardContextual"/>
    </w:rPr>
  </w:style>
  <w:style w:type="paragraph" w:styleId="35">
    <w:name w:val="toc 2"/>
    <w:qFormat/>
    <w:uiPriority w:val="0"/>
    <w:pPr>
      <w:tabs>
        <w:tab w:val="right" w:leader="dot" w:pos="9000"/>
      </w:tabs>
      <w:spacing w:after="100" w:line="276" w:lineRule="auto"/>
      <w:ind w:left="680" w:hanging="680"/>
    </w:pPr>
    <w:rPr>
      <w:rFonts w:ascii="Arial" w:hAnsi="Arial" w:eastAsia="Arial" w:cs="Arial"/>
      <w:b/>
      <w:bCs/>
      <w:color w:val="000000"/>
      <w:sz w:val="24"/>
      <w:szCs w:val="24"/>
      <w:u w:color="000000"/>
      <w:lang w:val="en-US" w:eastAsia="en-US" w:bidi="ar-SA"/>
      <w14:ligatures w14:val="standardContextual"/>
    </w:rPr>
  </w:style>
  <w:style w:type="character" w:customStyle="1" w:styleId="36">
    <w:name w:val="Heading 2 Char"/>
    <w:basedOn w:val="12"/>
    <w:link w:val="3"/>
    <w:qFormat/>
    <w:uiPriority w:val="0"/>
    <w:rPr>
      <w:rFonts w:ascii="Arial" w:hAnsi="Arial" w:eastAsia="Arial" w:cs="Arial"/>
      <w:b/>
      <w:bCs/>
      <w:caps/>
      <w:color w:val="000000"/>
      <w:kern w:val="0"/>
      <w:sz w:val="28"/>
      <w:szCs w:val="28"/>
      <w:u w:color="000000"/>
      <w:lang w:val="en-US"/>
    </w:rPr>
  </w:style>
  <w:style w:type="paragraph" w:customStyle="1" w:styleId="37">
    <w:name w:val="Header &amp; Footer"/>
    <w:qFormat/>
    <w:uiPriority w:val="0"/>
    <w:pPr>
      <w:tabs>
        <w:tab w:val="right" w:pos="9020"/>
      </w:tabs>
    </w:pPr>
    <w:rPr>
      <w:rFonts w:ascii="Helvetica Neue" w:hAnsi="Helvetica Neue" w:eastAsia="Arial Unicode MS" w:cs="Arial Unicode MS"/>
      <w:color w:val="000000"/>
      <w:sz w:val="24"/>
      <w:szCs w:val="24"/>
      <w:lang w:val="en-US" w:eastAsia="en-US" w:bidi="ar-SA"/>
      <w14:ligatures w14:val="standardContextual"/>
    </w:rPr>
  </w:style>
  <w:style w:type="character" w:customStyle="1" w:styleId="38">
    <w:name w:val="Footer Char"/>
    <w:basedOn w:val="12"/>
    <w:link w:val="22"/>
    <w:qFormat/>
    <w:uiPriority w:val="99"/>
    <w:rPr>
      <w:rFonts w:ascii="Calibri" w:hAnsi="Calibri" w:eastAsia="Arial Unicode MS" w:cs="Arial Unicode MS"/>
      <w:color w:val="000000"/>
      <w:kern w:val="0"/>
      <w:u w:color="000000"/>
      <w:lang w:val="en-US"/>
    </w:rPr>
  </w:style>
  <w:style w:type="paragraph" w:customStyle="1" w:styleId="39">
    <w:name w:val="Heading"/>
    <w:next w:val="4"/>
    <w:qFormat/>
    <w:uiPriority w:val="0"/>
    <w:pPr>
      <w:keepNext/>
      <w:keepLines/>
      <w:spacing w:line="360" w:lineRule="auto"/>
      <w:outlineLvl w:val="0"/>
    </w:pPr>
    <w:rPr>
      <w:rFonts w:ascii="Arial" w:hAnsi="Arial" w:eastAsia="Arial" w:cs="Arial"/>
      <w:caps/>
      <w:color w:val="000000"/>
      <w:sz w:val="24"/>
      <w:szCs w:val="24"/>
      <w:u w:color="000000"/>
      <w:lang w:val="en-US" w:eastAsia="en-US" w:bidi="ar-SA"/>
      <w14:ligatures w14:val="standardContextual"/>
    </w:rPr>
  </w:style>
  <w:style w:type="character" w:customStyle="1" w:styleId="40">
    <w:name w:val="Subtitle Char"/>
    <w:basedOn w:val="12"/>
    <w:link w:val="30"/>
    <w:qFormat/>
    <w:uiPriority w:val="0"/>
    <w:rPr>
      <w:rFonts w:ascii="Helvetica Neue" w:hAnsi="Helvetica Neue" w:eastAsia="Arial Unicode MS" w:cs="Arial Unicode MS"/>
      <w:color w:val="5A5A5A"/>
      <w:spacing w:val="15"/>
      <w:kern w:val="0"/>
      <w:u w:color="5A5A5A"/>
      <w:lang w:val="en-US"/>
    </w:rPr>
  </w:style>
  <w:style w:type="character" w:customStyle="1" w:styleId="41">
    <w:name w:val="None A"/>
    <w:qFormat/>
    <w:uiPriority w:val="0"/>
  </w:style>
  <w:style w:type="paragraph" w:customStyle="1" w:styleId="42">
    <w:name w:val="Body B"/>
    <w:qFormat/>
    <w:uiPriority w:val="0"/>
    <w:rPr>
      <w:rFonts w:ascii="Times New Roman" w:hAnsi="Times New Roman" w:eastAsia="Arial Unicode MS" w:cs="Arial Unicode MS"/>
      <w:color w:val="000000"/>
      <w:sz w:val="24"/>
      <w:szCs w:val="24"/>
      <w:u w:color="000000"/>
      <w:lang w:val="en-US" w:eastAsia="en-US" w:bidi="ar-SA"/>
      <w14:ligatures w14:val="standardContextual"/>
    </w:rPr>
  </w:style>
  <w:style w:type="character" w:customStyle="1" w:styleId="43">
    <w:name w:val="Footnote Text Char"/>
    <w:basedOn w:val="12"/>
    <w:link w:val="24"/>
    <w:qFormat/>
    <w:uiPriority w:val="99"/>
    <w:rPr>
      <w:rFonts w:ascii="Calibri" w:hAnsi="Calibri" w:eastAsia="Calibri" w:cs="Calibri"/>
      <w:color w:val="000000"/>
      <w:kern w:val="0"/>
      <w:sz w:val="20"/>
      <w:szCs w:val="20"/>
      <w:u w:color="000000"/>
      <w:lang w:val="en-US"/>
    </w:rPr>
  </w:style>
  <w:style w:type="character" w:customStyle="1" w:styleId="44">
    <w:name w:val="Link"/>
    <w:qFormat/>
    <w:uiPriority w:val="0"/>
    <w:rPr>
      <w:color w:val="0000FF"/>
      <w:u w:val="single" w:color="0000FF"/>
    </w:rPr>
  </w:style>
  <w:style w:type="character" w:customStyle="1" w:styleId="45">
    <w:name w:val="Hyperlink.0"/>
    <w:basedOn w:val="44"/>
    <w:qFormat/>
    <w:uiPriority w:val="0"/>
    <w:rPr>
      <w:rFonts w:ascii="Times New Roman" w:hAnsi="Times New Roman" w:eastAsia="Times New Roman" w:cs="Times New Roman"/>
      <w:color w:val="0000FF"/>
      <w:u w:val="single" w:color="0000FF"/>
    </w:rPr>
  </w:style>
  <w:style w:type="character" w:customStyle="1" w:styleId="46">
    <w:name w:val="Hyperlink.1"/>
    <w:basedOn w:val="44"/>
    <w:qFormat/>
    <w:uiPriority w:val="0"/>
    <w:rPr>
      <w:rFonts w:ascii="Times New Roman" w:hAnsi="Times New Roman" w:eastAsia="Times New Roman" w:cs="Times New Roman"/>
      <w:color w:val="0000FF"/>
      <w:u w:val="single" w:color="0000FF"/>
      <w:vertAlign w:val="superscript"/>
    </w:rPr>
  </w:style>
  <w:style w:type="character" w:customStyle="1" w:styleId="47">
    <w:name w:val="Hyperlink.2"/>
    <w:basedOn w:val="44"/>
    <w:qFormat/>
    <w:uiPriority w:val="0"/>
    <w:rPr>
      <w:rFonts w:ascii="Times New Roman" w:hAnsi="Times New Roman" w:eastAsia="Times New Roman" w:cs="Times New Roman"/>
      <w:color w:val="0000FF"/>
      <w:sz w:val="24"/>
      <w:szCs w:val="24"/>
      <w:u w:val="none" w:color="0000FF"/>
    </w:rPr>
  </w:style>
  <w:style w:type="character" w:customStyle="1" w:styleId="48">
    <w:name w:val="None"/>
    <w:qFormat/>
    <w:uiPriority w:val="0"/>
  </w:style>
  <w:style w:type="character" w:customStyle="1" w:styleId="49">
    <w:name w:val="Hyperlink.3"/>
    <w:basedOn w:val="48"/>
    <w:qFormat/>
    <w:uiPriority w:val="0"/>
    <w:rPr>
      <w:rFonts w:ascii="Times New Roman" w:hAnsi="Times New Roman" w:eastAsia="Times New Roman" w:cs="Times New Roman"/>
      <w:color w:val="0563C1"/>
      <w:u w:val="single" w:color="0563C1"/>
    </w:rPr>
  </w:style>
  <w:style w:type="character" w:customStyle="1" w:styleId="50">
    <w:name w:val="Hyperlink.4"/>
    <w:basedOn w:val="48"/>
    <w:qFormat/>
    <w:uiPriority w:val="0"/>
    <w:rPr>
      <w:rFonts w:ascii="Times New Roman" w:hAnsi="Times New Roman" w:eastAsia="Times New Roman" w:cs="Times New Roman"/>
      <w:vertAlign w:val="baseline"/>
    </w:rPr>
  </w:style>
  <w:style w:type="character" w:customStyle="1" w:styleId="51">
    <w:name w:val="Hyperlink.4.0"/>
    <w:qFormat/>
    <w:uiPriority w:val="0"/>
    <w:rPr>
      <w:rFonts w:ascii="Arial" w:hAnsi="Arial"/>
      <w:sz w:val="18"/>
      <w:szCs w:val="18"/>
      <w:lang w:val="en-US"/>
    </w:rPr>
  </w:style>
  <w:style w:type="paragraph" w:styleId="52">
    <w:name w:val="List Paragraph"/>
    <w:link w:val="104"/>
    <w:qFormat/>
    <w:uiPriority w:val="1"/>
    <w:pPr>
      <w:spacing w:after="200" w:line="276" w:lineRule="auto"/>
      <w:ind w:left="720"/>
    </w:pPr>
    <w:rPr>
      <w:rFonts w:ascii="Calibri" w:hAnsi="Calibri" w:eastAsia="Calibri" w:cs="Calibri"/>
      <w:color w:val="000000"/>
      <w:sz w:val="22"/>
      <w:szCs w:val="22"/>
      <w:u w:color="000000"/>
      <w:lang w:val="en-US" w:eastAsia="en-US" w:bidi="ar-SA"/>
      <w14:ligatures w14:val="standardContextual"/>
    </w:rPr>
  </w:style>
  <w:style w:type="character" w:customStyle="1" w:styleId="53">
    <w:name w:val="Hyperlink.5"/>
    <w:basedOn w:val="48"/>
    <w:qFormat/>
    <w:uiPriority w:val="0"/>
    <w:rPr>
      <w:color w:val="0563C1"/>
      <w:u w:val="single" w:color="0563C1"/>
    </w:rPr>
  </w:style>
  <w:style w:type="character" w:customStyle="1" w:styleId="54">
    <w:name w:val="Hyperlink.3.0"/>
    <w:qFormat/>
    <w:uiPriority w:val="0"/>
    <w:rPr>
      <w:rFonts w:ascii="Arial" w:hAnsi="Arial"/>
      <w:sz w:val="18"/>
      <w:szCs w:val="18"/>
      <w:lang w:val="en-US"/>
    </w:rPr>
  </w:style>
  <w:style w:type="paragraph" w:customStyle="1" w:styleId="55">
    <w:name w:val="Default"/>
    <w:qFormat/>
    <w:uiPriority w:val="0"/>
    <w:pPr>
      <w:spacing w:before="160"/>
    </w:pPr>
    <w:rPr>
      <w:rFonts w:ascii="Helvetica Neue" w:hAnsi="Helvetica Neue" w:eastAsia="Helvetica Neue" w:cs="Helvetica Neue"/>
      <w:color w:val="000000"/>
      <w:sz w:val="24"/>
      <w:szCs w:val="24"/>
      <w:lang w:val="en-US" w:eastAsia="en-US" w:bidi="ar-SA"/>
      <w14:ligatures w14:val="standardContextual"/>
    </w:rPr>
  </w:style>
  <w:style w:type="character" w:customStyle="1" w:styleId="56">
    <w:name w:val="Hyperlink.6"/>
    <w:basedOn w:val="48"/>
    <w:qFormat/>
    <w:uiPriority w:val="0"/>
    <w:rPr>
      <w:rFonts w:ascii="Times New Roman" w:hAnsi="Times New Roman" w:eastAsia="Times New Roman" w:cs="Times New Roman"/>
      <w:sz w:val="20"/>
      <w:szCs w:val="20"/>
    </w:rPr>
  </w:style>
  <w:style w:type="character" w:customStyle="1" w:styleId="57">
    <w:name w:val="Hyperlink.7"/>
    <w:basedOn w:val="48"/>
    <w:qFormat/>
    <w:uiPriority w:val="0"/>
    <w:rPr>
      <w:rFonts w:ascii="Times New Roman" w:hAnsi="Times New Roman" w:eastAsia="Times New Roman" w:cs="Times New Roman"/>
      <w:sz w:val="20"/>
      <w:szCs w:val="20"/>
      <w:shd w:val="clear" w:color="auto" w:fill="FFFFFF"/>
    </w:rPr>
  </w:style>
  <w:style w:type="character" w:customStyle="1" w:styleId="58">
    <w:name w:val="Hyperlink.8"/>
    <w:basedOn w:val="48"/>
    <w:qFormat/>
    <w:uiPriority w:val="0"/>
    <w:rPr>
      <w:rFonts w:ascii="Arial" w:hAnsi="Arial" w:eastAsia="Arial" w:cs="Arial"/>
      <w:color w:val="0563C1"/>
      <w:sz w:val="18"/>
      <w:szCs w:val="18"/>
      <w:u w:val="single" w:color="0563C1"/>
    </w:rPr>
  </w:style>
  <w:style w:type="character" w:customStyle="1" w:styleId="59">
    <w:name w:val="Hyperlink.9"/>
    <w:basedOn w:val="48"/>
    <w:qFormat/>
    <w:uiPriority w:val="0"/>
    <w:rPr>
      <w:rFonts w:ascii="Times New Roman" w:hAnsi="Times New Roman" w:eastAsia="Times New Roman" w:cs="Times New Roman"/>
      <w:color w:val="0563C1"/>
      <w:sz w:val="24"/>
      <w:szCs w:val="24"/>
      <w:u w:val="single" w:color="0563C1"/>
    </w:rPr>
  </w:style>
  <w:style w:type="character" w:customStyle="1" w:styleId="60">
    <w:name w:val="Hyperlink.10"/>
    <w:basedOn w:val="48"/>
    <w:qFormat/>
    <w:uiPriority w:val="0"/>
    <w:rPr>
      <w:rFonts w:ascii="Times New Roman" w:hAnsi="Times New Roman" w:eastAsia="Times New Roman" w:cs="Times New Roman"/>
      <w:color w:val="000000"/>
      <w:sz w:val="24"/>
      <w:szCs w:val="24"/>
      <w:u w:val="none" w:color="000000"/>
    </w:rPr>
  </w:style>
  <w:style w:type="character" w:customStyle="1" w:styleId="61">
    <w:name w:val="Comment Text Char"/>
    <w:basedOn w:val="12"/>
    <w:link w:val="18"/>
    <w:qFormat/>
    <w:uiPriority w:val="99"/>
    <w:rPr>
      <w:rFonts w:ascii="Times New Roman" w:hAnsi="Times New Roman" w:eastAsia="Arial Unicode MS" w:cs="Times New Roman"/>
      <w:kern w:val="0"/>
      <w:sz w:val="20"/>
      <w:szCs w:val="20"/>
      <w:lang w:val="en-US"/>
    </w:rPr>
  </w:style>
  <w:style w:type="character" w:customStyle="1" w:styleId="62">
    <w:name w:val="Balloon Text Char"/>
    <w:basedOn w:val="12"/>
    <w:link w:val="14"/>
    <w:semiHidden/>
    <w:qFormat/>
    <w:uiPriority w:val="99"/>
    <w:rPr>
      <w:rFonts w:ascii="Segoe UI" w:hAnsi="Segoe UI" w:eastAsia="Arial Unicode MS" w:cs="Segoe UI"/>
      <w:kern w:val="0"/>
      <w:sz w:val="18"/>
      <w:szCs w:val="18"/>
      <w:lang w:val="en-US"/>
    </w:rPr>
  </w:style>
  <w:style w:type="paragraph" w:styleId="63">
    <w:name w:val="No Spacing"/>
    <w:link w:val="94"/>
    <w:qFormat/>
    <w:uiPriority w:val="1"/>
    <w:rPr>
      <w:rFonts w:ascii="Times New Roman" w:hAnsi="Times New Roman" w:eastAsia="Arial Unicode MS" w:cs="Times New Roman"/>
      <w:sz w:val="24"/>
      <w:szCs w:val="24"/>
      <w:lang w:val="en-US" w:eastAsia="en-US" w:bidi="ar-SA"/>
      <w14:ligatures w14:val="standardContextual"/>
    </w:rPr>
  </w:style>
  <w:style w:type="character" w:customStyle="1" w:styleId="64">
    <w:name w:val="Comment Subject Char"/>
    <w:basedOn w:val="61"/>
    <w:link w:val="19"/>
    <w:semiHidden/>
    <w:qFormat/>
    <w:uiPriority w:val="99"/>
    <w:rPr>
      <w:rFonts w:ascii="Times New Roman" w:hAnsi="Times New Roman" w:eastAsia="Arial Unicode MS" w:cs="Times New Roman"/>
      <w:b/>
      <w:bCs/>
      <w:kern w:val="0"/>
      <w:sz w:val="20"/>
      <w:szCs w:val="20"/>
      <w:lang w:val="en-US"/>
    </w:rPr>
  </w:style>
  <w:style w:type="character" w:customStyle="1" w:styleId="65">
    <w:name w:val="Header Char"/>
    <w:basedOn w:val="12"/>
    <w:link w:val="25"/>
    <w:qFormat/>
    <w:uiPriority w:val="99"/>
    <w:rPr>
      <w:rFonts w:ascii="Times New Roman" w:hAnsi="Times New Roman" w:eastAsia="Arial Unicode MS" w:cs="Times New Roman"/>
      <w:kern w:val="0"/>
      <w:sz w:val="24"/>
      <w:szCs w:val="24"/>
      <w:lang w:val="en-US"/>
    </w:rPr>
  </w:style>
  <w:style w:type="character" w:customStyle="1" w:styleId="66">
    <w:name w:val="Heading 1 Char"/>
    <w:basedOn w:val="12"/>
    <w:link w:val="2"/>
    <w:qFormat/>
    <w:uiPriority w:val="9"/>
    <w:rPr>
      <w:rFonts w:ascii="Verdana Bold" w:hAnsi="Verdana Bold" w:eastAsia="DengXian Light" w:cs="Times New Roman"/>
      <w:bCs/>
      <w:smallCaps/>
      <w:kern w:val="0"/>
      <w:sz w:val="24"/>
      <w:szCs w:val="24"/>
      <w:shd w:val="clear" w:color="auto" w:fill="FFFFFF"/>
      <w:lang w:val="en-US"/>
    </w:rPr>
  </w:style>
  <w:style w:type="character" w:customStyle="1" w:styleId="67">
    <w:name w:val="Heading 3 Char"/>
    <w:basedOn w:val="12"/>
    <w:link w:val="5"/>
    <w:qFormat/>
    <w:uiPriority w:val="9"/>
    <w:rPr>
      <w:rFonts w:ascii="Cambria" w:hAnsi="Cambria" w:eastAsia="Times New Roman" w:cs="Times New Roman"/>
      <w:b/>
      <w:bCs/>
      <w:kern w:val="0"/>
      <w:sz w:val="26"/>
      <w:szCs w:val="26"/>
      <w:lang w:val="en-US"/>
    </w:rPr>
  </w:style>
  <w:style w:type="character" w:customStyle="1" w:styleId="68">
    <w:name w:val="Heading 4 Char"/>
    <w:basedOn w:val="12"/>
    <w:link w:val="6"/>
    <w:qFormat/>
    <w:uiPriority w:val="9"/>
    <w:rPr>
      <w:rFonts w:ascii="Calibri" w:hAnsi="Calibri" w:eastAsia="Times New Roman" w:cs="Times New Roman"/>
      <w:b/>
      <w:bCs/>
      <w:kern w:val="0"/>
      <w:sz w:val="28"/>
      <w:szCs w:val="28"/>
      <w:lang w:val="en-US"/>
    </w:rPr>
  </w:style>
  <w:style w:type="character" w:customStyle="1" w:styleId="69">
    <w:name w:val="Heading 5 Char"/>
    <w:basedOn w:val="12"/>
    <w:link w:val="7"/>
    <w:qFormat/>
    <w:uiPriority w:val="9"/>
    <w:rPr>
      <w:rFonts w:ascii="Calibri" w:hAnsi="Calibri" w:eastAsia="Times New Roman" w:cs="Times New Roman"/>
      <w:b/>
      <w:bCs/>
      <w:i/>
      <w:iCs/>
      <w:kern w:val="0"/>
      <w:sz w:val="26"/>
      <w:szCs w:val="26"/>
      <w:lang w:val="en-US"/>
    </w:rPr>
  </w:style>
  <w:style w:type="character" w:customStyle="1" w:styleId="70">
    <w:name w:val="Heading 6 Char"/>
    <w:basedOn w:val="12"/>
    <w:link w:val="8"/>
    <w:qFormat/>
    <w:uiPriority w:val="9"/>
    <w:rPr>
      <w:rFonts w:ascii="Times New Roman" w:hAnsi="Times New Roman" w:eastAsia="Times New Roman" w:cs="Times New Roman"/>
      <w:b/>
      <w:bCs/>
      <w:kern w:val="0"/>
      <w:lang w:val="en-US"/>
    </w:rPr>
  </w:style>
  <w:style w:type="character" w:customStyle="1" w:styleId="71">
    <w:name w:val="Heading 7 Char"/>
    <w:basedOn w:val="12"/>
    <w:link w:val="9"/>
    <w:qFormat/>
    <w:uiPriority w:val="9"/>
    <w:rPr>
      <w:rFonts w:ascii="Calibri" w:hAnsi="Calibri" w:eastAsia="Times New Roman" w:cs="Times New Roman"/>
      <w:kern w:val="0"/>
      <w:sz w:val="24"/>
      <w:szCs w:val="24"/>
      <w:lang w:val="en-US"/>
    </w:rPr>
  </w:style>
  <w:style w:type="character" w:customStyle="1" w:styleId="72">
    <w:name w:val="Heading 8 Char"/>
    <w:basedOn w:val="12"/>
    <w:link w:val="10"/>
    <w:qFormat/>
    <w:uiPriority w:val="9"/>
    <w:rPr>
      <w:rFonts w:ascii="Calibri" w:hAnsi="Calibri" w:eastAsia="Times New Roman" w:cs="Times New Roman"/>
      <w:i/>
      <w:iCs/>
      <w:kern w:val="0"/>
      <w:sz w:val="24"/>
      <w:szCs w:val="24"/>
      <w:lang w:val="en-US"/>
    </w:rPr>
  </w:style>
  <w:style w:type="character" w:customStyle="1" w:styleId="73">
    <w:name w:val="Heading 9 Char"/>
    <w:basedOn w:val="12"/>
    <w:link w:val="11"/>
    <w:qFormat/>
    <w:uiPriority w:val="9"/>
    <w:rPr>
      <w:rFonts w:ascii="Cambria" w:hAnsi="Cambria" w:eastAsia="Times New Roman" w:cs="Times New Roman"/>
      <w:kern w:val="0"/>
      <w:lang w:val="en-US"/>
    </w:rPr>
  </w:style>
  <w:style w:type="paragraph" w:customStyle="1" w:styleId="74">
    <w:name w:val="Tomb contact mono"/>
    <w:basedOn w:val="1"/>
    <w:qFormat/>
    <w:uiPriority w:val="99"/>
    <w:pPr>
      <w:widowControl w:val="0"/>
      <w:pBdr>
        <w:top w:val="single" w:color="auto" w:sz="8" w:space="12"/>
        <w:bottom w:val="single" w:color="auto" w:sz="8" w:space="7"/>
      </w:pBdr>
      <w:suppressAutoHyphens/>
      <w:autoSpaceDE w:val="0"/>
      <w:autoSpaceDN w:val="0"/>
      <w:adjustRightInd w:val="0"/>
      <w:spacing w:after="240" w:line="240" w:lineRule="atLeast"/>
      <w:textAlignment w:val="center"/>
    </w:pPr>
    <w:rPr>
      <w:rFonts w:ascii="FranklinGothic-Demi" w:hAnsi="FranklinGothic-Demi" w:eastAsia="Cambria" w:cs="FranklinGothic-Demi"/>
      <w:color w:val="000000"/>
      <w:sz w:val="20"/>
      <w:szCs w:val="20"/>
      <w:lang w:val="en-GB"/>
    </w:rPr>
  </w:style>
  <w:style w:type="character" w:customStyle="1" w:styleId="75">
    <w:name w:val="st1"/>
    <w:basedOn w:val="12"/>
    <w:qFormat/>
    <w:uiPriority w:val="0"/>
  </w:style>
  <w:style w:type="paragraph" w:customStyle="1" w:styleId="76">
    <w:name w:val="TOC Heading1"/>
    <w:basedOn w:val="2"/>
    <w:next w:val="1"/>
    <w:unhideWhenUsed/>
    <w:qFormat/>
    <w:uiPriority w:val="39"/>
    <w:pPr>
      <w:outlineLvl w:val="9"/>
    </w:pPr>
    <w:rPr>
      <w:lang w:eastAsia="ja-JP"/>
    </w:rPr>
  </w:style>
  <w:style w:type="character" w:customStyle="1" w:styleId="77">
    <w:name w:val="selectable"/>
    <w:basedOn w:val="12"/>
    <w:qFormat/>
    <w:uiPriority w:val="0"/>
  </w:style>
  <w:style w:type="paragraph" w:customStyle="1" w:styleId="78">
    <w:name w:val="Heading 11"/>
    <w:basedOn w:val="1"/>
    <w:next w:val="1"/>
    <w:qFormat/>
    <w:uiPriority w:val="9"/>
    <w:pPr>
      <w:keepNext/>
      <w:numPr>
        <w:ilvl w:val="0"/>
        <w:numId w:val="1"/>
      </w:numPr>
      <w:tabs>
        <w:tab w:val="clear" w:pos="720"/>
      </w:tabs>
      <w:spacing w:before="240" w:after="60"/>
      <w:ind w:hanging="360"/>
      <w:outlineLvl w:val="0"/>
    </w:pPr>
    <w:rPr>
      <w:rFonts w:ascii="Cambria" w:hAnsi="Cambria" w:eastAsia="Times New Roman"/>
      <w:b/>
      <w:bCs/>
      <w:kern w:val="32"/>
      <w:sz w:val="32"/>
      <w:szCs w:val="32"/>
    </w:rPr>
  </w:style>
  <w:style w:type="paragraph" w:customStyle="1" w:styleId="79">
    <w:name w:val="Heading 21"/>
    <w:basedOn w:val="1"/>
    <w:next w:val="1"/>
    <w:semiHidden/>
    <w:unhideWhenUsed/>
    <w:qFormat/>
    <w:uiPriority w:val="9"/>
    <w:pPr>
      <w:keepNext/>
      <w:numPr>
        <w:ilvl w:val="1"/>
        <w:numId w:val="1"/>
      </w:numPr>
      <w:tabs>
        <w:tab w:val="clear" w:pos="1440"/>
      </w:tabs>
      <w:spacing w:before="240" w:after="60"/>
      <w:ind w:hanging="360"/>
      <w:outlineLvl w:val="1"/>
    </w:pPr>
    <w:rPr>
      <w:rFonts w:ascii="Cambria" w:hAnsi="Cambria" w:eastAsia="Times New Roman"/>
      <w:b/>
      <w:bCs/>
      <w:i/>
      <w:iCs/>
      <w:sz w:val="28"/>
      <w:szCs w:val="28"/>
    </w:rPr>
  </w:style>
  <w:style w:type="paragraph" w:customStyle="1" w:styleId="80">
    <w:name w:val="Heading 31"/>
    <w:basedOn w:val="1"/>
    <w:next w:val="1"/>
    <w:semiHidden/>
    <w:unhideWhenUsed/>
    <w:qFormat/>
    <w:uiPriority w:val="9"/>
    <w:pPr>
      <w:keepNext/>
      <w:numPr>
        <w:ilvl w:val="2"/>
        <w:numId w:val="1"/>
      </w:numPr>
      <w:tabs>
        <w:tab w:val="clear" w:pos="2160"/>
      </w:tabs>
      <w:spacing w:before="240" w:after="60"/>
      <w:ind w:hanging="180"/>
      <w:outlineLvl w:val="2"/>
    </w:pPr>
    <w:rPr>
      <w:rFonts w:ascii="Cambria" w:hAnsi="Cambria" w:eastAsia="Times New Roman"/>
      <w:b/>
      <w:bCs/>
      <w:sz w:val="26"/>
      <w:szCs w:val="26"/>
    </w:rPr>
  </w:style>
  <w:style w:type="paragraph" w:customStyle="1" w:styleId="81">
    <w:name w:val="Heading 41"/>
    <w:basedOn w:val="1"/>
    <w:next w:val="1"/>
    <w:semiHidden/>
    <w:unhideWhenUsed/>
    <w:qFormat/>
    <w:uiPriority w:val="9"/>
    <w:pPr>
      <w:keepNext/>
      <w:numPr>
        <w:ilvl w:val="3"/>
        <w:numId w:val="1"/>
      </w:numPr>
      <w:tabs>
        <w:tab w:val="clear" w:pos="2880"/>
      </w:tabs>
      <w:spacing w:before="240" w:after="60"/>
      <w:ind w:hanging="360"/>
      <w:outlineLvl w:val="3"/>
    </w:pPr>
    <w:rPr>
      <w:rFonts w:ascii="Calibri" w:hAnsi="Calibri" w:eastAsia="Times New Roman"/>
      <w:b/>
      <w:bCs/>
      <w:sz w:val="28"/>
      <w:szCs w:val="28"/>
    </w:rPr>
  </w:style>
  <w:style w:type="paragraph" w:customStyle="1" w:styleId="82">
    <w:name w:val="Heading 51"/>
    <w:basedOn w:val="1"/>
    <w:next w:val="1"/>
    <w:semiHidden/>
    <w:unhideWhenUsed/>
    <w:qFormat/>
    <w:uiPriority w:val="9"/>
    <w:pPr>
      <w:numPr>
        <w:ilvl w:val="4"/>
        <w:numId w:val="1"/>
      </w:numPr>
      <w:tabs>
        <w:tab w:val="clear" w:pos="3600"/>
      </w:tabs>
      <w:spacing w:before="240" w:after="60"/>
      <w:ind w:hanging="360"/>
      <w:outlineLvl w:val="4"/>
    </w:pPr>
    <w:rPr>
      <w:rFonts w:ascii="Calibri" w:hAnsi="Calibri" w:eastAsia="Times New Roman"/>
      <w:b/>
      <w:bCs/>
      <w:i/>
      <w:iCs/>
      <w:sz w:val="26"/>
      <w:szCs w:val="26"/>
    </w:rPr>
  </w:style>
  <w:style w:type="paragraph" w:customStyle="1" w:styleId="83">
    <w:name w:val="Heading 71"/>
    <w:basedOn w:val="1"/>
    <w:next w:val="1"/>
    <w:semiHidden/>
    <w:unhideWhenUsed/>
    <w:qFormat/>
    <w:uiPriority w:val="9"/>
    <w:pPr>
      <w:numPr>
        <w:ilvl w:val="6"/>
        <w:numId w:val="1"/>
      </w:numPr>
      <w:tabs>
        <w:tab w:val="clear" w:pos="5040"/>
      </w:tabs>
      <w:spacing w:before="240" w:after="60"/>
      <w:ind w:hanging="360"/>
      <w:outlineLvl w:val="6"/>
    </w:pPr>
    <w:rPr>
      <w:rFonts w:ascii="Calibri" w:hAnsi="Calibri" w:eastAsia="Times New Roman"/>
    </w:rPr>
  </w:style>
  <w:style w:type="paragraph" w:customStyle="1" w:styleId="84">
    <w:name w:val="Heading 81"/>
    <w:basedOn w:val="1"/>
    <w:next w:val="1"/>
    <w:semiHidden/>
    <w:unhideWhenUsed/>
    <w:qFormat/>
    <w:uiPriority w:val="9"/>
    <w:pPr>
      <w:numPr>
        <w:ilvl w:val="7"/>
        <w:numId w:val="1"/>
      </w:numPr>
      <w:tabs>
        <w:tab w:val="clear" w:pos="5760"/>
      </w:tabs>
      <w:spacing w:before="240" w:after="60"/>
      <w:ind w:hanging="360"/>
      <w:outlineLvl w:val="7"/>
    </w:pPr>
    <w:rPr>
      <w:rFonts w:ascii="Calibri" w:hAnsi="Calibri" w:eastAsia="Times New Roman"/>
      <w:i/>
      <w:iCs/>
    </w:rPr>
  </w:style>
  <w:style w:type="paragraph" w:customStyle="1" w:styleId="85">
    <w:name w:val="Heading 91"/>
    <w:basedOn w:val="1"/>
    <w:next w:val="1"/>
    <w:semiHidden/>
    <w:unhideWhenUsed/>
    <w:qFormat/>
    <w:uiPriority w:val="9"/>
    <w:pPr>
      <w:numPr>
        <w:ilvl w:val="8"/>
        <w:numId w:val="1"/>
      </w:numPr>
      <w:tabs>
        <w:tab w:val="clear" w:pos="6480"/>
      </w:tabs>
      <w:spacing w:before="240" w:after="60"/>
      <w:ind w:hanging="180"/>
      <w:outlineLvl w:val="8"/>
    </w:pPr>
    <w:rPr>
      <w:rFonts w:ascii="Cambria" w:hAnsi="Cambria" w:eastAsia="Times New Roman"/>
      <w:sz w:val="22"/>
      <w:szCs w:val="22"/>
    </w:rPr>
  </w:style>
  <w:style w:type="character" w:customStyle="1" w:styleId="86">
    <w:name w:val="Heading 1 Char1"/>
    <w:basedOn w:val="12"/>
    <w:qFormat/>
    <w:uiPriority w:val="9"/>
    <w:rPr>
      <w:rFonts w:ascii="Calibri Light" w:hAnsi="Calibri Light" w:eastAsia="DengXian Light" w:cs="Times New Roman"/>
      <w:b/>
      <w:bCs/>
      <w:color w:val="2F5496"/>
      <w:sz w:val="28"/>
      <w:szCs w:val="28"/>
    </w:rPr>
  </w:style>
  <w:style w:type="character" w:customStyle="1" w:styleId="87">
    <w:name w:val="Heading 2 Char1"/>
    <w:basedOn w:val="12"/>
    <w:semiHidden/>
    <w:qFormat/>
    <w:uiPriority w:val="9"/>
    <w:rPr>
      <w:rFonts w:ascii="Calibri Light" w:hAnsi="Calibri Light" w:eastAsia="DengXian Light" w:cs="Times New Roman"/>
      <w:b/>
      <w:bCs/>
      <w:color w:val="4472C4"/>
      <w:sz w:val="26"/>
      <w:szCs w:val="26"/>
    </w:rPr>
  </w:style>
  <w:style w:type="character" w:customStyle="1" w:styleId="88">
    <w:name w:val="Heading 3 Char1"/>
    <w:basedOn w:val="12"/>
    <w:semiHidden/>
    <w:qFormat/>
    <w:uiPriority w:val="9"/>
    <w:rPr>
      <w:rFonts w:ascii="Calibri Light" w:hAnsi="Calibri Light" w:eastAsia="DengXian Light" w:cs="Times New Roman"/>
      <w:b/>
      <w:bCs/>
      <w:color w:val="4472C4"/>
    </w:rPr>
  </w:style>
  <w:style w:type="character" w:customStyle="1" w:styleId="89">
    <w:name w:val="Heading 4 Char1"/>
    <w:basedOn w:val="12"/>
    <w:semiHidden/>
    <w:qFormat/>
    <w:uiPriority w:val="9"/>
    <w:rPr>
      <w:rFonts w:ascii="Calibri Light" w:hAnsi="Calibri Light" w:eastAsia="DengXian Light" w:cs="Times New Roman"/>
      <w:b/>
      <w:bCs/>
      <w:i/>
      <w:iCs/>
      <w:color w:val="4472C4"/>
    </w:rPr>
  </w:style>
  <w:style w:type="character" w:customStyle="1" w:styleId="90">
    <w:name w:val="Heading 5 Char1"/>
    <w:basedOn w:val="12"/>
    <w:semiHidden/>
    <w:qFormat/>
    <w:uiPriority w:val="9"/>
    <w:rPr>
      <w:rFonts w:ascii="Calibri Light" w:hAnsi="Calibri Light" w:eastAsia="DengXian Light" w:cs="Times New Roman"/>
      <w:color w:val="1F3863"/>
    </w:rPr>
  </w:style>
  <w:style w:type="character" w:customStyle="1" w:styleId="91">
    <w:name w:val="Heading 7 Char1"/>
    <w:basedOn w:val="12"/>
    <w:semiHidden/>
    <w:qFormat/>
    <w:uiPriority w:val="9"/>
    <w:rPr>
      <w:rFonts w:ascii="Calibri Light" w:hAnsi="Calibri Light" w:eastAsia="DengXian Light" w:cs="Times New Roman"/>
      <w:i/>
      <w:iCs/>
      <w:color w:val="3F3F3F"/>
    </w:rPr>
  </w:style>
  <w:style w:type="character" w:customStyle="1" w:styleId="92">
    <w:name w:val="Heading 8 Char1"/>
    <w:basedOn w:val="12"/>
    <w:semiHidden/>
    <w:qFormat/>
    <w:uiPriority w:val="9"/>
    <w:rPr>
      <w:rFonts w:ascii="Calibri Light" w:hAnsi="Calibri Light" w:eastAsia="DengXian Light" w:cs="Times New Roman"/>
      <w:color w:val="3F3F3F"/>
      <w:sz w:val="20"/>
      <w:szCs w:val="20"/>
    </w:rPr>
  </w:style>
  <w:style w:type="character" w:customStyle="1" w:styleId="93">
    <w:name w:val="Heading 9 Char1"/>
    <w:basedOn w:val="12"/>
    <w:semiHidden/>
    <w:qFormat/>
    <w:uiPriority w:val="9"/>
    <w:rPr>
      <w:rFonts w:ascii="Calibri Light" w:hAnsi="Calibri Light" w:eastAsia="DengXian Light" w:cs="Times New Roman"/>
      <w:i/>
      <w:iCs/>
      <w:color w:val="3F3F3F"/>
      <w:sz w:val="20"/>
      <w:szCs w:val="20"/>
    </w:rPr>
  </w:style>
  <w:style w:type="character" w:customStyle="1" w:styleId="94">
    <w:name w:val="No Spacing Char"/>
    <w:basedOn w:val="12"/>
    <w:link w:val="63"/>
    <w:qFormat/>
    <w:uiPriority w:val="1"/>
    <w:rPr>
      <w:rFonts w:ascii="Times New Roman" w:hAnsi="Times New Roman" w:eastAsia="Arial Unicode MS" w:cs="Times New Roman"/>
      <w:kern w:val="0"/>
      <w:sz w:val="24"/>
      <w:szCs w:val="24"/>
      <w:lang w:val="en-US"/>
    </w:rPr>
  </w:style>
  <w:style w:type="character" w:customStyle="1" w:styleId="95">
    <w:name w:val="Unresolved Mention1"/>
    <w:basedOn w:val="12"/>
    <w:semiHidden/>
    <w:unhideWhenUsed/>
    <w:qFormat/>
    <w:uiPriority w:val="99"/>
    <w:rPr>
      <w:color w:val="808080"/>
      <w:shd w:val="clear" w:color="auto" w:fill="E6E6E6"/>
    </w:rPr>
  </w:style>
  <w:style w:type="paragraph" w:customStyle="1" w:styleId="96">
    <w:name w:val="Revision1"/>
    <w:hidden/>
    <w:semiHidden/>
    <w:qFormat/>
    <w:uiPriority w:val="99"/>
    <w:rPr>
      <w:rFonts w:ascii="Calibri" w:hAnsi="Calibri" w:eastAsia="Calibri" w:cs="Times New Roman"/>
      <w:sz w:val="22"/>
      <w:szCs w:val="22"/>
      <w:lang w:val="en-US" w:eastAsia="en-US" w:bidi="ar-SA"/>
      <w14:ligatures w14:val="standardContextual"/>
    </w:rPr>
  </w:style>
  <w:style w:type="character" w:customStyle="1" w:styleId="97">
    <w:name w:val="italic"/>
    <w:basedOn w:val="12"/>
    <w:qFormat/>
    <w:uiPriority w:val="0"/>
  </w:style>
  <w:style w:type="character" w:customStyle="1" w:styleId="98">
    <w:name w:val="st"/>
    <w:basedOn w:val="12"/>
    <w:qFormat/>
    <w:uiPriority w:val="0"/>
  </w:style>
  <w:style w:type="character" w:customStyle="1" w:styleId="99">
    <w:name w:val="Unresolved Mention2"/>
    <w:basedOn w:val="12"/>
    <w:semiHidden/>
    <w:unhideWhenUsed/>
    <w:qFormat/>
    <w:uiPriority w:val="99"/>
    <w:rPr>
      <w:color w:val="605E5C"/>
      <w:shd w:val="clear" w:color="auto" w:fill="E1DFDD"/>
    </w:rPr>
  </w:style>
  <w:style w:type="character" w:customStyle="1" w:styleId="100">
    <w:name w:val="Unresolved Mention3"/>
    <w:basedOn w:val="12"/>
    <w:semiHidden/>
    <w:unhideWhenUsed/>
    <w:qFormat/>
    <w:uiPriority w:val="99"/>
    <w:rPr>
      <w:color w:val="605E5C"/>
      <w:shd w:val="clear" w:color="auto" w:fill="E1DFDD"/>
    </w:rPr>
  </w:style>
  <w:style w:type="character" w:customStyle="1" w:styleId="101">
    <w:name w:val="Unresolved Mention4"/>
    <w:basedOn w:val="12"/>
    <w:semiHidden/>
    <w:unhideWhenUsed/>
    <w:qFormat/>
    <w:uiPriority w:val="99"/>
    <w:rPr>
      <w:color w:val="605E5C"/>
      <w:shd w:val="clear" w:color="auto" w:fill="E1DFDD"/>
    </w:rPr>
  </w:style>
  <w:style w:type="paragraph" w:customStyle="1" w:styleId="102">
    <w:name w:val="root-block-node"/>
    <w:basedOn w:val="1"/>
    <w:qFormat/>
    <w:uiPriority w:val="0"/>
    <w:pPr>
      <w:spacing w:before="100" w:beforeAutospacing="1" w:after="100" w:afterAutospacing="1"/>
    </w:pPr>
    <w:rPr>
      <w:rFonts w:eastAsia="Times New Roman"/>
    </w:rPr>
  </w:style>
  <w:style w:type="character" w:customStyle="1" w:styleId="103">
    <w:name w:val="fontstyle01"/>
    <w:basedOn w:val="12"/>
    <w:qFormat/>
    <w:uiPriority w:val="0"/>
    <w:rPr>
      <w:rFonts w:hint="default" w:ascii="TimesNewRomanPSMT" w:hAnsi="TimesNewRomanPSMT"/>
      <w:color w:val="000000"/>
      <w:sz w:val="24"/>
      <w:szCs w:val="24"/>
    </w:rPr>
  </w:style>
  <w:style w:type="character" w:customStyle="1" w:styleId="104">
    <w:name w:val="List Paragraph Char"/>
    <w:link w:val="52"/>
    <w:qFormat/>
    <w:locked/>
    <w:uiPriority w:val="34"/>
    <w:rPr>
      <w:rFonts w:ascii="Calibri" w:hAnsi="Calibri" w:eastAsia="Calibri" w:cs="Calibri"/>
      <w:color w:val="000000"/>
      <w:kern w:val="0"/>
      <w:u w:color="000000"/>
      <w:lang w:val="en-US"/>
    </w:rPr>
  </w:style>
  <w:style w:type="character" w:customStyle="1" w:styleId="105">
    <w:name w:val="Title Char"/>
    <w:basedOn w:val="12"/>
    <w:link w:val="33"/>
    <w:qFormat/>
    <w:uiPriority w:val="10"/>
    <w:rPr>
      <w:rFonts w:ascii="Calibri Light" w:hAnsi="Calibri Light" w:eastAsia="DengXian Light" w:cs="Times New Roman"/>
      <w:color w:val="252525"/>
      <w:spacing w:val="-15"/>
      <w:kern w:val="0"/>
      <w:sz w:val="96"/>
      <w:szCs w:val="96"/>
      <w:lang w:val="en-US"/>
    </w:rPr>
  </w:style>
  <w:style w:type="paragraph" w:styleId="106">
    <w:name w:val="Quote"/>
    <w:basedOn w:val="1"/>
    <w:next w:val="1"/>
    <w:link w:val="107"/>
    <w:qFormat/>
    <w:uiPriority w:val="29"/>
    <w:pPr>
      <w:spacing w:before="160" w:after="200" w:line="288" w:lineRule="auto"/>
      <w:ind w:left="720" w:right="720"/>
      <w:jc w:val="center"/>
    </w:pPr>
    <w:rPr>
      <w:rFonts w:ascii="Calibri" w:hAnsi="Calibri" w:eastAsia="DengXian"/>
      <w:i/>
      <w:iCs/>
      <w:color w:val="252525"/>
      <w:sz w:val="21"/>
      <w:szCs w:val="21"/>
    </w:rPr>
  </w:style>
  <w:style w:type="character" w:customStyle="1" w:styleId="107">
    <w:name w:val="Quote Char"/>
    <w:basedOn w:val="12"/>
    <w:link w:val="106"/>
    <w:qFormat/>
    <w:uiPriority w:val="29"/>
    <w:rPr>
      <w:rFonts w:eastAsia="DengXian"/>
      <w:i/>
      <w:iCs/>
      <w:color w:val="252525"/>
      <w:kern w:val="0"/>
      <w:sz w:val="21"/>
      <w:szCs w:val="21"/>
      <w:lang w:val="en-US"/>
    </w:rPr>
  </w:style>
  <w:style w:type="paragraph" w:styleId="108">
    <w:name w:val="Intense Quote"/>
    <w:basedOn w:val="1"/>
    <w:next w:val="1"/>
    <w:link w:val="109"/>
    <w:qFormat/>
    <w:uiPriority w:val="30"/>
    <w:pPr>
      <w:spacing w:before="160" w:after="160" w:line="264" w:lineRule="auto"/>
      <w:ind w:left="720" w:right="720"/>
      <w:jc w:val="center"/>
    </w:pPr>
    <w:rPr>
      <w:rFonts w:ascii="Calibri Light" w:hAnsi="Calibri Light" w:eastAsia="DengXian Light"/>
      <w:i/>
      <w:iCs/>
      <w:color w:val="70AD47"/>
      <w:sz w:val="32"/>
      <w:szCs w:val="32"/>
    </w:rPr>
  </w:style>
  <w:style w:type="character" w:customStyle="1" w:styleId="109">
    <w:name w:val="Intense Quote Char"/>
    <w:basedOn w:val="12"/>
    <w:link w:val="108"/>
    <w:qFormat/>
    <w:uiPriority w:val="30"/>
    <w:rPr>
      <w:rFonts w:ascii="Calibri Light" w:hAnsi="Calibri Light" w:eastAsia="DengXian Light" w:cs="Times New Roman"/>
      <w:i/>
      <w:iCs/>
      <w:color w:val="70AD47"/>
      <w:kern w:val="0"/>
      <w:sz w:val="32"/>
      <w:szCs w:val="32"/>
      <w:lang w:val="en-US"/>
    </w:rPr>
  </w:style>
  <w:style w:type="character" w:customStyle="1" w:styleId="110">
    <w:name w:val="Subtle Emphasis1"/>
    <w:basedOn w:val="12"/>
    <w:qFormat/>
    <w:uiPriority w:val="19"/>
    <w:rPr>
      <w:i/>
      <w:iCs/>
    </w:rPr>
  </w:style>
  <w:style w:type="character" w:customStyle="1" w:styleId="111">
    <w:name w:val="Intense Emphasis1"/>
    <w:basedOn w:val="12"/>
    <w:qFormat/>
    <w:uiPriority w:val="21"/>
    <w:rPr>
      <w:b/>
      <w:bCs/>
      <w:i/>
      <w:iCs/>
    </w:rPr>
  </w:style>
  <w:style w:type="character" w:customStyle="1" w:styleId="112">
    <w:name w:val="Subtle Reference1"/>
    <w:basedOn w:val="12"/>
    <w:qFormat/>
    <w:uiPriority w:val="31"/>
    <w:rPr>
      <w:smallCaps/>
      <w:color w:val="585858"/>
    </w:rPr>
  </w:style>
  <w:style w:type="character" w:customStyle="1" w:styleId="113">
    <w:name w:val="Intense Reference1"/>
    <w:basedOn w:val="12"/>
    <w:qFormat/>
    <w:uiPriority w:val="32"/>
    <w:rPr>
      <w:b/>
      <w:bCs/>
      <w:smallCaps/>
      <w:color w:val="70AD47"/>
    </w:rPr>
  </w:style>
  <w:style w:type="character" w:customStyle="1" w:styleId="114">
    <w:name w:val="Book Title1"/>
    <w:basedOn w:val="12"/>
    <w:qFormat/>
    <w:uiPriority w:val="33"/>
    <w:rPr>
      <w:b/>
      <w:bCs/>
      <w:smallCaps/>
      <w:spacing w:val="7"/>
      <w:sz w:val="21"/>
      <w:szCs w:val="21"/>
    </w:rPr>
  </w:style>
  <w:style w:type="character" w:customStyle="1" w:styleId="115">
    <w:name w:val="Body Text Char"/>
    <w:basedOn w:val="12"/>
    <w:link w:val="15"/>
    <w:semiHidden/>
    <w:qFormat/>
    <w:uiPriority w:val="99"/>
    <w:rPr>
      <w:rFonts w:eastAsia="DengXian"/>
      <w:kern w:val="0"/>
      <w:sz w:val="21"/>
      <w:szCs w:val="21"/>
      <w:lang w:val="en-US"/>
    </w:rPr>
  </w:style>
  <w:style w:type="table" w:customStyle="1" w:styleId="116">
    <w:name w:val="Table Grid1"/>
    <w:basedOn w:val="13"/>
    <w:qFormat/>
    <w:uiPriority w:val="39"/>
    <w:rPr>
      <w:rFonts w:eastAsia="DengXian"/>
      <w:sz w:val="21"/>
      <w:szCs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Table Grid2"/>
    <w:basedOn w:val="13"/>
    <w:qFormat/>
    <w:uiPriority w:val="39"/>
    <w:rPr>
      <w:rFonts w:eastAsia="Times New Roman"/>
      <w:sz w:val="21"/>
      <w:szCs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8">
    <w:name w:val="Unresolved Mention5"/>
    <w:basedOn w:val="12"/>
    <w:semiHidden/>
    <w:unhideWhenUsed/>
    <w:qFormat/>
    <w:uiPriority w:val="99"/>
    <w:rPr>
      <w:color w:val="605E5C"/>
      <w:shd w:val="clear" w:color="auto" w:fill="E1DFDD"/>
    </w:rPr>
  </w:style>
  <w:style w:type="paragraph" w:customStyle="1" w:styleId="119">
    <w:name w:val="Table Paragraph"/>
    <w:basedOn w:val="1"/>
    <w:qFormat/>
    <w:uiPriority w:val="1"/>
    <w:pPr>
      <w:widowControl w:val="0"/>
      <w:autoSpaceDE w:val="0"/>
      <w:autoSpaceDN w:val="0"/>
    </w:pPr>
    <w:rPr>
      <w:rFonts w:ascii="Arial MT" w:hAnsi="Arial MT" w:eastAsia="Arial MT" w:cs="Arial MT"/>
      <w:sz w:val="22"/>
      <w:szCs w:val="22"/>
    </w:rPr>
  </w:style>
  <w:style w:type="paragraph" w:customStyle="1" w:styleId="120">
    <w:name w:val="Revision"/>
    <w:hidden/>
    <w:semiHidden/>
    <w:qFormat/>
    <w:uiPriority w:val="99"/>
    <w:rPr>
      <w:rFonts w:ascii="Times New Roman" w:hAnsi="Times New Roman" w:eastAsia="Arial Unicode MS" w:cs="Times New Roman"/>
      <w:sz w:val="24"/>
      <w:szCs w:val="24"/>
      <w:lang w:val="en-US" w:eastAsia="en-US" w:bidi="ar-SA"/>
      <w14:ligatures w14:val="standardContextual"/>
    </w:rPr>
  </w:style>
</w:styles>
</file>

<file path=word/_rels/document.xml.rels><?xml version="1.0" encoding="UTF-8" standalone="yes"?>
<Relationships xmlns="http://schemas.openxmlformats.org/package/2006/relationships"><Relationship Id="rId99" Type="http://schemas.openxmlformats.org/officeDocument/2006/relationships/image" Target="media/image69.png"/><Relationship Id="rId98" Type="http://schemas.openxmlformats.org/officeDocument/2006/relationships/image" Target="media/image68.png"/><Relationship Id="rId97" Type="http://schemas.openxmlformats.org/officeDocument/2006/relationships/image" Target="media/image67.png"/><Relationship Id="rId96" Type="http://schemas.openxmlformats.org/officeDocument/2006/relationships/image" Target="media/image66.png"/><Relationship Id="rId95" Type="http://schemas.openxmlformats.org/officeDocument/2006/relationships/image" Target="media/image65.png"/><Relationship Id="rId94" Type="http://schemas.openxmlformats.org/officeDocument/2006/relationships/image" Target="media/image64.png"/><Relationship Id="rId93" Type="http://schemas.openxmlformats.org/officeDocument/2006/relationships/image" Target="media/image63.png"/><Relationship Id="rId92" Type="http://schemas.openxmlformats.org/officeDocument/2006/relationships/image" Target="media/image62.png"/><Relationship Id="rId91" Type="http://schemas.openxmlformats.org/officeDocument/2006/relationships/image" Target="media/image61.png"/><Relationship Id="rId90" Type="http://schemas.openxmlformats.org/officeDocument/2006/relationships/image" Target="media/image60.png"/><Relationship Id="rId9" Type="http://schemas.openxmlformats.org/officeDocument/2006/relationships/footer" Target="footer2.xml"/><Relationship Id="rId89" Type="http://schemas.openxmlformats.org/officeDocument/2006/relationships/image" Target="media/image59.png"/><Relationship Id="rId88" Type="http://schemas.openxmlformats.org/officeDocument/2006/relationships/image" Target="media/image58.png"/><Relationship Id="rId87" Type="http://schemas.openxmlformats.org/officeDocument/2006/relationships/image" Target="media/image57.png"/><Relationship Id="rId86" Type="http://schemas.openxmlformats.org/officeDocument/2006/relationships/image" Target="media/image56.png"/><Relationship Id="rId85" Type="http://schemas.openxmlformats.org/officeDocument/2006/relationships/image" Target="media/image55.png"/><Relationship Id="rId84" Type="http://schemas.openxmlformats.org/officeDocument/2006/relationships/image" Target="media/image54.png"/><Relationship Id="rId83" Type="http://schemas.openxmlformats.org/officeDocument/2006/relationships/image" Target="media/image53.png"/><Relationship Id="rId82" Type="http://schemas.openxmlformats.org/officeDocument/2006/relationships/image" Target="media/image52.png"/><Relationship Id="rId81" Type="http://schemas.openxmlformats.org/officeDocument/2006/relationships/image" Target="media/image51.png"/><Relationship Id="rId80" Type="http://schemas.openxmlformats.org/officeDocument/2006/relationships/image" Target="media/image50.png"/><Relationship Id="rId8" Type="http://schemas.openxmlformats.org/officeDocument/2006/relationships/header" Target="header4.xml"/><Relationship Id="rId79" Type="http://schemas.openxmlformats.org/officeDocument/2006/relationships/image" Target="media/image49.pn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png"/><Relationship Id="rId73" Type="http://schemas.openxmlformats.org/officeDocument/2006/relationships/image" Target="media/image43.png"/><Relationship Id="rId72" Type="http://schemas.openxmlformats.org/officeDocument/2006/relationships/image" Target="media/image42.png"/><Relationship Id="rId71" Type="http://schemas.openxmlformats.org/officeDocument/2006/relationships/image" Target="media/image41.png"/><Relationship Id="rId70" Type="http://schemas.openxmlformats.org/officeDocument/2006/relationships/image" Target="media/image40.png"/><Relationship Id="rId7" Type="http://schemas.openxmlformats.org/officeDocument/2006/relationships/header" Target="header3.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image" Target="media/image37.png"/><Relationship Id="rId66" Type="http://schemas.openxmlformats.org/officeDocument/2006/relationships/image" Target="media/image36.pn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header" Target="header2.xml"/><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footer" Target="footer1.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header" Target="head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GIF"/><Relationship Id="rId35" Type="http://schemas.openxmlformats.org/officeDocument/2006/relationships/image" Target="media/image5.png"/><Relationship Id="rId34" Type="http://schemas.openxmlformats.org/officeDocument/2006/relationships/image" Target="media/image4.jpeg"/><Relationship Id="rId33" Type="http://schemas.openxmlformats.org/officeDocument/2006/relationships/image" Target="media/image3.jpeg"/><Relationship Id="rId32" Type="http://schemas.openxmlformats.org/officeDocument/2006/relationships/image" Target="media/image2.png"/><Relationship Id="rId31" Type="http://schemas.openxmlformats.org/officeDocument/2006/relationships/theme" Target="theme/theme1.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4.xml"/><Relationship Id="rId27" Type="http://schemas.openxmlformats.org/officeDocument/2006/relationships/footer" Target="footer11.xml"/><Relationship Id="rId26" Type="http://schemas.openxmlformats.org/officeDocument/2006/relationships/header" Target="header13.xml"/><Relationship Id="rId25" Type="http://schemas.openxmlformats.org/officeDocument/2006/relationships/footer" Target="footer10.xml"/><Relationship Id="rId24" Type="http://schemas.openxmlformats.org/officeDocument/2006/relationships/header" Target="header12.xml"/><Relationship Id="rId23" Type="http://schemas.openxmlformats.org/officeDocument/2006/relationships/footer" Target="footer9.xml"/><Relationship Id="rId22" Type="http://schemas.openxmlformats.org/officeDocument/2006/relationships/header" Target="header11.xml"/><Relationship Id="rId21" Type="http://schemas.openxmlformats.org/officeDocument/2006/relationships/footer" Target="footer8.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9.xml"/><Relationship Id="rId17" Type="http://schemas.openxmlformats.org/officeDocument/2006/relationships/footer" Target="footer6.xml"/><Relationship Id="rId16" Type="http://schemas.openxmlformats.org/officeDocument/2006/relationships/header" Target="header8.xml"/><Relationship Id="rId15" Type="http://schemas.openxmlformats.org/officeDocument/2006/relationships/footer" Target="footer5.xml"/><Relationship Id="rId14" Type="http://schemas.openxmlformats.org/officeDocument/2006/relationships/header" Target="header7.xml"/><Relationship Id="rId13" Type="http://schemas.openxmlformats.org/officeDocument/2006/relationships/footer" Target="footer4.xml"/><Relationship Id="rId126" Type="http://schemas.openxmlformats.org/officeDocument/2006/relationships/fontTable" Target="fontTable.xml"/><Relationship Id="rId125" Type="http://schemas.openxmlformats.org/officeDocument/2006/relationships/customXml" Target="../customXml/item2.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91.png"/><Relationship Id="rId121" Type="http://schemas.openxmlformats.org/officeDocument/2006/relationships/image" Target="media/image90.png"/><Relationship Id="rId120" Type="http://schemas.openxmlformats.org/officeDocument/2006/relationships/image" Target="media/image89.png"/><Relationship Id="rId12" Type="http://schemas.openxmlformats.org/officeDocument/2006/relationships/header" Target="header6.xml"/><Relationship Id="rId119" Type="http://schemas.openxmlformats.org/officeDocument/2006/relationships/image" Target="media/image88.png"/><Relationship Id="rId118" Type="http://schemas.openxmlformats.org/officeDocument/2006/relationships/image" Target="media/image87.png"/><Relationship Id="rId117" Type="http://schemas.openxmlformats.org/officeDocument/2006/relationships/image" Target="media/image86.png"/><Relationship Id="rId116" Type="http://schemas.openxmlformats.org/officeDocument/2006/relationships/image" Target="media/image85.png"/><Relationship Id="rId115" Type="http://schemas.openxmlformats.org/officeDocument/2006/relationships/image" Target="media/image84.png"/><Relationship Id="rId114" Type="http://schemas.openxmlformats.org/officeDocument/2006/relationships/image" Target="media/image83.png"/><Relationship Id="rId113" Type="http://schemas.openxmlformats.org/officeDocument/2006/relationships/image" Target="media/image82.png"/><Relationship Id="rId112" Type="http://schemas.openxmlformats.org/officeDocument/2006/relationships/image" Target="media/image1.png"/><Relationship Id="rId111" Type="http://schemas.openxmlformats.org/officeDocument/2006/relationships/image" Target="media/image81.png"/><Relationship Id="rId110" Type="http://schemas.openxmlformats.org/officeDocument/2006/relationships/image" Target="media/image80.png"/><Relationship Id="rId11" Type="http://schemas.openxmlformats.org/officeDocument/2006/relationships/footer" Target="footer3.xml"/><Relationship Id="rId109" Type="http://schemas.openxmlformats.org/officeDocument/2006/relationships/image" Target="media/image79.png"/><Relationship Id="rId108" Type="http://schemas.openxmlformats.org/officeDocument/2006/relationships/image" Target="media/image78.png"/><Relationship Id="rId107" Type="http://schemas.openxmlformats.org/officeDocument/2006/relationships/image" Target="media/image77.png"/><Relationship Id="rId106" Type="http://schemas.openxmlformats.org/officeDocument/2006/relationships/image" Target="media/image76.png"/><Relationship Id="rId105" Type="http://schemas.openxmlformats.org/officeDocument/2006/relationships/image" Target="media/image75.png"/><Relationship Id="rId104" Type="http://schemas.openxmlformats.org/officeDocument/2006/relationships/image" Target="media/image74.png"/><Relationship Id="rId103" Type="http://schemas.openxmlformats.org/officeDocument/2006/relationships/image" Target="media/image73.png"/><Relationship Id="rId102" Type="http://schemas.openxmlformats.org/officeDocument/2006/relationships/image" Target="media/image72.png"/><Relationship Id="rId101" Type="http://schemas.openxmlformats.org/officeDocument/2006/relationships/image" Target="media/image71.png"/><Relationship Id="rId100" Type="http://schemas.openxmlformats.org/officeDocument/2006/relationships/image" Target="media/image70.png"/><Relationship Id="rId10" Type="http://schemas.openxmlformats.org/officeDocument/2006/relationships/header" Target="header5.xml"/><Relationship Id="rId1" Type="http://schemas.openxmlformats.org/officeDocument/2006/relationships/styles" Target="styles.xm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968A33-D9C7-4A3F-8FA5-CF3E1A528D14}">
  <ds:schemaRefs/>
</ds:datastoreItem>
</file>

<file path=docProps/app.xml><?xml version="1.0" encoding="utf-8"?>
<Properties xmlns="http://schemas.openxmlformats.org/officeDocument/2006/extended-properties" xmlns:vt="http://schemas.openxmlformats.org/officeDocument/2006/docPropsVTypes">
  <Template>Normal.dotm</Template>
  <Pages>344</Pages>
  <Words>89451</Words>
  <Characters>509873</Characters>
  <Lines>4248</Lines>
  <Paragraphs>1196</Paragraphs>
  <TotalTime>89</TotalTime>
  <ScaleCrop>false</ScaleCrop>
  <LinksUpToDate>false</LinksUpToDate>
  <CharactersWithSpaces>598128</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2025-03-11T22:12:00Z</dcterms:created>
  <dc:creator>Edem Andah</dc:creator>
  <cp:lastModifiedBy>Edem Andah</cp:lastModifiedBy>
  <cp:lastPrinted>2023-06-18T15:16:00Z</cp:lastPrinted>
  <dcterms:modified xsi:type="dcterms:W3CDTF">2025-03-12T15:36:39Z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2057-12.2.0.20326</vt:lpwstr>
  </property>
  <property fmtid="{D5CDD505-2E9C-101B-9397-08002B2CF9AE}" pid="3" name="ICV">
    <vt:lpwstr>ACCA148A612B4E2EB26731AFEBD938BA_13</vt:lpwstr>
  </property>
</Properties>
</file>